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195BE5E" w14:textId="77777777" w:rsidTr="00B20551">
        <w:trPr>
          <w:cantSplit/>
          <w:trHeight w:hRule="exact" w:val="851"/>
        </w:trPr>
        <w:tc>
          <w:tcPr>
            <w:tcW w:w="1276" w:type="dxa"/>
            <w:tcBorders>
              <w:bottom w:val="single" w:sz="4" w:space="0" w:color="auto"/>
            </w:tcBorders>
            <w:vAlign w:val="bottom"/>
          </w:tcPr>
          <w:p w14:paraId="7241999A"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59AEAFA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96144E" w14:textId="77777777" w:rsidR="009E6CB7" w:rsidRPr="00D47EEA" w:rsidRDefault="003053E1" w:rsidP="003053E1">
            <w:pPr>
              <w:jc w:val="right"/>
            </w:pPr>
            <w:r w:rsidRPr="003053E1">
              <w:rPr>
                <w:sz w:val="40"/>
              </w:rPr>
              <w:t>ECE</w:t>
            </w:r>
            <w:r>
              <w:t>/MP.EIA/WG.2/2019/5</w:t>
            </w:r>
          </w:p>
        </w:tc>
      </w:tr>
      <w:tr w:rsidR="009E6CB7" w14:paraId="43715331" w14:textId="77777777" w:rsidTr="00B20551">
        <w:trPr>
          <w:cantSplit/>
          <w:trHeight w:hRule="exact" w:val="2835"/>
        </w:trPr>
        <w:tc>
          <w:tcPr>
            <w:tcW w:w="1276" w:type="dxa"/>
            <w:tcBorders>
              <w:top w:val="single" w:sz="4" w:space="0" w:color="auto"/>
              <w:bottom w:val="single" w:sz="12" w:space="0" w:color="auto"/>
            </w:tcBorders>
          </w:tcPr>
          <w:p w14:paraId="08B4E150" w14:textId="77777777" w:rsidR="009E6CB7" w:rsidRDefault="00686A48" w:rsidP="00B20551">
            <w:pPr>
              <w:spacing w:before="120"/>
            </w:pPr>
            <w:r>
              <w:rPr>
                <w:noProof/>
                <w:lang w:val="en-US" w:eastAsia="zh-CN"/>
              </w:rPr>
              <w:drawing>
                <wp:inline distT="0" distB="0" distL="0" distR="0" wp14:anchorId="63E812FF" wp14:editId="592D9C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34604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A5E4FB2" w14:textId="77777777" w:rsidR="009E6CB7" w:rsidRDefault="003053E1" w:rsidP="003053E1">
            <w:pPr>
              <w:spacing w:before="240" w:line="240" w:lineRule="exact"/>
            </w:pPr>
            <w:r>
              <w:t>Distr.: General</w:t>
            </w:r>
          </w:p>
          <w:p w14:paraId="6F243993" w14:textId="662E4706" w:rsidR="003053E1" w:rsidRDefault="007C5D09" w:rsidP="003053E1">
            <w:pPr>
              <w:spacing w:line="240" w:lineRule="exact"/>
            </w:pPr>
            <w:r>
              <w:t>1</w:t>
            </w:r>
            <w:r w:rsidR="0020496A">
              <w:t>1</w:t>
            </w:r>
            <w:r w:rsidR="003053E1">
              <w:t xml:space="preserve"> </w:t>
            </w:r>
            <w:r w:rsidR="007E6467">
              <w:t>September</w:t>
            </w:r>
            <w:r w:rsidR="003053E1">
              <w:t xml:space="preserve"> 2019</w:t>
            </w:r>
          </w:p>
          <w:p w14:paraId="5BC1BB68" w14:textId="77777777" w:rsidR="003053E1" w:rsidRDefault="003053E1" w:rsidP="003053E1">
            <w:pPr>
              <w:spacing w:line="240" w:lineRule="exact"/>
            </w:pPr>
          </w:p>
          <w:p w14:paraId="323F5A20" w14:textId="77777777" w:rsidR="003053E1" w:rsidRDefault="003053E1" w:rsidP="003053E1">
            <w:pPr>
              <w:spacing w:line="240" w:lineRule="exact"/>
            </w:pPr>
            <w:r>
              <w:t>Original: English</w:t>
            </w:r>
          </w:p>
        </w:tc>
      </w:tr>
    </w:tbl>
    <w:p w14:paraId="6D916945" w14:textId="77777777" w:rsidR="00F747BD" w:rsidRPr="00136A88" w:rsidRDefault="00F747BD" w:rsidP="0094684F">
      <w:pPr>
        <w:spacing w:before="120"/>
        <w:rPr>
          <w:b/>
          <w:sz w:val="28"/>
          <w:szCs w:val="28"/>
        </w:rPr>
      </w:pPr>
      <w:r w:rsidRPr="00136A88">
        <w:rPr>
          <w:b/>
          <w:sz w:val="28"/>
          <w:szCs w:val="28"/>
        </w:rPr>
        <w:t>Economic Commission for Europe</w:t>
      </w:r>
    </w:p>
    <w:p w14:paraId="7E808089" w14:textId="77777777" w:rsidR="00F747BD" w:rsidRPr="00136A88" w:rsidRDefault="00F747BD"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22D00D5E" w14:textId="77777777" w:rsidR="00F747BD" w:rsidRPr="00136A88" w:rsidRDefault="00F747BD"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229DA3E5" w14:textId="77777777" w:rsidR="00F747BD" w:rsidRPr="00136A88" w:rsidRDefault="00F747BD"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14A54C61" w14:textId="77777777" w:rsidR="00F747BD" w:rsidRPr="00136A88" w:rsidRDefault="00F747BD" w:rsidP="0094684F">
      <w:pPr>
        <w:spacing w:before="120"/>
        <w:rPr>
          <w:b/>
        </w:rPr>
      </w:pPr>
      <w:r>
        <w:rPr>
          <w:b/>
        </w:rPr>
        <w:t xml:space="preserve">Eighth </w:t>
      </w:r>
      <w:r w:rsidRPr="00136A88">
        <w:rPr>
          <w:b/>
        </w:rPr>
        <w:t>meeting</w:t>
      </w:r>
    </w:p>
    <w:p w14:paraId="246FE3F5" w14:textId="7EFF2BE6" w:rsidR="00F747BD" w:rsidRPr="00136A88" w:rsidRDefault="00F747BD" w:rsidP="0094684F">
      <w:r w:rsidRPr="00136A88">
        <w:t xml:space="preserve">Geneva, </w:t>
      </w:r>
      <w:r>
        <w:t>26</w:t>
      </w:r>
      <w:r w:rsidR="00890804">
        <w:t>–</w:t>
      </w:r>
      <w:r>
        <w:t>28 November 2019</w:t>
      </w:r>
    </w:p>
    <w:p w14:paraId="7388E2C0" w14:textId="79E08E19" w:rsidR="00F747BD" w:rsidRDefault="00F747BD" w:rsidP="0094684F">
      <w:r w:rsidRPr="00136A88">
        <w:t xml:space="preserve">Item </w:t>
      </w:r>
      <w:r>
        <w:t>7</w:t>
      </w:r>
      <w:r w:rsidR="00890804">
        <w:t xml:space="preserve"> </w:t>
      </w:r>
      <w:r>
        <w:t xml:space="preserve">(b) </w:t>
      </w:r>
      <w:r w:rsidRPr="00136A88">
        <w:t>of the provisional agenda</w:t>
      </w:r>
    </w:p>
    <w:p w14:paraId="70014A56" w14:textId="77777777" w:rsidR="008572B2" w:rsidRPr="00A535CC" w:rsidRDefault="008572B2" w:rsidP="0094684F">
      <w:pPr>
        <w:rPr>
          <w:b/>
          <w:bCs/>
        </w:rPr>
      </w:pPr>
      <w:r w:rsidRPr="00A535CC">
        <w:rPr>
          <w:b/>
          <w:bCs/>
        </w:rPr>
        <w:t xml:space="preserve">Exchange of good practices: draft guidance </w:t>
      </w:r>
    </w:p>
    <w:p w14:paraId="36B852D0" w14:textId="4B82B25C" w:rsidR="008572B2" w:rsidRPr="00595520" w:rsidRDefault="008572B2" w:rsidP="0094684F">
      <w:r w:rsidRPr="00A535CC">
        <w:rPr>
          <w:b/>
          <w:bCs/>
        </w:rPr>
        <w:t>on assessing health impacts in strategic environmental assessment</w:t>
      </w:r>
    </w:p>
    <w:p w14:paraId="656FDB28" w14:textId="77777777" w:rsidR="00F747BD" w:rsidRPr="00F747BD" w:rsidRDefault="00F747BD" w:rsidP="00F747BD">
      <w:pPr>
        <w:pStyle w:val="HChG"/>
      </w:pPr>
      <w:r>
        <w:tab/>
      </w:r>
      <w:r>
        <w:tab/>
      </w:r>
      <w:r w:rsidRPr="00F747BD">
        <w:t>Draft guidance on assessing health impacts in strategic environmental assessment</w:t>
      </w:r>
    </w:p>
    <w:p w14:paraId="0F376DAB" w14:textId="77777777" w:rsidR="00F747BD" w:rsidRPr="00F212FA" w:rsidRDefault="00F747BD" w:rsidP="00F747BD">
      <w:pPr>
        <w:pStyle w:val="H1G"/>
      </w:pPr>
      <w:r w:rsidRPr="00F212FA">
        <w:tab/>
      </w:r>
      <w:r w:rsidRPr="00F212FA">
        <w:tab/>
        <w:t xml:space="preserve">Note by the </w:t>
      </w:r>
      <w:r>
        <w:t>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008DE" w14:paraId="46B06018" w14:textId="77777777" w:rsidTr="007E6467">
        <w:trPr>
          <w:jc w:val="center"/>
        </w:trPr>
        <w:tc>
          <w:tcPr>
            <w:tcW w:w="9629" w:type="dxa"/>
            <w:shd w:val="clear" w:color="auto" w:fill="auto"/>
          </w:tcPr>
          <w:p w14:paraId="5C76EE52" w14:textId="77777777" w:rsidR="005008DE" w:rsidRDefault="005008DE" w:rsidP="00A0514B">
            <w:pPr>
              <w:spacing w:before="240" w:after="120"/>
              <w:ind w:left="255"/>
              <w:rPr>
                <w:i/>
                <w:sz w:val="24"/>
              </w:rPr>
            </w:pPr>
            <w:r w:rsidRPr="00C6263E">
              <w:rPr>
                <w:i/>
                <w:sz w:val="24"/>
              </w:rPr>
              <w:t>Summary</w:t>
            </w:r>
          </w:p>
          <w:p w14:paraId="59A19847" w14:textId="70648D52" w:rsidR="005008DE" w:rsidRPr="005008DE" w:rsidRDefault="005008DE" w:rsidP="00694203">
            <w:pPr>
              <w:pStyle w:val="SingleTxtG"/>
            </w:pPr>
            <w:r>
              <w:rPr>
                <w:i/>
                <w:sz w:val="24"/>
              </w:rPr>
              <w:tab/>
            </w:r>
            <w:r w:rsidRPr="005008DE">
              <w:t>This note presents draft guidance on assessing health impacts in strategic environmental assessment</w:t>
            </w:r>
            <w:r w:rsidR="00890804">
              <w:t>,</w:t>
            </w:r>
            <w:r w:rsidRPr="005008DE">
              <w:t xml:space="preserve"> as foreseen in the workplan for the implementation of the Convention </w:t>
            </w:r>
            <w:r w:rsidR="00642248">
              <w:t xml:space="preserve">on Environmental Impact Assessment in a Transboundary Context </w:t>
            </w:r>
            <w:r w:rsidRPr="005008DE">
              <w:t xml:space="preserve">and </w:t>
            </w:r>
            <w:r w:rsidR="00642248">
              <w:t>its</w:t>
            </w:r>
            <w:r w:rsidRPr="005008DE">
              <w:t xml:space="preserve"> Protocol </w:t>
            </w:r>
            <w:r w:rsidR="00642248">
              <w:t xml:space="preserve">on Strategic Environmental Assessment </w:t>
            </w:r>
            <w:r w:rsidRPr="005008DE">
              <w:t>for the period 2017–2020 (ECE/MP.EIA/23.Add.1–ECE/MP.EIA/SEA/7.Add.1, decision VII/</w:t>
            </w:r>
            <w:r w:rsidR="000247B4">
              <w:t>3</w:t>
            </w:r>
            <w:r w:rsidRPr="005008DE">
              <w:t>–III/3, annex II, item IV.I). The draft guidance was prepared by consultants with funding from the European Investment Bank and reviewed by the Bureau.</w:t>
            </w:r>
          </w:p>
          <w:p w14:paraId="275BC97D" w14:textId="5C8E73DB" w:rsidR="005008DE" w:rsidRPr="005008DE" w:rsidRDefault="005008DE" w:rsidP="005008DE">
            <w:pPr>
              <w:pStyle w:val="SingleTxtG"/>
            </w:pPr>
            <w:r w:rsidRPr="005008DE">
              <w:tab/>
            </w:r>
            <w:r w:rsidRPr="005008DE">
              <w:tab/>
              <w:t xml:space="preserve">The Working Group on Environmental Impact Assessment and Strategic Environmental Assessment is expected to consider the draft </w:t>
            </w:r>
            <w:r w:rsidR="000247B4">
              <w:t>guidance</w:t>
            </w:r>
            <w:r w:rsidR="000247B4" w:rsidRPr="005008DE">
              <w:t xml:space="preserve"> </w:t>
            </w:r>
            <w:r w:rsidRPr="005008DE">
              <w:t>and provide guidance for its finalization prior to its submission to the Meeting of the Parties for adoption at its eighth session (tentatively scheduled to take place in Geneva, 8–11 December 2020).</w:t>
            </w:r>
          </w:p>
          <w:p w14:paraId="074D9741" w14:textId="77777777" w:rsidR="005008DE" w:rsidRPr="00C6263E" w:rsidRDefault="005008DE" w:rsidP="005008DE">
            <w:pPr>
              <w:pStyle w:val="SingleTxtG"/>
              <w:rPr>
                <w:i/>
                <w:sz w:val="24"/>
              </w:rPr>
            </w:pPr>
            <w:r w:rsidRPr="005008DE">
              <w:tab/>
            </w:r>
            <w:r w:rsidRPr="005008DE">
              <w:tab/>
              <w:t>After the meeting of the Working Group</w:t>
            </w:r>
            <w:r>
              <w:t>, t</w:t>
            </w:r>
            <w:r w:rsidRPr="00F212FA">
              <w:t>he</w:t>
            </w:r>
            <w:r>
              <w:t xml:space="preserve"> draft guidance will be supplemented with selected c</w:t>
            </w:r>
            <w:r w:rsidRPr="00756134">
              <w:t>ase studies from the</w:t>
            </w:r>
            <w:r w:rsidR="000247B4">
              <w:t xml:space="preserve"> fields of</w:t>
            </w:r>
            <w:r w:rsidRPr="00756134">
              <w:t xml:space="preserve"> energy, transport and regional development </w:t>
            </w:r>
            <w:r>
              <w:t xml:space="preserve">to </w:t>
            </w:r>
            <w:r w:rsidRPr="00756134">
              <w:t xml:space="preserve">illustrate practical considerations for the </w:t>
            </w:r>
            <w:r w:rsidR="004D04F8">
              <w:t>assessment</w:t>
            </w:r>
            <w:r w:rsidRPr="00756134">
              <w:t xml:space="preserve"> of health and the involvement of health authorities in specific</w:t>
            </w:r>
            <w:r>
              <w:t xml:space="preserve"> strategic environmental assessments.</w:t>
            </w:r>
          </w:p>
        </w:tc>
      </w:tr>
    </w:tbl>
    <w:p w14:paraId="4900B2E9" w14:textId="77777777" w:rsidR="001803C1" w:rsidRDefault="001803C1" w:rsidP="00A0514B">
      <w:pPr>
        <w:spacing w:after="120"/>
        <w:rPr>
          <w:sz w:val="28"/>
        </w:rPr>
      </w:pPr>
      <w:r>
        <w:rPr>
          <w:sz w:val="28"/>
        </w:rPr>
        <w:lastRenderedPageBreak/>
        <w:t>Contents</w:t>
      </w:r>
    </w:p>
    <w:p w14:paraId="3ADC66D7" w14:textId="77777777" w:rsidR="001803C1" w:rsidRDefault="001803C1" w:rsidP="00A0514B">
      <w:pPr>
        <w:tabs>
          <w:tab w:val="right" w:pos="9638"/>
        </w:tabs>
        <w:spacing w:after="120"/>
        <w:ind w:left="283"/>
        <w:rPr>
          <w:i/>
          <w:sz w:val="18"/>
        </w:rPr>
      </w:pPr>
      <w:r>
        <w:rPr>
          <w:i/>
          <w:sz w:val="18"/>
        </w:rPr>
        <w:tab/>
        <w:t>Page</w:t>
      </w:r>
    </w:p>
    <w:p w14:paraId="346229E9" w14:textId="77777777" w:rsidR="001803C1" w:rsidRDefault="0060664E" w:rsidP="001803C1">
      <w:pPr>
        <w:tabs>
          <w:tab w:val="right" w:pos="850"/>
          <w:tab w:val="left" w:pos="1134"/>
          <w:tab w:val="left" w:pos="1559"/>
          <w:tab w:val="left" w:pos="1984"/>
          <w:tab w:val="left" w:leader="dot" w:pos="8929"/>
          <w:tab w:val="right" w:pos="9638"/>
        </w:tabs>
        <w:spacing w:after="120"/>
      </w:pPr>
      <w:r>
        <w:tab/>
      </w:r>
      <w:r>
        <w:tab/>
      </w:r>
      <w:r w:rsidR="001803C1">
        <w:t>Executive Summary</w:t>
      </w:r>
      <w:r w:rsidR="001803C1">
        <w:tab/>
      </w:r>
      <w:r w:rsidR="001803C1">
        <w:tab/>
      </w:r>
      <w:r w:rsidR="006D5DD5">
        <w:t>3</w:t>
      </w:r>
    </w:p>
    <w:p w14:paraId="34EEA763" w14:textId="77777777" w:rsidR="001803C1" w:rsidRDefault="001803C1" w:rsidP="001803C1">
      <w:pPr>
        <w:tabs>
          <w:tab w:val="right" w:pos="850"/>
          <w:tab w:val="left" w:pos="1134"/>
          <w:tab w:val="left" w:pos="1559"/>
          <w:tab w:val="left" w:pos="1984"/>
          <w:tab w:val="left" w:leader="dot" w:pos="8929"/>
          <w:tab w:val="right" w:pos="9638"/>
        </w:tabs>
        <w:spacing w:after="120"/>
        <w:ind w:left="1455" w:hanging="720"/>
      </w:pPr>
      <w:r>
        <w:t>I.</w:t>
      </w:r>
      <w:r>
        <w:tab/>
        <w:t>Introduction</w:t>
      </w:r>
      <w:r>
        <w:tab/>
      </w:r>
      <w:r>
        <w:tab/>
      </w:r>
      <w:r w:rsidR="006D5DD5">
        <w:t>5</w:t>
      </w:r>
    </w:p>
    <w:p w14:paraId="42984F57" w14:textId="3B1EF8AB" w:rsidR="0060664E" w:rsidRDefault="0060664E" w:rsidP="0060664E">
      <w:pPr>
        <w:pStyle w:val="ListParagraph"/>
        <w:numPr>
          <w:ilvl w:val="0"/>
          <w:numId w:val="20"/>
        </w:numPr>
        <w:tabs>
          <w:tab w:val="right" w:pos="850"/>
          <w:tab w:val="left" w:pos="1134"/>
          <w:tab w:val="left" w:pos="1559"/>
          <w:tab w:val="left" w:pos="1984"/>
          <w:tab w:val="left" w:leader="dot" w:pos="8929"/>
          <w:tab w:val="right" w:pos="9638"/>
        </w:tabs>
        <w:spacing w:after="120"/>
      </w:pPr>
      <w:r>
        <w:tab/>
      </w:r>
      <w:r w:rsidRPr="001078F9">
        <w:t xml:space="preserve">Strategic </w:t>
      </w:r>
      <w:r w:rsidR="00A75722">
        <w:t>e</w:t>
      </w:r>
      <w:r w:rsidRPr="001078F9">
        <w:t xml:space="preserve">nvironmental </w:t>
      </w:r>
      <w:r w:rsidR="00A75722">
        <w:t>a</w:t>
      </w:r>
      <w:r w:rsidRPr="001078F9">
        <w:t>ssessment</w:t>
      </w:r>
      <w:r>
        <w:tab/>
      </w:r>
      <w:r>
        <w:tab/>
      </w:r>
      <w:r w:rsidR="006D5DD5">
        <w:t>5</w:t>
      </w:r>
    </w:p>
    <w:p w14:paraId="6828964B" w14:textId="2B04B01D" w:rsidR="0060664E" w:rsidRDefault="0060664E" w:rsidP="0060664E">
      <w:pPr>
        <w:pStyle w:val="ListParagraph"/>
        <w:numPr>
          <w:ilvl w:val="0"/>
          <w:numId w:val="20"/>
        </w:numPr>
        <w:tabs>
          <w:tab w:val="right" w:pos="850"/>
          <w:tab w:val="left" w:pos="1134"/>
          <w:tab w:val="left" w:pos="1559"/>
          <w:tab w:val="left" w:pos="1984"/>
          <w:tab w:val="left" w:leader="dot" w:pos="8929"/>
          <w:tab w:val="right" w:pos="9638"/>
        </w:tabs>
        <w:spacing w:after="120"/>
      </w:pPr>
      <w:r>
        <w:tab/>
      </w:r>
      <w:r w:rsidRPr="001078F9">
        <w:t xml:space="preserve">Health in </w:t>
      </w:r>
      <w:r w:rsidR="00A75722">
        <w:t>s</w:t>
      </w:r>
      <w:r w:rsidRPr="001078F9">
        <w:t xml:space="preserve">trategic </w:t>
      </w:r>
      <w:r w:rsidR="00A75722">
        <w:t>e</w:t>
      </w:r>
      <w:r w:rsidRPr="001078F9">
        <w:t xml:space="preserve">nvironmental </w:t>
      </w:r>
      <w:r w:rsidR="00A75722">
        <w:t>a</w:t>
      </w:r>
      <w:r w:rsidRPr="001078F9">
        <w:t>ssessment</w:t>
      </w:r>
      <w:r>
        <w:tab/>
      </w:r>
      <w:r w:rsidR="006D5DD5">
        <w:tab/>
        <w:t>5</w:t>
      </w:r>
    </w:p>
    <w:p w14:paraId="781AA557" w14:textId="492F8459" w:rsidR="001803C1" w:rsidRDefault="001803C1" w:rsidP="001803C1">
      <w:pPr>
        <w:tabs>
          <w:tab w:val="right" w:pos="850"/>
          <w:tab w:val="left" w:pos="1134"/>
          <w:tab w:val="left" w:pos="1559"/>
          <w:tab w:val="left" w:pos="1984"/>
          <w:tab w:val="left" w:leader="dot" w:pos="8929"/>
          <w:tab w:val="right" w:pos="9638"/>
        </w:tabs>
        <w:spacing w:after="120"/>
        <w:ind w:left="1455" w:hanging="720"/>
      </w:pPr>
      <w:r>
        <w:tab/>
        <w:t>II.</w:t>
      </w:r>
      <w:r>
        <w:tab/>
      </w:r>
      <w:r w:rsidR="0060664E">
        <w:t>P</w:t>
      </w:r>
      <w:r w:rsidR="0060664E" w:rsidRPr="001078F9">
        <w:t xml:space="preserve">rinciples for </w:t>
      </w:r>
      <w:r w:rsidR="00A75722">
        <w:t>considering health in s</w:t>
      </w:r>
      <w:r w:rsidR="0060664E" w:rsidRPr="001078F9">
        <w:t xml:space="preserve">trategic </w:t>
      </w:r>
      <w:r w:rsidR="00A75722">
        <w:t>e</w:t>
      </w:r>
      <w:r w:rsidR="0060664E" w:rsidRPr="001078F9">
        <w:t xml:space="preserve">nvironmental </w:t>
      </w:r>
      <w:r w:rsidR="00A75722">
        <w:t>a</w:t>
      </w:r>
      <w:r w:rsidR="0060664E" w:rsidRPr="001078F9">
        <w:t>ssessment</w:t>
      </w:r>
      <w:r>
        <w:tab/>
      </w:r>
      <w:r>
        <w:tab/>
      </w:r>
      <w:r w:rsidR="006D5DD5">
        <w:t>6</w:t>
      </w:r>
    </w:p>
    <w:p w14:paraId="3146029A" w14:textId="77777777" w:rsidR="0060664E" w:rsidRDefault="0060664E" w:rsidP="0060664E">
      <w:pPr>
        <w:pStyle w:val="ListParagraph"/>
        <w:numPr>
          <w:ilvl w:val="0"/>
          <w:numId w:val="21"/>
        </w:numPr>
        <w:tabs>
          <w:tab w:val="right" w:pos="850"/>
          <w:tab w:val="left" w:pos="1134"/>
          <w:tab w:val="left" w:pos="1559"/>
          <w:tab w:val="left" w:pos="1984"/>
          <w:tab w:val="left" w:leader="dot" w:pos="8929"/>
          <w:tab w:val="right" w:pos="9638"/>
        </w:tabs>
        <w:spacing w:after="120"/>
      </w:pPr>
      <w:r>
        <w:t>Defining health</w:t>
      </w:r>
      <w:r>
        <w:tab/>
      </w:r>
      <w:r>
        <w:tab/>
      </w:r>
      <w:r w:rsidR="006D5DD5">
        <w:t>6</w:t>
      </w:r>
    </w:p>
    <w:p w14:paraId="65DE9B7E" w14:textId="090937AE" w:rsidR="00E34217" w:rsidRDefault="00E34217" w:rsidP="0060664E">
      <w:pPr>
        <w:pStyle w:val="ListParagraph"/>
        <w:numPr>
          <w:ilvl w:val="0"/>
          <w:numId w:val="21"/>
        </w:numPr>
        <w:tabs>
          <w:tab w:val="right" w:pos="850"/>
          <w:tab w:val="left" w:pos="1134"/>
          <w:tab w:val="left" w:pos="1559"/>
          <w:tab w:val="left" w:pos="1984"/>
          <w:tab w:val="left" w:leader="dot" w:pos="8929"/>
          <w:tab w:val="right" w:pos="9638"/>
        </w:tabs>
        <w:spacing w:after="120"/>
      </w:pPr>
      <w:r>
        <w:t>Framing health input</w:t>
      </w:r>
      <w:r>
        <w:tab/>
      </w:r>
      <w:r>
        <w:tab/>
      </w:r>
      <w:r w:rsidR="00E83562">
        <w:t>7</w:t>
      </w:r>
    </w:p>
    <w:p w14:paraId="280030E7" w14:textId="77777777" w:rsidR="00E34217" w:rsidRDefault="00E34217" w:rsidP="0060664E">
      <w:pPr>
        <w:pStyle w:val="ListParagraph"/>
        <w:numPr>
          <w:ilvl w:val="0"/>
          <w:numId w:val="21"/>
        </w:numPr>
        <w:tabs>
          <w:tab w:val="right" w:pos="850"/>
          <w:tab w:val="left" w:pos="1134"/>
          <w:tab w:val="left" w:pos="1559"/>
          <w:tab w:val="left" w:pos="1984"/>
          <w:tab w:val="left" w:leader="dot" w:pos="8929"/>
          <w:tab w:val="right" w:pos="9638"/>
        </w:tabs>
        <w:spacing w:after="120"/>
      </w:pPr>
      <w:r w:rsidRPr="003804AB">
        <w:t>The context for strategic environmental assessment</w:t>
      </w:r>
      <w:r>
        <w:tab/>
      </w:r>
      <w:r>
        <w:tab/>
      </w:r>
      <w:r w:rsidR="006D5DD5">
        <w:t>8</w:t>
      </w:r>
    </w:p>
    <w:p w14:paraId="2A60D8A0" w14:textId="77777777" w:rsidR="00E34217" w:rsidRDefault="00E34217" w:rsidP="0060664E">
      <w:pPr>
        <w:pStyle w:val="ListParagraph"/>
        <w:numPr>
          <w:ilvl w:val="0"/>
          <w:numId w:val="21"/>
        </w:numPr>
        <w:tabs>
          <w:tab w:val="right" w:pos="850"/>
          <w:tab w:val="left" w:pos="1134"/>
          <w:tab w:val="left" w:pos="1559"/>
          <w:tab w:val="left" w:pos="1984"/>
          <w:tab w:val="left" w:leader="dot" w:pos="8929"/>
          <w:tab w:val="right" w:pos="9638"/>
        </w:tabs>
        <w:spacing w:after="120"/>
      </w:pPr>
      <w:r w:rsidRPr="004432FF">
        <w:t>The format of a strategic environmental assessment</w:t>
      </w:r>
      <w:r>
        <w:tab/>
      </w:r>
      <w:r w:rsidR="006D5DD5">
        <w:tab/>
        <w:t>11</w:t>
      </w:r>
    </w:p>
    <w:p w14:paraId="60632945" w14:textId="3EF52359" w:rsidR="001803C1" w:rsidRDefault="001803C1" w:rsidP="001803C1">
      <w:pPr>
        <w:tabs>
          <w:tab w:val="right" w:pos="850"/>
          <w:tab w:val="left" w:pos="1134"/>
          <w:tab w:val="left" w:pos="1559"/>
          <w:tab w:val="left" w:pos="1984"/>
          <w:tab w:val="left" w:leader="dot" w:pos="8929"/>
          <w:tab w:val="right" w:pos="9638"/>
        </w:tabs>
        <w:spacing w:after="120"/>
        <w:ind w:left="1455" w:hanging="720"/>
      </w:pPr>
      <w:r>
        <w:t>III.</w:t>
      </w:r>
      <w:r>
        <w:tab/>
      </w:r>
      <w:r w:rsidR="00E34217" w:rsidRPr="009A33E9">
        <w:t>Strategic environmental assessment and health in practice</w:t>
      </w:r>
      <w:r>
        <w:tab/>
      </w:r>
      <w:r>
        <w:tab/>
      </w:r>
      <w:r w:rsidR="006D5DD5">
        <w:t>1</w:t>
      </w:r>
      <w:r w:rsidR="00F9612B">
        <w:t>2</w:t>
      </w:r>
    </w:p>
    <w:p w14:paraId="57333047" w14:textId="25C96179" w:rsidR="001803C1" w:rsidRDefault="00E34217" w:rsidP="00E34217">
      <w:pPr>
        <w:pStyle w:val="ListParagraph"/>
        <w:numPr>
          <w:ilvl w:val="0"/>
          <w:numId w:val="22"/>
        </w:numPr>
        <w:tabs>
          <w:tab w:val="right" w:pos="850"/>
          <w:tab w:val="left" w:pos="1134"/>
          <w:tab w:val="left" w:pos="1559"/>
          <w:tab w:val="left" w:pos="1984"/>
          <w:tab w:val="left" w:leader="dot" w:pos="8929"/>
          <w:tab w:val="right" w:pos="9638"/>
        </w:tabs>
        <w:spacing w:after="120"/>
      </w:pPr>
      <w:r w:rsidRPr="009A33E9">
        <w:t>Step 1: Understanding the purpose of a plan or programme</w:t>
      </w:r>
      <w:r>
        <w:tab/>
      </w:r>
      <w:r>
        <w:tab/>
      </w:r>
      <w:r w:rsidR="006D5DD5">
        <w:t>1</w:t>
      </w:r>
      <w:r w:rsidR="00501D54">
        <w:t>2</w:t>
      </w:r>
    </w:p>
    <w:p w14:paraId="61D0096E" w14:textId="523CFECB" w:rsidR="001803C1" w:rsidRDefault="00E34217" w:rsidP="00E34217">
      <w:pPr>
        <w:pStyle w:val="ListParagraph"/>
        <w:numPr>
          <w:ilvl w:val="0"/>
          <w:numId w:val="22"/>
        </w:numPr>
        <w:tabs>
          <w:tab w:val="right" w:pos="850"/>
          <w:tab w:val="left" w:pos="1134"/>
          <w:tab w:val="left" w:pos="1559"/>
          <w:tab w:val="left" w:pos="1984"/>
          <w:tab w:val="left" w:leader="dot" w:pos="8929"/>
          <w:tab w:val="right" w:pos="9638"/>
        </w:tabs>
        <w:spacing w:after="120"/>
      </w:pPr>
      <w:r>
        <w:t xml:space="preserve">Step 2: </w:t>
      </w:r>
      <w:r w:rsidRPr="009A33E9">
        <w:t>Conducting health</w:t>
      </w:r>
      <w:r w:rsidR="0055307B">
        <w:t>-</w:t>
      </w:r>
      <w:r w:rsidRPr="009A33E9">
        <w:t>inclusive strategic environmental assessment</w:t>
      </w:r>
      <w:r>
        <w:tab/>
      </w:r>
      <w:r w:rsidR="001803C1">
        <w:tab/>
      </w:r>
      <w:r w:rsidR="006D5DD5">
        <w:t>1</w:t>
      </w:r>
      <w:r w:rsidR="00A850B1">
        <w:t>3</w:t>
      </w:r>
    </w:p>
    <w:p w14:paraId="0506A18C" w14:textId="77777777" w:rsidR="00E34217" w:rsidRDefault="00E34217">
      <w:pPr>
        <w:suppressAutoHyphens w:val="0"/>
        <w:spacing w:line="240" w:lineRule="auto"/>
      </w:pPr>
      <w:r>
        <w:br w:type="page"/>
      </w:r>
    </w:p>
    <w:p w14:paraId="6A703081" w14:textId="77777777" w:rsidR="00E34217" w:rsidRDefault="00E34217" w:rsidP="00E34217">
      <w:pPr>
        <w:pStyle w:val="HChG"/>
      </w:pPr>
      <w:r>
        <w:lastRenderedPageBreak/>
        <w:tab/>
      </w:r>
      <w:r>
        <w:tab/>
      </w:r>
      <w:r>
        <w:tab/>
        <w:t>Executive Summary</w:t>
      </w:r>
    </w:p>
    <w:p w14:paraId="6D01AAFD" w14:textId="5BD7F100" w:rsidR="00480FCF" w:rsidRPr="00480FCF" w:rsidRDefault="00480FCF" w:rsidP="00480FCF">
      <w:pPr>
        <w:pStyle w:val="SingleTxtG"/>
      </w:pPr>
      <w:r w:rsidRPr="00480FCF">
        <w:t>1.</w:t>
      </w:r>
      <w:r w:rsidRPr="00480FCF">
        <w:tab/>
        <w:t>Th</w:t>
      </w:r>
      <w:r w:rsidR="00F550AB">
        <w:t>e present</w:t>
      </w:r>
      <w:r w:rsidRPr="00480FCF">
        <w:t xml:space="preserve"> </w:t>
      </w:r>
      <w:r w:rsidR="000247B4">
        <w:t xml:space="preserve">draft </w:t>
      </w:r>
      <w:r w:rsidRPr="00480FCF">
        <w:t xml:space="preserve">guidance was commissioned by the Parties to the Protocol on Strategic Environmental Assessment to the Convention on Environmental Impact Assessment in a Transboundary Context </w:t>
      </w:r>
      <w:r w:rsidR="0054760F">
        <w:t xml:space="preserve">(Espoo Convention) </w:t>
      </w:r>
      <w:r w:rsidRPr="00480FCF">
        <w:t xml:space="preserve">under the auspices of </w:t>
      </w:r>
      <w:r w:rsidR="000247B4">
        <w:t xml:space="preserve">the </w:t>
      </w:r>
      <w:r w:rsidRPr="00480FCF">
        <w:t xml:space="preserve">United Nations Economic Commission for Europe (ECE). It was developed by consultants in consultation with ECE, the World Health Organization (WHO) and the European </w:t>
      </w:r>
      <w:r w:rsidR="000247B4">
        <w:t>I</w:t>
      </w:r>
      <w:r w:rsidRPr="00480FCF">
        <w:t>nvestment Bank, with funding from the E</w:t>
      </w:r>
      <w:r w:rsidR="000247B4">
        <w:t xml:space="preserve">uropean </w:t>
      </w:r>
      <w:r w:rsidRPr="00480FCF">
        <w:t>I</w:t>
      </w:r>
      <w:r w:rsidR="000247B4">
        <w:t xml:space="preserve">nvestment </w:t>
      </w:r>
      <w:r w:rsidRPr="00480FCF">
        <w:t>B</w:t>
      </w:r>
      <w:r w:rsidR="000247B4">
        <w:t>ank</w:t>
      </w:r>
      <w:r w:rsidRPr="00480FCF">
        <w:t xml:space="preserve">. It is </w:t>
      </w:r>
      <w:r w:rsidR="00681DAB">
        <w:t xml:space="preserve">being </w:t>
      </w:r>
      <w:r w:rsidRPr="00480FCF">
        <w:t>released as implementation guidance for the Protocol but is also aligned with the European Commission Strategic Environmental Assessment Directive</w:t>
      </w:r>
      <w:bookmarkStart w:id="1" w:name="_Ref16766824"/>
      <w:r w:rsidR="000247B4">
        <w:t>.</w:t>
      </w:r>
      <w:r w:rsidRPr="00480FCF">
        <w:rPr>
          <w:vertAlign w:val="superscript"/>
        </w:rPr>
        <w:footnoteReference w:id="2"/>
      </w:r>
      <w:bookmarkEnd w:id="1"/>
      <w:r w:rsidRPr="00480FCF">
        <w:t xml:space="preserve"> The mandate for the guidance is derived from the workplan </w:t>
      </w:r>
      <w:r w:rsidR="00475CB0">
        <w:t xml:space="preserve">for the implementation of the Convention and its Protocol for the period </w:t>
      </w:r>
      <w:r w:rsidRPr="00480FCF">
        <w:t>2017</w:t>
      </w:r>
      <w:r w:rsidR="00020ACC">
        <w:t>–</w:t>
      </w:r>
      <w:r w:rsidRPr="00480FCF">
        <w:t xml:space="preserve">2020 </w:t>
      </w:r>
      <w:r w:rsidR="00475CB0">
        <w:t>(</w:t>
      </w:r>
      <w:r w:rsidR="00475CB0" w:rsidRPr="00475CB0">
        <w:t xml:space="preserve">ECE/MP.EIA/23/Add.1–ECE/MP.EIA/SEA/7/Add.1, </w:t>
      </w:r>
      <w:r w:rsidR="00BD1886" w:rsidRPr="00BD1886">
        <w:t>decision VII/3–III/3, annex II, item IV.1</w:t>
      </w:r>
      <w:r w:rsidR="00475CB0">
        <w:t xml:space="preserve">) </w:t>
      </w:r>
      <w:r w:rsidRPr="00480FCF">
        <w:t xml:space="preserve">adopted by </w:t>
      </w:r>
      <w:r w:rsidR="00475CB0">
        <w:t xml:space="preserve">the </w:t>
      </w:r>
      <w:r w:rsidRPr="00480FCF">
        <w:t xml:space="preserve">Parties to the Protocol at their third session </w:t>
      </w:r>
      <w:r w:rsidR="00B212D8">
        <w:t>(Minsk, 13–16 June 2017)</w:t>
      </w:r>
      <w:r w:rsidRPr="00480FCF">
        <w:t>.</w:t>
      </w:r>
    </w:p>
    <w:p w14:paraId="74099BDA" w14:textId="74F1BF9B" w:rsidR="00480FCF" w:rsidRPr="00480FCF" w:rsidRDefault="00480FCF" w:rsidP="00480FCF">
      <w:pPr>
        <w:pStyle w:val="SingleTxtG"/>
      </w:pPr>
      <w:r w:rsidRPr="00480FCF">
        <w:t>2.</w:t>
      </w:r>
      <w:r w:rsidRPr="00480FCF">
        <w:tab/>
        <w:t xml:space="preserve">This </w:t>
      </w:r>
      <w:r w:rsidR="00B212D8">
        <w:t xml:space="preserve">draft </w:t>
      </w:r>
      <w:r w:rsidRPr="00480FCF">
        <w:t xml:space="preserve">guidance aims to assist Parties and future Parties to the Protocol in efficiently and consistently addressing relevant health issues in strategic environmental assessment. It builds on and further elaborates the recommendations provided in the </w:t>
      </w:r>
      <w:r w:rsidRPr="00A535CC">
        <w:rPr>
          <w:i/>
          <w:iCs/>
        </w:rPr>
        <w:t xml:space="preserve">Resource Manual to Support Application of the </w:t>
      </w:r>
      <w:r w:rsidR="00B212D8" w:rsidRPr="00A535CC">
        <w:rPr>
          <w:i/>
          <w:iCs/>
        </w:rPr>
        <w:t>UN</w:t>
      </w:r>
      <w:r w:rsidRPr="00A535CC">
        <w:rPr>
          <w:i/>
          <w:iCs/>
        </w:rPr>
        <w:t xml:space="preserve">ECE Protocol </w:t>
      </w:r>
      <w:bookmarkStart w:id="2" w:name="_Ref16765398"/>
      <w:r w:rsidR="00B212D8" w:rsidRPr="00A535CC">
        <w:rPr>
          <w:i/>
          <w:iCs/>
        </w:rPr>
        <w:t>on Strategic Environmental Assessment</w:t>
      </w:r>
      <w:r w:rsidRPr="00480FCF">
        <w:rPr>
          <w:vertAlign w:val="superscript"/>
        </w:rPr>
        <w:footnoteReference w:id="3"/>
      </w:r>
      <w:bookmarkEnd w:id="2"/>
      <w:r w:rsidRPr="00480FCF">
        <w:t xml:space="preserve"> </w:t>
      </w:r>
      <w:r w:rsidR="007C5A80">
        <w:t>(Resource Manual)</w:t>
      </w:r>
      <w:r w:rsidR="00A26216">
        <w:t>,</w:t>
      </w:r>
      <w:r w:rsidRPr="00480FCF">
        <w:t xml:space="preserve"> particular</w:t>
      </w:r>
      <w:r w:rsidR="00A26216">
        <w:t>ly</w:t>
      </w:r>
      <w:r w:rsidRPr="00480FCF">
        <w:t xml:space="preserve"> in its annexes </w:t>
      </w:r>
      <w:r w:rsidR="00B212D8">
        <w:t>A1.1</w:t>
      </w:r>
      <w:r w:rsidR="00A26216">
        <w:t xml:space="preserve"> </w:t>
      </w:r>
      <w:r w:rsidR="00B212D8">
        <w:t xml:space="preserve">and A5.1, </w:t>
      </w:r>
      <w:r w:rsidRPr="00480FCF">
        <w:t xml:space="preserve">prepared in collaboration with WHO. The </w:t>
      </w:r>
      <w:r w:rsidR="00A26216">
        <w:t xml:space="preserve">guidance </w:t>
      </w:r>
      <w:r w:rsidRPr="00480FCF">
        <w:t>focus</w:t>
      </w:r>
      <w:r w:rsidR="00A26216">
        <w:t>es</w:t>
      </w:r>
      <w:r w:rsidRPr="00480FCF">
        <w:t xml:space="preserve"> on the approaches, methods and tools to be applied.</w:t>
      </w:r>
    </w:p>
    <w:p w14:paraId="2FACE26C" w14:textId="54BA17B2" w:rsidR="00480FCF" w:rsidRPr="00480FCF" w:rsidRDefault="00480FCF" w:rsidP="00480FCF">
      <w:pPr>
        <w:pStyle w:val="SingleTxtG"/>
      </w:pPr>
      <w:r w:rsidRPr="00480FCF">
        <w:t>3.</w:t>
      </w:r>
      <w:r w:rsidRPr="00480FCF">
        <w:tab/>
        <w:t xml:space="preserve">Achieving a high level of protection of the environment, including health, is the main objective of the Protocol (art. 1) and the key reason for applying strategic environmental assessment. </w:t>
      </w:r>
      <w:r w:rsidR="00045EE1">
        <w:t>Article 2 (6) of t</w:t>
      </w:r>
      <w:r w:rsidRPr="00480FCF">
        <w:t>he Protocol and th</w:t>
      </w:r>
      <w:r w:rsidR="00A26216">
        <w:t>e present</w:t>
      </w:r>
      <w:r w:rsidRPr="00480FCF">
        <w:t xml:space="preserve"> guidance define strategic environmental assessment as: “The evaluation of the likely environmental, including health, effects, which comprises the determination of the scope of an environmental report and its preparation, the carrying-out of public participation and consultations, and the taking into account of the environmental report and the results of the public participation and consultations in a plan or programme”.</w:t>
      </w:r>
    </w:p>
    <w:p w14:paraId="16771630" w14:textId="03023549" w:rsidR="00480FCF" w:rsidRPr="00480FCF" w:rsidRDefault="00480FCF" w:rsidP="00480FCF">
      <w:pPr>
        <w:pStyle w:val="SingleTxtG"/>
      </w:pPr>
      <w:r w:rsidRPr="00480FCF">
        <w:t>4.</w:t>
      </w:r>
      <w:r w:rsidRPr="00480FCF">
        <w:tab/>
        <w:t>Health is the absence of disease and the presence of well-being.</w:t>
      </w:r>
      <w:r w:rsidRPr="00480FCF">
        <w:rPr>
          <w:vertAlign w:val="superscript"/>
        </w:rPr>
        <w:footnoteReference w:id="4"/>
      </w:r>
      <w:r w:rsidRPr="00480FCF">
        <w:rPr>
          <w:vertAlign w:val="superscript"/>
        </w:rPr>
        <w:t xml:space="preserve"> </w:t>
      </w:r>
      <w:r w:rsidRPr="00480FCF">
        <w:t xml:space="preserve">Biophysical, economic, social and behavioural determinants of health should be considered in </w:t>
      </w:r>
      <w:r w:rsidR="00AD7FA4">
        <w:t>strategic environmental assessment</w:t>
      </w:r>
      <w:r w:rsidRPr="00480FCF">
        <w:t xml:space="preserve">. However, to date, a limited set of biophysical determinants </w:t>
      </w:r>
      <w:r w:rsidR="00A26216">
        <w:t xml:space="preserve">have </w:t>
      </w:r>
      <w:r w:rsidRPr="00480FCF">
        <w:t>tend</w:t>
      </w:r>
      <w:r w:rsidR="00A26216">
        <w:t>ed</w:t>
      </w:r>
      <w:r w:rsidRPr="00480FCF">
        <w:t xml:space="preserve"> to be considered, with other determinants being addressed only occasionally and somewhat inconsistently.</w:t>
      </w:r>
    </w:p>
    <w:p w14:paraId="719AF7D1" w14:textId="1B7B3F5A" w:rsidR="00480FCF" w:rsidRPr="00480FCF" w:rsidRDefault="00480FCF" w:rsidP="00480FCF">
      <w:pPr>
        <w:pStyle w:val="SingleTxtG"/>
      </w:pPr>
      <w:r w:rsidRPr="00480FCF">
        <w:t>5.</w:t>
      </w:r>
      <w:r w:rsidRPr="00480FCF">
        <w:tab/>
        <w:t>This</w:t>
      </w:r>
      <w:r w:rsidR="00AD7FA4">
        <w:t xml:space="preserve"> draft</w:t>
      </w:r>
      <w:r w:rsidRPr="00480FCF">
        <w:t xml:space="preserve"> guidance explains what health</w:t>
      </w:r>
      <w:r w:rsidR="00AD7FA4">
        <w:t>-</w:t>
      </w:r>
      <w:r w:rsidRPr="00480FCF">
        <w:t xml:space="preserve">inclusive strategic environmental assessment good practice looks like. </w:t>
      </w:r>
      <w:r w:rsidR="00C12185">
        <w:t>The guidance focuses in particular on:</w:t>
      </w:r>
      <w:r w:rsidRPr="00480FCF">
        <w:t xml:space="preserve"> the context within which strategic environmental assessment is applied and through which key issues and reasonable alternatives can be determined</w:t>
      </w:r>
      <w:r w:rsidR="00C12185">
        <w:t>; and</w:t>
      </w:r>
      <w:r w:rsidRPr="00480FCF">
        <w:t xml:space="preserve"> suitable methods and tools that can be used</w:t>
      </w:r>
      <w:r w:rsidR="00C12185">
        <w:t xml:space="preserve"> that regard</w:t>
      </w:r>
      <w:r w:rsidRPr="00480FCF">
        <w:t>. Furthermore, details o</w:t>
      </w:r>
      <w:r w:rsidR="00AD7FA4">
        <w:t>f</w:t>
      </w:r>
      <w:r w:rsidRPr="00480FCF">
        <w:t xml:space="preserve"> specific health issues and approaches for considering them are established.   </w:t>
      </w:r>
    </w:p>
    <w:p w14:paraId="6121F899" w14:textId="2F16FCD3" w:rsidR="00480FCF" w:rsidRPr="00EC40F8" w:rsidRDefault="00480FCF" w:rsidP="00480FCF">
      <w:pPr>
        <w:pStyle w:val="SingleTxtG"/>
      </w:pPr>
      <w:r w:rsidRPr="00480FCF">
        <w:t>6.</w:t>
      </w:r>
      <w:r w:rsidRPr="00480FCF">
        <w:tab/>
        <w:t xml:space="preserve">The Protocol requirement to consult </w:t>
      </w:r>
      <w:r w:rsidR="00AD7FA4">
        <w:t>with</w:t>
      </w:r>
      <w:r w:rsidR="007C5A80">
        <w:t xml:space="preserve"> </w:t>
      </w:r>
      <w:r w:rsidRPr="00480FCF">
        <w:t>health authorities is central to the consideration of health in strategic environmental assessment</w:t>
      </w:r>
      <w:r w:rsidR="00C12185">
        <w:t xml:space="preserve"> and</w:t>
      </w:r>
      <w:r w:rsidRPr="00480FCF">
        <w:t xml:space="preserve"> arises in </w:t>
      </w:r>
      <w:r w:rsidR="00AD7FA4">
        <w:t>a</w:t>
      </w:r>
      <w:r w:rsidRPr="00480FCF">
        <w:t>rticles 5 (screening), 6 (scoping), 9 (draft reporting), 10 (transboundary matters) and 11 (decision</w:t>
      </w:r>
      <w:r w:rsidR="007C5A80">
        <w:t>-</w:t>
      </w:r>
      <w:r w:rsidRPr="00480FCF">
        <w:t>making)). Good practice requires joined</w:t>
      </w:r>
      <w:r w:rsidR="00C12185">
        <w:t>-</w:t>
      </w:r>
      <w:r w:rsidRPr="00480FCF">
        <w:t>up and appropriately resourced intersectoral working, including building strategic environmental assessment capacit</w:t>
      </w:r>
      <w:r>
        <w:t xml:space="preserve">y in public health. </w:t>
      </w:r>
    </w:p>
    <w:p w14:paraId="6F4AE02B" w14:textId="5C2E61B6" w:rsidR="00AC4B68" w:rsidRPr="00AC4B68" w:rsidRDefault="00AC4B68" w:rsidP="00AC4B68">
      <w:pPr>
        <w:pStyle w:val="SingleTxtG"/>
      </w:pPr>
      <w:r w:rsidRPr="00AC4B68">
        <w:lastRenderedPageBreak/>
        <w:t>7.</w:t>
      </w:r>
      <w:r w:rsidRPr="00AC4B68">
        <w:tab/>
        <w:t xml:space="preserve">In order to meet the Protocol’s aim of supporting the formulation of plans and programmes that enable healthy development, this guidance consists of </w:t>
      </w:r>
      <w:r w:rsidR="00C12185">
        <w:t xml:space="preserve">the following </w:t>
      </w:r>
      <w:r w:rsidRPr="00AC4B68">
        <w:t>three main parts:</w:t>
      </w:r>
    </w:p>
    <w:p w14:paraId="2686C29D" w14:textId="77777777" w:rsidR="00AC4B68" w:rsidRPr="00AC4B68" w:rsidRDefault="00AC4B68" w:rsidP="00AC4B68">
      <w:pPr>
        <w:pStyle w:val="SingleTxtG"/>
        <w:ind w:firstLine="567"/>
      </w:pPr>
      <w:r w:rsidRPr="00AC4B68">
        <w:t>(a)</w:t>
      </w:r>
      <w:r w:rsidRPr="00AC4B68">
        <w:tab/>
        <w:t xml:space="preserve">An introduction to strategic environmental assessment and the approach taken by this guidance in accordance with the Protocol; </w:t>
      </w:r>
    </w:p>
    <w:p w14:paraId="1AE4D794" w14:textId="02C8412F" w:rsidR="00AC4B68" w:rsidRPr="00AC4B68" w:rsidRDefault="00AC4B68" w:rsidP="00AC4B68">
      <w:pPr>
        <w:pStyle w:val="SingleTxtG"/>
        <w:ind w:firstLine="567"/>
      </w:pPr>
      <w:r w:rsidRPr="00AC4B68">
        <w:t>(b)</w:t>
      </w:r>
      <w:r w:rsidRPr="00AC4B68">
        <w:tab/>
        <w:t>Good practice principles for integration of health into strategic environmental assessment (following on from those introduced in the Resource Manual);</w:t>
      </w:r>
      <w:r w:rsidR="00405983">
        <w:rPr>
          <w:rStyle w:val="FootnoteReference"/>
        </w:rPr>
        <w:footnoteReference w:id="5"/>
      </w:r>
      <w:r w:rsidRPr="00AC4B68">
        <w:t xml:space="preserve"> </w:t>
      </w:r>
    </w:p>
    <w:p w14:paraId="582F1ABC" w14:textId="233AB8B1" w:rsidR="00AC4B68" w:rsidRPr="00AC4B68" w:rsidRDefault="00AC4B68" w:rsidP="00AC4B68">
      <w:pPr>
        <w:pStyle w:val="SingleTxtG"/>
        <w:ind w:firstLine="567"/>
      </w:pPr>
      <w:r w:rsidRPr="00AC4B68">
        <w:t>(c)</w:t>
      </w:r>
      <w:r w:rsidRPr="00AC4B68">
        <w:tab/>
        <w:t>The integration of health in</w:t>
      </w:r>
      <w:r w:rsidR="007C5A80">
        <w:t>to</w:t>
      </w:r>
      <w:r w:rsidRPr="00AC4B68">
        <w:t xml:space="preserve"> strategic environmental assessment in practice.  </w:t>
      </w:r>
    </w:p>
    <w:p w14:paraId="7D26B90D" w14:textId="4C7277C7" w:rsidR="00AC4B68" w:rsidRDefault="00413FFD" w:rsidP="00AC4B68">
      <w:pPr>
        <w:pStyle w:val="SingleTxtG"/>
      </w:pPr>
      <w:r>
        <w:t>8</w:t>
      </w:r>
      <w:r w:rsidR="00AC4B68" w:rsidRPr="00AC4B68">
        <w:t>.</w:t>
      </w:r>
      <w:r w:rsidR="00AC4B68" w:rsidRPr="00AC4B68">
        <w:tab/>
        <w:t xml:space="preserve">Box 1 </w:t>
      </w:r>
      <w:r w:rsidR="00D33C1F">
        <w:t xml:space="preserve">below </w:t>
      </w:r>
      <w:r w:rsidR="00AC4B68" w:rsidRPr="00AC4B68">
        <w:t>provides headline recommendations for addressing health in strategic environmental assessment.</w:t>
      </w:r>
    </w:p>
    <w:p w14:paraId="51961B56" w14:textId="765E4A87" w:rsidR="009C3CBD" w:rsidRPr="00AC4B68" w:rsidRDefault="009C3CBD" w:rsidP="008F1C5E">
      <w:pPr>
        <w:pStyle w:val="SingleTxtG"/>
        <w:jc w:val="left"/>
      </w:pPr>
      <w:r>
        <w:t>Box.</w:t>
      </w:r>
      <w:r w:rsidR="008F1C5E">
        <w:t xml:space="preserve"> </w:t>
      </w:r>
      <w:r>
        <w:t>1</w:t>
      </w:r>
      <w:r>
        <w:br/>
      </w:r>
      <w:r w:rsidRPr="009C3CBD">
        <w:rPr>
          <w:b/>
          <w:bCs/>
        </w:rPr>
        <w:t>Headline recommendations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97CCE" w14:paraId="4CD44132" w14:textId="77777777" w:rsidTr="00A0514B">
        <w:trPr>
          <w:trHeight w:hRule="exact" w:val="240"/>
          <w:jc w:val="center"/>
        </w:trPr>
        <w:tc>
          <w:tcPr>
            <w:tcW w:w="7654" w:type="dxa"/>
            <w:tcBorders>
              <w:top w:val="single" w:sz="4" w:space="0" w:color="auto"/>
            </w:tcBorders>
            <w:shd w:val="clear" w:color="auto" w:fill="auto"/>
          </w:tcPr>
          <w:p w14:paraId="06A39693" w14:textId="77777777" w:rsidR="00397CCE" w:rsidRDefault="00397CCE" w:rsidP="00A0514B">
            <w:pPr>
              <w:spacing w:line="240" w:lineRule="auto"/>
            </w:pPr>
          </w:p>
        </w:tc>
      </w:tr>
      <w:tr w:rsidR="00397CCE" w14:paraId="6EEE2D0E" w14:textId="77777777" w:rsidTr="00A0514B">
        <w:trPr>
          <w:jc w:val="center"/>
        </w:trPr>
        <w:tc>
          <w:tcPr>
            <w:tcW w:w="7654" w:type="dxa"/>
            <w:tcBorders>
              <w:bottom w:val="nil"/>
            </w:tcBorders>
            <w:shd w:val="clear" w:color="auto" w:fill="auto"/>
            <w:tcMar>
              <w:left w:w="142" w:type="dxa"/>
              <w:right w:w="142" w:type="dxa"/>
            </w:tcMar>
          </w:tcPr>
          <w:p w14:paraId="05D5F30F" w14:textId="75120274" w:rsidR="00397CCE" w:rsidRDefault="00397CCE" w:rsidP="00397CCE">
            <w:pPr>
              <w:pStyle w:val="ListParagraph"/>
              <w:numPr>
                <w:ilvl w:val="0"/>
                <w:numId w:val="23"/>
              </w:numPr>
              <w:spacing w:after="120"/>
              <w:ind w:left="284" w:hanging="284"/>
              <w:jc w:val="both"/>
            </w:pPr>
            <w:r>
              <w:t xml:space="preserve">Use </w:t>
            </w:r>
            <w:r w:rsidRPr="005C65A0">
              <w:t>the WHO definition of health</w:t>
            </w:r>
            <w:r>
              <w:t xml:space="preserve"> (see para</w:t>
            </w:r>
            <w:r w:rsidR="007C5A80">
              <w:t>.</w:t>
            </w:r>
            <w:r>
              <w:t xml:space="preserve"> </w:t>
            </w:r>
            <w:r w:rsidR="000264E9">
              <w:t>19</w:t>
            </w:r>
            <w:r w:rsidR="007C5A80">
              <w:t xml:space="preserve"> below</w:t>
            </w:r>
            <w:r>
              <w:t>).</w:t>
            </w:r>
          </w:p>
          <w:p w14:paraId="7BDA3C65" w14:textId="1550901A" w:rsidR="00397CCE" w:rsidRDefault="00397CCE" w:rsidP="00397CCE">
            <w:pPr>
              <w:pStyle w:val="ListParagraph"/>
              <w:numPr>
                <w:ilvl w:val="0"/>
                <w:numId w:val="23"/>
              </w:numPr>
              <w:spacing w:after="120"/>
              <w:ind w:left="284" w:hanging="284"/>
              <w:jc w:val="both"/>
            </w:pPr>
            <w:r>
              <w:t>Consider whether</w:t>
            </w:r>
            <w:r w:rsidRPr="00EC40F8">
              <w:t xml:space="preserve"> the </w:t>
            </w:r>
            <w:r w:rsidR="007C5A80">
              <w:t>“</w:t>
            </w:r>
            <w:r w:rsidRPr="00EC40F8">
              <w:t>vision</w:t>
            </w:r>
            <w:r w:rsidR="007C5A80">
              <w:t>”</w:t>
            </w:r>
            <w:r w:rsidRPr="00EC40F8">
              <w:t xml:space="preserve"> behind the plan/programme (or policy/legislation</w:t>
            </w:r>
            <w:r>
              <w:t>)</w:t>
            </w:r>
            <w:r w:rsidRPr="00EC40F8">
              <w:t xml:space="preserve"> </w:t>
            </w:r>
            <w:r>
              <w:t>has good health alignment, fostering</w:t>
            </w:r>
            <w:r w:rsidRPr="00EC40F8">
              <w:t xml:space="preserve"> conditions for people to thrive </w:t>
            </w:r>
            <w:r>
              <w:t>(see para</w:t>
            </w:r>
            <w:r w:rsidR="007C5A80">
              <w:t>.</w:t>
            </w:r>
            <w:r>
              <w:t xml:space="preserve"> 4</w:t>
            </w:r>
            <w:r w:rsidR="000264E9">
              <w:t>4</w:t>
            </w:r>
            <w:r w:rsidR="007C5A80">
              <w:t xml:space="preserve"> below</w:t>
            </w:r>
            <w:r>
              <w:t>).</w:t>
            </w:r>
          </w:p>
          <w:p w14:paraId="7E4BE680" w14:textId="5209402B" w:rsidR="00397CCE" w:rsidRDefault="00397CCE" w:rsidP="00397CCE">
            <w:pPr>
              <w:pStyle w:val="ListParagraph"/>
              <w:numPr>
                <w:ilvl w:val="0"/>
                <w:numId w:val="23"/>
              </w:numPr>
              <w:spacing w:after="120"/>
              <w:ind w:left="284" w:hanging="284"/>
              <w:jc w:val="both"/>
            </w:pPr>
            <w:r w:rsidRPr="00EC40F8">
              <w:t xml:space="preserve">Screening and scoping health </w:t>
            </w:r>
            <w:r>
              <w:t>to consider</w:t>
            </w:r>
            <w:r w:rsidRPr="00EC40F8">
              <w:t xml:space="preserve"> lifestyle, community, economic and service determinants, a</w:t>
            </w:r>
            <w:r w:rsidR="00E32DD8">
              <w:t>nd</w:t>
            </w:r>
            <w:r w:rsidRPr="00EC40F8">
              <w:t xml:space="preserve"> environmental </w:t>
            </w:r>
            <w:r>
              <w:t>determinants of health (</w:t>
            </w:r>
            <w:r w:rsidRPr="008141AE">
              <w:t>see</w:t>
            </w:r>
            <w:r>
              <w:t xml:space="preserve"> </w:t>
            </w:r>
            <w:r w:rsidR="007C5A80">
              <w:rPr>
                <w:rFonts w:eastAsia="Calibri"/>
                <w:lang w:eastAsia="en-US"/>
              </w:rPr>
              <w:t>t</w:t>
            </w:r>
            <w:r w:rsidRPr="00A2764D">
              <w:rPr>
                <w:rFonts w:eastAsia="Calibri"/>
                <w:lang w:eastAsia="en-US"/>
              </w:rPr>
              <w:t>able 2</w:t>
            </w:r>
            <w:r w:rsidR="007C5A80">
              <w:t xml:space="preserve"> below</w:t>
            </w:r>
            <w:r>
              <w:t>)</w:t>
            </w:r>
            <w:r w:rsidR="00E32DD8">
              <w:t>:</w:t>
            </w:r>
          </w:p>
          <w:p w14:paraId="40D6A76C" w14:textId="610129ED" w:rsidR="00397CCE" w:rsidRDefault="00397CCE" w:rsidP="00397CCE">
            <w:pPr>
              <w:pStyle w:val="ListParagraph"/>
              <w:spacing w:after="120"/>
              <w:ind w:left="567"/>
            </w:pPr>
            <w:r>
              <w:t xml:space="preserve">- </w:t>
            </w:r>
            <w:r w:rsidRPr="00EC40F8">
              <w:t>Be explicit about links to health</w:t>
            </w:r>
            <w:r w:rsidR="00E32DD8">
              <w:t>;</w:t>
            </w:r>
            <w:r w:rsidRPr="00EC40F8">
              <w:t xml:space="preserve"> </w:t>
            </w:r>
            <w:r>
              <w:br/>
              <w:t xml:space="preserve">- </w:t>
            </w:r>
            <w:r w:rsidRPr="00EC40F8">
              <w:t>Be proportionate in identifying the most relevant health determinants</w:t>
            </w:r>
            <w:r w:rsidR="00E32DD8">
              <w:t>;</w:t>
            </w:r>
            <w:r w:rsidRPr="00EC40F8">
              <w:t xml:space="preserve"> </w:t>
            </w:r>
            <w:r>
              <w:br/>
              <w:t xml:space="preserve">- Consult </w:t>
            </w:r>
            <w:r w:rsidRPr="00EC40F8">
              <w:t xml:space="preserve">local/regional/national public health </w:t>
            </w:r>
            <w:r>
              <w:t>authorities</w:t>
            </w:r>
            <w:r w:rsidRPr="00EC40F8">
              <w:t xml:space="preserve"> to understand health priorities</w:t>
            </w:r>
            <w:r w:rsidR="00AF3D8E">
              <w:t>.</w:t>
            </w:r>
          </w:p>
          <w:p w14:paraId="05E1BBDF" w14:textId="1428E043" w:rsidR="00AF3D8E" w:rsidRDefault="00AF3D8E" w:rsidP="00AF3D8E">
            <w:pPr>
              <w:pStyle w:val="ListParagraph"/>
              <w:numPr>
                <w:ilvl w:val="0"/>
                <w:numId w:val="23"/>
              </w:numPr>
              <w:spacing w:after="120"/>
              <w:ind w:left="284" w:hanging="284"/>
              <w:jc w:val="both"/>
            </w:pPr>
            <w:r>
              <w:t xml:space="preserve">Use guide questions based on the health objective (see </w:t>
            </w:r>
            <w:r w:rsidR="007C5A80">
              <w:t>b</w:t>
            </w:r>
            <w:r>
              <w:t>ox 4</w:t>
            </w:r>
            <w:r w:rsidR="007C5A80">
              <w:t xml:space="preserve"> below</w:t>
            </w:r>
            <w:r>
              <w:t xml:space="preserve">) to critically appraise, develop and refine the alternatives (see </w:t>
            </w:r>
            <w:r w:rsidR="007C5A80">
              <w:t>b</w:t>
            </w:r>
            <w:r>
              <w:t>ox 6</w:t>
            </w:r>
            <w:r w:rsidR="007C5A80">
              <w:t xml:space="preserve"> below</w:t>
            </w:r>
            <w:r>
              <w:t>).</w:t>
            </w:r>
          </w:p>
          <w:p w14:paraId="3FF10120" w14:textId="780AFD85" w:rsidR="00D23D89" w:rsidRDefault="00D23D89" w:rsidP="00AF3D8E">
            <w:pPr>
              <w:pStyle w:val="ListParagraph"/>
              <w:numPr>
                <w:ilvl w:val="0"/>
                <w:numId w:val="23"/>
              </w:numPr>
              <w:spacing w:after="120"/>
              <w:ind w:left="284" w:hanging="284"/>
              <w:jc w:val="both"/>
            </w:pPr>
            <w:r>
              <w:t>Be clear what the health trade-offs are in relation to the plan/programme and its alternatives (see para</w:t>
            </w:r>
            <w:r w:rsidR="001140BE">
              <w:t>.</w:t>
            </w:r>
            <w:r>
              <w:t xml:space="preserve"> 9</w:t>
            </w:r>
            <w:r w:rsidR="000D28B8">
              <w:t>3</w:t>
            </w:r>
            <w:r w:rsidR="001140BE">
              <w:t xml:space="preserve"> below</w:t>
            </w:r>
            <w:r>
              <w:t>).</w:t>
            </w:r>
          </w:p>
          <w:p w14:paraId="1BC4FB6C" w14:textId="73A0D2D8" w:rsidR="00D23D89" w:rsidRDefault="00D23D89" w:rsidP="00AF3D8E">
            <w:pPr>
              <w:pStyle w:val="ListParagraph"/>
              <w:numPr>
                <w:ilvl w:val="0"/>
                <w:numId w:val="23"/>
              </w:numPr>
              <w:spacing w:after="120"/>
              <w:ind w:left="284" w:hanging="284"/>
              <w:jc w:val="both"/>
            </w:pPr>
            <w:r>
              <w:t>Build public health capacity and intersectoral working in strategic environmental assessment (see para</w:t>
            </w:r>
            <w:r w:rsidR="001140BE">
              <w:t>.</w:t>
            </w:r>
            <w:r>
              <w:t xml:space="preserve"> </w:t>
            </w:r>
            <w:r w:rsidR="000D28B8">
              <w:t>29</w:t>
            </w:r>
            <w:r w:rsidR="001140BE">
              <w:t xml:space="preserve"> below</w:t>
            </w:r>
            <w:r>
              <w:t>).</w:t>
            </w:r>
          </w:p>
        </w:tc>
      </w:tr>
      <w:tr w:rsidR="00397CCE" w14:paraId="3102CCF1" w14:textId="77777777" w:rsidTr="00A0514B">
        <w:trPr>
          <w:trHeight w:hRule="exact" w:val="20"/>
          <w:jc w:val="center"/>
        </w:trPr>
        <w:tc>
          <w:tcPr>
            <w:tcW w:w="7654" w:type="dxa"/>
            <w:tcBorders>
              <w:bottom w:val="single" w:sz="4" w:space="0" w:color="auto"/>
            </w:tcBorders>
            <w:shd w:val="clear" w:color="auto" w:fill="auto"/>
          </w:tcPr>
          <w:p w14:paraId="42437596" w14:textId="77777777" w:rsidR="00397CCE" w:rsidRDefault="00397CCE" w:rsidP="00E77519">
            <w:pPr>
              <w:spacing w:line="240" w:lineRule="auto"/>
              <w:ind w:left="1134"/>
            </w:pPr>
          </w:p>
        </w:tc>
      </w:tr>
    </w:tbl>
    <w:p w14:paraId="537CFE09" w14:textId="2E2137E3" w:rsidR="001803C1" w:rsidRPr="001C2D74" w:rsidRDefault="00413FFD" w:rsidP="00E77519">
      <w:pPr>
        <w:pStyle w:val="SingleTxtG"/>
        <w:spacing w:before="240"/>
      </w:pPr>
      <w:r>
        <w:t>9</w:t>
      </w:r>
      <w:r w:rsidR="001C2D74">
        <w:t>.</w:t>
      </w:r>
      <w:r w:rsidR="001C2D74">
        <w:tab/>
      </w:r>
      <w:r w:rsidR="001C2D74" w:rsidRPr="001C2D74">
        <w:t>This guidance makes recommendations for good practice but does not create new obligations in relation to the Protocol.</w:t>
      </w:r>
    </w:p>
    <w:p w14:paraId="7D2A79DB" w14:textId="77777777" w:rsidR="001803C1" w:rsidRDefault="001803C1" w:rsidP="00A0514B">
      <w:pPr>
        <w:tabs>
          <w:tab w:val="right" w:pos="850"/>
          <w:tab w:val="left" w:pos="1134"/>
          <w:tab w:val="left" w:pos="1559"/>
          <w:tab w:val="left" w:pos="1984"/>
          <w:tab w:val="left" w:leader="dot" w:pos="8929"/>
          <w:tab w:val="right" w:pos="9638"/>
        </w:tabs>
        <w:spacing w:after="120"/>
      </w:pPr>
    </w:p>
    <w:p w14:paraId="6191B78C" w14:textId="77777777" w:rsidR="00AD153E" w:rsidRDefault="00AD153E" w:rsidP="00A0514B">
      <w:pPr>
        <w:tabs>
          <w:tab w:val="right" w:pos="850"/>
          <w:tab w:val="left" w:pos="1134"/>
          <w:tab w:val="left" w:pos="1559"/>
          <w:tab w:val="left" w:pos="1984"/>
          <w:tab w:val="left" w:leader="dot" w:pos="8929"/>
          <w:tab w:val="right" w:pos="9638"/>
        </w:tabs>
        <w:spacing w:after="120"/>
      </w:pPr>
    </w:p>
    <w:p w14:paraId="2E3B72C4" w14:textId="77777777" w:rsidR="00AD153E" w:rsidRDefault="00AD153E" w:rsidP="00A0514B">
      <w:pPr>
        <w:tabs>
          <w:tab w:val="right" w:pos="850"/>
          <w:tab w:val="left" w:pos="1134"/>
          <w:tab w:val="left" w:pos="1559"/>
          <w:tab w:val="left" w:pos="1984"/>
          <w:tab w:val="left" w:leader="dot" w:pos="8929"/>
          <w:tab w:val="right" w:pos="9638"/>
        </w:tabs>
        <w:spacing w:after="120"/>
      </w:pPr>
    </w:p>
    <w:p w14:paraId="39AE9B2D" w14:textId="77777777" w:rsidR="00AD153E" w:rsidRDefault="00AD153E" w:rsidP="00A0514B">
      <w:pPr>
        <w:tabs>
          <w:tab w:val="right" w:pos="850"/>
          <w:tab w:val="left" w:pos="1134"/>
          <w:tab w:val="left" w:pos="1559"/>
          <w:tab w:val="left" w:pos="1984"/>
          <w:tab w:val="left" w:leader="dot" w:pos="8929"/>
          <w:tab w:val="right" w:pos="9638"/>
        </w:tabs>
        <w:spacing w:after="120"/>
      </w:pPr>
    </w:p>
    <w:p w14:paraId="7A83DC3E" w14:textId="77777777" w:rsidR="00AD153E" w:rsidRDefault="00AD153E" w:rsidP="00A0514B">
      <w:pPr>
        <w:tabs>
          <w:tab w:val="right" w:pos="850"/>
          <w:tab w:val="left" w:pos="1134"/>
          <w:tab w:val="left" w:pos="1559"/>
          <w:tab w:val="left" w:pos="1984"/>
          <w:tab w:val="left" w:leader="dot" w:pos="8929"/>
          <w:tab w:val="right" w:pos="9638"/>
        </w:tabs>
        <w:spacing w:after="120"/>
      </w:pPr>
    </w:p>
    <w:p w14:paraId="2FA540FE" w14:textId="77777777" w:rsidR="00AD153E" w:rsidRDefault="00AD153E" w:rsidP="00A0514B">
      <w:pPr>
        <w:tabs>
          <w:tab w:val="right" w:pos="850"/>
          <w:tab w:val="left" w:pos="1134"/>
          <w:tab w:val="left" w:pos="1559"/>
          <w:tab w:val="left" w:pos="1984"/>
          <w:tab w:val="left" w:leader="dot" w:pos="8929"/>
          <w:tab w:val="right" w:pos="9638"/>
        </w:tabs>
        <w:spacing w:after="120"/>
      </w:pPr>
    </w:p>
    <w:p w14:paraId="71BB1D86" w14:textId="77777777" w:rsidR="00AD153E" w:rsidRDefault="00AD153E" w:rsidP="00A0514B">
      <w:pPr>
        <w:tabs>
          <w:tab w:val="right" w:pos="850"/>
          <w:tab w:val="left" w:pos="1134"/>
          <w:tab w:val="left" w:pos="1559"/>
          <w:tab w:val="left" w:pos="1984"/>
          <w:tab w:val="left" w:leader="dot" w:pos="8929"/>
          <w:tab w:val="right" w:pos="9638"/>
        </w:tabs>
        <w:spacing w:after="120"/>
      </w:pPr>
    </w:p>
    <w:p w14:paraId="326881EF" w14:textId="77777777" w:rsidR="00AD153E" w:rsidRDefault="00AD153E" w:rsidP="00A0514B">
      <w:pPr>
        <w:tabs>
          <w:tab w:val="right" w:pos="850"/>
          <w:tab w:val="left" w:pos="1134"/>
          <w:tab w:val="left" w:pos="1559"/>
          <w:tab w:val="left" w:pos="1984"/>
          <w:tab w:val="left" w:leader="dot" w:pos="8929"/>
          <w:tab w:val="right" w:pos="9638"/>
        </w:tabs>
        <w:spacing w:after="120"/>
      </w:pPr>
    </w:p>
    <w:p w14:paraId="6E4D8929" w14:textId="77777777" w:rsidR="00AD153E" w:rsidRDefault="00AD153E" w:rsidP="00A0514B">
      <w:pPr>
        <w:tabs>
          <w:tab w:val="right" w:pos="850"/>
          <w:tab w:val="left" w:pos="1134"/>
          <w:tab w:val="left" w:pos="1559"/>
          <w:tab w:val="left" w:pos="1984"/>
          <w:tab w:val="left" w:leader="dot" w:pos="8929"/>
          <w:tab w:val="right" w:pos="9638"/>
        </w:tabs>
        <w:spacing w:after="120"/>
      </w:pPr>
    </w:p>
    <w:p w14:paraId="2F93D3D8" w14:textId="77777777" w:rsidR="00AD153E" w:rsidRDefault="00AD153E" w:rsidP="00A0514B">
      <w:pPr>
        <w:tabs>
          <w:tab w:val="right" w:pos="850"/>
          <w:tab w:val="left" w:pos="1134"/>
          <w:tab w:val="left" w:pos="1559"/>
          <w:tab w:val="left" w:pos="1984"/>
          <w:tab w:val="left" w:leader="dot" w:pos="8929"/>
          <w:tab w:val="right" w:pos="9638"/>
        </w:tabs>
        <w:spacing w:after="120"/>
      </w:pPr>
    </w:p>
    <w:p w14:paraId="5532D950" w14:textId="77777777" w:rsidR="00AD153E" w:rsidRDefault="00AD153E" w:rsidP="00A0514B">
      <w:pPr>
        <w:tabs>
          <w:tab w:val="right" w:pos="850"/>
          <w:tab w:val="left" w:pos="1134"/>
          <w:tab w:val="left" w:pos="1559"/>
          <w:tab w:val="left" w:pos="1984"/>
          <w:tab w:val="left" w:leader="dot" w:pos="8929"/>
          <w:tab w:val="right" w:pos="9638"/>
        </w:tabs>
        <w:spacing w:after="120"/>
      </w:pPr>
    </w:p>
    <w:p w14:paraId="1AC7B5B8" w14:textId="77777777" w:rsidR="00AD153E" w:rsidRDefault="00AD153E" w:rsidP="00A0514B">
      <w:pPr>
        <w:tabs>
          <w:tab w:val="right" w:pos="850"/>
          <w:tab w:val="left" w:pos="1134"/>
          <w:tab w:val="left" w:pos="1559"/>
          <w:tab w:val="left" w:pos="1984"/>
          <w:tab w:val="left" w:leader="dot" w:pos="8929"/>
          <w:tab w:val="right" w:pos="9638"/>
        </w:tabs>
        <w:spacing w:after="120"/>
      </w:pPr>
    </w:p>
    <w:p w14:paraId="7A931DA5" w14:textId="77777777" w:rsidR="00AD153E" w:rsidRDefault="00AD153E" w:rsidP="00A0514B">
      <w:pPr>
        <w:tabs>
          <w:tab w:val="right" w:pos="850"/>
          <w:tab w:val="left" w:pos="1134"/>
          <w:tab w:val="left" w:pos="1559"/>
          <w:tab w:val="left" w:pos="1984"/>
          <w:tab w:val="left" w:leader="dot" w:pos="8929"/>
          <w:tab w:val="right" w:pos="9638"/>
        </w:tabs>
        <w:spacing w:after="120"/>
      </w:pPr>
    </w:p>
    <w:p w14:paraId="78E53FEB" w14:textId="77777777" w:rsidR="00AD153E" w:rsidRDefault="00AD153E" w:rsidP="00A0514B">
      <w:pPr>
        <w:tabs>
          <w:tab w:val="right" w:pos="850"/>
          <w:tab w:val="left" w:pos="1134"/>
          <w:tab w:val="left" w:pos="1559"/>
          <w:tab w:val="left" w:pos="1984"/>
          <w:tab w:val="left" w:leader="dot" w:pos="8929"/>
          <w:tab w:val="right" w:pos="9638"/>
        </w:tabs>
        <w:spacing w:after="120"/>
      </w:pPr>
    </w:p>
    <w:p w14:paraId="502FCCB3" w14:textId="77777777" w:rsidR="00AD153E" w:rsidRPr="00121ACA" w:rsidRDefault="00AD153E" w:rsidP="00AD153E">
      <w:pPr>
        <w:pStyle w:val="HChG"/>
      </w:pPr>
      <w:r>
        <w:lastRenderedPageBreak/>
        <w:tab/>
        <w:t>I.</w:t>
      </w:r>
      <w:r>
        <w:tab/>
      </w:r>
      <w:r w:rsidRPr="00121ACA">
        <w:t>Introduction</w:t>
      </w:r>
    </w:p>
    <w:p w14:paraId="54CCDA79" w14:textId="77777777" w:rsidR="00AD153E" w:rsidRPr="00AD153E" w:rsidRDefault="00AD153E" w:rsidP="00AD153E">
      <w:pPr>
        <w:pStyle w:val="H1G"/>
      </w:pPr>
      <w:r w:rsidRPr="00121ACA">
        <w:tab/>
      </w:r>
      <w:r w:rsidRPr="00AD153E">
        <w:t>A.</w:t>
      </w:r>
      <w:r w:rsidRPr="00AD153E">
        <w:tab/>
        <w:t>Strategic environmental assessment</w:t>
      </w:r>
    </w:p>
    <w:p w14:paraId="37E2A9F1" w14:textId="127FF8E8" w:rsidR="001140BE" w:rsidRDefault="00AD153E" w:rsidP="00AD153E">
      <w:pPr>
        <w:pStyle w:val="SingleTxtG"/>
      </w:pPr>
      <w:r w:rsidRPr="00121ACA">
        <w:t>1</w:t>
      </w:r>
      <w:r w:rsidR="00413FFD">
        <w:t>0</w:t>
      </w:r>
      <w:r w:rsidRPr="00121ACA">
        <w:t>.</w:t>
      </w:r>
      <w:r w:rsidRPr="00121ACA">
        <w:tab/>
        <w:t xml:space="preserve">According to </w:t>
      </w:r>
      <w:r w:rsidR="00296910">
        <w:t xml:space="preserve">its </w:t>
      </w:r>
      <w:r w:rsidRPr="00121ACA">
        <w:t>art</w:t>
      </w:r>
      <w:r w:rsidR="001140BE">
        <w:t>icle</w:t>
      </w:r>
      <w:r w:rsidRPr="00121ACA">
        <w:t xml:space="preserve"> 1</w:t>
      </w:r>
      <w:r w:rsidR="001140BE">
        <w:t>,</w:t>
      </w:r>
      <w:r w:rsidRPr="00121ACA">
        <w:t xml:space="preserve"> the objective of </w:t>
      </w:r>
      <w:r w:rsidR="009870E7">
        <w:t>the Protocol</w:t>
      </w:r>
      <w:r w:rsidR="001140BE">
        <w:t>:</w:t>
      </w:r>
    </w:p>
    <w:p w14:paraId="51E63FEE" w14:textId="4CA2662E" w:rsidR="00AD153E" w:rsidRPr="00121ACA" w:rsidRDefault="001140BE" w:rsidP="00C54395">
      <w:pPr>
        <w:pStyle w:val="SingleTxtG"/>
        <w:ind w:left="1701"/>
      </w:pPr>
      <w:r>
        <w:t>[I]</w:t>
      </w:r>
      <w:r w:rsidR="00AD153E" w:rsidRPr="00121ACA">
        <w:t>s to provide for a high level of protection of the environment, including health</w:t>
      </w:r>
      <w:r w:rsidR="004A57AF">
        <w:t>, by</w:t>
      </w:r>
      <w:r w:rsidR="00AD153E" w:rsidRPr="00121ACA">
        <w:t>:</w:t>
      </w:r>
    </w:p>
    <w:p w14:paraId="092F5D7D" w14:textId="77777777" w:rsidR="00AD153E" w:rsidRPr="00121ACA" w:rsidRDefault="00AD153E" w:rsidP="00C54395">
      <w:pPr>
        <w:pStyle w:val="SingleTxtG"/>
        <w:ind w:left="1701"/>
      </w:pPr>
      <w:r w:rsidRPr="00121ACA">
        <w:t>(a)</w:t>
      </w:r>
      <w:r w:rsidRPr="00121ACA">
        <w:tab/>
        <w:t xml:space="preserve">Ensuring that environmental, including health, considerations are thoroughly taken into account in the development of plans and programmes; </w:t>
      </w:r>
    </w:p>
    <w:p w14:paraId="79223795" w14:textId="0D36D58B" w:rsidR="00AD153E" w:rsidRDefault="00AD153E" w:rsidP="00C54395">
      <w:pPr>
        <w:pStyle w:val="SingleTxtG"/>
        <w:ind w:left="1701"/>
      </w:pPr>
      <w:r w:rsidRPr="00121ACA">
        <w:t>(b)</w:t>
      </w:r>
      <w:r w:rsidRPr="00121ACA">
        <w:tab/>
        <w:t>Contributing to the consideration of environmental, including health, concerns in the preparation of policies and legislation;</w:t>
      </w:r>
    </w:p>
    <w:p w14:paraId="30BB51A8" w14:textId="21F07471" w:rsidR="00AD153E" w:rsidRPr="00121ACA" w:rsidRDefault="00AD153E" w:rsidP="00C54395">
      <w:pPr>
        <w:pStyle w:val="SingleTxtG"/>
        <w:ind w:left="1701"/>
      </w:pPr>
      <w:r w:rsidRPr="00121ACA">
        <w:t>(</w:t>
      </w:r>
      <w:r w:rsidR="00BB5908">
        <w:t>c</w:t>
      </w:r>
      <w:r w:rsidRPr="00121ACA">
        <w:t>)</w:t>
      </w:r>
      <w:r w:rsidRPr="00121ACA">
        <w:tab/>
        <w:t>Integrating by these means environmental, including health, concerns into measures and instruments designed to further sustainable development</w:t>
      </w:r>
      <w:r w:rsidR="001140BE">
        <w:t>.</w:t>
      </w:r>
      <w:r w:rsidRPr="00121ACA">
        <w:t xml:space="preserve"> </w:t>
      </w:r>
    </w:p>
    <w:p w14:paraId="1D385DB2" w14:textId="1E7D3544" w:rsidR="00AD153E" w:rsidRPr="00121ACA" w:rsidRDefault="00AD153E" w:rsidP="00AD153E">
      <w:pPr>
        <w:pStyle w:val="SingleTxtG"/>
      </w:pPr>
      <w:r w:rsidRPr="00121ACA">
        <w:t>1</w:t>
      </w:r>
      <w:r w:rsidR="00413FFD">
        <w:t>1</w:t>
      </w:r>
      <w:r w:rsidRPr="00121ACA">
        <w:t>.</w:t>
      </w:r>
      <w:r w:rsidRPr="00121ACA">
        <w:tab/>
        <w:t xml:space="preserve">As of August 2019, the Protocol has </w:t>
      </w:r>
      <w:r w:rsidR="009870E7">
        <w:t>33</w:t>
      </w:r>
      <w:r w:rsidRPr="00121ACA">
        <w:t xml:space="preserve"> Parties, including the European Union.</w:t>
      </w:r>
      <w:r w:rsidRPr="00AD153E">
        <w:rPr>
          <w:vertAlign w:val="superscript"/>
        </w:rPr>
        <w:footnoteReference w:id="6"/>
      </w:r>
      <w:r w:rsidRPr="00AD153E">
        <w:rPr>
          <w:vertAlign w:val="superscript"/>
        </w:rPr>
        <w:t xml:space="preserve"> </w:t>
      </w:r>
      <w:r w:rsidRPr="00121ACA">
        <w:t>Strategic environmental assessment is currently a formal requirement in over 50 countries</w:t>
      </w:r>
      <w:r w:rsidR="002B51EA">
        <w:t xml:space="preserve"> and is</w:t>
      </w:r>
      <w:r w:rsidRPr="00121ACA">
        <w:t xml:space="preserve"> used by development banks and other organi</w:t>
      </w:r>
      <w:r w:rsidR="002B51EA">
        <w:t>z</w:t>
      </w:r>
      <w:r w:rsidRPr="00121ACA">
        <w:t>ations.</w:t>
      </w:r>
    </w:p>
    <w:p w14:paraId="166F29F8" w14:textId="2BC7EC26" w:rsidR="00AD153E" w:rsidRPr="00121ACA" w:rsidRDefault="00AD153E" w:rsidP="00AD153E">
      <w:pPr>
        <w:pStyle w:val="SingleTxtG"/>
      </w:pPr>
      <w:r w:rsidRPr="00121ACA">
        <w:t>1</w:t>
      </w:r>
      <w:r w:rsidR="00413FFD">
        <w:t>2</w:t>
      </w:r>
      <w:r w:rsidRPr="00121ACA">
        <w:t>.</w:t>
      </w:r>
      <w:r w:rsidRPr="00121ACA">
        <w:tab/>
        <w:t xml:space="preserve">The Protocol is aligned with </w:t>
      </w:r>
      <w:r w:rsidR="00ED7131">
        <w:t xml:space="preserve">but differs from </w:t>
      </w:r>
      <w:r w:rsidRPr="00121ACA">
        <w:t>the European Commission Strategic Environmental Assessment Directive</w:t>
      </w:r>
      <w:r w:rsidR="000944A9">
        <w:t>.</w:t>
      </w:r>
      <w:r w:rsidR="00565A44">
        <w:rPr>
          <w:rStyle w:val="FootnoteReference"/>
        </w:rPr>
        <w:footnoteReference w:id="7"/>
      </w:r>
      <w:r w:rsidRPr="00121ACA">
        <w:t xml:space="preserve"> It provides a non-mandatory framework for the application of strategic environmental assessment to policies and legislation (art</w:t>
      </w:r>
      <w:r w:rsidR="00ED7131">
        <w:t>.</w:t>
      </w:r>
      <w:r w:rsidRPr="00121ACA">
        <w:t xml:space="preserve"> 13)</w:t>
      </w:r>
      <w:r w:rsidR="00ED7131">
        <w:t xml:space="preserve">. </w:t>
      </w:r>
      <w:r w:rsidR="00E32DD8">
        <w:t>T</w:t>
      </w:r>
      <w:r w:rsidR="00ED7131">
        <w:t>he Protocol</w:t>
      </w:r>
      <w:r w:rsidRPr="00121ACA">
        <w:t xml:space="preserve"> </w:t>
      </w:r>
      <w:r w:rsidR="00E32DD8">
        <w:t xml:space="preserve">also </w:t>
      </w:r>
      <w:r w:rsidRPr="00121ACA">
        <w:t>places specific emphasis on</w:t>
      </w:r>
      <w:r w:rsidR="00E32DD8">
        <w:t>:</w:t>
      </w:r>
      <w:r w:rsidRPr="00121ACA">
        <w:t xml:space="preserve"> the consideration of health and consultation with health authorities</w:t>
      </w:r>
      <w:r w:rsidR="00E32DD8">
        <w:t>; and</w:t>
      </w:r>
      <w:r w:rsidRPr="00121ACA">
        <w:t xml:space="preserve"> the participation of the general public. </w:t>
      </w:r>
      <w:r w:rsidR="00704FD8">
        <w:t>Lastly, t</w:t>
      </w:r>
      <w:r w:rsidRPr="00121ACA">
        <w:t xml:space="preserve">he Protocol is accessible to all </w:t>
      </w:r>
      <w:r w:rsidR="00ED7131">
        <w:t>States M</w:t>
      </w:r>
      <w:r w:rsidRPr="00121ACA">
        <w:t>embers of the United Nations.</w:t>
      </w:r>
    </w:p>
    <w:p w14:paraId="41A9BA54" w14:textId="4E29FFED" w:rsidR="00AD153E" w:rsidRPr="00121ACA" w:rsidRDefault="00AD153E" w:rsidP="00AD153E">
      <w:pPr>
        <w:pStyle w:val="SingleTxtG"/>
      </w:pPr>
      <w:r w:rsidRPr="00121ACA">
        <w:t>1</w:t>
      </w:r>
      <w:r w:rsidR="00413FFD">
        <w:t>3</w:t>
      </w:r>
      <w:r w:rsidRPr="00121ACA">
        <w:t>.</w:t>
      </w:r>
      <w:r w:rsidRPr="00121ACA">
        <w:tab/>
        <w:t>The Protocol focuses on the application of an assessment process a</w:t>
      </w:r>
      <w:r w:rsidR="00E32DD8">
        <w:t>nd</w:t>
      </w:r>
      <w:r w:rsidRPr="00121ACA">
        <w:t xml:space="preserve"> on certain substantive aspects and issues to be covered. Furthermore, annex IV, para</w:t>
      </w:r>
      <w:r w:rsidR="007C5A80">
        <w:t>graph</w:t>
      </w:r>
      <w:r w:rsidRPr="00121ACA">
        <w:t xml:space="preserve"> 8</w:t>
      </w:r>
      <w:r w:rsidR="00E32DD8">
        <w:t>,</w:t>
      </w:r>
      <w:r w:rsidRPr="00121ACA">
        <w:t xml:space="preserve"> of the Protocol explains that strategic environmental assessment should provide</w:t>
      </w:r>
      <w:r w:rsidR="00ED7131">
        <w:t>:</w:t>
      </w:r>
      <w:r w:rsidRPr="00121ACA">
        <w:t xml:space="preserve"> “an outline of the reasons for selecting the alternatives dealt with”. </w:t>
      </w:r>
    </w:p>
    <w:p w14:paraId="275DFAF0" w14:textId="77777777" w:rsidR="00AD153E" w:rsidRPr="00121ACA" w:rsidRDefault="00AD153E" w:rsidP="00AD153E">
      <w:pPr>
        <w:pStyle w:val="H1G"/>
      </w:pPr>
      <w:r>
        <w:tab/>
      </w:r>
      <w:r w:rsidRPr="00121ACA">
        <w:t>B.</w:t>
      </w:r>
      <w:r>
        <w:tab/>
      </w:r>
      <w:r w:rsidRPr="00121ACA">
        <w:tab/>
        <w:t>Health in strategic environmental assessment</w:t>
      </w:r>
    </w:p>
    <w:p w14:paraId="5B709B88" w14:textId="5E971E1E" w:rsidR="00AD153E" w:rsidRPr="00121ACA" w:rsidRDefault="00AD153E" w:rsidP="00AD153E">
      <w:pPr>
        <w:pStyle w:val="SingleTxtG"/>
      </w:pPr>
      <w:r w:rsidRPr="00121ACA">
        <w:t>1</w:t>
      </w:r>
      <w:r w:rsidR="00413FFD">
        <w:t>4</w:t>
      </w:r>
      <w:r w:rsidRPr="00121ACA">
        <w:t>.</w:t>
      </w:r>
      <w:r w:rsidRPr="00121ACA">
        <w:tab/>
        <w:t xml:space="preserve">A relatively small group of health conditions </w:t>
      </w:r>
      <w:r w:rsidR="00ED7131">
        <w:t>is</w:t>
      </w:r>
      <w:r w:rsidRPr="00121ACA">
        <w:t xml:space="preserve"> responsible for a large part of the disease burden in Europe.</w:t>
      </w:r>
      <w:r w:rsidRPr="00E52D04">
        <w:rPr>
          <w:vertAlign w:val="superscript"/>
        </w:rPr>
        <w:footnoteReference w:id="8"/>
      </w:r>
      <w:r w:rsidRPr="00121ACA">
        <w:t xml:space="preserve"> In this context, noncommunicable diseases are particularly relevant, including diabetes, cardiovascular diseases, cancer, chronic respiratory diseases and mental disorders. Many of the driving forces affecting these noncommunicable diseases come from outside the health sector and are associated with plans and programmes prepared in other sectors. This highlights the importance of </w:t>
      </w:r>
      <w:r w:rsidR="00E32DD8">
        <w:t xml:space="preserve">intersectoral </w:t>
      </w:r>
      <w:r w:rsidRPr="00121ACA">
        <w:t xml:space="preserve">cooperation when undertaking </w:t>
      </w:r>
      <w:r w:rsidR="00E32DD8" w:rsidRPr="00E32DD8">
        <w:t>environmental health bur</w:t>
      </w:r>
      <w:r w:rsidR="00E32DD8">
        <w:t xml:space="preserve">den reduction </w:t>
      </w:r>
      <w:r w:rsidRPr="00121ACA">
        <w:t>activities.</w:t>
      </w:r>
      <w:r w:rsidRPr="00E52D04">
        <w:rPr>
          <w:vertAlign w:val="superscript"/>
        </w:rPr>
        <w:footnoteReference w:id="9"/>
      </w:r>
      <w:r w:rsidRPr="00E52D04">
        <w:rPr>
          <w:vertAlign w:val="superscript"/>
        </w:rPr>
        <w:t xml:space="preserve"> </w:t>
      </w:r>
    </w:p>
    <w:p w14:paraId="0A0BA227" w14:textId="2FBB41A7" w:rsidR="00AD153E" w:rsidRPr="00121ACA" w:rsidRDefault="00AD153E" w:rsidP="00AD153E">
      <w:pPr>
        <w:pStyle w:val="SingleTxtG"/>
      </w:pPr>
      <w:r w:rsidRPr="00121ACA">
        <w:t>1</w:t>
      </w:r>
      <w:r w:rsidR="00413FFD">
        <w:t>5</w:t>
      </w:r>
      <w:r w:rsidRPr="00121ACA">
        <w:t>.</w:t>
      </w:r>
      <w:r w:rsidRPr="00121ACA">
        <w:tab/>
        <w:t>Whil</w:t>
      </w:r>
      <w:r w:rsidR="00392EB9">
        <w:t>e</w:t>
      </w:r>
      <w:r w:rsidRPr="00121ACA">
        <w:t xml:space="preserve"> noncommunicable disease dominates the burden of disease in high</w:t>
      </w:r>
      <w:r w:rsidR="00392EB9">
        <w:t>-</w:t>
      </w:r>
      <w:r w:rsidRPr="00121ACA">
        <w:t>income countries, communicable diseases, particularly for young children, are responsible for much of the burden of disease in low- and middle-income countries. This has implications for the global application of the Protocol. In all contexts</w:t>
      </w:r>
      <w:r w:rsidR="00392EB9">
        <w:t>,</w:t>
      </w:r>
      <w:r w:rsidRPr="00121ACA">
        <w:t xml:space="preserve"> </w:t>
      </w:r>
      <w:r w:rsidR="00627BA6">
        <w:t xml:space="preserve">intersectoral </w:t>
      </w:r>
      <w:r w:rsidRPr="00121ACA">
        <w:t>cooperation is relevant to addressing underlying environmental and socioeconomic factors</w:t>
      </w:r>
      <w:r w:rsidR="00392EB9">
        <w:t>,</w:t>
      </w:r>
      <w:r w:rsidRPr="00121ACA">
        <w:t xml:space="preserve"> including access to health</w:t>
      </w:r>
      <w:r w:rsidR="00392EB9">
        <w:t>-</w:t>
      </w:r>
      <w:r w:rsidRPr="00121ACA">
        <w:t>care services.</w:t>
      </w:r>
    </w:p>
    <w:p w14:paraId="7B585B4D" w14:textId="020F858E" w:rsidR="00AD153E" w:rsidRPr="001D28D9" w:rsidRDefault="00AD153E" w:rsidP="00AD153E">
      <w:pPr>
        <w:pStyle w:val="SingleTxtG"/>
        <w:rPr>
          <w:vertAlign w:val="superscript"/>
        </w:rPr>
      </w:pPr>
      <w:r w:rsidRPr="00121ACA">
        <w:t>1</w:t>
      </w:r>
      <w:r w:rsidR="00413FFD">
        <w:t>6</w:t>
      </w:r>
      <w:r w:rsidRPr="00121ACA">
        <w:t>.</w:t>
      </w:r>
      <w:r w:rsidRPr="00121ACA">
        <w:tab/>
        <w:t xml:space="preserve">The consideration of health in strategic environmental assessment varies between countries and also between sectors. There are differences in the ways that government departments are required to discharge their duties. This has implications for the value given </w:t>
      </w:r>
      <w:r w:rsidRPr="00121ACA">
        <w:lastRenderedPageBreak/>
        <w:t>to cross-sectoral working and to</w:t>
      </w:r>
      <w:r w:rsidR="006D3E4D">
        <w:t xml:space="preserve"> plan/programme development</w:t>
      </w:r>
      <w:r w:rsidRPr="00121ACA">
        <w:t xml:space="preserve"> </w:t>
      </w:r>
      <w:r w:rsidR="006D3E4D">
        <w:t>methods</w:t>
      </w:r>
      <w:r w:rsidRPr="00121ACA">
        <w:t xml:space="preserve">. For example, in some countries, aspects of public health are formally considered in spatial planning. This creates an expectation that health stakeholders will have some input </w:t>
      </w:r>
      <w:r w:rsidR="001C392C">
        <w:t>in</w:t>
      </w:r>
      <w:r w:rsidRPr="00121ACA">
        <w:t xml:space="preserve"> plan</w:t>
      </w:r>
      <w:r w:rsidR="001C392C">
        <w:t>-</w:t>
      </w:r>
      <w:r w:rsidRPr="00121ACA">
        <w:t xml:space="preserve"> and programme</w:t>
      </w:r>
      <w:r w:rsidR="001C392C">
        <w:t>-</w:t>
      </w:r>
      <w:r w:rsidRPr="00121ACA">
        <w:t xml:space="preserve">making and </w:t>
      </w:r>
      <w:r w:rsidR="001C392C">
        <w:t>in</w:t>
      </w:r>
      <w:r w:rsidRPr="00121ACA">
        <w:t xml:space="preserve"> the strategic environmental assessment process. In other countries</w:t>
      </w:r>
      <w:r w:rsidR="001C392C">
        <w:t>,</w:t>
      </w:r>
      <w:r w:rsidRPr="00121ACA">
        <w:t xml:space="preserve"> public health is exclusively the concern of the health sector and there is lower expectation of cross-sectoral working.</w:t>
      </w:r>
      <w:r w:rsidRPr="001D28D9">
        <w:rPr>
          <w:vertAlign w:val="superscript"/>
        </w:rPr>
        <w:footnoteReference w:id="10"/>
      </w:r>
      <w:r w:rsidRPr="00121ACA">
        <w:t xml:space="preserve"> </w:t>
      </w:r>
      <w:r w:rsidR="001C392C">
        <w:t>Moreover</w:t>
      </w:r>
      <w:r w:rsidRPr="00121ACA">
        <w:t>, the necessary capacity (</w:t>
      </w:r>
      <w:r w:rsidR="000247B4">
        <w:t xml:space="preserve">for example, </w:t>
      </w:r>
      <w:r w:rsidRPr="00121ACA">
        <w:t>skills and knowledge) for integrating health and strategic environmental assessment might be underdeveloped in the health sector. Lessons from the WHO “Health in All Policies</w:t>
      </w:r>
      <w:r w:rsidR="00D0565B">
        <w:t>: T</w:t>
      </w:r>
      <w:r w:rsidRPr="00121ACA">
        <w:t>raining manual</w:t>
      </w:r>
      <w:r w:rsidR="00D0565B">
        <w:t>”</w:t>
      </w:r>
      <w:r w:rsidRPr="00121ACA">
        <w:t xml:space="preserve"> are relevant to strengthening collaboration between environmental authorities and public health authorities</w:t>
      </w:r>
      <w:r w:rsidR="006E5509">
        <w:t>.</w:t>
      </w:r>
      <w:r w:rsidRPr="001D28D9">
        <w:rPr>
          <w:vertAlign w:val="superscript"/>
        </w:rPr>
        <w:footnoteReference w:id="11"/>
      </w:r>
    </w:p>
    <w:p w14:paraId="07B38E77" w14:textId="5E9B7FBB" w:rsidR="00AD153E" w:rsidRPr="00121ACA" w:rsidRDefault="00AD153E" w:rsidP="001D28D9">
      <w:pPr>
        <w:pStyle w:val="SingleTxtG"/>
      </w:pPr>
      <w:r w:rsidRPr="00121ACA">
        <w:t>1</w:t>
      </w:r>
      <w:r w:rsidR="00413FFD">
        <w:t>7</w:t>
      </w:r>
      <w:r w:rsidRPr="00121ACA">
        <w:t>.</w:t>
      </w:r>
      <w:r w:rsidRPr="00121ACA">
        <w:tab/>
        <w:t xml:space="preserve">The Resource Manual establishes guiding principles for strategic environmental assessment. It is good practice for strategic environmental assessments to make explicit reference to each of these principles. The principles include </w:t>
      </w:r>
      <w:r w:rsidR="0073601A">
        <w:t>“</w:t>
      </w:r>
      <w:r w:rsidRPr="00121ACA">
        <w:t xml:space="preserve">identify the best practicable environmental </w:t>
      </w:r>
      <w:r w:rsidR="0073601A">
        <w:t>[</w:t>
      </w:r>
      <w:r w:rsidRPr="00121ACA">
        <w:t>including health</w:t>
      </w:r>
      <w:r w:rsidR="0073601A">
        <w:t>]</w:t>
      </w:r>
      <w:r w:rsidRPr="00121ACA">
        <w:t xml:space="preserve"> option</w:t>
      </w:r>
      <w:r w:rsidR="0073601A">
        <w:t>”</w:t>
      </w:r>
      <w:r w:rsidRPr="00121ACA">
        <w:t>.</w:t>
      </w:r>
      <w:r w:rsidR="0073601A">
        <w:rPr>
          <w:rStyle w:val="FootnoteReference"/>
        </w:rPr>
        <w:footnoteReference w:id="12"/>
      </w:r>
      <w:r w:rsidRPr="00121ACA">
        <w:t xml:space="preserve"> This involves identifying the issues and alternatives to be assessed in the specific plan or programme, (as well as the policy and legislation decision</w:t>
      </w:r>
      <w:r w:rsidR="0073601A">
        <w:t>-</w:t>
      </w:r>
      <w:r w:rsidRPr="00121ACA">
        <w:t>making system/hierarchy, see</w:t>
      </w:r>
      <w:r w:rsidR="001A7AC3">
        <w:t xml:space="preserve"> para</w:t>
      </w:r>
      <w:r w:rsidR="005B4D0D">
        <w:t>.</w:t>
      </w:r>
      <w:r w:rsidR="001A7AC3">
        <w:t xml:space="preserve"> 3 of</w:t>
      </w:r>
      <w:r w:rsidRPr="00121ACA">
        <w:t xml:space="preserve"> </w:t>
      </w:r>
      <w:r w:rsidR="00405983">
        <w:t>a</w:t>
      </w:r>
      <w:r w:rsidRPr="00121ACA">
        <w:t xml:space="preserve">nnex III </w:t>
      </w:r>
      <w:r w:rsidR="00405983">
        <w:t>t</w:t>
      </w:r>
      <w:r w:rsidRPr="00121ACA">
        <w:t>o the Protocol).</w:t>
      </w:r>
    </w:p>
    <w:p w14:paraId="0E6D1784" w14:textId="77777777" w:rsidR="001D28D9" w:rsidRPr="005369A8" w:rsidRDefault="001D28D9" w:rsidP="001D28D9">
      <w:pPr>
        <w:pStyle w:val="HChG"/>
      </w:pPr>
      <w:r>
        <w:tab/>
        <w:t>II.</w:t>
      </w:r>
      <w:r>
        <w:tab/>
      </w:r>
      <w:r w:rsidRPr="007F5D53">
        <w:t>Principles for considering health in strategic environmental assessment</w:t>
      </w:r>
    </w:p>
    <w:p w14:paraId="0A2BE3D8" w14:textId="77777777" w:rsidR="001D28D9" w:rsidRDefault="001D28D9" w:rsidP="001D28D9">
      <w:pPr>
        <w:pStyle w:val="H1G"/>
      </w:pPr>
      <w:bookmarkStart w:id="4" w:name="IIIA_defining_health"/>
      <w:r>
        <w:tab/>
      </w:r>
      <w:r w:rsidRPr="00A31386">
        <w:t>A.</w:t>
      </w:r>
      <w:r w:rsidRPr="00A31386">
        <w:tab/>
      </w:r>
      <w:r w:rsidRPr="003E6B56">
        <w:t>Defining health</w:t>
      </w:r>
    </w:p>
    <w:bookmarkEnd w:id="4"/>
    <w:p w14:paraId="50D0947C" w14:textId="20DFB3D2" w:rsidR="001D28D9" w:rsidRPr="001D28D9" w:rsidRDefault="001D28D9" w:rsidP="001D28D9">
      <w:pPr>
        <w:pStyle w:val="SingleTxtG"/>
      </w:pPr>
      <w:r w:rsidRPr="001D28D9">
        <w:t>1</w:t>
      </w:r>
      <w:r w:rsidR="00413FFD">
        <w:t>8</w:t>
      </w:r>
      <w:r w:rsidRPr="001D28D9">
        <w:t>.</w:t>
      </w:r>
      <w:r w:rsidRPr="001D28D9">
        <w:tab/>
        <w:t xml:space="preserve">The Protocol explicitly refers to health </w:t>
      </w:r>
      <w:r w:rsidR="00596CB9">
        <w:t>wherever</w:t>
      </w:r>
      <w:r w:rsidR="001A7AC3">
        <w:t xml:space="preserve"> </w:t>
      </w:r>
      <w:r w:rsidRPr="001D28D9">
        <w:t>the term “environmental impacts” is mentioned. The importance of fully covering human health has been set out by WHO. The preamble to the Protocol refers to the third Ministerial Conference on Environment and Health</w:t>
      </w:r>
      <w:r w:rsidR="00694203">
        <w:t>,</w:t>
      </w:r>
      <w:r w:rsidR="002A7A56">
        <w:t xml:space="preserve"> the Declaration </w:t>
      </w:r>
      <w:r w:rsidR="002A7A56" w:rsidRPr="000772FD">
        <w:t>of which</w:t>
      </w:r>
      <w:r w:rsidR="002A7A56">
        <w:t xml:space="preserve"> affirms the importance of “fully covering impacts on human health and safety”</w:t>
      </w:r>
      <w:r w:rsidR="00340597">
        <w:t>.</w:t>
      </w:r>
      <w:r w:rsidRPr="001D28D9">
        <w:rPr>
          <w:vertAlign w:val="superscript"/>
        </w:rPr>
        <w:footnoteReference w:id="13"/>
      </w:r>
      <w:r w:rsidRPr="001D28D9">
        <w:t xml:space="preserve"> The </w:t>
      </w:r>
      <w:r w:rsidR="00590DF3" w:rsidRPr="000772FD">
        <w:t>participants</w:t>
      </w:r>
      <w:r w:rsidRPr="001D28D9">
        <w:t xml:space="preserve"> at the fourth Ministerial Conference on Environment and Health</w:t>
      </w:r>
      <w:r w:rsidRPr="001D28D9">
        <w:rPr>
          <w:vertAlign w:val="superscript"/>
        </w:rPr>
        <w:footnoteReference w:id="14"/>
      </w:r>
      <w:r w:rsidRPr="001D28D9">
        <w:t xml:space="preserve"> committed to taking significant health effects into account </w:t>
      </w:r>
      <w:r w:rsidR="005B4D0D">
        <w:t>when</w:t>
      </w:r>
      <w:r w:rsidRPr="001D28D9">
        <w:t xml:space="preserve"> assess</w:t>
      </w:r>
      <w:r w:rsidR="005B4D0D">
        <w:t>ing</w:t>
      </w:r>
      <w:r w:rsidRPr="001D28D9">
        <w:t xml:space="preserve"> strategic proposals under the Protocol.  </w:t>
      </w:r>
    </w:p>
    <w:p w14:paraId="6CDD29AB" w14:textId="5BC1F5AC" w:rsidR="001D28D9" w:rsidRPr="001D28D9" w:rsidRDefault="00413FFD" w:rsidP="001D28D9">
      <w:pPr>
        <w:pStyle w:val="SingleTxtG"/>
      </w:pPr>
      <w:r>
        <w:t>19</w:t>
      </w:r>
      <w:r w:rsidR="001D28D9" w:rsidRPr="001D28D9">
        <w:t>.</w:t>
      </w:r>
      <w:r w:rsidR="001D28D9" w:rsidRPr="001D28D9">
        <w:tab/>
        <w:t xml:space="preserve">A comprehensive approach to health, underpinned by the WHO definition of health, is recommended in strategic environmental assessment. The WHO </w:t>
      </w:r>
      <w:r w:rsidR="003B3826">
        <w:t>C</w:t>
      </w:r>
      <w:r w:rsidR="001D28D9" w:rsidRPr="001D28D9">
        <w:t>onstitution</w:t>
      </w:r>
      <w:r w:rsidR="001D28D9" w:rsidRPr="001D28D9">
        <w:rPr>
          <w:vertAlign w:val="superscript"/>
        </w:rPr>
        <w:footnoteReference w:id="15"/>
      </w:r>
      <w:r w:rsidR="005B4D0D">
        <w:t xml:space="preserve"> </w:t>
      </w:r>
      <w:r w:rsidR="001D28D9" w:rsidRPr="001D28D9">
        <w:t>states that</w:t>
      </w:r>
      <w:r w:rsidR="008227A0">
        <w:t>:</w:t>
      </w:r>
      <w:r w:rsidR="001D28D9" w:rsidRPr="001D28D9">
        <w:t xml:space="preserve"> “</w:t>
      </w:r>
      <w:r w:rsidR="00864DBE">
        <w:t>H</w:t>
      </w:r>
      <w:r w:rsidR="001D28D9" w:rsidRPr="001D28D9">
        <w:t>ealth is a state of complete physical, mental and social well-being and not merely the absence of disease or infirmity</w:t>
      </w:r>
      <w:r w:rsidR="008227A0">
        <w:t>.</w:t>
      </w:r>
      <w:r w:rsidR="001D28D9" w:rsidRPr="001D28D9">
        <w:t xml:space="preserve">” </w:t>
      </w:r>
    </w:p>
    <w:p w14:paraId="7B94700A" w14:textId="3AFAB5C8" w:rsidR="001D28D9" w:rsidRPr="001D28D9" w:rsidRDefault="001D28D9" w:rsidP="001D28D9">
      <w:pPr>
        <w:pStyle w:val="SingleTxtG"/>
      </w:pPr>
      <w:r w:rsidRPr="001D28D9">
        <w:t>2</w:t>
      </w:r>
      <w:r w:rsidR="00413FFD">
        <w:t>0</w:t>
      </w:r>
      <w:r w:rsidRPr="001D28D9">
        <w:t>.</w:t>
      </w:r>
      <w:r w:rsidRPr="001D28D9">
        <w:tab/>
        <w:t xml:space="preserve">The WHO definition has two parts: </w:t>
      </w:r>
    </w:p>
    <w:p w14:paraId="089B37A2" w14:textId="486BB0C0" w:rsidR="001D28D9" w:rsidRPr="001D28D9" w:rsidRDefault="001D28D9" w:rsidP="009821C0">
      <w:pPr>
        <w:pStyle w:val="SingleTxtG"/>
        <w:ind w:firstLine="567"/>
      </w:pPr>
      <w:r w:rsidRPr="001D28D9">
        <w:t>(a)</w:t>
      </w:r>
      <w:r w:rsidRPr="001D28D9">
        <w:tab/>
        <w:t xml:space="preserve">The first </w:t>
      </w:r>
      <w:r w:rsidR="00704356">
        <w:t xml:space="preserve">part </w:t>
      </w:r>
      <w:r w:rsidRPr="001D28D9">
        <w:t xml:space="preserve">emphasizes how human health encompasses mental and physical health and social well-being. Health affects, and is affected by, environmental, social and </w:t>
      </w:r>
      <w:r w:rsidRPr="001D28D9">
        <w:lastRenderedPageBreak/>
        <w:t xml:space="preserve">economic factors. These factors are known as determinants of health and public health is the part of the health sector that seeks to work explicitly with wider society (see </w:t>
      </w:r>
      <w:r w:rsidR="003B3826">
        <w:t>b</w:t>
      </w:r>
      <w:r w:rsidRPr="001D28D9">
        <w:t>ox 2</w:t>
      </w:r>
      <w:r w:rsidR="003B3826">
        <w:t xml:space="preserve"> below</w:t>
      </w:r>
      <w:r w:rsidRPr="001D28D9">
        <w:t xml:space="preserve">). </w:t>
      </w:r>
    </w:p>
    <w:p w14:paraId="45B1E90A" w14:textId="0B67B9EE" w:rsidR="001D28D9" w:rsidRPr="001D28D9" w:rsidRDefault="001D28D9" w:rsidP="009821C0">
      <w:pPr>
        <w:pStyle w:val="SingleTxtG"/>
        <w:ind w:firstLine="567"/>
      </w:pPr>
      <w:r w:rsidRPr="001D28D9">
        <w:t>(b)</w:t>
      </w:r>
      <w:r w:rsidRPr="001D28D9">
        <w:tab/>
        <w:t xml:space="preserve">The second part emphasizes the importance of addressing and treating disease and infirmity. This is the role of </w:t>
      </w:r>
      <w:r w:rsidR="003B3826">
        <w:t xml:space="preserve">the </w:t>
      </w:r>
      <w:r w:rsidRPr="001D28D9">
        <w:t xml:space="preserve">health sector. </w:t>
      </w:r>
    </w:p>
    <w:p w14:paraId="5545FE65" w14:textId="676D4651" w:rsidR="001D28D9" w:rsidRPr="001D28D9" w:rsidRDefault="001D28D9" w:rsidP="001D28D9">
      <w:pPr>
        <w:pStyle w:val="SingleTxtG"/>
      </w:pPr>
      <w:r w:rsidRPr="001D28D9">
        <w:t>2</w:t>
      </w:r>
      <w:r w:rsidR="00413FFD">
        <w:t>1</w:t>
      </w:r>
      <w:r w:rsidRPr="001D28D9">
        <w:t>.</w:t>
      </w:r>
      <w:r w:rsidRPr="001D28D9">
        <w:tab/>
        <w:t xml:space="preserve">The WHO definition also emphasizes positive aspects </w:t>
      </w:r>
      <w:r w:rsidR="003B3826">
        <w:t>of</w:t>
      </w:r>
      <w:r w:rsidRPr="001D28D9">
        <w:t xml:space="preserve"> health, indicating </w:t>
      </w:r>
      <w:r w:rsidR="003B3826">
        <w:t xml:space="preserve">that </w:t>
      </w:r>
      <w:r w:rsidRPr="001D28D9">
        <w:t xml:space="preserve">strategic environmental assessment should not focus solely on the adverse aspects of ill health. Furthermore, WHO stresses the importance of addressing inequalities in health (see </w:t>
      </w:r>
      <w:r w:rsidR="003B3826">
        <w:t>b</w:t>
      </w:r>
      <w:r w:rsidRPr="001D28D9">
        <w:t>ox 2</w:t>
      </w:r>
      <w:r w:rsidR="003B3826">
        <w:t xml:space="preserve"> below</w:t>
      </w:r>
      <w:r w:rsidRPr="001D28D9">
        <w:t>) through sound environment</w:t>
      </w:r>
      <w:r w:rsidR="003B3826">
        <w:t>al</w:t>
      </w:r>
      <w:r w:rsidRPr="001D28D9">
        <w:t xml:space="preserve"> and health policies.</w:t>
      </w:r>
      <w:r w:rsidRPr="00C945C8">
        <w:rPr>
          <w:vertAlign w:val="superscript"/>
        </w:rPr>
        <w:footnoteReference w:id="16"/>
      </w:r>
      <w:r w:rsidRPr="00C945C8">
        <w:rPr>
          <w:vertAlign w:val="superscript"/>
        </w:rPr>
        <w:t xml:space="preserve"> </w:t>
      </w:r>
    </w:p>
    <w:p w14:paraId="793D59C1" w14:textId="5F1C3EA8" w:rsidR="001D28D9" w:rsidRPr="001D28D9" w:rsidRDefault="001D28D9" w:rsidP="001D28D9">
      <w:pPr>
        <w:pStyle w:val="SingleTxtG"/>
      </w:pPr>
      <w:r w:rsidRPr="001D28D9">
        <w:t>2</w:t>
      </w:r>
      <w:r w:rsidR="00413FFD">
        <w:t>2</w:t>
      </w:r>
      <w:r w:rsidRPr="001D28D9">
        <w:t>.</w:t>
      </w:r>
      <w:r w:rsidRPr="001D28D9">
        <w:tab/>
      </w:r>
      <w:r w:rsidR="003B3826">
        <w:t>Lastly</w:t>
      </w:r>
      <w:r w:rsidRPr="001D28D9">
        <w:t xml:space="preserve">, </w:t>
      </w:r>
      <w:r w:rsidR="003B3826">
        <w:t xml:space="preserve">it should be noted that </w:t>
      </w:r>
      <w:r w:rsidRPr="001D28D9">
        <w:t xml:space="preserve">health is experienced by individuals and by groups. The focus of health in strategic environmental assessment is on population health (see </w:t>
      </w:r>
      <w:r w:rsidR="003B3826">
        <w:t>b</w:t>
      </w:r>
      <w:r w:rsidRPr="001D28D9">
        <w:t>ox 2</w:t>
      </w:r>
      <w:r w:rsidR="003B3826">
        <w:t xml:space="preserve"> below</w:t>
      </w:r>
      <w:r w:rsidRPr="001D28D9">
        <w:t>) and not on individuals. Populations can be defined geographically or by shared characteristics, for example</w:t>
      </w:r>
      <w:r w:rsidR="003B3826">
        <w:t>,</w:t>
      </w:r>
      <w:r w:rsidRPr="001D28D9">
        <w:t xml:space="preserve"> gender, ethnicity, age</w:t>
      </w:r>
      <w:r w:rsidR="003B3826">
        <w:t xml:space="preserve"> and</w:t>
      </w:r>
      <w:r w:rsidRPr="001D28D9">
        <w:t xml:space="preserve"> sexuality. </w:t>
      </w:r>
    </w:p>
    <w:p w14:paraId="41A944FD" w14:textId="48D7C3B3" w:rsidR="00AD153E" w:rsidRPr="004E5E8D" w:rsidRDefault="004E5E8D" w:rsidP="001D28D9">
      <w:pPr>
        <w:pStyle w:val="SingleTxtG"/>
        <w:rPr>
          <w:b/>
          <w:bCs/>
        </w:rPr>
      </w:pPr>
      <w:r w:rsidRPr="004E5E8D">
        <w:t>Box 2</w:t>
      </w:r>
      <w:r w:rsidRPr="004E5E8D">
        <w:tab/>
      </w:r>
      <w:r>
        <w:br/>
      </w:r>
      <w:r w:rsidRPr="004E5E8D">
        <w:rPr>
          <w:b/>
          <w:bCs/>
        </w:rPr>
        <w:t>Definitions of important concepts for public health</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75"/>
      </w:tblGrid>
      <w:tr w:rsidR="004E5E8D" w:rsidRPr="004E5E8D" w14:paraId="44DAE71D" w14:textId="77777777" w:rsidTr="004E5E8D">
        <w:trPr>
          <w:trHeight w:hRule="exact" w:val="240"/>
          <w:jc w:val="center"/>
        </w:trPr>
        <w:tc>
          <w:tcPr>
            <w:tcW w:w="7375" w:type="dxa"/>
            <w:tcBorders>
              <w:top w:val="single" w:sz="4" w:space="0" w:color="auto"/>
            </w:tcBorders>
            <w:shd w:val="clear" w:color="auto" w:fill="auto"/>
          </w:tcPr>
          <w:p w14:paraId="15C86BC3" w14:textId="77777777" w:rsidR="004E5E8D" w:rsidRPr="004E5E8D" w:rsidRDefault="004E5E8D" w:rsidP="004E5E8D">
            <w:pPr>
              <w:spacing w:line="220" w:lineRule="exact"/>
              <w:ind w:left="1134" w:right="1134" w:firstLine="170"/>
              <w:rPr>
                <w:sz w:val="18"/>
              </w:rPr>
            </w:pPr>
          </w:p>
        </w:tc>
      </w:tr>
      <w:tr w:rsidR="004E5E8D" w:rsidRPr="004E5E8D" w14:paraId="289FA8EE" w14:textId="77777777" w:rsidTr="004E5E8D">
        <w:trPr>
          <w:jc w:val="center"/>
        </w:trPr>
        <w:tc>
          <w:tcPr>
            <w:tcW w:w="7375" w:type="dxa"/>
            <w:tcBorders>
              <w:bottom w:val="nil"/>
            </w:tcBorders>
            <w:shd w:val="clear" w:color="auto" w:fill="auto"/>
            <w:tcMar>
              <w:left w:w="142" w:type="dxa"/>
              <w:right w:w="142" w:type="dxa"/>
            </w:tcMar>
          </w:tcPr>
          <w:p w14:paraId="1CE1241F" w14:textId="187B81FF" w:rsidR="004E5E8D" w:rsidRPr="004E5E8D" w:rsidRDefault="004E5E8D" w:rsidP="00D04CD7">
            <w:pPr>
              <w:pStyle w:val="SingleTxtG"/>
              <w:spacing w:after="0" w:line="220" w:lineRule="exact"/>
              <w:ind w:left="0" w:right="0" w:firstLine="170"/>
              <w:jc w:val="left"/>
              <w:rPr>
                <w:sz w:val="18"/>
              </w:rPr>
            </w:pPr>
            <w:r w:rsidRPr="004E5E8D">
              <w:rPr>
                <w:sz w:val="18"/>
              </w:rPr>
              <w:t>•</w:t>
            </w:r>
            <w:r w:rsidRPr="004E5E8D">
              <w:rPr>
                <w:sz w:val="18"/>
              </w:rPr>
              <w:tab/>
            </w:r>
            <w:r w:rsidRPr="004E5E8D">
              <w:rPr>
                <w:b/>
                <w:bCs/>
                <w:sz w:val="18"/>
              </w:rPr>
              <w:t>Public health</w:t>
            </w:r>
            <w:r w:rsidRPr="004E5E8D">
              <w:rPr>
                <w:sz w:val="18"/>
              </w:rPr>
              <w:t xml:space="preserve"> is the science and art of promoting health, preventing disease and prolonging life through the organized efforts of society.</w:t>
            </w:r>
          </w:p>
          <w:p w14:paraId="043371E9" w14:textId="77777777" w:rsidR="004E5E8D" w:rsidRPr="004E5E8D" w:rsidRDefault="004E5E8D" w:rsidP="004E5E8D">
            <w:pPr>
              <w:pStyle w:val="SingleTxtG"/>
              <w:spacing w:after="0" w:line="220" w:lineRule="exact"/>
              <w:ind w:left="0" w:right="0" w:firstLine="170"/>
              <w:jc w:val="left"/>
              <w:rPr>
                <w:sz w:val="18"/>
              </w:rPr>
            </w:pPr>
            <w:r w:rsidRPr="004E5E8D">
              <w:rPr>
                <w:sz w:val="18"/>
              </w:rPr>
              <w:t>•</w:t>
            </w:r>
            <w:r w:rsidRPr="004E5E8D">
              <w:rPr>
                <w:sz w:val="18"/>
              </w:rPr>
              <w:tab/>
            </w:r>
            <w:r w:rsidRPr="004E5E8D">
              <w:rPr>
                <w:b/>
                <w:bCs/>
                <w:sz w:val="18"/>
              </w:rPr>
              <w:t>Health status</w:t>
            </w:r>
            <w:r w:rsidRPr="004E5E8D">
              <w:rPr>
                <w:sz w:val="18"/>
              </w:rPr>
              <w:t xml:space="preserve"> is a description and/or measurement of the health of an individual or population at a particular point in time against identifiable standards, usually by reference to health indicators.</w:t>
            </w:r>
          </w:p>
          <w:p w14:paraId="44A5B769" w14:textId="152269DF" w:rsidR="004E5E8D" w:rsidRPr="004E5E8D" w:rsidRDefault="004E5E8D" w:rsidP="004E5E8D">
            <w:pPr>
              <w:pStyle w:val="SingleTxtG"/>
              <w:spacing w:after="0" w:line="220" w:lineRule="exact"/>
              <w:ind w:left="0" w:right="0" w:firstLine="170"/>
              <w:jc w:val="left"/>
              <w:rPr>
                <w:sz w:val="18"/>
              </w:rPr>
            </w:pPr>
            <w:r w:rsidRPr="004E5E8D">
              <w:rPr>
                <w:sz w:val="18"/>
              </w:rPr>
              <w:t>•</w:t>
            </w:r>
            <w:r w:rsidRPr="004E5E8D">
              <w:rPr>
                <w:sz w:val="18"/>
              </w:rPr>
              <w:tab/>
              <w:t xml:space="preserve">A </w:t>
            </w:r>
            <w:r w:rsidRPr="004E5E8D">
              <w:rPr>
                <w:b/>
                <w:bCs/>
                <w:sz w:val="18"/>
              </w:rPr>
              <w:t>health indicator</w:t>
            </w:r>
            <w:r w:rsidRPr="004E5E8D">
              <w:rPr>
                <w:sz w:val="18"/>
              </w:rPr>
              <w:t xml:space="preserve"> is a characteristic of an individual, population</w:t>
            </w:r>
            <w:r w:rsidR="005042F9">
              <w:rPr>
                <w:sz w:val="18"/>
              </w:rPr>
              <w:t xml:space="preserve"> </w:t>
            </w:r>
            <w:r w:rsidRPr="004E5E8D">
              <w:rPr>
                <w:sz w:val="18"/>
              </w:rPr>
              <w:t xml:space="preserve">or environment </w:t>
            </w:r>
            <w:r w:rsidR="005042F9">
              <w:rPr>
                <w:sz w:val="18"/>
              </w:rPr>
              <w:t>that</w:t>
            </w:r>
            <w:r w:rsidR="005042F9" w:rsidRPr="004E5E8D">
              <w:rPr>
                <w:sz w:val="18"/>
              </w:rPr>
              <w:t xml:space="preserve"> </w:t>
            </w:r>
            <w:r w:rsidRPr="004E5E8D">
              <w:rPr>
                <w:sz w:val="18"/>
              </w:rPr>
              <w:t>is subject to measurement (directly or indirectly) and can be used to describe one or more aspects of the health of an individual or population (quality, quantity and time).</w:t>
            </w:r>
          </w:p>
          <w:p w14:paraId="247A00BA" w14:textId="644440B7" w:rsidR="004E5E8D" w:rsidRPr="004E5E8D" w:rsidRDefault="004E5E8D" w:rsidP="004E5E8D">
            <w:pPr>
              <w:pStyle w:val="SingleTxtG"/>
              <w:spacing w:after="0" w:line="220" w:lineRule="exact"/>
              <w:ind w:left="0" w:right="0" w:firstLine="170"/>
              <w:jc w:val="left"/>
              <w:rPr>
                <w:sz w:val="18"/>
              </w:rPr>
            </w:pPr>
            <w:r w:rsidRPr="004E5E8D">
              <w:rPr>
                <w:sz w:val="18"/>
              </w:rPr>
              <w:t>•</w:t>
            </w:r>
            <w:r w:rsidRPr="004E5E8D">
              <w:rPr>
                <w:sz w:val="18"/>
              </w:rPr>
              <w:tab/>
              <w:t xml:space="preserve">A </w:t>
            </w:r>
            <w:r w:rsidRPr="004E5E8D">
              <w:rPr>
                <w:b/>
                <w:bCs/>
                <w:sz w:val="18"/>
              </w:rPr>
              <w:t>determinant of health</w:t>
            </w:r>
            <w:r w:rsidRPr="004E5E8D">
              <w:rPr>
                <w:sz w:val="18"/>
              </w:rPr>
              <w:t xml:space="preserve"> is the range of personal, social, economic and environmental factors </w:t>
            </w:r>
            <w:r w:rsidR="005042F9">
              <w:rPr>
                <w:sz w:val="18"/>
              </w:rPr>
              <w:t>that</w:t>
            </w:r>
            <w:r w:rsidR="005042F9" w:rsidRPr="004E5E8D">
              <w:rPr>
                <w:sz w:val="18"/>
              </w:rPr>
              <w:t xml:space="preserve"> </w:t>
            </w:r>
            <w:r w:rsidRPr="004E5E8D">
              <w:rPr>
                <w:sz w:val="18"/>
              </w:rPr>
              <w:t xml:space="preserve">determine the health status of individuals or populations. </w:t>
            </w:r>
          </w:p>
          <w:p w14:paraId="777AA148" w14:textId="297388DE" w:rsidR="004E5E8D" w:rsidRPr="004E5E8D" w:rsidRDefault="004E5E8D" w:rsidP="004E5E8D">
            <w:pPr>
              <w:pStyle w:val="SingleTxtG"/>
              <w:spacing w:after="0" w:line="220" w:lineRule="exact"/>
              <w:ind w:left="0" w:right="0" w:firstLine="170"/>
              <w:jc w:val="left"/>
              <w:rPr>
                <w:sz w:val="18"/>
              </w:rPr>
            </w:pPr>
            <w:r w:rsidRPr="004E5E8D">
              <w:rPr>
                <w:sz w:val="18"/>
              </w:rPr>
              <w:t>•</w:t>
            </w:r>
            <w:r w:rsidRPr="004E5E8D">
              <w:rPr>
                <w:sz w:val="18"/>
              </w:rPr>
              <w:tab/>
              <w:t xml:space="preserve">A </w:t>
            </w:r>
            <w:r w:rsidRPr="004E5E8D">
              <w:rPr>
                <w:b/>
                <w:bCs/>
                <w:sz w:val="18"/>
              </w:rPr>
              <w:t>health outcome</w:t>
            </w:r>
            <w:r w:rsidRPr="004E5E8D">
              <w:rPr>
                <w:sz w:val="18"/>
              </w:rPr>
              <w:t xml:space="preserve"> is a change in the health status of an individual, group or population </w:t>
            </w:r>
            <w:r w:rsidR="005042F9">
              <w:rPr>
                <w:sz w:val="18"/>
              </w:rPr>
              <w:t>that</w:t>
            </w:r>
            <w:r w:rsidRPr="004E5E8D">
              <w:rPr>
                <w:sz w:val="18"/>
              </w:rPr>
              <w:t xml:space="preserve"> is attributable to a planned intervention or series of interventions, regardless of whether such an intervention was intended to change health status. </w:t>
            </w:r>
          </w:p>
          <w:p w14:paraId="368A2C76" w14:textId="223B9D8B" w:rsidR="004E5E8D" w:rsidRPr="004E5E8D" w:rsidRDefault="004E5E8D" w:rsidP="004E5E8D">
            <w:pPr>
              <w:pStyle w:val="SingleTxtG"/>
              <w:spacing w:after="0" w:line="220" w:lineRule="exact"/>
              <w:ind w:left="0" w:right="0" w:firstLine="170"/>
              <w:jc w:val="left"/>
              <w:rPr>
                <w:sz w:val="18"/>
              </w:rPr>
            </w:pPr>
            <w:r w:rsidRPr="004E5E8D">
              <w:rPr>
                <w:sz w:val="18"/>
              </w:rPr>
              <w:t>•</w:t>
            </w:r>
            <w:r w:rsidRPr="004E5E8D">
              <w:rPr>
                <w:sz w:val="18"/>
              </w:rPr>
              <w:tab/>
              <w:t xml:space="preserve">The </w:t>
            </w:r>
            <w:r w:rsidRPr="004E5E8D">
              <w:rPr>
                <w:b/>
                <w:bCs/>
                <w:sz w:val="18"/>
              </w:rPr>
              <w:t>health sector</w:t>
            </w:r>
            <w:r w:rsidRPr="004E5E8D">
              <w:rPr>
                <w:sz w:val="18"/>
              </w:rPr>
              <w:t xml:space="preserve"> consists of organized public and private health services (including health promotion, disease prevention, diagnostic, treatment and care services), the policies and activities of health departments and ministries, health</w:t>
            </w:r>
            <w:r w:rsidR="005042F9">
              <w:rPr>
                <w:sz w:val="18"/>
              </w:rPr>
              <w:t>-</w:t>
            </w:r>
            <w:r w:rsidRPr="004E5E8D">
              <w:rPr>
                <w:sz w:val="18"/>
              </w:rPr>
              <w:t>related non</w:t>
            </w:r>
            <w:r w:rsidR="005042F9">
              <w:rPr>
                <w:sz w:val="18"/>
              </w:rPr>
              <w:t>-</w:t>
            </w:r>
            <w:r w:rsidRPr="004E5E8D">
              <w:rPr>
                <w:sz w:val="18"/>
              </w:rPr>
              <w:t>government</w:t>
            </w:r>
            <w:r w:rsidR="005042F9">
              <w:rPr>
                <w:sz w:val="18"/>
              </w:rPr>
              <w:t>al</w:t>
            </w:r>
            <w:r w:rsidRPr="004E5E8D">
              <w:rPr>
                <w:sz w:val="18"/>
              </w:rPr>
              <w:t xml:space="preserve"> organizations</w:t>
            </w:r>
            <w:r w:rsidR="005042F9">
              <w:rPr>
                <w:sz w:val="18"/>
              </w:rPr>
              <w:t xml:space="preserve"> </w:t>
            </w:r>
            <w:r w:rsidRPr="004E5E8D">
              <w:rPr>
                <w:sz w:val="18"/>
              </w:rPr>
              <w:t>and community groups, and professional associations.</w:t>
            </w:r>
          </w:p>
          <w:p w14:paraId="6DD87485" w14:textId="774C9030" w:rsidR="004E5E8D" w:rsidRPr="004E5E8D" w:rsidRDefault="004E5E8D" w:rsidP="004E5E8D">
            <w:pPr>
              <w:pStyle w:val="SingleTxtG"/>
              <w:spacing w:after="0" w:line="220" w:lineRule="exact"/>
              <w:ind w:left="0" w:right="0" w:firstLine="170"/>
              <w:jc w:val="left"/>
              <w:rPr>
                <w:sz w:val="18"/>
              </w:rPr>
            </w:pPr>
            <w:r w:rsidRPr="004E5E8D">
              <w:rPr>
                <w:sz w:val="18"/>
              </w:rPr>
              <w:t>•</w:t>
            </w:r>
            <w:r w:rsidRPr="004E5E8D">
              <w:rPr>
                <w:sz w:val="18"/>
              </w:rPr>
              <w:tab/>
              <w:t xml:space="preserve">A </w:t>
            </w:r>
            <w:r w:rsidRPr="004E5E8D">
              <w:rPr>
                <w:b/>
                <w:bCs/>
                <w:sz w:val="18"/>
              </w:rPr>
              <w:t>risk factor</w:t>
            </w:r>
            <w:r w:rsidRPr="004E5E8D">
              <w:rPr>
                <w:sz w:val="18"/>
              </w:rPr>
              <w:t xml:space="preserve"> is social, economic or biological status, behaviours or environments </w:t>
            </w:r>
            <w:r w:rsidR="005042F9">
              <w:rPr>
                <w:sz w:val="18"/>
              </w:rPr>
              <w:t>that</w:t>
            </w:r>
            <w:r w:rsidR="005042F9" w:rsidRPr="004E5E8D">
              <w:rPr>
                <w:sz w:val="18"/>
              </w:rPr>
              <w:t xml:space="preserve"> </w:t>
            </w:r>
            <w:r w:rsidRPr="004E5E8D">
              <w:rPr>
                <w:sz w:val="18"/>
              </w:rPr>
              <w:t xml:space="preserve">are associated with or </w:t>
            </w:r>
            <w:r w:rsidR="005042F9">
              <w:rPr>
                <w:sz w:val="18"/>
              </w:rPr>
              <w:t xml:space="preserve">that </w:t>
            </w:r>
            <w:r w:rsidRPr="004E5E8D">
              <w:rPr>
                <w:sz w:val="18"/>
              </w:rPr>
              <w:t>cause increased susceptibility to a specific disease, ill health or injury.</w:t>
            </w:r>
          </w:p>
          <w:p w14:paraId="23FB015D" w14:textId="77777777" w:rsidR="004E5E8D" w:rsidRPr="004E5E8D" w:rsidRDefault="004E5E8D" w:rsidP="004E5E8D">
            <w:pPr>
              <w:pStyle w:val="SingleTxtG"/>
              <w:spacing w:after="0" w:line="220" w:lineRule="exact"/>
              <w:ind w:left="0" w:right="0" w:firstLine="170"/>
              <w:jc w:val="left"/>
              <w:rPr>
                <w:sz w:val="18"/>
              </w:rPr>
            </w:pPr>
            <w:r w:rsidRPr="004E5E8D">
              <w:rPr>
                <w:sz w:val="18"/>
              </w:rPr>
              <w:t>•</w:t>
            </w:r>
            <w:r w:rsidRPr="004E5E8D">
              <w:rPr>
                <w:sz w:val="18"/>
              </w:rPr>
              <w:tab/>
            </w:r>
            <w:r w:rsidRPr="004E5E8D">
              <w:rPr>
                <w:b/>
                <w:bCs/>
                <w:sz w:val="18"/>
              </w:rPr>
              <w:t>Population health</w:t>
            </w:r>
            <w:r w:rsidRPr="004E5E8D">
              <w:rPr>
                <w:sz w:val="18"/>
              </w:rPr>
              <w:t xml:space="preserve"> is the health outcomes of a group of individuals, including the distribution of such outcomes within the group.</w:t>
            </w:r>
          </w:p>
          <w:p w14:paraId="6F7007C0" w14:textId="41023743" w:rsidR="004E5E8D" w:rsidRPr="004E5E8D" w:rsidRDefault="004E5E8D" w:rsidP="004E5E8D">
            <w:pPr>
              <w:pStyle w:val="SingleTxtG"/>
              <w:spacing w:after="0" w:line="220" w:lineRule="exact"/>
              <w:ind w:left="0" w:right="0" w:firstLine="170"/>
              <w:jc w:val="left"/>
              <w:rPr>
                <w:sz w:val="18"/>
              </w:rPr>
            </w:pPr>
            <w:r w:rsidRPr="004E5E8D">
              <w:rPr>
                <w:sz w:val="18"/>
              </w:rPr>
              <w:t>•</w:t>
            </w:r>
            <w:r w:rsidRPr="004E5E8D">
              <w:rPr>
                <w:sz w:val="18"/>
              </w:rPr>
              <w:tab/>
            </w:r>
            <w:r w:rsidRPr="004E5E8D">
              <w:rPr>
                <w:b/>
                <w:bCs/>
                <w:sz w:val="18"/>
              </w:rPr>
              <w:t>Health inequality</w:t>
            </w:r>
            <w:r w:rsidRPr="004E5E8D">
              <w:rPr>
                <w:sz w:val="18"/>
              </w:rPr>
              <w:t xml:space="preserve"> is the generic term used to designate differences, variations and disparities in the health achievements of individuals and groups. </w:t>
            </w:r>
          </w:p>
          <w:p w14:paraId="37E64F14" w14:textId="5694F282" w:rsidR="004E5E8D" w:rsidRPr="004E5E8D" w:rsidRDefault="004E5E8D" w:rsidP="004E5E8D">
            <w:pPr>
              <w:spacing w:line="220" w:lineRule="exact"/>
              <w:ind w:firstLine="170"/>
              <w:rPr>
                <w:sz w:val="18"/>
              </w:rPr>
            </w:pPr>
            <w:r w:rsidRPr="004E5E8D">
              <w:rPr>
                <w:sz w:val="18"/>
              </w:rPr>
              <w:t>•</w:t>
            </w:r>
            <w:r w:rsidRPr="004E5E8D">
              <w:rPr>
                <w:sz w:val="18"/>
              </w:rPr>
              <w:tab/>
            </w:r>
            <w:r w:rsidRPr="004E5E8D">
              <w:rPr>
                <w:b/>
                <w:bCs/>
                <w:sz w:val="18"/>
              </w:rPr>
              <w:t>Equity in health</w:t>
            </w:r>
            <w:r w:rsidRPr="004E5E8D">
              <w:rPr>
                <w:sz w:val="18"/>
              </w:rPr>
              <w:t xml:space="preserve"> means that people’s needs guide the distribution of opportunities for well</w:t>
            </w:r>
            <w:r w:rsidR="000772FD">
              <w:rPr>
                <w:sz w:val="18"/>
              </w:rPr>
              <w:t>-being.</w:t>
            </w:r>
          </w:p>
          <w:p w14:paraId="197495B3" w14:textId="77777777" w:rsidR="004E5E8D" w:rsidRPr="004E5E8D" w:rsidRDefault="004E5E8D" w:rsidP="004E5E8D">
            <w:pPr>
              <w:spacing w:line="220" w:lineRule="exact"/>
              <w:ind w:left="1134" w:right="1134" w:firstLine="170"/>
              <w:rPr>
                <w:sz w:val="18"/>
              </w:rPr>
            </w:pPr>
          </w:p>
        </w:tc>
      </w:tr>
      <w:tr w:rsidR="004E5E8D" w:rsidRPr="004E5E8D" w14:paraId="47522A15" w14:textId="77777777" w:rsidTr="004E5E8D">
        <w:trPr>
          <w:trHeight w:hRule="exact" w:val="20"/>
          <w:jc w:val="center"/>
        </w:trPr>
        <w:tc>
          <w:tcPr>
            <w:tcW w:w="7375" w:type="dxa"/>
            <w:tcBorders>
              <w:bottom w:val="single" w:sz="4" w:space="0" w:color="auto"/>
            </w:tcBorders>
            <w:shd w:val="clear" w:color="auto" w:fill="auto"/>
          </w:tcPr>
          <w:p w14:paraId="10206F15" w14:textId="77777777" w:rsidR="004E5E8D" w:rsidRPr="004E5E8D" w:rsidRDefault="004E5E8D" w:rsidP="00273A05">
            <w:pPr>
              <w:spacing w:before="120" w:line="220" w:lineRule="exact"/>
              <w:ind w:left="1134" w:right="1134" w:firstLine="170"/>
              <w:rPr>
                <w:sz w:val="18"/>
              </w:rPr>
            </w:pPr>
          </w:p>
        </w:tc>
      </w:tr>
    </w:tbl>
    <w:p w14:paraId="36253CF9" w14:textId="4C9685B4" w:rsidR="00A4359D" w:rsidRPr="00A4359D" w:rsidRDefault="00A4359D" w:rsidP="00273A05">
      <w:pPr>
        <w:pStyle w:val="FootnoteText"/>
        <w:spacing w:before="120"/>
      </w:pPr>
      <w:bookmarkStart w:id="5" w:name="_Hlk17458390"/>
      <w:r>
        <w:tab/>
      </w:r>
      <w:r w:rsidR="00B75634">
        <w:tab/>
      </w:r>
      <w:r w:rsidR="00B75634">
        <w:tab/>
      </w:r>
      <w:r w:rsidR="00C26423" w:rsidRPr="00F232E6">
        <w:rPr>
          <w:i/>
          <w:iCs/>
        </w:rPr>
        <w:t>Sources:</w:t>
      </w:r>
      <w:r w:rsidR="00C26423">
        <w:t xml:space="preserve"> D. Nutbeam, </w:t>
      </w:r>
      <w:r w:rsidR="00C26423" w:rsidRPr="00F232E6">
        <w:rPr>
          <w:i/>
          <w:iCs/>
        </w:rPr>
        <w:t>Health Promotion Glossary</w:t>
      </w:r>
      <w:r w:rsidR="00C26423">
        <w:t>, (Geneva, WHO, 1998);</w:t>
      </w:r>
      <w:r w:rsidR="00C26423" w:rsidRPr="00A4359D">
        <w:t xml:space="preserve"> </w:t>
      </w:r>
      <w:r w:rsidR="00C26423">
        <w:t xml:space="preserve">D. </w:t>
      </w:r>
      <w:r w:rsidRPr="00A4359D">
        <w:t xml:space="preserve">Kindig and </w:t>
      </w:r>
      <w:r w:rsidR="00C26423">
        <w:t xml:space="preserve">G. </w:t>
      </w:r>
      <w:r w:rsidRPr="00A4359D">
        <w:t>Stoddart</w:t>
      </w:r>
      <w:r w:rsidR="00C26423">
        <w:t xml:space="preserve">, </w:t>
      </w:r>
      <w:r w:rsidR="004A4A02" w:rsidRPr="004A4A02">
        <w:t>“</w:t>
      </w:r>
      <w:r w:rsidR="00C26423">
        <w:t xml:space="preserve">What is </w:t>
      </w:r>
      <w:r w:rsidR="00AE5F88">
        <w:t>p</w:t>
      </w:r>
      <w:r w:rsidR="00C26423">
        <w:t xml:space="preserve">opulation </w:t>
      </w:r>
      <w:r w:rsidR="00AE5F88">
        <w:t>h</w:t>
      </w:r>
      <w:r w:rsidR="00C26423">
        <w:t>ealth</w:t>
      </w:r>
      <w:r w:rsidR="000468E7">
        <w:t>?</w:t>
      </w:r>
      <w:r w:rsidR="000468E7" w:rsidRPr="000468E7">
        <w:t>”</w:t>
      </w:r>
      <w:r w:rsidR="00C26423">
        <w:t xml:space="preserve">, </w:t>
      </w:r>
      <w:r w:rsidR="00C26423" w:rsidRPr="00F232E6">
        <w:rPr>
          <w:i/>
          <w:iCs/>
        </w:rPr>
        <w:t>American Journal of Public Health</w:t>
      </w:r>
      <w:r w:rsidR="00C26423">
        <w:t xml:space="preserve"> </w:t>
      </w:r>
      <w:r w:rsidR="000468E7">
        <w:t>(</w:t>
      </w:r>
      <w:r w:rsidR="00C26423">
        <w:t>10 October 2011</w:t>
      </w:r>
      <w:r w:rsidR="000468E7">
        <w:t>)</w:t>
      </w:r>
      <w:r w:rsidR="00AE5F88">
        <w:t>.</w:t>
      </w:r>
      <w:r w:rsidR="00C26423">
        <w:t xml:space="preserve"> </w:t>
      </w:r>
      <w:r w:rsidR="00AE5F88">
        <w:t>A</w:t>
      </w:r>
      <w:r w:rsidR="00C26423">
        <w:t xml:space="preserve">vailable at </w:t>
      </w:r>
      <w:r w:rsidR="00C26423" w:rsidRPr="00C26423">
        <w:t>https://ajph.aphapublications.org/doi/10.2105/AJPH.93.3.380</w:t>
      </w:r>
      <w:r w:rsidR="00C26423">
        <w:t xml:space="preserve">; and I. </w:t>
      </w:r>
      <w:r w:rsidR="00C26423" w:rsidRPr="00C26423">
        <w:t xml:space="preserve">Kawachi, </w:t>
      </w:r>
      <w:r w:rsidR="00C26423">
        <w:t xml:space="preserve">I.V. </w:t>
      </w:r>
      <w:r w:rsidR="00C26423" w:rsidRPr="00C26423">
        <w:t>Subramanian</w:t>
      </w:r>
      <w:r w:rsidR="00C26423">
        <w:t xml:space="preserve"> and N.</w:t>
      </w:r>
      <w:r w:rsidR="00C26423" w:rsidRPr="00C26423">
        <w:t xml:space="preserve"> Almeida-Filho</w:t>
      </w:r>
      <w:r w:rsidR="00C26423">
        <w:t>,</w:t>
      </w:r>
      <w:r w:rsidR="00C26423" w:rsidRPr="00C26423">
        <w:t xml:space="preserve"> </w:t>
      </w:r>
      <w:r w:rsidR="004A4A02" w:rsidRPr="004A4A02">
        <w:t>“</w:t>
      </w:r>
      <w:r w:rsidR="00C26423" w:rsidRPr="00C26423">
        <w:t>A glossary for health inequalities</w:t>
      </w:r>
      <w:r w:rsidR="004A4A02" w:rsidRPr="004A4A02">
        <w:t>”</w:t>
      </w:r>
      <w:r w:rsidR="00C26423">
        <w:t>,</w:t>
      </w:r>
      <w:r w:rsidR="00C26423" w:rsidRPr="00C26423">
        <w:t xml:space="preserve"> </w:t>
      </w:r>
      <w:r w:rsidR="00C26423" w:rsidRPr="00F232E6">
        <w:rPr>
          <w:i/>
          <w:iCs/>
        </w:rPr>
        <w:t>Journal of Epidemiology and Community Health</w:t>
      </w:r>
      <w:r w:rsidR="00C26423" w:rsidRPr="00C26423">
        <w:t xml:space="preserve">, </w:t>
      </w:r>
      <w:r w:rsidR="00C26423">
        <w:t xml:space="preserve">vol. </w:t>
      </w:r>
      <w:r w:rsidR="00C26423" w:rsidRPr="00C26423">
        <w:t xml:space="preserve">56, </w:t>
      </w:r>
      <w:r w:rsidR="00C26423">
        <w:t>No. 9</w:t>
      </w:r>
      <w:r w:rsidR="00AE5F88">
        <w:t xml:space="preserve"> (2002)</w:t>
      </w:r>
      <w:r w:rsidR="00C26423">
        <w:t xml:space="preserve">, pp. </w:t>
      </w:r>
      <w:r w:rsidR="00C26423" w:rsidRPr="00C26423">
        <w:t>647</w:t>
      </w:r>
      <w:r w:rsidR="00C26423">
        <w:t>–</w:t>
      </w:r>
      <w:r w:rsidR="00C26423" w:rsidRPr="00C26423">
        <w:t xml:space="preserve">652. </w:t>
      </w:r>
      <w:r w:rsidR="00AE5F88">
        <w:t xml:space="preserve">Available at </w:t>
      </w:r>
      <w:r w:rsidR="00C26423" w:rsidRPr="00C26423">
        <w:t>https://doi.org/10.1136/jech.56.9.647</w:t>
      </w:r>
      <w:bookmarkEnd w:id="5"/>
      <w:r w:rsidR="00AE5F88">
        <w:t>.</w:t>
      </w:r>
      <w:r w:rsidRPr="00A4359D">
        <w:t xml:space="preserve"> </w:t>
      </w:r>
    </w:p>
    <w:p w14:paraId="3271BAA7" w14:textId="77777777" w:rsidR="008907A6" w:rsidRPr="004A71F8" w:rsidRDefault="008907A6" w:rsidP="008907A6">
      <w:pPr>
        <w:pStyle w:val="H1G"/>
      </w:pPr>
      <w:r>
        <w:tab/>
        <w:t>B.</w:t>
      </w:r>
      <w:r>
        <w:tab/>
      </w:r>
      <w:r w:rsidRPr="00E03398">
        <w:t>Framing health input</w:t>
      </w:r>
    </w:p>
    <w:p w14:paraId="501276C7" w14:textId="707211BD" w:rsidR="008907A6" w:rsidRPr="008907A6" w:rsidRDefault="008907A6" w:rsidP="008907A6">
      <w:pPr>
        <w:pStyle w:val="SingleTxtG"/>
      </w:pPr>
      <w:r w:rsidRPr="008907A6">
        <w:t>2</w:t>
      </w:r>
      <w:r w:rsidR="00413FFD">
        <w:t>3</w:t>
      </w:r>
      <w:r w:rsidRPr="008907A6">
        <w:t>.</w:t>
      </w:r>
      <w:r w:rsidRPr="008907A6">
        <w:tab/>
        <w:t>The present guidance looks at the context within which strategic environmental assessment is conducted and</w:t>
      </w:r>
      <w:r w:rsidR="00FE28DE">
        <w:t>,</w:t>
      </w:r>
      <w:r w:rsidRPr="008907A6">
        <w:t xml:space="preserve"> </w:t>
      </w:r>
      <w:r w:rsidR="00FE28DE">
        <w:t>subsequently,</w:t>
      </w:r>
      <w:r w:rsidRPr="008907A6">
        <w:t xml:space="preserve"> at the assessment’s format</w:t>
      </w:r>
      <w:r w:rsidR="00FE28DE">
        <w:t>,</w:t>
      </w:r>
      <w:r w:rsidRPr="008907A6">
        <w:t xml:space="preserve"> with a focus on human health.</w:t>
      </w:r>
    </w:p>
    <w:p w14:paraId="6F638F86" w14:textId="00E76AF3" w:rsidR="008907A6" w:rsidRPr="00D52C02" w:rsidRDefault="004F2CD5" w:rsidP="00790CED">
      <w:pPr>
        <w:spacing w:after="120"/>
        <w:ind w:left="1134" w:right="1134"/>
      </w:pPr>
      <w:r w:rsidRPr="004F2CD5">
        <w:lastRenderedPageBreak/>
        <w:t>Figure</w:t>
      </w:r>
      <w:r w:rsidR="00790CED">
        <w:t xml:space="preserve"> </w:t>
      </w:r>
      <w:r w:rsidR="005A2AA1">
        <w:t>I</w:t>
      </w:r>
      <w:r>
        <w:br/>
      </w:r>
      <w:r w:rsidRPr="004F2CD5">
        <w:tab/>
      </w:r>
      <w:r w:rsidRPr="004F2CD5">
        <w:rPr>
          <w:b/>
          <w:bCs/>
        </w:rPr>
        <w:t>Strategic environmental assessment: context and format – aspects to consider</w:t>
      </w:r>
    </w:p>
    <w:p w14:paraId="598602B6" w14:textId="77777777" w:rsidR="008907A6" w:rsidRDefault="004F2CD5" w:rsidP="00B30C82">
      <w:pPr>
        <w:spacing w:before="120" w:after="120"/>
        <w:ind w:left="1134" w:right="1134"/>
      </w:pPr>
      <w:r>
        <w:rPr>
          <w:noProof/>
          <w:lang w:val="en-US" w:eastAsia="zh-CN"/>
        </w:rPr>
        <w:drawing>
          <wp:inline distT="0" distB="0" distL="0" distR="0" wp14:anchorId="7278FD64" wp14:editId="269DE65B">
            <wp:extent cx="4456430" cy="3554095"/>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6430" cy="3554095"/>
                    </a:xfrm>
                    <a:prstGeom prst="rect">
                      <a:avLst/>
                    </a:prstGeom>
                    <a:noFill/>
                  </pic:spPr>
                </pic:pic>
              </a:graphicData>
            </a:graphic>
          </wp:inline>
        </w:drawing>
      </w:r>
    </w:p>
    <w:p w14:paraId="350FCC9E" w14:textId="77777777" w:rsidR="00FE28DE" w:rsidRDefault="00FE28DE" w:rsidP="008F1C5E">
      <w:pPr>
        <w:spacing w:before="120"/>
        <w:ind w:left="1134"/>
        <w:rPr>
          <w:rStyle w:val="FootnoteTextChar"/>
        </w:rPr>
      </w:pPr>
      <w:r>
        <w:rPr>
          <w:rStyle w:val="FootnoteTextChar"/>
          <w:i/>
          <w:iCs/>
        </w:rPr>
        <w:t xml:space="preserve">Abbreviations: </w:t>
      </w:r>
      <w:r w:rsidRPr="00F232E6">
        <w:rPr>
          <w:rStyle w:val="FootnoteTextChar"/>
        </w:rPr>
        <w:t>SEA, strategic environmental assessment.</w:t>
      </w:r>
    </w:p>
    <w:p w14:paraId="0522E3DA" w14:textId="27A82358" w:rsidR="00803601" w:rsidRPr="00E06F39" w:rsidRDefault="00803601" w:rsidP="008F1C5E">
      <w:pPr>
        <w:spacing w:before="120"/>
        <w:ind w:left="1134"/>
      </w:pPr>
      <w:r w:rsidRPr="00F232E6">
        <w:rPr>
          <w:rStyle w:val="FootnoteTextChar"/>
          <w:i/>
          <w:iCs/>
        </w:rPr>
        <w:t>Source:</w:t>
      </w:r>
      <w:r w:rsidRPr="00FE4ADD">
        <w:rPr>
          <w:rStyle w:val="FootnoteTextChar"/>
        </w:rPr>
        <w:t xml:space="preserve"> adapted from </w:t>
      </w:r>
      <w:r w:rsidR="00E001AD">
        <w:rPr>
          <w:rStyle w:val="FootnoteTextChar"/>
        </w:rPr>
        <w:t xml:space="preserve">T.B. </w:t>
      </w:r>
      <w:r w:rsidRPr="00FE4ADD">
        <w:rPr>
          <w:rStyle w:val="FootnoteTextChar"/>
        </w:rPr>
        <w:t>Fischer</w:t>
      </w:r>
      <w:r w:rsidR="00E001AD">
        <w:rPr>
          <w:rStyle w:val="FootnoteTextChar"/>
        </w:rPr>
        <w:t>, Health in</w:t>
      </w:r>
      <w:r w:rsidR="005E2F34">
        <w:rPr>
          <w:rStyle w:val="FootnoteTextChar"/>
        </w:rPr>
        <w:t xml:space="preserve"> SEA</w:t>
      </w:r>
      <w:r w:rsidR="00E001AD">
        <w:rPr>
          <w:rStyle w:val="FootnoteTextChar"/>
        </w:rPr>
        <w:t xml:space="preserve">, in </w:t>
      </w:r>
      <w:r w:rsidR="00E001AD" w:rsidRPr="00F232E6">
        <w:rPr>
          <w:rStyle w:val="FootnoteTextChar"/>
          <w:i/>
          <w:iCs/>
        </w:rPr>
        <w:t>Health in Impact Assessments: Opportunities not</w:t>
      </w:r>
      <w:r w:rsidR="00C46B85">
        <w:rPr>
          <w:rStyle w:val="FootnoteTextChar"/>
          <w:i/>
          <w:iCs/>
        </w:rPr>
        <w:br/>
      </w:r>
      <w:r w:rsidR="00E001AD" w:rsidRPr="00F232E6">
        <w:rPr>
          <w:rStyle w:val="FootnoteTextChar"/>
          <w:i/>
          <w:iCs/>
        </w:rPr>
        <w:t>to be missed</w:t>
      </w:r>
      <w:r w:rsidR="00E001AD">
        <w:rPr>
          <w:rStyle w:val="FootnoteTextChar"/>
        </w:rPr>
        <w:t xml:space="preserve">, </w:t>
      </w:r>
      <w:r w:rsidR="00E001AD" w:rsidRPr="00E001AD">
        <w:rPr>
          <w:rStyle w:val="FootnoteTextChar"/>
        </w:rPr>
        <w:t>R</w:t>
      </w:r>
      <w:r w:rsidR="00E001AD">
        <w:rPr>
          <w:rStyle w:val="FootnoteTextChar"/>
        </w:rPr>
        <w:t>.</w:t>
      </w:r>
      <w:r w:rsidR="00E001AD" w:rsidRPr="00E001AD">
        <w:rPr>
          <w:rStyle w:val="FootnoteTextChar"/>
        </w:rPr>
        <w:t xml:space="preserve"> Fehr</w:t>
      </w:r>
      <w:r w:rsidR="005C6360">
        <w:rPr>
          <w:rStyle w:val="FootnoteTextChar"/>
        </w:rPr>
        <w:t xml:space="preserve"> and others</w:t>
      </w:r>
      <w:r w:rsidR="00E001AD" w:rsidRPr="00E001AD">
        <w:rPr>
          <w:rStyle w:val="FootnoteTextChar"/>
        </w:rPr>
        <w:t xml:space="preserve">, </w:t>
      </w:r>
      <w:r w:rsidR="006B31EA">
        <w:rPr>
          <w:rStyle w:val="FootnoteTextChar"/>
        </w:rPr>
        <w:t>eds. (Copenhagen, WHO Regional Office for Europe, 2014).</w:t>
      </w:r>
      <w:r w:rsidRPr="00E06F39">
        <w:t xml:space="preserve"> </w:t>
      </w:r>
    </w:p>
    <w:p w14:paraId="268BCC9B" w14:textId="77777777" w:rsidR="00803601" w:rsidRPr="00803601" w:rsidRDefault="00803601" w:rsidP="00803601">
      <w:pPr>
        <w:pStyle w:val="H1G"/>
      </w:pPr>
      <w:r>
        <w:tab/>
        <w:t>C.</w:t>
      </w:r>
      <w:r>
        <w:tab/>
      </w:r>
      <w:r w:rsidRPr="00803601">
        <w:t>The context for strategic environmental assessment</w:t>
      </w:r>
    </w:p>
    <w:p w14:paraId="5C3528CE" w14:textId="77777777" w:rsidR="00803601" w:rsidRDefault="00803601" w:rsidP="00803601">
      <w:pPr>
        <w:pStyle w:val="H23G"/>
      </w:pPr>
      <w:r>
        <w:tab/>
        <w:t>1.</w:t>
      </w:r>
      <w:r>
        <w:tab/>
      </w:r>
      <w:r>
        <w:tab/>
      </w:r>
      <w:r w:rsidRPr="00482D47">
        <w:t xml:space="preserve">Level of </w:t>
      </w:r>
      <w:r>
        <w:t>detail</w:t>
      </w:r>
    </w:p>
    <w:p w14:paraId="7E6B4026" w14:textId="57DB54A7" w:rsidR="00803601" w:rsidRPr="00180ADE" w:rsidRDefault="00803601" w:rsidP="00180ADE">
      <w:pPr>
        <w:pStyle w:val="SingleTxtG"/>
      </w:pPr>
      <w:r w:rsidRPr="00180ADE">
        <w:t>2</w:t>
      </w:r>
      <w:r w:rsidR="00413FFD">
        <w:t>4</w:t>
      </w:r>
      <w:r w:rsidRPr="00180ADE">
        <w:t>.</w:t>
      </w:r>
      <w:r w:rsidRPr="00180ADE">
        <w:tab/>
        <w:t xml:space="preserve">The level of detail that is available to analyse and to report upon is determined by the strategic document (plan, programme, policy or legislation) being assessed. For example, there tends to be more geographic, technological process or population specificity (and therefore more detail to explore) on the implications of implementing a plan or programme compared to implementing legislation or policy. This is important for deciding on reasonable alternatives and issues to be considered </w:t>
      </w:r>
      <w:r w:rsidR="002C3C76">
        <w:t>and</w:t>
      </w:r>
      <w:r w:rsidRPr="00180ADE">
        <w:t xml:space="preserve"> how to integrate health into strategic environmental assessment. </w:t>
      </w:r>
    </w:p>
    <w:p w14:paraId="7388DF6C" w14:textId="711DA6E6" w:rsidR="00803601" w:rsidRPr="00180ADE" w:rsidRDefault="00803601" w:rsidP="00180ADE">
      <w:pPr>
        <w:pStyle w:val="SingleTxtG"/>
      </w:pPr>
      <w:r w:rsidRPr="00180ADE">
        <w:t>2</w:t>
      </w:r>
      <w:r w:rsidR="00413FFD">
        <w:t>5</w:t>
      </w:r>
      <w:r w:rsidRPr="00180ADE">
        <w:t>.</w:t>
      </w:r>
      <w:r w:rsidRPr="00180ADE">
        <w:tab/>
        <w:t xml:space="preserve">An important consideration is how specific the assessment can be about the likely population health changes. In some cases, </w:t>
      </w:r>
      <w:r w:rsidR="000247B4">
        <w:t xml:space="preserve">for example, </w:t>
      </w:r>
      <w:r w:rsidRPr="00180ADE">
        <w:t>in cross-border cooperation programmes, the focus may be on national population health</w:t>
      </w:r>
      <w:r w:rsidR="006903FD">
        <w:t>,</w:t>
      </w:r>
      <w:r w:rsidRPr="00180ADE">
        <w:t xml:space="preserve"> with some scope for differentiation of geographic populations, determinants of health or health outcomes. In other cases, there is more scope to identify relevant populations, specific determinants of health and</w:t>
      </w:r>
      <w:r w:rsidR="006903FD">
        <w:t>,</w:t>
      </w:r>
      <w:r w:rsidRPr="00180ADE">
        <w:t xml:space="preserve"> broadly</w:t>
      </w:r>
      <w:r w:rsidR="006903FD">
        <w:t>,</w:t>
      </w:r>
      <w:r w:rsidRPr="00180ADE">
        <w:t xml:space="preserve"> the key health outcomes (</w:t>
      </w:r>
      <w:r w:rsidR="000247B4">
        <w:t xml:space="preserve">for example, </w:t>
      </w:r>
      <w:r w:rsidRPr="00180ADE">
        <w:t>national resource management plans for sectors listed in art</w:t>
      </w:r>
      <w:r w:rsidR="000247B4">
        <w:t>.</w:t>
      </w:r>
      <w:r w:rsidRPr="00180ADE">
        <w:t xml:space="preserve"> 4 </w:t>
      </w:r>
      <w:r w:rsidR="000247B4">
        <w:t>(</w:t>
      </w:r>
      <w:r w:rsidRPr="00180ADE">
        <w:t>2</w:t>
      </w:r>
      <w:r w:rsidR="000247B4">
        <w:t>)</w:t>
      </w:r>
      <w:r w:rsidR="00F232E6">
        <w:t xml:space="preserve"> of the Protocol</w:t>
      </w:r>
      <w:r w:rsidRPr="00180ADE">
        <w:t>).</w:t>
      </w:r>
    </w:p>
    <w:p w14:paraId="64F0288B" w14:textId="1998AD2F" w:rsidR="00803601" w:rsidRPr="00180ADE" w:rsidRDefault="00803601" w:rsidP="00180ADE">
      <w:pPr>
        <w:pStyle w:val="SingleTxtG"/>
      </w:pPr>
      <w:r w:rsidRPr="00180ADE">
        <w:t>2</w:t>
      </w:r>
      <w:r w:rsidR="00413FFD">
        <w:t>6</w:t>
      </w:r>
      <w:r w:rsidRPr="00180ADE">
        <w:t>.</w:t>
      </w:r>
      <w:r w:rsidRPr="00180ADE">
        <w:tab/>
        <w:t>In all cases</w:t>
      </w:r>
      <w:r w:rsidR="006903FD">
        <w:t>,</w:t>
      </w:r>
      <w:r w:rsidRPr="00180ADE">
        <w:t xml:space="preserve"> the level of detail should be proportionate to the identification of the likely significant effects on health of implementing the plan/programme and its reasonable alternatives. </w:t>
      </w:r>
    </w:p>
    <w:p w14:paraId="6C505581" w14:textId="7623AF88" w:rsidR="00803601" w:rsidRPr="00D52C02" w:rsidRDefault="00803601" w:rsidP="00180ADE">
      <w:pPr>
        <w:pStyle w:val="SingleTxtG"/>
      </w:pPr>
      <w:r w:rsidRPr="00180ADE">
        <w:t>2</w:t>
      </w:r>
      <w:r w:rsidR="00413FFD">
        <w:t>7</w:t>
      </w:r>
      <w:r w:rsidRPr="00180ADE">
        <w:t>.</w:t>
      </w:r>
      <w:r w:rsidRPr="00180ADE">
        <w:tab/>
        <w:t>Given the strategic (and</w:t>
      </w:r>
      <w:r w:rsidR="00D7457E">
        <w:t>,</w:t>
      </w:r>
      <w:r w:rsidRPr="00180ADE">
        <w:t xml:space="preserve"> typically</w:t>
      </w:r>
      <w:r w:rsidR="00D7457E">
        <w:t>,</w:t>
      </w:r>
      <w:r w:rsidRPr="00180ADE">
        <w:t xml:space="preserve"> long-term) nature of the assessment, detail on emerging population health issues and health priorities can be particularly important to capture and reflect within the strategic environmental assessment.</w:t>
      </w:r>
    </w:p>
    <w:p w14:paraId="60ED1D1D" w14:textId="77777777" w:rsidR="00803601" w:rsidRPr="00C5493F" w:rsidRDefault="002D23AF" w:rsidP="002D23AF">
      <w:pPr>
        <w:pStyle w:val="H23G"/>
      </w:pPr>
      <w:r>
        <w:lastRenderedPageBreak/>
        <w:tab/>
      </w:r>
      <w:r w:rsidR="00803601">
        <w:t>2.</w:t>
      </w:r>
      <w:r w:rsidR="00803601">
        <w:tab/>
      </w:r>
      <w:r w:rsidR="00803601" w:rsidRPr="00C5493F">
        <w:t>Institutional capacity</w:t>
      </w:r>
    </w:p>
    <w:p w14:paraId="0382C711" w14:textId="0D0ED31E" w:rsidR="00803601" w:rsidRPr="00C32E92" w:rsidRDefault="00803601" w:rsidP="002D23AF">
      <w:pPr>
        <w:pStyle w:val="SingleTxtG"/>
      </w:pPr>
      <w:r>
        <w:t>2</w:t>
      </w:r>
      <w:r w:rsidR="00413FFD">
        <w:t>8</w:t>
      </w:r>
      <w:r>
        <w:t>.</w:t>
      </w:r>
      <w:r>
        <w:tab/>
      </w:r>
      <w:r w:rsidRPr="00C32E92">
        <w:t xml:space="preserve">Even if integration of health in strategic environmental assessment is strongly desired, it may be difficult to achieve because of </w:t>
      </w:r>
      <w:r>
        <w:t xml:space="preserve">low </w:t>
      </w:r>
      <w:r w:rsidRPr="00C32E92">
        <w:t xml:space="preserve">institutional capacity. For example, in </w:t>
      </w:r>
      <w:r>
        <w:t xml:space="preserve">some </w:t>
      </w:r>
      <w:r w:rsidRPr="00C32E92">
        <w:t>countries</w:t>
      </w:r>
      <w:r w:rsidR="00D7457E">
        <w:t>,</w:t>
      </w:r>
      <w:r w:rsidRPr="00C32E92">
        <w:t xml:space="preserve"> different </w:t>
      </w:r>
      <w:r>
        <w:t xml:space="preserve">government sectors </w:t>
      </w:r>
      <w:r w:rsidRPr="00C32E92">
        <w:t>are used to act</w:t>
      </w:r>
      <w:r>
        <w:t>ing</w:t>
      </w:r>
      <w:r w:rsidRPr="00C32E92">
        <w:t xml:space="preserve"> autonomously and may find closer cooperation difficult</w:t>
      </w:r>
      <w:r>
        <w:t>.</w:t>
      </w:r>
      <w:r w:rsidRPr="002D23AF">
        <w:rPr>
          <w:vertAlign w:val="superscript"/>
        </w:rPr>
        <w:footnoteReference w:id="17"/>
      </w:r>
      <w:r w:rsidRPr="00C32E92">
        <w:t xml:space="preserve"> Furthermore, technical and/or financial capacity to deal with specific substantive issues all at once may be limited. This is because</w:t>
      </w:r>
      <w:r w:rsidR="00FC1EF0">
        <w:t>,</w:t>
      </w:r>
      <w:r w:rsidRPr="00C32E92">
        <w:t xml:space="preserve"> on the one hand, more aspects may mean that more data may need to be processed</w:t>
      </w:r>
      <w:r w:rsidR="00FC1EF0">
        <w:t xml:space="preserve"> and,</w:t>
      </w:r>
      <w:r w:rsidRPr="00C32E92">
        <w:t xml:space="preserve"> on the other hand, </w:t>
      </w:r>
      <w:r>
        <w:t>covering</w:t>
      </w:r>
      <w:r w:rsidRPr="00C32E92">
        <w:t xml:space="preserve"> a range of issues in assessment may also mean having to manage the involvement of (potentially too) many people. The Resource Manual</w:t>
      </w:r>
      <w:r w:rsidR="00BE2339" w:rsidRPr="00BE2339">
        <w:t xml:space="preserve"> states that developing appropriate institutional capacity is key to effective implementation of the Protocol</w:t>
      </w:r>
      <w:r w:rsidR="00BE2339">
        <w:t>.</w:t>
      </w:r>
      <w:r w:rsidR="00021FFB">
        <w:rPr>
          <w:rStyle w:val="FootnoteReference"/>
        </w:rPr>
        <w:footnoteReference w:id="18"/>
      </w:r>
      <w:r>
        <w:t xml:space="preserve"> </w:t>
      </w:r>
    </w:p>
    <w:p w14:paraId="574D3710" w14:textId="190D9A99" w:rsidR="00CD25F0" w:rsidRDefault="00413FFD" w:rsidP="002D23AF">
      <w:pPr>
        <w:pStyle w:val="SingleTxtG"/>
      </w:pPr>
      <w:r>
        <w:t>29</w:t>
      </w:r>
      <w:r w:rsidR="00803601">
        <w:t>.</w:t>
      </w:r>
      <w:r w:rsidR="00803601">
        <w:tab/>
      </w:r>
      <w:r w:rsidR="00803601" w:rsidRPr="00C32E92">
        <w:t>In this context</w:t>
      </w:r>
      <w:r w:rsidR="00803601" w:rsidRPr="004B728F">
        <w:t>, the implementation reports</w:t>
      </w:r>
      <w:r w:rsidR="00803601" w:rsidRPr="00C32E92">
        <w:t xml:space="preserve"> of the Protocol</w:t>
      </w:r>
      <w:r w:rsidR="00803601">
        <w:rPr>
          <w:rStyle w:val="FootnoteReference"/>
        </w:rPr>
        <w:footnoteReference w:id="19"/>
      </w:r>
      <w:r w:rsidR="00803601" w:rsidRPr="00C32E92">
        <w:t xml:space="preserve"> are important </w:t>
      </w:r>
      <w:r w:rsidR="00BE2339">
        <w:t>tool</w:t>
      </w:r>
      <w:r w:rsidR="00BE2339" w:rsidRPr="00C32E92">
        <w:t xml:space="preserve">s </w:t>
      </w:r>
      <w:r w:rsidR="00803601" w:rsidRPr="00C32E92">
        <w:t>for understanding specific capacity needs.</w:t>
      </w:r>
      <w:r w:rsidR="00803601">
        <w:t xml:space="preserve"> Article 3 </w:t>
      </w:r>
      <w:r w:rsidR="001140BE">
        <w:t>(</w:t>
      </w:r>
      <w:r w:rsidR="00803601">
        <w:t>3</w:t>
      </w:r>
      <w:r w:rsidR="001140BE">
        <w:t>)</w:t>
      </w:r>
      <w:r w:rsidR="00803601">
        <w:t xml:space="preserve"> requires</w:t>
      </w:r>
      <w:r w:rsidR="00CD25F0">
        <w:t xml:space="preserve"> that:</w:t>
      </w:r>
      <w:r w:rsidR="00803601">
        <w:t xml:space="preserve"> </w:t>
      </w:r>
    </w:p>
    <w:p w14:paraId="65112C03" w14:textId="39F0AF3B" w:rsidR="00CD25F0" w:rsidRDefault="00CD25F0" w:rsidP="00CD25F0">
      <w:pPr>
        <w:pStyle w:val="SingleTxtG"/>
        <w:ind w:left="1701"/>
      </w:pPr>
      <w:r>
        <w:t>E</w:t>
      </w:r>
      <w:r w:rsidR="00803601" w:rsidRPr="00E939F8">
        <w:t>ach Party shall provide for appropriate recognition of and support to associations, organizations or groups promoting environmental, including health, protection in the context of this Protocol.</w:t>
      </w:r>
      <w:r w:rsidR="00803601" w:rsidRPr="00C32E92">
        <w:t xml:space="preserve"> </w:t>
      </w:r>
    </w:p>
    <w:p w14:paraId="4B1B8F5F" w14:textId="6D12CEC9" w:rsidR="00803601" w:rsidRPr="00C32E92" w:rsidRDefault="00803601" w:rsidP="00CD25F0">
      <w:pPr>
        <w:pStyle w:val="SingleTxtG"/>
      </w:pPr>
      <w:r w:rsidRPr="00C32E92">
        <w:t xml:space="preserve">The national ratification of the Protocol is </w:t>
      </w:r>
      <w:r>
        <w:t xml:space="preserve">therefore </w:t>
      </w:r>
      <w:r w:rsidRPr="00C32E92">
        <w:t xml:space="preserve">a lever within countries for public sector teams involved in strategic environmental assessment to request appropriate additional government funding to allow them to fulfil the </w:t>
      </w:r>
      <w:r w:rsidR="00ED553F">
        <w:t xml:space="preserve">Protocol’s </w:t>
      </w:r>
      <w:r w:rsidRPr="00C32E92">
        <w:t>requirements.</w:t>
      </w:r>
      <w:r>
        <w:t xml:space="preserve"> </w:t>
      </w:r>
      <w:r w:rsidRPr="00C32E92">
        <w:t>It is recommended that request</w:t>
      </w:r>
      <w:r w:rsidR="005C1D2C">
        <w:t>s for</w:t>
      </w:r>
      <w:r w:rsidRPr="00C32E92">
        <w:t xml:space="preserve"> such additional funding </w:t>
      </w:r>
      <w:r w:rsidR="00CE1C63">
        <w:t>be</w:t>
      </w:r>
      <w:r w:rsidRPr="00C32E92">
        <w:t xml:space="preserve"> led and/or coordinated by public health professionals and ringfenced for personnel time, intersectoral/administration working and training relating to strategic environmental assessment.</w:t>
      </w:r>
    </w:p>
    <w:p w14:paraId="7B581230" w14:textId="77777777" w:rsidR="00803601" w:rsidRPr="00C5493F" w:rsidRDefault="00C90CA6" w:rsidP="00C90CA6">
      <w:pPr>
        <w:pStyle w:val="H23G"/>
      </w:pPr>
      <w:r>
        <w:tab/>
      </w:r>
      <w:r w:rsidR="00803601">
        <w:t>3.</w:t>
      </w:r>
      <w:r>
        <w:tab/>
      </w:r>
      <w:r w:rsidR="00803601">
        <w:tab/>
        <w:t>Requirements</w:t>
      </w:r>
    </w:p>
    <w:p w14:paraId="7CBEC41A" w14:textId="1D134B82" w:rsidR="00803601" w:rsidRPr="00D978D1" w:rsidRDefault="00803601" w:rsidP="001D2A45">
      <w:pPr>
        <w:pStyle w:val="SingleTxtG"/>
      </w:pPr>
      <w:r>
        <w:t>3</w:t>
      </w:r>
      <w:r w:rsidR="00413FFD">
        <w:t>0</w:t>
      </w:r>
      <w:r>
        <w:t>.</w:t>
      </w:r>
      <w:r>
        <w:tab/>
      </w:r>
      <w:r w:rsidRPr="00D978D1">
        <w:t xml:space="preserve">Socioeconomic, environmental and health objectives defined in legislation and guidance </w:t>
      </w:r>
      <w:r>
        <w:t>(</w:t>
      </w:r>
      <w:r w:rsidR="000247B4">
        <w:t xml:space="preserve">for example, </w:t>
      </w:r>
      <w:r w:rsidRPr="00D978D1">
        <w:t xml:space="preserve">in different sectors and </w:t>
      </w:r>
      <w:r w:rsidR="005C1D2C">
        <w:t xml:space="preserve">at </w:t>
      </w:r>
      <w:r w:rsidRPr="00D978D1">
        <w:t>different administrative levels</w:t>
      </w:r>
      <w:r>
        <w:t>)</w:t>
      </w:r>
      <w:r w:rsidRPr="00D978D1">
        <w:t xml:space="preserve"> are not always fully compatible. Therefore, a compatibility test </w:t>
      </w:r>
      <w:r>
        <w:t xml:space="preserve">can be </w:t>
      </w:r>
      <w:r w:rsidRPr="00D978D1">
        <w:t>an initial task in strategic environmental assessment. If there is inconsistency, integration of issues representing different dimensions (</w:t>
      </w:r>
      <w:r w:rsidR="000247B4">
        <w:t xml:space="preserve">for example, </w:t>
      </w:r>
      <w:r w:rsidRPr="00D978D1">
        <w:t>biophysical, social, economic</w:t>
      </w:r>
      <w:r>
        <w:t xml:space="preserve"> and</w:t>
      </w:r>
      <w:r w:rsidRPr="00D978D1">
        <w:t xml:space="preserve"> behavioural) can be problematic. </w:t>
      </w:r>
      <w:r>
        <w:t>It is good practice for h</w:t>
      </w:r>
      <w:r w:rsidRPr="00D978D1">
        <w:t xml:space="preserve">ealth aspects </w:t>
      </w:r>
      <w:r>
        <w:t>to</w:t>
      </w:r>
      <w:r w:rsidRPr="00D978D1">
        <w:t xml:space="preserve"> be considered at the scoping stage</w:t>
      </w:r>
      <w:r w:rsidR="005C1D2C">
        <w:t>;</w:t>
      </w:r>
      <w:r w:rsidRPr="00D978D1">
        <w:t xml:space="preserve"> in particular when making an analysis of </w:t>
      </w:r>
      <w:r w:rsidR="005C1D2C">
        <w:t xml:space="preserve">the </w:t>
      </w:r>
      <w:r w:rsidRPr="00D978D1">
        <w:t>compatibility of the socioeconomic, environmental and health objectives</w:t>
      </w:r>
      <w:r>
        <w:t>.</w:t>
      </w:r>
    </w:p>
    <w:p w14:paraId="3D7625A3" w14:textId="08447CD7" w:rsidR="00803601" w:rsidRPr="00D978D1" w:rsidRDefault="00803601" w:rsidP="001D2A45">
      <w:pPr>
        <w:pStyle w:val="SingleTxtG"/>
        <w:ind w:firstLine="567"/>
      </w:pPr>
      <w:r>
        <w:t>(a)</w:t>
      </w:r>
      <w:r>
        <w:tab/>
      </w:r>
      <w:r w:rsidRPr="00D978D1">
        <w:t>In some case</w:t>
      </w:r>
      <w:r>
        <w:t>s</w:t>
      </w:r>
      <w:r w:rsidR="005C1D2C">
        <w:t>,</w:t>
      </w:r>
      <w:r w:rsidRPr="00D978D1">
        <w:t xml:space="preserve"> integration reinforces beneficial health outcomes</w:t>
      </w:r>
      <w:r>
        <w:t xml:space="preserve"> (see </w:t>
      </w:r>
      <w:r w:rsidR="00CD25F0">
        <w:t>box 3 below</w:t>
      </w:r>
      <w:r>
        <w:t>);</w:t>
      </w:r>
      <w:r w:rsidRPr="00D978D1">
        <w:t xml:space="preserve"> </w:t>
      </w:r>
    </w:p>
    <w:p w14:paraId="788EB25B" w14:textId="6A76EC15" w:rsidR="00803601" w:rsidRPr="00D978D1" w:rsidRDefault="00803601" w:rsidP="001D2A45">
      <w:pPr>
        <w:pStyle w:val="SingleTxtG"/>
        <w:ind w:firstLine="567"/>
      </w:pPr>
      <w:r>
        <w:t>(b)</w:t>
      </w:r>
      <w:r>
        <w:tab/>
      </w:r>
      <w:r w:rsidRPr="00D978D1">
        <w:t xml:space="preserve">In other cases, integration can </w:t>
      </w:r>
      <w:r>
        <w:t xml:space="preserve">lead to </w:t>
      </w:r>
      <w:r w:rsidRPr="00D978D1">
        <w:t xml:space="preserve">conflict </w:t>
      </w:r>
      <w:r>
        <w:t>between objectives</w:t>
      </w:r>
      <w:r w:rsidRPr="00D978D1">
        <w:t xml:space="preserve">. For example, a policy to protect biodiversity or cultural heritage may restrict </w:t>
      </w:r>
      <w:r>
        <w:t xml:space="preserve">the </w:t>
      </w:r>
      <w:r w:rsidRPr="00D978D1">
        <w:t xml:space="preserve">use of </w:t>
      </w:r>
      <w:r>
        <w:t xml:space="preserve">green or blue </w:t>
      </w:r>
      <w:r w:rsidRPr="00D978D1">
        <w:t xml:space="preserve">space </w:t>
      </w:r>
      <w:r>
        <w:t>for physical activity and access to nature</w:t>
      </w:r>
      <w:r w:rsidR="005C1D2C">
        <w:t>,</w:t>
      </w:r>
      <w:r>
        <w:t xml:space="preserve"> both of which are beneficial for physical and mental health; </w:t>
      </w:r>
    </w:p>
    <w:p w14:paraId="155D4C97" w14:textId="6ACB4913" w:rsidR="00803601" w:rsidRPr="00D978D1" w:rsidRDefault="00803601" w:rsidP="001D2A45">
      <w:pPr>
        <w:pStyle w:val="SingleTxtG"/>
        <w:ind w:firstLine="567"/>
      </w:pPr>
      <w:r>
        <w:t>(c)</w:t>
      </w:r>
      <w:r>
        <w:tab/>
      </w:r>
      <w:r w:rsidRPr="00D978D1">
        <w:t xml:space="preserve">Alternatively, conflicts may exist across the lifecycle of a population. For example, an economic policy may reduce health risks for working age people through better employment, but the </w:t>
      </w:r>
      <w:r>
        <w:t>policy may also lead to increase</w:t>
      </w:r>
      <w:r w:rsidR="00654D4F">
        <w:t>d</w:t>
      </w:r>
      <w:r>
        <w:t xml:space="preserve"> </w:t>
      </w:r>
      <w:r w:rsidRPr="00D978D1">
        <w:t>emissions</w:t>
      </w:r>
      <w:r w:rsidR="005C1D2C">
        <w:t>,</w:t>
      </w:r>
      <w:r w:rsidRPr="00D978D1">
        <w:t xml:space="preserve"> </w:t>
      </w:r>
      <w:r>
        <w:t xml:space="preserve">in turn </w:t>
      </w:r>
      <w:r w:rsidRPr="00D978D1">
        <w:t>increas</w:t>
      </w:r>
      <w:r w:rsidR="00654D4F">
        <w:t>ing</w:t>
      </w:r>
      <w:r w:rsidRPr="00D978D1">
        <w:t xml:space="preserve"> health risks for the young and </w:t>
      </w:r>
      <w:r>
        <w:t xml:space="preserve">the </w:t>
      </w:r>
      <w:r w:rsidRPr="00D978D1">
        <w:t xml:space="preserve">frail elderly. </w:t>
      </w:r>
    </w:p>
    <w:p w14:paraId="374FF654" w14:textId="77777777" w:rsidR="00803601" w:rsidRDefault="00803601" w:rsidP="00B30C82">
      <w:pPr>
        <w:spacing w:before="120" w:after="120"/>
        <w:ind w:left="1134" w:right="1134"/>
      </w:pPr>
    </w:p>
    <w:p w14:paraId="11A9B435" w14:textId="3E517538" w:rsidR="001056FF" w:rsidRDefault="001056FF" w:rsidP="00B30C82">
      <w:pPr>
        <w:spacing w:before="120" w:after="120"/>
        <w:ind w:left="1134" w:right="1134"/>
      </w:pPr>
    </w:p>
    <w:p w14:paraId="560AAFE5" w14:textId="77777777" w:rsidR="001C717B" w:rsidRDefault="001C717B" w:rsidP="00B30C82">
      <w:pPr>
        <w:spacing w:before="120" w:after="120"/>
        <w:ind w:left="1134" w:right="1134"/>
      </w:pPr>
    </w:p>
    <w:p w14:paraId="7867657A" w14:textId="49408E0E" w:rsidR="001056FF" w:rsidRPr="00D978D1" w:rsidRDefault="001056FF" w:rsidP="006A54EB">
      <w:pPr>
        <w:pStyle w:val="Caption"/>
        <w:jc w:val="left"/>
      </w:pPr>
      <w:bookmarkStart w:id="6" w:name="_Ref16768661"/>
      <w:bookmarkStart w:id="7" w:name="_Toc16761662"/>
      <w:bookmarkStart w:id="8" w:name="_Toc17216036"/>
      <w:r w:rsidRPr="001056FF">
        <w:rPr>
          <w:b w:val="0"/>
          <w:bCs w:val="0"/>
        </w:rPr>
        <w:lastRenderedPageBreak/>
        <w:t>Box</w:t>
      </w:r>
      <w:r w:rsidR="006A54EB">
        <w:rPr>
          <w:b w:val="0"/>
          <w:bCs w:val="0"/>
        </w:rPr>
        <w:t xml:space="preserve"> </w:t>
      </w:r>
      <w:r w:rsidRPr="001056FF">
        <w:rPr>
          <w:b w:val="0"/>
          <w:bCs w:val="0"/>
          <w:noProof/>
        </w:rPr>
        <w:t>3</w:t>
      </w:r>
      <w:bookmarkEnd w:id="6"/>
      <w:r>
        <w:br/>
      </w:r>
      <w:r w:rsidRPr="00D978D1">
        <w:tab/>
        <w:t>Health co-benefits from mitigating climate change</w:t>
      </w:r>
      <w:bookmarkEnd w:id="7"/>
      <w:bookmarkEnd w:id="8"/>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C3359" w:rsidRPr="002C3359" w14:paraId="5596C849" w14:textId="77777777" w:rsidTr="00A0514B">
        <w:trPr>
          <w:trHeight w:hRule="exact" w:val="240"/>
          <w:jc w:val="center"/>
        </w:trPr>
        <w:tc>
          <w:tcPr>
            <w:tcW w:w="7654" w:type="dxa"/>
            <w:tcBorders>
              <w:top w:val="single" w:sz="4" w:space="0" w:color="auto"/>
            </w:tcBorders>
            <w:shd w:val="clear" w:color="auto" w:fill="auto"/>
          </w:tcPr>
          <w:p w14:paraId="31AD049D" w14:textId="77777777" w:rsidR="002C3359" w:rsidRPr="002C3359" w:rsidRDefault="002C3359" w:rsidP="002C3359">
            <w:pPr>
              <w:spacing w:line="220" w:lineRule="exact"/>
              <w:ind w:firstLine="170"/>
              <w:rPr>
                <w:sz w:val="18"/>
              </w:rPr>
            </w:pPr>
          </w:p>
        </w:tc>
      </w:tr>
      <w:tr w:rsidR="002C3359" w:rsidRPr="002C3359" w14:paraId="6290E394" w14:textId="77777777" w:rsidTr="00A0514B">
        <w:trPr>
          <w:jc w:val="center"/>
        </w:trPr>
        <w:tc>
          <w:tcPr>
            <w:tcW w:w="7654" w:type="dxa"/>
            <w:tcBorders>
              <w:bottom w:val="nil"/>
            </w:tcBorders>
            <w:shd w:val="clear" w:color="auto" w:fill="auto"/>
            <w:tcMar>
              <w:left w:w="142" w:type="dxa"/>
              <w:right w:w="142" w:type="dxa"/>
            </w:tcMar>
          </w:tcPr>
          <w:p w14:paraId="148E7CC7" w14:textId="6E764663" w:rsidR="002C3359" w:rsidRPr="002C3359" w:rsidRDefault="002C3359" w:rsidP="002C3359">
            <w:pPr>
              <w:spacing w:line="220" w:lineRule="exact"/>
              <w:ind w:firstLine="170"/>
              <w:rPr>
                <w:sz w:val="18"/>
              </w:rPr>
            </w:pPr>
            <w:r w:rsidRPr="002C3359">
              <w:rPr>
                <w:sz w:val="18"/>
              </w:rPr>
              <w:t xml:space="preserve">There are economic advantages </w:t>
            </w:r>
            <w:r w:rsidR="000E6045">
              <w:rPr>
                <w:sz w:val="18"/>
              </w:rPr>
              <w:t>to</w:t>
            </w:r>
            <w:r w:rsidRPr="002C3359">
              <w:rPr>
                <w:sz w:val="18"/>
              </w:rPr>
              <w:t xml:space="preserve"> reducing fossil fuel combustion and improving air quality</w:t>
            </w:r>
            <w:r w:rsidR="00CD03BB">
              <w:rPr>
                <w:sz w:val="18"/>
              </w:rPr>
              <w:t>;</w:t>
            </w:r>
            <w:r w:rsidRPr="002C3359">
              <w:rPr>
                <w:sz w:val="18"/>
              </w:rPr>
              <w:t xml:space="preserve"> for example, a reduction in chronic diseases and in their associated health</w:t>
            </w:r>
            <w:r w:rsidR="00CD03BB">
              <w:rPr>
                <w:sz w:val="18"/>
              </w:rPr>
              <w:t>-</w:t>
            </w:r>
            <w:r w:rsidRPr="002C3359">
              <w:rPr>
                <w:sz w:val="18"/>
              </w:rPr>
              <w:t>care costs.</w:t>
            </w:r>
          </w:p>
          <w:p w14:paraId="3955931E" w14:textId="59D2D625" w:rsidR="002C3359" w:rsidRPr="002C3359" w:rsidRDefault="002C3359" w:rsidP="002C3359">
            <w:pPr>
              <w:spacing w:line="220" w:lineRule="exact"/>
              <w:ind w:firstLine="170"/>
              <w:rPr>
                <w:sz w:val="18"/>
              </w:rPr>
            </w:pPr>
            <w:r w:rsidRPr="002C3359">
              <w:rPr>
                <w:sz w:val="18"/>
              </w:rPr>
              <w:t>Although uncertainties remain, climate change mitigation in transport should benefit public health substantially. Policies to increase the acceptability, appeal and safety of active urban travel, and</w:t>
            </w:r>
            <w:r w:rsidR="00CD03BB">
              <w:rPr>
                <w:sz w:val="18"/>
              </w:rPr>
              <w:t xml:space="preserve"> to</w:t>
            </w:r>
            <w:r w:rsidRPr="002C3359">
              <w:rPr>
                <w:sz w:val="18"/>
              </w:rPr>
              <w:t xml:space="preserve"> discourage travel in private motor vehicles would provide larger health benefits than would policies focus</w:t>
            </w:r>
            <w:r w:rsidR="00BC66F1">
              <w:rPr>
                <w:sz w:val="18"/>
              </w:rPr>
              <w:t>ing</w:t>
            </w:r>
            <w:r w:rsidRPr="002C3359">
              <w:rPr>
                <w:sz w:val="18"/>
              </w:rPr>
              <w:t xml:space="preserve"> solely on lower-emission motor vehicles.</w:t>
            </w:r>
          </w:p>
          <w:p w14:paraId="22F9C1EA" w14:textId="086E3F88" w:rsidR="002C3359" w:rsidRPr="002C3359" w:rsidRDefault="002C3359" w:rsidP="002C3359">
            <w:pPr>
              <w:spacing w:line="220" w:lineRule="exact"/>
              <w:ind w:firstLine="170"/>
              <w:rPr>
                <w:sz w:val="18"/>
              </w:rPr>
            </w:pPr>
            <w:r w:rsidRPr="002C3359">
              <w:rPr>
                <w:sz w:val="18"/>
              </w:rPr>
              <w:t>There are economic opportunities associated with developing alternative forms of energy and clear health gains (co-benefits) through decarboni</w:t>
            </w:r>
            <w:r w:rsidR="00CD03BB">
              <w:rPr>
                <w:sz w:val="18"/>
              </w:rPr>
              <w:t>z</w:t>
            </w:r>
            <w:r w:rsidRPr="002C3359">
              <w:rPr>
                <w:sz w:val="18"/>
              </w:rPr>
              <w:t>ing electricity production.</w:t>
            </w:r>
          </w:p>
        </w:tc>
      </w:tr>
      <w:tr w:rsidR="002C3359" w:rsidRPr="002C3359" w14:paraId="6745B82B" w14:textId="77777777" w:rsidTr="00A0514B">
        <w:trPr>
          <w:trHeight w:hRule="exact" w:val="20"/>
          <w:jc w:val="center"/>
        </w:trPr>
        <w:tc>
          <w:tcPr>
            <w:tcW w:w="7654" w:type="dxa"/>
            <w:tcBorders>
              <w:bottom w:val="single" w:sz="4" w:space="0" w:color="auto"/>
            </w:tcBorders>
            <w:shd w:val="clear" w:color="auto" w:fill="auto"/>
          </w:tcPr>
          <w:p w14:paraId="6B77A018" w14:textId="77777777" w:rsidR="002C3359" w:rsidRPr="002C3359" w:rsidRDefault="002C3359" w:rsidP="002C3359">
            <w:pPr>
              <w:spacing w:line="220" w:lineRule="exact"/>
              <w:ind w:firstLine="170"/>
              <w:rPr>
                <w:sz w:val="18"/>
              </w:rPr>
            </w:pPr>
          </w:p>
        </w:tc>
      </w:tr>
    </w:tbl>
    <w:p w14:paraId="78B748C5" w14:textId="5A6D991C" w:rsidR="002C3359" w:rsidRPr="007E6467" w:rsidRDefault="00CD03BB" w:rsidP="00AC4F3C">
      <w:pPr>
        <w:pStyle w:val="SingleTxtG"/>
        <w:spacing w:before="120"/>
        <w:ind w:left="993"/>
        <w:rPr>
          <w:sz w:val="18"/>
          <w:szCs w:val="18"/>
        </w:rPr>
      </w:pPr>
      <w:r w:rsidRPr="007E6467">
        <w:rPr>
          <w:rStyle w:val="FootnoteTextChar"/>
          <w:i/>
          <w:iCs/>
        </w:rPr>
        <w:t>Sources:</w:t>
      </w:r>
      <w:r w:rsidRPr="00CD03BB">
        <w:rPr>
          <w:rStyle w:val="FootnoteTextChar"/>
        </w:rPr>
        <w:t xml:space="preserve"> A.</w:t>
      </w:r>
      <w:r w:rsidR="002C3359" w:rsidRPr="00CD03BB">
        <w:rPr>
          <w:rStyle w:val="FootnoteTextChar"/>
        </w:rPr>
        <w:t xml:space="preserve"> Haines </w:t>
      </w:r>
      <w:r w:rsidR="005C6360">
        <w:rPr>
          <w:rStyle w:val="FootnoteTextChar"/>
        </w:rPr>
        <w:t>and others</w:t>
      </w:r>
      <w:r w:rsidR="002C3359" w:rsidRPr="00CD03BB">
        <w:rPr>
          <w:rStyle w:val="FootnoteTextChar"/>
        </w:rPr>
        <w:t xml:space="preserve">, </w:t>
      </w:r>
      <w:bookmarkStart w:id="9" w:name="_Ref16787662"/>
      <w:r w:rsidR="004A4A02" w:rsidRPr="004A4A02">
        <w:rPr>
          <w:rStyle w:val="FootnoteTextChar"/>
        </w:rPr>
        <w:t>“</w:t>
      </w:r>
      <w:r w:rsidRPr="007E6467">
        <w:rPr>
          <w:rStyle w:val="FootnoteTextChar"/>
        </w:rPr>
        <w:t xml:space="preserve">Public health benefits of strategies to reduce greenhouse-gas emissions: </w:t>
      </w:r>
      <w:r>
        <w:rPr>
          <w:rStyle w:val="FootnoteTextChar"/>
        </w:rPr>
        <w:t>O</w:t>
      </w:r>
      <w:r w:rsidRPr="007E6467">
        <w:rPr>
          <w:rStyle w:val="FootnoteTextChar"/>
        </w:rPr>
        <w:t>verview and implications for policymakers</w:t>
      </w:r>
      <w:r w:rsidR="004A4A02" w:rsidRPr="004A4A02">
        <w:rPr>
          <w:rStyle w:val="FootnoteTextChar"/>
        </w:rPr>
        <w:t>”</w:t>
      </w:r>
      <w:r>
        <w:rPr>
          <w:rStyle w:val="FootnoteTextChar"/>
        </w:rPr>
        <w:t>,</w:t>
      </w:r>
      <w:r w:rsidRPr="007E6467">
        <w:rPr>
          <w:rStyle w:val="FootnoteTextChar"/>
        </w:rPr>
        <w:t xml:space="preserve"> </w:t>
      </w:r>
      <w:r w:rsidRPr="007E6467">
        <w:rPr>
          <w:rStyle w:val="FootnoteTextChar"/>
          <w:i/>
          <w:iCs/>
        </w:rPr>
        <w:t>Lancet</w:t>
      </w:r>
      <w:r w:rsidRPr="007E6467">
        <w:rPr>
          <w:rStyle w:val="FootnoteTextChar"/>
        </w:rPr>
        <w:t xml:space="preserve">, </w:t>
      </w:r>
      <w:r>
        <w:rPr>
          <w:rStyle w:val="FootnoteTextChar"/>
        </w:rPr>
        <w:t xml:space="preserve">vol. </w:t>
      </w:r>
      <w:r w:rsidRPr="007E6467">
        <w:rPr>
          <w:rStyle w:val="FootnoteTextChar"/>
        </w:rPr>
        <w:t>347</w:t>
      </w:r>
      <w:r>
        <w:rPr>
          <w:rStyle w:val="FootnoteTextChar"/>
        </w:rPr>
        <w:t>, No. 9707</w:t>
      </w:r>
      <w:r w:rsidR="002B540C">
        <w:rPr>
          <w:rStyle w:val="FootnoteTextChar"/>
        </w:rPr>
        <w:t xml:space="preserve"> (19 December 2009)</w:t>
      </w:r>
      <w:r>
        <w:rPr>
          <w:rStyle w:val="FootnoteTextChar"/>
        </w:rPr>
        <w:t>, pp. 2104–2114</w:t>
      </w:r>
      <w:r w:rsidR="002B540C">
        <w:rPr>
          <w:rStyle w:val="FootnoteTextChar"/>
        </w:rPr>
        <w:t>.</w:t>
      </w:r>
      <w:r w:rsidR="002B540C" w:rsidRPr="002B540C">
        <w:t xml:space="preserve"> </w:t>
      </w:r>
      <w:r w:rsidR="002B540C" w:rsidRPr="002B540C">
        <w:rPr>
          <w:rStyle w:val="FootnoteTextChar"/>
        </w:rPr>
        <w:t>Available at https://doi.org/10.1016/S0140-6736(09)61759-1</w:t>
      </w:r>
      <w:bookmarkEnd w:id="9"/>
      <w:r w:rsidR="00704FD8">
        <w:rPr>
          <w:rStyle w:val="FootnoteTextChar"/>
        </w:rPr>
        <w:t>.</w:t>
      </w:r>
      <w:r w:rsidR="002C3359" w:rsidRPr="00CD03BB">
        <w:rPr>
          <w:rStyle w:val="FootnoteTextChar"/>
        </w:rPr>
        <w:t xml:space="preserve"> </w:t>
      </w:r>
      <w:bookmarkStart w:id="10" w:name="_Ref16787733"/>
      <w:r w:rsidR="00AC3AB3" w:rsidRPr="007E6467">
        <w:rPr>
          <w:sz w:val="18"/>
          <w:szCs w:val="18"/>
        </w:rPr>
        <w:t>.</w:t>
      </w:r>
      <w:bookmarkEnd w:id="10"/>
    </w:p>
    <w:p w14:paraId="2A6FB723" w14:textId="77777777" w:rsidR="00CB3EED" w:rsidRPr="00CB3EED" w:rsidRDefault="00CB3EED" w:rsidP="00CB3EED">
      <w:pPr>
        <w:pStyle w:val="H23G"/>
      </w:pPr>
      <w:r w:rsidRPr="00CD03BB">
        <w:tab/>
      </w:r>
      <w:r w:rsidRPr="00CB3EED">
        <w:t>4.</w:t>
      </w:r>
      <w:r w:rsidRPr="00CB3EED">
        <w:tab/>
        <w:t>Sector</w:t>
      </w:r>
    </w:p>
    <w:p w14:paraId="1AD18013" w14:textId="1CB653F0" w:rsidR="00CB3EED" w:rsidRPr="00CB3EED" w:rsidRDefault="00CB3EED" w:rsidP="00CB3EED">
      <w:pPr>
        <w:pStyle w:val="SingleTxtG"/>
      </w:pPr>
      <w:r w:rsidRPr="00CB3EED">
        <w:t>3</w:t>
      </w:r>
      <w:r w:rsidR="00413FFD">
        <w:t>1</w:t>
      </w:r>
      <w:r w:rsidRPr="00CB3EED">
        <w:t>.</w:t>
      </w:r>
      <w:r w:rsidRPr="00CB3EED">
        <w:tab/>
        <w:t xml:space="preserve">The sector </w:t>
      </w:r>
      <w:r w:rsidR="000D46F3">
        <w:t>plays</w:t>
      </w:r>
      <w:r w:rsidRPr="00CB3EED">
        <w:t xml:space="preserve"> an important role in the way that strategic environmental assessment is applied. This is down to specific sectoral requirements and to specific plan</w:t>
      </w:r>
      <w:r w:rsidR="000D46F3">
        <w:t>-</w:t>
      </w:r>
      <w:r w:rsidRPr="00CB3EED">
        <w:t xml:space="preserve"> and programme</w:t>
      </w:r>
      <w:r w:rsidR="000D46F3">
        <w:t>-</w:t>
      </w:r>
      <w:r w:rsidRPr="00CB3EED">
        <w:t>making traditions. Thus, for example, spatial plans differ substantially from transport plans and differences need to be taken into account when attempting to apply strategic environmental assessment effectively. Whil</w:t>
      </w:r>
      <w:r w:rsidR="000D46F3">
        <w:t>e</w:t>
      </w:r>
      <w:r w:rsidRPr="00CB3EED">
        <w:t xml:space="preserve"> health may therefore need to adapt to sectoral practices, it should remain a core and visible component of the strategic environmental assessment. It is good practice to make explicit links to health outcomes for the determinants of health for a sector. </w:t>
      </w:r>
      <w:r w:rsidR="00833038">
        <w:t>For example, transport affects health through emissions to air and in the modal choice it offers. K</w:t>
      </w:r>
      <w:r w:rsidRPr="00CB3EED">
        <w:t xml:space="preserve">ey health outcomes are </w:t>
      </w:r>
      <w:r w:rsidR="00833038">
        <w:t xml:space="preserve">therefore </w:t>
      </w:r>
      <w:r w:rsidRPr="00CB3EED">
        <w:t xml:space="preserve">respiratory and cardiovascular </w:t>
      </w:r>
      <w:r w:rsidR="007E6467">
        <w:t>health from</w:t>
      </w:r>
      <w:r w:rsidR="00833038">
        <w:t xml:space="preserve"> </w:t>
      </w:r>
      <w:r w:rsidRPr="00CB3EED">
        <w:t xml:space="preserve">emissions and physical activity and </w:t>
      </w:r>
      <w:r w:rsidR="007E6467" w:rsidRPr="00CB3EED">
        <w:t xml:space="preserve">obesity </w:t>
      </w:r>
      <w:r w:rsidR="007E6467">
        <w:t>from</w:t>
      </w:r>
      <w:r w:rsidR="00833038">
        <w:t xml:space="preserve"> </w:t>
      </w:r>
      <w:r w:rsidRPr="00CB3EED">
        <w:t>modal choice.</w:t>
      </w:r>
    </w:p>
    <w:p w14:paraId="722B21E1" w14:textId="77777777" w:rsidR="00CB3EED" w:rsidRPr="00CB3EED" w:rsidRDefault="00CB3EED" w:rsidP="00CB3EED">
      <w:pPr>
        <w:pStyle w:val="H23G"/>
      </w:pPr>
      <w:r>
        <w:tab/>
      </w:r>
      <w:r w:rsidRPr="00CB3EED">
        <w:t>5.</w:t>
      </w:r>
      <w:r w:rsidRPr="00CB3EED">
        <w:tab/>
      </w:r>
      <w:r>
        <w:tab/>
      </w:r>
      <w:r w:rsidRPr="00CB3EED">
        <w:t>Influence of stakeholders</w:t>
      </w:r>
    </w:p>
    <w:p w14:paraId="7BBFB1CA" w14:textId="367CBE21" w:rsidR="00CB3EED" w:rsidRPr="00CB3EED" w:rsidRDefault="00CB3EED" w:rsidP="00CB3EED">
      <w:pPr>
        <w:pStyle w:val="SingleTxtG"/>
      </w:pPr>
      <w:r w:rsidRPr="00CB3EED">
        <w:t>3</w:t>
      </w:r>
      <w:r w:rsidR="00413FFD">
        <w:t>2</w:t>
      </w:r>
      <w:r w:rsidRPr="00CB3EED">
        <w:t>.</w:t>
      </w:r>
      <w:r w:rsidRPr="00CB3EED">
        <w:tab/>
        <w:t xml:space="preserve">According to the Protocol (introductory text), strategic environmental assessment is </w:t>
      </w:r>
      <w:r w:rsidR="005C1FA5">
        <w:t xml:space="preserve">aimed at: </w:t>
      </w:r>
      <w:r w:rsidRPr="00CB3EED">
        <w:t>“integrating environmental, including health, considerations into the preparation and adoption of plans and programmes and, to the extent appropriate, policies and legislation”. In this context, it is intended to promote sustainable development. To this end</w:t>
      </w:r>
      <w:r w:rsidR="005C1FA5">
        <w:t>,</w:t>
      </w:r>
      <w:r w:rsidRPr="00CB3EED">
        <w:t xml:space="preserve"> good practice assessments are carried out with </w:t>
      </w:r>
      <w:r w:rsidR="005C1FA5">
        <w:t>“</w:t>
      </w:r>
      <w:r w:rsidRPr="00CB3EED">
        <w:t>fairness, impartiality and balance</w:t>
      </w:r>
      <w:r w:rsidR="005C1FA5">
        <w:t>”</w:t>
      </w:r>
      <w:r w:rsidRPr="00CB3EED">
        <w:t>.</w:t>
      </w:r>
      <w:r w:rsidR="00B87C87">
        <w:rPr>
          <w:rStyle w:val="FootnoteReference"/>
        </w:rPr>
        <w:footnoteReference w:id="20"/>
      </w:r>
      <w:r w:rsidR="005C1FA5" w:rsidRPr="00CB3EED" w:rsidDel="005C1FA5">
        <w:t xml:space="preserve"> </w:t>
      </w:r>
    </w:p>
    <w:p w14:paraId="041498BC" w14:textId="7D103338" w:rsidR="00CB3EED" w:rsidRPr="00CB3EED" w:rsidRDefault="00CB3EED" w:rsidP="00CB3EED">
      <w:pPr>
        <w:pStyle w:val="SingleTxtG"/>
      </w:pPr>
      <w:r w:rsidRPr="00CB3EED">
        <w:t>3</w:t>
      </w:r>
      <w:r w:rsidR="00413FFD">
        <w:t>3</w:t>
      </w:r>
      <w:r w:rsidRPr="00CB3EED">
        <w:t>.</w:t>
      </w:r>
      <w:r w:rsidRPr="00CB3EED">
        <w:tab/>
        <w:t>This is unlikely to be achieved in situations where one (or several) stakeholders dominate the development of a plan or programme and the associated assessment processes. In this situation</w:t>
      </w:r>
      <w:r w:rsidR="005C1FA5">
        <w:t>,</w:t>
      </w:r>
      <w:r w:rsidRPr="00CB3EED">
        <w:t xml:space="preserve"> it is good practice to be transparent with regards to who (or what) gains and loses. This means approaching the integration of substantive issues with caution. Powerful interests may override issues that strategic environmental assessment, in the interest of promoting sustainable development, aims to protect. It is recommended that trade-off rules </w:t>
      </w:r>
      <w:r w:rsidR="005C1FA5">
        <w:t>be</w:t>
      </w:r>
      <w:r w:rsidR="005C1FA5" w:rsidRPr="00CB3EED">
        <w:t xml:space="preserve"> </w:t>
      </w:r>
      <w:r w:rsidRPr="00CB3EED">
        <w:t>put in place (</w:t>
      </w:r>
      <w:r w:rsidR="000247B4">
        <w:t>for example</w:t>
      </w:r>
      <w:r w:rsidR="005C1FA5">
        <w:t>:</w:t>
      </w:r>
      <w:r w:rsidR="000247B4">
        <w:t xml:space="preserve"> </w:t>
      </w:r>
      <w:r w:rsidRPr="00CB3EED">
        <w:t>maximum net gains; burden of argument on trade-off proponent; avoidance of signiﬁcant adverse effects; protection of the future; explicit justiﬁcation; and open process</w:t>
      </w:r>
      <w:r w:rsidR="000D46F3">
        <w:t>).</w:t>
      </w:r>
      <w:r w:rsidRPr="008604F8">
        <w:rPr>
          <w:vertAlign w:val="superscript"/>
        </w:rPr>
        <w:footnoteReference w:id="21"/>
      </w:r>
    </w:p>
    <w:p w14:paraId="25340BA3" w14:textId="77777777" w:rsidR="00CB3EED" w:rsidRPr="00CB3EED" w:rsidRDefault="008604F8" w:rsidP="008604F8">
      <w:pPr>
        <w:pStyle w:val="H23G"/>
      </w:pPr>
      <w:r>
        <w:tab/>
      </w:r>
      <w:r w:rsidR="00CB3EED" w:rsidRPr="00CB3EED">
        <w:t>6.</w:t>
      </w:r>
      <w:r w:rsidR="00CB3EED" w:rsidRPr="00CB3EED">
        <w:tab/>
        <w:t>Administrative levels</w:t>
      </w:r>
    </w:p>
    <w:p w14:paraId="58AF2D8D" w14:textId="5E328F17" w:rsidR="00CB3EED" w:rsidRPr="00CB3EED" w:rsidRDefault="00CB3EED" w:rsidP="00CB3EED">
      <w:pPr>
        <w:pStyle w:val="SingleTxtG"/>
      </w:pPr>
      <w:r w:rsidRPr="00CB3EED">
        <w:t>3</w:t>
      </w:r>
      <w:r w:rsidR="00413FFD">
        <w:t>4</w:t>
      </w:r>
      <w:r w:rsidRPr="00CB3EED">
        <w:t>.</w:t>
      </w:r>
      <w:r w:rsidRPr="00CB3EED">
        <w:tab/>
        <w:t xml:space="preserve">In many countries, different administrative levels (national, regional and local) are allocated with specific decision-making tasks. This may mean specific alternatives are assessed at a specific administrative level. Knowledge of those alternatives is essential to being able to achieve positive outcomes for environment and health (See </w:t>
      </w:r>
      <w:r w:rsidR="007240BD">
        <w:t xml:space="preserve">Protocol, </w:t>
      </w:r>
      <w:r w:rsidRPr="00CB3EED">
        <w:t>art</w:t>
      </w:r>
      <w:r w:rsidR="00EB200B">
        <w:t>.</w:t>
      </w:r>
      <w:r w:rsidRPr="00CB3EED">
        <w:t xml:space="preserve"> 6 </w:t>
      </w:r>
      <w:r w:rsidR="007240BD">
        <w:t>and</w:t>
      </w:r>
      <w:r w:rsidR="00EB200B">
        <w:t xml:space="preserve"> </w:t>
      </w:r>
      <w:r w:rsidRPr="00CB3EED">
        <w:t>annex IV).</w:t>
      </w:r>
    </w:p>
    <w:p w14:paraId="5373630C" w14:textId="77777777" w:rsidR="00CB3EED" w:rsidRPr="00B913F3" w:rsidRDefault="008604F8" w:rsidP="008604F8">
      <w:pPr>
        <w:pStyle w:val="H1G"/>
      </w:pPr>
      <w:r>
        <w:lastRenderedPageBreak/>
        <w:tab/>
      </w:r>
      <w:r w:rsidR="00CB3EED">
        <w:t>D.</w:t>
      </w:r>
      <w:r w:rsidR="00CB3EED">
        <w:tab/>
      </w:r>
      <w:r>
        <w:tab/>
      </w:r>
      <w:r w:rsidR="00CB3EED" w:rsidRPr="00ED5F88">
        <w:t xml:space="preserve">The </w:t>
      </w:r>
      <w:r w:rsidR="00CB3EED">
        <w:t>format of a</w:t>
      </w:r>
      <w:r w:rsidR="00CB3EED" w:rsidRPr="00ED5F88">
        <w:t xml:space="preserve"> </w:t>
      </w:r>
      <w:r w:rsidR="00CB3EED" w:rsidRPr="00B913F3">
        <w:t>strategic environmental assessment</w:t>
      </w:r>
    </w:p>
    <w:p w14:paraId="0CABA19F" w14:textId="77777777" w:rsidR="00CB3EED" w:rsidRPr="0070422D" w:rsidRDefault="008604F8" w:rsidP="008604F8">
      <w:pPr>
        <w:pStyle w:val="H23G"/>
      </w:pPr>
      <w:r>
        <w:tab/>
      </w:r>
      <w:r w:rsidR="00CB3EED">
        <w:t>1.</w:t>
      </w:r>
      <w:r w:rsidR="00CB3EED">
        <w:tab/>
      </w:r>
      <w:r>
        <w:tab/>
      </w:r>
      <w:r w:rsidR="00CB3EED">
        <w:t>Procedure</w:t>
      </w:r>
    </w:p>
    <w:p w14:paraId="2F641792" w14:textId="2B5CDA79" w:rsidR="00CB3EED" w:rsidRPr="00BE2D39" w:rsidRDefault="00CB3EED" w:rsidP="00CB3EED">
      <w:pPr>
        <w:pStyle w:val="SingleTxtG"/>
      </w:pPr>
      <w:r>
        <w:t>3</w:t>
      </w:r>
      <w:r w:rsidR="00413FFD">
        <w:t>5</w:t>
      </w:r>
      <w:r>
        <w:t>.</w:t>
      </w:r>
      <w:r>
        <w:tab/>
        <w:t xml:space="preserve">Articles 5 to 12 of </w:t>
      </w:r>
      <w:r w:rsidRPr="00BE2D39">
        <w:t xml:space="preserve">the </w:t>
      </w:r>
      <w:r w:rsidRPr="0070422D">
        <w:t>Protocol</w:t>
      </w:r>
      <w:r>
        <w:t xml:space="preserve"> </w:t>
      </w:r>
      <w:r w:rsidRPr="00BE2D39">
        <w:t>set</w:t>
      </w:r>
      <w:r>
        <w:t xml:space="preserve"> out </w:t>
      </w:r>
      <w:r w:rsidR="007240BD">
        <w:t xml:space="preserve">the </w:t>
      </w:r>
      <w:r w:rsidRPr="00BE2D39">
        <w:t>strategic environmental assessment</w:t>
      </w:r>
      <w:r w:rsidR="00EC0359">
        <w:t xml:space="preserve"> procedure</w:t>
      </w:r>
      <w:r>
        <w:t xml:space="preserve">. The procedural stages are considered in </w:t>
      </w:r>
      <w:r w:rsidRPr="00704DE0">
        <w:t>section III.B below</w:t>
      </w:r>
      <w:r w:rsidRPr="006654DE">
        <w:rPr>
          <w:color w:val="000000" w:themeColor="text1"/>
        </w:rPr>
        <w:t xml:space="preserve">. </w:t>
      </w:r>
    </w:p>
    <w:p w14:paraId="2DE90878" w14:textId="77777777" w:rsidR="00CB3EED" w:rsidRPr="00B93423" w:rsidRDefault="008604F8" w:rsidP="008604F8">
      <w:pPr>
        <w:pStyle w:val="H23G"/>
      </w:pPr>
      <w:r>
        <w:tab/>
      </w:r>
      <w:r w:rsidR="00CB3EED">
        <w:t>2.</w:t>
      </w:r>
      <w:r w:rsidR="00CB3EED">
        <w:tab/>
      </w:r>
      <w:r w:rsidR="00CB3EED" w:rsidRPr="00B93423">
        <w:t>Substantive issues</w:t>
      </w:r>
    </w:p>
    <w:p w14:paraId="5872C0AF" w14:textId="7C0A627C" w:rsidR="007240BD" w:rsidRDefault="00CB3EED" w:rsidP="00CB3EED">
      <w:pPr>
        <w:pStyle w:val="SingleTxtG"/>
      </w:pPr>
      <w:r>
        <w:t>3</w:t>
      </w:r>
      <w:r w:rsidR="00413FFD">
        <w:t>6</w:t>
      </w:r>
      <w:r>
        <w:t>.</w:t>
      </w:r>
      <w:r>
        <w:tab/>
      </w:r>
      <w:r w:rsidRPr="00B93423">
        <w:t xml:space="preserve">Substantive issues for consideration </w:t>
      </w:r>
      <w:r>
        <w:t xml:space="preserve">of health </w:t>
      </w:r>
      <w:r w:rsidRPr="00B93423">
        <w:t>in strategic environmental assessment include biophysical (</w:t>
      </w:r>
      <w:r w:rsidR="000247B4">
        <w:t>for example,</w:t>
      </w:r>
      <w:r w:rsidRPr="00B93423">
        <w:t xml:space="preserve"> flora and fauna, air, water, soils) and landscape aspects. Article 2 states that: </w:t>
      </w:r>
    </w:p>
    <w:p w14:paraId="5FF6A18F" w14:textId="783C74DB" w:rsidR="00CB3EED" w:rsidRPr="005D259F" w:rsidRDefault="00CB3EED" w:rsidP="005D259F">
      <w:pPr>
        <w:pStyle w:val="SingleTxtG"/>
        <w:ind w:left="1701"/>
      </w:pPr>
      <w:bookmarkStart w:id="11" w:name="_Hlk18408327"/>
      <w:r w:rsidRPr="005D259F">
        <w:t>“</w:t>
      </w:r>
      <w:bookmarkEnd w:id="11"/>
      <w:r w:rsidRPr="005D259F">
        <w:t>Environmental, including health, effect</w:t>
      </w:r>
      <w:bookmarkStart w:id="12" w:name="_Hlk18327134"/>
      <w:r w:rsidR="007240BD" w:rsidRPr="005D259F">
        <w:t>”</w:t>
      </w:r>
      <w:bookmarkEnd w:id="12"/>
      <w:r w:rsidRPr="005D259F">
        <w:t xml:space="preserve"> means any effect on the environment, including human health, flora, fauna, biodiversity, soil, climate, air, water, landscape, natural sites, material assets, cultural heritage and the interaction among these factors.</w:t>
      </w:r>
    </w:p>
    <w:p w14:paraId="13A0CD1C" w14:textId="5EDED2B4" w:rsidR="00CB3EED" w:rsidRPr="00B93423" w:rsidRDefault="00CB3EED" w:rsidP="00CB3EED">
      <w:pPr>
        <w:pStyle w:val="SingleTxtG"/>
      </w:pPr>
      <w:r>
        <w:t>3</w:t>
      </w:r>
      <w:r w:rsidR="00413FFD">
        <w:t>7</w:t>
      </w:r>
      <w:r>
        <w:t>.</w:t>
      </w:r>
      <w:r>
        <w:tab/>
      </w:r>
      <w:r w:rsidRPr="00B93423">
        <w:t xml:space="preserve">Furthermore, and in line with </w:t>
      </w:r>
      <w:r w:rsidR="00300A2E">
        <w:t xml:space="preserve">the </w:t>
      </w:r>
      <w:r w:rsidRPr="00B93423">
        <w:t>Resource Manual</w:t>
      </w:r>
      <w:r>
        <w:t>,</w:t>
      </w:r>
      <w:r w:rsidR="00300A2E">
        <w:rPr>
          <w:rStyle w:val="FootnoteReference"/>
        </w:rPr>
        <w:footnoteReference w:id="22"/>
      </w:r>
      <w:r>
        <w:t xml:space="preserve"> it is</w:t>
      </w:r>
      <w:r w:rsidRPr="00B93423">
        <w:t xml:space="preserve"> </w:t>
      </w:r>
      <w:r>
        <w:t xml:space="preserve">good practice </w:t>
      </w:r>
      <w:r w:rsidR="0045172E">
        <w:t>to consider</w:t>
      </w:r>
      <w:r>
        <w:t xml:space="preserve"> </w:t>
      </w:r>
      <w:r w:rsidRPr="00B93423">
        <w:t xml:space="preserve">behavioural aspects with a connection to health and social well-being. This is also underpinned by the WHO definition of health </w:t>
      </w:r>
      <w:r>
        <w:t>(</w:t>
      </w:r>
      <w:r w:rsidRPr="00B93423">
        <w:t xml:space="preserve">as </w:t>
      </w:r>
      <w:r>
        <w:t>set out in paragr</w:t>
      </w:r>
      <w:r w:rsidRPr="00A83CA2">
        <w:t xml:space="preserve">aph </w:t>
      </w:r>
      <w:r w:rsidR="000D28B8">
        <w:t>19</w:t>
      </w:r>
      <w:r w:rsidR="0045172E">
        <w:t xml:space="preserve"> above</w:t>
      </w:r>
      <w:r>
        <w:t>)</w:t>
      </w:r>
      <w:r w:rsidRPr="00A83CA2">
        <w:t>.</w:t>
      </w:r>
      <w:r>
        <w:t xml:space="preserve"> </w:t>
      </w:r>
    </w:p>
    <w:p w14:paraId="1AE95CB4" w14:textId="77777777" w:rsidR="00CB3EED" w:rsidRPr="00B93423" w:rsidRDefault="008604F8" w:rsidP="008604F8">
      <w:pPr>
        <w:pStyle w:val="H23G"/>
      </w:pPr>
      <w:r>
        <w:tab/>
      </w:r>
      <w:r w:rsidR="00CB3EED">
        <w:t>3.</w:t>
      </w:r>
      <w:r w:rsidR="00CB3EED">
        <w:tab/>
      </w:r>
      <w:r w:rsidR="00CB3EED" w:rsidRPr="00B93423">
        <w:t>Methods and tools</w:t>
      </w:r>
    </w:p>
    <w:p w14:paraId="05961B58" w14:textId="7BD71F30" w:rsidR="00CB3EED" w:rsidRDefault="00CB3EED" w:rsidP="00CB3EED">
      <w:pPr>
        <w:pStyle w:val="SingleTxtG"/>
      </w:pPr>
      <w:r>
        <w:t>3</w:t>
      </w:r>
      <w:r w:rsidR="00413FFD">
        <w:t>8</w:t>
      </w:r>
      <w:r>
        <w:t>.</w:t>
      </w:r>
      <w:r>
        <w:tab/>
      </w:r>
      <w:r w:rsidRPr="00B93423">
        <w:t xml:space="preserve">The Protocol does not </w:t>
      </w:r>
      <w:r>
        <w:t xml:space="preserve">specify which </w:t>
      </w:r>
      <w:r w:rsidRPr="00B93423">
        <w:t xml:space="preserve">methods and tools </w:t>
      </w:r>
      <w:r>
        <w:t xml:space="preserve">are to be used </w:t>
      </w:r>
      <w:r w:rsidRPr="00B93423">
        <w:t xml:space="preserve">in strategic environmental assessment. </w:t>
      </w:r>
      <w:r>
        <w:t>T</w:t>
      </w:r>
      <w:r w:rsidRPr="00B93423">
        <w:t>he Resource Manual</w:t>
      </w:r>
      <w:r w:rsidR="00EB30BC">
        <w:t xml:space="preserve"> </w:t>
      </w:r>
      <w:r>
        <w:t xml:space="preserve">sets out some </w:t>
      </w:r>
      <w:r w:rsidRPr="00934540">
        <w:t>analytical and participatory tools</w:t>
      </w:r>
      <w:r w:rsidRPr="00B93423">
        <w:t>.</w:t>
      </w:r>
      <w:r w:rsidR="00EB30BC">
        <w:rPr>
          <w:rStyle w:val="FootnoteReference"/>
        </w:rPr>
        <w:footnoteReference w:id="23"/>
      </w:r>
      <w:r w:rsidRPr="00B93423">
        <w:t xml:space="preserve"> </w:t>
      </w:r>
    </w:p>
    <w:p w14:paraId="6AA3AA0D" w14:textId="1F1E4E3E" w:rsidR="00CB3EED" w:rsidRDefault="00413FFD" w:rsidP="00CB3EED">
      <w:pPr>
        <w:pStyle w:val="SingleTxtG"/>
      </w:pPr>
      <w:r>
        <w:t>39</w:t>
      </w:r>
      <w:r w:rsidR="00CB3EED">
        <w:t>.</w:t>
      </w:r>
      <w:r w:rsidR="00CB3EED">
        <w:tab/>
        <w:t>Health assessment uses a range of methods</w:t>
      </w:r>
      <w:r w:rsidR="00EB30BC">
        <w:t>,</w:t>
      </w:r>
      <w:r w:rsidR="00CB3EED">
        <w:t xml:space="preserve"> from qualitative to quantitative</w:t>
      </w:r>
      <w:r w:rsidR="00EB30BC">
        <w:t>,</w:t>
      </w:r>
      <w:r w:rsidR="00CB3EED">
        <w:t xml:space="preserve"> and some are presented below. </w:t>
      </w:r>
      <w:r w:rsidR="00CB3EED" w:rsidRPr="00B93423">
        <w:t>The decision level and the sector play an important role in choosing suitable methods and tools</w:t>
      </w:r>
      <w:r w:rsidR="00EB30BC">
        <w:t>,</w:t>
      </w:r>
      <w:r w:rsidR="00CB3EED">
        <w:t xml:space="preserve"> as does the availability of resources.</w:t>
      </w:r>
      <w:bookmarkStart w:id="14" w:name="_Ref16787284"/>
      <w:r w:rsidR="00CB3EED">
        <w:rPr>
          <w:rStyle w:val="FootnoteReference"/>
        </w:rPr>
        <w:footnoteReference w:id="24"/>
      </w:r>
      <w:bookmarkEnd w:id="14"/>
      <w:r w:rsidR="00CB3EED" w:rsidRPr="00B93423">
        <w:t xml:space="preserve"> </w:t>
      </w:r>
      <w:r w:rsidR="00CB3EED">
        <w:t>The transparency of reporting the method and the results are important</w:t>
      </w:r>
      <w:r w:rsidR="00EF074B">
        <w:t>,</w:t>
      </w:r>
      <w:r w:rsidR="00CB3EED">
        <w:t xml:space="preserve"> as assessment is based on professional judgement.</w:t>
      </w:r>
      <w:r w:rsidR="00CB3EED">
        <w:rPr>
          <w:rStyle w:val="FootnoteReference"/>
        </w:rPr>
        <w:footnoteReference w:id="25"/>
      </w:r>
      <w:r w:rsidR="00CB3EED">
        <w:t xml:space="preserve"> </w:t>
      </w:r>
    </w:p>
    <w:p w14:paraId="23BF9F93" w14:textId="58FA0B47" w:rsidR="00CB3EED" w:rsidRPr="00B10799" w:rsidRDefault="00CB3EED" w:rsidP="00CB3EED">
      <w:pPr>
        <w:pStyle w:val="SingleTxtG"/>
      </w:pPr>
      <w:r w:rsidRPr="00B10799">
        <w:t>4</w:t>
      </w:r>
      <w:r w:rsidR="00413FFD">
        <w:t>0</w:t>
      </w:r>
      <w:r w:rsidRPr="00B10799">
        <w:t>.</w:t>
      </w:r>
      <w:r w:rsidRPr="00B10799">
        <w:tab/>
        <w:t>Analytical approaches include</w:t>
      </w:r>
      <w:r>
        <w:t xml:space="preserve"> the following</w:t>
      </w:r>
      <w:r w:rsidRPr="00B10799">
        <w:t>:</w:t>
      </w:r>
    </w:p>
    <w:p w14:paraId="02C077D5" w14:textId="77777777" w:rsidR="00501D54" w:rsidRDefault="00CB3EED" w:rsidP="00501D54">
      <w:pPr>
        <w:pStyle w:val="SingleTxtG"/>
        <w:ind w:firstLine="567"/>
      </w:pPr>
      <w:r>
        <w:t>(a)</w:t>
      </w:r>
      <w:r>
        <w:tab/>
        <w:t>Comparative risk assessments to model effects on different populations.</w:t>
      </w:r>
      <w:r w:rsidR="0067204C">
        <w:rPr>
          <w:rStyle w:val="FootnoteReference"/>
        </w:rPr>
        <w:footnoteReference w:id="26"/>
      </w:r>
      <w:r>
        <w:t xml:space="preserve"> </w:t>
      </w:r>
    </w:p>
    <w:p w14:paraId="495BB11E" w14:textId="5657D62E" w:rsidR="00CB3EED" w:rsidRDefault="00CB3EED" w:rsidP="00501D54">
      <w:pPr>
        <w:pStyle w:val="SingleTxtG"/>
        <w:ind w:firstLine="567"/>
      </w:pPr>
      <w:r>
        <w:lastRenderedPageBreak/>
        <w:t>(b)</w:t>
      </w:r>
      <w:r>
        <w:tab/>
        <w:t>Various approaches to quantitative modelling of the effects of policies on health;</w:t>
      </w:r>
      <w:r w:rsidRPr="00D05E7A">
        <w:rPr>
          <w:vertAlign w:val="superscript"/>
        </w:rPr>
        <w:footnoteReference w:id="27"/>
      </w:r>
    </w:p>
    <w:p w14:paraId="5DA6A270" w14:textId="77374DCB" w:rsidR="00CB3EED" w:rsidRDefault="00CB3EED" w:rsidP="00E820AA">
      <w:pPr>
        <w:pStyle w:val="SingleTxtG"/>
        <w:ind w:firstLine="567"/>
      </w:pPr>
      <w:r>
        <w:t>(c)</w:t>
      </w:r>
      <w:r>
        <w:tab/>
        <w:t>Reviews of scientific evidence conducted through literature reviews;</w:t>
      </w:r>
      <w:r w:rsidRPr="00D05E7A">
        <w:rPr>
          <w:vertAlign w:val="superscript"/>
        </w:rPr>
        <w:footnoteReference w:id="28"/>
      </w:r>
    </w:p>
    <w:p w14:paraId="5CB29B05" w14:textId="77777777" w:rsidR="00CB3EED" w:rsidRDefault="00CB3EED" w:rsidP="00E820AA">
      <w:pPr>
        <w:pStyle w:val="SingleTxtG"/>
        <w:ind w:firstLine="567"/>
      </w:pPr>
      <w:r>
        <w:t>(d)</w:t>
      </w:r>
      <w:r>
        <w:tab/>
        <w:t xml:space="preserve">Descriptive presentation of local baseline data; </w:t>
      </w:r>
    </w:p>
    <w:p w14:paraId="4AF20414" w14:textId="5C9FEDFB" w:rsidR="00CB3EED" w:rsidRDefault="00CB3EED" w:rsidP="00E820AA">
      <w:pPr>
        <w:pStyle w:val="SingleTxtG"/>
        <w:ind w:firstLine="567"/>
      </w:pPr>
      <w:r>
        <w:t>(e)</w:t>
      </w:r>
      <w:r>
        <w:tab/>
        <w:t xml:space="preserve">Quantitative </w:t>
      </w:r>
      <w:r w:rsidRPr="001F4485">
        <w:t>risk assessments</w:t>
      </w:r>
      <w:r>
        <w:t xml:space="preserve"> made </w:t>
      </w:r>
      <w:r w:rsidRPr="001F4485">
        <w:t>whe</w:t>
      </w:r>
      <w:r>
        <w:t xml:space="preserve">n </w:t>
      </w:r>
      <w:r w:rsidRPr="001F4485">
        <w:t>there are known toxins and a strong epidemiological and toxicological evidence base</w:t>
      </w:r>
      <w:r>
        <w:t>.</w:t>
      </w:r>
      <w:r w:rsidR="00506A9A">
        <w:rPr>
          <w:rStyle w:val="FootnoteReference"/>
        </w:rPr>
        <w:footnoteReference w:id="29"/>
      </w:r>
      <w:r>
        <w:t xml:space="preserve"> This approach is more likely to be used at </w:t>
      </w:r>
      <w:r w:rsidR="001168FC">
        <w:t xml:space="preserve">the </w:t>
      </w:r>
      <w:r>
        <w:t xml:space="preserve">project level. </w:t>
      </w:r>
    </w:p>
    <w:p w14:paraId="4193575F" w14:textId="7E798F45" w:rsidR="00CB3EED" w:rsidRPr="00B10799" w:rsidRDefault="00CB3EED" w:rsidP="00E820AA">
      <w:pPr>
        <w:pStyle w:val="SingleTxtG"/>
      </w:pPr>
      <w:r>
        <w:t>4</w:t>
      </w:r>
      <w:r w:rsidR="00413FFD">
        <w:t>1</w:t>
      </w:r>
      <w:r>
        <w:t>.</w:t>
      </w:r>
      <w:r w:rsidRPr="00B10799">
        <w:tab/>
        <w:t>Participatory tools</w:t>
      </w:r>
      <w:r>
        <w:t xml:space="preserve"> include the following:</w:t>
      </w:r>
    </w:p>
    <w:p w14:paraId="4C8BA4C3" w14:textId="4FC0157F" w:rsidR="00CB3EED" w:rsidRPr="00D05E7A" w:rsidRDefault="00CB3EED" w:rsidP="00E820AA">
      <w:pPr>
        <w:pStyle w:val="SingleTxtG"/>
        <w:ind w:firstLine="567"/>
        <w:rPr>
          <w:vertAlign w:val="superscript"/>
        </w:rPr>
      </w:pPr>
      <w:r>
        <w:t>(a)</w:t>
      </w:r>
      <w:r>
        <w:tab/>
      </w:r>
      <w:r w:rsidRPr="001F4485">
        <w:t>Workshops,</w:t>
      </w:r>
      <w:r>
        <w:t xml:space="preserve"> </w:t>
      </w:r>
      <w:r w:rsidRPr="001F4485">
        <w:t>focus groups or other participative meetings</w:t>
      </w:r>
      <w:r>
        <w:t>;</w:t>
      </w:r>
      <w:r w:rsidRPr="00D05E7A">
        <w:rPr>
          <w:vertAlign w:val="superscript"/>
        </w:rPr>
        <w:footnoteReference w:id="30"/>
      </w:r>
    </w:p>
    <w:p w14:paraId="243CB119" w14:textId="5D9CD6EF" w:rsidR="00CB3EED" w:rsidRDefault="00CB3EED" w:rsidP="00E820AA">
      <w:pPr>
        <w:pStyle w:val="SingleTxtG"/>
        <w:ind w:firstLine="567"/>
      </w:pPr>
      <w:r>
        <w:t>(b)</w:t>
      </w:r>
      <w:r>
        <w:tab/>
        <w:t>Steering groups whose membership includes representatives from environmental authorities, public health authorities and civil society. These enable health input across the assessment process a</w:t>
      </w:r>
      <w:r w:rsidR="002C3C76">
        <w:t>nd</w:t>
      </w:r>
      <w:r>
        <w:t xml:space="preserve"> specialist input on regional or local information and on technical topics such as monitoring</w:t>
      </w:r>
      <w:r w:rsidR="008C773E">
        <w:t>;</w:t>
      </w:r>
      <w:r w:rsidR="00F071EA">
        <w:rPr>
          <w:rStyle w:val="FootnoteReference"/>
        </w:rPr>
        <w:footnoteReference w:id="31"/>
      </w:r>
      <w:r>
        <w:t xml:space="preserve"> </w:t>
      </w:r>
    </w:p>
    <w:p w14:paraId="4762C0E8" w14:textId="77777777" w:rsidR="00CB3EED" w:rsidRDefault="00CB3EED" w:rsidP="00E820AA">
      <w:pPr>
        <w:pStyle w:val="SingleTxtG"/>
        <w:ind w:firstLine="567"/>
      </w:pPr>
      <w:r>
        <w:t>(c)</w:t>
      </w:r>
      <w:r>
        <w:tab/>
        <w:t xml:space="preserve">Training and capacity development in health assessment delivered as a component of an assessment. </w:t>
      </w:r>
    </w:p>
    <w:p w14:paraId="328F604B" w14:textId="5DE11E95" w:rsidR="00CB3EED" w:rsidRDefault="00CB3EED" w:rsidP="00E820AA">
      <w:pPr>
        <w:pStyle w:val="SingleTxtG"/>
      </w:pPr>
      <w:r w:rsidRPr="00E773E3">
        <w:t>4</w:t>
      </w:r>
      <w:r w:rsidR="00413FFD">
        <w:t>2</w:t>
      </w:r>
      <w:r w:rsidRPr="00E773E3">
        <w:t>.</w:t>
      </w:r>
      <w:r w:rsidRPr="00E773E3">
        <w:tab/>
        <w:t>In all cases</w:t>
      </w:r>
      <w:r w:rsidR="008C773E">
        <w:t xml:space="preserve">, </w:t>
      </w:r>
      <w:r w:rsidRPr="00E773E3">
        <w:t xml:space="preserve">it is good practice for health considerations to be explicit and sufficiently specific to allow meaningful differentiation between alternatives. Given the need for strategic environmental assessment to accommodate a wide range of considerations other than health, it is also good practice for the inclusion of health in methods and tools </w:t>
      </w:r>
      <w:r w:rsidR="002F5197">
        <w:t xml:space="preserve">to </w:t>
      </w:r>
      <w:r w:rsidRPr="00E773E3">
        <w:t>be precise and concise whil</w:t>
      </w:r>
      <w:r w:rsidR="008C773E">
        <w:t>e</w:t>
      </w:r>
      <w:r w:rsidRPr="00E773E3">
        <w:t xml:space="preserve"> still carrying a strong weighting within the assessment.</w:t>
      </w:r>
      <w:r w:rsidRPr="00B93423">
        <w:t xml:space="preserve"> </w:t>
      </w:r>
    </w:p>
    <w:p w14:paraId="416DF92F" w14:textId="77777777" w:rsidR="006806CB" w:rsidRPr="006806CB" w:rsidRDefault="006806CB" w:rsidP="006806CB">
      <w:pPr>
        <w:pStyle w:val="HChG"/>
      </w:pPr>
      <w:r>
        <w:tab/>
        <w:t>III.</w:t>
      </w:r>
      <w:r>
        <w:tab/>
      </w:r>
      <w:r w:rsidRPr="006806CB">
        <w:t>Strategic environmental assessment and health in practice</w:t>
      </w:r>
    </w:p>
    <w:p w14:paraId="32FD550B" w14:textId="205F146B" w:rsidR="006806CB" w:rsidRPr="006806CB" w:rsidRDefault="006806CB" w:rsidP="006806CB">
      <w:pPr>
        <w:pStyle w:val="SingleTxtG"/>
      </w:pPr>
      <w:r w:rsidRPr="006806CB">
        <w:t>4</w:t>
      </w:r>
      <w:r w:rsidR="00413FFD">
        <w:t>3</w:t>
      </w:r>
      <w:r w:rsidRPr="006806CB">
        <w:t>.</w:t>
      </w:r>
      <w:r w:rsidRPr="006806CB">
        <w:tab/>
        <w:t>This section is organi</w:t>
      </w:r>
      <w:r w:rsidR="00166126">
        <w:t>z</w:t>
      </w:r>
      <w:r w:rsidRPr="006806CB">
        <w:t xml:space="preserve">ed </w:t>
      </w:r>
      <w:r w:rsidR="00166126">
        <w:t>into</w:t>
      </w:r>
      <w:r w:rsidRPr="006806CB">
        <w:t xml:space="preserve"> two main steps</w:t>
      </w:r>
      <w:r w:rsidR="00166126">
        <w:t>:</w:t>
      </w:r>
      <w:r w:rsidRPr="006806CB">
        <w:t xml:space="preserve"> step 1</w:t>
      </w:r>
      <w:r w:rsidR="00166126">
        <w:t xml:space="preserve"> -</w:t>
      </w:r>
      <w:r w:rsidRPr="006806CB">
        <w:t xml:space="preserve"> </w:t>
      </w:r>
      <w:r w:rsidR="00166126">
        <w:t>U</w:t>
      </w:r>
      <w:r w:rsidRPr="006806CB">
        <w:t>nderstanding the purpose of a plan or programme</w:t>
      </w:r>
      <w:r w:rsidR="00166126">
        <w:t>;</w:t>
      </w:r>
      <w:r w:rsidRPr="006806CB">
        <w:t xml:space="preserve"> and step 2</w:t>
      </w:r>
      <w:r w:rsidR="00166126">
        <w:t xml:space="preserve"> -</w:t>
      </w:r>
      <w:r w:rsidRPr="006806CB">
        <w:t xml:space="preserve"> </w:t>
      </w:r>
      <w:r w:rsidR="00166126">
        <w:t>C</w:t>
      </w:r>
      <w:r w:rsidRPr="006806CB">
        <w:t>onducting health</w:t>
      </w:r>
      <w:r w:rsidR="00166126">
        <w:t>-</w:t>
      </w:r>
      <w:r w:rsidRPr="006806CB">
        <w:t xml:space="preserve">inclusive strategic environmental assessment. </w:t>
      </w:r>
    </w:p>
    <w:p w14:paraId="3BB46016" w14:textId="7D792EB7" w:rsidR="006806CB" w:rsidRPr="006806CB" w:rsidRDefault="006806CB" w:rsidP="006806CB">
      <w:pPr>
        <w:pStyle w:val="H1G"/>
      </w:pPr>
      <w:r w:rsidRPr="006806CB">
        <w:tab/>
        <w:t>A.</w:t>
      </w:r>
      <w:r w:rsidRPr="006806CB">
        <w:tab/>
        <w:t>Step 1</w:t>
      </w:r>
      <w:r w:rsidR="00166126">
        <w:t xml:space="preserve"> -</w:t>
      </w:r>
      <w:r w:rsidRPr="006806CB">
        <w:t xml:space="preserve"> Understanding the purpose of a plan or programme</w:t>
      </w:r>
    </w:p>
    <w:p w14:paraId="11D704B6" w14:textId="68D440BC" w:rsidR="006806CB" w:rsidRPr="006806CB" w:rsidRDefault="006806CB" w:rsidP="006806CB">
      <w:pPr>
        <w:pStyle w:val="SingleTxtG"/>
      </w:pPr>
      <w:r w:rsidRPr="006806CB">
        <w:t>4</w:t>
      </w:r>
      <w:r w:rsidR="00413FFD">
        <w:t>4</w:t>
      </w:r>
      <w:r w:rsidRPr="006806CB">
        <w:t>.</w:t>
      </w:r>
      <w:r w:rsidRPr="006806CB">
        <w:tab/>
        <w:t>To integrate hea</w:t>
      </w:r>
      <w:r w:rsidR="00166126">
        <w:t>l</w:t>
      </w:r>
      <w:r w:rsidRPr="006806CB">
        <w:t>th into strategic environmental assessment effectively, a clear understanding of the plan</w:t>
      </w:r>
      <w:r w:rsidR="00E67998">
        <w:t>/</w:t>
      </w:r>
      <w:r w:rsidRPr="006806CB">
        <w:t xml:space="preserve">programme’s purpose is essential. For health, this means considering from the outset whether the intended, or unintended, consequences of the overarching aim, goal or vision align with improving population health in an equitable manner. Article 13 </w:t>
      </w:r>
      <w:r w:rsidR="00166126">
        <w:t>(</w:t>
      </w:r>
      <w:r w:rsidRPr="006806CB">
        <w:t>1</w:t>
      </w:r>
      <w:r w:rsidR="00166126">
        <w:t>)</w:t>
      </w:r>
      <w:r w:rsidRPr="006806CB">
        <w:t xml:space="preserve"> encourages the application of strategic environmental assessment principles, including in relation to health, to the preparation of polices and legislation (which often set the vision for plans and programmes). This approach is good practice. </w:t>
      </w:r>
    </w:p>
    <w:p w14:paraId="00DC6FFF" w14:textId="36DD29E4" w:rsidR="006806CB" w:rsidRPr="006806CB" w:rsidRDefault="006806CB" w:rsidP="006806CB">
      <w:pPr>
        <w:pStyle w:val="SingleTxtG"/>
      </w:pPr>
      <w:r w:rsidRPr="006806CB">
        <w:lastRenderedPageBreak/>
        <w:t>4</w:t>
      </w:r>
      <w:r w:rsidR="00413FFD">
        <w:t>5</w:t>
      </w:r>
      <w:r w:rsidRPr="006806CB">
        <w:t>.</w:t>
      </w:r>
      <w:r w:rsidRPr="006806CB">
        <w:tab/>
        <w:t xml:space="preserve">The vision is determined by the issues and questions to be addressed by a plan or programme. In this context, </w:t>
      </w:r>
      <w:r w:rsidR="00166126">
        <w:t>t</w:t>
      </w:r>
      <w:r w:rsidRPr="006806CB">
        <w:t xml:space="preserve">able 1 below provides an example of what issues may be addressed at different levels, taking </w:t>
      </w:r>
      <w:r w:rsidR="00C74546">
        <w:t xml:space="preserve">the </w:t>
      </w:r>
      <w:r w:rsidRPr="006806CB">
        <w:t xml:space="preserve">transport and energy sectors as examples. Questions addressed at different levels set the context and scope for associated strategic environmental assessments. </w:t>
      </w:r>
    </w:p>
    <w:p w14:paraId="6DEC318E" w14:textId="4F486803" w:rsidR="00EE3DCB" w:rsidRPr="005C573F" w:rsidRDefault="00EE3DCB" w:rsidP="00790CED">
      <w:pPr>
        <w:pStyle w:val="Caption"/>
        <w:jc w:val="left"/>
      </w:pPr>
      <w:bookmarkStart w:id="15" w:name="_Ref8199109"/>
      <w:bookmarkStart w:id="16" w:name="_Toc16761671"/>
      <w:bookmarkStart w:id="17" w:name="_Toc17216027"/>
      <w:r w:rsidRPr="00EE3DCB">
        <w:rPr>
          <w:rStyle w:val="SingleTxtGChar"/>
          <w:b w:val="0"/>
          <w:bCs w:val="0"/>
        </w:rPr>
        <w:t>Table</w:t>
      </w:r>
      <w:r w:rsidR="00790CED">
        <w:rPr>
          <w:rStyle w:val="SingleTxtGChar"/>
          <w:b w:val="0"/>
          <w:bCs w:val="0"/>
        </w:rPr>
        <w:t xml:space="preserve"> </w:t>
      </w:r>
      <w:r w:rsidRPr="00EE3DCB">
        <w:rPr>
          <w:rStyle w:val="SingleTxtGChar"/>
          <w:b w:val="0"/>
          <w:bCs w:val="0"/>
        </w:rPr>
        <w:t>1</w:t>
      </w:r>
      <w:bookmarkEnd w:id="15"/>
      <w:r>
        <w:br/>
      </w:r>
      <w:r w:rsidRPr="00EE3DCB">
        <w:tab/>
        <w:t>Issues and questions</w:t>
      </w:r>
      <w:bookmarkEnd w:id="16"/>
      <w:bookmarkEnd w:id="17"/>
    </w:p>
    <w:tbl>
      <w:tblPr>
        <w:tblStyle w:val="GridTable4-Accent11"/>
        <w:tblW w:w="0" w:type="auto"/>
        <w:tblInd w:w="1129" w:type="dxa"/>
        <w:tblLook w:val="04A0" w:firstRow="1" w:lastRow="0" w:firstColumn="1" w:lastColumn="0" w:noHBand="0" w:noVBand="1"/>
      </w:tblPr>
      <w:tblGrid>
        <w:gridCol w:w="2127"/>
        <w:gridCol w:w="5244"/>
      </w:tblGrid>
      <w:tr w:rsidR="00EE3DCB" w:rsidRPr="00EE3DCB" w14:paraId="5019E2F4" w14:textId="77777777" w:rsidTr="00A051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Pr>
          <w:p w14:paraId="193617B7" w14:textId="77777777" w:rsidR="00EE3DCB" w:rsidRPr="00EE3DCB" w:rsidRDefault="00EE3DCB" w:rsidP="00EE3DCB">
            <w:pPr>
              <w:suppressAutoHyphens w:val="0"/>
              <w:spacing w:line="220" w:lineRule="exact"/>
              <w:ind w:firstLine="170"/>
              <w:rPr>
                <w:rFonts w:ascii="Times New Roman" w:hAnsi="Times New Roman" w:cs="Times New Roman"/>
                <w:sz w:val="18"/>
                <w:szCs w:val="20"/>
                <w:lang w:eastAsia="en-GB"/>
              </w:rPr>
            </w:pPr>
            <w:r w:rsidRPr="00EE3DCB">
              <w:rPr>
                <w:rFonts w:ascii="Times New Roman" w:hAnsi="Times New Roman" w:cs="Times New Roman"/>
                <w:sz w:val="18"/>
                <w:szCs w:val="20"/>
                <w:lang w:eastAsia="en-GB"/>
              </w:rPr>
              <w:t>Tier</w:t>
            </w:r>
          </w:p>
        </w:tc>
        <w:tc>
          <w:tcPr>
            <w:tcW w:w="5244" w:type="dxa"/>
          </w:tcPr>
          <w:p w14:paraId="4B387629" w14:textId="77777777" w:rsidR="00EE3DCB" w:rsidRPr="00EE3DCB" w:rsidRDefault="00EE3DCB" w:rsidP="00EE3DCB">
            <w:pPr>
              <w:suppressAutoHyphens w:val="0"/>
              <w:spacing w:line="220" w:lineRule="exact"/>
              <w:ind w:firstLine="17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lang w:eastAsia="en-GB"/>
              </w:rPr>
            </w:pPr>
            <w:r w:rsidRPr="00EE3DCB">
              <w:rPr>
                <w:rFonts w:ascii="Times New Roman" w:hAnsi="Times New Roman" w:cs="Times New Roman"/>
                <w:sz w:val="18"/>
                <w:szCs w:val="20"/>
                <w:lang w:eastAsia="en-GB"/>
              </w:rPr>
              <w:t>Issues and questions</w:t>
            </w:r>
          </w:p>
        </w:tc>
      </w:tr>
      <w:tr w:rsidR="00EE3DCB" w:rsidRPr="00EE3DCB" w14:paraId="5561ED2F" w14:textId="77777777" w:rsidTr="00A05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C247F3D" w14:textId="77777777" w:rsidR="00EE3DCB" w:rsidRPr="00EE3DCB" w:rsidRDefault="00EE3DCB" w:rsidP="00A837EF">
            <w:pPr>
              <w:suppressAutoHyphens w:val="0"/>
              <w:spacing w:line="220" w:lineRule="exact"/>
              <w:rPr>
                <w:rFonts w:ascii="Times New Roman" w:hAnsi="Times New Roman" w:cs="Times New Roman"/>
                <w:sz w:val="18"/>
                <w:szCs w:val="20"/>
                <w:lang w:eastAsia="en-GB"/>
              </w:rPr>
            </w:pPr>
            <w:r w:rsidRPr="00EE3DCB">
              <w:rPr>
                <w:rFonts w:ascii="Times New Roman" w:hAnsi="Times New Roman" w:cs="Times New Roman"/>
                <w:sz w:val="18"/>
                <w:szCs w:val="20"/>
                <w:lang w:eastAsia="en-GB"/>
              </w:rPr>
              <w:t>Energy/Transport policies or legislation</w:t>
            </w:r>
          </w:p>
        </w:tc>
        <w:tc>
          <w:tcPr>
            <w:tcW w:w="5244" w:type="dxa"/>
          </w:tcPr>
          <w:p w14:paraId="6F31FD68" w14:textId="77777777" w:rsidR="00EE3DCB" w:rsidRPr="00EE3DCB" w:rsidRDefault="00EE3DCB" w:rsidP="00EE3DCB">
            <w:pPr>
              <w:numPr>
                <w:ilvl w:val="0"/>
                <w:numId w:val="24"/>
              </w:numPr>
              <w:suppressAutoHyphens w:val="0"/>
              <w:spacing w:line="220" w:lineRule="exact"/>
              <w:ind w:left="0" w:firstLine="1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eastAsia="en-GB"/>
              </w:rPr>
            </w:pPr>
            <w:r w:rsidRPr="00EE3DCB">
              <w:rPr>
                <w:rFonts w:ascii="Times New Roman" w:hAnsi="Times New Roman" w:cs="Times New Roman"/>
                <w:sz w:val="18"/>
                <w:szCs w:val="20"/>
                <w:lang w:eastAsia="en-GB"/>
              </w:rPr>
              <w:t xml:space="preserve">How does existing energy/transport infrastructure/use support population health? </w:t>
            </w:r>
          </w:p>
          <w:p w14:paraId="6BD36C19" w14:textId="77777777" w:rsidR="00EE3DCB" w:rsidRPr="00EE3DCB" w:rsidRDefault="00EE3DCB" w:rsidP="00EE3DCB">
            <w:pPr>
              <w:numPr>
                <w:ilvl w:val="0"/>
                <w:numId w:val="24"/>
              </w:numPr>
              <w:suppressAutoHyphens w:val="0"/>
              <w:spacing w:line="220" w:lineRule="exact"/>
              <w:ind w:left="0" w:firstLine="1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eastAsia="en-GB"/>
              </w:rPr>
            </w:pPr>
            <w:r w:rsidRPr="00EE3DCB">
              <w:rPr>
                <w:rFonts w:ascii="Times New Roman" w:hAnsi="Times New Roman" w:cs="Times New Roman"/>
                <w:sz w:val="18"/>
                <w:szCs w:val="20"/>
                <w:lang w:eastAsia="en-GB"/>
              </w:rPr>
              <w:t xml:space="preserve">What conflicts with maintaining/improving population health arise from the current approach? </w:t>
            </w:r>
          </w:p>
          <w:p w14:paraId="28E6FBE3" w14:textId="77777777" w:rsidR="00EE3DCB" w:rsidRPr="00EE3DCB" w:rsidRDefault="00EE3DCB" w:rsidP="00EE3DCB">
            <w:pPr>
              <w:numPr>
                <w:ilvl w:val="0"/>
                <w:numId w:val="24"/>
              </w:numPr>
              <w:suppressAutoHyphens w:val="0"/>
              <w:spacing w:line="220" w:lineRule="exact"/>
              <w:ind w:left="0" w:firstLine="1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eastAsia="en-GB"/>
              </w:rPr>
            </w:pPr>
            <w:r w:rsidRPr="00EE3DCB">
              <w:rPr>
                <w:rFonts w:ascii="Times New Roman" w:hAnsi="Times New Roman" w:cs="Times New Roman"/>
                <w:sz w:val="18"/>
                <w:szCs w:val="20"/>
                <w:lang w:eastAsia="en-GB"/>
              </w:rPr>
              <w:t>What population health and health inequality benefits would accrue (or risks arise) from modifying energy/transport infrastructure or use?</w:t>
            </w:r>
          </w:p>
          <w:p w14:paraId="4059F03B" w14:textId="77777777" w:rsidR="00EE3DCB" w:rsidRPr="00EE3DCB" w:rsidRDefault="00EE3DCB" w:rsidP="00EE3DCB">
            <w:pPr>
              <w:numPr>
                <w:ilvl w:val="0"/>
                <w:numId w:val="24"/>
              </w:numPr>
              <w:suppressAutoHyphens w:val="0"/>
              <w:spacing w:line="220" w:lineRule="exact"/>
              <w:ind w:left="0" w:firstLine="1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eastAsia="en-GB"/>
              </w:rPr>
            </w:pPr>
            <w:r w:rsidRPr="00EE3DCB">
              <w:rPr>
                <w:rFonts w:ascii="Times New Roman" w:hAnsi="Times New Roman" w:cs="Times New Roman"/>
                <w:sz w:val="18"/>
                <w:szCs w:val="20"/>
                <w:lang w:eastAsia="en-GB"/>
              </w:rPr>
              <w:t xml:space="preserve">Which options are better for population health and what would be a realistic mix/transition? </w:t>
            </w:r>
          </w:p>
        </w:tc>
      </w:tr>
      <w:tr w:rsidR="00EE3DCB" w:rsidRPr="00EE3DCB" w14:paraId="30862685" w14:textId="77777777" w:rsidTr="00A0514B">
        <w:tc>
          <w:tcPr>
            <w:cnfStyle w:val="001000000000" w:firstRow="0" w:lastRow="0" w:firstColumn="1" w:lastColumn="0" w:oddVBand="0" w:evenVBand="0" w:oddHBand="0" w:evenHBand="0" w:firstRowFirstColumn="0" w:firstRowLastColumn="0" w:lastRowFirstColumn="0" w:lastRowLastColumn="0"/>
            <w:tcW w:w="2127" w:type="dxa"/>
          </w:tcPr>
          <w:p w14:paraId="28D5178A" w14:textId="3C7CE053" w:rsidR="00EE3DCB" w:rsidRPr="00EE3DCB" w:rsidRDefault="00EE3DCB" w:rsidP="00A837EF">
            <w:pPr>
              <w:suppressAutoHyphens w:val="0"/>
              <w:spacing w:line="220" w:lineRule="exact"/>
              <w:rPr>
                <w:rFonts w:ascii="Times New Roman" w:hAnsi="Times New Roman" w:cs="Times New Roman"/>
                <w:sz w:val="18"/>
                <w:szCs w:val="20"/>
                <w:lang w:eastAsia="en-GB"/>
              </w:rPr>
            </w:pPr>
            <w:r w:rsidRPr="00EE3DCB">
              <w:rPr>
                <w:rFonts w:ascii="Times New Roman" w:hAnsi="Times New Roman" w:cs="Times New Roman"/>
                <w:sz w:val="18"/>
                <w:szCs w:val="20"/>
                <w:lang w:eastAsia="en-GB"/>
              </w:rPr>
              <w:t>Energy/Transport plans</w:t>
            </w:r>
          </w:p>
        </w:tc>
        <w:tc>
          <w:tcPr>
            <w:tcW w:w="5244" w:type="dxa"/>
          </w:tcPr>
          <w:p w14:paraId="11F4DF74" w14:textId="73089738" w:rsidR="00EE3DCB" w:rsidRPr="00EE3DCB" w:rsidRDefault="00EE3DCB" w:rsidP="00EE3DCB">
            <w:pPr>
              <w:numPr>
                <w:ilvl w:val="0"/>
                <w:numId w:val="24"/>
              </w:numPr>
              <w:suppressAutoHyphens w:val="0"/>
              <w:spacing w:line="220" w:lineRule="exact"/>
              <w:ind w:left="0" w:firstLine="1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eastAsia="en-GB"/>
              </w:rPr>
            </w:pPr>
            <w:r w:rsidRPr="00EE3DCB">
              <w:rPr>
                <w:rFonts w:ascii="Times New Roman" w:hAnsi="Times New Roman" w:cs="Times New Roman"/>
                <w:sz w:val="18"/>
                <w:szCs w:val="20"/>
                <w:lang w:eastAsia="en-GB"/>
              </w:rPr>
              <w:t>What energy/transport infrastructure/use maximizes positive population health outcomes and minimize</w:t>
            </w:r>
            <w:r w:rsidR="00C74546">
              <w:rPr>
                <w:rFonts w:ascii="Times New Roman" w:hAnsi="Times New Roman" w:cs="Times New Roman"/>
                <w:sz w:val="18"/>
                <w:szCs w:val="20"/>
                <w:lang w:eastAsia="en-GB"/>
              </w:rPr>
              <w:t>s</w:t>
            </w:r>
            <w:r w:rsidRPr="00EE3DCB">
              <w:rPr>
                <w:rFonts w:ascii="Times New Roman" w:hAnsi="Times New Roman" w:cs="Times New Roman"/>
                <w:sz w:val="18"/>
                <w:szCs w:val="20"/>
                <w:lang w:eastAsia="en-GB"/>
              </w:rPr>
              <w:t xml:space="preserve"> negative population health outcomes?</w:t>
            </w:r>
          </w:p>
          <w:p w14:paraId="7A2D2234" w14:textId="55E53DA8" w:rsidR="00EE3DCB" w:rsidRPr="00EE3DCB" w:rsidRDefault="00EE3DCB" w:rsidP="00EE3DCB">
            <w:pPr>
              <w:numPr>
                <w:ilvl w:val="0"/>
                <w:numId w:val="24"/>
              </w:numPr>
              <w:suppressAutoHyphens w:val="0"/>
              <w:spacing w:line="220" w:lineRule="exact"/>
              <w:ind w:left="0" w:firstLine="1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eastAsia="en-GB"/>
              </w:rPr>
            </w:pPr>
            <w:r w:rsidRPr="00EE3DCB">
              <w:rPr>
                <w:rFonts w:ascii="Times New Roman" w:hAnsi="Times New Roman" w:cs="Times New Roman"/>
                <w:sz w:val="18"/>
                <w:szCs w:val="20"/>
                <w:lang w:eastAsia="en-GB"/>
              </w:rPr>
              <w:t>What population health trade-offs are involved, (</w:t>
            </w:r>
            <w:r w:rsidR="000247B4">
              <w:rPr>
                <w:rFonts w:ascii="Times New Roman" w:hAnsi="Times New Roman" w:cs="Times New Roman"/>
                <w:sz w:val="18"/>
                <w:szCs w:val="20"/>
                <w:lang w:eastAsia="en-GB"/>
              </w:rPr>
              <w:t>for example,</w:t>
            </w:r>
            <w:r w:rsidRPr="00EE3DCB">
              <w:rPr>
                <w:rFonts w:ascii="Times New Roman" w:hAnsi="Times New Roman" w:cs="Times New Roman"/>
                <w:sz w:val="18"/>
                <w:szCs w:val="20"/>
                <w:lang w:eastAsia="en-GB"/>
              </w:rPr>
              <w:t xml:space="preserve"> land-take)?</w:t>
            </w:r>
          </w:p>
        </w:tc>
      </w:tr>
      <w:tr w:rsidR="00EE3DCB" w:rsidRPr="00EE3DCB" w14:paraId="63C57CB3" w14:textId="77777777" w:rsidTr="00A05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5807916" w14:textId="5CF285DC" w:rsidR="00EE3DCB" w:rsidRPr="00EE3DCB" w:rsidRDefault="00EE3DCB" w:rsidP="00A837EF">
            <w:pPr>
              <w:suppressAutoHyphens w:val="0"/>
              <w:spacing w:line="220" w:lineRule="exact"/>
              <w:rPr>
                <w:rFonts w:ascii="Times New Roman" w:hAnsi="Times New Roman" w:cs="Times New Roman"/>
                <w:sz w:val="18"/>
                <w:szCs w:val="20"/>
                <w:lang w:eastAsia="en-GB"/>
              </w:rPr>
            </w:pPr>
            <w:r w:rsidRPr="00EE3DCB">
              <w:rPr>
                <w:rFonts w:ascii="Times New Roman" w:hAnsi="Times New Roman" w:cs="Times New Roman"/>
                <w:sz w:val="18"/>
                <w:szCs w:val="20"/>
                <w:lang w:eastAsia="en-GB"/>
              </w:rPr>
              <w:t>Energy/Transport programmes</w:t>
            </w:r>
          </w:p>
        </w:tc>
        <w:tc>
          <w:tcPr>
            <w:tcW w:w="5244" w:type="dxa"/>
          </w:tcPr>
          <w:p w14:paraId="4CB20062" w14:textId="504CBFA5" w:rsidR="00EE3DCB" w:rsidRPr="00EE3DCB" w:rsidRDefault="00EE3DCB" w:rsidP="00EE3DCB">
            <w:pPr>
              <w:numPr>
                <w:ilvl w:val="0"/>
                <w:numId w:val="25"/>
              </w:numPr>
              <w:suppressAutoHyphens w:val="0"/>
              <w:spacing w:line="220" w:lineRule="exact"/>
              <w:ind w:left="0" w:firstLine="1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eastAsia="en-GB"/>
              </w:rPr>
            </w:pPr>
            <w:r w:rsidRPr="00EE3DCB">
              <w:rPr>
                <w:rFonts w:ascii="Times New Roman" w:hAnsi="Times New Roman" w:cs="Times New Roman"/>
                <w:sz w:val="18"/>
                <w:szCs w:val="20"/>
                <w:lang w:eastAsia="en-GB"/>
              </w:rPr>
              <w:t>What infrastructure developments should be given priority, considering costs and benefits (</w:t>
            </w:r>
            <w:r w:rsidR="000247B4">
              <w:rPr>
                <w:rFonts w:ascii="Times New Roman" w:hAnsi="Times New Roman" w:cs="Times New Roman"/>
                <w:sz w:val="18"/>
                <w:szCs w:val="20"/>
                <w:lang w:eastAsia="en-GB"/>
              </w:rPr>
              <w:t xml:space="preserve">for example, </w:t>
            </w:r>
            <w:r w:rsidRPr="00EE3DCB">
              <w:rPr>
                <w:rFonts w:ascii="Times New Roman" w:hAnsi="Times New Roman" w:cs="Times New Roman"/>
                <w:sz w:val="18"/>
                <w:szCs w:val="20"/>
                <w:lang w:eastAsia="en-GB"/>
              </w:rPr>
              <w:t>alternative ways to spend money to improve population health) and population health outcomes, positive and negative?</w:t>
            </w:r>
          </w:p>
        </w:tc>
      </w:tr>
      <w:tr w:rsidR="00EE3DCB" w:rsidRPr="00EE3DCB" w14:paraId="7FDEF055" w14:textId="77777777" w:rsidTr="00A0514B">
        <w:tc>
          <w:tcPr>
            <w:cnfStyle w:val="001000000000" w:firstRow="0" w:lastRow="0" w:firstColumn="1" w:lastColumn="0" w:oddVBand="0" w:evenVBand="0" w:oddHBand="0" w:evenHBand="0" w:firstRowFirstColumn="0" w:firstRowLastColumn="0" w:lastRowFirstColumn="0" w:lastRowLastColumn="0"/>
            <w:tcW w:w="2127" w:type="dxa"/>
          </w:tcPr>
          <w:p w14:paraId="2A4DDBB6" w14:textId="77777777" w:rsidR="00EE3DCB" w:rsidRPr="00EE3DCB" w:rsidRDefault="00EE3DCB" w:rsidP="00A837EF">
            <w:pPr>
              <w:suppressAutoHyphens w:val="0"/>
              <w:spacing w:line="220" w:lineRule="exact"/>
              <w:rPr>
                <w:rFonts w:ascii="Times New Roman" w:hAnsi="Times New Roman" w:cs="Times New Roman"/>
                <w:sz w:val="18"/>
                <w:szCs w:val="20"/>
                <w:lang w:eastAsia="en-GB"/>
              </w:rPr>
            </w:pPr>
            <w:r w:rsidRPr="00EE3DCB">
              <w:rPr>
                <w:rFonts w:ascii="Times New Roman" w:hAnsi="Times New Roman" w:cs="Times New Roman"/>
                <w:sz w:val="18"/>
                <w:szCs w:val="20"/>
                <w:lang w:eastAsia="en-GB"/>
              </w:rPr>
              <w:t xml:space="preserve">Projects </w:t>
            </w:r>
          </w:p>
        </w:tc>
        <w:tc>
          <w:tcPr>
            <w:tcW w:w="5244" w:type="dxa"/>
          </w:tcPr>
          <w:p w14:paraId="07F29230" w14:textId="2B611068" w:rsidR="00EE3DCB" w:rsidRPr="00EE3DCB" w:rsidRDefault="00EE3DCB" w:rsidP="00EE3DCB">
            <w:pPr>
              <w:numPr>
                <w:ilvl w:val="0"/>
                <w:numId w:val="24"/>
              </w:numPr>
              <w:suppressAutoHyphens w:val="0"/>
              <w:spacing w:line="220" w:lineRule="exact"/>
              <w:ind w:left="0" w:firstLine="1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eastAsia="en-GB"/>
              </w:rPr>
            </w:pPr>
            <w:r w:rsidRPr="00EE3DCB">
              <w:rPr>
                <w:rFonts w:ascii="Times New Roman" w:hAnsi="Times New Roman" w:cs="Times New Roman"/>
                <w:sz w:val="18"/>
                <w:szCs w:val="20"/>
                <w:lang w:eastAsia="en-GB"/>
              </w:rPr>
              <w:t>What are the environmental, social and economic population health effects of specific projects and how can the</w:t>
            </w:r>
            <w:r w:rsidR="0076761A">
              <w:rPr>
                <w:rFonts w:ascii="Times New Roman" w:hAnsi="Times New Roman" w:cs="Times New Roman"/>
                <w:sz w:val="18"/>
                <w:szCs w:val="20"/>
                <w:lang w:eastAsia="en-GB"/>
              </w:rPr>
              <w:t>y</w:t>
            </w:r>
            <w:r w:rsidRPr="00EE3DCB">
              <w:rPr>
                <w:rFonts w:ascii="Times New Roman" w:hAnsi="Times New Roman" w:cs="Times New Roman"/>
                <w:sz w:val="18"/>
                <w:szCs w:val="20"/>
                <w:lang w:eastAsia="en-GB"/>
              </w:rPr>
              <w:t xml:space="preserve"> be avoided, mitigated or enhanced?</w:t>
            </w:r>
          </w:p>
        </w:tc>
      </w:tr>
    </w:tbl>
    <w:p w14:paraId="26B6F639" w14:textId="74B7903B" w:rsidR="00626581" w:rsidRPr="00626581" w:rsidRDefault="00626581" w:rsidP="002E266A">
      <w:pPr>
        <w:pStyle w:val="FootnoteText"/>
        <w:spacing w:before="40"/>
        <w:ind w:firstLine="0"/>
      </w:pPr>
      <w:r>
        <w:tab/>
      </w:r>
      <w:r w:rsidRPr="005D259F">
        <w:rPr>
          <w:i/>
          <w:iCs/>
        </w:rPr>
        <w:t>Source:</w:t>
      </w:r>
      <w:r w:rsidRPr="00626581">
        <w:t xml:space="preserve"> adapted from </w:t>
      </w:r>
      <w:r w:rsidR="0076761A" w:rsidRPr="0076761A">
        <w:t xml:space="preserve">T.B. Fischer, </w:t>
      </w:r>
      <w:r w:rsidR="0076761A" w:rsidRPr="005D259F">
        <w:rPr>
          <w:i/>
          <w:iCs/>
        </w:rPr>
        <w:t>The Theory and Practice of Strategic Environmental Assessment: Towards a More Systematic Approach</w:t>
      </w:r>
      <w:r w:rsidR="0076761A" w:rsidRPr="0076761A">
        <w:t xml:space="preserve"> </w:t>
      </w:r>
      <w:r w:rsidR="0076761A">
        <w:t xml:space="preserve">(London, </w:t>
      </w:r>
      <w:r w:rsidR="0076761A" w:rsidRPr="0076761A">
        <w:t>Earthscan, 2007</w:t>
      </w:r>
      <w:r w:rsidR="0076761A">
        <w:t>).</w:t>
      </w:r>
    </w:p>
    <w:p w14:paraId="5410C099" w14:textId="22B76EA6" w:rsidR="00BC4CBD" w:rsidRPr="00B22256" w:rsidRDefault="00BC4CBD" w:rsidP="00BC4CBD">
      <w:pPr>
        <w:pStyle w:val="SingleTxtG"/>
        <w:spacing w:before="240"/>
      </w:pPr>
      <w:r>
        <w:t>4</w:t>
      </w:r>
      <w:r w:rsidR="00413FFD">
        <w:t>6</w:t>
      </w:r>
      <w:r>
        <w:t>.</w:t>
      </w:r>
      <w:r>
        <w:tab/>
      </w:r>
      <w:r w:rsidRPr="005C573F">
        <w:t xml:space="preserve">Table </w:t>
      </w:r>
      <w:r>
        <w:t>1</w:t>
      </w:r>
      <w:r w:rsidRPr="00B22256">
        <w:t xml:space="preserve"> </w:t>
      </w:r>
      <w:r w:rsidR="006A409F">
        <w:t xml:space="preserve">above </w:t>
      </w:r>
      <w:r w:rsidRPr="00B22256">
        <w:t>provides, from the health perspective, a generic overview of what may be addressed where in a policy or legislation, plan, programme and project hierarchy. Specific legislation and/or traditions may lead to the preparation of specific plans and programmes (and associated assessments) that may look different. It is important to be aware of any constraints or gaps that might exist regard</w:t>
      </w:r>
      <w:r w:rsidR="00A15AE9">
        <w:t xml:space="preserve">ing </w:t>
      </w:r>
      <w:r w:rsidRPr="00B22256">
        <w:t>systematically covering different issues and questions</w:t>
      </w:r>
      <w:r w:rsidR="006A409F">
        <w:t>,</w:t>
      </w:r>
      <w:r w:rsidRPr="00B22256">
        <w:t xml:space="preserve"> as well as associated alternatives.</w:t>
      </w:r>
    </w:p>
    <w:p w14:paraId="21B989E5" w14:textId="4513D022" w:rsidR="00BC4CBD" w:rsidRDefault="00BC4CBD" w:rsidP="00BC4CBD">
      <w:pPr>
        <w:pStyle w:val="SingleTxtG"/>
      </w:pPr>
      <w:r>
        <w:t>4</w:t>
      </w:r>
      <w:r w:rsidR="00413FFD">
        <w:t>7</w:t>
      </w:r>
      <w:r>
        <w:t>.</w:t>
      </w:r>
      <w:r>
        <w:tab/>
        <w:t>It is good practice during</w:t>
      </w:r>
      <w:r w:rsidRPr="00B22256">
        <w:t xml:space="preserve"> </w:t>
      </w:r>
      <w:r>
        <w:t>plan</w:t>
      </w:r>
      <w:r w:rsidR="00E67998">
        <w:t>-</w:t>
      </w:r>
      <w:r>
        <w:t>/</w:t>
      </w:r>
      <w:r w:rsidRPr="00B22256">
        <w:t>programme</w:t>
      </w:r>
      <w:r w:rsidR="006A409F">
        <w:t>-</w:t>
      </w:r>
      <w:r w:rsidRPr="00B22256">
        <w:t>making and strategic environmental assessment</w:t>
      </w:r>
      <w:r>
        <w:t xml:space="preserve"> to establish early on </w:t>
      </w:r>
      <w:r w:rsidRPr="00B22256">
        <w:t>the roles</w:t>
      </w:r>
      <w:r>
        <w:t xml:space="preserve"> and </w:t>
      </w:r>
      <w:r w:rsidRPr="00B22256">
        <w:t>responsibilities</w:t>
      </w:r>
      <w:r>
        <w:t xml:space="preserve"> of those who should be approached</w:t>
      </w:r>
      <w:r w:rsidRPr="009E3847">
        <w:t xml:space="preserve"> </w:t>
      </w:r>
      <w:r w:rsidRPr="00B22256">
        <w:t>across sectors/administrations</w:t>
      </w:r>
      <w:r>
        <w:t xml:space="preserve">, </w:t>
      </w:r>
      <w:r w:rsidR="000247B4">
        <w:t xml:space="preserve">for example, </w:t>
      </w:r>
      <w:r>
        <w:t xml:space="preserve">in health, </w:t>
      </w:r>
      <w:r w:rsidRPr="00B22256">
        <w:t>transport, energy</w:t>
      </w:r>
      <w:r>
        <w:t xml:space="preserve"> and </w:t>
      </w:r>
      <w:r w:rsidRPr="00B22256">
        <w:t>spatial plan</w:t>
      </w:r>
      <w:r>
        <w:t>ning.</w:t>
      </w:r>
      <w:r w:rsidRPr="00B22256">
        <w:t xml:space="preserve"> </w:t>
      </w:r>
    </w:p>
    <w:p w14:paraId="65EBE7A3" w14:textId="2602963A" w:rsidR="00BC4CBD" w:rsidRPr="00B22256" w:rsidRDefault="00BC4CBD" w:rsidP="00BC4CBD">
      <w:pPr>
        <w:pStyle w:val="SingleTxtG"/>
      </w:pPr>
      <w:r>
        <w:t>4</w:t>
      </w:r>
      <w:r w:rsidR="00413FFD">
        <w:t>8</w:t>
      </w:r>
      <w:r>
        <w:t>.</w:t>
      </w:r>
      <w:r>
        <w:tab/>
      </w:r>
      <w:r w:rsidRPr="00B22256">
        <w:t xml:space="preserve">It is also important to involve actors responsible for implementation of plans and programmes through specific projects. This </w:t>
      </w:r>
      <w:r>
        <w:t>includes</w:t>
      </w:r>
      <w:r w:rsidRPr="00B22256">
        <w:t xml:space="preserve"> relevant health authorities at appropriate administrative levels.</w:t>
      </w:r>
    </w:p>
    <w:p w14:paraId="26224311" w14:textId="6B7DA050" w:rsidR="00BC4CBD" w:rsidRDefault="00BC4CBD" w:rsidP="00BC4CBD">
      <w:pPr>
        <w:pStyle w:val="H1G"/>
      </w:pPr>
      <w:bookmarkStart w:id="18" w:name="IVB_health_inclusive_SEA"/>
      <w:r>
        <w:tab/>
        <w:t>B</w:t>
      </w:r>
      <w:r w:rsidRPr="00A31386">
        <w:t>.</w:t>
      </w:r>
      <w:r w:rsidRPr="00A31386">
        <w:tab/>
      </w:r>
      <w:r w:rsidRPr="00903514">
        <w:t xml:space="preserve">Step </w:t>
      </w:r>
      <w:r>
        <w:t>2</w:t>
      </w:r>
      <w:r w:rsidRPr="00903514">
        <w:t xml:space="preserve">: </w:t>
      </w:r>
      <w:r w:rsidRPr="00423F5D">
        <w:t>Conducting health</w:t>
      </w:r>
      <w:r w:rsidR="007240BD">
        <w:t>-</w:t>
      </w:r>
      <w:r w:rsidRPr="00423F5D">
        <w:t>inclusive strategic environmental assessment</w:t>
      </w:r>
    </w:p>
    <w:bookmarkEnd w:id="18"/>
    <w:p w14:paraId="0B739768" w14:textId="02BB0894" w:rsidR="00BC4CBD" w:rsidRPr="007A7CB4" w:rsidRDefault="00413FFD" w:rsidP="00BC4CBD">
      <w:pPr>
        <w:pStyle w:val="SingleTxtG"/>
      </w:pPr>
      <w:r>
        <w:t>49</w:t>
      </w:r>
      <w:r w:rsidR="00BC4CBD">
        <w:t>.</w:t>
      </w:r>
      <w:r w:rsidR="00BC4CBD">
        <w:tab/>
        <w:t>Conducting a s</w:t>
      </w:r>
      <w:r w:rsidR="00BC4CBD" w:rsidRPr="007A7CB4">
        <w:t xml:space="preserve">trategic environmental assessment in parallel with the </w:t>
      </w:r>
      <w:r w:rsidR="00BC4CBD">
        <w:t xml:space="preserve">process of preparing the </w:t>
      </w:r>
      <w:r w:rsidR="00BC4CBD" w:rsidRPr="007A7CB4">
        <w:t>plan</w:t>
      </w:r>
      <w:r w:rsidR="00A15AE9">
        <w:t xml:space="preserve"> or </w:t>
      </w:r>
      <w:r w:rsidR="00BC4CBD" w:rsidRPr="007A7CB4">
        <w:t>programme</w:t>
      </w:r>
      <w:r w:rsidR="00BC4CBD">
        <w:t>, with regular engagement between the two processes, is good practice</w:t>
      </w:r>
      <w:r w:rsidR="00BC4CBD" w:rsidRPr="007A7CB4">
        <w:t xml:space="preserve">. </w:t>
      </w:r>
      <w:r w:rsidR="00BC4CBD">
        <w:t>S</w:t>
      </w:r>
      <w:r w:rsidR="00BC4CBD" w:rsidRPr="007A7CB4">
        <w:t>trategic environmental assessment</w:t>
      </w:r>
      <w:r w:rsidR="00BC4CBD">
        <w:t>s are generally</w:t>
      </w:r>
      <w:r w:rsidR="00BC4CBD" w:rsidRPr="007A7CB4">
        <w:t xml:space="preserve"> led by a competent </w:t>
      </w:r>
      <w:r w:rsidR="00BC4CBD">
        <w:t xml:space="preserve">public </w:t>
      </w:r>
      <w:r w:rsidR="00BC4CBD" w:rsidRPr="007A7CB4">
        <w:t>authority</w:t>
      </w:r>
      <w:r w:rsidR="0013464F">
        <w:t>,</w:t>
      </w:r>
      <w:r w:rsidR="0013464F">
        <w:rPr>
          <w:rStyle w:val="FootnoteReference"/>
        </w:rPr>
        <w:footnoteReference w:id="32"/>
      </w:r>
      <w:r w:rsidR="00BC4CBD">
        <w:t xml:space="preserve"> which may use external experts to prepare the report. The role of the </w:t>
      </w:r>
      <w:r w:rsidR="00BC4CBD" w:rsidRPr="007A7CB4">
        <w:t xml:space="preserve">public health authority </w:t>
      </w:r>
      <w:r w:rsidR="00BC4CBD">
        <w:t xml:space="preserve">is </w:t>
      </w:r>
      <w:r w:rsidR="00BC4CBD" w:rsidRPr="007A7CB4">
        <w:t xml:space="preserve">likely </w:t>
      </w:r>
      <w:r w:rsidR="00BC4CBD">
        <w:t xml:space="preserve">to be focused on </w:t>
      </w:r>
      <w:r w:rsidR="00BC4CBD" w:rsidRPr="007A7CB4">
        <w:t xml:space="preserve">review and evaluation. </w:t>
      </w:r>
    </w:p>
    <w:p w14:paraId="6C84150B" w14:textId="5C44D48E" w:rsidR="00BC4CBD" w:rsidRPr="003F611A" w:rsidRDefault="00BC4CBD" w:rsidP="00BC4CBD">
      <w:pPr>
        <w:pStyle w:val="SingleTxtG"/>
      </w:pPr>
      <w:r>
        <w:t>5</w:t>
      </w:r>
      <w:r w:rsidR="00413FFD">
        <w:t>0</w:t>
      </w:r>
      <w:r>
        <w:t>.</w:t>
      </w:r>
      <w:r>
        <w:tab/>
        <w:t xml:space="preserve">The policies, legislation, plans and programmes that are subject to </w:t>
      </w:r>
      <w:r w:rsidRPr="003F611A">
        <w:t xml:space="preserve">strategic environmental assessment </w:t>
      </w:r>
      <w:r>
        <w:t xml:space="preserve">frame the environment for years to come. </w:t>
      </w:r>
      <w:r w:rsidRPr="003F611A">
        <w:t xml:space="preserve">Strategic environmental assessment is an opportunity to improve population health. This includes setting the direction </w:t>
      </w:r>
      <w:r w:rsidRPr="003F611A">
        <w:lastRenderedPageBreak/>
        <w:t>of a plan or programme in a way that promotes (positive) health opportunities</w:t>
      </w:r>
      <w:r w:rsidR="0013464F">
        <w:t>,</w:t>
      </w:r>
      <w:r>
        <w:t xml:space="preserve"> as well as </w:t>
      </w:r>
      <w:r w:rsidRPr="003F611A">
        <w:t xml:space="preserve">avoiding (negative) health challenges. </w:t>
      </w:r>
    </w:p>
    <w:p w14:paraId="222843E7" w14:textId="3D4011D7" w:rsidR="00BC4CBD" w:rsidRPr="003F611A" w:rsidRDefault="00BC4CBD" w:rsidP="00BC4CBD">
      <w:pPr>
        <w:pStyle w:val="SingleTxtG"/>
      </w:pPr>
      <w:r>
        <w:t>5</w:t>
      </w:r>
      <w:r w:rsidR="00413FFD">
        <w:t>1</w:t>
      </w:r>
      <w:r>
        <w:t>.</w:t>
      </w:r>
      <w:r>
        <w:tab/>
        <w:t xml:space="preserve">The practical implications of a </w:t>
      </w:r>
      <w:r w:rsidRPr="003F611A">
        <w:t xml:space="preserve">strategic environmental assessment </w:t>
      </w:r>
      <w:r>
        <w:t xml:space="preserve">mean that all analysis, including that </w:t>
      </w:r>
      <w:r w:rsidRPr="003F611A">
        <w:t>of health</w:t>
      </w:r>
      <w:r>
        <w:t xml:space="preserve">, benefits from being presented </w:t>
      </w:r>
      <w:r w:rsidRPr="003F611A">
        <w:t>in a small number of inputs to the decision-making process. Whil</w:t>
      </w:r>
      <w:r w:rsidR="00765623">
        <w:t>e</w:t>
      </w:r>
      <w:r w:rsidRPr="003F611A">
        <w:t xml:space="preserve"> promoting a holistic coverage of health is important, this </w:t>
      </w:r>
      <w:r w:rsidR="005D259F">
        <w:t xml:space="preserve">is not intended to </w:t>
      </w:r>
      <w:r w:rsidRPr="003F611A">
        <w:t xml:space="preserve">detract from the </w:t>
      </w:r>
      <w:r w:rsidR="005D259F">
        <w:t>other topics in the strategic environmental assessment</w:t>
      </w:r>
      <w:r w:rsidR="001942EC">
        <w:t>.</w:t>
      </w:r>
      <w:r w:rsidR="005D259F">
        <w:t xml:space="preserve"> </w:t>
      </w:r>
      <w:r>
        <w:t xml:space="preserve">Good practice is for </w:t>
      </w:r>
      <w:r w:rsidRPr="003F611A">
        <w:t xml:space="preserve">the links to health across relevant </w:t>
      </w:r>
      <w:r w:rsidR="006820F1">
        <w:t xml:space="preserve"> topics </w:t>
      </w:r>
      <w:r>
        <w:t>to</w:t>
      </w:r>
      <w:r w:rsidRPr="003F611A">
        <w:t xml:space="preserve"> be </w:t>
      </w:r>
      <w:r w:rsidR="006820F1">
        <w:t xml:space="preserve">made </w:t>
      </w:r>
      <w:r w:rsidRPr="003F611A">
        <w:t>explicit</w:t>
      </w:r>
      <w:r w:rsidR="006820F1">
        <w:t>.</w:t>
      </w:r>
      <w:r w:rsidRPr="003F611A">
        <w:t xml:space="preserve"> </w:t>
      </w:r>
      <w:r w:rsidR="006820F1">
        <w:t>As is shown above, many of the topics in strategic environmental assessment are determinants of health. W</w:t>
      </w:r>
      <w:r w:rsidRPr="003F611A">
        <w:t>here appropriate</w:t>
      </w:r>
      <w:r w:rsidR="00765623">
        <w:t>,</w:t>
      </w:r>
      <w:r w:rsidRPr="003F611A">
        <w:t xml:space="preserve"> </w:t>
      </w:r>
      <w:r w:rsidR="006820F1">
        <w:t xml:space="preserve">the cross-cutting analysis can </w:t>
      </w:r>
      <w:r w:rsidRPr="003F611A">
        <w:t xml:space="preserve">follow through to </w:t>
      </w:r>
      <w:r>
        <w:t xml:space="preserve">a </w:t>
      </w:r>
      <w:r w:rsidRPr="003F611A">
        <w:t xml:space="preserve">discussion of health outcomes. </w:t>
      </w:r>
      <w:r>
        <w:t xml:space="preserve">This </w:t>
      </w:r>
      <w:r w:rsidR="006820F1">
        <w:t>can</w:t>
      </w:r>
      <w:r>
        <w:t xml:space="preserve"> be achieved by including a clear and holistic health objective and using this to make relevant links to established environmental (and other) determinants. </w:t>
      </w:r>
      <w:r w:rsidRPr="003F611A">
        <w:t xml:space="preserve">   </w:t>
      </w:r>
    </w:p>
    <w:p w14:paraId="7DC1C6F6" w14:textId="12634E1F" w:rsidR="00BC4CBD" w:rsidRPr="003F611A" w:rsidRDefault="00BC4CBD" w:rsidP="00BC4CBD">
      <w:pPr>
        <w:pStyle w:val="SingleTxtG"/>
      </w:pPr>
      <w:r>
        <w:t>5</w:t>
      </w:r>
      <w:r w:rsidR="00413FFD">
        <w:t>2</w:t>
      </w:r>
      <w:r>
        <w:t>.</w:t>
      </w:r>
      <w:r>
        <w:tab/>
      </w:r>
      <w:r w:rsidRPr="003F611A">
        <w:t xml:space="preserve">Health as a unified concept has potential pitfalls to navigate. These can include the relative power of health-related institutions/teams and </w:t>
      </w:r>
      <w:r>
        <w:t xml:space="preserve">the level of </w:t>
      </w:r>
      <w:r w:rsidRPr="003F611A">
        <w:t xml:space="preserve">understanding of health </w:t>
      </w:r>
      <w:r w:rsidR="00765623">
        <w:t>of</w:t>
      </w:r>
      <w:r w:rsidRPr="003F611A">
        <w:t xml:space="preserve"> those involved in strategic environmental assessment</w:t>
      </w:r>
      <w:r>
        <w:t xml:space="preserve"> (where t</w:t>
      </w:r>
      <w:r w:rsidRPr="003F611A">
        <w:t>here are</w:t>
      </w:r>
      <w:r>
        <w:t xml:space="preserve"> </w:t>
      </w:r>
      <w:r w:rsidRPr="003F611A">
        <w:t xml:space="preserve">frequently </w:t>
      </w:r>
      <w:r>
        <w:t xml:space="preserve">knowledge </w:t>
      </w:r>
      <w:r w:rsidRPr="003F611A">
        <w:t>gaps, for example</w:t>
      </w:r>
      <w:r w:rsidR="00765623">
        <w:t>,</w:t>
      </w:r>
      <w:r w:rsidRPr="003F611A">
        <w:t xml:space="preserve"> with regards to social determinants of health</w:t>
      </w:r>
      <w:r>
        <w:t>)</w:t>
      </w:r>
      <w:r w:rsidRPr="003F611A">
        <w:t xml:space="preserve">. </w:t>
      </w:r>
      <w:r>
        <w:t>Furthermore, t</w:t>
      </w:r>
      <w:r w:rsidRPr="003F611A">
        <w:t xml:space="preserve">he identification and </w:t>
      </w:r>
      <w:r w:rsidR="00765623">
        <w:t>subsequent</w:t>
      </w:r>
      <w:r w:rsidR="00765623" w:rsidRPr="003F611A">
        <w:t xml:space="preserve"> </w:t>
      </w:r>
      <w:r w:rsidRPr="003F611A">
        <w:t xml:space="preserve">integration of a wide range of health determinants can be conceptually and practically challenging. </w:t>
      </w:r>
    </w:p>
    <w:p w14:paraId="0DFAC79A" w14:textId="77777777" w:rsidR="00BC4CBD" w:rsidRPr="007A7CB4" w:rsidRDefault="00BC4CBD" w:rsidP="00BC4CBD">
      <w:pPr>
        <w:pStyle w:val="H23G"/>
        <w:rPr>
          <w:lang w:val="en"/>
        </w:rPr>
      </w:pPr>
      <w:r>
        <w:rPr>
          <w:bCs/>
        </w:rPr>
        <w:tab/>
        <w:t>1.</w:t>
      </w:r>
      <w:r>
        <w:rPr>
          <w:bCs/>
        </w:rPr>
        <w:tab/>
      </w:r>
      <w:r>
        <w:rPr>
          <w:bCs/>
        </w:rPr>
        <w:tab/>
      </w:r>
      <w:r>
        <w:rPr>
          <w:lang w:val="en"/>
        </w:rPr>
        <w:t>Screening</w:t>
      </w:r>
    </w:p>
    <w:p w14:paraId="68C818B6" w14:textId="2F445500" w:rsidR="00BC4CBD" w:rsidRDefault="00BC4CBD" w:rsidP="00BC4CBD">
      <w:pPr>
        <w:pStyle w:val="SingleTxtG"/>
      </w:pPr>
      <w:r>
        <w:t>5</w:t>
      </w:r>
      <w:r w:rsidR="00413FFD">
        <w:t>3</w:t>
      </w:r>
      <w:r>
        <w:t>.</w:t>
      </w:r>
      <w:r>
        <w:tab/>
        <w:t xml:space="preserve">Article 5 </w:t>
      </w:r>
      <w:r w:rsidR="0013464F">
        <w:t>(</w:t>
      </w:r>
      <w:r>
        <w:t>1</w:t>
      </w:r>
      <w:r w:rsidR="0013464F">
        <w:t>)</w:t>
      </w:r>
      <w:r>
        <w:t xml:space="preserve"> describes the screening stage whereby Parties are required to determine whether plans and programmes are likely to have significant environmental, including health</w:t>
      </w:r>
      <w:r w:rsidR="00765623">
        <w:t>,</w:t>
      </w:r>
      <w:r>
        <w:t xml:space="preserve"> effects. This decision determines </w:t>
      </w:r>
      <w:r w:rsidRPr="007C2196">
        <w:t xml:space="preserve">whether or not </w:t>
      </w:r>
      <w:r w:rsidR="001E626D">
        <w:t>a</w:t>
      </w:r>
      <w:r w:rsidRPr="007C2196">
        <w:t xml:space="preserve"> strategic environmental assessment</w:t>
      </w:r>
      <w:r w:rsidR="001E626D">
        <w:t xml:space="preserve"> should be conducted</w:t>
      </w:r>
      <w:r>
        <w:t>. In this context</w:t>
      </w:r>
      <w:r w:rsidR="0013464F">
        <w:t>,</w:t>
      </w:r>
      <w:r>
        <w:t xml:space="preserve"> </w:t>
      </w:r>
      <w:r w:rsidR="0013464F">
        <w:t>a</w:t>
      </w:r>
      <w:r>
        <w:t>rticle 5</w:t>
      </w:r>
      <w:r w:rsidR="0013464F">
        <w:t xml:space="preserve"> (</w:t>
      </w:r>
      <w:r>
        <w:t>2</w:t>
      </w:r>
      <w:r w:rsidR="0013464F">
        <w:t>)</w:t>
      </w:r>
      <w:r>
        <w:t xml:space="preserve"> requires that </w:t>
      </w:r>
      <w:r w:rsidRPr="00192068">
        <w:t xml:space="preserve">health authorities </w:t>
      </w:r>
      <w:r>
        <w:t>(</w:t>
      </w:r>
      <w:r w:rsidR="002C3C76">
        <w:t>see</w:t>
      </w:r>
      <w:r w:rsidRPr="00192068">
        <w:t xml:space="preserve"> article 9</w:t>
      </w:r>
      <w:r w:rsidR="0013464F">
        <w:t xml:space="preserve"> (</w:t>
      </w:r>
      <w:r w:rsidRPr="00192068">
        <w:t>1</w:t>
      </w:r>
      <w:r w:rsidR="0013464F">
        <w:t>)</w:t>
      </w:r>
      <w:r>
        <w:t>)</w:t>
      </w:r>
      <w:r w:rsidRPr="00192068">
        <w:t xml:space="preserve">, </w:t>
      </w:r>
      <w:r w:rsidR="00765623">
        <w:t>b</w:t>
      </w:r>
      <w:r w:rsidRPr="00192068">
        <w:t>e consulted</w:t>
      </w:r>
      <w:r>
        <w:t xml:space="preserve">. Screening is </w:t>
      </w:r>
      <w:r w:rsidR="00E8602B">
        <w:t xml:space="preserve">carried out: </w:t>
      </w:r>
      <w:r w:rsidRPr="007C2196">
        <w:t>based on inclusion or exclusion checklists;</w:t>
      </w:r>
      <w:r>
        <w:t xml:space="preserve"> through </w:t>
      </w:r>
      <w:r w:rsidRPr="007C2196">
        <w:t>case-by-case screening;</w:t>
      </w:r>
      <w:r>
        <w:t xml:space="preserve"> or through a combination of both approaches. Annex III provides criteria to support determining likely significance, including identifying: health considerations that promote sustainable development; health problems; risk to health; and the </w:t>
      </w:r>
      <w:r w:rsidRPr="00A52DCF">
        <w:t>probability, duration, frequency, reversibility, magnitude and extent</w:t>
      </w:r>
      <w:r>
        <w:t xml:space="preserve"> of health effects. </w:t>
      </w:r>
    </w:p>
    <w:p w14:paraId="5F69000B" w14:textId="05EA4091" w:rsidR="00BC4CBD" w:rsidRDefault="00BC4CBD" w:rsidP="00BC4CBD">
      <w:pPr>
        <w:pStyle w:val="SingleTxtG"/>
      </w:pPr>
      <w:r>
        <w:t>5</w:t>
      </w:r>
      <w:r w:rsidR="00413FFD">
        <w:t>4</w:t>
      </w:r>
      <w:r>
        <w:t>.</w:t>
      </w:r>
      <w:r>
        <w:tab/>
      </w:r>
      <w:r w:rsidRPr="007C2196">
        <w:t>The cross-cutting nature of health means that</w:t>
      </w:r>
      <w:r>
        <w:t>, as a topic,</w:t>
      </w:r>
      <w:r w:rsidRPr="007C2196">
        <w:t xml:space="preserve"> </w:t>
      </w:r>
      <w:r>
        <w:t xml:space="preserve">it has links with many of the other topics considered in strategic environmental assessment. </w:t>
      </w:r>
      <w:r w:rsidRPr="007C2196">
        <w:t>In practical terms</w:t>
      </w:r>
      <w:r w:rsidR="000E0736">
        <w:t>,</w:t>
      </w:r>
      <w:r w:rsidRPr="007C2196">
        <w:t xml:space="preserve"> it would be unusual for health to be the sole reason for </w:t>
      </w:r>
      <w:r>
        <w:t xml:space="preserve">determining </w:t>
      </w:r>
      <w:r w:rsidR="001E626D">
        <w:t xml:space="preserve">whether </w:t>
      </w:r>
      <w:r w:rsidRPr="007C2196">
        <w:t xml:space="preserve">a plan or programme </w:t>
      </w:r>
      <w:r>
        <w:t xml:space="preserve">should be subject to </w:t>
      </w:r>
      <w:r w:rsidRPr="007C2196">
        <w:t>strategic environmental assessment</w:t>
      </w:r>
      <w:r>
        <w:t xml:space="preserve">. </w:t>
      </w:r>
    </w:p>
    <w:p w14:paraId="5A337E7C" w14:textId="3F242DC0" w:rsidR="00BC4CBD" w:rsidRPr="007C2196" w:rsidRDefault="00BC4CBD" w:rsidP="00BC4CBD">
      <w:pPr>
        <w:pStyle w:val="SingleTxtG"/>
      </w:pPr>
      <w:r>
        <w:t>5</w:t>
      </w:r>
      <w:r w:rsidR="00413FFD">
        <w:t>5</w:t>
      </w:r>
      <w:r>
        <w:t>.</w:t>
      </w:r>
      <w:r>
        <w:tab/>
      </w:r>
      <w:r w:rsidRPr="007C2196">
        <w:t xml:space="preserve">The focus for health </w:t>
      </w:r>
      <w:r>
        <w:t xml:space="preserve">at </w:t>
      </w:r>
      <w:r w:rsidRPr="007C2196">
        <w:t>screening is on developing a proportionate understanding of the relationship between relevant determinants of health (environmental, social, economic</w:t>
      </w:r>
      <w:r w:rsidR="00765623">
        <w:t>,</w:t>
      </w:r>
      <w:r w:rsidRPr="007C2196">
        <w:t xml:space="preserve"> etc.). </w:t>
      </w:r>
      <w:r w:rsidR="001E626D">
        <w:t>It is g</w:t>
      </w:r>
      <w:r>
        <w:t>ood practice for the</w:t>
      </w:r>
      <w:r w:rsidRPr="007C2196">
        <w:t xml:space="preserve"> screening </w:t>
      </w:r>
      <w:r>
        <w:t>conclusion/</w:t>
      </w:r>
      <w:r w:rsidRPr="007C2196">
        <w:t xml:space="preserve">statement </w:t>
      </w:r>
      <w:r>
        <w:t xml:space="preserve">to </w:t>
      </w:r>
      <w:r w:rsidRPr="007C2196">
        <w:t xml:space="preserve">be explicit about the </w:t>
      </w:r>
      <w:r>
        <w:t>decisions taken regard</w:t>
      </w:r>
      <w:r w:rsidR="00A15AE9">
        <w:t>ing</w:t>
      </w:r>
      <w:r>
        <w:t xml:space="preserve"> health. </w:t>
      </w:r>
    </w:p>
    <w:p w14:paraId="048848BF" w14:textId="5704CC86" w:rsidR="00BC4CBD" w:rsidRDefault="00BC4CBD" w:rsidP="00BC4CBD">
      <w:pPr>
        <w:pStyle w:val="SingleTxtG"/>
      </w:pPr>
      <w:r>
        <w:t>5</w:t>
      </w:r>
      <w:r w:rsidR="00413FFD">
        <w:t>6</w:t>
      </w:r>
      <w:r>
        <w:t>.</w:t>
      </w:r>
      <w:r>
        <w:tab/>
        <w:t>In relation to mandatory consultation of health authorities, t</w:t>
      </w:r>
      <w:r w:rsidRPr="007C2196">
        <w:t>he national/regional /local government department or organi</w:t>
      </w:r>
      <w:r w:rsidR="000E0736">
        <w:t>z</w:t>
      </w:r>
      <w:r w:rsidRPr="007C2196">
        <w:t xml:space="preserve">ation </w:t>
      </w:r>
      <w:r w:rsidR="001E626D">
        <w:t>r</w:t>
      </w:r>
      <w:r w:rsidRPr="007C2196">
        <w:t>esponsibl</w:t>
      </w:r>
      <w:r w:rsidR="001E626D">
        <w:t>e</w:t>
      </w:r>
      <w:r w:rsidRPr="007C2196">
        <w:t xml:space="preserve"> for public health </w:t>
      </w:r>
      <w:r>
        <w:t xml:space="preserve">can advise </w:t>
      </w:r>
      <w:r w:rsidRPr="007C2196">
        <w:t>the plan or programme promoter</w:t>
      </w:r>
      <w:r>
        <w:t xml:space="preserve"> (</w:t>
      </w:r>
      <w:r w:rsidRPr="007C2196">
        <w:t>a</w:t>
      </w:r>
      <w:r w:rsidR="00083FC2">
        <w:t>nd</w:t>
      </w:r>
      <w:r w:rsidRPr="007C2196">
        <w:t xml:space="preserve"> the strategic environmental assessment lead</w:t>
      </w:r>
      <w:r>
        <w:t>)</w:t>
      </w:r>
      <w:r w:rsidRPr="00FE7EE0">
        <w:t xml:space="preserve"> </w:t>
      </w:r>
      <w:r w:rsidRPr="007C2196">
        <w:t xml:space="preserve">of the potential intended or unintended consequences for population health. </w:t>
      </w:r>
    </w:p>
    <w:p w14:paraId="7B5B77DD" w14:textId="77777777" w:rsidR="00BC4CBD" w:rsidRPr="007C2196" w:rsidRDefault="00A762D8" w:rsidP="00A762D8">
      <w:pPr>
        <w:pStyle w:val="H23G"/>
        <w:rPr>
          <w:lang w:val="en"/>
        </w:rPr>
      </w:pPr>
      <w:r>
        <w:rPr>
          <w:bCs/>
        </w:rPr>
        <w:tab/>
      </w:r>
      <w:r w:rsidR="00BC4CBD">
        <w:rPr>
          <w:bCs/>
        </w:rPr>
        <w:t>2.</w:t>
      </w:r>
      <w:r w:rsidR="00BC4CBD">
        <w:rPr>
          <w:bCs/>
        </w:rPr>
        <w:tab/>
      </w:r>
      <w:r w:rsidR="00BC4CBD" w:rsidRPr="007C2196">
        <w:rPr>
          <w:lang w:val="en"/>
        </w:rPr>
        <w:t>Scoping</w:t>
      </w:r>
    </w:p>
    <w:p w14:paraId="7F124720" w14:textId="0E5372E7" w:rsidR="00BC4CBD" w:rsidRDefault="00BC4CBD" w:rsidP="00BC4CBD">
      <w:pPr>
        <w:pStyle w:val="SingleTxtG"/>
      </w:pPr>
      <w:r>
        <w:t>5</w:t>
      </w:r>
      <w:r w:rsidR="00413FFD">
        <w:t>7</w:t>
      </w:r>
      <w:r>
        <w:t>.</w:t>
      </w:r>
      <w:r>
        <w:tab/>
        <w:t xml:space="preserve">Article 6 </w:t>
      </w:r>
      <w:r w:rsidR="001C427C">
        <w:t>(</w:t>
      </w:r>
      <w:r>
        <w:t>1</w:t>
      </w:r>
      <w:r w:rsidR="001C427C">
        <w:t>)</w:t>
      </w:r>
      <w:r>
        <w:t xml:space="preserve"> describes the scoping stage, whereby</w:t>
      </w:r>
      <w:r w:rsidRPr="00540C52">
        <w:t xml:space="preserve"> </w:t>
      </w:r>
      <w:r>
        <w:t xml:space="preserve">the </w:t>
      </w:r>
      <w:r w:rsidRPr="00540C52">
        <w:t xml:space="preserve">relevant information to be included in the environmental report </w:t>
      </w:r>
      <w:r>
        <w:t>is determined (</w:t>
      </w:r>
      <w:r w:rsidRPr="00540C52">
        <w:t>in accordance with art</w:t>
      </w:r>
      <w:r w:rsidR="001C427C">
        <w:t>.</w:t>
      </w:r>
      <w:r w:rsidRPr="00540C52">
        <w:t xml:space="preserve"> 7</w:t>
      </w:r>
      <w:r w:rsidR="00515B0B">
        <w:t xml:space="preserve"> </w:t>
      </w:r>
      <w:r w:rsidR="001C427C">
        <w:t>(</w:t>
      </w:r>
      <w:r w:rsidRPr="00540C52">
        <w:t>2</w:t>
      </w:r>
      <w:r>
        <w:t>)</w:t>
      </w:r>
      <w:r w:rsidR="001C427C">
        <w:t>)</w:t>
      </w:r>
      <w:r w:rsidRPr="00540C52">
        <w:t xml:space="preserve">. </w:t>
      </w:r>
      <w:r>
        <w:t xml:space="preserve">This decision determines the relevant </w:t>
      </w:r>
      <w:r w:rsidRPr="000871D5">
        <w:t xml:space="preserve">likely significant environmental, including health, effects </w:t>
      </w:r>
      <w:r>
        <w:t>to investigate, a</w:t>
      </w:r>
      <w:r w:rsidR="002C3C76">
        <w:t>nd</w:t>
      </w:r>
      <w:r>
        <w:t xml:space="preserve"> the </w:t>
      </w:r>
      <w:r w:rsidRPr="000871D5">
        <w:t>plan or programme</w:t>
      </w:r>
      <w:r>
        <w:t>’s</w:t>
      </w:r>
      <w:r w:rsidRPr="000871D5">
        <w:t xml:space="preserve"> reasonable alternative</w:t>
      </w:r>
      <w:r>
        <w:t>s. In this context</w:t>
      </w:r>
      <w:r w:rsidR="00515B0B">
        <w:t>, a</w:t>
      </w:r>
      <w:r>
        <w:t xml:space="preserve">rticle 6 </w:t>
      </w:r>
      <w:r w:rsidR="001C427C">
        <w:t>(</w:t>
      </w:r>
      <w:r>
        <w:t>2</w:t>
      </w:r>
      <w:r w:rsidR="001C427C">
        <w:t>)</w:t>
      </w:r>
      <w:r>
        <w:t xml:space="preserve"> requires that </w:t>
      </w:r>
      <w:r w:rsidRPr="00192068">
        <w:t xml:space="preserve">health authorities </w:t>
      </w:r>
      <w:r>
        <w:t>(</w:t>
      </w:r>
      <w:r w:rsidR="002C3C76">
        <w:t>see</w:t>
      </w:r>
      <w:r w:rsidRPr="00192068">
        <w:t xml:space="preserve"> article 9 </w:t>
      </w:r>
      <w:r w:rsidR="00515B0B">
        <w:t>(</w:t>
      </w:r>
      <w:r w:rsidRPr="00192068">
        <w:t>1</w:t>
      </w:r>
      <w:r>
        <w:t>)</w:t>
      </w:r>
      <w:r w:rsidR="00515B0B">
        <w:t>) be</w:t>
      </w:r>
      <w:r w:rsidRPr="00192068">
        <w:t xml:space="preserve"> consulted</w:t>
      </w:r>
      <w:r>
        <w:t>.</w:t>
      </w:r>
    </w:p>
    <w:p w14:paraId="7B3FA1EA" w14:textId="326BBE9E" w:rsidR="00BC4CBD" w:rsidRPr="007C2196" w:rsidRDefault="00BC4CBD" w:rsidP="00BC4CBD">
      <w:pPr>
        <w:pStyle w:val="SingleTxtG"/>
      </w:pPr>
      <w:r>
        <w:t>5</w:t>
      </w:r>
      <w:r w:rsidR="00413FFD">
        <w:t>8</w:t>
      </w:r>
      <w:r>
        <w:t>.</w:t>
      </w:r>
      <w:r>
        <w:tab/>
      </w:r>
      <w:r w:rsidRPr="007C2196">
        <w:t xml:space="preserve">A variety of established generic methodologies are applied in current practice. The choice of methodology will be </w:t>
      </w:r>
      <w:r>
        <w:t xml:space="preserve">influenced </w:t>
      </w:r>
      <w:r w:rsidRPr="007C2196">
        <w:t xml:space="preserve">by </w:t>
      </w:r>
      <w:r>
        <w:t xml:space="preserve">the </w:t>
      </w:r>
      <w:r w:rsidRPr="007C2196">
        <w:t xml:space="preserve">jurisdiction and the decision tier.  </w:t>
      </w:r>
      <w:r>
        <w:t>T</w:t>
      </w:r>
      <w:r w:rsidRPr="007C2196">
        <w:t xml:space="preserve">he focus </w:t>
      </w:r>
      <w:r>
        <w:t xml:space="preserve">here </w:t>
      </w:r>
      <w:r w:rsidRPr="007C2196">
        <w:t xml:space="preserve">is on the broad health considerations apparent in any strategic environmental assessment approach </w:t>
      </w:r>
      <w:r>
        <w:t>to scoping</w:t>
      </w:r>
      <w:r w:rsidRPr="007C2196">
        <w:t xml:space="preserve">. </w:t>
      </w:r>
    </w:p>
    <w:p w14:paraId="5333819F" w14:textId="3ABF454B" w:rsidR="00BC4CBD" w:rsidRDefault="00413FFD" w:rsidP="00BC4CBD">
      <w:pPr>
        <w:pStyle w:val="SingleTxtG"/>
      </w:pPr>
      <w:r>
        <w:t>59</w:t>
      </w:r>
      <w:r w:rsidR="00BC4CBD">
        <w:t>.</w:t>
      </w:r>
      <w:r w:rsidR="00BC4CBD">
        <w:tab/>
      </w:r>
      <w:r w:rsidR="00BC4CBD" w:rsidRPr="007C2196">
        <w:t xml:space="preserve">Public health authorities and agencies </w:t>
      </w:r>
      <w:r w:rsidR="00BC4CBD">
        <w:t xml:space="preserve">can </w:t>
      </w:r>
      <w:r w:rsidR="00BC4CBD" w:rsidRPr="007C2196">
        <w:t>support the identification of key health issues, including an overview of main health determinants and their linkages to the sectors covered by the Protocol (art. 4</w:t>
      </w:r>
      <w:r w:rsidR="00BC4CBD">
        <w:t xml:space="preserve"> </w:t>
      </w:r>
      <w:r w:rsidR="001C427C">
        <w:t>(</w:t>
      </w:r>
      <w:r w:rsidR="00BC4CBD">
        <w:t>2</w:t>
      </w:r>
      <w:r w:rsidR="001C427C">
        <w:t>)</w:t>
      </w:r>
      <w:r w:rsidR="00BC4CBD" w:rsidRPr="007C2196">
        <w:t>).</w:t>
      </w:r>
      <w:r w:rsidR="00BC4CBD">
        <w:t xml:space="preserve"> </w:t>
      </w:r>
      <w:r w:rsidR="00BC4CBD" w:rsidRPr="007C2196">
        <w:t xml:space="preserve">Recommendations regarding the level of detail likely to be required and advice on procedures for engagement of stakeholders </w:t>
      </w:r>
      <w:r w:rsidR="00BC4CBD">
        <w:t xml:space="preserve">can </w:t>
      </w:r>
      <w:r w:rsidR="00BC4CBD" w:rsidRPr="007C2196">
        <w:t xml:space="preserve">be provided. </w:t>
      </w:r>
    </w:p>
    <w:p w14:paraId="7A009516" w14:textId="4ADEF51B" w:rsidR="00BC4CBD" w:rsidRPr="007C2196" w:rsidRDefault="00BC4CBD" w:rsidP="00BC4CBD">
      <w:pPr>
        <w:pStyle w:val="SingleTxtG"/>
      </w:pPr>
      <w:r>
        <w:lastRenderedPageBreak/>
        <w:t>6</w:t>
      </w:r>
      <w:r w:rsidR="00413FFD">
        <w:t>0</w:t>
      </w:r>
      <w:r>
        <w:t>.</w:t>
      </w:r>
      <w:r>
        <w:tab/>
      </w:r>
      <w:r w:rsidRPr="00786704">
        <w:t xml:space="preserve">Table </w:t>
      </w:r>
      <w:r>
        <w:t>2</w:t>
      </w:r>
      <w:r w:rsidRPr="007C2196">
        <w:t xml:space="preserve"> </w:t>
      </w:r>
      <w:r>
        <w:t xml:space="preserve">below </w:t>
      </w:r>
      <w:r w:rsidRPr="007C2196">
        <w:t xml:space="preserve">provides an indicative checklist of determinants of health that </w:t>
      </w:r>
      <w:r>
        <w:t>it is recommended</w:t>
      </w:r>
      <w:r w:rsidRPr="007C2196">
        <w:t xml:space="preserve"> be considered </w:t>
      </w:r>
      <w:r w:rsidR="00651B64">
        <w:t>at</w:t>
      </w:r>
      <w:r w:rsidRPr="007C2196">
        <w:t xml:space="preserve"> the scoping stage.</w:t>
      </w:r>
      <w:r>
        <w:t xml:space="preserve"> In addition, </w:t>
      </w:r>
      <w:r w:rsidRPr="00C06A22">
        <w:t>W</w:t>
      </w:r>
      <w:r>
        <w:t>HO</w:t>
      </w:r>
      <w:r w:rsidR="00515B0B">
        <w:t xml:space="preserve"> </w:t>
      </w:r>
      <w:r w:rsidR="00515B0B" w:rsidRPr="00515B0B">
        <w:t>Regional Office for Europe</w:t>
      </w:r>
      <w:r>
        <w:rPr>
          <w:rStyle w:val="FootnoteReference"/>
        </w:rPr>
        <w:footnoteReference w:id="33"/>
      </w:r>
      <w:r>
        <w:t xml:space="preserve"> also illustrates some key health determinants by sector. </w:t>
      </w:r>
    </w:p>
    <w:p w14:paraId="219E8931" w14:textId="77777777" w:rsidR="006013C8" w:rsidRDefault="006013C8" w:rsidP="000F2992">
      <w:pPr>
        <w:pStyle w:val="SingleTxtG"/>
      </w:pPr>
      <w:bookmarkStart w:id="20" w:name="_Ref16744956"/>
      <w:bookmarkStart w:id="21" w:name="_Toc16761672"/>
      <w:bookmarkStart w:id="22" w:name="_Toc17216028"/>
    </w:p>
    <w:p w14:paraId="13215FA6" w14:textId="77777777" w:rsidR="006013C8" w:rsidRDefault="006013C8" w:rsidP="000F2992">
      <w:pPr>
        <w:pStyle w:val="SingleTxtG"/>
      </w:pPr>
    </w:p>
    <w:p w14:paraId="15DCDE1D" w14:textId="77777777" w:rsidR="006013C8" w:rsidRDefault="006013C8" w:rsidP="000F2992">
      <w:pPr>
        <w:pStyle w:val="SingleTxtG"/>
      </w:pPr>
    </w:p>
    <w:p w14:paraId="5739C487" w14:textId="77777777" w:rsidR="006013C8" w:rsidRDefault="006013C8" w:rsidP="000F2992">
      <w:pPr>
        <w:pStyle w:val="SingleTxtG"/>
      </w:pPr>
    </w:p>
    <w:p w14:paraId="3E0E8E34" w14:textId="77777777" w:rsidR="006013C8" w:rsidRDefault="006013C8" w:rsidP="000F2992">
      <w:pPr>
        <w:pStyle w:val="SingleTxtG"/>
      </w:pPr>
    </w:p>
    <w:p w14:paraId="6C7D6704" w14:textId="77777777" w:rsidR="006013C8" w:rsidRDefault="006013C8" w:rsidP="000F2992">
      <w:pPr>
        <w:pStyle w:val="SingleTxtG"/>
      </w:pPr>
    </w:p>
    <w:p w14:paraId="0F61BD63" w14:textId="77777777" w:rsidR="006013C8" w:rsidRDefault="006013C8" w:rsidP="000F2992">
      <w:pPr>
        <w:pStyle w:val="SingleTxtG"/>
      </w:pPr>
    </w:p>
    <w:p w14:paraId="499B4C25" w14:textId="77777777" w:rsidR="006013C8" w:rsidRDefault="006013C8" w:rsidP="000F2992">
      <w:pPr>
        <w:pStyle w:val="SingleTxtG"/>
      </w:pPr>
    </w:p>
    <w:p w14:paraId="52C90D93" w14:textId="77777777" w:rsidR="006013C8" w:rsidRDefault="006013C8" w:rsidP="000F2992">
      <w:pPr>
        <w:pStyle w:val="SingleTxtG"/>
      </w:pPr>
    </w:p>
    <w:p w14:paraId="494DC3A6" w14:textId="77777777" w:rsidR="006013C8" w:rsidRDefault="006013C8" w:rsidP="000F2992">
      <w:pPr>
        <w:pStyle w:val="SingleTxtG"/>
      </w:pPr>
    </w:p>
    <w:p w14:paraId="035FC186" w14:textId="77777777" w:rsidR="006013C8" w:rsidRDefault="006013C8" w:rsidP="000F2992">
      <w:pPr>
        <w:pStyle w:val="SingleTxtG"/>
      </w:pPr>
    </w:p>
    <w:p w14:paraId="2CD244A0" w14:textId="77777777" w:rsidR="006013C8" w:rsidRDefault="006013C8" w:rsidP="000F2992">
      <w:pPr>
        <w:pStyle w:val="SingleTxtG"/>
      </w:pPr>
    </w:p>
    <w:p w14:paraId="13DD3232" w14:textId="77777777" w:rsidR="006013C8" w:rsidRDefault="006013C8" w:rsidP="000F2992">
      <w:pPr>
        <w:pStyle w:val="SingleTxtG"/>
      </w:pPr>
    </w:p>
    <w:p w14:paraId="27543D5C" w14:textId="77777777" w:rsidR="006013C8" w:rsidRDefault="006013C8" w:rsidP="000F2992">
      <w:pPr>
        <w:pStyle w:val="SingleTxtG"/>
      </w:pPr>
    </w:p>
    <w:p w14:paraId="7CFD99B1" w14:textId="77777777" w:rsidR="006013C8" w:rsidRDefault="006013C8" w:rsidP="000F2992">
      <w:pPr>
        <w:pStyle w:val="SingleTxtG"/>
      </w:pPr>
    </w:p>
    <w:p w14:paraId="56E87E46" w14:textId="77777777" w:rsidR="006013C8" w:rsidRDefault="006013C8" w:rsidP="000F2992">
      <w:pPr>
        <w:pStyle w:val="SingleTxtG"/>
      </w:pPr>
    </w:p>
    <w:p w14:paraId="4C0CDD3F" w14:textId="77777777" w:rsidR="006013C8" w:rsidRDefault="006013C8" w:rsidP="000F2992">
      <w:pPr>
        <w:pStyle w:val="SingleTxtG"/>
      </w:pPr>
    </w:p>
    <w:p w14:paraId="5CA7D3E6" w14:textId="77777777" w:rsidR="006013C8" w:rsidRDefault="006013C8" w:rsidP="000F2992">
      <w:pPr>
        <w:pStyle w:val="SingleTxtG"/>
      </w:pPr>
    </w:p>
    <w:p w14:paraId="197B7737" w14:textId="77777777" w:rsidR="006013C8" w:rsidRDefault="006013C8" w:rsidP="000F2992">
      <w:pPr>
        <w:pStyle w:val="SingleTxtG"/>
      </w:pPr>
    </w:p>
    <w:p w14:paraId="7E5CC0E8" w14:textId="77777777" w:rsidR="006013C8" w:rsidRDefault="006013C8" w:rsidP="000F2992">
      <w:pPr>
        <w:pStyle w:val="SingleTxtG"/>
      </w:pPr>
    </w:p>
    <w:p w14:paraId="20893CE0" w14:textId="77777777" w:rsidR="00413FFD" w:rsidRDefault="00413FFD" w:rsidP="000F2992">
      <w:pPr>
        <w:pStyle w:val="SingleTxtG"/>
      </w:pPr>
    </w:p>
    <w:p w14:paraId="79C17122" w14:textId="79AC17DC" w:rsidR="00413FFD" w:rsidRDefault="00413FFD" w:rsidP="000F2992">
      <w:pPr>
        <w:pStyle w:val="SingleTxtG"/>
      </w:pPr>
    </w:p>
    <w:p w14:paraId="5A1C5A3E" w14:textId="0CBEE38E" w:rsidR="007E6467" w:rsidRDefault="007E6467" w:rsidP="000F2992">
      <w:pPr>
        <w:pStyle w:val="SingleTxtG"/>
      </w:pPr>
    </w:p>
    <w:p w14:paraId="122C68B3" w14:textId="4CB951A6" w:rsidR="007E6467" w:rsidRDefault="007E6467" w:rsidP="000F2992">
      <w:pPr>
        <w:pStyle w:val="SingleTxtG"/>
      </w:pPr>
    </w:p>
    <w:p w14:paraId="7C7E371A" w14:textId="1114CC92" w:rsidR="007E6467" w:rsidRDefault="007E6467" w:rsidP="000F2992">
      <w:pPr>
        <w:pStyle w:val="SingleTxtG"/>
      </w:pPr>
    </w:p>
    <w:p w14:paraId="65F8B4B5" w14:textId="11398263" w:rsidR="007E6467" w:rsidRDefault="007E6467" w:rsidP="000F2992">
      <w:pPr>
        <w:pStyle w:val="SingleTxtG"/>
      </w:pPr>
    </w:p>
    <w:p w14:paraId="664BC264" w14:textId="036D598A" w:rsidR="007E6467" w:rsidRDefault="007E6467" w:rsidP="000F2992">
      <w:pPr>
        <w:pStyle w:val="SingleTxtG"/>
      </w:pPr>
    </w:p>
    <w:p w14:paraId="1510A321" w14:textId="3A4EF1F8" w:rsidR="007E6467" w:rsidRDefault="007E6467" w:rsidP="000F2992">
      <w:pPr>
        <w:pStyle w:val="SingleTxtG"/>
      </w:pPr>
    </w:p>
    <w:p w14:paraId="01A58DCA" w14:textId="473D37ED" w:rsidR="007E6467" w:rsidRDefault="007E6467" w:rsidP="000F2992">
      <w:pPr>
        <w:pStyle w:val="SingleTxtG"/>
      </w:pPr>
    </w:p>
    <w:p w14:paraId="12976C1F" w14:textId="21ED4B3B" w:rsidR="007E6467" w:rsidRDefault="007E6467" w:rsidP="000F2992">
      <w:pPr>
        <w:pStyle w:val="SingleTxtG"/>
      </w:pPr>
    </w:p>
    <w:p w14:paraId="276BD454" w14:textId="6EBD4F56" w:rsidR="008E14A5" w:rsidRDefault="008E14A5" w:rsidP="000F2992">
      <w:pPr>
        <w:pStyle w:val="SingleTxtG"/>
      </w:pPr>
    </w:p>
    <w:p w14:paraId="6F99989D" w14:textId="7280C155" w:rsidR="008E14A5" w:rsidRDefault="008E14A5" w:rsidP="000F2992">
      <w:pPr>
        <w:pStyle w:val="SingleTxtG"/>
      </w:pPr>
    </w:p>
    <w:p w14:paraId="5085D549" w14:textId="77777777" w:rsidR="008E14A5" w:rsidRDefault="008E14A5" w:rsidP="000F2992">
      <w:pPr>
        <w:pStyle w:val="SingleTxtG"/>
      </w:pPr>
    </w:p>
    <w:p w14:paraId="03647584" w14:textId="65625A5D" w:rsidR="000F2992" w:rsidRDefault="000F2992" w:rsidP="00790CED">
      <w:pPr>
        <w:pStyle w:val="SingleTxtG"/>
        <w:jc w:val="left"/>
      </w:pPr>
      <w:r w:rsidRPr="00786704">
        <w:lastRenderedPageBreak/>
        <w:t>Table</w:t>
      </w:r>
      <w:r w:rsidR="00790CED">
        <w:t xml:space="preserve"> </w:t>
      </w:r>
      <w:r>
        <w:rPr>
          <w:noProof/>
        </w:rPr>
        <w:t>2</w:t>
      </w:r>
      <w:bookmarkEnd w:id="20"/>
      <w:r>
        <w:br/>
      </w:r>
      <w:r w:rsidRPr="000F2992">
        <w:rPr>
          <w:b/>
          <w:bCs/>
        </w:rPr>
        <w:tab/>
        <w:t>Illustrative determinants of health to consider in scoping</w:t>
      </w:r>
      <w:r w:rsidR="00515B0B">
        <w:rPr>
          <w:b/>
          <w:bCs/>
        </w:rPr>
        <w:t>,</w:t>
      </w:r>
      <w:r w:rsidRPr="000F2992">
        <w:rPr>
          <w:b/>
          <w:bCs/>
        </w:rPr>
        <w:t xml:space="preserve"> </w:t>
      </w:r>
      <w:bookmarkEnd w:id="21"/>
      <w:r w:rsidRPr="000F2992">
        <w:rPr>
          <w:b/>
          <w:bCs/>
        </w:rPr>
        <w:t>with indicative relevance to sectors</w:t>
      </w:r>
      <w:bookmarkEnd w:id="22"/>
      <w:r>
        <w:t xml:space="preserve"> </w:t>
      </w:r>
    </w:p>
    <w:tbl>
      <w:tblPr>
        <w:tblStyle w:val="GridTable4-Accent12"/>
        <w:tblW w:w="794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7"/>
        <w:gridCol w:w="425"/>
        <w:gridCol w:w="425"/>
        <w:gridCol w:w="425"/>
        <w:gridCol w:w="425"/>
        <w:gridCol w:w="425"/>
        <w:gridCol w:w="425"/>
        <w:gridCol w:w="425"/>
        <w:gridCol w:w="425"/>
        <w:gridCol w:w="425"/>
        <w:gridCol w:w="425"/>
        <w:gridCol w:w="425"/>
        <w:gridCol w:w="426"/>
      </w:tblGrid>
      <w:tr w:rsidR="006B4C25" w:rsidRPr="00786704" w14:paraId="43B819A6" w14:textId="77777777" w:rsidTr="006D0633">
        <w:trPr>
          <w:cnfStyle w:val="100000000000" w:firstRow="1" w:lastRow="0" w:firstColumn="0" w:lastColumn="0" w:oddVBand="0" w:evenVBand="0" w:oddHBand="0" w:evenHBand="0" w:firstRowFirstColumn="0" w:firstRowLastColumn="0" w:lastRowFirstColumn="0" w:lastRowLastColumn="0"/>
          <w:cantSplit/>
          <w:trHeight w:val="2530"/>
          <w:tblHeader/>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textDirection w:val="btLr"/>
            <w:vAlign w:val="bottom"/>
          </w:tcPr>
          <w:p w14:paraId="3FFCFAA2" w14:textId="77777777" w:rsidR="006B4C25" w:rsidRDefault="006B4C25" w:rsidP="00020ACC">
            <w:pPr>
              <w:keepNext/>
              <w:suppressAutoHyphens w:val="0"/>
              <w:spacing w:line="240" w:lineRule="auto"/>
              <w:ind w:left="113" w:right="113"/>
              <w:rPr>
                <w:b w:val="0"/>
                <w:bCs w:val="0"/>
                <w:lang w:eastAsia="en-GB"/>
              </w:rPr>
            </w:pPr>
            <w:r w:rsidRPr="00786704">
              <w:rPr>
                <w:rFonts w:ascii="Times New Roman" w:hAnsi="Times New Roman" w:cs="Times New Roman"/>
                <w:sz w:val="20"/>
                <w:szCs w:val="20"/>
                <w:lang w:eastAsia="en-GB"/>
              </w:rPr>
              <w:t>Determinants of health</w:t>
            </w:r>
          </w:p>
        </w:tc>
        <w:tc>
          <w:tcPr>
            <w:tcW w:w="1843" w:type="dxa"/>
            <w:tcBorders>
              <w:top w:val="nil"/>
              <w:bottom w:val="single" w:sz="4" w:space="0" w:color="auto"/>
              <w:right w:val="single" w:sz="4" w:space="0" w:color="auto"/>
            </w:tcBorders>
            <w:textDirection w:val="btLr"/>
          </w:tcPr>
          <w:p w14:paraId="6727DCBC" w14:textId="77777777" w:rsidR="006B4C25" w:rsidRPr="00786704" w:rsidRDefault="006B4C25" w:rsidP="00020ACC">
            <w:pPr>
              <w:keepNext/>
              <w:suppressAutoHyphens w:val="0"/>
              <w:spacing w:line="240" w:lineRule="auto"/>
              <w:ind w:left="113" w:right="113"/>
              <w:cnfStyle w:val="100000000000" w:firstRow="1" w:lastRow="0" w:firstColumn="0" w:lastColumn="0" w:oddVBand="0" w:evenVBand="0" w:oddHBand="0" w:evenHBand="0" w:firstRowFirstColumn="0" w:firstRowLastColumn="0" w:lastRowFirstColumn="0" w:lastRowLastColumn="0"/>
              <w:rPr>
                <w:b w:val="0"/>
                <w:bCs w:val="0"/>
                <w:lang w:eastAsia="en-GB"/>
              </w:rPr>
            </w:pPr>
            <w:r w:rsidRPr="004F318A">
              <w:rPr>
                <w:sz w:val="16"/>
                <w:szCs w:val="16"/>
                <w:lang w:eastAsia="en-GB"/>
              </w:rPr>
              <w:t>Sectors referred to by the Protocol</w:t>
            </w:r>
          </w:p>
        </w:tc>
        <w:tc>
          <w:tcPr>
            <w:tcW w:w="425" w:type="dxa"/>
            <w:tcBorders>
              <w:top w:val="single" w:sz="4" w:space="0" w:color="auto"/>
              <w:left w:val="single" w:sz="4" w:space="0" w:color="auto"/>
              <w:bottom w:val="single" w:sz="4" w:space="0" w:color="auto"/>
              <w:right w:val="single" w:sz="4" w:space="0" w:color="auto"/>
            </w:tcBorders>
            <w:textDirection w:val="btLr"/>
          </w:tcPr>
          <w:p w14:paraId="7F4C07DD" w14:textId="77777777" w:rsidR="006B4C25" w:rsidRPr="004F318A" w:rsidRDefault="006B4C25" w:rsidP="00020ACC">
            <w:pPr>
              <w:keepNext/>
              <w:suppressAutoHyphens w:val="0"/>
              <w:spacing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lang w:eastAsia="en-GB"/>
              </w:rPr>
            </w:pPr>
            <w:r w:rsidRPr="004F318A">
              <w:rPr>
                <w:sz w:val="14"/>
                <w:szCs w:val="14"/>
              </w:rPr>
              <w:t>agriculture</w:t>
            </w:r>
          </w:p>
        </w:tc>
        <w:tc>
          <w:tcPr>
            <w:tcW w:w="425" w:type="dxa"/>
            <w:tcBorders>
              <w:top w:val="single" w:sz="4" w:space="0" w:color="auto"/>
              <w:left w:val="single" w:sz="4" w:space="0" w:color="auto"/>
              <w:bottom w:val="single" w:sz="4" w:space="0" w:color="auto"/>
              <w:right w:val="single" w:sz="4" w:space="0" w:color="auto"/>
            </w:tcBorders>
            <w:textDirection w:val="btLr"/>
          </w:tcPr>
          <w:p w14:paraId="22D694E2" w14:textId="77777777" w:rsidR="006B4C25" w:rsidRPr="004F318A" w:rsidRDefault="006B4C25" w:rsidP="00020ACC">
            <w:pPr>
              <w:keepNext/>
              <w:suppressAutoHyphens w:val="0"/>
              <w:spacing w:line="240" w:lineRule="auto"/>
              <w:ind w:left="113" w:right="113"/>
              <w:jc w:val="both"/>
              <w:cnfStyle w:val="100000000000" w:firstRow="1" w:lastRow="0" w:firstColumn="0" w:lastColumn="0" w:oddVBand="0" w:evenVBand="0" w:oddHBand="0" w:evenHBand="0" w:firstRowFirstColumn="0" w:firstRowLastColumn="0" w:lastRowFirstColumn="0" w:lastRowLastColumn="0"/>
              <w:rPr>
                <w:sz w:val="14"/>
                <w:szCs w:val="14"/>
                <w:lang w:eastAsia="en-GB"/>
              </w:rPr>
            </w:pPr>
            <w:r w:rsidRPr="004F318A">
              <w:rPr>
                <w:sz w:val="14"/>
                <w:szCs w:val="14"/>
              </w:rPr>
              <w:t>forestry</w:t>
            </w:r>
          </w:p>
        </w:tc>
        <w:tc>
          <w:tcPr>
            <w:tcW w:w="425" w:type="dxa"/>
            <w:tcBorders>
              <w:top w:val="single" w:sz="4" w:space="0" w:color="auto"/>
              <w:left w:val="single" w:sz="4" w:space="0" w:color="auto"/>
              <w:bottom w:val="single" w:sz="4" w:space="0" w:color="auto"/>
              <w:right w:val="single" w:sz="4" w:space="0" w:color="auto"/>
            </w:tcBorders>
            <w:textDirection w:val="btLr"/>
          </w:tcPr>
          <w:p w14:paraId="1D1A75A6" w14:textId="77777777" w:rsidR="006B4C25" w:rsidRPr="004F318A" w:rsidRDefault="006B4C25" w:rsidP="00020ACC">
            <w:pPr>
              <w:keepNext/>
              <w:suppressAutoHyphens w:val="0"/>
              <w:spacing w:line="240" w:lineRule="auto"/>
              <w:ind w:left="113" w:right="113"/>
              <w:jc w:val="both"/>
              <w:cnfStyle w:val="100000000000" w:firstRow="1" w:lastRow="0" w:firstColumn="0" w:lastColumn="0" w:oddVBand="0" w:evenVBand="0" w:oddHBand="0" w:evenHBand="0" w:firstRowFirstColumn="0" w:firstRowLastColumn="0" w:lastRowFirstColumn="0" w:lastRowLastColumn="0"/>
              <w:rPr>
                <w:sz w:val="14"/>
                <w:szCs w:val="14"/>
                <w:lang w:eastAsia="en-GB"/>
              </w:rPr>
            </w:pPr>
            <w:r w:rsidRPr="004F318A">
              <w:rPr>
                <w:sz w:val="14"/>
                <w:szCs w:val="14"/>
              </w:rPr>
              <w:t>fisheries</w:t>
            </w:r>
          </w:p>
        </w:tc>
        <w:tc>
          <w:tcPr>
            <w:tcW w:w="425" w:type="dxa"/>
            <w:tcBorders>
              <w:top w:val="single" w:sz="4" w:space="0" w:color="auto"/>
              <w:left w:val="single" w:sz="4" w:space="0" w:color="auto"/>
              <w:bottom w:val="single" w:sz="4" w:space="0" w:color="auto"/>
              <w:right w:val="single" w:sz="4" w:space="0" w:color="auto"/>
            </w:tcBorders>
            <w:textDirection w:val="btLr"/>
          </w:tcPr>
          <w:p w14:paraId="1B202917" w14:textId="77777777" w:rsidR="006B4C25" w:rsidRPr="004F318A" w:rsidRDefault="006B4C25" w:rsidP="00020ACC">
            <w:pPr>
              <w:keepNext/>
              <w:suppressAutoHyphens w:val="0"/>
              <w:spacing w:line="240" w:lineRule="auto"/>
              <w:ind w:left="113" w:right="113"/>
              <w:jc w:val="both"/>
              <w:cnfStyle w:val="100000000000" w:firstRow="1" w:lastRow="0" w:firstColumn="0" w:lastColumn="0" w:oddVBand="0" w:evenVBand="0" w:oddHBand="0" w:evenHBand="0" w:firstRowFirstColumn="0" w:firstRowLastColumn="0" w:lastRowFirstColumn="0" w:lastRowLastColumn="0"/>
              <w:rPr>
                <w:sz w:val="14"/>
                <w:szCs w:val="14"/>
                <w:lang w:eastAsia="en-GB"/>
              </w:rPr>
            </w:pPr>
            <w:r w:rsidRPr="004F318A">
              <w:rPr>
                <w:sz w:val="14"/>
                <w:szCs w:val="14"/>
              </w:rPr>
              <w:t>energy</w:t>
            </w:r>
          </w:p>
        </w:tc>
        <w:tc>
          <w:tcPr>
            <w:tcW w:w="425" w:type="dxa"/>
            <w:tcBorders>
              <w:top w:val="single" w:sz="4" w:space="0" w:color="auto"/>
              <w:left w:val="single" w:sz="4" w:space="0" w:color="auto"/>
              <w:bottom w:val="single" w:sz="4" w:space="0" w:color="auto"/>
              <w:right w:val="single" w:sz="4" w:space="0" w:color="auto"/>
            </w:tcBorders>
            <w:textDirection w:val="btLr"/>
          </w:tcPr>
          <w:p w14:paraId="3BD50B48" w14:textId="74A5A06A" w:rsidR="006B4C25" w:rsidRPr="004F318A" w:rsidRDefault="00A469FC" w:rsidP="00020ACC">
            <w:pPr>
              <w:keepNext/>
              <w:suppressAutoHyphens w:val="0"/>
              <w:spacing w:line="240" w:lineRule="auto"/>
              <w:ind w:left="113" w:right="113"/>
              <w:jc w:val="both"/>
              <w:cnfStyle w:val="100000000000" w:firstRow="1" w:lastRow="0" w:firstColumn="0" w:lastColumn="0" w:oddVBand="0" w:evenVBand="0" w:oddHBand="0" w:evenHBand="0" w:firstRowFirstColumn="0" w:firstRowLastColumn="0" w:lastRowFirstColumn="0" w:lastRowLastColumn="0"/>
              <w:rPr>
                <w:sz w:val="14"/>
                <w:szCs w:val="14"/>
                <w:lang w:eastAsia="en-GB"/>
              </w:rPr>
            </w:pPr>
            <w:r w:rsidRPr="004F318A">
              <w:rPr>
                <w:sz w:val="14"/>
                <w:szCs w:val="14"/>
              </w:rPr>
              <w:t>I</w:t>
            </w:r>
            <w:r w:rsidR="006B4C25" w:rsidRPr="004F318A">
              <w:rPr>
                <w:sz w:val="14"/>
                <w:szCs w:val="14"/>
              </w:rPr>
              <w:t>ndustry</w:t>
            </w:r>
            <w:r>
              <w:rPr>
                <w:sz w:val="14"/>
                <w:szCs w:val="14"/>
              </w:rPr>
              <w:t>,</w:t>
            </w:r>
            <w:r w:rsidR="006B4C25" w:rsidRPr="004F318A">
              <w:rPr>
                <w:sz w:val="14"/>
                <w:szCs w:val="14"/>
              </w:rPr>
              <w:t xml:space="preserve"> including mining</w:t>
            </w:r>
          </w:p>
        </w:tc>
        <w:tc>
          <w:tcPr>
            <w:tcW w:w="425" w:type="dxa"/>
            <w:tcBorders>
              <w:top w:val="single" w:sz="4" w:space="0" w:color="auto"/>
              <w:left w:val="single" w:sz="4" w:space="0" w:color="auto"/>
              <w:bottom w:val="single" w:sz="4" w:space="0" w:color="auto"/>
              <w:right w:val="single" w:sz="4" w:space="0" w:color="auto"/>
            </w:tcBorders>
            <w:textDirection w:val="btLr"/>
          </w:tcPr>
          <w:p w14:paraId="771E9E46" w14:textId="77777777" w:rsidR="006B4C25" w:rsidRPr="004F318A" w:rsidRDefault="006B4C25" w:rsidP="00020ACC">
            <w:pPr>
              <w:keepNext/>
              <w:suppressAutoHyphens w:val="0"/>
              <w:spacing w:line="240" w:lineRule="auto"/>
              <w:ind w:left="113" w:right="113"/>
              <w:jc w:val="both"/>
              <w:cnfStyle w:val="100000000000" w:firstRow="1" w:lastRow="0" w:firstColumn="0" w:lastColumn="0" w:oddVBand="0" w:evenVBand="0" w:oddHBand="0" w:evenHBand="0" w:firstRowFirstColumn="0" w:firstRowLastColumn="0" w:lastRowFirstColumn="0" w:lastRowLastColumn="0"/>
              <w:rPr>
                <w:sz w:val="14"/>
                <w:szCs w:val="14"/>
                <w:lang w:eastAsia="en-GB"/>
              </w:rPr>
            </w:pPr>
            <w:r w:rsidRPr="004F318A">
              <w:rPr>
                <w:sz w:val="14"/>
                <w:szCs w:val="14"/>
              </w:rPr>
              <w:t>transport</w:t>
            </w:r>
          </w:p>
        </w:tc>
        <w:tc>
          <w:tcPr>
            <w:tcW w:w="425" w:type="dxa"/>
            <w:tcBorders>
              <w:top w:val="single" w:sz="4" w:space="0" w:color="auto"/>
              <w:left w:val="single" w:sz="4" w:space="0" w:color="auto"/>
              <w:bottom w:val="single" w:sz="4" w:space="0" w:color="auto"/>
              <w:right w:val="single" w:sz="4" w:space="0" w:color="auto"/>
            </w:tcBorders>
            <w:textDirection w:val="btLr"/>
          </w:tcPr>
          <w:p w14:paraId="6CAACA74" w14:textId="77777777" w:rsidR="006B4C25" w:rsidRPr="004F318A" w:rsidRDefault="006B4C25" w:rsidP="00020ACC">
            <w:pPr>
              <w:keepNext/>
              <w:suppressAutoHyphens w:val="0"/>
              <w:spacing w:line="240" w:lineRule="auto"/>
              <w:ind w:left="113" w:right="113"/>
              <w:jc w:val="both"/>
              <w:cnfStyle w:val="100000000000" w:firstRow="1" w:lastRow="0" w:firstColumn="0" w:lastColumn="0" w:oddVBand="0" w:evenVBand="0" w:oddHBand="0" w:evenHBand="0" w:firstRowFirstColumn="0" w:firstRowLastColumn="0" w:lastRowFirstColumn="0" w:lastRowLastColumn="0"/>
              <w:rPr>
                <w:sz w:val="14"/>
                <w:szCs w:val="14"/>
                <w:lang w:eastAsia="en-GB"/>
              </w:rPr>
            </w:pPr>
            <w:r w:rsidRPr="004F318A">
              <w:rPr>
                <w:sz w:val="14"/>
                <w:szCs w:val="14"/>
              </w:rPr>
              <w:t>regional development</w:t>
            </w:r>
          </w:p>
        </w:tc>
        <w:tc>
          <w:tcPr>
            <w:tcW w:w="425" w:type="dxa"/>
            <w:tcBorders>
              <w:top w:val="single" w:sz="4" w:space="0" w:color="auto"/>
              <w:left w:val="single" w:sz="4" w:space="0" w:color="auto"/>
              <w:bottom w:val="single" w:sz="4" w:space="0" w:color="auto"/>
              <w:right w:val="single" w:sz="4" w:space="0" w:color="auto"/>
            </w:tcBorders>
            <w:textDirection w:val="btLr"/>
          </w:tcPr>
          <w:p w14:paraId="6F25BB0D" w14:textId="77777777" w:rsidR="006B4C25" w:rsidRPr="004F318A" w:rsidRDefault="006B4C25" w:rsidP="00020ACC">
            <w:pPr>
              <w:keepNext/>
              <w:suppressAutoHyphens w:val="0"/>
              <w:spacing w:line="240" w:lineRule="auto"/>
              <w:ind w:left="113" w:right="113"/>
              <w:jc w:val="both"/>
              <w:cnfStyle w:val="100000000000" w:firstRow="1" w:lastRow="0" w:firstColumn="0" w:lastColumn="0" w:oddVBand="0" w:evenVBand="0" w:oddHBand="0" w:evenHBand="0" w:firstRowFirstColumn="0" w:firstRowLastColumn="0" w:lastRowFirstColumn="0" w:lastRowLastColumn="0"/>
              <w:rPr>
                <w:sz w:val="14"/>
                <w:szCs w:val="14"/>
                <w:lang w:eastAsia="en-GB"/>
              </w:rPr>
            </w:pPr>
            <w:r w:rsidRPr="004F318A">
              <w:rPr>
                <w:sz w:val="14"/>
                <w:szCs w:val="14"/>
              </w:rPr>
              <w:t>waste management</w:t>
            </w:r>
          </w:p>
        </w:tc>
        <w:tc>
          <w:tcPr>
            <w:tcW w:w="425" w:type="dxa"/>
            <w:tcBorders>
              <w:top w:val="single" w:sz="4" w:space="0" w:color="auto"/>
              <w:left w:val="single" w:sz="4" w:space="0" w:color="auto"/>
              <w:bottom w:val="single" w:sz="4" w:space="0" w:color="auto"/>
              <w:right w:val="single" w:sz="4" w:space="0" w:color="auto"/>
            </w:tcBorders>
            <w:textDirection w:val="btLr"/>
          </w:tcPr>
          <w:p w14:paraId="1585C5C1" w14:textId="77777777" w:rsidR="006B4C25" w:rsidRPr="004F318A" w:rsidRDefault="006B4C25" w:rsidP="00020ACC">
            <w:pPr>
              <w:keepNext/>
              <w:suppressAutoHyphens w:val="0"/>
              <w:spacing w:line="240" w:lineRule="auto"/>
              <w:ind w:left="113" w:right="113"/>
              <w:jc w:val="both"/>
              <w:cnfStyle w:val="100000000000" w:firstRow="1" w:lastRow="0" w:firstColumn="0" w:lastColumn="0" w:oddVBand="0" w:evenVBand="0" w:oddHBand="0" w:evenHBand="0" w:firstRowFirstColumn="0" w:firstRowLastColumn="0" w:lastRowFirstColumn="0" w:lastRowLastColumn="0"/>
              <w:rPr>
                <w:sz w:val="14"/>
                <w:szCs w:val="14"/>
                <w:lang w:eastAsia="en-GB"/>
              </w:rPr>
            </w:pPr>
            <w:r w:rsidRPr="004F318A">
              <w:rPr>
                <w:sz w:val="14"/>
                <w:szCs w:val="14"/>
              </w:rPr>
              <w:t>water management</w:t>
            </w:r>
          </w:p>
        </w:tc>
        <w:tc>
          <w:tcPr>
            <w:tcW w:w="425" w:type="dxa"/>
            <w:tcBorders>
              <w:top w:val="single" w:sz="4" w:space="0" w:color="auto"/>
              <w:left w:val="single" w:sz="4" w:space="0" w:color="auto"/>
              <w:bottom w:val="single" w:sz="4" w:space="0" w:color="auto"/>
              <w:right w:val="single" w:sz="4" w:space="0" w:color="auto"/>
            </w:tcBorders>
            <w:textDirection w:val="btLr"/>
          </w:tcPr>
          <w:p w14:paraId="48004379" w14:textId="77777777" w:rsidR="006B4C25" w:rsidRPr="004F318A" w:rsidRDefault="006B4C25" w:rsidP="00020ACC">
            <w:pPr>
              <w:keepNext/>
              <w:suppressAutoHyphens w:val="0"/>
              <w:spacing w:line="240" w:lineRule="auto"/>
              <w:ind w:left="113" w:right="113"/>
              <w:jc w:val="both"/>
              <w:cnfStyle w:val="100000000000" w:firstRow="1" w:lastRow="0" w:firstColumn="0" w:lastColumn="0" w:oddVBand="0" w:evenVBand="0" w:oddHBand="0" w:evenHBand="0" w:firstRowFirstColumn="0" w:firstRowLastColumn="0" w:lastRowFirstColumn="0" w:lastRowLastColumn="0"/>
              <w:rPr>
                <w:sz w:val="14"/>
                <w:szCs w:val="14"/>
                <w:lang w:eastAsia="en-GB"/>
              </w:rPr>
            </w:pPr>
            <w:r w:rsidRPr="004F318A">
              <w:rPr>
                <w:sz w:val="14"/>
                <w:szCs w:val="14"/>
              </w:rPr>
              <w:t>telecommunications</w:t>
            </w:r>
          </w:p>
        </w:tc>
        <w:tc>
          <w:tcPr>
            <w:tcW w:w="425" w:type="dxa"/>
            <w:tcBorders>
              <w:top w:val="single" w:sz="4" w:space="0" w:color="auto"/>
              <w:left w:val="single" w:sz="4" w:space="0" w:color="auto"/>
              <w:bottom w:val="single" w:sz="4" w:space="0" w:color="auto"/>
              <w:right w:val="single" w:sz="4" w:space="0" w:color="auto"/>
            </w:tcBorders>
            <w:textDirection w:val="btLr"/>
          </w:tcPr>
          <w:p w14:paraId="4D2941F0" w14:textId="77777777" w:rsidR="006B4C25" w:rsidRPr="004F318A" w:rsidRDefault="006B4C25" w:rsidP="00020ACC">
            <w:pPr>
              <w:keepNext/>
              <w:suppressAutoHyphens w:val="0"/>
              <w:spacing w:line="240" w:lineRule="auto"/>
              <w:ind w:left="113" w:right="113"/>
              <w:jc w:val="both"/>
              <w:cnfStyle w:val="100000000000" w:firstRow="1" w:lastRow="0" w:firstColumn="0" w:lastColumn="0" w:oddVBand="0" w:evenVBand="0" w:oddHBand="0" w:evenHBand="0" w:firstRowFirstColumn="0" w:firstRowLastColumn="0" w:lastRowFirstColumn="0" w:lastRowLastColumn="0"/>
              <w:rPr>
                <w:sz w:val="14"/>
                <w:szCs w:val="14"/>
                <w:lang w:eastAsia="en-GB"/>
              </w:rPr>
            </w:pPr>
            <w:r w:rsidRPr="004F318A">
              <w:rPr>
                <w:sz w:val="14"/>
                <w:szCs w:val="14"/>
              </w:rPr>
              <w:t>tourism</w:t>
            </w:r>
          </w:p>
        </w:tc>
        <w:tc>
          <w:tcPr>
            <w:tcW w:w="426" w:type="dxa"/>
            <w:tcBorders>
              <w:top w:val="single" w:sz="4" w:space="0" w:color="auto"/>
              <w:left w:val="single" w:sz="4" w:space="0" w:color="auto"/>
              <w:bottom w:val="single" w:sz="4" w:space="0" w:color="auto"/>
              <w:right w:val="single" w:sz="4" w:space="0" w:color="auto"/>
            </w:tcBorders>
            <w:textDirection w:val="btLr"/>
          </w:tcPr>
          <w:p w14:paraId="42D36AE1" w14:textId="77777777" w:rsidR="006B4C25" w:rsidRPr="004F318A" w:rsidRDefault="006B4C25" w:rsidP="00020ACC">
            <w:pPr>
              <w:keepNext/>
              <w:suppressAutoHyphens w:val="0"/>
              <w:spacing w:line="240" w:lineRule="auto"/>
              <w:ind w:left="113" w:right="113"/>
              <w:jc w:val="both"/>
              <w:cnfStyle w:val="100000000000" w:firstRow="1" w:lastRow="0" w:firstColumn="0" w:lastColumn="0" w:oddVBand="0" w:evenVBand="0" w:oddHBand="0" w:evenHBand="0" w:firstRowFirstColumn="0" w:firstRowLastColumn="0" w:lastRowFirstColumn="0" w:lastRowLastColumn="0"/>
              <w:rPr>
                <w:sz w:val="14"/>
                <w:szCs w:val="14"/>
                <w:lang w:eastAsia="en-GB"/>
              </w:rPr>
            </w:pPr>
            <w:r w:rsidRPr="004F318A">
              <w:rPr>
                <w:sz w:val="14"/>
                <w:szCs w:val="14"/>
              </w:rPr>
              <w:t>town and country planning or land use</w:t>
            </w:r>
          </w:p>
        </w:tc>
      </w:tr>
      <w:tr w:rsidR="006B4C25" w:rsidRPr="00786704" w14:paraId="7D786775" w14:textId="77777777" w:rsidTr="006D063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08BCBBF7"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sz w:val="20"/>
                <w:szCs w:val="20"/>
                <w:lang w:eastAsia="en-GB"/>
              </w:rPr>
              <w:t>Health inequalities</w:t>
            </w:r>
          </w:p>
        </w:tc>
        <w:tc>
          <w:tcPr>
            <w:tcW w:w="425" w:type="dxa"/>
            <w:tcBorders>
              <w:top w:val="single" w:sz="4" w:space="0" w:color="auto"/>
              <w:left w:val="nil"/>
              <w:bottom w:val="single" w:sz="4" w:space="0" w:color="auto"/>
              <w:right w:val="nil"/>
            </w:tcBorders>
            <w:vAlign w:val="center"/>
          </w:tcPr>
          <w:p w14:paraId="4B83B138" w14:textId="77777777" w:rsidR="006B4C25"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lang w:eastAsia="en-GB"/>
              </w:rPr>
            </w:pPr>
          </w:p>
        </w:tc>
        <w:tc>
          <w:tcPr>
            <w:tcW w:w="425" w:type="dxa"/>
            <w:tcBorders>
              <w:top w:val="single" w:sz="4" w:space="0" w:color="auto"/>
              <w:left w:val="nil"/>
              <w:bottom w:val="single" w:sz="4" w:space="0" w:color="auto"/>
              <w:right w:val="nil"/>
            </w:tcBorders>
            <w:vAlign w:val="center"/>
          </w:tcPr>
          <w:p w14:paraId="16329DEB" w14:textId="77777777" w:rsidR="006B4C25"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lang w:eastAsia="en-GB"/>
              </w:rPr>
            </w:pPr>
          </w:p>
        </w:tc>
        <w:tc>
          <w:tcPr>
            <w:tcW w:w="425" w:type="dxa"/>
            <w:tcBorders>
              <w:top w:val="single" w:sz="4" w:space="0" w:color="auto"/>
              <w:left w:val="nil"/>
              <w:bottom w:val="single" w:sz="4" w:space="0" w:color="auto"/>
              <w:right w:val="nil"/>
            </w:tcBorders>
            <w:vAlign w:val="center"/>
          </w:tcPr>
          <w:p w14:paraId="2EE0FB6A" w14:textId="77777777" w:rsidR="006B4C25" w:rsidRPr="00786704" w:rsidRDefault="006B4C25" w:rsidP="00020ACC">
            <w:pPr>
              <w:jc w:val="center"/>
              <w:cnfStyle w:val="000000100000" w:firstRow="0" w:lastRow="0" w:firstColumn="0" w:lastColumn="0" w:oddVBand="0" w:evenVBand="0" w:oddHBand="1" w:evenHBand="0" w:firstRowFirstColumn="0" w:firstRowLastColumn="0" w:lastRowFirstColumn="0" w:lastRowLastColumn="0"/>
              <w:rPr>
                <w:lang w:eastAsia="en-GB"/>
              </w:rPr>
            </w:pPr>
          </w:p>
        </w:tc>
        <w:tc>
          <w:tcPr>
            <w:tcW w:w="425" w:type="dxa"/>
            <w:tcBorders>
              <w:top w:val="single" w:sz="4" w:space="0" w:color="auto"/>
              <w:left w:val="nil"/>
              <w:bottom w:val="single" w:sz="4" w:space="0" w:color="auto"/>
              <w:right w:val="nil"/>
            </w:tcBorders>
            <w:vAlign w:val="center"/>
          </w:tcPr>
          <w:p w14:paraId="0819F072" w14:textId="77777777" w:rsidR="006B4C25"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lang w:eastAsia="en-GB"/>
              </w:rPr>
            </w:pPr>
          </w:p>
        </w:tc>
        <w:tc>
          <w:tcPr>
            <w:tcW w:w="425" w:type="dxa"/>
            <w:tcBorders>
              <w:top w:val="single" w:sz="4" w:space="0" w:color="auto"/>
              <w:left w:val="nil"/>
              <w:bottom w:val="single" w:sz="4" w:space="0" w:color="auto"/>
              <w:right w:val="nil"/>
            </w:tcBorders>
            <w:vAlign w:val="center"/>
          </w:tcPr>
          <w:p w14:paraId="6629FE35" w14:textId="77777777" w:rsidR="006B4C25"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lang w:eastAsia="en-GB"/>
              </w:rPr>
            </w:pPr>
          </w:p>
        </w:tc>
        <w:tc>
          <w:tcPr>
            <w:tcW w:w="425" w:type="dxa"/>
            <w:tcBorders>
              <w:top w:val="single" w:sz="4" w:space="0" w:color="auto"/>
              <w:left w:val="nil"/>
              <w:bottom w:val="single" w:sz="4" w:space="0" w:color="auto"/>
              <w:right w:val="nil"/>
            </w:tcBorders>
            <w:vAlign w:val="center"/>
          </w:tcPr>
          <w:p w14:paraId="740A2B51" w14:textId="77777777" w:rsidR="006B4C25"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lang w:eastAsia="en-GB"/>
              </w:rPr>
            </w:pPr>
          </w:p>
        </w:tc>
        <w:tc>
          <w:tcPr>
            <w:tcW w:w="425" w:type="dxa"/>
            <w:tcBorders>
              <w:top w:val="single" w:sz="4" w:space="0" w:color="auto"/>
              <w:left w:val="nil"/>
              <w:bottom w:val="single" w:sz="4" w:space="0" w:color="auto"/>
              <w:right w:val="nil"/>
            </w:tcBorders>
            <w:vAlign w:val="center"/>
          </w:tcPr>
          <w:p w14:paraId="452CAA20" w14:textId="77777777" w:rsidR="006B4C25"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lang w:eastAsia="en-GB"/>
              </w:rPr>
            </w:pPr>
          </w:p>
        </w:tc>
        <w:tc>
          <w:tcPr>
            <w:tcW w:w="425" w:type="dxa"/>
            <w:tcBorders>
              <w:top w:val="single" w:sz="4" w:space="0" w:color="auto"/>
              <w:left w:val="nil"/>
              <w:bottom w:val="single" w:sz="4" w:space="0" w:color="auto"/>
              <w:right w:val="nil"/>
            </w:tcBorders>
            <w:vAlign w:val="center"/>
          </w:tcPr>
          <w:p w14:paraId="5D877673" w14:textId="77777777" w:rsidR="006B4C25"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lang w:eastAsia="en-GB"/>
              </w:rPr>
            </w:pPr>
          </w:p>
        </w:tc>
        <w:tc>
          <w:tcPr>
            <w:tcW w:w="425" w:type="dxa"/>
            <w:tcBorders>
              <w:top w:val="single" w:sz="4" w:space="0" w:color="auto"/>
              <w:left w:val="nil"/>
              <w:bottom w:val="single" w:sz="4" w:space="0" w:color="auto"/>
              <w:right w:val="nil"/>
            </w:tcBorders>
            <w:vAlign w:val="center"/>
          </w:tcPr>
          <w:p w14:paraId="30D7F80A" w14:textId="77777777" w:rsidR="006B4C25" w:rsidRPr="00786704" w:rsidRDefault="006B4C25" w:rsidP="00020ACC">
            <w:pPr>
              <w:jc w:val="center"/>
              <w:cnfStyle w:val="000000100000" w:firstRow="0" w:lastRow="0" w:firstColumn="0" w:lastColumn="0" w:oddVBand="0" w:evenVBand="0" w:oddHBand="1" w:evenHBand="0" w:firstRowFirstColumn="0" w:firstRowLastColumn="0" w:lastRowFirstColumn="0" w:lastRowLastColumn="0"/>
              <w:rPr>
                <w:lang w:eastAsia="en-GB"/>
              </w:rPr>
            </w:pPr>
          </w:p>
        </w:tc>
        <w:tc>
          <w:tcPr>
            <w:tcW w:w="425" w:type="dxa"/>
            <w:tcBorders>
              <w:top w:val="single" w:sz="4" w:space="0" w:color="auto"/>
              <w:left w:val="nil"/>
              <w:bottom w:val="single" w:sz="4" w:space="0" w:color="auto"/>
              <w:right w:val="nil"/>
            </w:tcBorders>
            <w:vAlign w:val="center"/>
          </w:tcPr>
          <w:p w14:paraId="68535E70" w14:textId="77777777" w:rsidR="006B4C25" w:rsidRPr="00786704" w:rsidRDefault="006B4C25" w:rsidP="00020ACC">
            <w:pPr>
              <w:jc w:val="center"/>
              <w:cnfStyle w:val="000000100000" w:firstRow="0" w:lastRow="0" w:firstColumn="0" w:lastColumn="0" w:oddVBand="0" w:evenVBand="0" w:oddHBand="1" w:evenHBand="0" w:firstRowFirstColumn="0" w:firstRowLastColumn="0" w:lastRowFirstColumn="0" w:lastRowLastColumn="0"/>
              <w:rPr>
                <w:lang w:eastAsia="en-GB"/>
              </w:rPr>
            </w:pPr>
          </w:p>
        </w:tc>
        <w:tc>
          <w:tcPr>
            <w:tcW w:w="425" w:type="dxa"/>
            <w:tcBorders>
              <w:top w:val="single" w:sz="4" w:space="0" w:color="auto"/>
              <w:left w:val="nil"/>
              <w:bottom w:val="single" w:sz="4" w:space="0" w:color="auto"/>
              <w:right w:val="nil"/>
            </w:tcBorders>
            <w:vAlign w:val="center"/>
          </w:tcPr>
          <w:p w14:paraId="615AE17A" w14:textId="77777777" w:rsidR="006B4C25"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lang w:eastAsia="en-GB"/>
              </w:rPr>
            </w:pPr>
          </w:p>
        </w:tc>
        <w:tc>
          <w:tcPr>
            <w:tcW w:w="426" w:type="dxa"/>
            <w:tcBorders>
              <w:top w:val="single" w:sz="4" w:space="0" w:color="auto"/>
              <w:left w:val="nil"/>
              <w:bottom w:val="single" w:sz="4" w:space="0" w:color="auto"/>
              <w:right w:val="single" w:sz="4" w:space="0" w:color="auto"/>
            </w:tcBorders>
            <w:vAlign w:val="center"/>
          </w:tcPr>
          <w:p w14:paraId="7688E9A5" w14:textId="77777777" w:rsidR="006B4C25"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lang w:eastAsia="en-GB"/>
              </w:rPr>
            </w:pPr>
          </w:p>
        </w:tc>
      </w:tr>
      <w:tr w:rsidR="006B4C25" w:rsidRPr="00786704" w14:paraId="7611ACE9" w14:textId="77777777" w:rsidTr="006D0633">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0F25F1E9"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Health inequalities between population groups</w:t>
            </w:r>
          </w:p>
        </w:tc>
        <w:tc>
          <w:tcPr>
            <w:tcW w:w="425" w:type="dxa"/>
            <w:tcBorders>
              <w:top w:val="single" w:sz="4" w:space="0" w:color="auto"/>
            </w:tcBorders>
            <w:vAlign w:val="center"/>
          </w:tcPr>
          <w:p w14:paraId="3DBE3B9B"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4601797B"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419E4B29"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70B637D0"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9881130"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4082433"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7617020"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0174CED"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68EED6A5"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2DAD5AC6"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6E8027CE"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6" w:type="dxa"/>
            <w:tcBorders>
              <w:top w:val="single" w:sz="4" w:space="0" w:color="auto"/>
            </w:tcBorders>
            <w:vAlign w:val="center"/>
          </w:tcPr>
          <w:p w14:paraId="45840DC9"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r>
      <w:tr w:rsidR="006B4C25" w:rsidRPr="00786704" w14:paraId="55E6CC20" w14:textId="77777777" w:rsidTr="006D063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bottom w:val="single" w:sz="4" w:space="0" w:color="auto"/>
            </w:tcBorders>
          </w:tcPr>
          <w:p w14:paraId="1F235F22"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Health inequalities between geographical areas</w:t>
            </w:r>
          </w:p>
        </w:tc>
        <w:tc>
          <w:tcPr>
            <w:tcW w:w="425" w:type="dxa"/>
            <w:tcBorders>
              <w:top w:val="single" w:sz="4" w:space="0" w:color="auto"/>
              <w:bottom w:val="single" w:sz="4" w:space="0" w:color="auto"/>
            </w:tcBorders>
            <w:vAlign w:val="center"/>
          </w:tcPr>
          <w:p w14:paraId="2B0551D3"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0620E785"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375E80F4"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3F85EDD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10029C8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4F3C1387"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4EC60120"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1D2615B9"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591C1FA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26F7A536"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0589C40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6" w:type="dxa"/>
            <w:tcBorders>
              <w:top w:val="single" w:sz="4" w:space="0" w:color="auto"/>
              <w:bottom w:val="single" w:sz="4" w:space="0" w:color="auto"/>
            </w:tcBorders>
            <w:vAlign w:val="center"/>
          </w:tcPr>
          <w:p w14:paraId="113268AF"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r>
      <w:tr w:rsidR="006B4C25" w:rsidRPr="00786704" w14:paraId="42AC99BC" w14:textId="77777777" w:rsidTr="006D0633">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1231DD91"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sz w:val="20"/>
                <w:szCs w:val="20"/>
                <w:lang w:eastAsia="en-GB"/>
              </w:rPr>
              <w:t>Healthy lifestyles</w:t>
            </w:r>
          </w:p>
        </w:tc>
        <w:tc>
          <w:tcPr>
            <w:tcW w:w="425" w:type="dxa"/>
            <w:tcBorders>
              <w:top w:val="single" w:sz="4" w:space="0" w:color="auto"/>
              <w:left w:val="nil"/>
              <w:bottom w:val="single" w:sz="4" w:space="0" w:color="auto"/>
              <w:right w:val="nil"/>
            </w:tcBorders>
            <w:vAlign w:val="center"/>
          </w:tcPr>
          <w:p w14:paraId="1E0DB368"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0EA86B4F"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6E2976F6"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47C59D39"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032D763E"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021DD689"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4DBBE71D"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3C9E2DDB"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1B51F317"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31E78C9A"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1B09C238"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6" w:type="dxa"/>
            <w:tcBorders>
              <w:top w:val="single" w:sz="4" w:space="0" w:color="auto"/>
              <w:left w:val="nil"/>
              <w:bottom w:val="single" w:sz="4" w:space="0" w:color="auto"/>
              <w:right w:val="single" w:sz="4" w:space="0" w:color="auto"/>
            </w:tcBorders>
            <w:vAlign w:val="center"/>
          </w:tcPr>
          <w:p w14:paraId="606CA2C0"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r>
      <w:tr w:rsidR="006B4C25" w:rsidRPr="00786704" w14:paraId="3489EC53" w14:textId="77777777" w:rsidTr="006D063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7292900B" w14:textId="6688E318"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Healthy lifestyles and leisure activity opportunit</w:t>
            </w:r>
            <w:r w:rsidR="00A469FC">
              <w:rPr>
                <w:rFonts w:ascii="Times New Roman" w:hAnsi="Times New Roman" w:cs="Times New Roman"/>
                <w:b w:val="0"/>
                <w:bCs w:val="0"/>
                <w:sz w:val="20"/>
                <w:szCs w:val="20"/>
                <w:lang w:eastAsia="en-GB"/>
              </w:rPr>
              <w:t>ies</w:t>
            </w:r>
            <w:r w:rsidRPr="00754E68">
              <w:rPr>
                <w:rFonts w:ascii="Times New Roman" w:hAnsi="Times New Roman" w:cs="Times New Roman"/>
                <w:b w:val="0"/>
                <w:bCs w:val="0"/>
                <w:sz w:val="20"/>
                <w:szCs w:val="20"/>
                <w:lang w:eastAsia="en-GB"/>
              </w:rPr>
              <w:t xml:space="preserve"> </w:t>
            </w:r>
          </w:p>
        </w:tc>
        <w:tc>
          <w:tcPr>
            <w:tcW w:w="425" w:type="dxa"/>
            <w:tcBorders>
              <w:top w:val="single" w:sz="4" w:space="0" w:color="auto"/>
            </w:tcBorders>
            <w:vAlign w:val="center"/>
          </w:tcPr>
          <w:p w14:paraId="7BACF286"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34E0FAB0"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35FDFD17"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6BE33C4F"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078DA48E"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5FEE86D1"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5CB6F8B5"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72703076"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5500109B"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7E8A0051"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0F3B26D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6" w:type="dxa"/>
            <w:tcBorders>
              <w:top w:val="single" w:sz="4" w:space="0" w:color="auto"/>
            </w:tcBorders>
            <w:vAlign w:val="center"/>
          </w:tcPr>
          <w:p w14:paraId="6B4E43BF"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r>
      <w:tr w:rsidR="006B4C25" w:rsidRPr="00786704" w14:paraId="3F71842F" w14:textId="77777777" w:rsidTr="006D0633">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bottom w:val="single" w:sz="4" w:space="0" w:color="auto"/>
            </w:tcBorders>
          </w:tcPr>
          <w:p w14:paraId="2A3C0265"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Nutrition</w:t>
            </w:r>
          </w:p>
        </w:tc>
        <w:tc>
          <w:tcPr>
            <w:tcW w:w="425" w:type="dxa"/>
            <w:tcBorders>
              <w:top w:val="single" w:sz="4" w:space="0" w:color="auto"/>
              <w:bottom w:val="single" w:sz="4" w:space="0" w:color="auto"/>
            </w:tcBorders>
            <w:vAlign w:val="center"/>
          </w:tcPr>
          <w:p w14:paraId="5B34B927"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10AFEC8E"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bottom w:val="single" w:sz="4" w:space="0" w:color="auto"/>
            </w:tcBorders>
            <w:vAlign w:val="center"/>
          </w:tcPr>
          <w:p w14:paraId="4812BFD4"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1256035B"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bottom w:val="single" w:sz="4" w:space="0" w:color="auto"/>
            </w:tcBorders>
            <w:vAlign w:val="center"/>
          </w:tcPr>
          <w:p w14:paraId="08CB7DA6"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bottom w:val="single" w:sz="4" w:space="0" w:color="auto"/>
            </w:tcBorders>
            <w:vAlign w:val="center"/>
          </w:tcPr>
          <w:p w14:paraId="019FF6A4"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70C5A0EE"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68BBC2DF"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bottom w:val="single" w:sz="4" w:space="0" w:color="auto"/>
            </w:tcBorders>
            <w:vAlign w:val="center"/>
          </w:tcPr>
          <w:p w14:paraId="062FC67F"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71DEB5AC"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bottom w:val="single" w:sz="4" w:space="0" w:color="auto"/>
            </w:tcBorders>
            <w:vAlign w:val="center"/>
          </w:tcPr>
          <w:p w14:paraId="07EC88E4"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6" w:type="dxa"/>
            <w:tcBorders>
              <w:top w:val="single" w:sz="4" w:space="0" w:color="auto"/>
              <w:bottom w:val="single" w:sz="4" w:space="0" w:color="auto"/>
            </w:tcBorders>
            <w:vAlign w:val="center"/>
          </w:tcPr>
          <w:p w14:paraId="184C3A9E"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r>
      <w:tr w:rsidR="006B4C25" w:rsidRPr="00786704" w14:paraId="7DA08761" w14:textId="77777777" w:rsidTr="006D063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00E8CF2D"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sz w:val="20"/>
                <w:szCs w:val="20"/>
                <w:lang w:eastAsia="en-GB"/>
              </w:rPr>
              <w:t>Safe and cohesive communities</w:t>
            </w:r>
          </w:p>
        </w:tc>
        <w:tc>
          <w:tcPr>
            <w:tcW w:w="425" w:type="dxa"/>
            <w:tcBorders>
              <w:top w:val="single" w:sz="4" w:space="0" w:color="auto"/>
              <w:left w:val="nil"/>
              <w:bottom w:val="single" w:sz="4" w:space="0" w:color="auto"/>
              <w:right w:val="nil"/>
            </w:tcBorders>
            <w:vAlign w:val="center"/>
          </w:tcPr>
          <w:p w14:paraId="7E60AB7D"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5D9FD8D0"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584D996C"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3403B9B9"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0DF8C0DB"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1B0B5273"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1C66C4CB"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2D98705F"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4C1BB112"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5D64E118"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021C4298"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6" w:type="dxa"/>
            <w:tcBorders>
              <w:top w:val="single" w:sz="4" w:space="0" w:color="auto"/>
              <w:left w:val="nil"/>
              <w:bottom w:val="single" w:sz="4" w:space="0" w:color="auto"/>
              <w:right w:val="single" w:sz="4" w:space="0" w:color="auto"/>
            </w:tcBorders>
            <w:vAlign w:val="center"/>
          </w:tcPr>
          <w:p w14:paraId="113371C7"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r>
      <w:tr w:rsidR="006B4C25" w:rsidRPr="00786704" w14:paraId="07BB7F6C" w14:textId="77777777" w:rsidTr="006D0633">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12768BE7" w14:textId="1606A29C"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Hous</w:t>
            </w:r>
            <w:r>
              <w:rPr>
                <w:rFonts w:ascii="Times New Roman" w:hAnsi="Times New Roman" w:cs="Times New Roman"/>
                <w:b w:val="0"/>
                <w:bCs w:val="0"/>
                <w:sz w:val="20"/>
                <w:szCs w:val="20"/>
                <w:lang w:eastAsia="en-GB"/>
              </w:rPr>
              <w:t xml:space="preserve">ing, </w:t>
            </w:r>
            <w:r w:rsidRPr="00754E68">
              <w:rPr>
                <w:rFonts w:ascii="Times New Roman" w:hAnsi="Times New Roman" w:cs="Times New Roman"/>
                <w:b w:val="0"/>
                <w:bCs w:val="0"/>
                <w:sz w:val="20"/>
                <w:szCs w:val="20"/>
                <w:lang w:eastAsia="en-GB"/>
              </w:rPr>
              <w:t>buildings</w:t>
            </w:r>
            <w:r>
              <w:rPr>
                <w:rFonts w:ascii="Times New Roman" w:hAnsi="Times New Roman" w:cs="Times New Roman"/>
                <w:b w:val="0"/>
                <w:bCs w:val="0"/>
                <w:sz w:val="20"/>
                <w:szCs w:val="20"/>
                <w:lang w:eastAsia="en-GB"/>
              </w:rPr>
              <w:t xml:space="preserve"> and </w:t>
            </w:r>
            <w:r w:rsidR="00837DC7">
              <w:rPr>
                <w:rFonts w:ascii="Times New Roman" w:hAnsi="Times New Roman" w:cs="Times New Roman"/>
                <w:b w:val="0"/>
                <w:bCs w:val="0"/>
                <w:sz w:val="20"/>
                <w:szCs w:val="20"/>
                <w:lang w:eastAsia="en-GB"/>
              </w:rPr>
              <w:t xml:space="preserve">connecting </w:t>
            </w:r>
            <w:r>
              <w:rPr>
                <w:rFonts w:ascii="Times New Roman" w:hAnsi="Times New Roman" w:cs="Times New Roman"/>
                <w:b w:val="0"/>
                <w:bCs w:val="0"/>
                <w:sz w:val="20"/>
                <w:szCs w:val="20"/>
                <w:lang w:eastAsia="en-GB"/>
              </w:rPr>
              <w:t>routes</w:t>
            </w:r>
          </w:p>
        </w:tc>
        <w:tc>
          <w:tcPr>
            <w:tcW w:w="425" w:type="dxa"/>
            <w:tcBorders>
              <w:top w:val="single" w:sz="4" w:space="0" w:color="auto"/>
            </w:tcBorders>
            <w:vAlign w:val="center"/>
          </w:tcPr>
          <w:p w14:paraId="68E1D38A"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tcBorders>
            <w:vAlign w:val="center"/>
          </w:tcPr>
          <w:p w14:paraId="3A7D3EEF"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tcBorders>
            <w:vAlign w:val="center"/>
          </w:tcPr>
          <w:p w14:paraId="71E41C94"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57295E17"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690B69CD"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75E6C851"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319FCC61"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5A706FF1"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26834E10"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65689AA"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0EC0E09"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6" w:type="dxa"/>
            <w:tcBorders>
              <w:top w:val="single" w:sz="4" w:space="0" w:color="auto"/>
            </w:tcBorders>
            <w:vAlign w:val="center"/>
          </w:tcPr>
          <w:p w14:paraId="4AE3297D"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r>
      <w:tr w:rsidR="006B4C25" w:rsidRPr="00786704" w14:paraId="1351931A" w14:textId="77777777" w:rsidTr="006D063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bottom w:val="single" w:sz="4" w:space="0" w:color="auto"/>
            </w:tcBorders>
          </w:tcPr>
          <w:p w14:paraId="3F141200"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 xml:space="preserve">Poverty, social exclusion and crime </w:t>
            </w:r>
          </w:p>
        </w:tc>
        <w:tc>
          <w:tcPr>
            <w:tcW w:w="425" w:type="dxa"/>
            <w:tcBorders>
              <w:top w:val="single" w:sz="4" w:space="0" w:color="auto"/>
              <w:bottom w:val="single" w:sz="4" w:space="0" w:color="auto"/>
            </w:tcBorders>
            <w:vAlign w:val="center"/>
          </w:tcPr>
          <w:p w14:paraId="00035395"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bottom w:val="single" w:sz="4" w:space="0" w:color="auto"/>
            </w:tcBorders>
            <w:vAlign w:val="center"/>
          </w:tcPr>
          <w:p w14:paraId="1AAA3CD8"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bottom w:val="single" w:sz="4" w:space="0" w:color="auto"/>
            </w:tcBorders>
            <w:vAlign w:val="center"/>
          </w:tcPr>
          <w:p w14:paraId="0FECE96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bottom w:val="single" w:sz="4" w:space="0" w:color="auto"/>
            </w:tcBorders>
            <w:vAlign w:val="center"/>
          </w:tcPr>
          <w:p w14:paraId="0EC338A0"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72601B4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6C03E12D"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6BE2642C"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6729CA51"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bottom w:val="single" w:sz="4" w:space="0" w:color="auto"/>
            </w:tcBorders>
            <w:vAlign w:val="center"/>
          </w:tcPr>
          <w:p w14:paraId="494379A4"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bottom w:val="single" w:sz="4" w:space="0" w:color="auto"/>
            </w:tcBorders>
            <w:vAlign w:val="center"/>
          </w:tcPr>
          <w:p w14:paraId="3C9E57D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bottom w:val="single" w:sz="4" w:space="0" w:color="auto"/>
            </w:tcBorders>
            <w:vAlign w:val="center"/>
          </w:tcPr>
          <w:p w14:paraId="219D26C8"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6" w:type="dxa"/>
            <w:tcBorders>
              <w:top w:val="single" w:sz="4" w:space="0" w:color="auto"/>
              <w:bottom w:val="single" w:sz="4" w:space="0" w:color="auto"/>
            </w:tcBorders>
            <w:vAlign w:val="center"/>
          </w:tcPr>
          <w:p w14:paraId="24E57F4E"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r>
      <w:tr w:rsidR="006B4C25" w:rsidRPr="00786704" w14:paraId="1AC639AB" w14:textId="77777777" w:rsidTr="006D0633">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3B851607" w14:textId="7F940C05"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sz w:val="20"/>
                <w:szCs w:val="20"/>
                <w:lang w:eastAsia="en-GB"/>
              </w:rPr>
              <w:t xml:space="preserve">Socioeconomic conditions </w:t>
            </w:r>
          </w:p>
        </w:tc>
        <w:tc>
          <w:tcPr>
            <w:tcW w:w="425" w:type="dxa"/>
            <w:tcBorders>
              <w:top w:val="single" w:sz="4" w:space="0" w:color="auto"/>
              <w:left w:val="nil"/>
              <w:bottom w:val="single" w:sz="4" w:space="0" w:color="auto"/>
              <w:right w:val="nil"/>
            </w:tcBorders>
            <w:vAlign w:val="center"/>
          </w:tcPr>
          <w:p w14:paraId="7BAACC40"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626ABEEA"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342B0707"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71B96039"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6FAD4BE3"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664533EE"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07E62408"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2300EFF8"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7602C53F"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6355FF04"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7525237A"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6" w:type="dxa"/>
            <w:tcBorders>
              <w:top w:val="single" w:sz="4" w:space="0" w:color="auto"/>
              <w:left w:val="nil"/>
              <w:bottom w:val="single" w:sz="4" w:space="0" w:color="auto"/>
              <w:right w:val="single" w:sz="4" w:space="0" w:color="auto"/>
            </w:tcBorders>
            <w:vAlign w:val="center"/>
          </w:tcPr>
          <w:p w14:paraId="2CCEF628"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r>
      <w:tr w:rsidR="006B4C25" w:rsidRPr="00786704" w14:paraId="25D694C4" w14:textId="77777777" w:rsidTr="006D063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419F267E"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Education</w:t>
            </w:r>
          </w:p>
        </w:tc>
        <w:tc>
          <w:tcPr>
            <w:tcW w:w="425" w:type="dxa"/>
            <w:tcBorders>
              <w:top w:val="single" w:sz="4" w:space="0" w:color="auto"/>
            </w:tcBorders>
            <w:vAlign w:val="center"/>
          </w:tcPr>
          <w:p w14:paraId="119493A8"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tcBorders>
            <w:vAlign w:val="center"/>
          </w:tcPr>
          <w:p w14:paraId="0BF14C61"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tcBorders>
            <w:vAlign w:val="center"/>
          </w:tcPr>
          <w:p w14:paraId="430BEF7E"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3BEF8ED6"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tcBorders>
            <w:vAlign w:val="center"/>
          </w:tcPr>
          <w:p w14:paraId="70478E51"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tcBorders>
            <w:vAlign w:val="center"/>
          </w:tcPr>
          <w:p w14:paraId="042BACD2"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A919D47"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5F4B6DFB"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tcBorders>
            <w:vAlign w:val="center"/>
          </w:tcPr>
          <w:p w14:paraId="6BC71112"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4EE6C60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06485A0F"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6" w:type="dxa"/>
            <w:tcBorders>
              <w:top w:val="single" w:sz="4" w:space="0" w:color="auto"/>
            </w:tcBorders>
            <w:vAlign w:val="center"/>
          </w:tcPr>
          <w:p w14:paraId="20B39E8F"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r>
      <w:tr w:rsidR="006B4C25" w:rsidRPr="00786704" w14:paraId="49B50A99" w14:textId="77777777" w:rsidTr="006D0633">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bottom w:val="single" w:sz="4" w:space="0" w:color="auto"/>
            </w:tcBorders>
          </w:tcPr>
          <w:p w14:paraId="3415DB40"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Employment (including quality)</w:t>
            </w:r>
          </w:p>
        </w:tc>
        <w:tc>
          <w:tcPr>
            <w:tcW w:w="425" w:type="dxa"/>
            <w:tcBorders>
              <w:top w:val="single" w:sz="4" w:space="0" w:color="auto"/>
              <w:bottom w:val="single" w:sz="4" w:space="0" w:color="auto"/>
            </w:tcBorders>
            <w:vAlign w:val="center"/>
          </w:tcPr>
          <w:p w14:paraId="4588FAFE"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3311CCD3"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4CEB795E"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009BE644"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77DD6D61"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04BA28AA"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74B6BB86"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2145059C"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6FF4E3F2"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20D9B68C"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bottom w:val="single" w:sz="4" w:space="0" w:color="auto"/>
            </w:tcBorders>
            <w:vAlign w:val="center"/>
          </w:tcPr>
          <w:p w14:paraId="5B3CE79C"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6" w:type="dxa"/>
            <w:tcBorders>
              <w:top w:val="single" w:sz="4" w:space="0" w:color="auto"/>
              <w:bottom w:val="single" w:sz="4" w:space="0" w:color="auto"/>
            </w:tcBorders>
            <w:vAlign w:val="center"/>
          </w:tcPr>
          <w:p w14:paraId="4A8E21D7"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r>
      <w:tr w:rsidR="006B4C25" w:rsidRPr="00786704" w14:paraId="5E69B982" w14:textId="77777777" w:rsidTr="006D063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41647316"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sz w:val="20"/>
                <w:szCs w:val="20"/>
                <w:lang w:eastAsia="en-GB"/>
              </w:rPr>
              <w:t xml:space="preserve">Environmental conditions </w:t>
            </w:r>
          </w:p>
        </w:tc>
        <w:tc>
          <w:tcPr>
            <w:tcW w:w="425" w:type="dxa"/>
            <w:tcBorders>
              <w:top w:val="single" w:sz="4" w:space="0" w:color="auto"/>
              <w:left w:val="nil"/>
              <w:bottom w:val="single" w:sz="4" w:space="0" w:color="auto"/>
              <w:right w:val="nil"/>
            </w:tcBorders>
            <w:vAlign w:val="center"/>
          </w:tcPr>
          <w:p w14:paraId="459FF539"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248F6A91"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2CF814DE"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44455A78"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33AC94EC"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7ED9E7B7"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089B4A59"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487FFD57"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7126D79B"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7A2A4FD0"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4444DE2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6" w:type="dxa"/>
            <w:tcBorders>
              <w:top w:val="single" w:sz="4" w:space="0" w:color="auto"/>
              <w:left w:val="nil"/>
              <w:bottom w:val="single" w:sz="4" w:space="0" w:color="auto"/>
              <w:right w:val="single" w:sz="4" w:space="0" w:color="auto"/>
            </w:tcBorders>
            <w:vAlign w:val="center"/>
          </w:tcPr>
          <w:p w14:paraId="210BD7FD"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r>
      <w:tr w:rsidR="006B4C25" w:rsidRPr="00786704" w14:paraId="4C15CC14" w14:textId="77777777" w:rsidTr="006D0633">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18FE9DB3"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Air quality</w:t>
            </w:r>
          </w:p>
        </w:tc>
        <w:tc>
          <w:tcPr>
            <w:tcW w:w="425" w:type="dxa"/>
            <w:tcBorders>
              <w:top w:val="single" w:sz="4" w:space="0" w:color="auto"/>
            </w:tcBorders>
            <w:vAlign w:val="center"/>
          </w:tcPr>
          <w:p w14:paraId="7AF49DF6"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55CE094"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27204B22"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1CEF2820"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DE32620"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2E3A4C94"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0D989107"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3100630E"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76E4DBB0"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44CCD357"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00D499BC"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6" w:type="dxa"/>
            <w:tcBorders>
              <w:top w:val="single" w:sz="4" w:space="0" w:color="auto"/>
            </w:tcBorders>
            <w:vAlign w:val="center"/>
          </w:tcPr>
          <w:p w14:paraId="771A6EB3"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r>
      <w:tr w:rsidR="006B4C25" w:rsidRPr="00786704" w14:paraId="009BE3FF" w14:textId="77777777" w:rsidTr="006D063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Pr>
          <w:p w14:paraId="7B42F4CD"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 xml:space="preserve">Water </w:t>
            </w:r>
          </w:p>
        </w:tc>
        <w:tc>
          <w:tcPr>
            <w:tcW w:w="425" w:type="dxa"/>
            <w:tcBorders>
              <w:top w:val="single" w:sz="4" w:space="0" w:color="auto"/>
            </w:tcBorders>
            <w:vAlign w:val="center"/>
          </w:tcPr>
          <w:p w14:paraId="52B65EFF"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396746A9"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4A0E9C0F"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2D85BD0C"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7EB247C7"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8789601"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651F6FD0"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02117B66"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73B79CB1"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66032BAF"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22AFD362"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6" w:type="dxa"/>
            <w:tcBorders>
              <w:top w:val="single" w:sz="4" w:space="0" w:color="auto"/>
            </w:tcBorders>
            <w:vAlign w:val="center"/>
          </w:tcPr>
          <w:p w14:paraId="4E4D2547"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r>
      <w:tr w:rsidR="006B4C25" w:rsidRPr="00786704" w14:paraId="2B019505" w14:textId="77777777" w:rsidTr="006D0633">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Pr>
          <w:p w14:paraId="778660E2"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Soil</w:t>
            </w:r>
          </w:p>
        </w:tc>
        <w:tc>
          <w:tcPr>
            <w:tcW w:w="425" w:type="dxa"/>
            <w:tcBorders>
              <w:top w:val="single" w:sz="4" w:space="0" w:color="auto"/>
            </w:tcBorders>
            <w:vAlign w:val="center"/>
          </w:tcPr>
          <w:p w14:paraId="793FC798"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ED90396"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066B6497"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60FEB930"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tcBorders>
            <w:vAlign w:val="center"/>
          </w:tcPr>
          <w:p w14:paraId="27135974"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2C5B8A03"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tcBorders>
            <w:vAlign w:val="center"/>
          </w:tcPr>
          <w:p w14:paraId="4ECA6AE2"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4673391E"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4D6305A5"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6ADC6B4C"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250D3314"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6" w:type="dxa"/>
            <w:tcBorders>
              <w:top w:val="single" w:sz="4" w:space="0" w:color="auto"/>
            </w:tcBorders>
            <w:vAlign w:val="center"/>
          </w:tcPr>
          <w:p w14:paraId="066D5279"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r>
      <w:tr w:rsidR="006B4C25" w:rsidRPr="00786704" w14:paraId="00D3A66E" w14:textId="77777777" w:rsidTr="006D063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Pr>
          <w:p w14:paraId="76BEA8F8" w14:textId="77777777"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Noise and vibration</w:t>
            </w:r>
          </w:p>
        </w:tc>
        <w:tc>
          <w:tcPr>
            <w:tcW w:w="425" w:type="dxa"/>
            <w:tcBorders>
              <w:top w:val="single" w:sz="4" w:space="0" w:color="auto"/>
            </w:tcBorders>
            <w:vAlign w:val="center"/>
          </w:tcPr>
          <w:p w14:paraId="0B652F3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43D184BC"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57DDF0C5"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786A928D"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2B851506"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2B844CF1"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0D887127"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4669901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5ACA125B"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152F0FE4"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498167B5"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6" w:type="dxa"/>
            <w:tcBorders>
              <w:top w:val="single" w:sz="4" w:space="0" w:color="auto"/>
            </w:tcBorders>
            <w:vAlign w:val="center"/>
          </w:tcPr>
          <w:p w14:paraId="04746858"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r>
      <w:tr w:rsidR="006B4C25" w:rsidRPr="00786704" w14:paraId="0BC4E432" w14:textId="77777777" w:rsidTr="006D0633">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52A46EC0" w14:textId="2C7D0210"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sz w:val="20"/>
                <w:szCs w:val="20"/>
                <w:lang w:eastAsia="en-GB"/>
              </w:rPr>
              <w:t>Health</w:t>
            </w:r>
            <w:r w:rsidR="00593C97">
              <w:rPr>
                <w:rFonts w:ascii="Times New Roman" w:hAnsi="Times New Roman" w:cs="Times New Roman"/>
                <w:sz w:val="20"/>
                <w:szCs w:val="20"/>
                <w:lang w:eastAsia="en-GB"/>
              </w:rPr>
              <w:t>-</w:t>
            </w:r>
            <w:r w:rsidRPr="00754E68">
              <w:rPr>
                <w:rFonts w:ascii="Times New Roman" w:hAnsi="Times New Roman" w:cs="Times New Roman"/>
                <w:sz w:val="20"/>
                <w:szCs w:val="20"/>
                <w:lang w:eastAsia="en-GB"/>
              </w:rPr>
              <w:t xml:space="preserve"> and social</w:t>
            </w:r>
            <w:r w:rsidR="00593C97">
              <w:rPr>
                <w:rFonts w:ascii="Times New Roman" w:hAnsi="Times New Roman" w:cs="Times New Roman"/>
                <w:sz w:val="20"/>
                <w:szCs w:val="20"/>
                <w:lang w:eastAsia="en-GB"/>
              </w:rPr>
              <w:t>-</w:t>
            </w:r>
            <w:r w:rsidRPr="00754E68">
              <w:rPr>
                <w:rFonts w:ascii="Times New Roman" w:hAnsi="Times New Roman" w:cs="Times New Roman"/>
                <w:sz w:val="20"/>
                <w:szCs w:val="20"/>
                <w:lang w:eastAsia="en-GB"/>
              </w:rPr>
              <w:t>care services</w:t>
            </w:r>
          </w:p>
        </w:tc>
        <w:tc>
          <w:tcPr>
            <w:tcW w:w="425" w:type="dxa"/>
            <w:tcBorders>
              <w:top w:val="single" w:sz="4" w:space="0" w:color="auto"/>
              <w:left w:val="nil"/>
              <w:bottom w:val="single" w:sz="4" w:space="0" w:color="auto"/>
              <w:right w:val="nil"/>
            </w:tcBorders>
            <w:vAlign w:val="center"/>
          </w:tcPr>
          <w:p w14:paraId="09399CB6"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023DB2B6"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13FD9343"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02072C17"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6833220E"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0CAE59AB"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17B2B2CA"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3D81B5AB"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left w:val="nil"/>
              <w:bottom w:val="single" w:sz="4" w:space="0" w:color="auto"/>
              <w:right w:val="nil"/>
            </w:tcBorders>
            <w:vAlign w:val="center"/>
          </w:tcPr>
          <w:p w14:paraId="34232322"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4307AA2A"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p>
        </w:tc>
        <w:tc>
          <w:tcPr>
            <w:tcW w:w="425" w:type="dxa"/>
            <w:tcBorders>
              <w:top w:val="single" w:sz="4" w:space="0" w:color="auto"/>
              <w:left w:val="nil"/>
              <w:bottom w:val="single" w:sz="4" w:space="0" w:color="auto"/>
              <w:right w:val="nil"/>
            </w:tcBorders>
            <w:vAlign w:val="center"/>
          </w:tcPr>
          <w:p w14:paraId="1817ECCB"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6" w:type="dxa"/>
            <w:tcBorders>
              <w:top w:val="single" w:sz="4" w:space="0" w:color="auto"/>
              <w:left w:val="nil"/>
              <w:bottom w:val="single" w:sz="4" w:space="0" w:color="auto"/>
              <w:right w:val="single" w:sz="4" w:space="0" w:color="auto"/>
            </w:tcBorders>
            <w:vAlign w:val="center"/>
          </w:tcPr>
          <w:p w14:paraId="68E3F1EC"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r>
      <w:tr w:rsidR="006B4C25" w:rsidRPr="00786704" w14:paraId="7C890255" w14:textId="77777777" w:rsidTr="006D063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1B731680" w14:textId="52C4DA55"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Access to health</w:t>
            </w:r>
            <w:r w:rsidR="00593C97">
              <w:rPr>
                <w:rFonts w:ascii="Times New Roman" w:hAnsi="Times New Roman" w:cs="Times New Roman"/>
                <w:b w:val="0"/>
                <w:bCs w:val="0"/>
                <w:sz w:val="20"/>
                <w:szCs w:val="20"/>
                <w:lang w:eastAsia="en-GB"/>
              </w:rPr>
              <w:t>-</w:t>
            </w:r>
            <w:r w:rsidRPr="00754E68">
              <w:rPr>
                <w:rFonts w:ascii="Times New Roman" w:hAnsi="Times New Roman" w:cs="Times New Roman"/>
                <w:b w:val="0"/>
                <w:bCs w:val="0"/>
                <w:sz w:val="20"/>
                <w:szCs w:val="20"/>
                <w:lang w:eastAsia="en-GB"/>
              </w:rPr>
              <w:t xml:space="preserve"> </w:t>
            </w:r>
            <w:r w:rsidR="000B5F9C">
              <w:rPr>
                <w:rFonts w:ascii="Times New Roman" w:hAnsi="Times New Roman" w:cs="Times New Roman"/>
                <w:b w:val="0"/>
                <w:bCs w:val="0"/>
                <w:sz w:val="20"/>
                <w:szCs w:val="20"/>
                <w:lang w:eastAsia="en-GB"/>
              </w:rPr>
              <w:t>and social</w:t>
            </w:r>
            <w:r w:rsidR="00593C97">
              <w:rPr>
                <w:rFonts w:ascii="Times New Roman" w:hAnsi="Times New Roman" w:cs="Times New Roman"/>
                <w:b w:val="0"/>
                <w:bCs w:val="0"/>
                <w:sz w:val="20"/>
                <w:szCs w:val="20"/>
                <w:lang w:eastAsia="en-GB"/>
              </w:rPr>
              <w:t>-</w:t>
            </w:r>
            <w:r w:rsidR="000B5F9C">
              <w:rPr>
                <w:rFonts w:ascii="Times New Roman" w:hAnsi="Times New Roman" w:cs="Times New Roman"/>
                <w:b w:val="0"/>
                <w:bCs w:val="0"/>
                <w:sz w:val="20"/>
                <w:szCs w:val="20"/>
                <w:lang w:eastAsia="en-GB"/>
              </w:rPr>
              <w:t xml:space="preserve">care </w:t>
            </w:r>
            <w:r w:rsidRPr="00754E68">
              <w:rPr>
                <w:rFonts w:ascii="Times New Roman" w:hAnsi="Times New Roman" w:cs="Times New Roman"/>
                <w:b w:val="0"/>
                <w:bCs w:val="0"/>
                <w:sz w:val="20"/>
                <w:szCs w:val="20"/>
                <w:lang w:eastAsia="en-GB"/>
              </w:rPr>
              <w:t>activities/services</w:t>
            </w:r>
          </w:p>
        </w:tc>
        <w:tc>
          <w:tcPr>
            <w:tcW w:w="425" w:type="dxa"/>
            <w:tcBorders>
              <w:top w:val="single" w:sz="4" w:space="0" w:color="auto"/>
            </w:tcBorders>
            <w:vAlign w:val="center"/>
          </w:tcPr>
          <w:p w14:paraId="2932F927"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tcBorders>
            <w:vAlign w:val="center"/>
          </w:tcPr>
          <w:p w14:paraId="238D200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tcBorders>
            <w:vAlign w:val="center"/>
          </w:tcPr>
          <w:p w14:paraId="7812F56C"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0A5E2F9E"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5A556BC8"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A14B804"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27E43B8F"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79CDA913"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tcBorders>
            <w:vAlign w:val="center"/>
          </w:tcPr>
          <w:p w14:paraId="61DC2CB8"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p>
        </w:tc>
        <w:tc>
          <w:tcPr>
            <w:tcW w:w="425" w:type="dxa"/>
            <w:tcBorders>
              <w:top w:val="single" w:sz="4" w:space="0" w:color="auto"/>
            </w:tcBorders>
            <w:vAlign w:val="center"/>
          </w:tcPr>
          <w:p w14:paraId="56AC818F"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32F32850"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6" w:type="dxa"/>
            <w:tcBorders>
              <w:top w:val="single" w:sz="4" w:space="0" w:color="auto"/>
            </w:tcBorders>
            <w:vAlign w:val="center"/>
          </w:tcPr>
          <w:p w14:paraId="355E44FA" w14:textId="77777777" w:rsidR="006B4C25" w:rsidRPr="004F318A" w:rsidRDefault="006B4C25" w:rsidP="00020ACC">
            <w:pPr>
              <w:jc w:val="center"/>
              <w:cnfStyle w:val="000000100000" w:firstRow="0" w:lastRow="0" w:firstColumn="0" w:lastColumn="0" w:oddVBand="0" w:evenVBand="0" w:oddHBand="1"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r>
      <w:tr w:rsidR="006B4C25" w:rsidRPr="00786704" w14:paraId="5ED987E2" w14:textId="77777777" w:rsidTr="006D0633">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Pr>
          <w:p w14:paraId="2F2B7D14" w14:textId="64F8C365" w:rsidR="006B4C25" w:rsidRPr="00754E68" w:rsidRDefault="006B4C25" w:rsidP="00020ACC">
            <w:pPr>
              <w:keepNext/>
              <w:suppressAutoHyphens w:val="0"/>
              <w:spacing w:line="240" w:lineRule="auto"/>
              <w:rPr>
                <w:rFonts w:ascii="Times New Roman" w:hAnsi="Times New Roman" w:cs="Times New Roman"/>
                <w:sz w:val="20"/>
                <w:szCs w:val="20"/>
                <w:lang w:eastAsia="en-GB"/>
              </w:rPr>
            </w:pPr>
            <w:r w:rsidRPr="00754E68">
              <w:rPr>
                <w:rFonts w:ascii="Times New Roman" w:hAnsi="Times New Roman" w:cs="Times New Roman"/>
                <w:b w:val="0"/>
                <w:bCs w:val="0"/>
                <w:sz w:val="20"/>
                <w:szCs w:val="20"/>
                <w:lang w:eastAsia="en-GB"/>
              </w:rPr>
              <w:t xml:space="preserve">Occupational </w:t>
            </w:r>
            <w:r w:rsidR="00A469FC">
              <w:rPr>
                <w:rFonts w:ascii="Times New Roman" w:hAnsi="Times New Roman" w:cs="Times New Roman"/>
                <w:b w:val="0"/>
                <w:bCs w:val="0"/>
                <w:sz w:val="20"/>
                <w:szCs w:val="20"/>
                <w:lang w:eastAsia="en-GB"/>
              </w:rPr>
              <w:t xml:space="preserve">safety and </w:t>
            </w:r>
            <w:r w:rsidRPr="00754E68">
              <w:rPr>
                <w:rFonts w:ascii="Times New Roman" w:hAnsi="Times New Roman" w:cs="Times New Roman"/>
                <w:b w:val="0"/>
                <w:bCs w:val="0"/>
                <w:sz w:val="20"/>
                <w:szCs w:val="20"/>
                <w:lang w:eastAsia="en-GB"/>
              </w:rPr>
              <w:t xml:space="preserve">health </w:t>
            </w:r>
          </w:p>
        </w:tc>
        <w:tc>
          <w:tcPr>
            <w:tcW w:w="425" w:type="dxa"/>
            <w:tcBorders>
              <w:top w:val="single" w:sz="4" w:space="0" w:color="auto"/>
            </w:tcBorders>
            <w:vAlign w:val="center"/>
          </w:tcPr>
          <w:p w14:paraId="326A2808"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2D8E847D"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4F7D711F"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A699791"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5FE85F54"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709E088F"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79BB3721"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5" w:type="dxa"/>
            <w:tcBorders>
              <w:top w:val="single" w:sz="4" w:space="0" w:color="auto"/>
            </w:tcBorders>
            <w:vAlign w:val="center"/>
          </w:tcPr>
          <w:p w14:paraId="1E3EDD75"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6CC29DB4"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0128F82F"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icon-large" w:hAnsi="icon-large"/>
                <w:sz w:val="20"/>
                <w:szCs w:val="20"/>
                <w:lang w:eastAsia="en-GB"/>
              </w:rPr>
              <w:sym w:font="Wingdings" w:char="F0FC"/>
            </w:r>
          </w:p>
        </w:tc>
        <w:tc>
          <w:tcPr>
            <w:tcW w:w="425" w:type="dxa"/>
            <w:tcBorders>
              <w:top w:val="single" w:sz="4" w:space="0" w:color="auto"/>
            </w:tcBorders>
            <w:vAlign w:val="center"/>
          </w:tcPr>
          <w:p w14:paraId="1BC5C4DF"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c>
          <w:tcPr>
            <w:tcW w:w="426" w:type="dxa"/>
            <w:tcBorders>
              <w:top w:val="single" w:sz="4" w:space="0" w:color="auto"/>
            </w:tcBorders>
            <w:vAlign w:val="center"/>
          </w:tcPr>
          <w:p w14:paraId="0D1E4F6C" w14:textId="77777777" w:rsidR="006B4C25" w:rsidRPr="004F318A" w:rsidRDefault="006B4C25" w:rsidP="00020ACC">
            <w:pPr>
              <w:jc w:val="center"/>
              <w:cnfStyle w:val="000000000000" w:firstRow="0" w:lastRow="0" w:firstColumn="0" w:lastColumn="0" w:oddVBand="0" w:evenVBand="0" w:oddHBand="0" w:evenHBand="0" w:firstRowFirstColumn="0" w:firstRowLastColumn="0" w:lastRowFirstColumn="0" w:lastRowLastColumn="0"/>
              <w:rPr>
                <w:rFonts w:ascii="icon-large" w:hAnsi="icon-large"/>
                <w:sz w:val="20"/>
                <w:szCs w:val="20"/>
                <w:lang w:eastAsia="en-GB"/>
              </w:rPr>
            </w:pPr>
          </w:p>
        </w:tc>
      </w:tr>
    </w:tbl>
    <w:p w14:paraId="5A3EE0A6" w14:textId="128A52FF" w:rsidR="001C79ED" w:rsidRPr="00786704" w:rsidRDefault="008455F3" w:rsidP="00944938">
      <w:pPr>
        <w:pStyle w:val="SingleTxtG"/>
        <w:spacing w:before="120" w:after="0"/>
      </w:pPr>
      <w:r w:rsidRPr="006820F1">
        <w:rPr>
          <w:rStyle w:val="FootnoteTextChar"/>
          <w:i/>
          <w:iCs/>
        </w:rPr>
        <w:t>Source:</w:t>
      </w:r>
      <w:r>
        <w:rPr>
          <w:rStyle w:val="FootnoteTextChar"/>
        </w:rPr>
        <w:t xml:space="preserve"> </w:t>
      </w:r>
      <w:r w:rsidR="001C79ED" w:rsidRPr="00435127">
        <w:rPr>
          <w:rStyle w:val="FootnoteTextChar"/>
        </w:rPr>
        <w:t xml:space="preserve">Adapted from </w:t>
      </w:r>
      <w:r>
        <w:rPr>
          <w:rStyle w:val="FootnoteTextChar"/>
        </w:rPr>
        <w:t xml:space="preserve">J. </w:t>
      </w:r>
      <w:r w:rsidR="001C79ED" w:rsidRPr="00435127">
        <w:rPr>
          <w:rStyle w:val="FootnoteTextChar"/>
        </w:rPr>
        <w:t>Nowacki</w:t>
      </w:r>
      <w:r>
        <w:rPr>
          <w:rStyle w:val="FootnoteTextChar"/>
        </w:rPr>
        <w:t>, “</w:t>
      </w:r>
      <w:r w:rsidRPr="006820F1">
        <w:rPr>
          <w:rStyle w:val="FootnoteTextChar"/>
          <w:szCs w:val="18"/>
        </w:rPr>
        <w:t>The Integration of Health into Environmental Assessments –with a special focus on Strategic Environmental Assessment”,</w:t>
      </w:r>
      <w:r w:rsidR="001C79ED" w:rsidRPr="006820F1">
        <w:rPr>
          <w:sz w:val="18"/>
          <w:szCs w:val="18"/>
        </w:rPr>
        <w:t xml:space="preserve"> </w:t>
      </w:r>
      <w:r w:rsidRPr="006820F1">
        <w:rPr>
          <w:sz w:val="18"/>
          <w:szCs w:val="18"/>
        </w:rPr>
        <w:t>dissertation at the University Bielefeld, Germany (Copenhagen, WHO Regional Office for Europe, 2018)</w:t>
      </w:r>
      <w:r w:rsidR="000468E7">
        <w:rPr>
          <w:sz w:val="18"/>
          <w:szCs w:val="18"/>
        </w:rPr>
        <w:t>.</w:t>
      </w:r>
      <w:r w:rsidRPr="006820F1">
        <w:rPr>
          <w:sz w:val="18"/>
          <w:szCs w:val="18"/>
        </w:rPr>
        <w:t xml:space="preserve"> Available at </w:t>
      </w:r>
      <w:r w:rsidR="000468E7" w:rsidRPr="00704DE0">
        <w:rPr>
          <w:sz w:val="18"/>
          <w:szCs w:val="18"/>
        </w:rPr>
        <w:t>www.euro.who.int/en/health-topics/environment-and-health/health-impact-assessment/publications/2018/the-integration-of-health-into-environmental-assessments-with-a-special-focus-on-strategic-environmental-assessment-2018</w:t>
      </w:r>
      <w:r w:rsidRPr="006820F1">
        <w:rPr>
          <w:sz w:val="18"/>
          <w:szCs w:val="18"/>
        </w:rPr>
        <w:t>.</w:t>
      </w:r>
      <w:r w:rsidR="001C79ED">
        <w:t xml:space="preserve"> </w:t>
      </w:r>
    </w:p>
    <w:p w14:paraId="393D25E8" w14:textId="700AD73F" w:rsidR="002633DE" w:rsidRPr="005711F4" w:rsidRDefault="002633DE" w:rsidP="002633DE">
      <w:pPr>
        <w:pStyle w:val="SingleTxtG"/>
        <w:spacing w:before="240"/>
      </w:pPr>
      <w:r>
        <w:t>6</w:t>
      </w:r>
      <w:r w:rsidR="00413FFD">
        <w:t>1</w:t>
      </w:r>
      <w:r>
        <w:t>.</w:t>
      </w:r>
      <w:r>
        <w:tab/>
      </w:r>
      <w:r w:rsidRPr="005711F4">
        <w:t xml:space="preserve">The process/rationale for identifying the key determinants of health relevant to </w:t>
      </w:r>
      <w:r w:rsidR="000B5F9C">
        <w:t>a</w:t>
      </w:r>
      <w:r w:rsidR="000B5F9C" w:rsidRPr="005711F4">
        <w:t xml:space="preserve"> </w:t>
      </w:r>
      <w:r w:rsidRPr="005711F4">
        <w:t>plan</w:t>
      </w:r>
      <w:r w:rsidR="00651B64">
        <w:t>/</w:t>
      </w:r>
      <w:r w:rsidRPr="005711F4">
        <w:t xml:space="preserve">programme’s intended (and potential unintended) consequences can be informed by considering a source-pathway-receptor linkage model. As an example, a </w:t>
      </w:r>
      <w:r w:rsidRPr="006820F1">
        <w:t>Driving Force, Pressure, State, Exposure, Effect, Action</w:t>
      </w:r>
      <w:r w:rsidRPr="007049C6">
        <w:t xml:space="preserve"> </w:t>
      </w:r>
      <w:r w:rsidRPr="005711F4">
        <w:t>framework is introduced</w:t>
      </w:r>
      <w:r w:rsidR="00A1308D">
        <w:t xml:space="preserve"> below</w:t>
      </w:r>
      <w:r w:rsidRPr="005711F4">
        <w:t xml:space="preserve">. </w:t>
      </w:r>
    </w:p>
    <w:p w14:paraId="79E41ACE" w14:textId="6AF076F5" w:rsidR="002633DE" w:rsidRPr="00252D54" w:rsidRDefault="002633DE" w:rsidP="002633DE">
      <w:pPr>
        <w:pStyle w:val="H4G"/>
      </w:pPr>
      <w:r>
        <w:lastRenderedPageBreak/>
        <w:tab/>
      </w:r>
      <w:r>
        <w:tab/>
      </w:r>
      <w:r w:rsidRPr="00252D54">
        <w:t xml:space="preserve">Driving Force, Pressure, State, Exposure, Effect, Action </w:t>
      </w:r>
      <w:r w:rsidR="007049C6">
        <w:t>f</w:t>
      </w:r>
      <w:r w:rsidRPr="00252D54">
        <w:t>ramework</w:t>
      </w:r>
    </w:p>
    <w:p w14:paraId="3EE555C2" w14:textId="6541D535" w:rsidR="002633DE" w:rsidRPr="005711F4" w:rsidRDefault="002633DE" w:rsidP="002633DE">
      <w:pPr>
        <w:pStyle w:val="SingleTxtG"/>
      </w:pPr>
      <w:r>
        <w:t>6</w:t>
      </w:r>
      <w:r w:rsidR="00413FFD">
        <w:t>2</w:t>
      </w:r>
      <w:r>
        <w:t>.</w:t>
      </w:r>
      <w:r>
        <w:tab/>
      </w:r>
      <w:r w:rsidRPr="005711F4">
        <w:t>The Driving Force, Pressure, State, Exposure, Effect, Action  framework</w:t>
      </w:r>
      <w:r>
        <w:rPr>
          <w:rStyle w:val="FootnoteReference"/>
        </w:rPr>
        <w:footnoteReference w:id="34"/>
      </w:r>
      <w:r w:rsidRPr="005711F4">
        <w:t xml:space="preserve"> traces </w:t>
      </w:r>
      <w:r w:rsidR="007049C6">
        <w:t>the</w:t>
      </w:r>
      <w:r w:rsidRPr="005711F4">
        <w:t xml:space="preserve"> relationship between health effects and other factors in society. It shows how environmental policy translates into health effects at </w:t>
      </w:r>
      <w:r w:rsidR="007049C6">
        <w:t xml:space="preserve">the </w:t>
      </w:r>
      <w:r w:rsidRPr="005711F4">
        <w:t>individual and population level</w:t>
      </w:r>
      <w:r w:rsidR="007049C6">
        <w:t>s</w:t>
      </w:r>
      <w:r w:rsidRPr="005711F4">
        <w:t xml:space="preserve">. </w:t>
      </w:r>
    </w:p>
    <w:p w14:paraId="7F17D64E" w14:textId="0553015B" w:rsidR="002633DE" w:rsidRPr="005711F4" w:rsidRDefault="002633DE" w:rsidP="002633DE">
      <w:pPr>
        <w:pStyle w:val="SingleTxtG"/>
      </w:pPr>
      <w:r>
        <w:t>6</w:t>
      </w:r>
      <w:r w:rsidR="00413FFD">
        <w:t>3</w:t>
      </w:r>
      <w:r>
        <w:t>.</w:t>
      </w:r>
      <w:r>
        <w:tab/>
        <w:t xml:space="preserve">Figure </w:t>
      </w:r>
      <w:r w:rsidR="005A2AA1">
        <w:t>II</w:t>
      </w:r>
      <w:r w:rsidRPr="005711F4">
        <w:t xml:space="preserve"> </w:t>
      </w:r>
      <w:r>
        <w:t xml:space="preserve">below </w:t>
      </w:r>
      <w:r w:rsidRPr="005711F4">
        <w:t xml:space="preserve">shows that the framework explicitly requires consideration of multiple risk factors. It </w:t>
      </w:r>
      <w:r w:rsidR="00001FE6">
        <w:t>focuses</w:t>
      </w:r>
      <w:r w:rsidRPr="005711F4">
        <w:t xml:space="preserve"> on the fact that a health effect is linked to exposure and on actions that can be taken at each step to protect or to promote health. Other pathway models are useful and can be developed to show the linkages between policies affecting determinants of health and changes in health outcomes. </w:t>
      </w:r>
    </w:p>
    <w:p w14:paraId="50855E94" w14:textId="490AAA46" w:rsidR="004E4E3A" w:rsidRPr="004E4E3A" w:rsidRDefault="005A2AA1" w:rsidP="00790CED">
      <w:pPr>
        <w:pStyle w:val="SingleTxtG"/>
        <w:jc w:val="left"/>
        <w:rPr>
          <w:b/>
          <w:bCs/>
        </w:rPr>
      </w:pPr>
      <w:bookmarkStart w:id="23" w:name="_Toc16761669"/>
      <w:bookmarkStart w:id="24" w:name="_Toc17216021"/>
      <w:r>
        <w:t>Figure</w:t>
      </w:r>
      <w:r w:rsidR="00790CED">
        <w:t xml:space="preserve"> </w:t>
      </w:r>
      <w:r>
        <w:t>II</w:t>
      </w:r>
      <w:r w:rsidR="00790CED">
        <w:br/>
      </w:r>
      <w:r w:rsidR="004E4E3A" w:rsidRPr="000A0E59">
        <w:tab/>
      </w:r>
      <w:r w:rsidR="004E4E3A" w:rsidRPr="004E4E3A">
        <w:rPr>
          <w:b/>
          <w:bCs/>
        </w:rPr>
        <w:t>The Driving Force, Pressure, State, Exposure, Effect, Action framework</w:t>
      </w:r>
      <w:bookmarkEnd w:id="23"/>
      <w:bookmarkEnd w:id="24"/>
    </w:p>
    <w:p w14:paraId="278A3181" w14:textId="77777777" w:rsidR="00EE3DCB" w:rsidRPr="004E4E3A" w:rsidRDefault="004E4E3A" w:rsidP="004E4E3A">
      <w:pPr>
        <w:jc w:val="center"/>
        <w:rPr>
          <w:b/>
          <w:bCs/>
        </w:rPr>
      </w:pPr>
      <w:r w:rsidRPr="004E4E3A">
        <w:rPr>
          <w:b/>
          <w:bCs/>
          <w:noProof/>
          <w:sz w:val="18"/>
          <w:lang w:val="en-US" w:eastAsia="zh-CN"/>
        </w:rPr>
        <w:drawing>
          <wp:inline distT="0" distB="0" distL="0" distR="0" wp14:anchorId="129B02CF" wp14:editId="5FC77931">
            <wp:extent cx="4358640" cy="4724352"/>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4442" cy="4763158"/>
                    </a:xfrm>
                    <a:prstGeom prst="rect">
                      <a:avLst/>
                    </a:prstGeom>
                    <a:noFill/>
                  </pic:spPr>
                </pic:pic>
              </a:graphicData>
            </a:graphic>
          </wp:inline>
        </w:drawing>
      </w:r>
    </w:p>
    <w:p w14:paraId="7B99DE41" w14:textId="5D41A449" w:rsidR="004E4E3A" w:rsidRPr="00007C03" w:rsidRDefault="004E4E3A" w:rsidP="00A44029">
      <w:pPr>
        <w:pStyle w:val="FootnoteText"/>
        <w:tabs>
          <w:tab w:val="clear" w:pos="1021"/>
          <w:tab w:val="right" w:pos="1276"/>
        </w:tabs>
        <w:spacing w:before="120"/>
        <w:ind w:firstLine="0"/>
        <w:jc w:val="center"/>
      </w:pPr>
      <w:r w:rsidRPr="00C72440">
        <w:rPr>
          <w:i/>
          <w:iCs/>
        </w:rPr>
        <w:t>Source:</w:t>
      </w:r>
      <w:r w:rsidRPr="00007C03">
        <w:t xml:space="preserve"> </w:t>
      </w:r>
      <w:r w:rsidR="0067033E">
        <w:t xml:space="preserve">based on </w:t>
      </w:r>
      <w:r w:rsidRPr="00007C03">
        <w:t>I</w:t>
      </w:r>
      <w:r w:rsidR="0067033E">
        <w:t xml:space="preserve">ntegrated </w:t>
      </w:r>
      <w:r w:rsidRPr="00007C03">
        <w:t>E</w:t>
      </w:r>
      <w:r w:rsidR="0067033E">
        <w:t xml:space="preserve">nvironmental </w:t>
      </w:r>
      <w:r w:rsidRPr="00007C03">
        <w:t>H</w:t>
      </w:r>
      <w:r w:rsidR="0067033E">
        <w:t xml:space="preserve">ealth </w:t>
      </w:r>
      <w:r w:rsidRPr="00007C03">
        <w:t>I</w:t>
      </w:r>
      <w:r w:rsidR="0067033E">
        <w:t xml:space="preserve">mpact </w:t>
      </w:r>
      <w:r w:rsidRPr="00007C03">
        <w:t>A</w:t>
      </w:r>
      <w:r w:rsidR="0067033E">
        <w:t xml:space="preserve">ssessment </w:t>
      </w:r>
      <w:r w:rsidRPr="00007C03">
        <w:t>S</w:t>
      </w:r>
      <w:r w:rsidR="0067033E">
        <w:t xml:space="preserve">ystem, “The DPSEEA framework”, available at </w:t>
      </w:r>
      <w:r w:rsidR="0067033E" w:rsidRPr="00704DE0">
        <w:t>www.integrated-</w:t>
      </w:r>
      <w:r w:rsidR="0067033E" w:rsidRPr="0067033E">
        <w:t>assessment.eu/eu/guidebook/dpseea_framework.html</w:t>
      </w:r>
      <w:r w:rsidR="0067033E">
        <w:t xml:space="preserve">. </w:t>
      </w:r>
      <w:r w:rsidRPr="00007C03">
        <w:t xml:space="preserve"> </w:t>
      </w:r>
    </w:p>
    <w:p w14:paraId="58F04CE3" w14:textId="274E684B" w:rsidR="00D90A65" w:rsidRDefault="00D90A65" w:rsidP="00A44029">
      <w:pPr>
        <w:pStyle w:val="SingleTxtG"/>
        <w:spacing w:before="120"/>
      </w:pPr>
      <w:r>
        <w:t>6</w:t>
      </w:r>
      <w:r w:rsidR="00413FFD">
        <w:t>4</w:t>
      </w:r>
      <w:r>
        <w:t>.</w:t>
      </w:r>
      <w:r>
        <w:tab/>
      </w:r>
      <w:r w:rsidRPr="006C6F65">
        <w:t xml:space="preserve">Table </w:t>
      </w:r>
      <w:r>
        <w:t>3</w:t>
      </w:r>
      <w:r w:rsidRPr="005711F4">
        <w:t xml:space="preserve"> </w:t>
      </w:r>
      <w:r>
        <w:t xml:space="preserve">below </w:t>
      </w:r>
      <w:r w:rsidRPr="005711F4">
        <w:t xml:space="preserve">sets out ways in which the framework can be used in scoping. </w:t>
      </w:r>
      <w:r>
        <w:t xml:space="preserve">By describing </w:t>
      </w:r>
      <w:r w:rsidRPr="00A44029">
        <w:t>content</w:t>
      </w:r>
      <w:r>
        <w:t xml:space="preserve"> relevant to the plan/programme for each stage of the framework</w:t>
      </w:r>
      <w:r w:rsidRPr="005711F4">
        <w:t xml:space="preserve">, a useful visual </w:t>
      </w:r>
      <w:r>
        <w:t>re</w:t>
      </w:r>
      <w:r w:rsidRPr="005711F4">
        <w:t xml:space="preserve">presentation of the possible impacts of a </w:t>
      </w:r>
      <w:r>
        <w:t>plan/programme</w:t>
      </w:r>
      <w:r w:rsidRPr="005711F4">
        <w:t xml:space="preserve"> can be generated.</w:t>
      </w:r>
    </w:p>
    <w:p w14:paraId="39FD0006" w14:textId="77777777" w:rsidR="001025CC" w:rsidRPr="005711F4" w:rsidRDefault="001025CC" w:rsidP="00D90A65">
      <w:pPr>
        <w:pStyle w:val="SingleTxtG"/>
      </w:pPr>
    </w:p>
    <w:p w14:paraId="15C28240" w14:textId="37596C4F" w:rsidR="002F7311" w:rsidRPr="000B604C" w:rsidRDefault="002F7311" w:rsidP="00790CED">
      <w:pPr>
        <w:pStyle w:val="SingleTxtG"/>
        <w:jc w:val="left"/>
        <w:rPr>
          <w:b/>
          <w:bCs/>
        </w:rPr>
      </w:pPr>
      <w:bookmarkStart w:id="25" w:name="_Ref16744996"/>
      <w:bookmarkStart w:id="26" w:name="_Toc17216029"/>
      <w:bookmarkStart w:id="27" w:name="_Toc16761674"/>
      <w:r w:rsidRPr="006C6F65">
        <w:lastRenderedPageBreak/>
        <w:t>Table</w:t>
      </w:r>
      <w:r w:rsidR="00790CED">
        <w:t xml:space="preserve"> </w:t>
      </w:r>
      <w:r>
        <w:rPr>
          <w:noProof/>
        </w:rPr>
        <w:t>3</w:t>
      </w:r>
      <w:bookmarkEnd w:id="25"/>
      <w:r w:rsidR="000B604C">
        <w:br/>
      </w:r>
      <w:r w:rsidRPr="006C6F65">
        <w:tab/>
      </w:r>
      <w:r w:rsidRPr="000B604C">
        <w:rPr>
          <w:b/>
          <w:bCs/>
        </w:rPr>
        <w:t xml:space="preserve">Using </w:t>
      </w:r>
      <w:r w:rsidR="00434E3A">
        <w:rPr>
          <w:b/>
          <w:bCs/>
        </w:rPr>
        <w:t xml:space="preserve">the </w:t>
      </w:r>
      <w:r w:rsidRPr="000B604C">
        <w:rPr>
          <w:b/>
          <w:bCs/>
        </w:rPr>
        <w:t>Driving Force, Pressure, State, Exposure, Effect, Action</w:t>
      </w:r>
      <w:bookmarkEnd w:id="26"/>
      <w:r w:rsidRPr="000B604C">
        <w:rPr>
          <w:b/>
          <w:bCs/>
        </w:rPr>
        <w:t xml:space="preserve"> </w:t>
      </w:r>
      <w:bookmarkEnd w:id="27"/>
      <w:r w:rsidR="00434E3A">
        <w:rPr>
          <w:b/>
          <w:bCs/>
        </w:rPr>
        <w:t>framework</w:t>
      </w:r>
    </w:p>
    <w:tbl>
      <w:tblPr>
        <w:tblStyle w:val="GridTable4-Accent13"/>
        <w:tblW w:w="0" w:type="auto"/>
        <w:tblInd w:w="1129" w:type="dxa"/>
        <w:tblLook w:val="04A0" w:firstRow="1" w:lastRow="0" w:firstColumn="1" w:lastColumn="0" w:noHBand="0" w:noVBand="1"/>
      </w:tblPr>
      <w:tblGrid>
        <w:gridCol w:w="1117"/>
        <w:gridCol w:w="3969"/>
        <w:gridCol w:w="2409"/>
      </w:tblGrid>
      <w:tr w:rsidR="002D0B74" w:rsidRPr="002D0B74" w14:paraId="22A8B7A5" w14:textId="77777777" w:rsidTr="007345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7" w:type="dxa"/>
            <w:vAlign w:val="center"/>
            <w:hideMark/>
          </w:tcPr>
          <w:p w14:paraId="620B864C" w14:textId="77777777" w:rsidR="002D0B74" w:rsidRPr="002D0B74" w:rsidRDefault="002D0B74" w:rsidP="00BF4053">
            <w:pPr>
              <w:spacing w:line="220" w:lineRule="exact"/>
              <w:ind w:firstLine="37"/>
              <w:rPr>
                <w:sz w:val="18"/>
                <w:szCs w:val="18"/>
              </w:rPr>
            </w:pPr>
            <w:r w:rsidRPr="002D0B74">
              <w:rPr>
                <w:sz w:val="18"/>
                <w:szCs w:val="18"/>
              </w:rPr>
              <w:t>Stage</w:t>
            </w:r>
          </w:p>
        </w:tc>
        <w:tc>
          <w:tcPr>
            <w:tcW w:w="3969" w:type="dxa"/>
            <w:vAlign w:val="center"/>
            <w:hideMark/>
          </w:tcPr>
          <w:p w14:paraId="6F2C0286" w14:textId="77777777" w:rsidR="002D0B74" w:rsidRPr="002D0B74" w:rsidRDefault="002D0B74" w:rsidP="00BF4053">
            <w:pPr>
              <w:spacing w:line="220" w:lineRule="exact"/>
              <w:cnfStyle w:val="100000000000" w:firstRow="1" w:lastRow="0" w:firstColumn="0" w:lastColumn="0" w:oddVBand="0" w:evenVBand="0" w:oddHBand="0" w:evenHBand="0" w:firstRowFirstColumn="0" w:firstRowLastColumn="0" w:lastRowFirstColumn="0" w:lastRowLastColumn="0"/>
              <w:rPr>
                <w:sz w:val="18"/>
                <w:szCs w:val="18"/>
              </w:rPr>
            </w:pPr>
            <w:r w:rsidRPr="002D0B74">
              <w:rPr>
                <w:sz w:val="18"/>
                <w:szCs w:val="18"/>
              </w:rPr>
              <w:t>Description</w:t>
            </w:r>
          </w:p>
        </w:tc>
        <w:tc>
          <w:tcPr>
            <w:tcW w:w="2409" w:type="dxa"/>
            <w:vAlign w:val="center"/>
            <w:hideMark/>
          </w:tcPr>
          <w:p w14:paraId="0669C49F" w14:textId="77777777" w:rsidR="002D0B74" w:rsidRPr="002D0B74" w:rsidRDefault="002D0B74" w:rsidP="00BF4053">
            <w:pPr>
              <w:spacing w:line="220" w:lineRule="exact"/>
              <w:cnfStyle w:val="100000000000" w:firstRow="1" w:lastRow="0" w:firstColumn="0" w:lastColumn="0" w:oddVBand="0" w:evenVBand="0" w:oddHBand="0" w:evenHBand="0" w:firstRowFirstColumn="0" w:firstRowLastColumn="0" w:lastRowFirstColumn="0" w:lastRowLastColumn="0"/>
              <w:rPr>
                <w:sz w:val="18"/>
                <w:szCs w:val="18"/>
              </w:rPr>
            </w:pPr>
            <w:r w:rsidRPr="002D0B74">
              <w:rPr>
                <w:sz w:val="18"/>
                <w:szCs w:val="18"/>
              </w:rPr>
              <w:t>Link to the formulation of a plan or programme and a strategic environmental assessment</w:t>
            </w:r>
          </w:p>
        </w:tc>
      </w:tr>
      <w:tr w:rsidR="002D0B74" w:rsidRPr="002D0B74" w14:paraId="141EF01B" w14:textId="77777777" w:rsidTr="0073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Align w:val="center"/>
            <w:hideMark/>
          </w:tcPr>
          <w:p w14:paraId="3D99EB0A" w14:textId="77777777" w:rsidR="002D0B74" w:rsidRPr="002D0B74" w:rsidRDefault="002D0B74" w:rsidP="00A44029">
            <w:pPr>
              <w:spacing w:line="220" w:lineRule="exact"/>
              <w:ind w:left="37"/>
              <w:rPr>
                <w:sz w:val="18"/>
                <w:szCs w:val="18"/>
              </w:rPr>
            </w:pPr>
            <w:r w:rsidRPr="002D0B74">
              <w:rPr>
                <w:sz w:val="18"/>
                <w:szCs w:val="18"/>
              </w:rPr>
              <w:t>Driving force</w:t>
            </w:r>
          </w:p>
        </w:tc>
        <w:tc>
          <w:tcPr>
            <w:tcW w:w="3969" w:type="dxa"/>
            <w:vAlign w:val="center"/>
            <w:hideMark/>
          </w:tcPr>
          <w:p w14:paraId="54DABE04" w14:textId="77777777" w:rsidR="002D0B74" w:rsidRPr="002D0B74" w:rsidRDefault="002D0B74" w:rsidP="00BF4053">
            <w:pPr>
              <w:spacing w:line="220" w:lineRule="exact"/>
              <w:jc w:val="both"/>
              <w:cnfStyle w:val="000000100000" w:firstRow="0" w:lastRow="0" w:firstColumn="0" w:lastColumn="0" w:oddVBand="0" w:evenVBand="0" w:oddHBand="1" w:evenHBand="0" w:firstRowFirstColumn="0" w:firstRowLastColumn="0" w:lastRowFirstColumn="0" w:lastRowLastColumn="0"/>
              <w:rPr>
                <w:sz w:val="18"/>
                <w:szCs w:val="18"/>
              </w:rPr>
            </w:pPr>
            <w:r w:rsidRPr="002D0B74">
              <w:rPr>
                <w:sz w:val="18"/>
                <w:szCs w:val="18"/>
              </w:rPr>
              <w:t xml:space="preserve">A number of factors on the macro scale ultimately affect human health. For example: </w:t>
            </w:r>
          </w:p>
          <w:p w14:paraId="66B8820F" w14:textId="324921C4" w:rsidR="002D0B74" w:rsidRPr="002D0B74" w:rsidRDefault="00787595" w:rsidP="00BF4053">
            <w:pPr>
              <w:numPr>
                <w:ilvl w:val="0"/>
                <w:numId w:val="26"/>
              </w:numPr>
              <w:suppressAutoHyphens w:val="0"/>
              <w:spacing w:line="220" w:lineRule="exact"/>
              <w:ind w:left="0" w:firstLine="0"/>
              <w:contextualSpacing/>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002D0B74" w:rsidRPr="002D0B74">
              <w:rPr>
                <w:sz w:val="18"/>
                <w:szCs w:val="18"/>
              </w:rPr>
              <w:t xml:space="preserve">he global, national and regional economy will </w:t>
            </w:r>
            <w:r>
              <w:rPr>
                <w:sz w:val="18"/>
                <w:szCs w:val="18"/>
              </w:rPr>
              <w:t xml:space="preserve">have an </w:t>
            </w:r>
            <w:r w:rsidR="002D0B74" w:rsidRPr="002D0B74">
              <w:rPr>
                <w:sz w:val="18"/>
                <w:szCs w:val="18"/>
              </w:rPr>
              <w:t>indirect impact on human health by affecting income levels and the distribution of income</w:t>
            </w:r>
            <w:r>
              <w:rPr>
                <w:sz w:val="18"/>
                <w:szCs w:val="18"/>
              </w:rPr>
              <w:t>.</w:t>
            </w:r>
            <w:r w:rsidR="002D0B74" w:rsidRPr="002D0B74">
              <w:rPr>
                <w:sz w:val="18"/>
                <w:szCs w:val="18"/>
              </w:rPr>
              <w:t xml:space="preserve">  </w:t>
            </w:r>
          </w:p>
          <w:p w14:paraId="4F6254C9" w14:textId="51F16037" w:rsidR="002D0B74" w:rsidRPr="002D0B74" w:rsidRDefault="00787595" w:rsidP="00BF4053">
            <w:pPr>
              <w:numPr>
                <w:ilvl w:val="0"/>
                <w:numId w:val="26"/>
              </w:numPr>
              <w:suppressAutoHyphens w:val="0"/>
              <w:spacing w:line="220" w:lineRule="exact"/>
              <w:ind w:left="0" w:firstLine="0"/>
              <w:contextualSpacing/>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r w:rsidR="002D0B74" w:rsidRPr="002D0B74">
              <w:rPr>
                <w:sz w:val="18"/>
                <w:szCs w:val="18"/>
              </w:rPr>
              <w:t xml:space="preserve"> changing climate will mean increased risk of severe weather events with short-, medium- and long-term effects on physical and mental health</w:t>
            </w:r>
            <w:r>
              <w:rPr>
                <w:sz w:val="18"/>
                <w:szCs w:val="18"/>
              </w:rPr>
              <w:t>.</w:t>
            </w:r>
            <w:r w:rsidR="002D0B74" w:rsidRPr="002D0B74">
              <w:rPr>
                <w:sz w:val="18"/>
                <w:szCs w:val="18"/>
              </w:rPr>
              <w:t xml:space="preserve"> </w:t>
            </w:r>
          </w:p>
          <w:p w14:paraId="0A5B8CF9" w14:textId="3405047C" w:rsidR="002D0B74" w:rsidRPr="002D0B74" w:rsidRDefault="00787595" w:rsidP="00BF4053">
            <w:pPr>
              <w:numPr>
                <w:ilvl w:val="0"/>
                <w:numId w:val="26"/>
              </w:numPr>
              <w:suppressAutoHyphens w:val="0"/>
              <w:spacing w:line="220" w:lineRule="exact"/>
              <w:ind w:left="0" w:firstLine="0"/>
              <w:contextualSpacing/>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002D0B74" w:rsidRPr="002D0B74">
              <w:rPr>
                <w:sz w:val="18"/>
                <w:szCs w:val="18"/>
              </w:rPr>
              <w:t xml:space="preserve">emographic change will directly and indirectly affect health and well-being through changes to the age and the employment structure of the workforce, meaning that people will have to work until they are older and a smaller workforce will support a larger non-working population. </w:t>
            </w:r>
          </w:p>
        </w:tc>
        <w:tc>
          <w:tcPr>
            <w:tcW w:w="2409" w:type="dxa"/>
            <w:vAlign w:val="center"/>
            <w:hideMark/>
          </w:tcPr>
          <w:p w14:paraId="753BD9C9" w14:textId="77777777" w:rsidR="002D0B74" w:rsidRPr="002D0B74" w:rsidRDefault="002D0B74" w:rsidP="00BF4053">
            <w:pPr>
              <w:spacing w:line="220" w:lineRule="exact"/>
              <w:cnfStyle w:val="000000100000" w:firstRow="0" w:lastRow="0" w:firstColumn="0" w:lastColumn="0" w:oddVBand="0" w:evenVBand="0" w:oddHBand="1" w:evenHBand="0" w:firstRowFirstColumn="0" w:firstRowLastColumn="0" w:lastRowFirstColumn="0" w:lastRowLastColumn="0"/>
              <w:rPr>
                <w:sz w:val="18"/>
                <w:szCs w:val="18"/>
              </w:rPr>
            </w:pPr>
            <w:r w:rsidRPr="002D0B74">
              <w:rPr>
                <w:sz w:val="18"/>
                <w:szCs w:val="18"/>
              </w:rPr>
              <w:t xml:space="preserve">These are the global, national and regional </w:t>
            </w:r>
            <w:r w:rsidRPr="002D0B74">
              <w:rPr>
                <w:b/>
                <w:sz w:val="18"/>
                <w:szCs w:val="18"/>
              </w:rPr>
              <w:t>forces</w:t>
            </w:r>
            <w:r w:rsidRPr="002D0B74">
              <w:rPr>
                <w:sz w:val="18"/>
                <w:szCs w:val="18"/>
              </w:rPr>
              <w:t xml:space="preserve"> that shape (or </w:t>
            </w:r>
            <w:r w:rsidRPr="002D0B74">
              <w:rPr>
                <w:b/>
                <w:sz w:val="18"/>
                <w:szCs w:val="18"/>
              </w:rPr>
              <w:t>drive</w:t>
            </w:r>
            <w:r w:rsidRPr="002D0B74">
              <w:rPr>
                <w:sz w:val="18"/>
                <w:szCs w:val="18"/>
              </w:rPr>
              <w:t xml:space="preserve">) the plan or programme. </w:t>
            </w:r>
          </w:p>
        </w:tc>
      </w:tr>
      <w:tr w:rsidR="002D0B74" w:rsidRPr="002D0B74" w14:paraId="10EE71F2" w14:textId="77777777" w:rsidTr="007345CB">
        <w:tc>
          <w:tcPr>
            <w:cnfStyle w:val="001000000000" w:firstRow="0" w:lastRow="0" w:firstColumn="1" w:lastColumn="0" w:oddVBand="0" w:evenVBand="0" w:oddHBand="0" w:evenHBand="0" w:firstRowFirstColumn="0" w:firstRowLastColumn="0" w:lastRowFirstColumn="0" w:lastRowLastColumn="0"/>
            <w:tcW w:w="1117" w:type="dxa"/>
            <w:vAlign w:val="center"/>
            <w:hideMark/>
          </w:tcPr>
          <w:p w14:paraId="01EDE77F" w14:textId="77777777" w:rsidR="002D0B74" w:rsidRPr="002D0B74" w:rsidRDefault="002D0B74" w:rsidP="00A44029">
            <w:pPr>
              <w:spacing w:line="220" w:lineRule="exact"/>
              <w:ind w:left="37"/>
              <w:rPr>
                <w:sz w:val="18"/>
                <w:szCs w:val="18"/>
              </w:rPr>
            </w:pPr>
            <w:r w:rsidRPr="002D0B74">
              <w:rPr>
                <w:sz w:val="18"/>
                <w:szCs w:val="18"/>
              </w:rPr>
              <w:t>Pressure</w:t>
            </w:r>
          </w:p>
        </w:tc>
        <w:tc>
          <w:tcPr>
            <w:tcW w:w="3969" w:type="dxa"/>
            <w:vAlign w:val="center"/>
            <w:hideMark/>
          </w:tcPr>
          <w:p w14:paraId="1ED6A2A5" w14:textId="035914F9" w:rsidR="002D0B74" w:rsidRPr="002D0B74" w:rsidRDefault="002D0B74" w:rsidP="00AB588F">
            <w:pPr>
              <w:spacing w:line="220" w:lineRule="exact"/>
              <w:jc w:val="both"/>
              <w:cnfStyle w:val="000000000000" w:firstRow="0" w:lastRow="0" w:firstColumn="0" w:lastColumn="0" w:oddVBand="0" w:evenVBand="0" w:oddHBand="0" w:evenHBand="0" w:firstRowFirstColumn="0" w:firstRowLastColumn="0" w:lastRowFirstColumn="0" w:lastRowLastColumn="0"/>
              <w:rPr>
                <w:sz w:val="18"/>
                <w:szCs w:val="18"/>
              </w:rPr>
            </w:pPr>
            <w:r w:rsidRPr="002D0B74">
              <w:rPr>
                <w:sz w:val="18"/>
                <w:szCs w:val="18"/>
              </w:rPr>
              <w:t>The various driving forces considered above will result in pressures on the social, economic and physical environment. Pressures are generated on all sectors of economic activity, such as transport, energy, housing, agriculture, industry</w:t>
            </w:r>
            <w:r w:rsidR="00B619D8">
              <w:rPr>
                <w:sz w:val="18"/>
                <w:szCs w:val="18"/>
              </w:rPr>
              <w:t xml:space="preserve"> and</w:t>
            </w:r>
            <w:r w:rsidRPr="002D0B74">
              <w:rPr>
                <w:sz w:val="18"/>
                <w:szCs w:val="18"/>
              </w:rPr>
              <w:t xml:space="preserve"> tourism. The pressures are manifest in changes to, for example, living conditions, quality of infrastructure, </w:t>
            </w:r>
            <w:r w:rsidR="00787595">
              <w:rPr>
                <w:sz w:val="18"/>
                <w:szCs w:val="18"/>
              </w:rPr>
              <w:t xml:space="preserve">and </w:t>
            </w:r>
            <w:r w:rsidRPr="002D0B74">
              <w:rPr>
                <w:sz w:val="18"/>
                <w:szCs w:val="18"/>
              </w:rPr>
              <w:t xml:space="preserve">income poverty. </w:t>
            </w:r>
          </w:p>
        </w:tc>
        <w:tc>
          <w:tcPr>
            <w:tcW w:w="2409" w:type="dxa"/>
            <w:vAlign w:val="center"/>
            <w:hideMark/>
          </w:tcPr>
          <w:p w14:paraId="2B2A4D91" w14:textId="77777777" w:rsidR="002D0B74" w:rsidRPr="002D0B74" w:rsidRDefault="002D0B74" w:rsidP="00AB588F">
            <w:pPr>
              <w:spacing w:line="220" w:lineRule="exact"/>
              <w:cnfStyle w:val="000000000000" w:firstRow="0" w:lastRow="0" w:firstColumn="0" w:lastColumn="0" w:oddVBand="0" w:evenVBand="0" w:oddHBand="0" w:evenHBand="0" w:firstRowFirstColumn="0" w:firstRowLastColumn="0" w:lastRowFirstColumn="0" w:lastRowLastColumn="0"/>
              <w:rPr>
                <w:sz w:val="18"/>
                <w:szCs w:val="18"/>
              </w:rPr>
            </w:pPr>
            <w:r w:rsidRPr="002D0B74">
              <w:rPr>
                <w:sz w:val="18"/>
                <w:szCs w:val="18"/>
              </w:rPr>
              <w:t xml:space="preserve">The </w:t>
            </w:r>
            <w:r w:rsidRPr="002D0B74">
              <w:rPr>
                <w:b/>
                <w:sz w:val="18"/>
                <w:szCs w:val="18"/>
              </w:rPr>
              <w:t>pressures</w:t>
            </w:r>
            <w:r w:rsidRPr="002D0B74">
              <w:rPr>
                <w:sz w:val="18"/>
                <w:szCs w:val="18"/>
              </w:rPr>
              <w:t xml:space="preserve"> refer to the sectors covered in the plan or programme. </w:t>
            </w:r>
          </w:p>
        </w:tc>
      </w:tr>
      <w:tr w:rsidR="002D0B74" w:rsidRPr="002D0B74" w14:paraId="39505BAC" w14:textId="77777777" w:rsidTr="0073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Align w:val="center"/>
            <w:hideMark/>
          </w:tcPr>
          <w:p w14:paraId="26960238" w14:textId="77777777" w:rsidR="002D0B74" w:rsidRPr="002D0B74" w:rsidRDefault="002D0B74" w:rsidP="00A44029">
            <w:pPr>
              <w:spacing w:line="220" w:lineRule="exact"/>
              <w:ind w:left="37"/>
              <w:rPr>
                <w:sz w:val="18"/>
                <w:szCs w:val="18"/>
              </w:rPr>
            </w:pPr>
            <w:r w:rsidRPr="002D0B74">
              <w:rPr>
                <w:sz w:val="18"/>
                <w:szCs w:val="18"/>
              </w:rPr>
              <w:t>State</w:t>
            </w:r>
          </w:p>
        </w:tc>
        <w:tc>
          <w:tcPr>
            <w:tcW w:w="3969" w:type="dxa"/>
            <w:vAlign w:val="center"/>
            <w:hideMark/>
          </w:tcPr>
          <w:p w14:paraId="63DFE5C0" w14:textId="3A31C59C" w:rsidR="002D0B74" w:rsidRPr="002D0B74" w:rsidRDefault="002D0B74" w:rsidP="00AB588F">
            <w:pPr>
              <w:spacing w:line="220" w:lineRule="exact"/>
              <w:jc w:val="both"/>
              <w:cnfStyle w:val="000000100000" w:firstRow="0" w:lastRow="0" w:firstColumn="0" w:lastColumn="0" w:oddVBand="0" w:evenVBand="0" w:oddHBand="1" w:evenHBand="0" w:firstRowFirstColumn="0" w:firstRowLastColumn="0" w:lastRowFirstColumn="0" w:lastRowLastColumn="0"/>
              <w:rPr>
                <w:sz w:val="18"/>
                <w:szCs w:val="18"/>
              </w:rPr>
            </w:pPr>
            <w:r w:rsidRPr="002D0B74">
              <w:rPr>
                <w:sz w:val="18"/>
                <w:szCs w:val="18"/>
              </w:rPr>
              <w:t>The state (quality) of the social, economic and physical environment is affected by the various pressures above. These can be adverse or beneficial. Some changes may be complex and widespread</w:t>
            </w:r>
            <w:r w:rsidR="002F0981">
              <w:rPr>
                <w:sz w:val="18"/>
                <w:szCs w:val="18"/>
              </w:rPr>
              <w:t xml:space="preserve"> –</w:t>
            </w:r>
            <w:r w:rsidRPr="002D0B74">
              <w:rPr>
                <w:sz w:val="18"/>
                <w:szCs w:val="18"/>
              </w:rPr>
              <w:t xml:space="preserve"> for example</w:t>
            </w:r>
            <w:r w:rsidR="00787595">
              <w:rPr>
                <w:sz w:val="18"/>
                <w:szCs w:val="18"/>
              </w:rPr>
              <w:t>,</w:t>
            </w:r>
            <w:r w:rsidRPr="002D0B74">
              <w:rPr>
                <w:sz w:val="18"/>
                <w:szCs w:val="18"/>
              </w:rPr>
              <w:t xml:space="preserve"> pollution of a whole marine environment or a strengthening of a regional economy</w:t>
            </w:r>
            <w:r w:rsidR="002F0981">
              <w:rPr>
                <w:sz w:val="18"/>
                <w:szCs w:val="18"/>
              </w:rPr>
              <w:t xml:space="preserve"> –</w:t>
            </w:r>
            <w:r w:rsidRPr="002D0B74">
              <w:rPr>
                <w:sz w:val="18"/>
                <w:szCs w:val="18"/>
              </w:rPr>
              <w:t xml:space="preserve"> while others may be more localized</w:t>
            </w:r>
            <w:r w:rsidR="00787595">
              <w:rPr>
                <w:sz w:val="18"/>
                <w:szCs w:val="18"/>
              </w:rPr>
              <w:t>,</w:t>
            </w:r>
            <w:r w:rsidRPr="002D0B74">
              <w:rPr>
                <w:sz w:val="18"/>
                <w:szCs w:val="18"/>
              </w:rPr>
              <w:t xml:space="preserve"> for example</w:t>
            </w:r>
            <w:r w:rsidR="00787595">
              <w:rPr>
                <w:sz w:val="18"/>
                <w:szCs w:val="18"/>
              </w:rPr>
              <w:t>,</w:t>
            </w:r>
            <w:r w:rsidRPr="002D0B74">
              <w:rPr>
                <w:sz w:val="18"/>
                <w:szCs w:val="18"/>
              </w:rPr>
              <w:t xml:space="preserve"> contamination of a local water supply or effects restricted to a local economy.</w:t>
            </w:r>
          </w:p>
        </w:tc>
        <w:tc>
          <w:tcPr>
            <w:tcW w:w="2409" w:type="dxa"/>
            <w:vAlign w:val="center"/>
            <w:hideMark/>
          </w:tcPr>
          <w:p w14:paraId="1F7DD490" w14:textId="77777777" w:rsidR="002D0B74" w:rsidRPr="002D0B74" w:rsidRDefault="002D0B74" w:rsidP="00AB588F">
            <w:pPr>
              <w:spacing w:line="220" w:lineRule="exact"/>
              <w:cnfStyle w:val="000000100000" w:firstRow="0" w:lastRow="0" w:firstColumn="0" w:lastColumn="0" w:oddVBand="0" w:evenVBand="0" w:oddHBand="1" w:evenHBand="0" w:firstRowFirstColumn="0" w:firstRowLastColumn="0" w:lastRowFirstColumn="0" w:lastRowLastColumn="0"/>
              <w:rPr>
                <w:sz w:val="18"/>
                <w:szCs w:val="18"/>
              </w:rPr>
            </w:pPr>
            <w:r w:rsidRPr="002D0B74">
              <w:rPr>
                <w:sz w:val="18"/>
                <w:szCs w:val="18"/>
              </w:rPr>
              <w:t xml:space="preserve">This is likely to be the level at which plan or programme alternatives are tested for the goal of improving the </w:t>
            </w:r>
            <w:r w:rsidRPr="002D0B74">
              <w:rPr>
                <w:b/>
                <w:sz w:val="18"/>
                <w:szCs w:val="18"/>
              </w:rPr>
              <w:t>state</w:t>
            </w:r>
            <w:r w:rsidRPr="002D0B74">
              <w:rPr>
                <w:sz w:val="18"/>
                <w:szCs w:val="18"/>
              </w:rPr>
              <w:t xml:space="preserve"> (quality) of social, economic and physical environment.</w:t>
            </w:r>
          </w:p>
        </w:tc>
      </w:tr>
      <w:tr w:rsidR="002D0B74" w:rsidRPr="002D0B74" w14:paraId="04D2CED8" w14:textId="77777777" w:rsidTr="007345CB">
        <w:tc>
          <w:tcPr>
            <w:cnfStyle w:val="001000000000" w:firstRow="0" w:lastRow="0" w:firstColumn="1" w:lastColumn="0" w:oddVBand="0" w:evenVBand="0" w:oddHBand="0" w:evenHBand="0" w:firstRowFirstColumn="0" w:firstRowLastColumn="0" w:lastRowFirstColumn="0" w:lastRowLastColumn="0"/>
            <w:tcW w:w="1117" w:type="dxa"/>
            <w:vAlign w:val="center"/>
            <w:hideMark/>
          </w:tcPr>
          <w:p w14:paraId="5AD9BAA3" w14:textId="77777777" w:rsidR="002D0B74" w:rsidRPr="002D0B74" w:rsidRDefault="002D0B74" w:rsidP="00A44029">
            <w:pPr>
              <w:spacing w:line="220" w:lineRule="exact"/>
              <w:ind w:left="37"/>
              <w:rPr>
                <w:sz w:val="18"/>
                <w:szCs w:val="18"/>
              </w:rPr>
            </w:pPr>
            <w:r w:rsidRPr="002D0B74">
              <w:rPr>
                <w:sz w:val="18"/>
                <w:szCs w:val="18"/>
              </w:rPr>
              <w:t>Exposure</w:t>
            </w:r>
          </w:p>
        </w:tc>
        <w:tc>
          <w:tcPr>
            <w:tcW w:w="3969" w:type="dxa"/>
            <w:vAlign w:val="center"/>
            <w:hideMark/>
          </w:tcPr>
          <w:p w14:paraId="6DD9E14B" w14:textId="77777777" w:rsidR="002D0B74" w:rsidRPr="002D0B74" w:rsidRDefault="002D0B74" w:rsidP="00AB588F">
            <w:pPr>
              <w:spacing w:line="220" w:lineRule="exact"/>
              <w:jc w:val="both"/>
              <w:cnfStyle w:val="000000000000" w:firstRow="0" w:lastRow="0" w:firstColumn="0" w:lastColumn="0" w:oddVBand="0" w:evenVBand="0" w:oddHBand="0" w:evenHBand="0" w:firstRowFirstColumn="0" w:firstRowLastColumn="0" w:lastRowFirstColumn="0" w:lastRowLastColumn="0"/>
              <w:rPr>
                <w:sz w:val="18"/>
                <w:szCs w:val="18"/>
              </w:rPr>
            </w:pPr>
            <w:r w:rsidRPr="002D0B74">
              <w:rPr>
                <w:sz w:val="18"/>
                <w:szCs w:val="18"/>
              </w:rPr>
              <w:t xml:space="preserve">Even where there are large effects on the state of the environment, people’s health and well-being will be affected only when they are actually exposed to a particular state, whether for good or for ill. Many factors determine whether an individual will be exposed, for example, to pollution in the environment. Pollution levels vary from place to place and over time, and people’s activities and behavioural patterns may influence the extent to which they come into contact with the environment. Likewise, in the case of economic downturn, not all sections of society are affected. </w:t>
            </w:r>
          </w:p>
        </w:tc>
        <w:tc>
          <w:tcPr>
            <w:tcW w:w="2409" w:type="dxa"/>
            <w:vAlign w:val="center"/>
            <w:hideMark/>
          </w:tcPr>
          <w:p w14:paraId="5AA4F188" w14:textId="77777777" w:rsidR="002D0B74" w:rsidRPr="002D0B74" w:rsidRDefault="002D0B74" w:rsidP="00AB588F">
            <w:pPr>
              <w:spacing w:line="220" w:lineRule="exact"/>
              <w:cnfStyle w:val="000000000000" w:firstRow="0" w:lastRow="0" w:firstColumn="0" w:lastColumn="0" w:oddVBand="0" w:evenVBand="0" w:oddHBand="0" w:evenHBand="0" w:firstRowFirstColumn="0" w:firstRowLastColumn="0" w:lastRowFirstColumn="0" w:lastRowLastColumn="0"/>
              <w:rPr>
                <w:sz w:val="18"/>
                <w:szCs w:val="18"/>
              </w:rPr>
            </w:pPr>
            <w:r w:rsidRPr="002D0B74">
              <w:rPr>
                <w:sz w:val="18"/>
                <w:szCs w:val="18"/>
              </w:rPr>
              <w:t xml:space="preserve">The plan or programme will play a role in affecting who is </w:t>
            </w:r>
            <w:r w:rsidRPr="002D0B74">
              <w:rPr>
                <w:b/>
                <w:sz w:val="18"/>
                <w:szCs w:val="18"/>
              </w:rPr>
              <w:t>exposed</w:t>
            </w:r>
            <w:r w:rsidRPr="002D0B74">
              <w:rPr>
                <w:sz w:val="18"/>
                <w:szCs w:val="18"/>
              </w:rPr>
              <w:t xml:space="preserve"> to beneficial or adverse factors. </w:t>
            </w:r>
          </w:p>
        </w:tc>
      </w:tr>
      <w:tr w:rsidR="002D0B74" w:rsidRPr="002D0B74" w14:paraId="35A52B9B" w14:textId="77777777" w:rsidTr="00734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Align w:val="center"/>
            <w:hideMark/>
          </w:tcPr>
          <w:p w14:paraId="2655DF2E" w14:textId="77777777" w:rsidR="002D0B74" w:rsidRPr="002D0B74" w:rsidRDefault="002D0B74" w:rsidP="00A44029">
            <w:pPr>
              <w:spacing w:line="220" w:lineRule="exact"/>
              <w:ind w:left="37"/>
              <w:rPr>
                <w:sz w:val="18"/>
                <w:szCs w:val="18"/>
              </w:rPr>
            </w:pPr>
            <w:r w:rsidRPr="002D0B74">
              <w:rPr>
                <w:sz w:val="18"/>
                <w:szCs w:val="18"/>
              </w:rPr>
              <w:t>Effect</w:t>
            </w:r>
          </w:p>
        </w:tc>
        <w:tc>
          <w:tcPr>
            <w:tcW w:w="3969" w:type="dxa"/>
            <w:vAlign w:val="center"/>
            <w:hideMark/>
          </w:tcPr>
          <w:p w14:paraId="475FAFB8" w14:textId="34F20628" w:rsidR="002D0B74" w:rsidRPr="002D0B74" w:rsidRDefault="002D0B74" w:rsidP="00AB588F">
            <w:pPr>
              <w:spacing w:line="220" w:lineRule="exact"/>
              <w:jc w:val="both"/>
              <w:cnfStyle w:val="000000100000" w:firstRow="0" w:lastRow="0" w:firstColumn="0" w:lastColumn="0" w:oddVBand="0" w:evenVBand="0" w:oddHBand="1" w:evenHBand="0" w:firstRowFirstColumn="0" w:firstRowLastColumn="0" w:lastRowFirstColumn="0" w:lastRowLastColumn="0"/>
              <w:rPr>
                <w:sz w:val="18"/>
                <w:szCs w:val="18"/>
              </w:rPr>
            </w:pPr>
            <w:r w:rsidRPr="002D0B74">
              <w:rPr>
                <w:sz w:val="18"/>
                <w:szCs w:val="18"/>
              </w:rPr>
              <w:t>Once a person has been exposed to a hazard, health effects can vary in type, intensity and magnitude</w:t>
            </w:r>
            <w:r w:rsidR="002F0981">
              <w:rPr>
                <w:sz w:val="18"/>
                <w:szCs w:val="18"/>
              </w:rPr>
              <w:t>,</w:t>
            </w:r>
            <w:r w:rsidRPr="002D0B74">
              <w:rPr>
                <w:sz w:val="18"/>
                <w:szCs w:val="18"/>
              </w:rPr>
              <w:t xml:space="preserve"> depending on the type of hazard, the level of exposure and other factors. The ill-health effects of environmental exposures may be acute, occurring relatively soon after exposure (from a single large dose due to an accident or a spill</w:t>
            </w:r>
            <w:r w:rsidR="002F0981">
              <w:rPr>
                <w:sz w:val="18"/>
                <w:szCs w:val="18"/>
              </w:rPr>
              <w:t>,</w:t>
            </w:r>
            <w:r w:rsidRPr="002D0B74">
              <w:rPr>
                <w:sz w:val="18"/>
                <w:szCs w:val="18"/>
              </w:rPr>
              <w:t xml:space="preserve"> for example); or they may be chronic, occurring as a result of cumulative exposures over time. A long time may elapse between the initial exposure and the appearance of the adverse health effect, for example</w:t>
            </w:r>
            <w:r w:rsidR="00947205">
              <w:rPr>
                <w:sz w:val="18"/>
                <w:szCs w:val="18"/>
              </w:rPr>
              <w:t>,</w:t>
            </w:r>
            <w:r w:rsidRPr="002D0B74">
              <w:rPr>
                <w:sz w:val="18"/>
                <w:szCs w:val="18"/>
              </w:rPr>
              <w:t xml:space="preserve"> exposure to asbestos and mesothelioma, or exposure to radiation and leukaemia. Dispersal of the population at risk over time and the long incubation </w:t>
            </w:r>
            <w:r w:rsidRPr="002D0B74">
              <w:rPr>
                <w:sz w:val="18"/>
                <w:szCs w:val="18"/>
              </w:rPr>
              <w:lastRenderedPageBreak/>
              <w:t xml:space="preserve">period make reconstruction of exposures problematic, so that acute health effects are often easier to detect than chronic ones, which may be difficult to relate to specific hazards or sources. </w:t>
            </w:r>
          </w:p>
        </w:tc>
        <w:tc>
          <w:tcPr>
            <w:tcW w:w="2409" w:type="dxa"/>
            <w:vAlign w:val="center"/>
            <w:hideMark/>
          </w:tcPr>
          <w:p w14:paraId="3CE4EEAD" w14:textId="77777777" w:rsidR="002D0B74" w:rsidRPr="002D0B74" w:rsidRDefault="002D0B74" w:rsidP="00AB588F">
            <w:pPr>
              <w:spacing w:line="220" w:lineRule="exact"/>
              <w:cnfStyle w:val="000000100000" w:firstRow="0" w:lastRow="0" w:firstColumn="0" w:lastColumn="0" w:oddVBand="0" w:evenVBand="0" w:oddHBand="1" w:evenHBand="0" w:firstRowFirstColumn="0" w:firstRowLastColumn="0" w:lastRowFirstColumn="0" w:lastRowLastColumn="0"/>
              <w:rPr>
                <w:sz w:val="18"/>
                <w:szCs w:val="18"/>
              </w:rPr>
            </w:pPr>
            <w:r w:rsidRPr="002D0B74">
              <w:rPr>
                <w:sz w:val="18"/>
                <w:szCs w:val="18"/>
              </w:rPr>
              <w:lastRenderedPageBreak/>
              <w:t xml:space="preserve">This is the health </w:t>
            </w:r>
            <w:r w:rsidRPr="002D0B74">
              <w:rPr>
                <w:b/>
                <w:sz w:val="18"/>
                <w:szCs w:val="18"/>
              </w:rPr>
              <w:t>effect</w:t>
            </w:r>
            <w:r w:rsidRPr="002D0B74">
              <w:rPr>
                <w:sz w:val="18"/>
                <w:szCs w:val="18"/>
              </w:rPr>
              <w:t xml:space="preserve"> of the preceding stages. </w:t>
            </w:r>
          </w:p>
        </w:tc>
      </w:tr>
      <w:tr w:rsidR="002D0B74" w:rsidRPr="002D0B74" w14:paraId="6E65DA40" w14:textId="77777777" w:rsidTr="007345CB">
        <w:tc>
          <w:tcPr>
            <w:cnfStyle w:val="001000000000" w:firstRow="0" w:lastRow="0" w:firstColumn="1" w:lastColumn="0" w:oddVBand="0" w:evenVBand="0" w:oddHBand="0" w:evenHBand="0" w:firstRowFirstColumn="0" w:firstRowLastColumn="0" w:lastRowFirstColumn="0" w:lastRowLastColumn="0"/>
            <w:tcW w:w="1117" w:type="dxa"/>
            <w:vAlign w:val="center"/>
          </w:tcPr>
          <w:p w14:paraId="1C869B19" w14:textId="77777777" w:rsidR="002D0B74" w:rsidRPr="002D0B74" w:rsidRDefault="002D0B74" w:rsidP="00A44029">
            <w:pPr>
              <w:spacing w:line="220" w:lineRule="exact"/>
              <w:ind w:left="37"/>
              <w:rPr>
                <w:sz w:val="18"/>
                <w:szCs w:val="18"/>
              </w:rPr>
            </w:pPr>
            <w:r w:rsidRPr="002D0B74">
              <w:rPr>
                <w:sz w:val="18"/>
                <w:szCs w:val="18"/>
              </w:rPr>
              <w:t>Actions</w:t>
            </w:r>
          </w:p>
        </w:tc>
        <w:tc>
          <w:tcPr>
            <w:tcW w:w="3969" w:type="dxa"/>
            <w:vAlign w:val="center"/>
          </w:tcPr>
          <w:p w14:paraId="72F8D3FD" w14:textId="01998355" w:rsidR="002D0B74" w:rsidRPr="002D0B74" w:rsidRDefault="002D0B74" w:rsidP="00AB588F">
            <w:pPr>
              <w:spacing w:line="220" w:lineRule="exact"/>
              <w:jc w:val="both"/>
              <w:cnfStyle w:val="000000000000" w:firstRow="0" w:lastRow="0" w:firstColumn="0" w:lastColumn="0" w:oddVBand="0" w:evenVBand="0" w:oddHBand="0" w:evenHBand="0" w:firstRowFirstColumn="0" w:firstRowLastColumn="0" w:lastRowFirstColumn="0" w:lastRowLastColumn="0"/>
              <w:rPr>
                <w:sz w:val="18"/>
                <w:szCs w:val="18"/>
              </w:rPr>
            </w:pPr>
            <w:r w:rsidRPr="002D0B74">
              <w:rPr>
                <w:sz w:val="18"/>
                <w:szCs w:val="18"/>
              </w:rPr>
              <w:t xml:space="preserve">An approach to </w:t>
            </w:r>
            <w:r w:rsidR="00A04F1A">
              <w:rPr>
                <w:sz w:val="18"/>
                <w:szCs w:val="18"/>
              </w:rPr>
              <w:t>health hazard</w:t>
            </w:r>
            <w:r w:rsidRPr="002D0B74">
              <w:rPr>
                <w:sz w:val="18"/>
                <w:szCs w:val="18"/>
              </w:rPr>
              <w:t xml:space="preserve"> control and prevention </w:t>
            </w:r>
            <w:r w:rsidR="00E67745">
              <w:rPr>
                <w:sz w:val="18"/>
                <w:szCs w:val="18"/>
              </w:rPr>
              <w:t>that</w:t>
            </w:r>
            <w:r w:rsidR="00E67745" w:rsidRPr="002D0B74">
              <w:rPr>
                <w:sz w:val="18"/>
                <w:szCs w:val="18"/>
              </w:rPr>
              <w:t xml:space="preserve"> </w:t>
            </w:r>
            <w:r w:rsidRPr="002D0B74">
              <w:rPr>
                <w:sz w:val="18"/>
                <w:szCs w:val="18"/>
              </w:rPr>
              <w:t>focuses on hazards of human origin is useful in that it addresses potentially remediable problems (giving due regard to uncertainty that exists about the extent of risks to human health associated with specific agents in the environment</w:t>
            </w:r>
            <w:r w:rsidR="00E67745">
              <w:rPr>
                <w:sz w:val="18"/>
                <w:szCs w:val="18"/>
              </w:rPr>
              <w:t>,</w:t>
            </w:r>
            <w:r w:rsidRPr="002D0B74">
              <w:rPr>
                <w:sz w:val="18"/>
                <w:szCs w:val="18"/>
              </w:rPr>
              <w:t xml:space="preserve"> or with the broader development process). Various actions can thus be taken, based on consideration of the nature of the risks, their amenability to control and the public’s understanding of and attitude towards the risks.</w:t>
            </w:r>
          </w:p>
        </w:tc>
        <w:tc>
          <w:tcPr>
            <w:tcW w:w="2409" w:type="dxa"/>
            <w:vAlign w:val="center"/>
          </w:tcPr>
          <w:p w14:paraId="4EE97CCE" w14:textId="7950028E" w:rsidR="002D0B74" w:rsidRPr="002D0B74" w:rsidRDefault="002D0B74" w:rsidP="00BF4053">
            <w:pPr>
              <w:spacing w:line="220" w:lineRule="exact"/>
              <w:cnfStyle w:val="000000000000" w:firstRow="0" w:lastRow="0" w:firstColumn="0" w:lastColumn="0" w:oddVBand="0" w:evenVBand="0" w:oddHBand="0" w:evenHBand="0" w:firstRowFirstColumn="0" w:firstRowLastColumn="0" w:lastRowFirstColumn="0" w:lastRowLastColumn="0"/>
              <w:rPr>
                <w:sz w:val="18"/>
                <w:szCs w:val="18"/>
              </w:rPr>
            </w:pPr>
            <w:r w:rsidRPr="00AB588F">
              <w:rPr>
                <w:b/>
                <w:bCs/>
                <w:sz w:val="18"/>
                <w:szCs w:val="18"/>
              </w:rPr>
              <w:t>Actions</w:t>
            </w:r>
            <w:r w:rsidRPr="002D0B74">
              <w:rPr>
                <w:sz w:val="18"/>
                <w:szCs w:val="18"/>
              </w:rPr>
              <w:t xml:space="preserve"> to manage adverse effects, and to enhance beneficial effects, can be taken at each stage of this framework and can be identified through the strategic environmental assessment</w:t>
            </w:r>
            <w:r w:rsidR="00A04F1A">
              <w:rPr>
                <w:sz w:val="18"/>
                <w:szCs w:val="18"/>
              </w:rPr>
              <w:t xml:space="preserve"> process</w:t>
            </w:r>
            <w:r w:rsidRPr="002D0B74">
              <w:rPr>
                <w:sz w:val="18"/>
                <w:szCs w:val="18"/>
              </w:rPr>
              <w:t xml:space="preserve">. </w:t>
            </w:r>
          </w:p>
        </w:tc>
      </w:tr>
    </w:tbl>
    <w:p w14:paraId="5472CD46" w14:textId="0D7F0803" w:rsidR="007345CB" w:rsidRPr="007E6467" w:rsidRDefault="00E67745" w:rsidP="0032462F">
      <w:pPr>
        <w:pStyle w:val="SingleTxtG"/>
        <w:spacing w:before="120"/>
        <w:rPr>
          <w:sz w:val="18"/>
          <w:szCs w:val="18"/>
        </w:rPr>
      </w:pPr>
      <w:r w:rsidRPr="007E6467">
        <w:rPr>
          <w:i/>
          <w:iCs/>
          <w:sz w:val="18"/>
          <w:szCs w:val="18"/>
        </w:rPr>
        <w:t>Source:</w:t>
      </w:r>
      <w:r w:rsidRPr="007E6467">
        <w:rPr>
          <w:sz w:val="18"/>
          <w:szCs w:val="18"/>
        </w:rPr>
        <w:t xml:space="preserve"> </w:t>
      </w:r>
      <w:r w:rsidR="007345CB" w:rsidRPr="007E6467">
        <w:rPr>
          <w:sz w:val="18"/>
          <w:szCs w:val="18"/>
        </w:rPr>
        <w:t xml:space="preserve">Adapted from </w:t>
      </w:r>
      <w:r w:rsidRPr="007E6467">
        <w:rPr>
          <w:sz w:val="18"/>
          <w:szCs w:val="18"/>
        </w:rPr>
        <w:t xml:space="preserve">Y. von Schirnding, </w:t>
      </w:r>
      <w:r w:rsidRPr="007E6467">
        <w:rPr>
          <w:i/>
          <w:iCs/>
          <w:sz w:val="18"/>
          <w:szCs w:val="18"/>
        </w:rPr>
        <w:t>Health in Sustainable Development Planning: The Role of Indicators</w:t>
      </w:r>
      <w:r w:rsidRPr="007E6467">
        <w:rPr>
          <w:sz w:val="18"/>
          <w:szCs w:val="18"/>
        </w:rPr>
        <w:t xml:space="preserve"> (Geneva, WHO, 2002), chap. 7.</w:t>
      </w:r>
      <w:r w:rsidR="007345CB" w:rsidRPr="007E6467">
        <w:rPr>
          <w:sz w:val="18"/>
          <w:szCs w:val="18"/>
        </w:rPr>
        <w:t xml:space="preserve"> </w:t>
      </w:r>
    </w:p>
    <w:p w14:paraId="5339D25E" w14:textId="257A45BC" w:rsidR="006602DE" w:rsidRPr="005711F4" w:rsidRDefault="006602DE" w:rsidP="006602DE">
      <w:pPr>
        <w:pStyle w:val="SingleTxtG"/>
      </w:pPr>
      <w:r>
        <w:t>6</w:t>
      </w:r>
      <w:r w:rsidR="00413FFD">
        <w:t>5</w:t>
      </w:r>
      <w:r>
        <w:t>.</w:t>
      </w:r>
      <w:r>
        <w:tab/>
        <w:t>The framework supports an</w:t>
      </w:r>
      <w:r w:rsidRPr="005711F4">
        <w:t xml:space="preserve"> approach to scoping and assessment </w:t>
      </w:r>
      <w:r w:rsidR="005067A6">
        <w:t>under which</w:t>
      </w:r>
      <w:r w:rsidRPr="005711F4">
        <w:t xml:space="preserve"> the impacts considered are not reduced to various sentinel health </w:t>
      </w:r>
      <w:r w:rsidR="005067A6">
        <w:t>“</w:t>
      </w:r>
      <w:r w:rsidRPr="005711F4">
        <w:t>issues</w:t>
      </w:r>
      <w:r w:rsidR="005067A6">
        <w:t>”</w:t>
      </w:r>
      <w:r w:rsidRPr="005711F4">
        <w:t xml:space="preserve"> but </w:t>
      </w:r>
      <w:r w:rsidR="005067A6">
        <w:t xml:space="preserve">rather </w:t>
      </w:r>
      <w:r w:rsidRPr="005711F4">
        <w:t>considered broadly through the determinants of health and their distribution among the populations affected.</w:t>
      </w:r>
      <w:r>
        <w:rPr>
          <w:rStyle w:val="FootnoteReference"/>
        </w:rPr>
        <w:footnoteReference w:id="35"/>
      </w:r>
    </w:p>
    <w:p w14:paraId="6C48351D" w14:textId="476D5840" w:rsidR="006602DE" w:rsidRPr="005711F4" w:rsidRDefault="006602DE" w:rsidP="006602DE">
      <w:pPr>
        <w:pStyle w:val="SingleTxtG"/>
      </w:pPr>
      <w:r>
        <w:t>6</w:t>
      </w:r>
      <w:r w:rsidR="00413FFD">
        <w:t>6</w:t>
      </w:r>
      <w:r>
        <w:t>.</w:t>
      </w:r>
      <w:r>
        <w:tab/>
      </w:r>
      <w:r w:rsidRPr="005711F4">
        <w:t>The types of information required to inform strategic decisions</w:t>
      </w:r>
      <w:r>
        <w:t xml:space="preserve"> are</w:t>
      </w:r>
      <w:r w:rsidRPr="005711F4">
        <w:t xml:space="preserve"> also necessarily broad, ranging from quantifiable evidence of impacts</w:t>
      </w:r>
      <w:r w:rsidR="00434E3A">
        <w:t>,</w:t>
      </w:r>
      <w:r w:rsidRPr="005711F4">
        <w:t xml:space="preserve"> </w:t>
      </w:r>
      <w:r w:rsidR="00434E3A">
        <w:t>should they</w:t>
      </w:r>
      <w:r w:rsidRPr="005711F4">
        <w:t xml:space="preserve"> exist</w:t>
      </w:r>
      <w:r>
        <w:t xml:space="preserve"> (</w:t>
      </w:r>
      <w:r w:rsidR="000247B4">
        <w:t xml:space="preserve">for example, </w:t>
      </w:r>
      <w:r>
        <w:t xml:space="preserve"> from the scientific literature or existing population health studies for the area)</w:t>
      </w:r>
      <w:r w:rsidRPr="005711F4">
        <w:t>, estimates of costs and benefits of varying options, to an informed understanding of stakeholder and community responses to particular options or alternatives or courses of action.</w:t>
      </w:r>
      <w:r>
        <w:t xml:space="preserve"> </w:t>
      </w:r>
    </w:p>
    <w:p w14:paraId="292A98FD" w14:textId="70607431" w:rsidR="006602DE" w:rsidRDefault="006602DE" w:rsidP="006602DE">
      <w:pPr>
        <w:pStyle w:val="SingleTxtG"/>
      </w:pPr>
      <w:r>
        <w:t>6</w:t>
      </w:r>
      <w:r w:rsidR="00413FFD">
        <w:t>7</w:t>
      </w:r>
      <w:r>
        <w:t>.</w:t>
      </w:r>
      <w:r>
        <w:tab/>
      </w:r>
      <w:r w:rsidRPr="005711F4">
        <w:t>Strategic decisions at a large scale are concerned with potential health impacts of multiple similar developments</w:t>
      </w:r>
      <w:r w:rsidR="0036651B">
        <w:t>;</w:t>
      </w:r>
      <w:r w:rsidRPr="005711F4">
        <w:t xml:space="preserve"> </w:t>
      </w:r>
      <w:r w:rsidR="000247B4">
        <w:t xml:space="preserve">for example, </w:t>
      </w:r>
      <w:r w:rsidRPr="005711F4">
        <w:t>developments of multiple offshore platforms feeding different and geographically dispersed onshore facilities</w:t>
      </w:r>
      <w:r>
        <w:t xml:space="preserve"> (</w:t>
      </w:r>
      <w:r w:rsidR="000247B4">
        <w:t xml:space="preserve">for example, </w:t>
      </w:r>
      <w:r>
        <w:t>with implications for port health)</w:t>
      </w:r>
      <w:r w:rsidRPr="005711F4">
        <w:t>. The associated analysis would also need to include other non-project</w:t>
      </w:r>
      <w:r>
        <w:t>, but</w:t>
      </w:r>
      <w:r w:rsidRPr="005711F4">
        <w:t xml:space="preserve"> related</w:t>
      </w:r>
      <w:r>
        <w:t>,</w:t>
      </w:r>
      <w:r w:rsidRPr="005711F4">
        <w:t xml:space="preserve"> development activities in the region</w:t>
      </w:r>
      <w:r w:rsidR="0036651B">
        <w:t xml:space="preserve"> –</w:t>
      </w:r>
      <w:r w:rsidRPr="005711F4">
        <w:t xml:space="preserve"> </w:t>
      </w:r>
      <w:r w:rsidR="000247B4">
        <w:t xml:space="preserve">for example, </w:t>
      </w:r>
      <w:r w:rsidRPr="005711F4">
        <w:t>transport infrastructure, schools, markets and others</w:t>
      </w:r>
      <w:r w:rsidR="0036651B">
        <w:t xml:space="preserve"> –</w:t>
      </w:r>
      <w:r>
        <w:t xml:space="preserve"> as these would also be important indirectly affected health determinants</w:t>
      </w:r>
      <w:r w:rsidRPr="005711F4">
        <w:t>.</w:t>
      </w:r>
      <w:r>
        <w:rPr>
          <w:rStyle w:val="FootnoteReference"/>
        </w:rPr>
        <w:footnoteReference w:id="36"/>
      </w:r>
      <w:r>
        <w:t xml:space="preserve"> </w:t>
      </w:r>
    </w:p>
    <w:p w14:paraId="623BFAB3" w14:textId="0E8E7F2D" w:rsidR="006602DE" w:rsidRPr="00F819C8" w:rsidRDefault="006602DE" w:rsidP="006602DE">
      <w:pPr>
        <w:pStyle w:val="SingleTxtG"/>
      </w:pPr>
      <w:r>
        <w:t>6</w:t>
      </w:r>
      <w:r w:rsidR="00413FFD">
        <w:t>8</w:t>
      </w:r>
      <w:r>
        <w:t>.</w:t>
      </w:r>
      <w:r>
        <w:tab/>
        <w:t xml:space="preserve">Figure </w:t>
      </w:r>
      <w:r w:rsidR="00434E3A">
        <w:t>III</w:t>
      </w:r>
      <w:r w:rsidRPr="00F819C8">
        <w:t xml:space="preserve"> </w:t>
      </w:r>
      <w:r w:rsidRPr="007A5A8C">
        <w:t>below</w:t>
      </w:r>
      <w:r>
        <w:t xml:space="preserve"> </w:t>
      </w:r>
      <w:r w:rsidRPr="00F819C8">
        <w:t>provides a</w:t>
      </w:r>
      <w:r>
        <w:t xml:space="preserve"> worked</w:t>
      </w:r>
      <w:r w:rsidRPr="00F819C8">
        <w:t xml:space="preserve"> example</w:t>
      </w:r>
      <w:r>
        <w:t xml:space="preserve"> relevant to the energy/transport sector. It illustrates </w:t>
      </w:r>
      <w:r w:rsidRPr="00F819C8">
        <w:t xml:space="preserve">the modified and enriched </w:t>
      </w:r>
      <w:r>
        <w:t xml:space="preserve">framework </w:t>
      </w:r>
      <w:r w:rsidR="00AE59C5">
        <w:t xml:space="preserve">referred to </w:t>
      </w:r>
      <w:r>
        <w:t>in table 3</w:t>
      </w:r>
      <w:r w:rsidRPr="00F819C8">
        <w:t xml:space="preserve"> </w:t>
      </w:r>
      <w:r w:rsidR="00A04F1A">
        <w:t xml:space="preserve">above </w:t>
      </w:r>
      <w:r w:rsidRPr="00F819C8">
        <w:t xml:space="preserve">that also takes into account social, demographic, economic and behavioural influences and relates these to ecological change. These conceptual models illustrate the thought process for scoping health </w:t>
      </w:r>
      <w:r>
        <w:t>(which need</w:t>
      </w:r>
      <w:r w:rsidRPr="00F819C8">
        <w:t xml:space="preserve"> not be exhaustively reported, though </w:t>
      </w:r>
      <w:r>
        <w:t xml:space="preserve">it is good practice to include </w:t>
      </w:r>
      <w:r w:rsidRPr="00F819C8">
        <w:t>an appropriate scoping rationale</w:t>
      </w:r>
      <w:r>
        <w:t>)</w:t>
      </w:r>
      <w:r w:rsidRPr="00F819C8">
        <w:t xml:space="preserve">. </w:t>
      </w:r>
    </w:p>
    <w:p w14:paraId="320D883C" w14:textId="77777777" w:rsidR="00A0514B" w:rsidRDefault="00A0514B" w:rsidP="006806CB">
      <w:pPr>
        <w:rPr>
          <w:b/>
          <w:bCs/>
        </w:rPr>
      </w:pPr>
    </w:p>
    <w:p w14:paraId="4C302C27" w14:textId="77777777" w:rsidR="00831AE2" w:rsidRDefault="00831AE2" w:rsidP="006806CB">
      <w:pPr>
        <w:rPr>
          <w:b/>
          <w:bCs/>
        </w:rPr>
      </w:pPr>
    </w:p>
    <w:p w14:paraId="6F1AC382" w14:textId="77777777" w:rsidR="00831AE2" w:rsidRDefault="00831AE2" w:rsidP="006806CB">
      <w:pPr>
        <w:rPr>
          <w:b/>
          <w:bCs/>
        </w:rPr>
      </w:pPr>
    </w:p>
    <w:p w14:paraId="70CB4F47" w14:textId="77777777" w:rsidR="00831AE2" w:rsidRDefault="00831AE2" w:rsidP="006806CB">
      <w:pPr>
        <w:rPr>
          <w:b/>
          <w:bCs/>
        </w:rPr>
      </w:pPr>
    </w:p>
    <w:p w14:paraId="42AD5D24" w14:textId="0E0EF273" w:rsidR="00831AE2" w:rsidRDefault="00831AE2" w:rsidP="006806CB">
      <w:pPr>
        <w:rPr>
          <w:b/>
          <w:bCs/>
        </w:rPr>
      </w:pPr>
    </w:p>
    <w:p w14:paraId="6E77E743" w14:textId="77777777" w:rsidR="00790CED" w:rsidRDefault="00790CED" w:rsidP="006806CB">
      <w:pPr>
        <w:rPr>
          <w:b/>
          <w:bCs/>
        </w:rPr>
      </w:pPr>
    </w:p>
    <w:p w14:paraId="0FDAFBC8" w14:textId="08EFEC1B" w:rsidR="00831AE2" w:rsidRDefault="00831AE2" w:rsidP="00790CED">
      <w:pPr>
        <w:pStyle w:val="SingleTxtG"/>
        <w:jc w:val="left"/>
        <w:rPr>
          <w:lang w:val="en"/>
        </w:rPr>
      </w:pPr>
      <w:bookmarkStart w:id="28" w:name="_Ref15316530"/>
      <w:bookmarkStart w:id="29" w:name="_Toc16761670"/>
      <w:bookmarkStart w:id="30" w:name="_Toc17216022"/>
      <w:r>
        <w:lastRenderedPageBreak/>
        <w:t>Figure</w:t>
      </w:r>
      <w:bookmarkEnd w:id="28"/>
      <w:r w:rsidR="00790CED">
        <w:t xml:space="preserve"> </w:t>
      </w:r>
      <w:r w:rsidR="005A2AA1">
        <w:t>III</w:t>
      </w:r>
      <w:r>
        <w:br/>
      </w:r>
      <w:r>
        <w:tab/>
      </w:r>
      <w:r w:rsidRPr="00831AE2">
        <w:rPr>
          <w:b/>
          <w:bCs/>
        </w:rPr>
        <w:t xml:space="preserve">Example of the modified </w:t>
      </w:r>
      <w:bookmarkEnd w:id="29"/>
      <w:r w:rsidRPr="00831AE2">
        <w:rPr>
          <w:b/>
          <w:bCs/>
        </w:rPr>
        <w:t>framework</w:t>
      </w:r>
      <w:bookmarkEnd w:id="30"/>
    </w:p>
    <w:p w14:paraId="5EF9E8FE" w14:textId="77777777" w:rsidR="00831AE2" w:rsidRDefault="00726F48" w:rsidP="0082130B">
      <w:pPr>
        <w:spacing w:before="120"/>
        <w:ind w:left="567"/>
        <w:jc w:val="center"/>
        <w:rPr>
          <w:b/>
          <w:bCs/>
        </w:rPr>
      </w:pPr>
      <w:r w:rsidRPr="00F819C8">
        <w:rPr>
          <w:noProof/>
          <w:lang w:val="en-US" w:eastAsia="zh-CN"/>
        </w:rPr>
        <w:drawing>
          <wp:inline distT="0" distB="0" distL="0" distR="0" wp14:anchorId="02813D46" wp14:editId="015A9301">
            <wp:extent cx="5028453" cy="3803015"/>
            <wp:effectExtent l="0" t="0" r="1270" b="6985"/>
            <wp:docPr id="91" name="Picture 9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Modified enriched DPSEEA - case study 2.JPG"/>
                    <pic:cNvPicPr/>
                  </pic:nvPicPr>
                  <pic:blipFill>
                    <a:blip r:embed="rId11">
                      <a:extLst>
                        <a:ext uri="{28A0092B-C50C-407E-A947-70E740481C1C}">
                          <a14:useLocalDpi xmlns:a14="http://schemas.microsoft.com/office/drawing/2010/main" val="0"/>
                        </a:ext>
                      </a:extLst>
                    </a:blip>
                    <a:stretch>
                      <a:fillRect/>
                    </a:stretch>
                  </pic:blipFill>
                  <pic:spPr>
                    <a:xfrm>
                      <a:off x="0" y="0"/>
                      <a:ext cx="5084661" cy="3845525"/>
                    </a:xfrm>
                    <a:prstGeom prst="rect">
                      <a:avLst/>
                    </a:prstGeom>
                  </pic:spPr>
                </pic:pic>
              </a:graphicData>
            </a:graphic>
          </wp:inline>
        </w:drawing>
      </w:r>
    </w:p>
    <w:p w14:paraId="346C4119" w14:textId="2A8EF1DE" w:rsidR="00726F48" w:rsidRDefault="00D24A38" w:rsidP="002D37F0">
      <w:pPr>
        <w:pStyle w:val="FootnoteText"/>
        <w:spacing w:before="120"/>
      </w:pPr>
      <w:r>
        <w:tab/>
      </w:r>
      <w:r>
        <w:tab/>
      </w:r>
      <w:r w:rsidR="00726F48" w:rsidRPr="00C72440">
        <w:rPr>
          <w:i/>
          <w:iCs/>
        </w:rPr>
        <w:t>Source:</w:t>
      </w:r>
      <w:r w:rsidR="00726F48" w:rsidRPr="00F819C8">
        <w:t xml:space="preserve"> </w:t>
      </w:r>
      <w:bookmarkStart w:id="31" w:name="_Hlk16681719"/>
      <w:r w:rsidRPr="00D24A38">
        <w:t xml:space="preserve">L.E. Fleming </w:t>
      </w:r>
      <w:r w:rsidR="005C6360">
        <w:t>and others</w:t>
      </w:r>
      <w:r w:rsidRPr="00D24A38">
        <w:t xml:space="preserve">, “Developing a modified conceptual model for Health and Environmental Impact Assessment within Ecological Public Health”, poster </w:t>
      </w:r>
      <w:r w:rsidR="00684B81">
        <w:t>(</w:t>
      </w:r>
      <w:r w:rsidRPr="00D24A38">
        <w:t>European Centre for Environment and Human Health, 2013</w:t>
      </w:r>
      <w:r w:rsidR="00684B81">
        <w:t>)</w:t>
      </w:r>
      <w:r w:rsidRPr="00D24A38">
        <w:t>. Available at https://spc.agu.org/2013/files/2013/06/Fleming-AGU-June-2013-eDPSEEA-Poster.pptx</w:t>
      </w:r>
      <w:bookmarkEnd w:id="31"/>
      <w:r>
        <w:t>.</w:t>
      </w:r>
    </w:p>
    <w:p w14:paraId="380A3A58" w14:textId="21301C08" w:rsidR="007C533F" w:rsidRDefault="00413FFD" w:rsidP="007C533F">
      <w:pPr>
        <w:pStyle w:val="SingleTxtG"/>
        <w:spacing w:before="240"/>
      </w:pPr>
      <w:r>
        <w:t>69</w:t>
      </w:r>
      <w:r w:rsidR="007C533F">
        <w:t>.</w:t>
      </w:r>
      <w:r w:rsidR="007C533F">
        <w:tab/>
        <w:t>The Protocol does not specifically provide for a scoping report but in practice its preparation is useful.</w:t>
      </w:r>
      <w:r w:rsidR="007C533F" w:rsidRPr="0097320E">
        <w:t xml:space="preserve"> </w:t>
      </w:r>
      <w:r w:rsidR="007C533F">
        <w:t xml:space="preserve">A scoping report </w:t>
      </w:r>
      <w:r w:rsidR="007C533F" w:rsidRPr="00F819C8">
        <w:t>can be structured to broadly indicate how plausible and probable each determinant of health may be as a pathway between the plan</w:t>
      </w:r>
      <w:r w:rsidR="00CC3BA8">
        <w:t>-</w:t>
      </w:r>
      <w:r w:rsidR="007C533F" w:rsidRPr="00F819C8">
        <w:t xml:space="preserve"> or programme</w:t>
      </w:r>
      <w:r w:rsidR="00CC3BA8">
        <w:t>-</w:t>
      </w:r>
      <w:r w:rsidR="007C533F" w:rsidRPr="00F819C8">
        <w:t>related change and population level health outcomes.</w:t>
      </w:r>
    </w:p>
    <w:p w14:paraId="7B6D08C6" w14:textId="3A624198" w:rsidR="007C533F" w:rsidRPr="00F819C8" w:rsidRDefault="007C533F" w:rsidP="007C533F">
      <w:pPr>
        <w:pStyle w:val="SingleTxtG"/>
        <w:spacing w:before="240"/>
      </w:pPr>
      <w:r>
        <w:t>7</w:t>
      </w:r>
      <w:r w:rsidR="00413FFD">
        <w:t>0</w:t>
      </w:r>
      <w:r>
        <w:t>.</w:t>
      </w:r>
      <w:r>
        <w:tab/>
      </w:r>
      <w:r w:rsidRPr="00F819C8">
        <w:t xml:space="preserve">Where a linkage is either </w:t>
      </w:r>
      <w:r w:rsidR="00CC3BA8">
        <w:t>im</w:t>
      </w:r>
      <w:r w:rsidRPr="00F819C8">
        <w:t xml:space="preserve">plausible or </w:t>
      </w:r>
      <w:r w:rsidR="00CC3BA8">
        <w:t>im</w:t>
      </w:r>
      <w:r w:rsidRPr="00F819C8">
        <w:t xml:space="preserve">probable it is not capable of being a </w:t>
      </w:r>
      <w:r w:rsidR="00CC3BA8">
        <w:t>“</w:t>
      </w:r>
      <w:r w:rsidRPr="00F819C8">
        <w:t>likely</w:t>
      </w:r>
      <w:r w:rsidR="00CC3BA8">
        <w:t>”</w:t>
      </w:r>
      <w:r w:rsidRPr="00F819C8">
        <w:t xml:space="preserve"> significant effect, so should be scoped out. Where there is uncertainty, the issue may be informed by the scientific literature or public health stakeholders. </w:t>
      </w:r>
    </w:p>
    <w:p w14:paraId="20F686B9" w14:textId="5B3E5CC0" w:rsidR="007C533F" w:rsidRDefault="007C533F" w:rsidP="007C533F">
      <w:pPr>
        <w:pStyle w:val="SingleTxtG"/>
        <w:spacing w:before="240"/>
      </w:pPr>
      <w:r>
        <w:t>7</w:t>
      </w:r>
      <w:r w:rsidR="00413FFD">
        <w:t>1</w:t>
      </w:r>
      <w:r>
        <w:t>.</w:t>
      </w:r>
      <w:r>
        <w:tab/>
      </w:r>
      <w:r w:rsidR="00837DC7">
        <w:t xml:space="preserve">It is important to find a </w:t>
      </w:r>
      <w:r>
        <w:t>balance</w:t>
      </w:r>
      <w:r w:rsidR="007A4EF2">
        <w:t>.</w:t>
      </w:r>
      <w:r>
        <w:t xml:space="preserve"> </w:t>
      </w:r>
      <w:r w:rsidR="007A4EF2">
        <w:t>S</w:t>
      </w:r>
      <w:r w:rsidRPr="00F819C8">
        <w:t>coping many issues in</w:t>
      </w:r>
      <w:r>
        <w:t xml:space="preserve"> </w:t>
      </w:r>
      <w:r w:rsidRPr="00F819C8">
        <w:t>make</w:t>
      </w:r>
      <w:r>
        <w:t>s</w:t>
      </w:r>
      <w:r w:rsidRPr="00F819C8">
        <w:t xml:space="preserve"> </w:t>
      </w:r>
      <w:r>
        <w:t>assessment</w:t>
      </w:r>
      <w:r w:rsidRPr="00F819C8">
        <w:t xml:space="preserve"> </w:t>
      </w:r>
      <w:r>
        <w:t xml:space="preserve">of health </w:t>
      </w:r>
      <w:r w:rsidRPr="00F819C8">
        <w:t>complex</w:t>
      </w:r>
      <w:r>
        <w:t xml:space="preserve">; a tight scope, focusing on a limited number of </w:t>
      </w:r>
      <w:r w:rsidRPr="00F819C8">
        <w:t>issues</w:t>
      </w:r>
      <w:r w:rsidR="00CC3BA8">
        <w:t>,</w:t>
      </w:r>
      <w:r w:rsidRPr="00F819C8">
        <w:t xml:space="preserve"> </w:t>
      </w:r>
      <w:r>
        <w:t xml:space="preserve">can </w:t>
      </w:r>
      <w:r w:rsidRPr="00F819C8">
        <w:t xml:space="preserve">fail to adequately address significant impacts. </w:t>
      </w:r>
      <w:r w:rsidR="007A4EF2">
        <w:t>Thus</w:t>
      </w:r>
      <w:r w:rsidRPr="00F819C8">
        <w:t>, t</w:t>
      </w:r>
      <w:r w:rsidRPr="00967675">
        <w:t xml:space="preserve">he determination of what is likely to be </w:t>
      </w:r>
      <w:r w:rsidR="00CC3BA8">
        <w:t>“</w:t>
      </w:r>
      <w:r w:rsidRPr="00967675">
        <w:t>significant</w:t>
      </w:r>
      <w:r w:rsidR="00CC3BA8">
        <w:t>”</w:t>
      </w:r>
      <w:r w:rsidRPr="00967675">
        <w:t xml:space="preserve"> is of central importance for scoping</w:t>
      </w:r>
      <w:r>
        <w:t xml:space="preserve"> (see </w:t>
      </w:r>
      <w:r w:rsidR="00CC3BA8" w:rsidRPr="00684B81">
        <w:t>b</w:t>
      </w:r>
      <w:r w:rsidRPr="00684B81">
        <w:t>ox 4</w:t>
      </w:r>
      <w:r w:rsidR="00CC3BA8" w:rsidRPr="00684B81">
        <w:t xml:space="preserve"> below</w:t>
      </w:r>
      <w:r>
        <w:t xml:space="preserve">). </w:t>
      </w:r>
    </w:p>
    <w:p w14:paraId="2C9B252D" w14:textId="77777777" w:rsidR="00831AE2" w:rsidRDefault="00831AE2" w:rsidP="00726F48">
      <w:pPr>
        <w:pStyle w:val="FootnoteText"/>
        <w:spacing w:before="120"/>
        <w:rPr>
          <w:b/>
          <w:bCs/>
        </w:rPr>
      </w:pPr>
    </w:p>
    <w:p w14:paraId="56EDEB24" w14:textId="77777777" w:rsidR="00690C09" w:rsidRDefault="00690C09" w:rsidP="00726F48">
      <w:pPr>
        <w:pStyle w:val="FootnoteText"/>
        <w:spacing w:before="120"/>
        <w:rPr>
          <w:b/>
          <w:bCs/>
        </w:rPr>
      </w:pPr>
    </w:p>
    <w:p w14:paraId="00629BF9" w14:textId="77777777" w:rsidR="00690C09" w:rsidRDefault="00690C09" w:rsidP="00726F48">
      <w:pPr>
        <w:pStyle w:val="FootnoteText"/>
        <w:spacing w:before="120"/>
        <w:rPr>
          <w:b/>
          <w:bCs/>
        </w:rPr>
      </w:pPr>
    </w:p>
    <w:p w14:paraId="62065567" w14:textId="77777777" w:rsidR="00690C09" w:rsidRDefault="00690C09" w:rsidP="00726F48">
      <w:pPr>
        <w:pStyle w:val="FootnoteText"/>
        <w:spacing w:before="120"/>
        <w:rPr>
          <w:b/>
          <w:bCs/>
        </w:rPr>
      </w:pPr>
    </w:p>
    <w:p w14:paraId="2807483B" w14:textId="77777777" w:rsidR="00690C09" w:rsidRDefault="00690C09" w:rsidP="00726F48">
      <w:pPr>
        <w:pStyle w:val="FootnoteText"/>
        <w:spacing w:before="120"/>
        <w:rPr>
          <w:b/>
          <w:bCs/>
        </w:rPr>
      </w:pPr>
    </w:p>
    <w:p w14:paraId="3A6AD24E" w14:textId="0E2C6442" w:rsidR="00690C09" w:rsidRDefault="00690C09" w:rsidP="00726F48">
      <w:pPr>
        <w:pStyle w:val="FootnoteText"/>
        <w:spacing w:before="120"/>
        <w:rPr>
          <w:b/>
          <w:bCs/>
        </w:rPr>
      </w:pPr>
    </w:p>
    <w:p w14:paraId="580EF7AA" w14:textId="51401DBB" w:rsidR="002D37F0" w:rsidRDefault="002D37F0" w:rsidP="00726F48">
      <w:pPr>
        <w:pStyle w:val="FootnoteText"/>
        <w:spacing w:before="120"/>
        <w:rPr>
          <w:b/>
          <w:bCs/>
        </w:rPr>
      </w:pPr>
    </w:p>
    <w:p w14:paraId="23C17B22" w14:textId="0AC63F6B" w:rsidR="002D37F0" w:rsidRDefault="002D37F0" w:rsidP="00726F48">
      <w:pPr>
        <w:pStyle w:val="FootnoteText"/>
        <w:spacing w:before="120"/>
        <w:rPr>
          <w:b/>
          <w:bCs/>
        </w:rPr>
      </w:pPr>
    </w:p>
    <w:p w14:paraId="727BAC3C" w14:textId="77777777" w:rsidR="0082130B" w:rsidRDefault="0082130B" w:rsidP="00726F48">
      <w:pPr>
        <w:pStyle w:val="FootnoteText"/>
        <w:spacing w:before="120"/>
        <w:rPr>
          <w:b/>
          <w:bCs/>
        </w:rPr>
      </w:pPr>
    </w:p>
    <w:p w14:paraId="2F12D021" w14:textId="175C7F26" w:rsidR="00690C09" w:rsidRDefault="00690C09" w:rsidP="00790CED">
      <w:pPr>
        <w:pStyle w:val="SingleTxtG"/>
        <w:jc w:val="left"/>
        <w:rPr>
          <w:rFonts w:eastAsia="Garamond-Light"/>
          <w:color w:val="000000"/>
        </w:rPr>
      </w:pPr>
      <w:r>
        <w:lastRenderedPageBreak/>
        <w:t>Box</w:t>
      </w:r>
      <w:r w:rsidR="00790CED">
        <w:t xml:space="preserve"> </w:t>
      </w:r>
      <w:r>
        <w:rPr>
          <w:noProof/>
        </w:rPr>
        <w:t>4</w:t>
      </w:r>
      <w:r w:rsidR="006660DA">
        <w:br/>
      </w:r>
      <w:r>
        <w:tab/>
      </w:r>
      <w:r w:rsidRPr="006660DA">
        <w:rPr>
          <w:b/>
          <w:bCs/>
        </w:rPr>
        <w:t>Health significance</w:t>
      </w:r>
      <w:r>
        <w:t xml:space="preserv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F5F55" w:rsidRPr="000F5F55" w14:paraId="1DFB071D" w14:textId="77777777" w:rsidTr="00020ACC">
        <w:trPr>
          <w:trHeight w:hRule="exact" w:val="240"/>
          <w:jc w:val="center"/>
        </w:trPr>
        <w:tc>
          <w:tcPr>
            <w:tcW w:w="7654" w:type="dxa"/>
            <w:tcBorders>
              <w:top w:val="single" w:sz="4" w:space="0" w:color="auto"/>
            </w:tcBorders>
            <w:shd w:val="clear" w:color="auto" w:fill="auto"/>
          </w:tcPr>
          <w:p w14:paraId="7FC75B00" w14:textId="77777777" w:rsidR="000F5F55" w:rsidRPr="000F5F55" w:rsidRDefault="000F5F55" w:rsidP="000F5F55">
            <w:pPr>
              <w:spacing w:line="220" w:lineRule="exact"/>
              <w:ind w:firstLine="170"/>
              <w:rPr>
                <w:sz w:val="18"/>
              </w:rPr>
            </w:pPr>
          </w:p>
        </w:tc>
      </w:tr>
      <w:tr w:rsidR="000F5F55" w:rsidRPr="000F5F55" w14:paraId="000CBBD2" w14:textId="77777777" w:rsidTr="00020ACC">
        <w:trPr>
          <w:jc w:val="center"/>
        </w:trPr>
        <w:tc>
          <w:tcPr>
            <w:tcW w:w="7654" w:type="dxa"/>
            <w:tcBorders>
              <w:bottom w:val="nil"/>
            </w:tcBorders>
            <w:shd w:val="clear" w:color="auto" w:fill="auto"/>
            <w:tcMar>
              <w:left w:w="142" w:type="dxa"/>
              <w:right w:w="142" w:type="dxa"/>
            </w:tcMar>
          </w:tcPr>
          <w:p w14:paraId="424C9D9B" w14:textId="0F5B6214" w:rsidR="000F5F55" w:rsidRPr="000F5F55" w:rsidRDefault="000F5F55" w:rsidP="002B734C">
            <w:pPr>
              <w:spacing w:before="120" w:line="220" w:lineRule="exact"/>
              <w:ind w:left="136"/>
              <w:rPr>
                <w:sz w:val="18"/>
              </w:rPr>
            </w:pPr>
            <w:r w:rsidRPr="000F5F55">
              <w:rPr>
                <w:sz w:val="18"/>
              </w:rPr>
              <w:t xml:space="preserve">Article 7 </w:t>
            </w:r>
            <w:r w:rsidR="00EF0965">
              <w:rPr>
                <w:sz w:val="18"/>
              </w:rPr>
              <w:t>(</w:t>
            </w:r>
            <w:r w:rsidRPr="000F5F55">
              <w:rPr>
                <w:sz w:val="18"/>
              </w:rPr>
              <w:t>2</w:t>
            </w:r>
            <w:r w:rsidR="00EF0965">
              <w:rPr>
                <w:sz w:val="18"/>
              </w:rPr>
              <w:t>)</w:t>
            </w:r>
            <w:r w:rsidRPr="000F5F55">
              <w:rPr>
                <w:sz w:val="18"/>
              </w:rPr>
              <w:t xml:space="preserve"> of the Protocol and </w:t>
            </w:r>
            <w:r w:rsidR="0030746D">
              <w:rPr>
                <w:sz w:val="18"/>
              </w:rPr>
              <w:t xml:space="preserve">preambular </w:t>
            </w:r>
            <w:r w:rsidRPr="000F5F55">
              <w:rPr>
                <w:sz w:val="18"/>
              </w:rPr>
              <w:t>para</w:t>
            </w:r>
            <w:r w:rsidR="00EF0965">
              <w:rPr>
                <w:sz w:val="18"/>
              </w:rPr>
              <w:t>graph</w:t>
            </w:r>
            <w:r w:rsidRPr="000F5F55">
              <w:rPr>
                <w:sz w:val="18"/>
              </w:rPr>
              <w:t xml:space="preserve"> 14 of the Strategic Environmental Assessment Directive</w:t>
            </w:r>
            <w:r w:rsidR="00565A44">
              <w:rPr>
                <w:rStyle w:val="FootnoteReference"/>
              </w:rPr>
              <w:footnoteReference w:id="37"/>
            </w:r>
            <w:r w:rsidRPr="000F5F55">
              <w:rPr>
                <w:sz w:val="18"/>
              </w:rPr>
              <w:t xml:space="preserve"> require likely significant effects to be identified. Significance is not defined. It is helpful to recall that article 1 of the Protocol states</w:t>
            </w:r>
            <w:r w:rsidR="0030746D">
              <w:rPr>
                <w:sz w:val="18"/>
              </w:rPr>
              <w:t xml:space="preserve"> that:</w:t>
            </w:r>
            <w:r w:rsidRPr="000F5F55">
              <w:rPr>
                <w:sz w:val="18"/>
              </w:rPr>
              <w:t xml:space="preserve"> “The objective of this Protocol is to provide for a high level of protection of the environment, including health”. </w:t>
            </w:r>
          </w:p>
          <w:p w14:paraId="10471462" w14:textId="77777777" w:rsidR="000F5F55" w:rsidRPr="000F5F55" w:rsidRDefault="000F5F55" w:rsidP="002B734C">
            <w:pPr>
              <w:spacing w:before="120" w:line="220" w:lineRule="exact"/>
              <w:ind w:left="136"/>
              <w:rPr>
                <w:sz w:val="18"/>
              </w:rPr>
            </w:pPr>
            <w:r w:rsidRPr="000F5F55">
              <w:rPr>
                <w:sz w:val="18"/>
              </w:rPr>
              <w:t>Consider the following question:</w:t>
            </w:r>
          </w:p>
          <w:p w14:paraId="11E5BB9C" w14:textId="77777777" w:rsidR="000F5F55" w:rsidRPr="00C72440" w:rsidRDefault="000F5F55" w:rsidP="002B734C">
            <w:pPr>
              <w:spacing w:before="120" w:line="220" w:lineRule="exact"/>
              <w:ind w:left="136"/>
              <w:rPr>
                <w:sz w:val="18"/>
              </w:rPr>
            </w:pPr>
            <w:r w:rsidRPr="00C72440">
              <w:rPr>
                <w:sz w:val="18"/>
              </w:rPr>
              <w:t>“Should the effect be taken into account in the development of the plan/programme (i.e. scoped in as significant), because the professional judgement of the assessor is that it provides, or is contrary to providing, a high level of protection to human health?” This should include, as appropriate, health prevention, treatment, care and promotion considerations.</w:t>
            </w:r>
          </w:p>
          <w:p w14:paraId="355B1881" w14:textId="04B4BB3A" w:rsidR="000F5F55" w:rsidRPr="000F5F55" w:rsidRDefault="000F5F55" w:rsidP="002B734C">
            <w:pPr>
              <w:spacing w:before="120" w:line="220" w:lineRule="exact"/>
              <w:ind w:left="136"/>
              <w:rPr>
                <w:sz w:val="18"/>
              </w:rPr>
            </w:pPr>
            <w:r w:rsidRPr="000F5F55">
              <w:rPr>
                <w:sz w:val="18"/>
              </w:rPr>
              <w:t xml:space="preserve">Typically, a small change in health risk factors for a few people would not be considered </w:t>
            </w:r>
            <w:r w:rsidR="00D97938">
              <w:rPr>
                <w:sz w:val="18"/>
              </w:rPr>
              <w:t xml:space="preserve">to be </w:t>
            </w:r>
            <w:r w:rsidRPr="000F5F55">
              <w:rPr>
                <w:sz w:val="18"/>
              </w:rPr>
              <w:t>a significant health effect.</w:t>
            </w:r>
          </w:p>
          <w:p w14:paraId="02C7D59F" w14:textId="77777777" w:rsidR="000F5F55" w:rsidRPr="000F5F55" w:rsidRDefault="000F5F55" w:rsidP="002B734C">
            <w:pPr>
              <w:spacing w:before="120" w:line="220" w:lineRule="exact"/>
              <w:ind w:left="134"/>
              <w:rPr>
                <w:sz w:val="18"/>
              </w:rPr>
            </w:pPr>
            <w:r w:rsidRPr="000F5F55">
              <w:rPr>
                <w:sz w:val="18"/>
              </w:rPr>
              <w:t>Overarching questions and sources of evidence (generally for the assessment stage) include:</w:t>
            </w:r>
          </w:p>
          <w:p w14:paraId="475AF68C" w14:textId="3EC99306" w:rsidR="000F5F55" w:rsidRPr="000F5F55" w:rsidRDefault="000F5F55" w:rsidP="000F5F55">
            <w:pPr>
              <w:spacing w:line="220" w:lineRule="exact"/>
              <w:ind w:left="134"/>
              <w:rPr>
                <w:sz w:val="18"/>
              </w:rPr>
            </w:pPr>
            <w:r w:rsidRPr="000F5F55">
              <w:rPr>
                <w:sz w:val="18"/>
              </w:rPr>
              <w:t>•</w:t>
            </w:r>
            <w:r w:rsidRPr="000F5F55">
              <w:rPr>
                <w:sz w:val="18"/>
              </w:rPr>
              <w:tab/>
              <w:t>Is the expected change in health important</w:t>
            </w:r>
            <w:r w:rsidR="00D97938">
              <w:rPr>
                <w:sz w:val="18"/>
              </w:rPr>
              <w:t>,</w:t>
            </w:r>
            <w:r w:rsidRPr="000F5F55">
              <w:rPr>
                <w:sz w:val="18"/>
              </w:rPr>
              <w:t xml:space="preserve"> given the scientific literature, baseline conditions and local health priorities?</w:t>
            </w:r>
          </w:p>
          <w:p w14:paraId="07B14523" w14:textId="7AC8F9AB" w:rsidR="000F5F55" w:rsidRPr="000F5F55" w:rsidRDefault="000F5F55" w:rsidP="002B734C">
            <w:pPr>
              <w:spacing w:before="120" w:line="220" w:lineRule="exact"/>
              <w:ind w:left="136"/>
              <w:rPr>
                <w:sz w:val="18"/>
              </w:rPr>
            </w:pPr>
            <w:r w:rsidRPr="000F5F55">
              <w:rPr>
                <w:sz w:val="18"/>
              </w:rPr>
              <w:t>•</w:t>
            </w:r>
            <w:r w:rsidRPr="000F5F55">
              <w:rPr>
                <w:sz w:val="18"/>
              </w:rPr>
              <w:tab/>
              <w:t>Is the expected change in population health acceptable (or desired) for the setting</w:t>
            </w:r>
            <w:r w:rsidR="00D97938">
              <w:rPr>
                <w:sz w:val="18"/>
              </w:rPr>
              <w:t>,</w:t>
            </w:r>
            <w:r w:rsidRPr="000F5F55">
              <w:rPr>
                <w:sz w:val="18"/>
              </w:rPr>
              <w:t xml:space="preserve"> given consultation responses, regulatory standards and the policy context?</w:t>
            </w:r>
          </w:p>
          <w:p w14:paraId="36B605E4" w14:textId="7FB62DE2" w:rsidR="000F5F55" w:rsidRPr="000F5F55" w:rsidRDefault="000F5F55" w:rsidP="002B734C">
            <w:pPr>
              <w:spacing w:before="120" w:line="220" w:lineRule="exact"/>
              <w:ind w:left="136"/>
              <w:rPr>
                <w:sz w:val="18"/>
              </w:rPr>
            </w:pPr>
            <w:r w:rsidRPr="000F5F55">
              <w:rPr>
                <w:sz w:val="18"/>
              </w:rPr>
              <w:t>In this context, the sensitivity of the potentially affected population and the expected magnitude of the impact may also be relevant (</w:t>
            </w:r>
            <w:r w:rsidR="00D97938">
              <w:rPr>
                <w:sz w:val="18"/>
              </w:rPr>
              <w:t>al</w:t>
            </w:r>
            <w:r w:rsidRPr="000F5F55">
              <w:rPr>
                <w:sz w:val="18"/>
              </w:rPr>
              <w:t>though detail on these considerations is typically at the project level).</w:t>
            </w:r>
          </w:p>
        </w:tc>
      </w:tr>
      <w:tr w:rsidR="000F5F55" w:rsidRPr="000F5F55" w14:paraId="7E57DADB" w14:textId="77777777" w:rsidTr="00020ACC">
        <w:trPr>
          <w:trHeight w:hRule="exact" w:val="20"/>
          <w:jc w:val="center"/>
        </w:trPr>
        <w:tc>
          <w:tcPr>
            <w:tcW w:w="7654" w:type="dxa"/>
            <w:tcBorders>
              <w:bottom w:val="single" w:sz="4" w:space="0" w:color="auto"/>
            </w:tcBorders>
            <w:shd w:val="clear" w:color="auto" w:fill="auto"/>
          </w:tcPr>
          <w:p w14:paraId="038E1F6A" w14:textId="77777777" w:rsidR="000F5F55" w:rsidRPr="000F5F55" w:rsidRDefault="000F5F55" w:rsidP="000F5F55">
            <w:pPr>
              <w:spacing w:line="220" w:lineRule="exact"/>
              <w:ind w:firstLine="170"/>
              <w:rPr>
                <w:sz w:val="18"/>
              </w:rPr>
            </w:pPr>
          </w:p>
        </w:tc>
      </w:tr>
    </w:tbl>
    <w:p w14:paraId="0B73F7A5" w14:textId="69293DC5" w:rsidR="00610014" w:rsidRPr="00592A71" w:rsidRDefault="00610014" w:rsidP="00610014">
      <w:pPr>
        <w:pStyle w:val="SingleTxtG"/>
        <w:spacing w:before="240"/>
        <w:rPr>
          <w:rFonts w:eastAsia="Calibri"/>
          <w:lang w:eastAsia="en-GB"/>
        </w:rPr>
      </w:pPr>
      <w:bookmarkStart w:id="32" w:name="_Hlk17474496"/>
      <w:r>
        <w:t>7</w:t>
      </w:r>
      <w:r w:rsidR="00413FFD">
        <w:t>2</w:t>
      </w:r>
      <w:r>
        <w:t>.</w:t>
      </w:r>
      <w:r>
        <w:tab/>
      </w:r>
      <w:r w:rsidRPr="00F819C8">
        <w:t xml:space="preserve">Different types of impacts considered in strategic environmental assessment include direct and indirect, </w:t>
      </w:r>
      <w:r w:rsidRPr="00F819C8">
        <w:rPr>
          <w:rFonts w:eastAsia="Calibri"/>
          <w:lang w:eastAsia="en-GB"/>
        </w:rPr>
        <w:t xml:space="preserve">secondary, cumulative, synergistic, short-, medium- and long-term, permanent and </w:t>
      </w:r>
      <w:r w:rsidRPr="00592A71">
        <w:rPr>
          <w:rFonts w:eastAsia="Calibri"/>
          <w:lang w:eastAsia="en-GB"/>
        </w:rPr>
        <w:t>temporary, positive and negative effects (</w:t>
      </w:r>
      <w:r>
        <w:rPr>
          <w:rFonts w:eastAsia="Calibri"/>
          <w:lang w:eastAsia="en-GB"/>
        </w:rPr>
        <w:t xml:space="preserve">see </w:t>
      </w:r>
      <w:r w:rsidR="00EF0965">
        <w:rPr>
          <w:rFonts w:eastAsia="Calibri"/>
          <w:lang w:eastAsia="en-GB"/>
        </w:rPr>
        <w:t>a</w:t>
      </w:r>
      <w:r w:rsidRPr="00592A71">
        <w:rPr>
          <w:rFonts w:eastAsia="Calibri"/>
          <w:lang w:eastAsia="en-GB"/>
        </w:rPr>
        <w:t>nnex IV</w:t>
      </w:r>
      <w:r w:rsidR="00EF0965">
        <w:rPr>
          <w:rFonts w:eastAsia="Calibri"/>
          <w:lang w:eastAsia="en-GB"/>
        </w:rPr>
        <w:t>,</w:t>
      </w:r>
      <w:r w:rsidRPr="00592A71">
        <w:rPr>
          <w:rFonts w:eastAsia="Calibri"/>
          <w:lang w:eastAsia="en-GB"/>
        </w:rPr>
        <w:t xml:space="preserve"> </w:t>
      </w:r>
      <w:r>
        <w:rPr>
          <w:rFonts w:eastAsia="Calibri"/>
          <w:lang w:eastAsia="en-GB"/>
        </w:rPr>
        <w:t>para. 6</w:t>
      </w:r>
      <w:r w:rsidR="0026563C">
        <w:rPr>
          <w:rFonts w:eastAsia="Calibri"/>
          <w:lang w:eastAsia="en-GB"/>
        </w:rPr>
        <w:t>, of the Protocol</w:t>
      </w:r>
      <w:r w:rsidRPr="00592A71">
        <w:rPr>
          <w:rFonts w:eastAsia="Calibri"/>
          <w:lang w:eastAsia="en-GB"/>
        </w:rPr>
        <w:t xml:space="preserve">).  </w:t>
      </w:r>
    </w:p>
    <w:p w14:paraId="7AF02E8F" w14:textId="6E339E82" w:rsidR="00610014" w:rsidRPr="00F819C8" w:rsidRDefault="00610014" w:rsidP="00610014">
      <w:pPr>
        <w:pStyle w:val="SingleTxtG"/>
        <w:rPr>
          <w:rFonts w:eastAsia="Calibri"/>
        </w:rPr>
      </w:pPr>
      <w:r>
        <w:rPr>
          <w:rFonts w:eastAsia="Calibri"/>
        </w:rPr>
        <w:t>7</w:t>
      </w:r>
      <w:r w:rsidR="00413FFD">
        <w:rPr>
          <w:rFonts w:eastAsia="Calibri"/>
        </w:rPr>
        <w:t>3</w:t>
      </w:r>
      <w:r>
        <w:rPr>
          <w:rFonts w:eastAsia="Calibri"/>
        </w:rPr>
        <w:t>.</w:t>
      </w:r>
      <w:r>
        <w:rPr>
          <w:rFonts w:eastAsia="Calibri"/>
        </w:rPr>
        <w:tab/>
      </w:r>
      <w:r w:rsidRPr="00592A71">
        <w:rPr>
          <w:rFonts w:eastAsia="Calibri"/>
        </w:rPr>
        <w:t>The evaluation of impact significance may be associated with existing environmental and health objectives and standards. However, compliance with a threshold does not necessarily equate to there being no health effect</w:t>
      </w:r>
      <w:r>
        <w:rPr>
          <w:rFonts w:eastAsia="Calibri"/>
        </w:rPr>
        <w:t xml:space="preserve">. Good practice is to set out a reasoned conclusion supporting the professional judgment reached, informed by an appropriate range of evidence sources.  </w:t>
      </w:r>
    </w:p>
    <w:p w14:paraId="6B3717F0" w14:textId="77777777" w:rsidR="00610014" w:rsidRPr="00682944" w:rsidRDefault="00610014" w:rsidP="00610014">
      <w:pPr>
        <w:pStyle w:val="H23G"/>
      </w:pPr>
      <w:r>
        <w:tab/>
        <w:t>3.</w:t>
      </w:r>
      <w:r>
        <w:tab/>
      </w:r>
      <w:r w:rsidRPr="00682944">
        <w:t>Preparation of an environmental report</w:t>
      </w:r>
    </w:p>
    <w:p w14:paraId="3B9E32EC" w14:textId="6EB8FD28" w:rsidR="00610014" w:rsidRDefault="00610014" w:rsidP="00610014">
      <w:pPr>
        <w:pStyle w:val="SingleTxtG"/>
      </w:pPr>
      <w:r>
        <w:t>7</w:t>
      </w:r>
      <w:r w:rsidR="00413FFD">
        <w:t>4</w:t>
      </w:r>
      <w:r>
        <w:t>.</w:t>
      </w:r>
      <w:r>
        <w:tab/>
        <w:t xml:space="preserve">Article 7 </w:t>
      </w:r>
      <w:r w:rsidR="00EF0965">
        <w:t>(</w:t>
      </w:r>
      <w:r>
        <w:t>1</w:t>
      </w:r>
      <w:r w:rsidR="00EF0965">
        <w:t>)</w:t>
      </w:r>
      <w:r>
        <w:t xml:space="preserve"> requires that an </w:t>
      </w:r>
      <w:r w:rsidR="0026563C">
        <w:t>“</w:t>
      </w:r>
      <w:r>
        <w:t>environmental report</w:t>
      </w:r>
      <w:r w:rsidR="0026563C">
        <w:t>”</w:t>
      </w:r>
      <w:r>
        <w:t xml:space="preserve"> be prepared for plans and programmes subject to strategic environmental assessment. Article 7 </w:t>
      </w:r>
      <w:r w:rsidR="00EF0965">
        <w:t>(</w:t>
      </w:r>
      <w:r>
        <w:t>2</w:t>
      </w:r>
      <w:r w:rsidR="00EF0965">
        <w:t>)</w:t>
      </w:r>
      <w:r>
        <w:t xml:space="preserve"> requires that the report</w:t>
      </w:r>
      <w:r w:rsidR="0026563C">
        <w:t>:</w:t>
      </w:r>
      <w:r>
        <w:t xml:space="preserve"> “</w:t>
      </w:r>
      <w:r w:rsidRPr="00C72440">
        <w:t>identify, describe and evaluate the likely significant environmental, including health, effects of implementing the plan or programme and its reasonable alternatives</w:t>
      </w:r>
      <w:r>
        <w:t xml:space="preserve">”. Annex IV requires </w:t>
      </w:r>
      <w:r w:rsidR="00B72A9D">
        <w:t xml:space="preserve">the </w:t>
      </w:r>
      <w:r>
        <w:t xml:space="preserve">specific inclusion of </w:t>
      </w:r>
      <w:r w:rsidR="00E3648A">
        <w:t xml:space="preserve">the </w:t>
      </w:r>
      <w:r>
        <w:t>relevant: health baseline and its likely evolution; health characteristics, problems and objectives; m</w:t>
      </w:r>
      <w:r w:rsidRPr="00892B61">
        <w:t>easures to prevent, reduce or mitigate any significant adverse health</w:t>
      </w:r>
      <w:r>
        <w:t xml:space="preserve"> effect; health monitoring measures; and likely significant transboundary health effects. </w:t>
      </w:r>
    </w:p>
    <w:p w14:paraId="3F144E64" w14:textId="7FB047AB" w:rsidR="00610014" w:rsidRDefault="00610014" w:rsidP="00610014">
      <w:pPr>
        <w:pStyle w:val="SingleTxtG"/>
      </w:pPr>
      <w:r>
        <w:t>7</w:t>
      </w:r>
      <w:r w:rsidR="00413FFD">
        <w:t>5</w:t>
      </w:r>
      <w:r>
        <w:t>.</w:t>
      </w:r>
      <w:r>
        <w:tab/>
      </w:r>
      <w:r w:rsidRPr="00F819C8">
        <w:t xml:space="preserve">The environmental report </w:t>
      </w:r>
      <w:r>
        <w:t>is a means to</w:t>
      </w:r>
      <w:r w:rsidRPr="00F819C8">
        <w:t xml:space="preserve"> explain how environmental and health objectives, as well as alternatives and other issues</w:t>
      </w:r>
      <w:r>
        <w:t>,</w:t>
      </w:r>
      <w:r w:rsidRPr="00F819C8">
        <w:t xml:space="preserve"> were identified</w:t>
      </w:r>
      <w:r>
        <w:t xml:space="preserve"> and taken into account</w:t>
      </w:r>
      <w:r w:rsidRPr="00F819C8">
        <w:t>.</w:t>
      </w:r>
      <w:r w:rsidRPr="004909E8">
        <w:t xml:space="preserve"> </w:t>
      </w:r>
      <w:r>
        <w:t xml:space="preserve">Article 7 </w:t>
      </w:r>
      <w:r w:rsidR="00EF0965">
        <w:t>(</w:t>
      </w:r>
      <w:r>
        <w:t>3</w:t>
      </w:r>
      <w:r w:rsidR="00EF0965">
        <w:t>)</w:t>
      </w:r>
      <w:r>
        <w:t xml:space="preserve"> requires</w:t>
      </w:r>
      <w:r w:rsidRPr="00E61077">
        <w:t xml:space="preserve"> </w:t>
      </w:r>
      <w:r>
        <w:t xml:space="preserve">Parties to ensure </w:t>
      </w:r>
      <w:r w:rsidRPr="00E61077">
        <w:t>that environmental report</w:t>
      </w:r>
      <w:r w:rsidR="00E3648A">
        <w:t>s</w:t>
      </w:r>
      <w:r w:rsidRPr="00E61077">
        <w:t xml:space="preserve"> </w:t>
      </w:r>
      <w:r w:rsidR="00E3648A">
        <w:t>are</w:t>
      </w:r>
      <w:r w:rsidR="00E3648A" w:rsidRPr="00E61077">
        <w:t xml:space="preserve"> </w:t>
      </w:r>
      <w:r w:rsidRPr="00E61077">
        <w:t xml:space="preserve">of sufficient quality (with regard to the </w:t>
      </w:r>
      <w:r w:rsidR="007A4EF2">
        <w:t xml:space="preserve">Protocol’s </w:t>
      </w:r>
      <w:r w:rsidRPr="00E61077">
        <w:t xml:space="preserve">requirements). Aspects of quality review may include </w:t>
      </w:r>
      <w:r>
        <w:t>the adequacy of</w:t>
      </w:r>
      <w:r w:rsidRPr="00E61077">
        <w:t xml:space="preserve"> alternatives</w:t>
      </w:r>
      <w:r>
        <w:t xml:space="preserve"> (including to address health effects) and</w:t>
      </w:r>
      <w:r w:rsidRPr="00E61077">
        <w:t xml:space="preserve"> </w:t>
      </w:r>
      <w:r>
        <w:t>of</w:t>
      </w:r>
      <w:r w:rsidRPr="00E61077">
        <w:t xml:space="preserve"> consultation </w:t>
      </w:r>
      <w:r>
        <w:t>with</w:t>
      </w:r>
      <w:r w:rsidRPr="00E61077">
        <w:t xml:space="preserve"> health authorities.</w:t>
      </w:r>
    </w:p>
    <w:p w14:paraId="0910372F" w14:textId="0C1A8EE8" w:rsidR="00610014" w:rsidRPr="00F819C8" w:rsidRDefault="00610014" w:rsidP="00610014">
      <w:pPr>
        <w:pStyle w:val="SingleTxtG"/>
      </w:pPr>
      <w:r>
        <w:t>7</w:t>
      </w:r>
      <w:r w:rsidR="00413FFD">
        <w:t>6</w:t>
      </w:r>
      <w:r>
        <w:t>.</w:t>
      </w:r>
      <w:r>
        <w:tab/>
        <w:t xml:space="preserve">A common feature of strategic environmental assessment methods is the identification and </w:t>
      </w:r>
      <w:r w:rsidR="00E3648A">
        <w:t xml:space="preserve">subsequent </w:t>
      </w:r>
      <w:r>
        <w:t xml:space="preserve">use of objectives against which to undertake evaluation. Box </w:t>
      </w:r>
      <w:r>
        <w:rPr>
          <w:noProof/>
        </w:rPr>
        <w:t>5</w:t>
      </w:r>
      <w:r>
        <w:t xml:space="preserve"> </w:t>
      </w:r>
      <w:r w:rsidR="00E3648A">
        <w:t xml:space="preserve">below </w:t>
      </w:r>
      <w:r>
        <w:t xml:space="preserve">considers health objectives. </w:t>
      </w:r>
    </w:p>
    <w:bookmarkEnd w:id="32"/>
    <w:p w14:paraId="4E21CC48" w14:textId="77777777" w:rsidR="00690C09" w:rsidRDefault="00690C09" w:rsidP="00A44029">
      <w:pPr>
        <w:pStyle w:val="FootnoteText"/>
        <w:spacing w:before="120"/>
        <w:ind w:left="0" w:firstLine="0"/>
        <w:rPr>
          <w:b/>
          <w:bCs/>
        </w:rPr>
      </w:pPr>
    </w:p>
    <w:p w14:paraId="7989560B" w14:textId="352A430D" w:rsidR="00F621F6" w:rsidRDefault="00F621F6" w:rsidP="00F621F6">
      <w:pPr>
        <w:pStyle w:val="SingleTxtG"/>
      </w:pPr>
      <w:bookmarkStart w:id="33" w:name="_Ref15314712"/>
      <w:bookmarkStart w:id="34" w:name="_Toc16667492"/>
      <w:bookmarkStart w:id="35" w:name="_Toc16761664"/>
      <w:bookmarkStart w:id="36" w:name="_Toc17216038"/>
      <w:r>
        <w:lastRenderedPageBreak/>
        <w:t xml:space="preserve">Box </w:t>
      </w:r>
      <w:r>
        <w:rPr>
          <w:noProof/>
        </w:rPr>
        <w:t>5</w:t>
      </w:r>
      <w:bookmarkEnd w:id="33"/>
      <w:r>
        <w:tab/>
      </w:r>
      <w:r>
        <w:br/>
      </w:r>
      <w:r w:rsidRPr="00F621F6">
        <w:rPr>
          <w:b/>
          <w:bCs/>
        </w:rPr>
        <w:t>Setting health objectives</w:t>
      </w:r>
      <w:bookmarkEnd w:id="34"/>
      <w:bookmarkEnd w:id="35"/>
      <w:bookmarkEnd w:id="36"/>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80"/>
      </w:tblGrid>
      <w:tr w:rsidR="00F621F6" w14:paraId="17464B50" w14:textId="77777777" w:rsidTr="00B402E7">
        <w:trPr>
          <w:trHeight w:hRule="exact" w:val="240"/>
          <w:jc w:val="center"/>
        </w:trPr>
        <w:tc>
          <w:tcPr>
            <w:tcW w:w="7380" w:type="dxa"/>
            <w:tcBorders>
              <w:top w:val="single" w:sz="4" w:space="0" w:color="auto"/>
            </w:tcBorders>
            <w:shd w:val="clear" w:color="auto" w:fill="auto"/>
          </w:tcPr>
          <w:p w14:paraId="24B6E39A" w14:textId="77777777" w:rsidR="00F621F6" w:rsidRDefault="00F621F6" w:rsidP="00020ACC">
            <w:pPr>
              <w:spacing w:line="240" w:lineRule="auto"/>
            </w:pPr>
          </w:p>
        </w:tc>
      </w:tr>
      <w:tr w:rsidR="00F621F6" w14:paraId="6B9E6CC9" w14:textId="77777777" w:rsidTr="00B402E7">
        <w:trPr>
          <w:jc w:val="center"/>
        </w:trPr>
        <w:tc>
          <w:tcPr>
            <w:tcW w:w="7380" w:type="dxa"/>
            <w:tcBorders>
              <w:bottom w:val="nil"/>
            </w:tcBorders>
            <w:shd w:val="clear" w:color="auto" w:fill="auto"/>
            <w:tcMar>
              <w:left w:w="142" w:type="dxa"/>
              <w:right w:w="142" w:type="dxa"/>
            </w:tcMar>
          </w:tcPr>
          <w:p w14:paraId="7EC3F0A9" w14:textId="197CF1C1" w:rsidR="006D313B" w:rsidRPr="006D313B" w:rsidRDefault="006D313B" w:rsidP="006D313B">
            <w:pPr>
              <w:pStyle w:val="SingleTxtG"/>
              <w:spacing w:before="120" w:after="0" w:line="220" w:lineRule="exact"/>
              <w:ind w:left="0" w:right="0" w:hanging="8"/>
              <w:jc w:val="left"/>
              <w:rPr>
                <w:sz w:val="18"/>
              </w:rPr>
            </w:pPr>
            <w:r w:rsidRPr="006D313B">
              <w:rPr>
                <w:sz w:val="18"/>
              </w:rPr>
              <w:t>Whil</w:t>
            </w:r>
            <w:r w:rsidR="00593C97">
              <w:rPr>
                <w:sz w:val="18"/>
              </w:rPr>
              <w:t>e</w:t>
            </w:r>
            <w:r w:rsidRPr="006D313B">
              <w:rPr>
                <w:sz w:val="18"/>
              </w:rPr>
              <w:t xml:space="preserve"> it is easier to present a long list of health objectives spanning a broad range of health issues and health determinants, a proportionate strategic environmental assessment procedure (with its many other considerations) necessitates a succinct approach with one health objective (encompassing a holistic view of health). </w:t>
            </w:r>
          </w:p>
          <w:p w14:paraId="3DF470DD" w14:textId="695332BB" w:rsidR="006D313B" w:rsidRPr="006D313B" w:rsidRDefault="006D313B" w:rsidP="006D313B">
            <w:pPr>
              <w:pStyle w:val="SingleTxtG"/>
              <w:spacing w:before="120" w:after="0" w:line="220" w:lineRule="exact"/>
              <w:ind w:left="0" w:right="0" w:hanging="8"/>
              <w:jc w:val="left"/>
              <w:rPr>
                <w:sz w:val="18"/>
              </w:rPr>
            </w:pPr>
            <w:r w:rsidRPr="006D313B">
              <w:rPr>
                <w:sz w:val="18"/>
              </w:rPr>
              <w:t>The following generic example may be used or adapted</w:t>
            </w:r>
            <w:r w:rsidR="005F55BE">
              <w:rPr>
                <w:sz w:val="18"/>
              </w:rPr>
              <w:t>:</w:t>
            </w:r>
          </w:p>
          <w:p w14:paraId="659AB6A9" w14:textId="50D27370" w:rsidR="006D313B" w:rsidRPr="00444289" w:rsidRDefault="00593C97" w:rsidP="006D313B">
            <w:pPr>
              <w:pStyle w:val="SingleTxtG"/>
              <w:spacing w:before="120" w:after="0" w:line="220" w:lineRule="exact"/>
              <w:ind w:left="0" w:right="0" w:hanging="8"/>
              <w:jc w:val="left"/>
              <w:rPr>
                <w:sz w:val="18"/>
              </w:rPr>
            </w:pPr>
            <w:r w:rsidRPr="00444289">
              <w:rPr>
                <w:sz w:val="18"/>
              </w:rPr>
              <w:t>“</w:t>
            </w:r>
            <w:r w:rsidR="006D313B" w:rsidRPr="00444289">
              <w:rPr>
                <w:sz w:val="18"/>
              </w:rPr>
              <w:t>The health objective is to improve the physical, mental and social well-being of current and future populations (including vulnerable groups and those who would be most affected by implementation of the plan/programme); having particular regard to health inequalities, healthy lifestyles, safe and cohesive communities, socioeconomic conditions (including education and employment), environmental conditions and health</w:t>
            </w:r>
            <w:r>
              <w:rPr>
                <w:sz w:val="18"/>
              </w:rPr>
              <w:t>-</w:t>
            </w:r>
            <w:r w:rsidR="006D313B" w:rsidRPr="00444289">
              <w:rPr>
                <w:sz w:val="18"/>
              </w:rPr>
              <w:t xml:space="preserve"> and social</w:t>
            </w:r>
            <w:r>
              <w:rPr>
                <w:sz w:val="18"/>
              </w:rPr>
              <w:t>-</w:t>
            </w:r>
            <w:r w:rsidR="006D313B" w:rsidRPr="00444289">
              <w:rPr>
                <w:sz w:val="18"/>
              </w:rPr>
              <w:t>care services.</w:t>
            </w:r>
            <w:r w:rsidRPr="00444289">
              <w:rPr>
                <w:sz w:val="18"/>
              </w:rPr>
              <w:t>”</w:t>
            </w:r>
            <w:r w:rsidR="006D313B" w:rsidRPr="00444289">
              <w:rPr>
                <w:sz w:val="18"/>
              </w:rPr>
              <w:t xml:space="preserve"> </w:t>
            </w:r>
          </w:p>
          <w:p w14:paraId="7B5E4C34" w14:textId="692AB019" w:rsidR="00F621F6" w:rsidRDefault="006D313B" w:rsidP="006D313B">
            <w:pPr>
              <w:pStyle w:val="SingleTxtG"/>
              <w:spacing w:before="120" w:after="0" w:line="220" w:lineRule="exact"/>
              <w:ind w:left="0" w:right="0" w:hanging="8"/>
              <w:jc w:val="left"/>
            </w:pPr>
            <w:r w:rsidRPr="006D313B">
              <w:rPr>
                <w:sz w:val="18"/>
              </w:rPr>
              <w:t>Where other strategic environmental assessment objectives cover relevant determinants of health</w:t>
            </w:r>
            <w:r w:rsidR="005F55BE">
              <w:rPr>
                <w:sz w:val="18"/>
              </w:rPr>
              <w:t>,</w:t>
            </w:r>
            <w:r w:rsidRPr="006D313B">
              <w:rPr>
                <w:sz w:val="18"/>
              </w:rPr>
              <w:t xml:space="preserve"> it is good practice to make the link with the health objective explicit.</w:t>
            </w:r>
          </w:p>
        </w:tc>
      </w:tr>
      <w:tr w:rsidR="00F621F6" w14:paraId="6722865A" w14:textId="77777777" w:rsidTr="00B402E7">
        <w:trPr>
          <w:trHeight w:hRule="exact" w:val="20"/>
          <w:jc w:val="center"/>
        </w:trPr>
        <w:tc>
          <w:tcPr>
            <w:tcW w:w="7380" w:type="dxa"/>
            <w:tcBorders>
              <w:bottom w:val="single" w:sz="4" w:space="0" w:color="auto"/>
            </w:tcBorders>
            <w:shd w:val="clear" w:color="auto" w:fill="auto"/>
          </w:tcPr>
          <w:p w14:paraId="37C04BA3" w14:textId="77777777" w:rsidR="00F621F6" w:rsidRDefault="00F621F6" w:rsidP="00020ACC">
            <w:pPr>
              <w:spacing w:line="240" w:lineRule="auto"/>
            </w:pPr>
          </w:p>
        </w:tc>
      </w:tr>
    </w:tbl>
    <w:p w14:paraId="3289183E" w14:textId="56371233" w:rsidR="00B402E7" w:rsidRPr="00406956" w:rsidRDefault="00B402E7" w:rsidP="00406956">
      <w:pPr>
        <w:pStyle w:val="SingleTxtG"/>
        <w:spacing w:before="240"/>
      </w:pPr>
      <w:r w:rsidRPr="00406956">
        <w:t>7</w:t>
      </w:r>
      <w:r w:rsidR="00413FFD">
        <w:t>7</w:t>
      </w:r>
      <w:r w:rsidRPr="00406956">
        <w:t>.</w:t>
      </w:r>
      <w:r w:rsidRPr="00406956">
        <w:tab/>
      </w:r>
      <w:r w:rsidR="005F55BE">
        <w:t xml:space="preserve">The </w:t>
      </w:r>
      <w:r w:rsidRPr="00406956">
        <w:t>Resource Manual</w:t>
      </w:r>
      <w:r w:rsidR="00A04E49">
        <w:rPr>
          <w:rStyle w:val="FootnoteReference"/>
        </w:rPr>
        <w:footnoteReference w:id="38"/>
      </w:r>
      <w:r w:rsidRPr="00406956">
        <w:t xml:space="preserve"> suggests that the best practicable environmental option be established. Furthermore, the evolution of the environment without a plan or programme is to be assessed. Importantly, alternatives should not be made up just to support the development and selection of a preconceived preferred alternative. In this context, public participation and consultation of health authorities can support the decision on what </w:t>
      </w:r>
      <w:r w:rsidR="005F4679">
        <w:t xml:space="preserve">constitute </w:t>
      </w:r>
      <w:r w:rsidRPr="00406956">
        <w:t xml:space="preserve">reasonable alternatives. </w:t>
      </w:r>
    </w:p>
    <w:p w14:paraId="5073CB6E" w14:textId="2B5C0A12" w:rsidR="00B402E7" w:rsidRPr="00406956" w:rsidRDefault="00B402E7" w:rsidP="00406956">
      <w:pPr>
        <w:pStyle w:val="SingleTxtG"/>
      </w:pPr>
      <w:r w:rsidRPr="00406956">
        <w:t>7</w:t>
      </w:r>
      <w:r w:rsidR="00413FFD">
        <w:t>8</w:t>
      </w:r>
      <w:r w:rsidRPr="00406956">
        <w:t>.</w:t>
      </w:r>
      <w:r w:rsidRPr="00406956">
        <w:tab/>
        <w:t>A key issue in the assessment of alternatives is the evaluation of impact significance (</w:t>
      </w:r>
      <w:r w:rsidRPr="00B270CC">
        <w:t xml:space="preserve">see </w:t>
      </w:r>
      <w:r w:rsidR="00B270CC" w:rsidRPr="00444289">
        <w:t>b</w:t>
      </w:r>
      <w:r w:rsidR="00406956" w:rsidRPr="00B270CC">
        <w:t xml:space="preserve">ox </w:t>
      </w:r>
      <w:r w:rsidR="00B270CC" w:rsidRPr="00444289">
        <w:t>6</w:t>
      </w:r>
      <w:r w:rsidR="00406956" w:rsidRPr="00B270CC">
        <w:t xml:space="preserve"> below</w:t>
      </w:r>
      <w:r w:rsidR="00406956">
        <w:t xml:space="preserve">). </w:t>
      </w:r>
      <w:r w:rsidRPr="00406956">
        <w:t xml:space="preserve">It is recommended that a methodology </w:t>
      </w:r>
      <w:r w:rsidR="00B270CC">
        <w:t>for</w:t>
      </w:r>
      <w:r w:rsidRPr="00406956">
        <w:t xml:space="preserve"> </w:t>
      </w:r>
      <w:r w:rsidR="00B270CC">
        <w:t>carrying out such an evaluation</w:t>
      </w:r>
      <w:r w:rsidRPr="00406956">
        <w:t xml:space="preserve"> for health be defined and consistently used throughout the environmental report in order to make results transparent, reproducible and comparable. A strategic professional judgment on the likely significance of health effects is key </w:t>
      </w:r>
      <w:r w:rsidR="00B270CC">
        <w:t>to</w:t>
      </w:r>
      <w:r w:rsidRPr="00406956">
        <w:t xml:space="preserve"> determining the preferred option.</w:t>
      </w:r>
    </w:p>
    <w:p w14:paraId="05500AB0" w14:textId="03171C61" w:rsidR="00B402E7" w:rsidRPr="00406956" w:rsidRDefault="00413FFD" w:rsidP="00406956">
      <w:pPr>
        <w:pStyle w:val="SingleTxtG"/>
      </w:pPr>
      <w:r>
        <w:t>79</w:t>
      </w:r>
      <w:r w:rsidR="00B402E7" w:rsidRPr="00406956">
        <w:t>.</w:t>
      </w:r>
      <w:r w:rsidR="00B402E7" w:rsidRPr="00406956">
        <w:tab/>
        <w:t xml:space="preserve">As part of the assessment of alternatives, mitigation measures are considered. It is recommended that enhancement measures be included and the </w:t>
      </w:r>
      <w:r w:rsidR="00B270CC">
        <w:t>“</w:t>
      </w:r>
      <w:r w:rsidR="00B402E7" w:rsidRPr="00406956">
        <w:t>mitigation hierarchy</w:t>
      </w:r>
      <w:r w:rsidR="00B270CC">
        <w:t>”</w:t>
      </w:r>
      <w:r w:rsidR="00B402E7" w:rsidRPr="00406956">
        <w:t xml:space="preserve"> be followed. With reference to the source-pathway-receptor linkages considered during scoping (see </w:t>
      </w:r>
      <w:r w:rsidR="00D24A38">
        <w:t>figure</w:t>
      </w:r>
      <w:r w:rsidR="00AD5C05">
        <w:t>s</w:t>
      </w:r>
      <w:r w:rsidR="00D24A38">
        <w:t xml:space="preserve"> II</w:t>
      </w:r>
      <w:r w:rsidR="00B402E7" w:rsidRPr="00406956">
        <w:t xml:space="preserve"> and </w:t>
      </w:r>
      <w:r w:rsidR="00AD5C05">
        <w:t>III</w:t>
      </w:r>
      <w:r w:rsidR="000208EF">
        <w:t xml:space="preserve"> above</w:t>
      </w:r>
      <w:r w:rsidR="00B402E7" w:rsidRPr="00406956">
        <w:t xml:space="preserve">), </w:t>
      </w:r>
      <w:r w:rsidR="00B270CC">
        <w:t xml:space="preserve">it is </w:t>
      </w:r>
      <w:r w:rsidR="00B402E7" w:rsidRPr="00406956">
        <w:t xml:space="preserve">good practice to identify key opportunities to: intervene where a pathway leads to adverse effects; and reinforce pathways that lead to beneficial effects. This process supports the identification of a small number of criteria relevant to the plan or programme and the health context that differentiates or allows </w:t>
      </w:r>
      <w:r w:rsidR="00F92972">
        <w:t xml:space="preserve">for </w:t>
      </w:r>
      <w:r w:rsidR="00B402E7" w:rsidRPr="00406956">
        <w:t xml:space="preserve">improvement </w:t>
      </w:r>
      <w:r w:rsidR="00F92972">
        <w:t>of</w:t>
      </w:r>
      <w:r w:rsidR="00B402E7" w:rsidRPr="00406956">
        <w:t xml:space="preserve"> the options. </w:t>
      </w:r>
    </w:p>
    <w:p w14:paraId="7034D7EC" w14:textId="0D31F195" w:rsidR="007E6467" w:rsidRPr="007E6467" w:rsidRDefault="00B402E7" w:rsidP="00BF4053">
      <w:pPr>
        <w:pStyle w:val="SingleTxtG"/>
      </w:pPr>
      <w:r w:rsidRPr="00406956">
        <w:t>8</w:t>
      </w:r>
      <w:r w:rsidR="00413FFD">
        <w:t>0</w:t>
      </w:r>
      <w:r w:rsidRPr="00406956">
        <w:t>.</w:t>
      </w:r>
      <w:r w:rsidRPr="00406956">
        <w:tab/>
        <w:t>Whil</w:t>
      </w:r>
      <w:r w:rsidR="00F92972">
        <w:t>e</w:t>
      </w:r>
      <w:r w:rsidRPr="00406956">
        <w:t xml:space="preserve"> the criteria (or guide questions) may be varied and are not</w:t>
      </w:r>
      <w:r w:rsidR="00F92972">
        <w:t>, therefore,</w:t>
      </w:r>
      <w:r w:rsidRPr="00406956">
        <w:t xml:space="preserve"> prescriptively stated here, it is recommended that they include an appropriate range </w:t>
      </w:r>
      <w:r w:rsidR="00F92972">
        <w:t xml:space="preserve">of </w:t>
      </w:r>
      <w:r w:rsidRPr="00406956">
        <w:t xml:space="preserve">key public health concepts and, as appropriate, span the wider determinants of health. Box 6 </w:t>
      </w:r>
      <w:r w:rsidR="00E3648A">
        <w:t xml:space="preserve">below </w:t>
      </w:r>
      <w:r w:rsidRPr="00406956">
        <w:t xml:space="preserve">provides a generic set of strategic health considerations to inform the assessment of options. The criteria (or guide questions) may be adapted in a variety of ways by strategic environmental assessment methodologies to provide weightings. </w:t>
      </w:r>
      <w:bookmarkStart w:id="37" w:name="_Ref16744858"/>
      <w:bookmarkStart w:id="38" w:name="_Toc16761665"/>
      <w:bookmarkStart w:id="39" w:name="_Toc17216039"/>
    </w:p>
    <w:p w14:paraId="7FE16396" w14:textId="1D08E464" w:rsidR="000D6C16" w:rsidRDefault="000D6C16" w:rsidP="000D6C16">
      <w:pPr>
        <w:pStyle w:val="Caption"/>
        <w:rPr>
          <w:rFonts w:eastAsia="Times New Roman"/>
        </w:rPr>
      </w:pPr>
      <w:r w:rsidRPr="000D6C16">
        <w:rPr>
          <w:b w:val="0"/>
          <w:bCs w:val="0"/>
        </w:rPr>
        <w:t xml:space="preserve">Box </w:t>
      </w:r>
      <w:r w:rsidRPr="000D6C16">
        <w:rPr>
          <w:b w:val="0"/>
          <w:bCs w:val="0"/>
          <w:noProof/>
        </w:rPr>
        <w:t>6</w:t>
      </w:r>
      <w:bookmarkEnd w:id="37"/>
      <w:r w:rsidRPr="000D6C16">
        <w:rPr>
          <w:b w:val="0"/>
          <w:bCs w:val="0"/>
        </w:rPr>
        <w:tab/>
      </w:r>
      <w:r>
        <w:br/>
      </w:r>
      <w:r w:rsidRPr="00C710C1">
        <w:t>Generic health criteria</w:t>
      </w:r>
      <w:bookmarkEnd w:id="38"/>
      <w:r>
        <w:t xml:space="preserve"> or guide questions</w:t>
      </w:r>
      <w:bookmarkEnd w:id="39"/>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243"/>
      </w:tblGrid>
      <w:tr w:rsidR="000D6C16" w14:paraId="68623252" w14:textId="77777777" w:rsidTr="000D6C16">
        <w:trPr>
          <w:trHeight w:hRule="exact" w:val="240"/>
          <w:jc w:val="center"/>
        </w:trPr>
        <w:tc>
          <w:tcPr>
            <w:tcW w:w="7243" w:type="dxa"/>
            <w:tcBorders>
              <w:top w:val="single" w:sz="4" w:space="0" w:color="auto"/>
            </w:tcBorders>
            <w:shd w:val="clear" w:color="auto" w:fill="auto"/>
          </w:tcPr>
          <w:p w14:paraId="04B6803C" w14:textId="77777777" w:rsidR="000D6C16" w:rsidRDefault="000D6C16" w:rsidP="00020ACC">
            <w:pPr>
              <w:spacing w:line="240" w:lineRule="auto"/>
            </w:pPr>
          </w:p>
        </w:tc>
      </w:tr>
      <w:tr w:rsidR="000D6C16" w14:paraId="6B0B115A" w14:textId="77777777" w:rsidTr="000D6C16">
        <w:trPr>
          <w:jc w:val="center"/>
        </w:trPr>
        <w:tc>
          <w:tcPr>
            <w:tcW w:w="7243" w:type="dxa"/>
            <w:tcBorders>
              <w:bottom w:val="nil"/>
            </w:tcBorders>
            <w:shd w:val="clear" w:color="auto" w:fill="auto"/>
            <w:tcMar>
              <w:left w:w="142" w:type="dxa"/>
              <w:right w:w="142" w:type="dxa"/>
            </w:tcMar>
          </w:tcPr>
          <w:p w14:paraId="1A315A4B" w14:textId="6E4AFDF7" w:rsidR="000D6C16" w:rsidRDefault="000D6C16" w:rsidP="000D6C16">
            <w:pPr>
              <w:spacing w:after="120"/>
            </w:pPr>
            <w:r>
              <w:t>In the long-term (time</w:t>
            </w:r>
            <w:r w:rsidR="00B270CC">
              <w:t xml:space="preserve"> </w:t>
            </w:r>
            <w:r>
              <w:t>frame to be defined), without significant short-term detriment (over months or years), which option</w:t>
            </w:r>
            <w:r w:rsidR="001838A2">
              <w:t xml:space="preserve"> most</w:t>
            </w:r>
            <w:r>
              <w:t>:</w:t>
            </w:r>
          </w:p>
          <w:p w14:paraId="7261B54D" w14:textId="59CD756E" w:rsidR="000D6C16" w:rsidRDefault="00E3648A" w:rsidP="000D6C16">
            <w:pPr>
              <w:spacing w:after="120"/>
            </w:pPr>
            <w:r>
              <w:t>(a)</w:t>
            </w:r>
            <w:r w:rsidR="000D6C16">
              <w:tab/>
            </w:r>
            <w:r>
              <w:t>N</w:t>
            </w:r>
            <w:r w:rsidR="000D6C16">
              <w:t>arrows health inequalities?</w:t>
            </w:r>
          </w:p>
          <w:p w14:paraId="297544CF" w14:textId="106FD26B" w:rsidR="000D6C16" w:rsidRDefault="00E3648A" w:rsidP="000D6C16">
            <w:pPr>
              <w:spacing w:after="120"/>
            </w:pPr>
            <w:r>
              <w:t>(b)</w:t>
            </w:r>
            <w:r w:rsidR="000D6C16">
              <w:tab/>
            </w:r>
            <w:r>
              <w:t>P</w:t>
            </w:r>
            <w:r w:rsidR="000D6C16">
              <w:t>romotes healthy lifestyles?</w:t>
            </w:r>
          </w:p>
          <w:p w14:paraId="12DD7A2A" w14:textId="1CC77467" w:rsidR="000D6C16" w:rsidRDefault="00E3648A" w:rsidP="000D6C16">
            <w:pPr>
              <w:spacing w:after="120"/>
            </w:pPr>
            <w:r>
              <w:t>(c)</w:t>
            </w:r>
            <w:r w:rsidR="000D6C16">
              <w:tab/>
            </w:r>
            <w:r>
              <w:t>P</w:t>
            </w:r>
            <w:r w:rsidR="000D6C16">
              <w:t xml:space="preserve">romotes safe and cohesive communities? </w:t>
            </w:r>
          </w:p>
          <w:p w14:paraId="55A4633D" w14:textId="6539D246" w:rsidR="000D6C16" w:rsidRDefault="00E3648A" w:rsidP="000D6C16">
            <w:pPr>
              <w:spacing w:after="120"/>
            </w:pPr>
            <w:r>
              <w:t>(d)</w:t>
            </w:r>
            <w:r w:rsidR="000D6C16">
              <w:tab/>
            </w:r>
            <w:r>
              <w:t>I</w:t>
            </w:r>
            <w:r w:rsidR="000D6C16">
              <w:t xml:space="preserve">ncreases socioeconomic conditions for people to thrive? </w:t>
            </w:r>
          </w:p>
          <w:p w14:paraId="1E800E07" w14:textId="03B9A649" w:rsidR="000D6C16" w:rsidRDefault="00E3648A" w:rsidP="000D6C16">
            <w:pPr>
              <w:spacing w:after="120"/>
            </w:pPr>
            <w:r>
              <w:lastRenderedPageBreak/>
              <w:t>(e)</w:t>
            </w:r>
            <w:r w:rsidR="000D6C16">
              <w:tab/>
            </w:r>
            <w:r>
              <w:t>I</w:t>
            </w:r>
            <w:r w:rsidR="000D6C16">
              <w:t>ncreases environmental conditions for people to thrive?</w:t>
            </w:r>
          </w:p>
          <w:p w14:paraId="31A6E77A" w14:textId="52410A22" w:rsidR="000D6C16" w:rsidRDefault="00E3648A" w:rsidP="000D6C16">
            <w:pPr>
              <w:spacing w:after="120"/>
              <w:jc w:val="both"/>
            </w:pPr>
            <w:r>
              <w:t>(f)</w:t>
            </w:r>
            <w:r w:rsidR="000D6C16">
              <w:tab/>
            </w:r>
            <w:r>
              <w:t>I</w:t>
            </w:r>
            <w:r w:rsidR="000D6C16">
              <w:t>mproves access to good quality health and social care?</w:t>
            </w:r>
          </w:p>
        </w:tc>
      </w:tr>
      <w:tr w:rsidR="000D6C16" w14:paraId="48375118" w14:textId="77777777" w:rsidTr="000D6C16">
        <w:trPr>
          <w:trHeight w:hRule="exact" w:val="20"/>
          <w:jc w:val="center"/>
        </w:trPr>
        <w:tc>
          <w:tcPr>
            <w:tcW w:w="7243" w:type="dxa"/>
            <w:tcBorders>
              <w:bottom w:val="single" w:sz="4" w:space="0" w:color="auto"/>
            </w:tcBorders>
            <w:shd w:val="clear" w:color="auto" w:fill="auto"/>
          </w:tcPr>
          <w:p w14:paraId="22A5A854" w14:textId="77777777" w:rsidR="000D6C16" w:rsidRDefault="000D6C16" w:rsidP="00020ACC">
            <w:pPr>
              <w:spacing w:line="240" w:lineRule="auto"/>
            </w:pPr>
          </w:p>
        </w:tc>
      </w:tr>
    </w:tbl>
    <w:p w14:paraId="0D2ED080" w14:textId="77777777" w:rsidR="007F0347" w:rsidRPr="0097732C" w:rsidRDefault="007F0347" w:rsidP="007F0347">
      <w:pPr>
        <w:pStyle w:val="H23G"/>
      </w:pPr>
      <w:r>
        <w:tab/>
        <w:t>4.</w:t>
      </w:r>
      <w:r>
        <w:tab/>
      </w:r>
      <w:r w:rsidRPr="0097732C">
        <w:t xml:space="preserve">Public participation </w:t>
      </w:r>
    </w:p>
    <w:p w14:paraId="58017C9D" w14:textId="66A8DC87" w:rsidR="007F0347" w:rsidRPr="00F819C8" w:rsidRDefault="007F0347" w:rsidP="007F0347">
      <w:pPr>
        <w:pStyle w:val="SingleTxtG"/>
      </w:pPr>
      <w:r>
        <w:t>8</w:t>
      </w:r>
      <w:r w:rsidR="00413FFD">
        <w:t>1</w:t>
      </w:r>
      <w:r>
        <w:t>.</w:t>
      </w:r>
      <w:r>
        <w:tab/>
      </w:r>
      <w:r w:rsidRPr="00F819C8">
        <w:t>Art</w:t>
      </w:r>
      <w:r>
        <w:t>icle</w:t>
      </w:r>
      <w:r w:rsidRPr="00F819C8">
        <w:t xml:space="preserve"> 8 </w:t>
      </w:r>
      <w:r w:rsidR="001A3F70">
        <w:t>(</w:t>
      </w:r>
      <w:r w:rsidRPr="00F819C8">
        <w:t>1</w:t>
      </w:r>
      <w:r w:rsidR="001A3F70">
        <w:t>)</w:t>
      </w:r>
      <w:r>
        <w:t xml:space="preserve"> </w:t>
      </w:r>
      <w:r w:rsidRPr="00F819C8">
        <w:t xml:space="preserve">explains what public participation should </w:t>
      </w:r>
      <w:r w:rsidR="004422E7">
        <w:t>comprise</w:t>
      </w:r>
      <w:r w:rsidRPr="00F819C8">
        <w:t xml:space="preserve">. Importantly, it should be </w:t>
      </w:r>
      <w:r>
        <w:t>“</w:t>
      </w:r>
      <w:r w:rsidRPr="00F819C8">
        <w:t>early, timely and effective</w:t>
      </w:r>
      <w:r>
        <w:t>”</w:t>
      </w:r>
      <w:r w:rsidRPr="00F819C8">
        <w:t xml:space="preserve"> when all options are open. </w:t>
      </w:r>
    </w:p>
    <w:p w14:paraId="4C168321" w14:textId="2C33E5B3" w:rsidR="007F0347" w:rsidRPr="00F819C8" w:rsidRDefault="007F0347" w:rsidP="007F0347">
      <w:pPr>
        <w:pStyle w:val="SingleTxtG"/>
      </w:pPr>
      <w:r>
        <w:t>8</w:t>
      </w:r>
      <w:r w:rsidR="00413FFD">
        <w:t>2</w:t>
      </w:r>
      <w:r>
        <w:t>.</w:t>
      </w:r>
      <w:r>
        <w:tab/>
      </w:r>
      <w:r w:rsidRPr="00F819C8">
        <w:t xml:space="preserve">Open and fair public participation may help </w:t>
      </w:r>
      <w:r w:rsidR="00256F96">
        <w:t xml:space="preserve">to </w:t>
      </w:r>
      <w:r w:rsidRPr="00F819C8">
        <w:t>resolve possible conflicts of interest, particular</w:t>
      </w:r>
      <w:r w:rsidR="002C3C76">
        <w:t>ly</w:t>
      </w:r>
      <w:r w:rsidRPr="00F819C8">
        <w:t xml:space="preserve"> by establishing public values and by taking them into account when considering alternatives in </w:t>
      </w:r>
      <w:r>
        <w:t>strategic environmental assessment</w:t>
      </w:r>
      <w:r w:rsidRPr="00F819C8">
        <w:t xml:space="preserve">. Public support for plan and programme decisions can increase, based on decisions reflecting expectations and preferences. Publicly acceptable solutions can </w:t>
      </w:r>
      <w:r w:rsidR="00DB5DC4">
        <w:t>both</w:t>
      </w:r>
      <w:r>
        <w:t xml:space="preserve"> </w:t>
      </w:r>
      <w:r w:rsidRPr="00F819C8">
        <w:t>reduce costs for plans and programmes by helping to avoid delays</w:t>
      </w:r>
      <w:r w:rsidR="009D731A">
        <w:t xml:space="preserve"> </w:t>
      </w:r>
      <w:r w:rsidR="00DB5DC4">
        <w:t>and</w:t>
      </w:r>
      <w:r>
        <w:t xml:space="preserve"> promote better mental and social well</w:t>
      </w:r>
      <w:r w:rsidR="009D731A">
        <w:t>-</w:t>
      </w:r>
      <w:r>
        <w:t>being</w:t>
      </w:r>
      <w:r w:rsidRPr="00F819C8">
        <w:t>.</w:t>
      </w:r>
    </w:p>
    <w:p w14:paraId="16B158A4" w14:textId="42DBEFC5" w:rsidR="007F0347" w:rsidRPr="00F819C8" w:rsidRDefault="007F0347" w:rsidP="007F0347">
      <w:pPr>
        <w:pStyle w:val="SingleTxtG"/>
      </w:pPr>
      <w:r>
        <w:t>8</w:t>
      </w:r>
      <w:r w:rsidR="00413FFD">
        <w:t>3</w:t>
      </w:r>
      <w:r>
        <w:t>.</w:t>
      </w:r>
      <w:r>
        <w:tab/>
        <w:t>Effective p</w:t>
      </w:r>
      <w:r w:rsidRPr="00F819C8">
        <w:t xml:space="preserve">ublic participation </w:t>
      </w:r>
      <w:r>
        <w:t>is</w:t>
      </w:r>
      <w:r w:rsidRPr="00F819C8">
        <w:t xml:space="preserve"> based on good governance principles. </w:t>
      </w:r>
      <w:r w:rsidR="004422E7">
        <w:t>In addition to</w:t>
      </w:r>
      <w:r w:rsidR="004422E7" w:rsidRPr="00F819C8">
        <w:t xml:space="preserve"> </w:t>
      </w:r>
      <w:r w:rsidRPr="00F819C8">
        <w:t>an overall right to participate, transparency (</w:t>
      </w:r>
      <w:r>
        <w:t>a</w:t>
      </w:r>
      <w:r w:rsidRPr="00F819C8">
        <w:t>rt. 3</w:t>
      </w:r>
      <w:r>
        <w:t xml:space="preserve"> </w:t>
      </w:r>
      <w:r w:rsidR="00D24A38">
        <w:t>(</w:t>
      </w:r>
      <w:r>
        <w:t>1</w:t>
      </w:r>
      <w:r w:rsidR="00D24A38">
        <w:t>)</w:t>
      </w:r>
      <w:r w:rsidRPr="00F819C8">
        <w:t xml:space="preserve">) and accountability </w:t>
      </w:r>
      <w:r w:rsidR="009D731A">
        <w:t>in</w:t>
      </w:r>
      <w:r w:rsidRPr="00F819C8">
        <w:t xml:space="preserve"> the plan</w:t>
      </w:r>
      <w:r w:rsidR="009D731A">
        <w:t>-</w:t>
      </w:r>
      <w:r w:rsidRPr="00F819C8">
        <w:t xml:space="preserve"> </w:t>
      </w:r>
      <w:r>
        <w:t>or</w:t>
      </w:r>
      <w:r w:rsidRPr="00F819C8">
        <w:t xml:space="preserve"> programme</w:t>
      </w:r>
      <w:r w:rsidR="009D731A">
        <w:t>-</w:t>
      </w:r>
      <w:r w:rsidRPr="00F819C8">
        <w:t xml:space="preserve">making process </w:t>
      </w:r>
      <w:r>
        <w:t>are</w:t>
      </w:r>
      <w:r w:rsidRPr="00F819C8">
        <w:t xml:space="preserve"> of key importance. </w:t>
      </w:r>
    </w:p>
    <w:p w14:paraId="2CA24247" w14:textId="0FAD149E" w:rsidR="007F0347" w:rsidRPr="00F819C8" w:rsidRDefault="007F0347" w:rsidP="007F0347">
      <w:pPr>
        <w:pStyle w:val="SingleTxtG"/>
      </w:pPr>
      <w:r>
        <w:t>8</w:t>
      </w:r>
      <w:r w:rsidR="00413FFD">
        <w:t>4</w:t>
      </w:r>
      <w:r>
        <w:t>.</w:t>
      </w:r>
      <w:r>
        <w:tab/>
      </w:r>
      <w:r w:rsidRPr="00F819C8">
        <w:t xml:space="preserve">When conducting public participation, it </w:t>
      </w:r>
      <w:r>
        <w:t xml:space="preserve">is recommended that health stakeholders (including </w:t>
      </w:r>
      <w:r w:rsidRPr="00D82C8D">
        <w:t>relevant non-governmental organizations,</w:t>
      </w:r>
      <w:r>
        <w:t xml:space="preserve"> (art. 8 </w:t>
      </w:r>
      <w:r w:rsidR="00D24A38">
        <w:t>(</w:t>
      </w:r>
      <w:r>
        <w:t>3))</w:t>
      </w:r>
      <w:r w:rsidRPr="00F819C8">
        <w:t xml:space="preserve"> </w:t>
      </w:r>
      <w:r w:rsidR="009D731A">
        <w:t>b</w:t>
      </w:r>
      <w:r>
        <w:t>e</w:t>
      </w:r>
      <w:r w:rsidRPr="00F819C8">
        <w:t xml:space="preserve"> map</w:t>
      </w:r>
      <w:r>
        <w:t>ped</w:t>
      </w:r>
      <w:r w:rsidRPr="00F819C8">
        <w:t xml:space="preserve"> regard</w:t>
      </w:r>
      <w:r w:rsidR="00A15AE9">
        <w:t>ing</w:t>
      </w:r>
      <w:r w:rsidRPr="00F819C8">
        <w:t xml:space="preserve"> their potential influence, attitude, position, background knowledge and interests. </w:t>
      </w:r>
    </w:p>
    <w:p w14:paraId="67D56832" w14:textId="77777777" w:rsidR="007F0347" w:rsidRPr="00A84A45" w:rsidRDefault="00F84204" w:rsidP="00F84204">
      <w:pPr>
        <w:pStyle w:val="H23G"/>
      </w:pPr>
      <w:r>
        <w:tab/>
      </w:r>
      <w:r w:rsidR="007F0347">
        <w:t>5.</w:t>
      </w:r>
      <w:r w:rsidR="007F0347">
        <w:tab/>
      </w:r>
      <w:r w:rsidR="007F0347" w:rsidRPr="00A84A45">
        <w:t>Consultation with environmental and health authorities</w:t>
      </w:r>
    </w:p>
    <w:p w14:paraId="010B2E2B" w14:textId="3C4FF118" w:rsidR="007F0347" w:rsidRDefault="007F0347" w:rsidP="007F0347">
      <w:pPr>
        <w:pStyle w:val="SingleTxtG"/>
      </w:pPr>
      <w:r>
        <w:t>8</w:t>
      </w:r>
      <w:r w:rsidR="00413FFD">
        <w:t>5</w:t>
      </w:r>
      <w:r>
        <w:t>.</w:t>
      </w:r>
      <w:r>
        <w:tab/>
        <w:t xml:space="preserve">Article 9 </w:t>
      </w:r>
      <w:r w:rsidR="00D24A38">
        <w:t>(</w:t>
      </w:r>
      <w:r>
        <w:t>1</w:t>
      </w:r>
      <w:r w:rsidR="00D24A38">
        <w:t>)</w:t>
      </w:r>
      <w:r>
        <w:t xml:space="preserve"> requires </w:t>
      </w:r>
      <w:r w:rsidRPr="00FE5C22">
        <w:t>Part</w:t>
      </w:r>
      <w:r>
        <w:t>ies to</w:t>
      </w:r>
      <w:r w:rsidRPr="00FE5C22">
        <w:t xml:space="preserve"> designate </w:t>
      </w:r>
      <w:r>
        <w:t xml:space="preserve">health </w:t>
      </w:r>
      <w:r w:rsidRPr="00FE5C22">
        <w:t xml:space="preserve">authorities to be consulted </w:t>
      </w:r>
      <w:r w:rsidRPr="004F54B2">
        <w:t>on draft plan</w:t>
      </w:r>
      <w:r w:rsidR="00DB5DC4">
        <w:t>s</w:t>
      </w:r>
      <w:r w:rsidRPr="004F54B2">
        <w:t xml:space="preserve"> or programme</w:t>
      </w:r>
      <w:r w:rsidR="00DB5DC4">
        <w:t>s</w:t>
      </w:r>
      <w:r w:rsidRPr="004F54B2">
        <w:t xml:space="preserve"> and environmental report</w:t>
      </w:r>
      <w:r w:rsidR="00DB5DC4">
        <w:t>s</w:t>
      </w:r>
      <w:r w:rsidRPr="00CB21A6">
        <w:t>.</w:t>
      </w:r>
      <w:r>
        <w:t xml:space="preserve"> Article 9 </w:t>
      </w:r>
      <w:r w:rsidR="00D24A38">
        <w:t>(</w:t>
      </w:r>
      <w:r>
        <w:t>3</w:t>
      </w:r>
      <w:r w:rsidR="00D24A38">
        <w:t>)</w:t>
      </w:r>
      <w:r>
        <w:t xml:space="preserve"> requires </w:t>
      </w:r>
      <w:r w:rsidR="009D731A">
        <w:t>that</w:t>
      </w:r>
      <w:r>
        <w:t xml:space="preserve"> health authorities be </w:t>
      </w:r>
      <w:r w:rsidRPr="004F54B2">
        <w:t>given</w:t>
      </w:r>
      <w:r w:rsidR="009D731A">
        <w:t>:</w:t>
      </w:r>
      <w:r w:rsidRPr="004F54B2">
        <w:t xml:space="preserve"> </w:t>
      </w:r>
      <w:r>
        <w:t>“</w:t>
      </w:r>
      <w:r w:rsidRPr="00444289">
        <w:t>in an early, timely and effective manner, the opportunity to express their opinion</w:t>
      </w:r>
      <w:bookmarkStart w:id="40" w:name="_Hlk18404274"/>
      <w:r>
        <w:t>”</w:t>
      </w:r>
      <w:bookmarkEnd w:id="40"/>
      <w:r>
        <w:t>. Article 10 describes transboundary consultation</w:t>
      </w:r>
      <w:r w:rsidR="00D83411">
        <w:t>s</w:t>
      </w:r>
      <w:r>
        <w:t xml:space="preserve"> where </w:t>
      </w:r>
      <w:r w:rsidRPr="00CB08D8">
        <w:t>a plan or programme is likely to have significant transboundary health</w:t>
      </w:r>
      <w:r>
        <w:t xml:space="preserve"> effects. </w:t>
      </w:r>
    </w:p>
    <w:p w14:paraId="24F6DF98" w14:textId="69CC78E0" w:rsidR="007F0347" w:rsidRPr="00F819C8" w:rsidRDefault="007F0347" w:rsidP="007F0347">
      <w:pPr>
        <w:pStyle w:val="SingleTxtG"/>
      </w:pPr>
      <w:r>
        <w:t>8</w:t>
      </w:r>
      <w:r w:rsidR="00413FFD">
        <w:t>6</w:t>
      </w:r>
      <w:r>
        <w:t>.</w:t>
      </w:r>
      <w:r>
        <w:tab/>
      </w:r>
      <w:r w:rsidRPr="00F819C8">
        <w:t xml:space="preserve">Strategic environmental assessment is </w:t>
      </w:r>
      <w:r w:rsidR="00DB5DC4">
        <w:t>un</w:t>
      </w:r>
      <w:r w:rsidRPr="00F819C8">
        <w:t>likely to improve consideration of health in planning while there continues to be separation of functions between professions and lack of understanding between professions</w:t>
      </w:r>
      <w:r>
        <w:t>.</w:t>
      </w:r>
      <w:r>
        <w:rPr>
          <w:rStyle w:val="FootnoteReference"/>
        </w:rPr>
        <w:footnoteReference w:id="39"/>
      </w:r>
      <w:r w:rsidRPr="00F819C8">
        <w:t xml:space="preserve"> Cross-sectoral work is therefore important. However, this can be challenging. </w:t>
      </w:r>
    </w:p>
    <w:p w14:paraId="2DEC97FF" w14:textId="31A3087E" w:rsidR="007F0347" w:rsidRPr="00F819C8" w:rsidRDefault="007F0347" w:rsidP="007F0347">
      <w:pPr>
        <w:pStyle w:val="SingleTxtG"/>
      </w:pPr>
      <w:r>
        <w:t>8</w:t>
      </w:r>
      <w:r w:rsidR="00413FFD">
        <w:t>7</w:t>
      </w:r>
      <w:r>
        <w:t>.</w:t>
      </w:r>
      <w:r>
        <w:tab/>
      </w:r>
      <w:r w:rsidRPr="00F819C8">
        <w:t xml:space="preserve">Environmental authorities have data on the environment. Public health authorities have data on the population in their areas. Knowledge of the area and of the environmental and health priorities that have been set are of crucial importance. Access to stakeholders will be key </w:t>
      </w:r>
      <w:r w:rsidR="00C66EC7">
        <w:t>to</w:t>
      </w:r>
      <w:r w:rsidRPr="00F819C8">
        <w:t xml:space="preserve"> the consultative aspect of the assessment</w:t>
      </w:r>
      <w:r w:rsidR="00CD21E6">
        <w:t>,</w:t>
      </w:r>
      <w:r w:rsidRPr="00F819C8">
        <w:t xml:space="preserve"> as well as wider dissemination of information and knowledge about the plan or programme. </w:t>
      </w:r>
    </w:p>
    <w:p w14:paraId="688FE571" w14:textId="5529B2DA" w:rsidR="007F0347" w:rsidRDefault="007F0347" w:rsidP="007F0347">
      <w:pPr>
        <w:pStyle w:val="SingleTxtG"/>
      </w:pPr>
      <w:r>
        <w:t>8</w:t>
      </w:r>
      <w:r w:rsidR="00413FFD">
        <w:t>8</w:t>
      </w:r>
      <w:r>
        <w:t>.</w:t>
      </w:r>
      <w:r>
        <w:tab/>
      </w:r>
      <w:r w:rsidR="00CD21E6">
        <w:t xml:space="preserve">One </w:t>
      </w:r>
      <w:r w:rsidRPr="00F819C8">
        <w:t>challenge to overcome</w:t>
      </w:r>
      <w:r>
        <w:t xml:space="preserve"> is that </w:t>
      </w:r>
      <w:r w:rsidRPr="00F819C8">
        <w:t xml:space="preserve">public health authorities may not </w:t>
      </w:r>
      <w:r w:rsidR="00DB5DC4">
        <w:t xml:space="preserve">have </w:t>
      </w:r>
      <w:r w:rsidRPr="00F819C8">
        <w:t xml:space="preserve">strategic environmental assessment </w:t>
      </w:r>
      <w:r w:rsidR="00DB5DC4">
        <w:t>expertise or</w:t>
      </w:r>
      <w:r w:rsidRPr="00F819C8">
        <w:t xml:space="preserve"> be aware of the process. </w:t>
      </w:r>
      <w:r w:rsidR="00DB5DC4">
        <w:t>P</w:t>
      </w:r>
      <w:r w:rsidR="00CD21E6">
        <w:t xml:space="preserve">aragraph </w:t>
      </w:r>
      <w:r w:rsidR="00C66EC7">
        <w:t>29</w:t>
      </w:r>
      <w:r w:rsidR="00CD21E6">
        <w:t xml:space="preserve"> above </w:t>
      </w:r>
      <w:r w:rsidR="00DB5DC4">
        <w:t>containsa recommendation on</w:t>
      </w:r>
      <w:r>
        <w:t xml:space="preserve"> addressing capacity shortfalls in the discussion of institutional capacity</w:t>
      </w:r>
      <w:r w:rsidRPr="00A83CA2">
        <w:t>.</w:t>
      </w:r>
    </w:p>
    <w:p w14:paraId="73621366" w14:textId="5AF0F0DC" w:rsidR="007F0347" w:rsidRPr="00F819C8" w:rsidRDefault="00413FFD" w:rsidP="007F0347">
      <w:pPr>
        <w:pStyle w:val="SingleTxtG"/>
      </w:pPr>
      <w:r>
        <w:t>89</w:t>
      </w:r>
      <w:r w:rsidR="007F0347">
        <w:t>.</w:t>
      </w:r>
      <w:r w:rsidR="007F0347">
        <w:tab/>
      </w:r>
      <w:bookmarkStart w:id="42" w:name="_Hlk17175061"/>
      <w:r w:rsidR="007F0347">
        <w:t>A</w:t>
      </w:r>
      <w:r w:rsidR="007F0347" w:rsidRPr="00F819C8">
        <w:t xml:space="preserve"> central tenet of this guidance is that authorities conducting </w:t>
      </w:r>
      <w:r w:rsidR="007F0347">
        <w:t>strategic environmental assessment</w:t>
      </w:r>
      <w:r w:rsidR="007F0347" w:rsidRPr="00F819C8">
        <w:t xml:space="preserve"> </w:t>
      </w:r>
      <w:r w:rsidR="00CD21E6">
        <w:t xml:space="preserve">should </w:t>
      </w:r>
      <w:r w:rsidR="007F0347" w:rsidRPr="00F819C8">
        <w:t xml:space="preserve">seek advice from public health authorities (owing to </w:t>
      </w:r>
      <w:r w:rsidR="007F0347">
        <w:t xml:space="preserve">specific requirements to consult health authorities </w:t>
      </w:r>
      <w:r w:rsidR="00CD21E6">
        <w:t xml:space="preserve">contained </w:t>
      </w:r>
      <w:r w:rsidR="007F0347">
        <w:t xml:space="preserve">in </w:t>
      </w:r>
      <w:r w:rsidR="00D24A38">
        <w:t>a</w:t>
      </w:r>
      <w:r w:rsidR="007F0347">
        <w:t>rticles 5 (screening), 6 (scoping), 9 (draft reporting), 10 (transboundary matters) and 11 (decision</w:t>
      </w:r>
      <w:r w:rsidR="00365D5E">
        <w:t>-</w:t>
      </w:r>
      <w:r w:rsidR="007F0347">
        <w:t>making)</w:t>
      </w:r>
      <w:r w:rsidR="007F0347" w:rsidRPr="00F819C8">
        <w:t xml:space="preserve">). </w:t>
      </w:r>
      <w:bookmarkEnd w:id="42"/>
      <w:r w:rsidR="007F0347">
        <w:t>Establishing (and annually reviewing) joint working arrangements between public health administrations and other key sector administrations (</w:t>
      </w:r>
      <w:r w:rsidR="000247B4">
        <w:t xml:space="preserve">for example, </w:t>
      </w:r>
      <w:r w:rsidR="007F0347">
        <w:t xml:space="preserve">regional development and town and country planning) is good practice </w:t>
      </w:r>
      <w:r w:rsidR="00DA4CD1">
        <w:t>with regard to</w:t>
      </w:r>
      <w:r w:rsidR="007F0347">
        <w:t xml:space="preserve"> ensur</w:t>
      </w:r>
      <w:r w:rsidR="00DA4CD1">
        <w:t>ing</w:t>
      </w:r>
      <w:r w:rsidR="007F0347">
        <w:t xml:space="preserve"> a shared understanding of the strategic environmental assessments coming forward and the coordination of inputs into th</w:t>
      </w:r>
      <w:r w:rsidR="00DA4CD1">
        <w:t>ose assessments</w:t>
      </w:r>
      <w:r w:rsidR="007F0347">
        <w:t xml:space="preserve">. </w:t>
      </w:r>
    </w:p>
    <w:p w14:paraId="148F356E" w14:textId="2240C69E" w:rsidR="007F0347" w:rsidRPr="00F819C8" w:rsidRDefault="007F0347" w:rsidP="007F0347">
      <w:pPr>
        <w:pStyle w:val="SingleTxtG"/>
      </w:pPr>
      <w:r>
        <w:t>9</w:t>
      </w:r>
      <w:r w:rsidR="00413FFD">
        <w:t>0</w:t>
      </w:r>
      <w:r>
        <w:t>.</w:t>
      </w:r>
      <w:r>
        <w:tab/>
      </w:r>
      <w:r w:rsidRPr="00F819C8">
        <w:t>What then are the essential functions of a public health system</w:t>
      </w:r>
      <w:r>
        <w:t xml:space="preserve"> and what can environmental authorities request from their counterparts in health</w:t>
      </w:r>
      <w:r w:rsidRPr="00F819C8">
        <w:t xml:space="preserve">? The WHO </w:t>
      </w:r>
      <w:r w:rsidR="004D6FDC">
        <w:t xml:space="preserve">has </w:t>
      </w:r>
      <w:r w:rsidRPr="00F819C8">
        <w:t xml:space="preserve">reviewed </w:t>
      </w:r>
      <w:r w:rsidRPr="00F819C8">
        <w:lastRenderedPageBreak/>
        <w:t>essential public health functions in different regions</w:t>
      </w:r>
      <w:r>
        <w:t>.</w:t>
      </w:r>
      <w:bookmarkStart w:id="43" w:name="_Ref16773648"/>
      <w:r>
        <w:rPr>
          <w:rStyle w:val="FootnoteReference"/>
        </w:rPr>
        <w:footnoteReference w:id="40"/>
      </w:r>
      <w:bookmarkEnd w:id="43"/>
      <w:r w:rsidRPr="00F819C8">
        <w:t xml:space="preserve"> These are reported differently but can be divided into horizontal and vertical functions (see </w:t>
      </w:r>
      <w:r w:rsidR="00D24A38">
        <w:t>box 7</w:t>
      </w:r>
      <w:r>
        <w:t xml:space="preserve"> below</w:t>
      </w:r>
      <w:r w:rsidRPr="00F819C8">
        <w:t xml:space="preserve">). </w:t>
      </w:r>
    </w:p>
    <w:p w14:paraId="351AB527" w14:textId="7BFE442A" w:rsidR="00BE3DCB" w:rsidRDefault="00BE3DCB" w:rsidP="00790CED">
      <w:pPr>
        <w:pStyle w:val="SingleTxtG"/>
        <w:jc w:val="left"/>
      </w:pPr>
      <w:bookmarkStart w:id="44" w:name="_Ref16699082"/>
      <w:bookmarkStart w:id="45" w:name="_Toc16761666"/>
      <w:bookmarkStart w:id="46" w:name="_Toc17216040"/>
      <w:r>
        <w:t>Box</w:t>
      </w:r>
      <w:r w:rsidR="00790CED">
        <w:t xml:space="preserve"> </w:t>
      </w:r>
      <w:r>
        <w:rPr>
          <w:noProof/>
        </w:rPr>
        <w:t>7</w:t>
      </w:r>
      <w:bookmarkEnd w:id="44"/>
      <w:r>
        <w:br/>
      </w:r>
      <w:r w:rsidRPr="00BE3DCB">
        <w:rPr>
          <w:b/>
          <w:bCs/>
        </w:rPr>
        <w:tab/>
        <w:t>Essential functions of a public health system</w:t>
      </w:r>
      <w:bookmarkEnd w:id="45"/>
      <w:bookmarkEnd w:id="46"/>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7"/>
      </w:tblGrid>
      <w:tr w:rsidR="00D135AB" w14:paraId="283F4F0B" w14:textId="77777777" w:rsidTr="00D135AB">
        <w:trPr>
          <w:trHeight w:hRule="exact" w:val="240"/>
          <w:jc w:val="center"/>
        </w:trPr>
        <w:tc>
          <w:tcPr>
            <w:tcW w:w="7517" w:type="dxa"/>
            <w:tcBorders>
              <w:top w:val="single" w:sz="4" w:space="0" w:color="auto"/>
            </w:tcBorders>
            <w:shd w:val="clear" w:color="auto" w:fill="auto"/>
          </w:tcPr>
          <w:p w14:paraId="5CA45AE1" w14:textId="77777777" w:rsidR="00D135AB" w:rsidRDefault="00D135AB" w:rsidP="00020ACC">
            <w:pPr>
              <w:spacing w:line="240" w:lineRule="auto"/>
            </w:pPr>
          </w:p>
        </w:tc>
      </w:tr>
      <w:tr w:rsidR="00D135AB" w14:paraId="76A07390" w14:textId="77777777" w:rsidTr="00D135AB">
        <w:trPr>
          <w:jc w:val="center"/>
        </w:trPr>
        <w:tc>
          <w:tcPr>
            <w:tcW w:w="7517" w:type="dxa"/>
            <w:tcBorders>
              <w:bottom w:val="nil"/>
            </w:tcBorders>
            <w:shd w:val="clear" w:color="auto" w:fill="auto"/>
            <w:tcMar>
              <w:left w:w="142" w:type="dxa"/>
              <w:right w:w="142" w:type="dxa"/>
            </w:tcMar>
          </w:tcPr>
          <w:p w14:paraId="1FC822A7" w14:textId="570FD9B4" w:rsidR="00D135AB" w:rsidRDefault="00D135AB" w:rsidP="00080610">
            <w:pPr>
              <w:pStyle w:val="SingleTxtG"/>
              <w:spacing w:before="120" w:after="0" w:line="220" w:lineRule="exact"/>
              <w:ind w:left="0" w:right="0"/>
              <w:jc w:val="left"/>
              <w:rPr>
                <w:sz w:val="18"/>
              </w:rPr>
            </w:pPr>
            <w:r w:rsidRPr="00976AB6">
              <w:rPr>
                <w:sz w:val="18"/>
              </w:rPr>
              <w:t>Horizontal functions are basic building blocks for health systems. These include:</w:t>
            </w:r>
          </w:p>
          <w:p w14:paraId="5BE62959" w14:textId="4EE83676" w:rsidR="00D135AB" w:rsidRPr="00976AB6" w:rsidRDefault="00D135AB" w:rsidP="00080610">
            <w:pPr>
              <w:pStyle w:val="SingleTxtG"/>
              <w:spacing w:before="120" w:after="0" w:line="220" w:lineRule="exact"/>
              <w:ind w:left="0" w:right="0" w:firstLine="170"/>
              <w:jc w:val="left"/>
              <w:rPr>
                <w:sz w:val="18"/>
              </w:rPr>
            </w:pPr>
            <w:r w:rsidRPr="00976AB6">
              <w:rPr>
                <w:sz w:val="18"/>
              </w:rPr>
              <w:t>•</w:t>
            </w:r>
            <w:r w:rsidRPr="00976AB6">
              <w:rPr>
                <w:sz w:val="18"/>
              </w:rPr>
              <w:tab/>
            </w:r>
            <w:r w:rsidRPr="00976AB6">
              <w:rPr>
                <w:b/>
                <w:bCs/>
                <w:sz w:val="18"/>
              </w:rPr>
              <w:t>Governance</w:t>
            </w:r>
            <w:r w:rsidR="00CD21B1">
              <w:rPr>
                <w:sz w:val="18"/>
              </w:rPr>
              <w:t xml:space="preserve"> -</w:t>
            </w:r>
            <w:r w:rsidRPr="00976AB6">
              <w:rPr>
                <w:sz w:val="18"/>
              </w:rPr>
              <w:t xml:space="preserve"> including public health management, planning and institutional collaboration</w:t>
            </w:r>
            <w:r w:rsidR="001B2D47">
              <w:rPr>
                <w:sz w:val="18"/>
              </w:rPr>
              <w:t>.</w:t>
            </w:r>
            <w:r w:rsidRPr="00976AB6">
              <w:rPr>
                <w:sz w:val="18"/>
              </w:rPr>
              <w:t xml:space="preserve"> </w:t>
            </w:r>
          </w:p>
          <w:p w14:paraId="27CD1C84" w14:textId="57F1A6F4" w:rsidR="00D135AB" w:rsidRPr="00976AB6" w:rsidRDefault="00D135AB" w:rsidP="00080610">
            <w:pPr>
              <w:pStyle w:val="SingleTxtG"/>
              <w:spacing w:before="120" w:after="0" w:line="220" w:lineRule="exact"/>
              <w:ind w:left="0" w:right="0" w:firstLine="170"/>
              <w:jc w:val="left"/>
              <w:rPr>
                <w:sz w:val="18"/>
              </w:rPr>
            </w:pPr>
            <w:r w:rsidRPr="00976AB6">
              <w:rPr>
                <w:sz w:val="18"/>
              </w:rPr>
              <w:t>•</w:t>
            </w:r>
            <w:r w:rsidRPr="00976AB6">
              <w:rPr>
                <w:sz w:val="18"/>
              </w:rPr>
              <w:tab/>
            </w:r>
            <w:r w:rsidRPr="00976AB6">
              <w:rPr>
                <w:b/>
                <w:bCs/>
                <w:sz w:val="18"/>
              </w:rPr>
              <w:t>Health information</w:t>
            </w:r>
            <w:r w:rsidRPr="00976AB6">
              <w:rPr>
                <w:sz w:val="18"/>
              </w:rPr>
              <w:t xml:space="preserve"> </w:t>
            </w:r>
            <w:r w:rsidRPr="00FE559C">
              <w:rPr>
                <w:b/>
                <w:bCs/>
                <w:sz w:val="18"/>
              </w:rPr>
              <w:t>systems</w:t>
            </w:r>
            <w:r w:rsidR="00CD21B1">
              <w:rPr>
                <w:sz w:val="18"/>
              </w:rPr>
              <w:t xml:space="preserve"> -</w:t>
            </w:r>
            <w:r w:rsidRPr="00976AB6">
              <w:rPr>
                <w:sz w:val="18"/>
              </w:rPr>
              <w:t xml:space="preserve"> including population health surveillance and monitoring, including civil registration and vital statistics systems, disease registries, health-related surveys, disease-specific surveillance programmes, monitoring of health system workforce and performance, risk assessment and data reporting and analysis</w:t>
            </w:r>
            <w:r w:rsidR="001B2D47">
              <w:rPr>
                <w:sz w:val="18"/>
              </w:rPr>
              <w:t>.</w:t>
            </w:r>
            <w:r w:rsidRPr="00976AB6">
              <w:rPr>
                <w:sz w:val="18"/>
              </w:rPr>
              <w:t xml:space="preserve"> </w:t>
            </w:r>
          </w:p>
          <w:p w14:paraId="02CBBDFD" w14:textId="1F7FBF36" w:rsidR="00D135AB" w:rsidRPr="00976AB6" w:rsidRDefault="00D135AB" w:rsidP="00080610">
            <w:pPr>
              <w:pStyle w:val="SingleTxtG"/>
              <w:spacing w:before="120" w:after="0" w:line="220" w:lineRule="exact"/>
              <w:ind w:left="0" w:right="0" w:firstLine="170"/>
              <w:jc w:val="left"/>
              <w:rPr>
                <w:sz w:val="18"/>
              </w:rPr>
            </w:pPr>
            <w:r w:rsidRPr="00976AB6">
              <w:rPr>
                <w:sz w:val="18"/>
              </w:rPr>
              <w:t>•</w:t>
            </w:r>
            <w:r w:rsidRPr="00976AB6">
              <w:rPr>
                <w:sz w:val="18"/>
              </w:rPr>
              <w:tab/>
            </w:r>
            <w:r w:rsidRPr="00976AB6">
              <w:rPr>
                <w:b/>
                <w:bCs/>
                <w:sz w:val="18"/>
              </w:rPr>
              <w:t>Research</w:t>
            </w:r>
            <w:r w:rsidR="00CD21B1">
              <w:rPr>
                <w:b/>
                <w:bCs/>
                <w:sz w:val="18"/>
              </w:rPr>
              <w:t xml:space="preserve"> -</w:t>
            </w:r>
            <w:r w:rsidRPr="00976AB6">
              <w:rPr>
                <w:sz w:val="18"/>
              </w:rPr>
              <w:t xml:space="preserve"> including ethical safeguards, integration of research activities into public health and dissemination and knowledge-brokering to translate research findings into policy and practice</w:t>
            </w:r>
            <w:r w:rsidR="00CD21B1">
              <w:rPr>
                <w:sz w:val="18"/>
              </w:rPr>
              <w:t>.</w:t>
            </w:r>
            <w:r w:rsidRPr="00976AB6">
              <w:rPr>
                <w:sz w:val="18"/>
              </w:rPr>
              <w:t xml:space="preserve"> </w:t>
            </w:r>
          </w:p>
          <w:p w14:paraId="5D4431B4" w14:textId="0DFC3B75" w:rsidR="00D135AB" w:rsidRPr="00976AB6" w:rsidRDefault="00D135AB" w:rsidP="00080610">
            <w:pPr>
              <w:pStyle w:val="SingleTxtG"/>
              <w:spacing w:before="120" w:after="0" w:line="220" w:lineRule="exact"/>
              <w:ind w:left="0" w:right="0" w:firstLine="170"/>
              <w:jc w:val="left"/>
              <w:rPr>
                <w:sz w:val="18"/>
              </w:rPr>
            </w:pPr>
            <w:r w:rsidRPr="00976AB6">
              <w:rPr>
                <w:sz w:val="18"/>
              </w:rPr>
              <w:t>•</w:t>
            </w:r>
            <w:r w:rsidRPr="00976AB6">
              <w:rPr>
                <w:sz w:val="18"/>
              </w:rPr>
              <w:tab/>
            </w:r>
            <w:r w:rsidRPr="00976AB6">
              <w:rPr>
                <w:b/>
                <w:bCs/>
                <w:sz w:val="18"/>
              </w:rPr>
              <w:t>Social participation</w:t>
            </w:r>
            <w:r w:rsidRPr="00976AB6">
              <w:rPr>
                <w:sz w:val="18"/>
              </w:rPr>
              <w:t xml:space="preserve"> </w:t>
            </w:r>
            <w:r w:rsidRPr="00FE559C">
              <w:rPr>
                <w:b/>
                <w:bCs/>
                <w:sz w:val="18"/>
              </w:rPr>
              <w:t>and health communication</w:t>
            </w:r>
            <w:r w:rsidR="00CD21B1">
              <w:rPr>
                <w:sz w:val="18"/>
              </w:rPr>
              <w:t xml:space="preserve"> -</w:t>
            </w:r>
            <w:r w:rsidRPr="00976AB6">
              <w:rPr>
                <w:sz w:val="18"/>
              </w:rPr>
              <w:t xml:space="preserve"> including health promotion and the arrival of new communication technologies and social media platforms for health, a</w:t>
            </w:r>
            <w:r w:rsidR="002C3C76">
              <w:rPr>
                <w:sz w:val="18"/>
              </w:rPr>
              <w:t>nd</w:t>
            </w:r>
            <w:r w:rsidRPr="00976AB6">
              <w:rPr>
                <w:sz w:val="18"/>
              </w:rPr>
              <w:t xml:space="preserve"> the continuing goal </w:t>
            </w:r>
            <w:r w:rsidR="002C3C76">
              <w:rPr>
                <w:sz w:val="18"/>
              </w:rPr>
              <w:t>of</w:t>
            </w:r>
            <w:r w:rsidRPr="00976AB6">
              <w:rPr>
                <w:sz w:val="18"/>
              </w:rPr>
              <w:t xml:space="preserve"> design</w:t>
            </w:r>
            <w:r w:rsidR="002C3C76">
              <w:rPr>
                <w:sz w:val="18"/>
              </w:rPr>
              <w:t>ing</w:t>
            </w:r>
            <w:r w:rsidRPr="00976AB6">
              <w:rPr>
                <w:sz w:val="18"/>
              </w:rPr>
              <w:t xml:space="preserve"> public health services around people’s needs. </w:t>
            </w:r>
          </w:p>
          <w:p w14:paraId="1C33B956" w14:textId="4D3F82E4" w:rsidR="00D135AB" w:rsidRDefault="00D135AB" w:rsidP="00080610">
            <w:pPr>
              <w:pStyle w:val="SingleTxtG"/>
              <w:spacing w:before="120" w:after="0" w:line="220" w:lineRule="exact"/>
              <w:ind w:left="0" w:right="0" w:firstLine="170"/>
              <w:jc w:val="left"/>
              <w:rPr>
                <w:sz w:val="18"/>
              </w:rPr>
            </w:pPr>
            <w:r w:rsidRPr="00976AB6">
              <w:rPr>
                <w:sz w:val="18"/>
              </w:rPr>
              <w:t>Vertical functions are service-based functions that make up the traditional public health services provided by modern health systems. They include:</w:t>
            </w:r>
          </w:p>
          <w:p w14:paraId="0759D4CA" w14:textId="2AFBB6EA" w:rsidR="00D135AB" w:rsidRPr="00976AB6" w:rsidRDefault="00D135AB" w:rsidP="00080610">
            <w:pPr>
              <w:pStyle w:val="SingleTxtG"/>
              <w:spacing w:before="120" w:after="0" w:line="220" w:lineRule="exact"/>
              <w:ind w:left="0" w:right="0" w:firstLine="170"/>
              <w:jc w:val="left"/>
              <w:rPr>
                <w:sz w:val="18"/>
              </w:rPr>
            </w:pPr>
            <w:r w:rsidRPr="00976AB6">
              <w:rPr>
                <w:sz w:val="18"/>
              </w:rPr>
              <w:t>•</w:t>
            </w:r>
            <w:r w:rsidRPr="00976AB6">
              <w:rPr>
                <w:sz w:val="18"/>
              </w:rPr>
              <w:tab/>
            </w:r>
            <w:r w:rsidRPr="00976AB6">
              <w:rPr>
                <w:b/>
                <w:bCs/>
                <w:sz w:val="18"/>
              </w:rPr>
              <w:t>Health protection</w:t>
            </w:r>
            <w:r w:rsidR="00CD21B1">
              <w:rPr>
                <w:b/>
                <w:bCs/>
                <w:sz w:val="18"/>
              </w:rPr>
              <w:t xml:space="preserve"> -</w:t>
            </w:r>
            <w:r w:rsidRPr="00976AB6">
              <w:rPr>
                <w:sz w:val="18"/>
              </w:rPr>
              <w:t xml:space="preserve"> regulations and legal protections for workers, patients, consumers, the environment </w:t>
            </w:r>
            <w:r w:rsidR="00CD21B1">
              <w:rPr>
                <w:sz w:val="18"/>
              </w:rPr>
              <w:t>(</w:t>
            </w:r>
            <w:r w:rsidRPr="00976AB6">
              <w:rPr>
                <w:sz w:val="18"/>
              </w:rPr>
              <w:t xml:space="preserve">can </w:t>
            </w:r>
            <w:r w:rsidR="00CD21B1">
              <w:rPr>
                <w:sz w:val="18"/>
              </w:rPr>
              <w:t xml:space="preserve">also </w:t>
            </w:r>
            <w:r w:rsidRPr="00976AB6">
              <w:rPr>
                <w:sz w:val="18"/>
              </w:rPr>
              <w:t>include environment, occupational health and traffic safety</w:t>
            </w:r>
            <w:r w:rsidR="00CD21B1">
              <w:rPr>
                <w:sz w:val="18"/>
              </w:rPr>
              <w:t>)</w:t>
            </w:r>
            <w:r w:rsidRPr="00976AB6">
              <w:rPr>
                <w:sz w:val="18"/>
              </w:rPr>
              <w:t>.</w:t>
            </w:r>
          </w:p>
          <w:p w14:paraId="1C44F3DF" w14:textId="563F6B09" w:rsidR="00D135AB" w:rsidRPr="00976AB6" w:rsidRDefault="00D135AB" w:rsidP="00080610">
            <w:pPr>
              <w:pStyle w:val="SingleTxtG"/>
              <w:spacing w:before="120" w:after="0" w:line="220" w:lineRule="exact"/>
              <w:ind w:left="0" w:right="0" w:firstLine="170"/>
              <w:jc w:val="left"/>
              <w:rPr>
                <w:sz w:val="18"/>
              </w:rPr>
            </w:pPr>
            <w:r w:rsidRPr="00976AB6">
              <w:rPr>
                <w:sz w:val="18"/>
              </w:rPr>
              <w:t>•</w:t>
            </w:r>
            <w:r w:rsidRPr="00976AB6">
              <w:rPr>
                <w:sz w:val="18"/>
              </w:rPr>
              <w:tab/>
            </w:r>
            <w:r w:rsidRPr="00976AB6">
              <w:rPr>
                <w:b/>
                <w:bCs/>
                <w:sz w:val="18"/>
              </w:rPr>
              <w:t>Health promotion</w:t>
            </w:r>
            <w:r w:rsidR="00CD21B1">
              <w:rPr>
                <w:b/>
                <w:bCs/>
                <w:sz w:val="18"/>
              </w:rPr>
              <w:t xml:space="preserve"> -</w:t>
            </w:r>
            <w:r w:rsidRPr="00976AB6">
              <w:rPr>
                <w:sz w:val="18"/>
              </w:rPr>
              <w:t xml:space="preserve"> community and social participation, intersectoral collaboration, measures to address behavioural risk factors (tobacco, alcohol, diet and physical activity) and the social determinants of health and health education</w:t>
            </w:r>
            <w:r w:rsidR="005E4844">
              <w:rPr>
                <w:sz w:val="18"/>
              </w:rPr>
              <w:t>.</w:t>
            </w:r>
          </w:p>
          <w:p w14:paraId="1C4C651E" w14:textId="25629A4F" w:rsidR="00D135AB" w:rsidRPr="00976AB6" w:rsidRDefault="00D135AB" w:rsidP="00080610">
            <w:pPr>
              <w:pStyle w:val="SingleTxtG"/>
              <w:spacing w:before="120" w:after="0" w:line="220" w:lineRule="exact"/>
              <w:ind w:left="0" w:right="0" w:firstLine="170"/>
              <w:jc w:val="left"/>
              <w:rPr>
                <w:sz w:val="18"/>
              </w:rPr>
            </w:pPr>
            <w:r w:rsidRPr="00976AB6">
              <w:rPr>
                <w:sz w:val="18"/>
              </w:rPr>
              <w:t>•</w:t>
            </w:r>
            <w:r w:rsidRPr="00976AB6">
              <w:rPr>
                <w:sz w:val="18"/>
              </w:rPr>
              <w:tab/>
            </w:r>
            <w:r w:rsidRPr="00976AB6">
              <w:rPr>
                <w:b/>
                <w:bCs/>
                <w:sz w:val="18"/>
              </w:rPr>
              <w:t>Health care</w:t>
            </w:r>
            <w:r w:rsidR="00CD21B1">
              <w:rPr>
                <w:b/>
                <w:bCs/>
                <w:sz w:val="18"/>
              </w:rPr>
              <w:t xml:space="preserve"> -</w:t>
            </w:r>
            <w:r w:rsidRPr="00976AB6">
              <w:rPr>
                <w:sz w:val="18"/>
              </w:rPr>
              <w:t xml:space="preserve"> the European Region excludes most health</w:t>
            </w:r>
            <w:r w:rsidR="005E4844">
              <w:rPr>
                <w:sz w:val="18"/>
              </w:rPr>
              <w:t>-</w:t>
            </w:r>
            <w:r w:rsidRPr="00976AB6">
              <w:rPr>
                <w:sz w:val="18"/>
              </w:rPr>
              <w:t>care services from the public health remit, in order to have specific policy space for population-based services</w:t>
            </w:r>
            <w:r w:rsidR="005E4844">
              <w:rPr>
                <w:sz w:val="18"/>
              </w:rPr>
              <w:t>.</w:t>
            </w:r>
            <w:r w:rsidRPr="00976AB6">
              <w:rPr>
                <w:sz w:val="18"/>
              </w:rPr>
              <w:t xml:space="preserve"> </w:t>
            </w:r>
            <w:r w:rsidR="005E4844">
              <w:rPr>
                <w:sz w:val="18"/>
              </w:rPr>
              <w:t>H</w:t>
            </w:r>
            <w:r w:rsidRPr="00976AB6">
              <w:rPr>
                <w:sz w:val="18"/>
              </w:rPr>
              <w:t>ealth care has</w:t>
            </w:r>
            <w:r w:rsidR="005E4844">
              <w:rPr>
                <w:sz w:val="18"/>
              </w:rPr>
              <w:t>,</w:t>
            </w:r>
            <w:r w:rsidRPr="00976AB6">
              <w:rPr>
                <w:sz w:val="18"/>
              </w:rPr>
              <w:t xml:space="preserve"> however</w:t>
            </w:r>
            <w:r w:rsidR="005E4844">
              <w:rPr>
                <w:sz w:val="18"/>
              </w:rPr>
              <w:t>,</w:t>
            </w:r>
            <w:r w:rsidRPr="00976AB6">
              <w:rPr>
                <w:sz w:val="18"/>
              </w:rPr>
              <w:t xml:space="preserve"> been included in this list </w:t>
            </w:r>
            <w:r w:rsidR="005E4844">
              <w:rPr>
                <w:sz w:val="18"/>
              </w:rPr>
              <w:t xml:space="preserve">in order </w:t>
            </w:r>
            <w:r w:rsidRPr="00976AB6">
              <w:rPr>
                <w:sz w:val="18"/>
              </w:rPr>
              <w:t xml:space="preserve">to acknowledge </w:t>
            </w:r>
            <w:r w:rsidR="005E4844">
              <w:rPr>
                <w:sz w:val="18"/>
              </w:rPr>
              <w:t xml:space="preserve">the fact </w:t>
            </w:r>
            <w:r w:rsidRPr="00976AB6">
              <w:rPr>
                <w:sz w:val="18"/>
              </w:rPr>
              <w:t>that other regions take a different approach</w:t>
            </w:r>
            <w:r w:rsidR="00501CAF">
              <w:rPr>
                <w:sz w:val="18"/>
              </w:rPr>
              <w:t>,</w:t>
            </w:r>
            <w:r w:rsidRPr="00976AB6">
              <w:rPr>
                <w:sz w:val="18"/>
              </w:rPr>
              <w:t xml:space="preserve"> and to encourage competent authorities to include universal coverage of health care within the scope of </w:t>
            </w:r>
            <w:r w:rsidR="00F92972">
              <w:rPr>
                <w:sz w:val="18"/>
              </w:rPr>
              <w:t>strategic environmental assessment</w:t>
            </w:r>
            <w:r w:rsidRPr="00976AB6">
              <w:rPr>
                <w:sz w:val="18"/>
              </w:rPr>
              <w:t xml:space="preserve">s. </w:t>
            </w:r>
          </w:p>
          <w:p w14:paraId="39CFDEBB" w14:textId="1C3829A9" w:rsidR="00D135AB" w:rsidRDefault="00D135AB" w:rsidP="00080610">
            <w:pPr>
              <w:pStyle w:val="SingleTxtG"/>
              <w:spacing w:before="120" w:after="0" w:line="220" w:lineRule="exact"/>
              <w:ind w:left="0" w:right="0" w:firstLine="170"/>
              <w:jc w:val="left"/>
            </w:pPr>
            <w:r w:rsidRPr="00976AB6">
              <w:rPr>
                <w:sz w:val="18"/>
              </w:rPr>
              <w:t>•</w:t>
            </w:r>
            <w:r w:rsidRPr="00976AB6">
              <w:rPr>
                <w:sz w:val="18"/>
              </w:rPr>
              <w:tab/>
            </w:r>
            <w:r w:rsidRPr="00976AB6">
              <w:rPr>
                <w:b/>
                <w:bCs/>
                <w:sz w:val="18"/>
              </w:rPr>
              <w:t>Preparedness for public health emergencies</w:t>
            </w:r>
            <w:r w:rsidR="00CD21B1">
              <w:rPr>
                <w:b/>
                <w:bCs/>
                <w:sz w:val="18"/>
              </w:rPr>
              <w:t xml:space="preserve"> -</w:t>
            </w:r>
            <w:r w:rsidRPr="00976AB6">
              <w:rPr>
                <w:sz w:val="18"/>
              </w:rPr>
              <w:t xml:space="preserve"> including any sudden, large-scale, negative impact on public health arising from outbreaks, natural disasters, severe weather events, migratory flows, accidents, terrorism, or other environmental or human causes. </w:t>
            </w:r>
            <w:r w:rsidR="00B23CD4">
              <w:rPr>
                <w:sz w:val="18"/>
              </w:rPr>
              <w:t>While n</w:t>
            </w:r>
            <w:r w:rsidRPr="00976AB6">
              <w:rPr>
                <w:sz w:val="18"/>
              </w:rPr>
              <w:t xml:space="preserve">ational health authorities do not </w:t>
            </w:r>
            <w:r w:rsidRPr="00976AB6">
              <w:rPr>
                <w:b/>
                <w:bCs/>
                <w:sz w:val="18"/>
              </w:rPr>
              <w:t>necessarily</w:t>
            </w:r>
            <w:r w:rsidRPr="00976AB6">
              <w:rPr>
                <w:sz w:val="18"/>
              </w:rPr>
              <w:t xml:space="preserve"> take the lead role in managing these emergencies, there are important competencies needed within </w:t>
            </w:r>
            <w:r w:rsidR="000C0301">
              <w:rPr>
                <w:sz w:val="18"/>
              </w:rPr>
              <w:t>such authorities</w:t>
            </w:r>
            <w:r w:rsidRPr="00976AB6">
              <w:rPr>
                <w:sz w:val="18"/>
              </w:rPr>
              <w:t xml:space="preserve"> for risk assessment and coordinated response.</w:t>
            </w:r>
          </w:p>
        </w:tc>
      </w:tr>
      <w:tr w:rsidR="00D135AB" w14:paraId="7C843FFA" w14:textId="77777777" w:rsidTr="00D135AB">
        <w:trPr>
          <w:trHeight w:hRule="exact" w:val="20"/>
          <w:jc w:val="center"/>
        </w:trPr>
        <w:tc>
          <w:tcPr>
            <w:tcW w:w="7517" w:type="dxa"/>
            <w:tcBorders>
              <w:bottom w:val="single" w:sz="4" w:space="0" w:color="auto"/>
            </w:tcBorders>
            <w:shd w:val="clear" w:color="auto" w:fill="auto"/>
          </w:tcPr>
          <w:p w14:paraId="047E4E08" w14:textId="77777777" w:rsidR="00D135AB" w:rsidRDefault="00D135AB" w:rsidP="00080610">
            <w:pPr>
              <w:spacing w:before="120" w:line="240" w:lineRule="auto"/>
            </w:pPr>
          </w:p>
        </w:tc>
      </w:tr>
    </w:tbl>
    <w:p w14:paraId="78974710" w14:textId="65EB85EB" w:rsidR="00F961FC" w:rsidRPr="007E6467" w:rsidRDefault="001B2D47" w:rsidP="00A44029">
      <w:pPr>
        <w:pStyle w:val="SingleTxtG"/>
        <w:spacing w:before="120"/>
        <w:jc w:val="left"/>
        <w:rPr>
          <w:sz w:val="18"/>
          <w:szCs w:val="18"/>
        </w:rPr>
      </w:pPr>
      <w:bookmarkStart w:id="47" w:name="_Hlk17475780"/>
      <w:r w:rsidRPr="007E6467">
        <w:rPr>
          <w:i/>
          <w:iCs/>
          <w:sz w:val="18"/>
          <w:szCs w:val="18"/>
        </w:rPr>
        <w:t>Source:</w:t>
      </w:r>
      <w:r w:rsidRPr="007E6467">
        <w:rPr>
          <w:sz w:val="18"/>
          <w:szCs w:val="18"/>
        </w:rPr>
        <w:t xml:space="preserve"> </w:t>
      </w:r>
      <w:r w:rsidR="00FF5972" w:rsidRPr="007E6467">
        <w:rPr>
          <w:sz w:val="18"/>
          <w:szCs w:val="18"/>
        </w:rPr>
        <w:t xml:space="preserve">based on </w:t>
      </w:r>
      <w:r w:rsidRPr="007E6467">
        <w:rPr>
          <w:sz w:val="18"/>
          <w:szCs w:val="18"/>
        </w:rPr>
        <w:t xml:space="preserve">WHO, </w:t>
      </w:r>
      <w:r w:rsidRPr="007E6467">
        <w:rPr>
          <w:i/>
          <w:iCs/>
          <w:sz w:val="18"/>
          <w:szCs w:val="18"/>
        </w:rPr>
        <w:t>Essential public health functions, health systems and health security: Developing conceptual clarity and a WHO road map for action</w:t>
      </w:r>
      <w:r w:rsidRPr="007E6467">
        <w:rPr>
          <w:sz w:val="18"/>
          <w:szCs w:val="18"/>
        </w:rPr>
        <w:t xml:space="preserve"> (Geneva, 2018).</w:t>
      </w:r>
    </w:p>
    <w:bookmarkEnd w:id="47"/>
    <w:p w14:paraId="5E8E2AB8" w14:textId="619400CE" w:rsidR="00F961FC" w:rsidRDefault="00F961FC" w:rsidP="00F961FC">
      <w:pPr>
        <w:pStyle w:val="SingleTxtG"/>
      </w:pPr>
      <w:r>
        <w:t>9</w:t>
      </w:r>
      <w:r w:rsidR="00413FFD">
        <w:t>1</w:t>
      </w:r>
      <w:r>
        <w:t>.</w:t>
      </w:r>
      <w:r>
        <w:tab/>
      </w:r>
      <w:r w:rsidRPr="00A84A45">
        <w:t xml:space="preserve">Horizontal functions underpin the cross-sectoral and long-term work needed to develop and implement plans and programmes. Vertical functions are key aspects for health </w:t>
      </w:r>
      <w:r w:rsidR="001F63C4">
        <w:t xml:space="preserve">and it is </w:t>
      </w:r>
      <w:r>
        <w:t xml:space="preserve">recommended </w:t>
      </w:r>
      <w:r w:rsidR="001F63C4">
        <w:t xml:space="preserve">that they </w:t>
      </w:r>
      <w:r w:rsidRPr="00A84A45">
        <w:t>be considered in strategic environmental assessment.</w:t>
      </w:r>
    </w:p>
    <w:p w14:paraId="0F09C311" w14:textId="177D7AF0" w:rsidR="00534FBA" w:rsidRPr="003E766F" w:rsidRDefault="00534FBA" w:rsidP="00534FBA">
      <w:pPr>
        <w:pStyle w:val="H23G"/>
      </w:pPr>
      <w:r>
        <w:tab/>
        <w:t>6.</w:t>
      </w:r>
      <w:r>
        <w:tab/>
      </w:r>
      <w:r>
        <w:tab/>
      </w:r>
      <w:r w:rsidRPr="003E766F">
        <w:t>Decision</w:t>
      </w:r>
      <w:r w:rsidR="00593C97">
        <w:t>-</w:t>
      </w:r>
      <w:r w:rsidRPr="003E766F">
        <w:t xml:space="preserve">making </w:t>
      </w:r>
    </w:p>
    <w:p w14:paraId="048D1E13" w14:textId="6DFAFDD2" w:rsidR="00534FBA" w:rsidRPr="003E766F" w:rsidRDefault="00534FBA" w:rsidP="00534FBA">
      <w:pPr>
        <w:pStyle w:val="SingleTxtG"/>
      </w:pPr>
      <w:r>
        <w:t>9</w:t>
      </w:r>
      <w:r w:rsidR="00413FFD">
        <w:t>2</w:t>
      </w:r>
      <w:r>
        <w:t>.</w:t>
      </w:r>
      <w:r>
        <w:tab/>
        <w:t xml:space="preserve">Article 11 </w:t>
      </w:r>
      <w:r w:rsidR="00D24A38">
        <w:t>(</w:t>
      </w:r>
      <w:r>
        <w:t>2</w:t>
      </w:r>
      <w:r w:rsidR="00D24A38">
        <w:t>)</w:t>
      </w:r>
      <w:r>
        <w:t xml:space="preserve"> requires that</w:t>
      </w:r>
      <w:r w:rsidR="001F63C4">
        <w:t>,</w:t>
      </w:r>
      <w:r>
        <w:t xml:space="preserve"> </w:t>
      </w:r>
      <w:r w:rsidR="001F63C4">
        <w:t>whe</w:t>
      </w:r>
      <w:r>
        <w:t xml:space="preserve">n reaching a decision on a plan or programme, a statement </w:t>
      </w:r>
      <w:r w:rsidR="001F63C4">
        <w:t>be</w:t>
      </w:r>
      <w:r>
        <w:t xml:space="preserve"> provided </w:t>
      </w:r>
      <w:r w:rsidRPr="00F66DBC">
        <w:t xml:space="preserve">summarizing how environmental, including health, considerations have been </w:t>
      </w:r>
      <w:r>
        <w:t xml:space="preserve">taken into account, including the consultation responses from health authorities and the public. </w:t>
      </w:r>
      <w:r w:rsidRPr="003E766F">
        <w:t>Effectively influencing decision</w:t>
      </w:r>
      <w:r w:rsidR="00365D5E">
        <w:t>-</w:t>
      </w:r>
      <w:r w:rsidRPr="003E766F">
        <w:t>making is</w:t>
      </w:r>
      <w:r w:rsidR="001F63C4">
        <w:t xml:space="preserve"> therefore</w:t>
      </w:r>
      <w:r w:rsidRPr="003E766F">
        <w:t xml:space="preserve"> an important consideration for health in any strategic environmental assessment. </w:t>
      </w:r>
      <w:r w:rsidR="00D72B7A">
        <w:t>C</w:t>
      </w:r>
      <w:r w:rsidRPr="003E766F">
        <w:t>onsequen</w:t>
      </w:r>
      <w:r w:rsidR="00D72B7A">
        <w:t>tly</w:t>
      </w:r>
      <w:r w:rsidRPr="003E766F">
        <w:t xml:space="preserve">, health assessors and stakeholders </w:t>
      </w:r>
      <w:r w:rsidR="001F63C4">
        <w:t xml:space="preserve">should </w:t>
      </w:r>
      <w:r w:rsidRPr="003E766F">
        <w:t>critically reflect on the characteristics of</w:t>
      </w:r>
      <w:r>
        <w:t xml:space="preserve"> the</w:t>
      </w:r>
      <w:r w:rsidRPr="003E766F">
        <w:t xml:space="preserve"> decision-making process from the outset. </w:t>
      </w:r>
    </w:p>
    <w:p w14:paraId="34C7698A" w14:textId="667D7460" w:rsidR="00534FBA" w:rsidRPr="003E766F" w:rsidRDefault="00534FBA" w:rsidP="00534FBA">
      <w:pPr>
        <w:pStyle w:val="SingleTxtG"/>
      </w:pPr>
      <w:r>
        <w:t>9</w:t>
      </w:r>
      <w:r w:rsidR="00413FFD">
        <w:t>3</w:t>
      </w:r>
      <w:r>
        <w:t>.</w:t>
      </w:r>
      <w:r>
        <w:tab/>
      </w:r>
      <w:r w:rsidRPr="003E766F">
        <w:t xml:space="preserve">The </w:t>
      </w:r>
      <w:r>
        <w:t xml:space="preserve">inclusion </w:t>
      </w:r>
      <w:r w:rsidRPr="003E766F">
        <w:t xml:space="preserve">of health in the environmental report </w:t>
      </w:r>
      <w:r>
        <w:t>can</w:t>
      </w:r>
      <w:r w:rsidRPr="003E766F">
        <w:t xml:space="preserve"> allow the decision</w:t>
      </w:r>
      <w:r w:rsidR="00365D5E">
        <w:t xml:space="preserve"> </w:t>
      </w:r>
      <w:r>
        <w:t>maker</w:t>
      </w:r>
      <w:r w:rsidRPr="003E766F">
        <w:t xml:space="preserve"> to be clear about any likely significant health trade-offs in relation to the plan/programme and its alternatives.</w:t>
      </w:r>
      <w:r>
        <w:t xml:space="preserve"> It is recommended that the health trade-offs </w:t>
      </w:r>
      <w:r w:rsidR="001F63C4">
        <w:t>b</w:t>
      </w:r>
      <w:r>
        <w:t>e set out clearly and explicitly</w:t>
      </w:r>
      <w:r w:rsidRPr="00EC40F8">
        <w:t xml:space="preserve">. </w:t>
      </w:r>
      <w:r w:rsidRPr="00EC40F8">
        <w:lastRenderedPageBreak/>
        <w:t>This includes the health trade-offs in relation to geographic inequalities</w:t>
      </w:r>
      <w:r w:rsidR="002C3C76">
        <w:t xml:space="preserve"> and</w:t>
      </w:r>
      <w:r w:rsidRPr="00EC40F8">
        <w:t xml:space="preserve"> inequalities between the general population and more vulnerable population groups (</w:t>
      </w:r>
      <w:r w:rsidR="000247B4">
        <w:t xml:space="preserve">for example, </w:t>
      </w:r>
      <w:r w:rsidRPr="00EC40F8">
        <w:t>due to age, gender, poor health</w:t>
      </w:r>
      <w:r w:rsidR="00EF0965">
        <w:t xml:space="preserve"> or</w:t>
      </w:r>
      <w:r w:rsidRPr="00EC40F8">
        <w:t xml:space="preserve"> socioeconomic status).</w:t>
      </w:r>
    </w:p>
    <w:p w14:paraId="6128942B" w14:textId="77777777" w:rsidR="00534FBA" w:rsidRPr="003E766F" w:rsidRDefault="003D4DEE" w:rsidP="003D4DEE">
      <w:pPr>
        <w:pStyle w:val="H23G"/>
      </w:pPr>
      <w:r>
        <w:tab/>
      </w:r>
      <w:r w:rsidR="00534FBA">
        <w:t>7.</w:t>
      </w:r>
      <w:r>
        <w:tab/>
      </w:r>
      <w:r w:rsidR="00534FBA">
        <w:tab/>
      </w:r>
      <w:r w:rsidR="00534FBA" w:rsidRPr="003E766F">
        <w:t>Monitoring</w:t>
      </w:r>
    </w:p>
    <w:p w14:paraId="6CC928EF" w14:textId="04486023" w:rsidR="00534FBA" w:rsidRPr="003E766F" w:rsidRDefault="00534FBA" w:rsidP="00534FBA">
      <w:pPr>
        <w:pStyle w:val="SingleTxtG"/>
      </w:pPr>
      <w:r>
        <w:t>9</w:t>
      </w:r>
      <w:r w:rsidR="00413FFD">
        <w:t>4</w:t>
      </w:r>
      <w:r>
        <w:t>.</w:t>
      </w:r>
      <w:r>
        <w:tab/>
      </w:r>
      <w:r w:rsidRPr="003E766F">
        <w:t>Art</w:t>
      </w:r>
      <w:r>
        <w:t>icle</w:t>
      </w:r>
      <w:r w:rsidRPr="003E766F">
        <w:t xml:space="preserve"> 12 </w:t>
      </w:r>
      <w:r w:rsidR="00D24A38">
        <w:t>(</w:t>
      </w:r>
      <w:r>
        <w:t>1</w:t>
      </w:r>
      <w:r w:rsidR="00D24A38">
        <w:t>)</w:t>
      </w:r>
      <w:r>
        <w:t xml:space="preserve"> </w:t>
      </w:r>
      <w:r w:rsidRPr="003E766F">
        <w:t xml:space="preserve">states that significant environmental, including health, effects of the implementation of a plan or programme should be monitored. </w:t>
      </w:r>
      <w:r>
        <w:t xml:space="preserve">Article 12 </w:t>
      </w:r>
      <w:r w:rsidR="00D24A38">
        <w:t>(</w:t>
      </w:r>
      <w:r>
        <w:t>2</w:t>
      </w:r>
      <w:r w:rsidR="00D24A38">
        <w:t>)</w:t>
      </w:r>
      <w:r>
        <w:t xml:space="preserve"> requires that monitoring results be made available to health authorities. Good practice m</w:t>
      </w:r>
      <w:r w:rsidRPr="003E766F">
        <w:t xml:space="preserve">onitoring includes four main components: </w:t>
      </w:r>
    </w:p>
    <w:p w14:paraId="7C344791" w14:textId="06BCAD87" w:rsidR="00534FBA" w:rsidRPr="00534FBA" w:rsidRDefault="00534FBA" w:rsidP="00534FBA">
      <w:pPr>
        <w:pStyle w:val="SingleTxtG"/>
        <w:ind w:firstLine="567"/>
      </w:pPr>
      <w:r>
        <w:t>(</w:t>
      </w:r>
      <w:r w:rsidRPr="00534FBA">
        <w:t>a)</w:t>
      </w:r>
      <w:r w:rsidRPr="00534FBA">
        <w:tab/>
        <w:t xml:space="preserve">Ensuring compliance with </w:t>
      </w:r>
      <w:r w:rsidR="001F15DF">
        <w:t>the points</w:t>
      </w:r>
      <w:r w:rsidRPr="00534FBA">
        <w:t xml:space="preserve"> specified in the strategic environmental assessment and the associated plan or programme; </w:t>
      </w:r>
    </w:p>
    <w:p w14:paraId="7CAA717F" w14:textId="77777777" w:rsidR="00534FBA" w:rsidRPr="00534FBA" w:rsidRDefault="00534FBA" w:rsidP="00534FBA">
      <w:pPr>
        <w:pStyle w:val="SingleTxtG"/>
        <w:ind w:firstLine="567"/>
      </w:pPr>
      <w:r w:rsidRPr="00534FBA">
        <w:t>(b)</w:t>
      </w:r>
      <w:r w:rsidRPr="00534FBA">
        <w:tab/>
        <w:t>Evaluating whether actual impacts are in line with what was envisaged;</w:t>
      </w:r>
    </w:p>
    <w:p w14:paraId="31D0FDAA" w14:textId="0F59C952" w:rsidR="00534FBA" w:rsidRPr="00534FBA" w:rsidRDefault="00534FBA" w:rsidP="00534FBA">
      <w:pPr>
        <w:pStyle w:val="SingleTxtG"/>
        <w:ind w:firstLine="567"/>
      </w:pPr>
      <w:r w:rsidRPr="00534FBA">
        <w:t>(c)</w:t>
      </w:r>
      <w:r w:rsidRPr="00534FBA">
        <w:tab/>
        <w:t xml:space="preserve">Remedial action in case of unforeseen adverse effects; </w:t>
      </w:r>
    </w:p>
    <w:p w14:paraId="39A02538" w14:textId="77777777" w:rsidR="00534FBA" w:rsidRPr="00534FBA" w:rsidRDefault="00534FBA" w:rsidP="00534FBA">
      <w:pPr>
        <w:pStyle w:val="SingleTxtG"/>
        <w:ind w:firstLine="567"/>
      </w:pPr>
      <w:r w:rsidRPr="00534FBA">
        <w:t>(d)</w:t>
      </w:r>
      <w:r w:rsidRPr="00534FBA">
        <w:tab/>
        <w:t>Dissemination of monitoring documentation.</w:t>
      </w:r>
    </w:p>
    <w:p w14:paraId="4FC0B39A" w14:textId="3070F50F" w:rsidR="00534FBA" w:rsidRPr="003E766F" w:rsidRDefault="00534FBA" w:rsidP="00534FBA">
      <w:pPr>
        <w:pStyle w:val="SingleTxtG"/>
      </w:pPr>
      <w:r>
        <w:t>9</w:t>
      </w:r>
      <w:r w:rsidR="00413FFD">
        <w:t>5</w:t>
      </w:r>
      <w:r>
        <w:t>.</w:t>
      </w:r>
      <w:r>
        <w:tab/>
        <w:t>Where appropriate</w:t>
      </w:r>
      <w:r w:rsidR="001F15DF">
        <w:t>,</w:t>
      </w:r>
      <w:r>
        <w:t xml:space="preserve"> it is good practice for m</w:t>
      </w:r>
      <w:r w:rsidRPr="003E766F">
        <w:t xml:space="preserve">onitoring </w:t>
      </w:r>
      <w:r>
        <w:t>to</w:t>
      </w:r>
      <w:r w:rsidRPr="003E766F">
        <w:t xml:space="preserve"> be specified in a (post-decision) management plan, in which actions, responsibilities, timelines and reporting requirements are clearly defined. There are technical and institutional aspects to monitoring.</w:t>
      </w:r>
    </w:p>
    <w:p w14:paraId="2EB7081E" w14:textId="1CDDD894" w:rsidR="00534FBA" w:rsidRPr="003E766F" w:rsidRDefault="00534FBA" w:rsidP="00534FBA">
      <w:pPr>
        <w:pStyle w:val="SingleTxtG"/>
      </w:pPr>
      <w:r>
        <w:t>9</w:t>
      </w:r>
      <w:r w:rsidR="00413FFD">
        <w:t>6</w:t>
      </w:r>
      <w:r>
        <w:t>.</w:t>
      </w:r>
      <w:r>
        <w:tab/>
      </w:r>
      <w:r w:rsidRPr="003E766F">
        <w:t>The technical aspects to designing monitoring regime</w:t>
      </w:r>
      <w:r w:rsidR="00D52D52">
        <w:t>s</w:t>
      </w:r>
      <w:r w:rsidRPr="003E766F">
        <w:t xml:space="preserve"> are related to ways in which health change </w:t>
      </w:r>
      <w:r>
        <w:t xml:space="preserve">can </w:t>
      </w:r>
      <w:r w:rsidRPr="003E766F">
        <w:t xml:space="preserve">be tracked. </w:t>
      </w:r>
      <w:r>
        <w:t xml:space="preserve">Steps include: </w:t>
      </w:r>
      <w:r w:rsidRPr="003E766F">
        <w:t>defin</w:t>
      </w:r>
      <w:r>
        <w:t xml:space="preserve">ing </w:t>
      </w:r>
      <w:r w:rsidRPr="003E766F">
        <w:t xml:space="preserve">the population(s) to </w:t>
      </w:r>
      <w:r w:rsidR="00D52D52">
        <w:t xml:space="preserve">be </w:t>
      </w:r>
      <w:r w:rsidRPr="003E766F">
        <w:t>monitor</w:t>
      </w:r>
      <w:r w:rsidR="00D52D52">
        <w:t>ed</w:t>
      </w:r>
      <w:r>
        <w:t xml:space="preserve">; </w:t>
      </w:r>
      <w:r w:rsidRPr="003E766F">
        <w:t>specify</w:t>
      </w:r>
      <w:r>
        <w:t xml:space="preserve">ing </w:t>
      </w:r>
      <w:r w:rsidRPr="003E766F">
        <w:t>the aims of the monitoring</w:t>
      </w:r>
      <w:r>
        <w:t>;</w:t>
      </w:r>
      <w:r w:rsidRPr="003E766F">
        <w:t xml:space="preserve"> and defin</w:t>
      </w:r>
      <w:r>
        <w:t xml:space="preserve">ing </w:t>
      </w:r>
      <w:r w:rsidRPr="003E766F">
        <w:t xml:space="preserve">the outcomes </w:t>
      </w:r>
      <w:r>
        <w:t xml:space="preserve">to </w:t>
      </w:r>
      <w:r w:rsidRPr="003E766F">
        <w:t>be monitored</w:t>
      </w:r>
      <w:r>
        <w:t>.</w:t>
      </w:r>
      <w:r w:rsidRPr="00574AA9">
        <w:rPr>
          <w:vertAlign w:val="superscript"/>
        </w:rPr>
        <w:footnoteReference w:id="41"/>
      </w:r>
      <w:r w:rsidRPr="003E766F">
        <w:t xml:space="preserve"> Routine public health indicators </w:t>
      </w:r>
      <w:r>
        <w:t xml:space="preserve">can be </w:t>
      </w:r>
      <w:r w:rsidRPr="003E766F">
        <w:t>used where these are available and suitable. Developing bespoke health</w:t>
      </w:r>
      <w:r w:rsidR="00D52D52">
        <w:t>-</w:t>
      </w:r>
      <w:r w:rsidRPr="003E766F">
        <w:t xml:space="preserve">monitoring regimes is not </w:t>
      </w:r>
      <w:r w:rsidRPr="005D2CDA">
        <w:t xml:space="preserve">recommended, unless the development of such a regime is an action arising from the plan/programme itself.  Integration with other existing or planned monitoring (and auditing) initiatives is therefore important. </w:t>
      </w:r>
      <w:r>
        <w:t xml:space="preserve">Consistent with </w:t>
      </w:r>
      <w:r w:rsidR="009D731A">
        <w:t>a</w:t>
      </w:r>
      <w:r>
        <w:t xml:space="preserve">rticle 12 </w:t>
      </w:r>
      <w:r w:rsidR="00D24A38">
        <w:t>(</w:t>
      </w:r>
      <w:r>
        <w:t>1</w:t>
      </w:r>
      <w:r w:rsidR="00D24A38">
        <w:t>)</w:t>
      </w:r>
      <w:r w:rsidR="00D52D52">
        <w:t>,</w:t>
      </w:r>
      <w:r>
        <w:t xml:space="preserve"> it is recommended that adaptative management measures (</w:t>
      </w:r>
      <w:r w:rsidR="000247B4">
        <w:t xml:space="preserve">for example, </w:t>
      </w:r>
      <w:r>
        <w:t xml:space="preserve">governance arrangements to review the plan/programme) </w:t>
      </w:r>
      <w:r w:rsidR="00D52D52">
        <w:t>b</w:t>
      </w:r>
      <w:r>
        <w:t>e defined for situations where monitoring identifies consistent unforeseen significant adverse health effects (</w:t>
      </w:r>
      <w:r w:rsidR="000247B4">
        <w:t xml:space="preserve">for example, </w:t>
      </w:r>
      <w:r>
        <w:t>across several projects brought forward under the plan/programme).</w:t>
      </w:r>
    </w:p>
    <w:p w14:paraId="3EBF3353" w14:textId="3BBF42E4" w:rsidR="00534FBA" w:rsidRDefault="00534FBA" w:rsidP="00534FBA">
      <w:pPr>
        <w:pStyle w:val="SingleTxtG"/>
      </w:pPr>
      <w:r>
        <w:t>9</w:t>
      </w:r>
      <w:r w:rsidR="00413FFD">
        <w:t>7</w:t>
      </w:r>
      <w:r>
        <w:t>.</w:t>
      </w:r>
      <w:r>
        <w:tab/>
      </w:r>
      <w:r w:rsidRPr="003E766F">
        <w:t>The institutional aspects to designing a monitoring regime include specifying who will be responsible for associated activities, including intersectoral working within government and links outside government</w:t>
      </w:r>
      <w:r w:rsidR="00D52D52">
        <w:t>;</w:t>
      </w:r>
      <w:r w:rsidRPr="003E766F">
        <w:t xml:space="preserve"> for example</w:t>
      </w:r>
      <w:r w:rsidR="00D52D52">
        <w:t>,</w:t>
      </w:r>
      <w:r w:rsidRPr="003E766F">
        <w:t xml:space="preserve"> inputs from communities and wider civil society.</w:t>
      </w:r>
      <w:r w:rsidRPr="00F916B0">
        <w:rPr>
          <w:vertAlign w:val="superscript"/>
        </w:rPr>
        <w:footnoteReference w:id="42"/>
      </w:r>
      <w:r w:rsidRPr="003E766F">
        <w:t xml:space="preserve"> </w:t>
      </w:r>
    </w:p>
    <w:p w14:paraId="61B4F8F1" w14:textId="6628DF2C" w:rsidR="00BF4053" w:rsidRDefault="00534FBA" w:rsidP="00BF4053">
      <w:pPr>
        <w:pStyle w:val="SingleTxtG"/>
      </w:pPr>
      <w:r>
        <w:t>9</w:t>
      </w:r>
      <w:r w:rsidR="00413FFD">
        <w:t>8</w:t>
      </w:r>
      <w:r>
        <w:t>.</w:t>
      </w:r>
      <w:r>
        <w:tab/>
      </w:r>
      <w:r w:rsidRPr="003E766F">
        <w:t>Transboundary aspects will also need to be considered. In this context, determining suitable health targets and associated health indicators for relevant determinants of health will facilitate the monitoring and evaluation.</w:t>
      </w:r>
    </w:p>
    <w:p w14:paraId="49068DED" w14:textId="1B7F8901" w:rsidR="00BF4053" w:rsidRPr="00BF4053" w:rsidRDefault="00BF4053" w:rsidP="00BF4053">
      <w:pPr>
        <w:spacing w:before="240"/>
        <w:jc w:val="center"/>
        <w:rPr>
          <w:u w:val="single"/>
        </w:rPr>
      </w:pPr>
      <w:r>
        <w:rPr>
          <w:u w:val="single"/>
        </w:rPr>
        <w:tab/>
      </w:r>
      <w:r>
        <w:rPr>
          <w:u w:val="single"/>
        </w:rPr>
        <w:tab/>
      </w:r>
      <w:r>
        <w:rPr>
          <w:u w:val="single"/>
        </w:rPr>
        <w:tab/>
      </w:r>
    </w:p>
    <w:sectPr w:rsidR="00BF4053" w:rsidRPr="00BF4053" w:rsidSect="00BF405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DC603" w14:textId="77777777" w:rsidR="007C2448" w:rsidRDefault="007C2448"/>
  </w:endnote>
  <w:endnote w:type="continuationSeparator" w:id="0">
    <w:p w14:paraId="35CB9276" w14:textId="77777777" w:rsidR="007C2448" w:rsidRDefault="007C2448"/>
  </w:endnote>
  <w:endnote w:type="continuationNotice" w:id="1">
    <w:p w14:paraId="706B79D1" w14:textId="77777777" w:rsidR="007C2448" w:rsidRDefault="007C2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con-large">
    <w:altName w:val="Calibri"/>
    <w:charset w:val="00"/>
    <w:family w:val="auto"/>
    <w:pitch w:val="variable"/>
    <w:sig w:usb0="00000003" w:usb1="10000000" w:usb2="00000000" w:usb3="00000000" w:csb0="00000001" w:csb1="00000000"/>
  </w:font>
  <w:font w:name="Garamond-Light">
    <w:altName w:val="Arial Unicode MS"/>
    <w:panose1 w:val="00000000000000000000"/>
    <w:charset w:val="80"/>
    <w:family w:val="auto"/>
    <w:notTrueType/>
    <w:pitch w:val="default"/>
    <w:sig w:usb0="00000003" w:usb1="08070000" w:usb2="00000010" w:usb3="00000000" w:csb0="0002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8C80E" w14:textId="5F4C8E60" w:rsidR="007C2448" w:rsidRPr="003053E1" w:rsidRDefault="007C2448" w:rsidP="003053E1">
    <w:pPr>
      <w:pStyle w:val="Footer"/>
      <w:tabs>
        <w:tab w:val="right" w:pos="9638"/>
      </w:tabs>
      <w:rPr>
        <w:sz w:val="18"/>
      </w:rPr>
    </w:pPr>
    <w:r w:rsidRPr="003053E1">
      <w:rPr>
        <w:b/>
        <w:sz w:val="18"/>
      </w:rPr>
      <w:fldChar w:fldCharType="begin"/>
    </w:r>
    <w:r w:rsidRPr="003053E1">
      <w:rPr>
        <w:b/>
        <w:sz w:val="18"/>
      </w:rPr>
      <w:instrText xml:space="preserve"> PAGE  \* MERGEFORMAT </w:instrText>
    </w:r>
    <w:r w:rsidRPr="003053E1">
      <w:rPr>
        <w:b/>
        <w:sz w:val="18"/>
      </w:rPr>
      <w:fldChar w:fldCharType="separate"/>
    </w:r>
    <w:r w:rsidR="00E53D6B">
      <w:rPr>
        <w:b/>
        <w:noProof/>
        <w:sz w:val="18"/>
      </w:rPr>
      <w:t>4</w:t>
    </w:r>
    <w:r w:rsidRPr="003053E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D6A8" w14:textId="1A361D27" w:rsidR="007C2448" w:rsidRPr="003053E1" w:rsidRDefault="007C2448" w:rsidP="003053E1">
    <w:pPr>
      <w:pStyle w:val="Footer"/>
      <w:tabs>
        <w:tab w:val="right" w:pos="9638"/>
      </w:tabs>
      <w:rPr>
        <w:b/>
        <w:sz w:val="18"/>
      </w:rPr>
    </w:pPr>
    <w:r>
      <w:tab/>
    </w:r>
    <w:r w:rsidRPr="003053E1">
      <w:rPr>
        <w:b/>
        <w:sz w:val="18"/>
      </w:rPr>
      <w:fldChar w:fldCharType="begin"/>
    </w:r>
    <w:r w:rsidRPr="003053E1">
      <w:rPr>
        <w:b/>
        <w:sz w:val="18"/>
      </w:rPr>
      <w:instrText xml:space="preserve"> PAGE  \* MERGEFORMAT </w:instrText>
    </w:r>
    <w:r w:rsidRPr="003053E1">
      <w:rPr>
        <w:b/>
        <w:sz w:val="18"/>
      </w:rPr>
      <w:fldChar w:fldCharType="separate"/>
    </w:r>
    <w:r w:rsidR="00E53D6B">
      <w:rPr>
        <w:b/>
        <w:noProof/>
        <w:sz w:val="18"/>
      </w:rPr>
      <w:t>3</w:t>
    </w:r>
    <w:r w:rsidRPr="003053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00EF" w14:textId="77777777" w:rsidR="007C2448" w:rsidRDefault="007C2448" w:rsidP="007C2448">
    <w:r>
      <w:rPr>
        <w:rFonts w:ascii="C39T30Lfz" w:hAnsi="C39T30Lfz"/>
        <w:noProof/>
        <w:sz w:val="56"/>
        <w:lang w:val="en-US" w:eastAsia="zh-CN"/>
      </w:rPr>
      <w:drawing>
        <wp:anchor distT="0" distB="0" distL="114300" distR="114300" simplePos="0" relativeHeight="251660288" behindDoc="0" locked="0" layoutInCell="1" allowOverlap="1" wp14:anchorId="7D8DD486" wp14:editId="451F0E64">
          <wp:simplePos x="0" y="0"/>
          <wp:positionH relativeFrom="margin">
            <wp:posOffset>5478780</wp:posOffset>
          </wp:positionH>
          <wp:positionV relativeFrom="margin">
            <wp:posOffset>8878901</wp:posOffset>
          </wp:positionV>
          <wp:extent cx="561975" cy="561975"/>
          <wp:effectExtent l="0" t="0" r="9525" b="9525"/>
          <wp:wrapNone/>
          <wp:docPr id="2" name="Picture 1" descr="https://undocs.org/m2/QRCode.ashx?DS=ECE/MP.EIA/WG.2/2019/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377F9F4" wp14:editId="3CBCE77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GE.19-15379(E)</w:t>
    </w:r>
  </w:p>
  <w:p w14:paraId="67244E9D" w14:textId="7A21CBA1" w:rsidR="007C2448" w:rsidRPr="003053E1" w:rsidRDefault="007C2448" w:rsidP="007C2448">
    <w:pPr>
      <w:pStyle w:val="Footer"/>
      <w:rPr>
        <w:sz w:val="20"/>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DC04D" w14:textId="77777777" w:rsidR="007C2448" w:rsidRPr="000B175B" w:rsidRDefault="007C2448" w:rsidP="000B175B">
      <w:pPr>
        <w:tabs>
          <w:tab w:val="right" w:pos="2155"/>
        </w:tabs>
        <w:spacing w:after="80"/>
        <w:ind w:left="680"/>
        <w:rPr>
          <w:u w:val="single"/>
        </w:rPr>
      </w:pPr>
      <w:r>
        <w:rPr>
          <w:u w:val="single"/>
        </w:rPr>
        <w:tab/>
      </w:r>
    </w:p>
  </w:footnote>
  <w:footnote w:type="continuationSeparator" w:id="0">
    <w:p w14:paraId="54C7D769" w14:textId="77777777" w:rsidR="007C2448" w:rsidRPr="00FC68B7" w:rsidRDefault="007C2448" w:rsidP="00FC68B7">
      <w:pPr>
        <w:tabs>
          <w:tab w:val="left" w:pos="2155"/>
        </w:tabs>
        <w:spacing w:after="80"/>
        <w:ind w:left="680"/>
        <w:rPr>
          <w:u w:val="single"/>
        </w:rPr>
      </w:pPr>
      <w:r>
        <w:rPr>
          <w:u w:val="single"/>
        </w:rPr>
        <w:tab/>
      </w:r>
    </w:p>
  </w:footnote>
  <w:footnote w:type="continuationNotice" w:id="1">
    <w:p w14:paraId="37863783" w14:textId="77777777" w:rsidR="007C2448" w:rsidRDefault="007C2448"/>
  </w:footnote>
  <w:footnote w:id="2">
    <w:p w14:paraId="4EE94799" w14:textId="12A4DA8C" w:rsidR="007C2448" w:rsidRPr="00C54395" w:rsidRDefault="007C2448" w:rsidP="00480FCF">
      <w:pPr>
        <w:pStyle w:val="FootnoteText"/>
      </w:pPr>
      <w:r w:rsidRPr="00480FCF">
        <w:tab/>
      </w:r>
      <w:r w:rsidRPr="00480FCF">
        <w:rPr>
          <w:vertAlign w:val="superscript"/>
        </w:rPr>
        <w:footnoteRef/>
      </w:r>
      <w:r>
        <w:tab/>
      </w:r>
      <w:r w:rsidRPr="00480FCF">
        <w:fldChar w:fldCharType="begin"/>
      </w:r>
      <w:r w:rsidRPr="00480FCF">
        <w:instrText xml:space="preserve"> ADDIN EN.CITE &lt;EndNote&gt;&lt;Cite ExcludeAuth="1"&gt;&lt;Year&gt;2001&lt;/Year&gt;&lt;RecNum&gt;9862&lt;/RecNum&gt;&lt;DisplayText&gt;2001. Directive 2001/42/EC of the European Parliament and of the Council on the assessment of the effects of certain plans and programmes on the environment.  L197.    http://data.europa.eu/eli/dir/2001/42/oj &lt;/DisplayText&gt;&lt;record&gt;&lt;rec-number&gt;9862&lt;/rec-number&gt;&lt;foreign-keys&gt;&lt;key app="EN" db-id="wvpz5d5w3twx2kezx21v5tw855faveswped2" timestamp="1455273862"&gt;9862&lt;/key&gt;&lt;/foreign-keys&gt;&lt;ref-type name="Report"&gt;27&lt;/ref-type&gt;&lt;contributors&gt;&lt;/contributors&gt;&lt;titles&gt;&lt;title&gt;Directive 2001/42/EC of the European Parliament and of the Council on the assessment of the effects of certain plans and programmes on the environment&lt;/title&gt;&lt;secondary-title&gt;Official Journal of the European Communities&lt;/secondary-title&gt;&lt;/titles&gt;&lt;periodical&gt;&lt;full-title&gt;Official Journal of the European Communities&lt;/full-title&gt;&lt;/periodical&gt;&lt;pages&gt;30-37&lt;/pages&gt;&lt;volume&gt;L197&lt;/volume&gt;&lt;reprint-edition&gt;IN FILE&lt;/reprint-edition&gt;&lt;keywords&gt;&lt;keyword&gt;community&lt;/keyword&gt;&lt;keyword&gt;environment&lt;/keyword&gt;&lt;keyword&gt;strategic environmental assessment&lt;/keyword&gt;&lt;/keywords&gt;&lt;dates&gt;&lt;year&gt;2001&lt;/year&gt;&lt;/dates&gt;&lt;urls&gt;&lt;related-urls&gt;&lt;url&gt;http://data.europa.eu/eli/dir/2001/42/oj&lt;/url&gt;&lt;/related-urls&gt;&lt;/urls&gt;&lt;research-notes&gt;http://eur-lex.europa.eu/eli/dir/2001/42/oj&lt;/research-notes&gt;&lt;/record&gt;&lt;/Cite&gt;&lt;/EndNote&gt;</w:instrText>
      </w:r>
      <w:r w:rsidRPr="00480FCF">
        <w:fldChar w:fldCharType="separate"/>
      </w:r>
      <w:r w:rsidRPr="00480FCF">
        <w:t xml:space="preserve">Directive 2001/42/EC of the European Parliament and of the Council </w:t>
      </w:r>
      <w:r>
        <w:t xml:space="preserve">of 27 June 2001 </w:t>
      </w:r>
      <w:r w:rsidRPr="00480FCF">
        <w:t>on the assessment of the effects of certain plans and programmes on the environment</w:t>
      </w:r>
      <w:r>
        <w:t>,</w:t>
      </w:r>
      <w:r w:rsidRPr="00480FCF">
        <w:t xml:space="preserve"> </w:t>
      </w:r>
      <w:r w:rsidRPr="00C54395">
        <w:rPr>
          <w:i/>
          <w:iCs/>
        </w:rPr>
        <w:t>Official Journal of the</w:t>
      </w:r>
      <w:r>
        <w:t xml:space="preserve"> </w:t>
      </w:r>
      <w:r w:rsidRPr="00C54395">
        <w:rPr>
          <w:i/>
          <w:iCs/>
        </w:rPr>
        <w:t>European Communities</w:t>
      </w:r>
      <w:r>
        <w:t xml:space="preserve">, </w:t>
      </w:r>
      <w:r w:rsidRPr="00C54395">
        <w:t xml:space="preserve">L197 (2001), pp. 30–37.     </w:t>
      </w:r>
      <w:r w:rsidRPr="00480FCF">
        <w:fldChar w:fldCharType="end"/>
      </w:r>
    </w:p>
  </w:footnote>
  <w:footnote w:id="3">
    <w:p w14:paraId="666C88C1" w14:textId="794943C0" w:rsidR="007C2448" w:rsidRPr="00480FCF" w:rsidRDefault="007C2448" w:rsidP="00480FCF">
      <w:pPr>
        <w:pStyle w:val="FootnoteText"/>
      </w:pPr>
      <w:r w:rsidRPr="00C54395">
        <w:tab/>
      </w:r>
      <w:r w:rsidRPr="00480FCF">
        <w:rPr>
          <w:vertAlign w:val="superscript"/>
        </w:rPr>
        <w:footnoteRef/>
      </w:r>
      <w:r>
        <w:tab/>
      </w:r>
      <w:bookmarkStart w:id="3" w:name="_Hlk18325296"/>
      <w:r>
        <w:t xml:space="preserve">United Nations publication, </w:t>
      </w:r>
      <w:r w:rsidRPr="00480FCF">
        <w:t>ECE/MP.EIA/17</w:t>
      </w:r>
      <w:bookmarkEnd w:id="3"/>
      <w:r>
        <w:t>, available at</w:t>
      </w:r>
      <w:r w:rsidRPr="00021FFB">
        <w:t xml:space="preserve"> </w:t>
      </w:r>
      <w:hyperlink r:id="rId1" w:history="1">
        <w:r w:rsidRPr="00E85B36">
          <w:rPr>
            <w:rStyle w:val="Hyperlink"/>
          </w:rPr>
          <w:t>www.unece.org/fileadmin/DAM/env/documents/2011/eia/ece.mp.eia.17.e.pdf</w:t>
        </w:r>
      </w:hyperlink>
      <w:r w:rsidRPr="00480FCF">
        <w:t xml:space="preserve">. </w:t>
      </w:r>
    </w:p>
  </w:footnote>
  <w:footnote w:id="4">
    <w:p w14:paraId="6CC73B96" w14:textId="1ED83DCF" w:rsidR="007C2448" w:rsidRPr="003816BB" w:rsidRDefault="007C2448" w:rsidP="00480FCF">
      <w:pPr>
        <w:pStyle w:val="FootnoteText"/>
      </w:pPr>
      <w:r w:rsidRPr="00480FCF">
        <w:tab/>
      </w:r>
      <w:r w:rsidRPr="00480FCF">
        <w:rPr>
          <w:vertAlign w:val="superscript"/>
        </w:rPr>
        <w:footnoteRef/>
      </w:r>
      <w:r>
        <w:tab/>
      </w:r>
      <w:r w:rsidRPr="003816BB">
        <w:fldChar w:fldCharType="begin"/>
      </w:r>
      <w:r w:rsidRPr="00480FCF">
        <w:instrText xml:space="preserve"> ADDIN EN.CITE &lt;EndNote&gt;&lt;Cite&gt;&lt;Author&gt;World Health Organization&lt;/Author&gt;&lt;Year&gt;1946&lt;/Year&gt;&lt;RecNum&gt;9480&lt;/RecNum&gt;&lt;DisplayText&gt;World Health Organization. 1946. Constitution. World Health Organization. Basic Documents, Forty-fifth edition, Supplement, October 2006.   Geneva. http://bit.ly/1PNNCdi &lt;/DisplayText&gt;&lt;record&gt;&lt;rec-number&gt;9480&lt;/rec-number&gt;&lt;foreign-keys&gt;&lt;key app="EN" db-id="wvpz5d5w3twx2kezx21v5tw855faveswped2" timestamp="1455273685"&gt;9480&lt;/key&gt;&lt;/foreign-keys&gt;&lt;ref-type name="Report"&gt;27&lt;/ref-type&gt;&lt;contributors&gt;&lt;authors&gt;&lt;author&gt;World Health Organization,&lt;/author&gt;&lt;/authors&gt;&lt;/contributors&gt;&lt;titles&gt;&lt;title&gt;Constitution&lt;/title&gt;&lt;/titles&gt;&lt;volume&gt;Basic Documents, Forty-fifth edition, Supplement, October 2006&lt;/volume&gt;&lt;keywords&gt;&lt;keyword&gt;health&lt;/keyword&gt;&lt;keyword&gt;United Nations&lt;/keyword&gt;&lt;keyword&gt;social&lt;/keyword&gt;&lt;keyword&gt;disease&lt;/keyword&gt;&lt;keyword&gt;Human&lt;/keyword&gt;&lt;keyword&gt;RACE&lt;/keyword&gt;&lt;keyword&gt;economic&lt;/keyword&gt;&lt;keyword&gt;development&lt;/keyword&gt;&lt;keyword&gt;control&lt;/keyword&gt;&lt;keyword&gt;child&lt;/keyword&gt;&lt;keyword&gt;environment&lt;/keyword&gt;&lt;keyword&gt;benefits&lt;/keyword&gt;&lt;keyword&gt;psychological&lt;/keyword&gt;&lt;keyword&gt;Knowledge&lt;/keyword&gt;&lt;keyword&gt;Government&lt;/keyword&gt;&lt;keyword&gt;provision&lt;/keyword&gt;&lt;keyword&gt;Religion&lt;/keyword&gt;&lt;keyword&gt;Happiness&lt;/keyword&gt;&lt;keyword&gt;well-being&lt;/keyword&gt;&lt;keyword&gt;wellbeing&lt;/keyword&gt;&lt;keyword&gt;Achievement&lt;/keyword&gt;&lt;/keywords&gt;&lt;dates&gt;&lt;year&gt;1946&lt;/year&gt;&lt;/dates&gt;&lt;pub-location&gt;Geneva&lt;/pub-location&gt;&lt;publisher&gt;World Health Organization&lt;/publisher&gt;&lt;urls&gt;&lt;related-urls&gt;&lt;url&gt;http://bit.ly/1PNNCdi&lt;/url&gt;&lt;/related-urls&gt;&lt;/urls&gt;&lt;research-notes&gt;www.who.int/governance/eb/who_constitution_en.pdf&amp;#xD;http://www.who.int/governance/eb/who_constitution_en.pdf&lt;/research-notes&gt;&lt;/record&gt;&lt;/Cite&gt;&lt;/EndNote&gt;</w:instrText>
      </w:r>
      <w:r w:rsidRPr="003816BB">
        <w:fldChar w:fldCharType="separate"/>
      </w:r>
      <w:r w:rsidRPr="00480FCF">
        <w:t>World Health Organization</w:t>
      </w:r>
      <w:r>
        <w:t xml:space="preserve"> (WHO), Constitution of the </w:t>
      </w:r>
      <w:r w:rsidRPr="00480FCF">
        <w:t>World Health Organization</w:t>
      </w:r>
      <w:r>
        <w:t>,</w:t>
      </w:r>
      <w:r w:rsidRPr="00480FCF">
        <w:t xml:space="preserve"> </w:t>
      </w:r>
      <w:r w:rsidRPr="00C54395">
        <w:rPr>
          <w:i/>
          <w:iCs/>
        </w:rPr>
        <w:t>Basic Documents</w:t>
      </w:r>
      <w:r w:rsidRPr="00480FCF">
        <w:t>, Forty-fifth edition, Supplement, October 2006.</w:t>
      </w:r>
      <w:r>
        <w:t xml:space="preserve"> Available at</w:t>
      </w:r>
      <w:r w:rsidRPr="00480FCF">
        <w:t xml:space="preserve"> http://bit.ly/1PNNCdi</w:t>
      </w:r>
      <w:r>
        <w:t>.</w:t>
      </w:r>
      <w:r w:rsidRPr="003816BB">
        <w:rPr>
          <w:noProof/>
        </w:rPr>
        <w:t xml:space="preserve"> </w:t>
      </w:r>
      <w:r w:rsidRPr="003816BB">
        <w:fldChar w:fldCharType="end"/>
      </w:r>
    </w:p>
  </w:footnote>
  <w:footnote w:id="5">
    <w:p w14:paraId="7E2E1FE5" w14:textId="7CC7B6B8" w:rsidR="007C2448" w:rsidRPr="007A659F" w:rsidRDefault="007C2448" w:rsidP="007A659F">
      <w:pPr>
        <w:pStyle w:val="FootnoteText"/>
      </w:pPr>
      <w:r>
        <w:tab/>
      </w:r>
      <w:r w:rsidRPr="007A659F">
        <w:rPr>
          <w:vertAlign w:val="superscript"/>
        </w:rPr>
        <w:footnoteRef/>
      </w:r>
      <w:r>
        <w:tab/>
      </w:r>
      <w:r w:rsidRPr="007A659F">
        <w:t>United Nations publication, ECE/MP.EIA/17.</w:t>
      </w:r>
    </w:p>
  </w:footnote>
  <w:footnote w:id="6">
    <w:p w14:paraId="3245E3C7" w14:textId="52D2AE45" w:rsidR="007C2448" w:rsidRPr="00E52D04" w:rsidRDefault="007C2448" w:rsidP="00E52D04">
      <w:pPr>
        <w:pStyle w:val="FootnoteText"/>
      </w:pPr>
      <w:r w:rsidRPr="00350555">
        <w:tab/>
      </w:r>
      <w:r w:rsidRPr="00E52D04">
        <w:rPr>
          <w:vertAlign w:val="superscript"/>
        </w:rPr>
        <w:footnoteRef/>
      </w:r>
      <w:r>
        <w:tab/>
      </w:r>
      <w:r w:rsidRPr="00E52D04">
        <w:fldChar w:fldCharType="begin"/>
      </w:r>
      <w:r w:rsidRPr="00E52D04">
        <w:instrText xml:space="preserve"> ADDIN EN.CITE &lt;EndNote&gt;&lt;Cite&gt;&lt;Author&gt;United Nations&lt;/Author&gt;&lt;Year&gt;2019&lt;/Year&gt;&lt;RecNum&gt;15187&lt;/RecNum&gt;&lt;DisplayText&gt;United Nations. 2019. &lt;style face="italic"&gt;Chapter XXVII Environment. 4. b Protocol on Strategic Environmental Assessment to the Convention on Environmental Impact Assessment in a Transboundary Context. Kiev, 21 May 2003 &lt;/style&gt;[Online]. Available: https://treaties.un.org/Pages/ViewDetails.aspx?src=TREATY&amp;amp;mtdsg_no=XXVII-4-b&amp;amp;chapter=27&amp;amp;clang=_en [Accessed 2019].&lt;/DisplayText&gt;&lt;record&gt;&lt;rec-number&gt;15187&lt;/rec-number&gt;&lt;foreign-keys&gt;&lt;key app="EN" db-id="wvpz5d5w3twx2kezx21v5tw855faveswped2" timestamp="1565252140"&gt;15187&lt;/key&gt;&lt;/foreign-keys&gt;&lt;ref-type name="Web Page"&gt;12&lt;/ref-type&gt;&lt;contributors&gt;&lt;authors&gt;&lt;author&gt;United Nations,&lt;/author&gt;&lt;/authors&gt;&lt;/contributors&gt;&lt;titles&gt;&lt;title&gt;Chapter XXVII Environment. 4. b Protocol on Strategic Environmental Assessment to the Convention on Environmental Impact Assessment in a Transboundary Context. Kiev, 21 May 2003&lt;/title&gt;&lt;secondary-title&gt;United Nations Treaty Collection&lt;/secondary-title&gt;&lt;/titles&gt;&lt;number&gt;2019&lt;/number&gt;&lt;dates&gt;&lt;year&gt;2019&lt;/year&gt;&lt;/dates&gt;&lt;urls&gt;&lt;related-urls&gt;&lt;url&gt;https://treaties.un.org/Pages/ViewDetails.aspx?src=TREATY&amp;amp;mtdsg_no=XXVII-4-b&amp;amp;chapter=27&amp;amp;clang=_en&lt;/url&gt;&lt;/related-urls&gt;&lt;/urls&gt;&lt;/record&gt;&lt;/Cite&gt;&lt;/EndNote&gt;</w:instrText>
      </w:r>
      <w:r w:rsidRPr="00E52D04">
        <w:fldChar w:fldCharType="separate"/>
      </w:r>
      <w:r w:rsidRPr="00E52D04">
        <w:t>Up</w:t>
      </w:r>
      <w:r>
        <w:t>-</w:t>
      </w:r>
      <w:r w:rsidRPr="00E52D04">
        <w:t>to</w:t>
      </w:r>
      <w:r>
        <w:t>-</w:t>
      </w:r>
      <w:r w:rsidRPr="00E52D04">
        <w:t>date status of ratifications is available at: https://treaties.un.org/Pages/ViewDetails.aspx?src=TREATY&amp;mtdsg_no=XXVII-4-b&amp;chapter=27&amp;clang=_en.</w:t>
      </w:r>
      <w:r w:rsidRPr="00E52D04">
        <w:fldChar w:fldCharType="end"/>
      </w:r>
    </w:p>
  </w:footnote>
  <w:footnote w:id="7">
    <w:p w14:paraId="6DA27883" w14:textId="7ED36DF3" w:rsidR="007C2448" w:rsidRPr="00596CB9" w:rsidRDefault="007C2448">
      <w:pPr>
        <w:pStyle w:val="FootnoteText"/>
      </w:pPr>
      <w:r>
        <w:tab/>
      </w:r>
      <w:r w:rsidRPr="009A49D7">
        <w:rPr>
          <w:vertAlign w:val="superscript"/>
        </w:rPr>
        <w:footnoteRef/>
      </w:r>
      <w:r>
        <w:tab/>
      </w:r>
      <w:r w:rsidRPr="009A49D7">
        <w:t>Directive 2001/42/EC</w:t>
      </w:r>
      <w:r>
        <w:t>.</w:t>
      </w:r>
    </w:p>
  </w:footnote>
  <w:footnote w:id="8">
    <w:p w14:paraId="3E400D8E" w14:textId="014B2BFD" w:rsidR="007C2448" w:rsidRPr="006706BD" w:rsidRDefault="007C2448" w:rsidP="00E52D04">
      <w:pPr>
        <w:pStyle w:val="FootnoteText"/>
      </w:pPr>
      <w:r>
        <w:tab/>
      </w:r>
      <w:r w:rsidRPr="00E52D04">
        <w:rPr>
          <w:vertAlign w:val="superscript"/>
        </w:rPr>
        <w:footnoteRef/>
      </w:r>
      <w:r>
        <w:tab/>
      </w:r>
      <w:r w:rsidRPr="00E52D04">
        <w:fldChar w:fldCharType="begin"/>
      </w:r>
      <w:r w:rsidRPr="00E52D04">
        <w:instrText xml:space="preserve"> ADDIN EN.CITE &lt;EndNote&gt;&lt;Cite&gt;&lt;Author&gt;World Health Organization Regional Office for Europe&lt;/Author&gt;&lt;Year&gt;no date&lt;/Year&gt;&lt;RecNum&gt;15156&lt;/RecNum&gt;&lt;DisplayText&gt;World Health Organization Regional Office for Europe. no date. &lt;style face="italic"&gt;Noncommunicable diseases &lt;/style&gt;[Online]. Available: www.euro.who.int/en/health-topics/noncommunicable-diseases [Accessed 2019].&lt;/DisplayText&gt;&lt;record&gt;&lt;rec-number&gt;15156&lt;/rec-number&gt;&lt;foreign-keys&gt;&lt;key app="EN" db-id="wvpz5d5w3twx2kezx21v5tw855faveswped2" timestamp="1558365556"&gt;15156&lt;/key&gt;&lt;/foreign-keys&gt;&lt;ref-type name="Web Page"&gt;12&lt;/ref-type&gt;&lt;contributors&gt;&lt;authors&gt;&lt;author&gt;World Health Organization Regional Office for Europe,&lt;/author&gt;&lt;/authors&gt;&lt;/contributors&gt;&lt;titles&gt;&lt;title&gt;Noncommunicable diseases&lt;/title&gt;&lt;/titles&gt;&lt;number&gt;2019&lt;/number&gt;&lt;dates&gt;&lt;year&gt;no date&lt;/year&gt;&lt;/dates&gt;&lt;urls&gt;&lt;related-urls&gt;&lt;url&gt;www.euro.who.int/en/health-topics/noncommunicable-diseases&lt;/url&gt;&lt;/related-urls&gt;&lt;/urls&gt;&lt;/record&gt;&lt;/Cite&gt;&lt;/EndNote&gt;</w:instrText>
      </w:r>
      <w:r w:rsidRPr="00E52D04">
        <w:fldChar w:fldCharType="separate"/>
      </w:r>
      <w:r w:rsidRPr="00E52D04">
        <w:t>WHO Regional Office for Europe</w:t>
      </w:r>
      <w:r>
        <w:t>,</w:t>
      </w:r>
      <w:r w:rsidRPr="00E52D04">
        <w:t xml:space="preserve"> </w:t>
      </w:r>
      <w:r w:rsidRPr="00ED7131">
        <w:t>“</w:t>
      </w:r>
      <w:r w:rsidRPr="006706BD">
        <w:t>Noncommunicable diseases</w:t>
      </w:r>
      <w:r w:rsidRPr="00ED7131">
        <w:t>”</w:t>
      </w:r>
      <w:r>
        <w:t>,</w:t>
      </w:r>
      <w:r w:rsidRPr="006706BD">
        <w:t xml:space="preserve"> </w:t>
      </w:r>
      <w:r>
        <w:t>a</w:t>
      </w:r>
      <w:r w:rsidRPr="006706BD">
        <w:t>vailable at www.euro.who.int/en/health-topics/noncommunicable-diseases.</w:t>
      </w:r>
      <w:r w:rsidRPr="00E52D04">
        <w:fldChar w:fldCharType="end"/>
      </w:r>
    </w:p>
  </w:footnote>
  <w:footnote w:id="9">
    <w:p w14:paraId="3A54C645" w14:textId="06FD2F35" w:rsidR="007C2448" w:rsidRPr="00E52D04" w:rsidRDefault="007C2448" w:rsidP="00AD153E">
      <w:pPr>
        <w:pStyle w:val="FootnoteText"/>
      </w:pPr>
      <w:r w:rsidRPr="006706BD">
        <w:rPr>
          <w:szCs w:val="18"/>
        </w:rPr>
        <w:tab/>
      </w:r>
      <w:r w:rsidRPr="003816BB">
        <w:rPr>
          <w:rStyle w:val="FootnoteReference"/>
          <w:szCs w:val="18"/>
        </w:rPr>
        <w:footnoteRef/>
      </w:r>
      <w:r w:rsidRPr="0004086D">
        <w:rPr>
          <w:szCs w:val="18"/>
        </w:rPr>
        <w:tab/>
      </w:r>
      <w:r w:rsidRPr="0004086D">
        <w:t>A. Pr</w:t>
      </w:r>
      <w:r w:rsidRPr="006706BD">
        <w:t>ü</w:t>
      </w:r>
      <w:r w:rsidRPr="0004086D">
        <w:t>ss-Ust</w:t>
      </w:r>
      <w:r w:rsidRPr="006706BD">
        <w:t>ü</w:t>
      </w:r>
      <w:r w:rsidRPr="0004086D">
        <w:t xml:space="preserve">n </w:t>
      </w:r>
      <w:r>
        <w:t>and others</w:t>
      </w:r>
      <w:r w:rsidRPr="006706BD">
        <w:t>,</w:t>
      </w:r>
      <w:r>
        <w:t xml:space="preserve"> </w:t>
      </w:r>
      <w:r w:rsidRPr="006706BD">
        <w:rPr>
          <w:i/>
          <w:iCs/>
        </w:rPr>
        <w:t>Preventing disease through healthy environments: A global assessment of the burden of disease from environmental risks</w:t>
      </w:r>
      <w:r>
        <w:t xml:space="preserve"> (Geneva, WHO, 2016).</w:t>
      </w:r>
    </w:p>
  </w:footnote>
  <w:footnote w:id="10">
    <w:p w14:paraId="61471C0E" w14:textId="2E57EB4C" w:rsidR="007C2448" w:rsidRPr="004C69C8" w:rsidRDefault="007C2448" w:rsidP="004C69C8">
      <w:pPr>
        <w:pStyle w:val="FootnoteText"/>
      </w:pPr>
      <w:r>
        <w:tab/>
      </w:r>
      <w:r w:rsidRPr="004C69C8">
        <w:rPr>
          <w:vertAlign w:val="superscript"/>
        </w:rPr>
        <w:footnoteRef/>
      </w:r>
      <w:r>
        <w:tab/>
        <w:t xml:space="preserve">T. B. </w:t>
      </w:r>
      <w:r w:rsidRPr="004C69C8">
        <w:fldChar w:fldCharType="begin"/>
      </w:r>
      <w:r w:rsidRPr="004C69C8">
        <w:instrText xml:space="preserve"> ADDIN EN.CITE &lt;EndNote&gt;&lt;Cite&gt;&lt;Author&gt;Fischer&lt;/Author&gt;&lt;Year&gt;2010&lt;/Year&gt;&lt;RecNum&gt;10399&lt;/RecNum&gt;&lt;DisplayText&gt;Fischer, T. B. 2010. The consideration of health in SEA. &lt;style face="italic"&gt;In:&lt;/style&gt; Nowacki, J., Martuzzi, M. &amp;amp; Fischer, T. B. (eds.) &lt;style face="italic"&gt;Health and Strategic Environmental Assessment. Background information and Report of the WHO Consultation Meeting Rome, Italy 8-9 June 2009.&lt;/style&gt; Denmark: WHO Regional Office for Europe.&lt;/DisplayText&gt;&lt;record&gt;&lt;rec-number&gt;10399&lt;/rec-number&gt;&lt;foreign-keys&gt;&lt;key app="EN" db-id="wvpz5d5w3twx2kezx21v5tw855faveswped2" timestamp="1455274118"&gt;10399&lt;/key&gt;&lt;/foreign-keys&gt;&lt;ref-type name="Book Section"&gt;5&lt;/ref-type&gt;&lt;contributors&gt;&lt;authors&gt;&lt;author&gt;Fischer, T. B.&lt;/author&gt;&lt;/authors&gt;&lt;secondary-authors&gt;&lt;author&gt;Nowacki, J.&lt;/author&gt;&lt;author&gt;Martuzzi, M.&lt;/author&gt;&lt;author&gt;Fischer, T. B.&lt;/author&gt;&lt;/secondary-authors&gt;&lt;/contributors&gt;&lt;titles&gt;&lt;title&gt;The consideration of health in SEA&lt;/title&gt;&lt;secondary-title&gt;Health and Strategic Environmental Assessment. Background information and Report of the WHO Consultation Meeting Rome, Italy 8-9 June 2009&lt;/secondary-title&gt;&lt;/titles&gt;&lt;pages&gt;20-42&lt;/pages&gt;&lt;reprint-edition&gt;IN FILE&lt;/reprint-edition&gt;&lt;keywords&gt;&lt;keyword&gt;health&lt;/keyword&gt;&lt;keyword&gt;strategic environmental assessment&lt;/keyword&gt;&lt;keyword&gt;information&lt;/keyword&gt;&lt;keyword&gt;WHO&lt;/keyword&gt;&lt;keyword&gt;Italy&lt;/keyword&gt;&lt;keyword&gt;HIA&lt;/keyword&gt;&lt;keyword&gt;SEA&lt;/keyword&gt;&lt;keyword&gt;Rome&lt;/keyword&gt;&lt;keyword&gt;environmental assessment&lt;/keyword&gt;&lt;/keywords&gt;&lt;dates&gt;&lt;year&gt;2010&lt;/year&gt;&lt;/dates&gt;&lt;pub-location&gt;Denmark&lt;/pub-location&gt;&lt;publisher&gt;WHO Regional Office for Europe&lt;/publisher&gt;&lt;urls&gt;&lt;related-urls&gt;&lt;url&gt;www.euro.who.int/__data/assets/pdf_file/0006/112749/E93878.pdf&lt;/url&gt;&lt;/related-urls&gt;&lt;/urls&gt;&lt;/record&gt;&lt;/Cite&gt;&lt;/EndNote&gt;</w:instrText>
      </w:r>
      <w:r w:rsidRPr="004C69C8">
        <w:fldChar w:fldCharType="separate"/>
      </w:r>
      <w:r w:rsidRPr="004C69C8">
        <w:t xml:space="preserve">Fischer, </w:t>
      </w:r>
      <w:r w:rsidRPr="00337117">
        <w:t>“</w:t>
      </w:r>
      <w:r w:rsidRPr="004C69C8">
        <w:t xml:space="preserve">The consideration of health in </w:t>
      </w:r>
      <w:r>
        <w:t>SEA</w:t>
      </w:r>
      <w:r w:rsidRPr="00337117">
        <w:t>”</w:t>
      </w:r>
      <w:r>
        <w:t>,</w:t>
      </w:r>
      <w:r w:rsidRPr="004C69C8">
        <w:t xml:space="preserve"> </w:t>
      </w:r>
      <w:r>
        <w:t>i</w:t>
      </w:r>
      <w:r w:rsidRPr="004C69C8">
        <w:t xml:space="preserve">n </w:t>
      </w:r>
      <w:r w:rsidRPr="00F232E6">
        <w:rPr>
          <w:i/>
          <w:iCs/>
        </w:rPr>
        <w:t>Health and Strategic Environmental Assessment. Background information and report, WHO Consultation Meeting, Rome, 8 and 9 June 2009</w:t>
      </w:r>
      <w:r>
        <w:t>,</w:t>
      </w:r>
      <w:r w:rsidRPr="00337117">
        <w:t xml:space="preserve"> </w:t>
      </w:r>
      <w:r>
        <w:t xml:space="preserve">J. </w:t>
      </w:r>
      <w:r w:rsidRPr="00337117">
        <w:t xml:space="preserve">Nowacki, M. Martuzzi and T.B. Fischer, eds. </w:t>
      </w:r>
      <w:r>
        <w:t xml:space="preserve">(Copenhagen, </w:t>
      </w:r>
      <w:r w:rsidRPr="004C69C8">
        <w:t>WHO Regional Office for Europe</w:t>
      </w:r>
      <w:r>
        <w:t>, 2010)</w:t>
      </w:r>
      <w:r w:rsidRPr="004C69C8">
        <w:fldChar w:fldCharType="end"/>
      </w:r>
      <w:r>
        <w:t xml:space="preserve">; and </w:t>
      </w:r>
      <w:r w:rsidRPr="00596CB9">
        <w:t xml:space="preserve">A. Bond, B. Cave, and R. Ballantyne, </w:t>
      </w:r>
      <w:r w:rsidRPr="00821DB7">
        <w:t>“</w:t>
      </w:r>
      <w:r w:rsidRPr="00596CB9">
        <w:t>Who plans for health improvement? SEA, HIA and the separation of spatial planning and health planning</w:t>
      </w:r>
      <w:r w:rsidRPr="00821DB7">
        <w:t>”</w:t>
      </w:r>
      <w:r>
        <w:t>,</w:t>
      </w:r>
      <w:r w:rsidRPr="00596CB9">
        <w:t xml:space="preserve"> </w:t>
      </w:r>
      <w:r w:rsidRPr="00F232E6">
        <w:rPr>
          <w:i/>
          <w:iCs/>
        </w:rPr>
        <w:t>Environmental Impact Assessment Review</w:t>
      </w:r>
      <w:r w:rsidRPr="00596CB9">
        <w:t>, vol. 42 (September 2013)</w:t>
      </w:r>
      <w:r>
        <w:t>,</w:t>
      </w:r>
      <w:r w:rsidRPr="00596CB9">
        <w:t xml:space="preserve"> pp. 67–73. Available at https://doi.org/10.1016/j.eiar.2012.10.002</w:t>
      </w:r>
      <w:r>
        <w:t>.</w:t>
      </w:r>
    </w:p>
  </w:footnote>
  <w:footnote w:id="11">
    <w:p w14:paraId="7121612F" w14:textId="3A6A35BC" w:rsidR="007C2448" w:rsidRDefault="007C2448" w:rsidP="004C69C8">
      <w:pPr>
        <w:pStyle w:val="FootnoteText"/>
      </w:pPr>
      <w:r w:rsidRPr="00350555">
        <w:rPr>
          <w:szCs w:val="18"/>
        </w:rPr>
        <w:tab/>
      </w:r>
      <w:r>
        <w:rPr>
          <w:rStyle w:val="FootnoteReference"/>
        </w:rPr>
        <w:footnoteRef/>
      </w:r>
      <w:r>
        <w:rPr>
          <w:szCs w:val="18"/>
        </w:rPr>
        <w:tab/>
      </w:r>
      <w:r>
        <w:fldChar w:fldCharType="begin"/>
      </w:r>
      <w:r>
        <w:instrText xml:space="preserve"> ADDIN EN.CITE &lt;EndNote&gt;&lt;Cite&gt;&lt;Author&gt;World Health Organization&lt;/Author&gt;&lt;Year&gt;2015&lt;/Year&gt;&lt;RecNum&gt;11206&lt;/RecNum&gt;&lt;DisplayText&gt;World Health Organization. 2015. Health in all policies: training manual.    Geneva. http://apps.who.int/iris/bitstream/10665/151788/1/9789241507981_eng.pdf?ua=1 &lt;/DisplayText&gt;&lt;record&gt;&lt;rec-number&gt;11206&lt;/rec-number&gt;&lt;foreign-keys&gt;&lt;key app="EN" db-id="wvpz5d5w3twx2kezx21v5tw855faveswped2" timestamp="1455274462"&gt;11206&lt;/key&gt;&lt;key app="ENWeb" db-id=""&gt;0&lt;/key&gt;&lt;/foreign-keys&gt;&lt;ref-type name="Report"&gt;27&lt;/ref-type&gt;&lt;contributors&gt;&lt;authors&gt;&lt;author&gt;World Health Organization,&lt;/author&gt;&lt;/authors&gt;&lt;secondary-authors&gt;&lt;author&gt;Kickbusch, I.&lt;/author&gt;&lt;author&gt;Brindley, C.&lt;/author&gt;&lt;author&gt;Williams, C.&lt;/author&gt;&lt;author&gt;Valentine, N.&lt;/author&gt;&lt;author&gt;Stone, V.&lt;/author&gt;&lt;/secondary-authors&gt;&lt;/contributors&gt;&lt;titles&gt;&lt;title&gt;Health in all policies: training manual&lt;/title&gt;&lt;/titles&gt;&lt;keywords&gt;&lt;keyword&gt;health&lt;/keyword&gt;&lt;keyword&gt;health in all policies&lt;/keyword&gt;&lt;keyword&gt;policy&lt;/keyword&gt;&lt;/keywords&gt;&lt;dates&gt;&lt;year&gt;2015&lt;/year&gt;&lt;/dates&gt;&lt;pub-location&gt;Geneva&lt;/pub-location&gt;&lt;urls&gt;&lt;related-urls&gt;&lt;url&gt;http://apps.who.int/iris/bitstream/10665/151788/1/9789241507981_eng.pdf?ua=1&lt;/url&gt;&lt;/related-urls&gt;&lt;/urls&gt;&lt;research-notes&gt;http://apps.who.int/iris/bitstream/10665/151788/1/9789241507981_eng.pdf?ua=1&amp;#xD;http://bit.ly/18fScSy&lt;/research-notes&gt;&lt;/record&gt;&lt;/Cite&gt;&lt;/EndNote&gt;</w:instrText>
      </w:r>
      <w:r>
        <w:fldChar w:fldCharType="separate"/>
      </w:r>
      <w:r>
        <w:rPr>
          <w:noProof/>
        </w:rPr>
        <w:t>W</w:t>
      </w:r>
      <w:r w:rsidRPr="004C69C8">
        <w:t>H</w:t>
      </w:r>
      <w:r>
        <w:rPr>
          <w:noProof/>
        </w:rPr>
        <w:t xml:space="preserve">O, </w:t>
      </w:r>
      <w:r w:rsidRPr="00F232E6">
        <w:rPr>
          <w:i/>
          <w:iCs/>
          <w:noProof/>
        </w:rPr>
        <w:t>Health in all policies: Training manual</w:t>
      </w:r>
      <w:r>
        <w:rPr>
          <w:noProof/>
        </w:rPr>
        <w:t xml:space="preserve"> (Geneva, 2015), available at http://apps.who.int/iris/bitstream/10665/151788/1/9789241507981_eng.pdf?ua=1. </w:t>
      </w:r>
      <w:r>
        <w:fldChar w:fldCharType="end"/>
      </w:r>
    </w:p>
  </w:footnote>
  <w:footnote w:id="12">
    <w:p w14:paraId="7479B831" w14:textId="3324AA2E" w:rsidR="007C2448" w:rsidRPr="00694203" w:rsidRDefault="007C2448" w:rsidP="00727DA1">
      <w:pPr>
        <w:pStyle w:val="FootnoteText"/>
        <w:ind w:hanging="567"/>
      </w:pPr>
      <w:r>
        <w:tab/>
      </w:r>
      <w:r>
        <w:rPr>
          <w:rStyle w:val="FootnoteReference"/>
        </w:rPr>
        <w:footnoteRef/>
      </w:r>
      <w:r>
        <w:tab/>
      </w:r>
      <w:r w:rsidRPr="0073601A">
        <w:t>United Nations publication, ECE/MP.EIA/17</w:t>
      </w:r>
      <w:r>
        <w:t>, chap. A1.4, para. 20.</w:t>
      </w:r>
    </w:p>
  </w:footnote>
  <w:footnote w:id="13">
    <w:p w14:paraId="289A2E6E" w14:textId="620B73C1" w:rsidR="007C2448" w:rsidRPr="003816BB" w:rsidRDefault="007C2448" w:rsidP="001D28D9">
      <w:pPr>
        <w:pStyle w:val="FootnoteText"/>
        <w:rPr>
          <w:szCs w:val="18"/>
        </w:rPr>
      </w:pPr>
      <w:r w:rsidRPr="00350555">
        <w:rPr>
          <w:szCs w:val="18"/>
        </w:rPr>
        <w:tab/>
      </w:r>
      <w:r w:rsidRPr="003816BB">
        <w:rPr>
          <w:rStyle w:val="FootnoteReference"/>
          <w:szCs w:val="18"/>
        </w:rPr>
        <w:footnoteRef/>
      </w:r>
      <w:r>
        <w:rPr>
          <w:szCs w:val="18"/>
        </w:rPr>
        <w:tab/>
        <w:t xml:space="preserve">Declaration of the Third Ministerial Conference on Environment and Health, </w:t>
      </w:r>
      <w:r w:rsidRPr="002A7A56">
        <w:rPr>
          <w:szCs w:val="18"/>
        </w:rPr>
        <w:t>London, 16–18 June 1999</w:t>
      </w:r>
      <w:r w:rsidRPr="00E23B79">
        <w:t xml:space="preserve"> </w:t>
      </w:r>
      <w:r>
        <w:rPr>
          <w:szCs w:val="18"/>
        </w:rPr>
        <w:t>(</w:t>
      </w:r>
      <w:r w:rsidRPr="00E23B79">
        <w:rPr>
          <w:szCs w:val="18"/>
        </w:rPr>
        <w:t>Commission of the European Communities/WHO Regional Office for Europe</w:t>
      </w:r>
      <w:r>
        <w:rPr>
          <w:szCs w:val="18"/>
        </w:rPr>
        <w:t>)</w:t>
      </w:r>
      <w:r w:rsidRPr="002A7A56">
        <w:rPr>
          <w:szCs w:val="18"/>
        </w:rPr>
        <w:t xml:space="preserve">. Available at </w:t>
      </w:r>
      <w:r w:rsidRPr="003816BB">
        <w:rPr>
          <w:rFonts w:eastAsia="Calibri"/>
          <w:szCs w:val="18"/>
          <w:lang w:eastAsia="en-GB"/>
        </w:rPr>
        <w:fldChar w:fldCharType="begin"/>
      </w:r>
      <w:r w:rsidRPr="003816BB">
        <w:rPr>
          <w:rFonts w:eastAsia="Calibri"/>
          <w:szCs w:val="18"/>
          <w:lang w:eastAsia="en-GB"/>
        </w:rPr>
        <w:instrText xml:space="preserve"> ADDIN EN.CITE &lt;EndNote&gt;&lt;Cite&gt;&lt;Author&gt;World Health Organization Regional Office for Europe&lt;/Author&gt;&lt;Year&gt;1999&lt;/Year&gt;&lt;RecNum&gt;2164&lt;/RecNum&gt;&lt;DisplayText&gt;World Health Organization Regional Office for Europe. 1999. Declaration: third ministerial conference on environment and health.  16-18 June.   London. www.euro.who.int/en/publications/policy-documents/declaration-of-the-third-ministerial-conference-on-environment-and-health &lt;/DisplayText&gt;&lt;record&gt;&lt;rec-number&gt;2164&lt;/rec-number&gt;&lt;foreign-keys&gt;&lt;key app="EN" db-id="wvpz5d5w3twx2kezx21v5tw855faveswped2" timestamp="1455272563"&gt;2164&lt;/key&gt;&lt;/foreign-keys&gt;&lt;ref-type name="Report"&gt;27&lt;/ref-type&gt;&lt;contributors&gt;&lt;authors&gt;&lt;author&gt;World Health Organization Regional Office for Europe,&lt;/author&gt;&lt;/authors&gt;&lt;/contributors&gt;&lt;titles&gt;&lt;title&gt;Declaration: third ministerial conference on environment and health&lt;/title&gt;&lt;/titles&gt;&lt;volume&gt;16-18 June&lt;/volume&gt;&lt;keywords&gt;&lt;keyword&gt;health&lt;/keyword&gt;&lt;keyword&gt;Europe&lt;/keyword&gt;&lt;keyword&gt;environment&lt;/keyword&gt;&lt;keyword&gt;London&lt;/keyword&gt;&lt;/keywords&gt;&lt;dates&gt;&lt;year&gt;1999&lt;/year&gt;&lt;/dates&gt;&lt;pub-location&gt;London&lt;/pub-location&gt;&lt;urls&gt;&lt;related-urls&gt;&lt;url&gt;www.euro.who.int/en/publications/policy-documents/declaration-of-the-third-ministerial-conference-on-environment-and-health&lt;/url&gt;&lt;/related-urls&gt;&lt;/urls&gt;&lt;/record&gt;&lt;/Cite&gt;&lt;/EndNote&gt;</w:instrText>
      </w:r>
      <w:r w:rsidRPr="003816BB">
        <w:rPr>
          <w:rFonts w:eastAsia="Calibri"/>
          <w:szCs w:val="18"/>
          <w:lang w:eastAsia="en-GB"/>
        </w:rPr>
        <w:fldChar w:fldCharType="separate"/>
      </w:r>
      <w:r w:rsidRPr="003816BB">
        <w:rPr>
          <w:rFonts w:eastAsia="Calibri"/>
          <w:noProof/>
          <w:szCs w:val="18"/>
          <w:lang w:eastAsia="en-GB"/>
        </w:rPr>
        <w:t xml:space="preserve"> www.euro.who.int/en/publications/policy-documents/declaration-of-the-third-ministerial-conference-on-environment-and-health</w:t>
      </w:r>
      <w:r>
        <w:rPr>
          <w:rFonts w:eastAsia="Calibri"/>
          <w:noProof/>
          <w:szCs w:val="18"/>
          <w:lang w:eastAsia="en-GB"/>
        </w:rPr>
        <w:t xml:space="preserve">. </w:t>
      </w:r>
      <w:r w:rsidRPr="003816BB">
        <w:rPr>
          <w:rFonts w:eastAsia="Calibri"/>
          <w:noProof/>
          <w:szCs w:val="18"/>
          <w:lang w:eastAsia="en-GB"/>
        </w:rPr>
        <w:t xml:space="preserve"> </w:t>
      </w:r>
      <w:r w:rsidRPr="003816BB">
        <w:rPr>
          <w:rFonts w:eastAsia="Calibri"/>
          <w:szCs w:val="18"/>
          <w:lang w:eastAsia="en-GB"/>
        </w:rPr>
        <w:fldChar w:fldCharType="end"/>
      </w:r>
    </w:p>
  </w:footnote>
  <w:footnote w:id="14">
    <w:p w14:paraId="3DF3F7DF" w14:textId="0C2ECF71" w:rsidR="007C2448" w:rsidRPr="004C6D5D" w:rsidRDefault="007C2448" w:rsidP="001D28D9">
      <w:pPr>
        <w:pStyle w:val="FootnoteText"/>
        <w:rPr>
          <w:szCs w:val="18"/>
        </w:rPr>
      </w:pPr>
      <w:r w:rsidRPr="004C6D5D">
        <w:rPr>
          <w:szCs w:val="18"/>
        </w:rPr>
        <w:tab/>
      </w:r>
      <w:r w:rsidRPr="003816BB">
        <w:rPr>
          <w:rStyle w:val="FootnoteReference"/>
          <w:szCs w:val="18"/>
        </w:rPr>
        <w:footnoteRef/>
      </w:r>
      <w:r>
        <w:rPr>
          <w:szCs w:val="18"/>
        </w:rPr>
        <w:tab/>
      </w:r>
      <w:r w:rsidRPr="003816BB">
        <w:rPr>
          <w:szCs w:val="18"/>
        </w:rPr>
        <w:fldChar w:fldCharType="begin"/>
      </w:r>
      <w:r w:rsidRPr="003816BB">
        <w:rPr>
          <w:szCs w:val="18"/>
        </w:rPr>
        <w:instrText xml:space="preserve"> ADDIN EN.CITE &lt;EndNote&gt;&lt;Cite&gt;&lt;Author&gt;World Health Organization Regional Office for Europe&lt;/Author&gt;&lt;Year&gt;2004&lt;/Year&gt;&lt;RecNum&gt;2981&lt;/RecNum&gt;&lt;DisplayText&gt;World Health Organization Regional Office for Europe. 2004. Fourth Ministerial Conference on Environment and Health. Declaration.   23-25 June. EUR/04/5046267/6. Budapest, Hungary. www.euro.who.int/en/home/conferences/fifth-ministerial-conference-on-environment-and-health/past-conferences/fourth-ministerial-conference-on-environment-and-health,-budapest,-hungary,-2004/fourth-ministerial-conference-on-environment-and-health.-declaration &lt;/DisplayText&gt;&lt;record&gt;&lt;rec-number&gt;2981&lt;/rec-number&gt;&lt;foreign-keys&gt;&lt;key app="EN" db-id="wvpz5d5w3twx2kezx21v5tw855faveswped2" timestamp="1455272884"&gt;2981&lt;/key&gt;&lt;/foreign-keys&gt;&lt;ref-type name="Report"&gt;27&lt;/ref-type&gt;&lt;contributors&gt;&lt;authors&gt;&lt;author&gt;World Health Organization Regional Office for Europe,&lt;/author&gt;&lt;/authors&gt;&lt;/contributors&gt;&lt;titles&gt;&lt;title&gt;Fourth Ministerial Conference on Environment and Health. Declaration&lt;/title&gt;&lt;/titles&gt;&lt;number&gt;23-25 June. EUR/04/5046267/6&lt;/number&gt;&lt;keywords&gt;&lt;keyword&gt;environment&lt;/keyword&gt;&lt;keyword&gt;health&lt;/keyword&gt;&lt;/keywords&gt;&lt;dates&gt;&lt;year&gt;2004&lt;/year&gt;&lt;/dates&gt;&lt;pub-location&gt;Budapest, Hungary&lt;/pub-location&gt;&lt;urls&gt;&lt;related-urls&gt;&lt;url&gt;www.euro.who.int/en/home/conferences/fifth-ministerial-conference-on-environment-and-health/past-conferences/fourth-ministerial-conference-on-environment-and-health,-budapest,-hungary,-2004/fourth-ministerial-conference-on-environment-and-health.-declaration&lt;/url&gt;&lt;/related-urls&gt;&lt;/urls&gt;&lt;/record&gt;&lt;/Cite&gt;&lt;/EndNote&gt;</w:instrText>
      </w:r>
      <w:r w:rsidRPr="003816BB">
        <w:rPr>
          <w:szCs w:val="18"/>
        </w:rPr>
        <w:fldChar w:fldCharType="separate"/>
      </w:r>
      <w:r w:rsidRPr="003816BB">
        <w:rPr>
          <w:noProof/>
          <w:szCs w:val="18"/>
        </w:rPr>
        <w:t>Fourth Ministerial Conference on Environment and Health</w:t>
      </w:r>
      <w:r>
        <w:rPr>
          <w:noProof/>
          <w:szCs w:val="18"/>
        </w:rPr>
        <w:t>:</w:t>
      </w:r>
      <w:r w:rsidRPr="003816BB">
        <w:rPr>
          <w:noProof/>
          <w:szCs w:val="18"/>
        </w:rPr>
        <w:t xml:space="preserve"> Declaration</w:t>
      </w:r>
      <w:r>
        <w:rPr>
          <w:noProof/>
          <w:szCs w:val="18"/>
        </w:rPr>
        <w:t>,</w:t>
      </w:r>
      <w:r w:rsidRPr="003816BB">
        <w:rPr>
          <w:noProof/>
          <w:szCs w:val="18"/>
        </w:rPr>
        <w:t xml:space="preserve">  </w:t>
      </w:r>
      <w:r>
        <w:rPr>
          <w:noProof/>
          <w:szCs w:val="18"/>
        </w:rPr>
        <w:t xml:space="preserve">Budapest, </w:t>
      </w:r>
      <w:r w:rsidRPr="003816BB">
        <w:rPr>
          <w:noProof/>
          <w:szCs w:val="18"/>
        </w:rPr>
        <w:t>23</w:t>
      </w:r>
      <w:r>
        <w:rPr>
          <w:noProof/>
          <w:szCs w:val="18"/>
        </w:rPr>
        <w:t>–</w:t>
      </w:r>
      <w:r w:rsidRPr="003816BB">
        <w:rPr>
          <w:noProof/>
          <w:szCs w:val="18"/>
        </w:rPr>
        <w:t>25 June</w:t>
      </w:r>
      <w:r>
        <w:rPr>
          <w:noProof/>
          <w:szCs w:val="18"/>
        </w:rPr>
        <w:t xml:space="preserve"> 2004,</w:t>
      </w:r>
      <w:r w:rsidRPr="003816BB">
        <w:rPr>
          <w:noProof/>
          <w:szCs w:val="18"/>
        </w:rPr>
        <w:t xml:space="preserve"> </w:t>
      </w:r>
      <w:r w:rsidRPr="004C6D5D">
        <w:rPr>
          <w:noProof/>
          <w:szCs w:val="18"/>
        </w:rPr>
        <w:t>EUR/04/5046267/6</w:t>
      </w:r>
      <w:r w:rsidRPr="00F232E6">
        <w:rPr>
          <w:noProof/>
          <w:szCs w:val="18"/>
        </w:rPr>
        <w:t xml:space="preserve"> (WHO Regional Office for Europe)</w:t>
      </w:r>
      <w:r>
        <w:rPr>
          <w:noProof/>
          <w:szCs w:val="18"/>
        </w:rPr>
        <w:t>, para. 13</w:t>
      </w:r>
      <w:r w:rsidRPr="004C6D5D">
        <w:rPr>
          <w:noProof/>
          <w:szCs w:val="18"/>
        </w:rPr>
        <w:t xml:space="preserve">. </w:t>
      </w:r>
      <w:r w:rsidRPr="00F232E6">
        <w:rPr>
          <w:noProof/>
          <w:szCs w:val="18"/>
        </w:rPr>
        <w:t>Av</w:t>
      </w:r>
      <w:r w:rsidRPr="004C6D5D">
        <w:rPr>
          <w:noProof/>
          <w:szCs w:val="18"/>
        </w:rPr>
        <w:t>ai</w:t>
      </w:r>
      <w:r w:rsidRPr="00F232E6">
        <w:rPr>
          <w:noProof/>
          <w:szCs w:val="18"/>
        </w:rPr>
        <w:t>lable at</w:t>
      </w:r>
      <w:r w:rsidRPr="004C6D5D">
        <w:rPr>
          <w:noProof/>
          <w:szCs w:val="18"/>
        </w:rPr>
        <w:t xml:space="preserve"> www.euro.who.int/en/home/conferences/fifth-ministerial-conference-on-environment-and-health/past-conferences/fourth-ministerial-conference-on-environment-and-health,-budapest,-hungary,-2004/fourth-ministerial-conference-on-environment-and-health.-declaration</w:t>
      </w:r>
      <w:r>
        <w:rPr>
          <w:noProof/>
          <w:szCs w:val="18"/>
        </w:rPr>
        <w:t xml:space="preserve">. </w:t>
      </w:r>
      <w:r w:rsidRPr="004C6D5D">
        <w:rPr>
          <w:noProof/>
          <w:szCs w:val="18"/>
        </w:rPr>
        <w:t xml:space="preserve"> </w:t>
      </w:r>
      <w:r w:rsidRPr="003816BB">
        <w:rPr>
          <w:szCs w:val="18"/>
        </w:rPr>
        <w:fldChar w:fldCharType="end"/>
      </w:r>
    </w:p>
  </w:footnote>
  <w:footnote w:id="15">
    <w:p w14:paraId="5378EB8B" w14:textId="32461DDE" w:rsidR="007C2448" w:rsidRPr="003816BB" w:rsidRDefault="007C2448" w:rsidP="001D28D9">
      <w:pPr>
        <w:pStyle w:val="FootnoteText"/>
        <w:rPr>
          <w:szCs w:val="18"/>
        </w:rPr>
      </w:pPr>
      <w:r w:rsidRPr="004C6D5D">
        <w:rPr>
          <w:szCs w:val="18"/>
        </w:rPr>
        <w:tab/>
      </w:r>
      <w:r w:rsidRPr="003816BB">
        <w:rPr>
          <w:rStyle w:val="FootnoteReference"/>
          <w:szCs w:val="18"/>
        </w:rPr>
        <w:footnoteRef/>
      </w:r>
      <w:r>
        <w:rPr>
          <w:szCs w:val="18"/>
        </w:rPr>
        <w:tab/>
      </w:r>
      <w:r w:rsidRPr="003816BB">
        <w:rPr>
          <w:szCs w:val="18"/>
        </w:rPr>
        <w:fldChar w:fldCharType="begin"/>
      </w:r>
      <w:r w:rsidRPr="003816BB">
        <w:rPr>
          <w:szCs w:val="18"/>
        </w:rPr>
        <w:instrText xml:space="preserve"> ADDIN EN.CITE &lt;EndNote&gt;&lt;Cite&gt;&lt;Author&gt;World Health Organization&lt;/Author&gt;&lt;Year&gt;1946&lt;/Year&gt;&lt;RecNum&gt;9480&lt;/RecNum&gt;&lt;DisplayText&gt;World Health Organization. 1946. Constitution. World Health Organization. Basic Documents, Forty-fifth edition, Supplement, October 2006.   Geneva. http://bit.ly/1PNNCdi &lt;/DisplayText&gt;&lt;record&gt;&lt;rec-number&gt;9480&lt;/rec-number&gt;&lt;foreign-keys&gt;&lt;key app="EN" db-id="wvpz5d5w3twx2kezx21v5tw855faveswped2" timestamp="1455273685"&gt;9480&lt;/key&gt;&lt;/foreign-keys&gt;&lt;ref-type name="Report"&gt;27&lt;/ref-type&gt;&lt;contributors&gt;&lt;authors&gt;&lt;author&gt;World Health Organization,&lt;/author&gt;&lt;/authors&gt;&lt;/contributors&gt;&lt;titles&gt;&lt;title&gt;Constitution&lt;/title&gt;&lt;/titles&gt;&lt;volume&gt;Basic Documents, Forty-fifth edition, Supplement, October 2006&lt;/volume&gt;&lt;keywords&gt;&lt;keyword&gt;health&lt;/keyword&gt;&lt;keyword&gt;United Nations&lt;/keyword&gt;&lt;keyword&gt;social&lt;/keyword&gt;&lt;keyword&gt;disease&lt;/keyword&gt;&lt;keyword&gt;Human&lt;/keyword&gt;&lt;keyword&gt;RACE&lt;/keyword&gt;&lt;keyword&gt;economic&lt;/keyword&gt;&lt;keyword&gt;development&lt;/keyword&gt;&lt;keyword&gt;control&lt;/keyword&gt;&lt;keyword&gt;child&lt;/keyword&gt;&lt;keyword&gt;environment&lt;/keyword&gt;&lt;keyword&gt;benefits&lt;/keyword&gt;&lt;keyword&gt;psychological&lt;/keyword&gt;&lt;keyword&gt;Knowledge&lt;/keyword&gt;&lt;keyword&gt;Government&lt;/keyword&gt;&lt;keyword&gt;provision&lt;/keyword&gt;&lt;keyword&gt;Religion&lt;/keyword&gt;&lt;keyword&gt;Happiness&lt;/keyword&gt;&lt;keyword&gt;well-being&lt;/keyword&gt;&lt;keyword&gt;wellbeing&lt;/keyword&gt;&lt;keyword&gt;Achievement&lt;/keyword&gt;&lt;/keywords&gt;&lt;dates&gt;&lt;year&gt;1946&lt;/year&gt;&lt;/dates&gt;&lt;pub-location&gt;Geneva&lt;/pub-location&gt;&lt;publisher&gt;World Health Organization&lt;/publisher&gt;&lt;urls&gt;&lt;related-urls&gt;&lt;url&gt;http://bit.ly/1PNNCdi&lt;/url&gt;&lt;/related-urls&gt;&lt;/urls&gt;&lt;research-notes&gt;www.who.int/governance/eb/who_constitution_en.pdf&amp;#xD;http://www.who.int/governance/eb/who_constitution_en.pdf&lt;/research-notes&gt;&lt;/record&gt;&lt;/Cite&gt;&lt;/EndNote&gt;</w:instrText>
      </w:r>
      <w:r w:rsidRPr="003816BB">
        <w:rPr>
          <w:szCs w:val="18"/>
        </w:rPr>
        <w:fldChar w:fldCharType="separate"/>
      </w:r>
      <w:r w:rsidRPr="003816BB">
        <w:rPr>
          <w:noProof/>
          <w:szCs w:val="18"/>
        </w:rPr>
        <w:t>WHO</w:t>
      </w:r>
      <w:r>
        <w:rPr>
          <w:noProof/>
          <w:szCs w:val="18"/>
        </w:rPr>
        <w:t>,</w:t>
      </w:r>
      <w:r w:rsidRPr="003816BB">
        <w:rPr>
          <w:noProof/>
          <w:szCs w:val="18"/>
        </w:rPr>
        <w:t xml:space="preserve"> Constitution</w:t>
      </w:r>
      <w:r>
        <w:rPr>
          <w:noProof/>
          <w:szCs w:val="18"/>
        </w:rPr>
        <w:t xml:space="preserve"> of the</w:t>
      </w:r>
      <w:r w:rsidRPr="003816BB">
        <w:rPr>
          <w:noProof/>
          <w:szCs w:val="18"/>
        </w:rPr>
        <w:t xml:space="preserve"> World Health Organization. </w:t>
      </w:r>
      <w:r w:rsidRPr="003816BB">
        <w:rPr>
          <w:szCs w:val="18"/>
        </w:rPr>
        <w:fldChar w:fldCharType="end"/>
      </w:r>
    </w:p>
  </w:footnote>
  <w:footnote w:id="16">
    <w:p w14:paraId="60F122EA" w14:textId="2526ED6A" w:rsidR="007C2448" w:rsidRPr="00224DE2" w:rsidRDefault="007C2448" w:rsidP="00F87FE9">
      <w:pPr>
        <w:pStyle w:val="FootnoteText"/>
      </w:pPr>
      <w:r>
        <w:tab/>
      </w:r>
      <w:r w:rsidRPr="00F87FE9">
        <w:rPr>
          <w:vertAlign w:val="superscript"/>
        </w:rPr>
        <w:footnoteRef/>
      </w:r>
      <w:r>
        <w:tab/>
      </w:r>
      <w:r w:rsidRPr="00F87FE9">
        <w:fldChar w:fldCharType="begin"/>
      </w:r>
      <w:r w:rsidRPr="00F87FE9">
        <w:instrText xml:space="preserve"> ADDIN EN.CITE &lt;EndNote&gt;&lt;Cite&gt;&lt;Author&gt;World Health Organization for Europe&lt;/Author&gt;&lt;Year&gt;2017&lt;/Year&gt;&lt;RecNum&gt;14787&lt;/RecNum&gt;&lt;DisplayText&gt;World Health Organization for Europe. 2017. Declaration of the sixth Ministerial Conference on Environment and Health.    Ostrava, Czech Republic. www.euro.who.int/__data/assets/pdf_file/0007/341944/OstravaDeclaration_SIGNED.pdf &lt;/DisplayText&gt;&lt;record&gt;&lt;rec-number&gt;14787&lt;/rec-number&gt;&lt;foreign-keys&gt;&lt;key app="EN" db-id="wvpz5d5w3twx2kezx21v5tw855faveswped2" timestamp="1529938782"&gt;14787&lt;/key&gt;&lt;/foreign-keys&gt;&lt;ref-type name="Report"&gt;27&lt;/ref-type&gt;&lt;contributors&gt;&lt;authors&gt;&lt;author&gt;World Health Organization for Europe,&lt;/author&gt;&lt;/authors&gt;&lt;/contributors&gt;&lt;titles&gt;&lt;title&gt;Declaration of the sixth Ministerial Conference on Environment and Health&lt;/title&gt;&lt;/titles&gt;&lt;dates&gt;&lt;year&gt;2017&lt;/year&gt;&lt;/dates&gt;&lt;pub-location&gt;Ostrava, Czech Republic&lt;/pub-location&gt;&lt;urls&gt;&lt;related-urls&gt;&lt;url&gt;www.euro.who.int/__data/assets/pdf_file/0007/341944/OstravaDeclaration_SIGNED.pdf&lt;/url&gt;&lt;/related-urls&gt;&lt;/urls&gt;&lt;/record&gt;&lt;/Cite&gt;&lt;/EndNote&gt;</w:instrText>
      </w:r>
      <w:r w:rsidRPr="00F87FE9">
        <w:fldChar w:fldCharType="separate"/>
      </w:r>
      <w:r w:rsidRPr="00F87FE9">
        <w:t>Declaration of the sixth Ministerial Conference on Environment and Health</w:t>
      </w:r>
      <w:r>
        <w:t>,</w:t>
      </w:r>
      <w:r w:rsidRPr="00F87FE9">
        <w:t xml:space="preserve"> </w:t>
      </w:r>
      <w:r w:rsidRPr="00224DE2">
        <w:t>Ostrava, Czechia</w:t>
      </w:r>
      <w:r>
        <w:t>, 13–15 June 2017, EURO/Ostrava2017/6 (WHO/ECE/European Environment and Health Process)</w:t>
      </w:r>
      <w:r w:rsidRPr="00224DE2">
        <w:t>.</w:t>
      </w:r>
      <w:r>
        <w:t xml:space="preserve"> </w:t>
      </w:r>
      <w:r w:rsidRPr="00224DE2">
        <w:t>Avai</w:t>
      </w:r>
      <w:r w:rsidRPr="00F232E6">
        <w:t>lable at</w:t>
      </w:r>
      <w:r w:rsidRPr="00224DE2">
        <w:t xml:space="preserve"> www.euro.who.int/__data/assets/pdf_file/0007/341944/OstravaDeclaration_SIGNED.pdf</w:t>
      </w:r>
      <w:r>
        <w:t>.</w:t>
      </w:r>
      <w:r w:rsidRPr="00224DE2">
        <w:t xml:space="preserve"> </w:t>
      </w:r>
      <w:r w:rsidRPr="00F87FE9">
        <w:fldChar w:fldCharType="end"/>
      </w:r>
    </w:p>
  </w:footnote>
  <w:footnote w:id="17">
    <w:p w14:paraId="7BCFBAAC" w14:textId="45D06FAE" w:rsidR="007C2448" w:rsidRPr="003648B1" w:rsidRDefault="007C2448" w:rsidP="003648B1">
      <w:pPr>
        <w:pStyle w:val="FootnoteText"/>
      </w:pPr>
      <w:r w:rsidRPr="00350555">
        <w:tab/>
      </w:r>
      <w:r w:rsidRPr="003648B1">
        <w:rPr>
          <w:vertAlign w:val="superscript"/>
        </w:rPr>
        <w:footnoteRef/>
      </w:r>
      <w:r>
        <w:tab/>
      </w:r>
      <w:r w:rsidRPr="00D7457E">
        <w:t xml:space="preserve">T. B. </w:t>
      </w:r>
      <w:r w:rsidRPr="003648B1">
        <w:fldChar w:fldCharType="begin">
          <w:fldData xml:space="preserve">PEVuZE5vdGU+PENpdGU+PEF1dGhvcj5GaXNjaGVyPC9BdXRob3I+PFllYXI+MjAxMDwvWWVhcj48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</w:fldData>
        </w:fldChar>
      </w:r>
      <w:r w:rsidRPr="003648B1">
        <w:instrText xml:space="preserve"> ADDIN EN.CITE </w:instrText>
      </w:r>
      <w:r w:rsidRPr="003648B1">
        <w:fldChar w:fldCharType="begin">
          <w:fldData xml:space="preserve">PEVuZE5vdGU+PENpdGU+PEF1dGhvcj5GaXNjaGVyPC9BdXRob3I+PFllYXI+MjAxMDwvWWVhcj48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</w:fldData>
        </w:fldChar>
      </w:r>
      <w:r w:rsidRPr="003648B1">
        <w:instrText xml:space="preserve"> ADDIN EN.CITE.DATA </w:instrText>
      </w:r>
      <w:r w:rsidRPr="003648B1">
        <w:fldChar w:fldCharType="end"/>
      </w:r>
      <w:r w:rsidRPr="003648B1">
        <w:fldChar w:fldCharType="separate"/>
      </w:r>
      <w:r w:rsidRPr="003648B1">
        <w:t xml:space="preserve">Fischer, </w:t>
      </w:r>
      <w:r>
        <w:t xml:space="preserve">M. </w:t>
      </w:r>
      <w:r w:rsidRPr="003648B1">
        <w:t>Ma</w:t>
      </w:r>
      <w:r>
        <w:t>r</w:t>
      </w:r>
      <w:r w:rsidRPr="003648B1">
        <w:t>tuzzi</w:t>
      </w:r>
      <w:r>
        <w:t xml:space="preserve"> and J.</w:t>
      </w:r>
      <w:r w:rsidRPr="003648B1">
        <w:t xml:space="preserve"> Nowacki, </w:t>
      </w:r>
      <w:r w:rsidRPr="003249E2">
        <w:t>“</w:t>
      </w:r>
      <w:r w:rsidRPr="003648B1">
        <w:t>The consideration of health in strategic environmental assessment (SEA)</w:t>
      </w:r>
      <w:r w:rsidRPr="003249E2">
        <w:t>”</w:t>
      </w:r>
      <w:r>
        <w:t>,</w:t>
      </w:r>
      <w:r w:rsidRPr="003648B1">
        <w:t xml:space="preserve"> </w:t>
      </w:r>
      <w:r w:rsidRPr="00833038">
        <w:rPr>
          <w:i/>
          <w:iCs/>
        </w:rPr>
        <w:t>Environmental Impact Assessment Review</w:t>
      </w:r>
      <w:r w:rsidRPr="003648B1">
        <w:t xml:space="preserve">, </w:t>
      </w:r>
      <w:r>
        <w:t xml:space="preserve">vol. </w:t>
      </w:r>
      <w:r w:rsidRPr="003648B1">
        <w:t xml:space="preserve">30, </w:t>
      </w:r>
      <w:r>
        <w:t xml:space="preserve">No. 3 (3 April 2010), pp. </w:t>
      </w:r>
      <w:r w:rsidRPr="003648B1">
        <w:t>200</w:t>
      </w:r>
      <w:r>
        <w:t>–</w:t>
      </w:r>
      <w:r w:rsidRPr="003648B1">
        <w:t>210</w:t>
      </w:r>
      <w:r>
        <w:t>. Available at</w:t>
      </w:r>
      <w:r w:rsidRPr="003648B1">
        <w:t xml:space="preserve"> https://doi.org/10.1016/j.eiar.2009.10.005</w:t>
      </w:r>
      <w:r w:rsidRPr="003648B1">
        <w:fldChar w:fldCharType="end"/>
      </w:r>
      <w:r>
        <w:t>.</w:t>
      </w:r>
    </w:p>
  </w:footnote>
  <w:footnote w:id="18">
    <w:p w14:paraId="7570C6F3" w14:textId="069CF32D" w:rsidR="007C2448" w:rsidRPr="00021FFB" w:rsidRDefault="007C2448">
      <w:pPr>
        <w:pStyle w:val="FootnoteText"/>
      </w:pPr>
      <w:r>
        <w:tab/>
      </w:r>
      <w:r w:rsidRPr="00A826BE">
        <w:rPr>
          <w:vertAlign w:val="superscript"/>
        </w:rPr>
        <w:footnoteRef/>
      </w:r>
      <w:r>
        <w:tab/>
      </w:r>
      <w:r w:rsidRPr="00A826BE">
        <w:t>United Nations publication, ECE/MP.EIA/17, chap. B1.2</w:t>
      </w:r>
      <w:r>
        <w:t>.</w:t>
      </w:r>
    </w:p>
  </w:footnote>
  <w:footnote w:id="19">
    <w:p w14:paraId="6B396220" w14:textId="1B87DF8A" w:rsidR="007C2448" w:rsidRPr="003648B1" w:rsidRDefault="007C2448" w:rsidP="003648B1">
      <w:pPr>
        <w:pStyle w:val="FootnoteText"/>
      </w:pPr>
      <w:r w:rsidRPr="00350555">
        <w:rPr>
          <w:szCs w:val="18"/>
        </w:rPr>
        <w:tab/>
      </w:r>
      <w:r w:rsidRPr="003648B1">
        <w:rPr>
          <w:vertAlign w:val="superscript"/>
        </w:rPr>
        <w:footnoteRef/>
      </w:r>
      <w:r>
        <w:tab/>
      </w:r>
      <w:r w:rsidRPr="003648B1">
        <w:t>United Nations Economic Commission for Europe</w:t>
      </w:r>
      <w:r>
        <w:t xml:space="preserve"> (ECE),</w:t>
      </w:r>
      <w:r w:rsidRPr="003648B1">
        <w:t xml:space="preserve"> </w:t>
      </w:r>
      <w:r w:rsidRPr="0034116C">
        <w:t>“</w:t>
      </w:r>
      <w:r w:rsidRPr="003648B1">
        <w:t>Review of implementation (national reporting)</w:t>
      </w:r>
      <w:r w:rsidRPr="0034116C">
        <w:t>”</w:t>
      </w:r>
      <w:r w:rsidRPr="003648B1">
        <w:t xml:space="preserve">. </w:t>
      </w:r>
      <w:r>
        <w:t xml:space="preserve">Available at </w:t>
      </w:r>
      <w:hyperlink r:id="rId2" w:history="1">
        <w:r w:rsidRPr="0034116C">
          <w:rPr>
            <w:rStyle w:val="Hyperlink"/>
          </w:rPr>
          <w:t>www.unece.org/env/eia/implementation/review_implementation.html</w:t>
        </w:r>
      </w:hyperlink>
      <w:r w:rsidRPr="003648B1">
        <w:t>.</w:t>
      </w:r>
    </w:p>
  </w:footnote>
  <w:footnote w:id="20">
    <w:p w14:paraId="4525255C" w14:textId="4FC12A53" w:rsidR="007C2448" w:rsidRPr="006E2C95" w:rsidRDefault="007C2448" w:rsidP="006E2C95">
      <w:pPr>
        <w:pStyle w:val="FootnoteText"/>
        <w:ind w:hanging="567"/>
      </w:pPr>
      <w:r>
        <w:tab/>
      </w:r>
      <w:r w:rsidRPr="006E2C95">
        <w:rPr>
          <w:vertAlign w:val="superscript"/>
        </w:rPr>
        <w:footnoteRef/>
      </w:r>
      <w:r>
        <w:tab/>
      </w:r>
      <w:r w:rsidRPr="006E2C95">
        <w:t>United Nations publication, ECE/MP.EIA/17, pp. 164.</w:t>
      </w:r>
    </w:p>
  </w:footnote>
  <w:footnote w:id="21">
    <w:p w14:paraId="73295F2B" w14:textId="5C610D92" w:rsidR="007C2448" w:rsidRPr="008604F8" w:rsidRDefault="007C2448" w:rsidP="008604F8">
      <w:pPr>
        <w:pStyle w:val="FootnoteText"/>
      </w:pPr>
      <w:r>
        <w:tab/>
      </w:r>
      <w:r w:rsidRPr="008604F8">
        <w:rPr>
          <w:vertAlign w:val="superscript"/>
        </w:rPr>
        <w:footnoteRef/>
      </w:r>
      <w:r>
        <w:tab/>
        <w:t xml:space="preserve">A. </w:t>
      </w:r>
      <w:r w:rsidRPr="008604F8">
        <w:t xml:space="preserve">Morrison-Saunders </w:t>
      </w:r>
      <w:r>
        <w:t xml:space="preserve">and R. </w:t>
      </w:r>
      <w:r w:rsidRPr="008604F8">
        <w:t>Therivel</w:t>
      </w:r>
      <w:r>
        <w:t>,</w:t>
      </w:r>
      <w:r w:rsidRPr="008604F8">
        <w:t xml:space="preserve"> </w:t>
      </w:r>
      <w:r w:rsidRPr="00533FFC">
        <w:t>“</w:t>
      </w:r>
      <w:r w:rsidRPr="008604F8">
        <w:t>Sustainability integration and assessment</w:t>
      </w:r>
      <w:r w:rsidRPr="004A4A02">
        <w:t>”</w:t>
      </w:r>
      <w:r>
        <w:t>,</w:t>
      </w:r>
      <w:r w:rsidRPr="008604F8">
        <w:t xml:space="preserve"> </w:t>
      </w:r>
      <w:r w:rsidRPr="005D259F">
        <w:rPr>
          <w:i/>
          <w:iCs/>
        </w:rPr>
        <w:t>Journal of Environmental Assessment Policy and Management</w:t>
      </w:r>
      <w:r>
        <w:t>,</w:t>
      </w:r>
      <w:r w:rsidRPr="008604F8">
        <w:t xml:space="preserve"> </w:t>
      </w:r>
      <w:r>
        <w:t xml:space="preserve">vol. </w:t>
      </w:r>
      <w:r w:rsidRPr="008604F8">
        <w:t>8</w:t>
      </w:r>
      <w:r>
        <w:t xml:space="preserve">, No. </w:t>
      </w:r>
      <w:r w:rsidRPr="008604F8">
        <w:t>3</w:t>
      </w:r>
      <w:r>
        <w:t xml:space="preserve"> (2006), pp.</w:t>
      </w:r>
      <w:r w:rsidRPr="008604F8">
        <w:t xml:space="preserve"> 281</w:t>
      </w:r>
      <w:r>
        <w:t>–2</w:t>
      </w:r>
      <w:r w:rsidRPr="008604F8">
        <w:t xml:space="preserve">98. </w:t>
      </w:r>
      <w:r>
        <w:t xml:space="preserve">Available at </w:t>
      </w:r>
      <w:r w:rsidRPr="008604F8">
        <w:t>https://dx.doi.org/10.1142/s1464333206002529</w:t>
      </w:r>
      <w:r>
        <w:t>.</w:t>
      </w:r>
    </w:p>
  </w:footnote>
  <w:footnote w:id="22">
    <w:p w14:paraId="2D37DEF0" w14:textId="249C13AD" w:rsidR="007C2448" w:rsidRPr="002F609C" w:rsidRDefault="007C2448" w:rsidP="002F609C">
      <w:pPr>
        <w:pStyle w:val="FootnoteText"/>
      </w:pPr>
      <w:r>
        <w:tab/>
      </w:r>
      <w:r w:rsidRPr="002F609C">
        <w:rPr>
          <w:vertAlign w:val="superscript"/>
        </w:rPr>
        <w:footnoteRef/>
      </w:r>
      <w:bookmarkStart w:id="13" w:name="_Hlk18333949"/>
      <w:r>
        <w:tab/>
      </w:r>
      <w:r w:rsidRPr="002F609C">
        <w:t>United Nations publication, ECE/MP.EIA/17</w:t>
      </w:r>
      <w:bookmarkEnd w:id="13"/>
      <w:r w:rsidRPr="002F609C">
        <w:t>, annex A.1.1.</w:t>
      </w:r>
    </w:p>
  </w:footnote>
  <w:footnote w:id="23">
    <w:p w14:paraId="7CE8E280" w14:textId="5F499312" w:rsidR="007C2448" w:rsidRPr="002F609C" w:rsidRDefault="007C2448" w:rsidP="002F609C">
      <w:pPr>
        <w:pStyle w:val="FootnoteText"/>
      </w:pPr>
      <w:r>
        <w:tab/>
      </w:r>
      <w:r w:rsidRPr="002F609C">
        <w:rPr>
          <w:vertAlign w:val="superscript"/>
        </w:rPr>
        <w:footnoteRef/>
      </w:r>
      <w:r>
        <w:tab/>
      </w:r>
      <w:r w:rsidRPr="002F609C">
        <w:t>Ibid., chap. A.5.</w:t>
      </w:r>
    </w:p>
  </w:footnote>
  <w:footnote w:id="24">
    <w:p w14:paraId="1534E338" w14:textId="4A7EF948" w:rsidR="007C2448" w:rsidRPr="005B3473" w:rsidRDefault="007C2448" w:rsidP="005B3473">
      <w:pPr>
        <w:pStyle w:val="FootnoteText"/>
      </w:pPr>
      <w:r w:rsidRPr="00350555">
        <w:rPr>
          <w:szCs w:val="18"/>
        </w:rPr>
        <w:tab/>
      </w:r>
      <w:r w:rsidRPr="005B3473">
        <w:rPr>
          <w:vertAlign w:val="superscript"/>
        </w:rPr>
        <w:footnoteRef/>
      </w:r>
      <w:r>
        <w:rPr>
          <w:szCs w:val="18"/>
        </w:rPr>
        <w:tab/>
        <w:t xml:space="preserve">J. </w:t>
      </w:r>
      <w:r w:rsidRPr="005B3473">
        <w:fldChar w:fldCharType="begin"/>
      </w:r>
      <w:r w:rsidRPr="005B3473">
        <w:instrText xml:space="preserve"> ADDIN EN.CITE &lt;EndNote&gt;&lt;Cite&gt;&lt;Author&gt;Mindell&lt;/Author&gt;&lt;Year&gt;2008&lt;/Year&gt;&lt;RecNum&gt;11263&lt;/RecNum&gt;&lt;DisplayText&gt;Mindell, J., Boltong, A. &amp;amp; Forde, I. 2008. A review of health impact assessment frameworks. &lt;style face="italic"&gt;Public Health,&lt;/style&gt; 122&lt;style face="bold"&gt;,&lt;/style&gt; 1177-1187. &lt;/DisplayText&gt;&lt;record&gt;&lt;rec-number&gt;11263&lt;/rec-number&gt;&lt;foreign-keys&gt;&lt;key app="EN" db-id="wvpz5d5w3twx2kezx21v5tw855faveswped2" timestamp="1455274526"&gt;11263&lt;/key&gt;&lt;/foreign-keys&gt;&lt;ref-type name="Journal Article"&gt;17&lt;/ref-type&gt;&lt;contributors&gt;&lt;authors&gt;&lt;author&gt;Mindell, J.&lt;/author&gt;&lt;author&gt;Boltong, A.&lt;/author&gt;&lt;author&gt;Forde, I.&lt;/author&gt;&lt;/authors&gt;&lt;/contributors&gt;&lt;titles&gt;&lt;title&gt;A review of health impact assessment frameworks&lt;/title&gt;&lt;secondary-title&gt;Public Health&lt;/secondary-title&gt;&lt;/titles&gt;&lt;periodical&gt;&lt;full-title&gt;Public Health&lt;/full-title&gt;&lt;/periodical&gt;&lt;pages&gt;1177-1187&lt;/pages&gt;&lt;volume&gt;122&lt;/volume&gt;&lt;number&gt;11&lt;/number&gt;&lt;reprint-edition&gt;IN FILE&lt;/reprint-edition&gt;&lt;keywords&gt;&lt;keyword&gt;community&lt;/keyword&gt;&lt;keyword&gt;CONTEXT&lt;/keyword&gt;&lt;keyword&gt;framework&lt;/keyword&gt;&lt;keyword&gt;guidelines&lt;/keyword&gt;&lt;keyword&gt;health&lt;/keyword&gt;&lt;keyword&gt;health impact assessment&lt;/keyword&gt;&lt;keyword&gt;HIA&lt;/keyword&gt;&lt;keyword&gt;Impact&lt;/keyword&gt;&lt;keyword&gt;impact assessment&lt;/keyword&gt;&lt;keyword&gt;inequalities&lt;/keyword&gt;&lt;keyword&gt;inequality&lt;/keyword&gt;&lt;keyword&gt;intervention&lt;/keyword&gt;&lt;keyword&gt;interventions&lt;/keyword&gt;&lt;keyword&gt;model&lt;/keyword&gt;&lt;keyword&gt;outcome&lt;/keyword&gt;&lt;keyword&gt;outcomes&lt;/keyword&gt;&lt;keyword&gt;PARTICIPATION&lt;/keyword&gt;&lt;keyword&gt;policy&lt;/keyword&gt;&lt;keyword&gt;PROJECT&lt;/keyword&gt;&lt;keyword&gt;resources&lt;/keyword&gt;&lt;keyword&gt;review&lt;/keyword&gt;&lt;keyword&gt;SECTOR&lt;/keyword&gt;&lt;keyword&gt;socioeconomic&lt;/keyword&gt;&lt;keyword&gt;time&lt;/keyword&gt;&lt;keyword&gt;use&lt;/keyword&gt;&lt;keyword&gt;guidance&lt;/keyword&gt;&lt;keyword&gt;Systematic review&lt;/keyword&gt;&lt;keyword&gt;Environmental impact assessment&lt;/keyword&gt;&lt;keyword&gt;EIA&lt;/keyword&gt;&lt;keyword&gt;Health outcome&lt;/keyword&gt;&lt;keyword&gt;Technique&lt;/keyword&gt;&lt;/keywords&gt;&lt;dates&gt;&lt;year&gt;2008&lt;/year&gt;&lt;/dates&gt;&lt;urls&gt;&lt;related-urls&gt;&lt;url&gt;PM:18799174&lt;/url&gt;&lt;/related-urls&gt;&lt;/urls&gt;&lt;research-notes&gt;http://discovery.ucl.ac.uk/5218/1/5218.pdf&lt;/research-notes&gt;&lt;/record&gt;&lt;/Cite&gt;&lt;/EndNote&gt;</w:instrText>
      </w:r>
      <w:r w:rsidRPr="005B3473">
        <w:fldChar w:fldCharType="separate"/>
      </w:r>
      <w:r w:rsidRPr="005B3473">
        <w:t>Mindell</w:t>
      </w:r>
      <w:r>
        <w:t xml:space="preserve"> and others,</w:t>
      </w:r>
      <w:r w:rsidRPr="005B3473">
        <w:t xml:space="preserve"> </w:t>
      </w:r>
      <w:r w:rsidRPr="00533FFC">
        <w:t>“</w:t>
      </w:r>
      <w:r w:rsidRPr="005B3473">
        <w:t>A review of health impact assessment frameworks</w:t>
      </w:r>
      <w:r w:rsidRPr="004A4A02">
        <w:t>”</w:t>
      </w:r>
      <w:r>
        <w:t>,</w:t>
      </w:r>
      <w:r w:rsidRPr="005B3473">
        <w:t xml:space="preserve"> </w:t>
      </w:r>
      <w:r w:rsidRPr="005D259F">
        <w:rPr>
          <w:i/>
          <w:iCs/>
        </w:rPr>
        <w:t>Public Health</w:t>
      </w:r>
      <w:r w:rsidRPr="005B3473">
        <w:t xml:space="preserve">, </w:t>
      </w:r>
      <w:r>
        <w:t xml:space="preserve">vol. </w:t>
      </w:r>
      <w:r w:rsidRPr="005B3473">
        <w:t xml:space="preserve">122, </w:t>
      </w:r>
      <w:r>
        <w:t xml:space="preserve">No. 11 (November 2008), pp. </w:t>
      </w:r>
      <w:r w:rsidRPr="005B3473">
        <w:t>1177</w:t>
      </w:r>
      <w:r>
        <w:t>–</w:t>
      </w:r>
      <w:r w:rsidRPr="005B3473">
        <w:t xml:space="preserve">1187. </w:t>
      </w:r>
      <w:r w:rsidRPr="005B3473">
        <w:fldChar w:fldCharType="end"/>
      </w:r>
      <w:r>
        <w:t xml:space="preserve"> Available at </w:t>
      </w:r>
      <w:hyperlink r:id="rId3" w:history="1">
        <w:r w:rsidRPr="001B3AF2">
          <w:rPr>
            <w:rStyle w:val="Hyperlink"/>
          </w:rPr>
          <w:t>https://doi.org/10.1016/j.puhe.2008.03.014</w:t>
        </w:r>
      </w:hyperlink>
      <w:r>
        <w:t>.</w:t>
      </w:r>
    </w:p>
  </w:footnote>
  <w:footnote w:id="25">
    <w:p w14:paraId="28FD92B8" w14:textId="2A968651" w:rsidR="007C2448" w:rsidRPr="00446E00" w:rsidRDefault="007C2448" w:rsidP="005B3473">
      <w:pPr>
        <w:pStyle w:val="FootnoteText"/>
      </w:pPr>
      <w:r w:rsidRPr="005B3473">
        <w:tab/>
      </w:r>
      <w:r w:rsidRPr="005B3473">
        <w:rPr>
          <w:vertAlign w:val="superscript"/>
        </w:rPr>
        <w:footnoteRef/>
      </w:r>
      <w:r w:rsidRPr="005D259F">
        <w:tab/>
        <w:t xml:space="preserve">B. </w:t>
      </w:r>
      <w:r w:rsidRPr="005B3473">
        <w:fldChar w:fldCharType="begin"/>
      </w:r>
      <w:r w:rsidRPr="005D259F">
        <w:instrText xml:space="preserve"> ADDIN EN.CITE &lt;EndNote&gt;&lt;Cite&gt;&lt;Author&gt;Cave&lt;/Author&gt;&lt;Year&gt;2017&lt;/Year&gt;&lt;RecNum&gt;13477&lt;/RecNum&gt;&lt;DisplayText&gt;Cave, B., Fothergill, J., Pyper, R., et al. 2017. Health in Environmental Impact Assessment: a primer for a proportionate approach. Ben Cave Associates Ltd, IEMA and the Faculty of Public Health.   Lincoln, England. www.iema.net/assets/newbuild/documents/IEMA%20Primer%20on%20Health%20in%20UK%20EIA%20Doc%20V11.pdf &lt;/DisplayText&gt;&lt;record&gt;&lt;rec-number&gt;13477&lt;/rec-number&gt;&lt;foreign-keys&gt;&lt;key app="EN" db-id="wvpz5d5w3twx2kezx21v5tw855faveswped2" timestamp="1495700576"&gt;13477&lt;/key&gt;&lt;/foreign-keys&gt;&lt;ref-type name="Report"&gt;27&lt;/ref-type&gt;&lt;contributors&gt;&lt;authors&gt;&lt;author&gt;Cave, B.&lt;/author&gt;&lt;author&gt;Fothergill, J.&lt;/author&gt;&lt;author&gt;Pyper, R.&lt;/author&gt;&lt;author&gt;Gibson, G.&lt;/author&gt;&lt;author&gt;Saunders, P.&lt;/author&gt;&lt;/authors&gt;&lt;/contributors&gt;&lt;titles&gt;&lt;title&gt;Health in Environmental Impact Assessment: a primer for a proportionate approach&lt;/title&gt;&lt;/titles&gt;&lt;dates&gt;&lt;year&gt;2017&lt;/year&gt;&lt;/dates&gt;&lt;pub-location&gt;Lincoln, England&lt;/pub-location&gt;&lt;publisher&gt;Ben Cave Associates Ltd, IEMA and the Faculty of Public Health&lt;/publisher&gt;&lt;urls&gt;&lt;related-urls&gt;&lt;url&gt;www.iema.net/assets/newbuild/documents/IEMA%20Primer%20on%20Health%20in%20UK%20EIA%20Doc%20V11.pdf&lt;/url&gt;&lt;/related-urls&gt;&lt;/urls&gt;&lt;research-notes&gt;http://bcahealth.eu/resources/&lt;/research-notes&gt;&lt;/record&gt;&lt;/Cite&gt;&lt;/EndNote&gt;</w:instrText>
      </w:r>
      <w:r w:rsidRPr="005B3473">
        <w:fldChar w:fldCharType="separate"/>
      </w:r>
      <w:r w:rsidRPr="005D259F">
        <w:t xml:space="preserve">Cave </w:t>
      </w:r>
      <w:r>
        <w:t>and others</w:t>
      </w:r>
      <w:r w:rsidRPr="005D259F">
        <w:t xml:space="preserve">, </w:t>
      </w:r>
      <w:r w:rsidRPr="005D259F">
        <w:rPr>
          <w:i/>
          <w:iCs/>
        </w:rPr>
        <w:t>Health in Environmental Impact Assessment: A Primer for a Proportionate Approach</w:t>
      </w:r>
      <w:r w:rsidRPr="005B3473">
        <w:t xml:space="preserve"> </w:t>
      </w:r>
      <w:r>
        <w:t xml:space="preserve">(Lincoln, </w:t>
      </w:r>
      <w:r w:rsidRPr="005B3473">
        <w:t>Ben Cave Associates Ltd</w:t>
      </w:r>
      <w:r>
        <w:t>/</w:t>
      </w:r>
      <w:r w:rsidRPr="005B3473">
        <w:t xml:space="preserve"> I</w:t>
      </w:r>
      <w:r>
        <w:t xml:space="preserve">nstitute of </w:t>
      </w:r>
      <w:r w:rsidRPr="005B3473">
        <w:t>E</w:t>
      </w:r>
      <w:r>
        <w:t xml:space="preserve">nvironmental </w:t>
      </w:r>
      <w:r w:rsidRPr="005B3473">
        <w:t>M</w:t>
      </w:r>
      <w:r>
        <w:t xml:space="preserve">anagement and </w:t>
      </w:r>
      <w:r w:rsidRPr="005B3473">
        <w:t>A</w:t>
      </w:r>
      <w:r>
        <w:t>dministration/</w:t>
      </w:r>
      <w:r w:rsidRPr="005B3473">
        <w:t xml:space="preserve"> the Faculty of Public Health</w:t>
      </w:r>
      <w:r>
        <w:t>, 2017)</w:t>
      </w:r>
      <w:r w:rsidRPr="005B3473">
        <w:t xml:space="preserve">. </w:t>
      </w:r>
      <w:r w:rsidRPr="00446E00">
        <w:t>Ava</w:t>
      </w:r>
      <w:r w:rsidRPr="005D259F">
        <w:t xml:space="preserve">ilable at </w:t>
      </w:r>
      <w:r w:rsidRPr="00446E00">
        <w:t>www.iema.net/assets/newbuild/documents/IEMA%20Primer%20on%20Health%20in%20UK%20EIA%20Doc%20V11.pdf</w:t>
      </w:r>
      <w:r>
        <w:t>.</w:t>
      </w:r>
      <w:r w:rsidRPr="00446E00">
        <w:t xml:space="preserve"> </w:t>
      </w:r>
      <w:r w:rsidRPr="005B3473">
        <w:fldChar w:fldCharType="end"/>
      </w:r>
    </w:p>
  </w:footnote>
  <w:footnote w:id="26">
    <w:p w14:paraId="5B60AE47" w14:textId="7C48DD7E" w:rsidR="007C2448" w:rsidRPr="002F609C" w:rsidRDefault="007C2448" w:rsidP="002F609C">
      <w:pPr>
        <w:pStyle w:val="FootnoteText"/>
      </w:pPr>
      <w:r>
        <w:tab/>
      </w:r>
      <w:r w:rsidRPr="002F609C">
        <w:rPr>
          <w:vertAlign w:val="superscript"/>
        </w:rPr>
        <w:footnoteRef/>
      </w:r>
      <w:r>
        <w:tab/>
      </w:r>
      <w:r w:rsidRPr="002F609C">
        <w:t>See Haines and others, “Public health benefits of strategies to reduce greenhouse-gas emissions: Overview and implications for policymakers”, Lancet, vol. 347, No. 9707 (19 December 2009), pp. 2104–2114. Available at https://doi.org/10.1016/S0140-6736(09)61759-1; J.A. Patz and others, “Climate change: Challenges and opportunities for global health”, Journal of the American Medical Association, vol. 312, No. 15, special communication (15 October 2014), pp. 1565–1580. Available at https://doi.org/10.1001/jama.2014.13186; J. Woodcock and others, “Public health benefits of strategies to reduce greenhouse-gas emissions: urban land transport”, Lancet, vol. 374, No. 9705 (5–11 December 2009), pp. 1930–1943. Available at https://doi.org/10.1016/S0140-6736(09)61714-1; Wilkinson and others, “Public health benefits of strategies to reduce greenhouse-gas emissions: household energy”, Lancet, vol. 374, No. 9705 (5–11 December 2009), pp. 1917–1929. Available at https://doi.org/10.1016/S0140-6736(09)61713-X; and A. Markandya and others, “Public health benefits of strategies to reduce greenhouse-gas emissions: low-carbon electricity generation”, Lancet, vol. 374, No. 9706 (12–18 December 2009), pp. 1953–1955. Available at https://doi.org/10.1016/S0140-6736(09)61715-3.</w:t>
      </w:r>
    </w:p>
  </w:footnote>
  <w:footnote w:id="27">
    <w:p w14:paraId="22F2593D" w14:textId="6682E3FD" w:rsidR="007C2448" w:rsidRPr="005B3473" w:rsidRDefault="007C2448" w:rsidP="005B3473">
      <w:pPr>
        <w:pStyle w:val="FootnoteText"/>
      </w:pPr>
      <w:r w:rsidRPr="00446E00">
        <w:tab/>
      </w:r>
      <w:r w:rsidRPr="005B3473">
        <w:rPr>
          <w:vertAlign w:val="superscript"/>
        </w:rPr>
        <w:footnoteRef/>
      </w:r>
      <w:r>
        <w:tab/>
        <w:t xml:space="preserve">R. </w:t>
      </w:r>
      <w:r w:rsidRPr="005B3473">
        <w:fldChar w:fldCharType="begin"/>
      </w:r>
      <w:r w:rsidRPr="005B3473">
        <w:instrText xml:space="preserve"> ADDIN EN.CITE &lt;EndNote&gt;&lt;Cite&gt;&lt;Author&gt;Fehr&lt;/Author&gt;&lt;Year&gt;2010&lt;/Year&gt;&lt;RecNum&gt;11922&lt;/RecNum&gt;&lt;DisplayText&gt;Fehr, R. &amp;amp; Mekel, O. 2010. Quantifying the health impacts of policies: Principles, methods, and models. Scientific Expert Workshop. LIGA.NRW. LIGA.Fokus series, no. 11.   Düsseldorf, Germany. www.lzg.gc.nrw.de/_media/pdf/liga-fokus/LIGA_Fokus_11.pdf &lt;/DisplayText&gt;&lt;record&gt;&lt;rec-number&gt;11922&lt;/rec-number&gt;&lt;foreign-keys&gt;&lt;key app="EN" db-id="wvpz5d5w3twx2kezx21v5tw855faveswped2" timestamp="1455274747"&gt;11922&lt;/key&gt;&lt;/foreign-keys&gt;&lt;ref-type name="Report"&gt;27&lt;/ref-type&gt;&lt;contributors&gt;&lt;authors&gt;&lt;author&gt;Fehr, Rainer&lt;/author&gt;&lt;author&gt;Mekel, Odile&lt;/author&gt;&lt;/authors&gt;&lt;/contributors&gt;&lt;titles&gt;&lt;title&gt;Quantifying the health impacts of policies: Principles, methods, and models. Scientific Expert Workshop&lt;/title&gt;&lt;/titles&gt;&lt;volume&gt;LIGA.Fokus series, no. 11&lt;/volume&gt;&lt;keywords&gt;&lt;keyword&gt;health&lt;/keyword&gt;&lt;keyword&gt;Impact&lt;/keyword&gt;&lt;keyword&gt;policy&lt;/keyword&gt;&lt;keyword&gt;methods&lt;/keyword&gt;&lt;keyword&gt;Models&lt;/keyword&gt;&lt;keyword&gt;model&lt;/keyword&gt;&lt;keyword&gt;Germany&lt;/keyword&gt;&lt;/keywords&gt;&lt;dates&gt;&lt;year&gt;2010&lt;/year&gt;&lt;/dates&gt;&lt;pub-location&gt;Düsseldorf, Germany&lt;/pub-location&gt;&lt;publisher&gt;LIGA.NRW&lt;/publisher&gt;&lt;urls&gt;&lt;related-urls&gt;&lt;url&gt;www.lzg.gc.nrw.de/_media/pdf/liga-fokus/LIGA_Fokus_11.pdf&lt;/url&gt;&lt;/related-urls&gt;&lt;/urls&gt;&lt;research-notes&gt;http://bit.ly/14OExyT&lt;/research-notes&gt;&lt;/record&gt;&lt;/Cite&gt;&lt;/EndNote&gt;</w:instrText>
      </w:r>
      <w:r w:rsidRPr="005B3473">
        <w:fldChar w:fldCharType="separate"/>
      </w:r>
      <w:r w:rsidRPr="005B3473">
        <w:t>Fehr</w:t>
      </w:r>
      <w:r>
        <w:t xml:space="preserve"> and O.</w:t>
      </w:r>
      <w:r w:rsidRPr="005B3473">
        <w:t xml:space="preserve"> Mekel, </w:t>
      </w:r>
      <w:r>
        <w:t>eds</w:t>
      </w:r>
      <w:r w:rsidRPr="005B3473">
        <w:t>.</w:t>
      </w:r>
      <w:r>
        <w:t>,</w:t>
      </w:r>
      <w:r w:rsidRPr="005B3473">
        <w:t xml:space="preserve"> </w:t>
      </w:r>
      <w:r w:rsidRPr="00D450BB">
        <w:t>“</w:t>
      </w:r>
      <w:r w:rsidRPr="005B3473">
        <w:t>Quantifying the health impacts of policies: Principles, methods, and models. Scientific Expert Workshop</w:t>
      </w:r>
      <w:r w:rsidRPr="00D450BB">
        <w:t>”</w:t>
      </w:r>
      <w:r>
        <w:t>,</w:t>
      </w:r>
      <w:r w:rsidRPr="005B3473">
        <w:t xml:space="preserve"> </w:t>
      </w:r>
      <w:r>
        <w:t>Fokus series, No. 11 (</w:t>
      </w:r>
      <w:r w:rsidRPr="005B3473">
        <w:t>Düsseldorf, Germany</w:t>
      </w:r>
      <w:r>
        <w:t>,</w:t>
      </w:r>
      <w:r w:rsidRPr="005B3473">
        <w:t xml:space="preserve"> </w:t>
      </w:r>
      <w:r>
        <w:t xml:space="preserve">State of North Rhein-Westphalia Institute of Health and Work, 2010). Available at </w:t>
      </w:r>
      <w:r w:rsidRPr="005B3473">
        <w:t>www.lzg.gc.nrw.de/_media/pdf/liga-fokus/LIGA_Fokus_11.pdf</w:t>
      </w:r>
      <w:r w:rsidRPr="005B3473">
        <w:fldChar w:fldCharType="end"/>
      </w:r>
      <w:r>
        <w:t>.</w:t>
      </w:r>
    </w:p>
  </w:footnote>
  <w:footnote w:id="28">
    <w:p w14:paraId="46563C12" w14:textId="565DDF0F" w:rsidR="007C2448" w:rsidRPr="00A636C7" w:rsidRDefault="007C2448" w:rsidP="00A636C7">
      <w:pPr>
        <w:pStyle w:val="FootnoteText"/>
      </w:pPr>
      <w:r w:rsidRPr="00A636C7">
        <w:tab/>
      </w:r>
      <w:r w:rsidRPr="00A636C7">
        <w:rPr>
          <w:vertAlign w:val="superscript"/>
        </w:rPr>
        <w:footnoteRef/>
      </w:r>
      <w:r w:rsidRPr="00434E3A">
        <w:tab/>
      </w:r>
      <w:r w:rsidRPr="00C75A03">
        <w:t xml:space="preserve">J. </w:t>
      </w:r>
      <w:r w:rsidRPr="00A636C7">
        <w:fldChar w:fldCharType="begin"/>
      </w:r>
      <w:r w:rsidRPr="0030746D">
        <w:instrText xml:space="preserve"> ADDIN EN.CITE &lt;EndNote&gt;&lt;Cite&gt;&lt;Author&gt;Mindell&lt;/Author&gt;&lt;Year&gt;2010&lt;/Year&gt;&lt;RecNum&gt;10410&lt;/RecNum&gt;&lt;DisplayText&gt;Mindell, J., Joffe, M., Lock, K., et al. 2010. Improving the use of evidence in health impact assessment. &lt;style face="italic"&gt;Bulletin of the World Health Organization,&lt;/style&gt; 88&lt;style face="bold"&gt;,&lt;/style&gt; 543-550. &lt;/DisplayText&gt;&lt;record&gt;&lt;rec-number&gt;10410&lt;/rec-number&gt;&lt;foreign-keys&gt;&lt;key app="EN" db-id="wvpz5d5w3twx2kezx21v5tw855faveswped2" timestamp="1455274120"&gt;10410&lt;/key&gt;&lt;/foreign-keys&gt;&lt;ref-type name="Journal Article"&gt;17&lt;/ref-type&gt;&lt;contributors&gt;&lt;authors&gt;&lt;author&gt;Mindell, J.&lt;/author&gt;&lt;author&gt;Joffe, M.&lt;/author&gt;&lt;author&gt;Lock, K.&lt;/author&gt;&lt;author&gt;Curtis, S.&lt;/author&gt;&lt;author&gt;Boaz, A.&lt;/author&gt;&lt;author&gt;Biddulph, J.&lt;/author&gt;&lt;/authors&gt;&lt;/contributors&gt;&lt;titles&gt;&lt;title&gt;Improving the use of evidence in health impact assessment&lt;/title&gt;&lt;secondary-title&gt;Bulletin of the World Health Organization&lt;/secondary-title&gt;&lt;/titles&gt;&lt;periodical&gt;&lt;full-title&gt;Bulletin of the World Health Organization&lt;/full-title&gt;&lt;/periodical&gt;&lt;pages&gt;543-550&lt;/pages&gt;&lt;volume&gt;88&lt;/volume&gt;&lt;reprint-edition&gt;NOT IN FILE&lt;/reprint-edition&gt;&lt;keywords&gt;&lt;keyword&gt;access&lt;/keyword&gt;&lt;keyword&gt;HIA&lt;/keyword&gt;&lt;keyword&gt;use&lt;/keyword&gt;&lt;keyword&gt;health&lt;/keyword&gt;&lt;keyword&gt;health impact assessment&lt;/keyword&gt;&lt;keyword&gt;Impact&lt;/keyword&gt;&lt;keyword&gt;impact assessment&lt;/keyword&gt;&lt;keyword&gt;Evidence&lt;/keyword&gt;&lt;keyword&gt;Decision-making&lt;/keyword&gt;&lt;keyword&gt;decision making&lt;/keyword&gt;&lt;keyword&gt;methodology&lt;/keyword&gt;&lt;keyword&gt;work&lt;/keyword&gt;&lt;keyword&gt;guide&lt;/keyword&gt;&lt;keyword&gt;Research&lt;/keyword&gt;&lt;keyword&gt;methods&lt;/keyword&gt;&lt;keyword&gt;development&lt;/keyword&gt;&lt;keyword&gt;Qualitative Research&lt;/keyword&gt;&lt;keyword&gt;review&lt;/keyword&gt;&lt;keyword&gt;WHO&lt;/keyword&gt;&lt;keyword&gt;resources&lt;/keyword&gt;&lt;keyword&gt;Language&lt;/keyword&gt;&lt;keyword&gt;public health&lt;/keyword&gt;&lt;keyword&gt;Peer Review&lt;/keyword&gt;&lt;/keywords&gt;&lt;dates&gt;&lt;year&gt;2010&lt;/year&gt;&lt;/dates&gt;&lt;urls&gt;&lt;/urls&gt;&lt;/record&gt;&lt;/Cite&gt;&lt;/EndNote&gt;</w:instrText>
      </w:r>
      <w:r w:rsidRPr="00A636C7">
        <w:fldChar w:fldCharType="separate"/>
      </w:r>
      <w:r w:rsidRPr="001B18B1">
        <w:t xml:space="preserve">Mindell </w:t>
      </w:r>
      <w:r>
        <w:t>and others</w:t>
      </w:r>
      <w:r w:rsidRPr="001B18B1">
        <w:t xml:space="preserve">, </w:t>
      </w:r>
      <w:r w:rsidRPr="004A4A02">
        <w:t>“</w:t>
      </w:r>
      <w:r w:rsidRPr="00A636C7">
        <w:t>Improving the use of evidence in health impact assessment</w:t>
      </w:r>
      <w:r w:rsidRPr="004A4A02">
        <w:t>”</w:t>
      </w:r>
      <w:r>
        <w:t>,</w:t>
      </w:r>
      <w:r w:rsidRPr="00A636C7">
        <w:t xml:space="preserve"> </w:t>
      </w:r>
      <w:r w:rsidRPr="007E6467">
        <w:rPr>
          <w:i/>
          <w:iCs/>
        </w:rPr>
        <w:t>Bulletin of the World</w:t>
      </w:r>
      <w:r w:rsidRPr="00A636C7">
        <w:t xml:space="preserve"> </w:t>
      </w:r>
      <w:r w:rsidRPr="007E6467">
        <w:rPr>
          <w:i/>
          <w:iCs/>
        </w:rPr>
        <w:t>Health Organization</w:t>
      </w:r>
      <w:r w:rsidRPr="00A636C7">
        <w:t xml:space="preserve">, </w:t>
      </w:r>
      <w:r>
        <w:t xml:space="preserve">vol. </w:t>
      </w:r>
      <w:r w:rsidRPr="00A636C7">
        <w:t xml:space="preserve">88, </w:t>
      </w:r>
      <w:r>
        <w:t xml:space="preserve">No. 7 (1 July 2010), pp. </w:t>
      </w:r>
      <w:r w:rsidRPr="00A636C7">
        <w:t>543</w:t>
      </w:r>
      <w:r>
        <w:t>–</w:t>
      </w:r>
      <w:r w:rsidRPr="00A636C7">
        <w:t>550</w:t>
      </w:r>
      <w:r>
        <w:t xml:space="preserve">; and </w:t>
      </w:r>
      <w:r w:rsidRPr="00A636C7">
        <w:fldChar w:fldCharType="end"/>
      </w:r>
      <w:r w:rsidRPr="0094580F">
        <w:t>J. Simos and others, “The role of health impact assessment in Phase V of the Healthy Cities European Network”, Health Promotion International, vol. 30, No. S1 (2015), pp. i71–i85. Available at https://doi.org/10.1093/heapro/dav032</w:t>
      </w:r>
      <w:r>
        <w:t>.</w:t>
      </w:r>
    </w:p>
  </w:footnote>
  <w:footnote w:id="29">
    <w:p w14:paraId="53F52A1F" w14:textId="4EB772CB" w:rsidR="007C2448" w:rsidRPr="008B5D8C" w:rsidRDefault="007C2448" w:rsidP="008B5D8C">
      <w:pPr>
        <w:pStyle w:val="FootnoteText"/>
      </w:pPr>
      <w:r>
        <w:tab/>
      </w:r>
      <w:r w:rsidRPr="008B5D8C">
        <w:rPr>
          <w:vertAlign w:val="superscript"/>
        </w:rPr>
        <w:footnoteRef/>
      </w:r>
      <w:r>
        <w:tab/>
      </w:r>
      <w:r w:rsidRPr="008B5D8C">
        <w:t>J. Mindell and others, “A review of health impact assessment frameworks”.</w:t>
      </w:r>
    </w:p>
  </w:footnote>
  <w:footnote w:id="30">
    <w:p w14:paraId="67B82554" w14:textId="78E97A81" w:rsidR="007C2448" w:rsidRPr="00A636C7" w:rsidRDefault="007C2448" w:rsidP="00A636C7">
      <w:pPr>
        <w:pStyle w:val="FootnoteText"/>
      </w:pPr>
      <w:r w:rsidRPr="00A636C7">
        <w:tab/>
      </w:r>
      <w:r w:rsidRPr="00A636C7">
        <w:rPr>
          <w:vertAlign w:val="superscript"/>
        </w:rPr>
        <w:footnoteRef/>
      </w:r>
      <w:r w:rsidRPr="007E6467">
        <w:tab/>
        <w:t>See Ibid</w:t>
      </w:r>
      <w:r>
        <w:t>.</w:t>
      </w:r>
      <w:r w:rsidRPr="007E6467">
        <w:t xml:space="preserve">; </w:t>
      </w:r>
      <w:r>
        <w:t xml:space="preserve">and </w:t>
      </w:r>
      <w:r w:rsidRPr="007E6467">
        <w:t xml:space="preserve">J. Simos </w:t>
      </w:r>
      <w:r>
        <w:t>and others</w:t>
      </w:r>
      <w:r w:rsidRPr="007E6467">
        <w:t xml:space="preserve">, </w:t>
      </w:r>
      <w:r w:rsidRPr="004A4A02">
        <w:t>“</w:t>
      </w:r>
      <w:r w:rsidRPr="007E6467">
        <w:t>The role of health impact assessment</w:t>
      </w:r>
      <w:r w:rsidRPr="0095328E">
        <w:t>”</w:t>
      </w:r>
      <w:r w:rsidRPr="007E6467">
        <w:t xml:space="preserve">; and </w:t>
      </w:r>
      <w:r>
        <w:t xml:space="preserve">M. </w:t>
      </w:r>
      <w:r w:rsidRPr="00A636C7">
        <w:fldChar w:fldCharType="begin"/>
      </w:r>
      <w:r w:rsidRPr="007E6467">
        <w:instrText xml:space="preserve"> ADDIN EN.CITE &lt;EndNote&gt;&lt;Cite&gt;&lt;Author&gt;Thondoo&lt;/Author&gt;&lt;Year&gt;2019&lt;/Year&gt;&lt;RecNum&gt;15173&lt;/RecNum&gt;&lt;DisplayText&gt;Thondoo, M., Rojas-Rueda, D., Gupta, J., et al. 2019. Systematic Literature Review of Health Impact Assessments in Low and Middle-Income Countries. &lt;style face="italic"&gt;International Journal of Environmental Research and Public Health,&lt;/style&gt; 16. https://doi.org/10.3390/ijerph16112018&lt;/DisplayText&gt;&lt;record&gt;&lt;rec-number&gt;15173&lt;/rec-number&gt;&lt;foreign-keys&gt;&lt;key app="EN" db-id="wvpz5d5w3twx2kezx21v5tw855faveswped2" timestamp="1561712480"&gt;15173&lt;/key&gt;&lt;/foreign-keys&gt;&lt;ref-type name="Journal Article"&gt;17&lt;/ref-type&gt;&lt;contributors&gt;&lt;authors&gt;&lt;author&gt;Thondoo, Meelan&lt;/author&gt;&lt;author&gt;Rojas-Rueda, David&lt;/author&gt;&lt;author&gt;Gupta, Joyeeta&lt;/author&gt;&lt;author&gt;de Vries, H. Daniel&lt;/author&gt;&lt;author&gt;Nieuwenhuijsen, J. Mark&lt;/author&gt;&lt;/authors&gt;&lt;/contributors&gt;&lt;titles&gt;&lt;title&gt;Systematic Literature Review of Health Impact Assessments in Low and Middle-Income Countries&lt;/title&gt;&lt;secondary-title&gt;International Journal of Environmental Research and Public Health&lt;/secondary-title&gt;&lt;/titles&gt;&lt;periodical&gt;&lt;full-title&gt;International Journal of Environmental Research and Public Health&lt;/full-title&gt;&lt;/periodical&gt;&lt;volume&gt;16&lt;/volume&gt;&lt;number&gt;11&lt;/number&gt;&lt;keywords&gt;&lt;keyword&gt;health impact assessment (HIA)&lt;/keyword&gt;&lt;keyword&gt;systematic review&lt;/keyword&gt;&lt;keyword&gt;process evaluation&lt;/keyword&gt;&lt;keyword&gt;low and middle-income country&lt;/keyword&gt;&lt;/keywords&gt;&lt;dates&gt;&lt;year&gt;2019&lt;/year&gt;&lt;/dates&gt;&lt;isbn&gt;1660-4601&lt;/isbn&gt;&lt;urls&gt;&lt;/urls&gt;&lt;electronic-resource-num&gt;10.3390/ijerph16112018&lt;/electronic-resource-num&gt;&lt;/record&gt;&lt;/Cite&gt;&lt;/EndNote&gt;</w:instrText>
      </w:r>
      <w:r w:rsidRPr="00A636C7">
        <w:fldChar w:fldCharType="separate"/>
      </w:r>
      <w:r w:rsidRPr="007E6467">
        <w:t>Thondoo</w:t>
      </w:r>
      <w:r w:rsidRPr="001168FC">
        <w:t xml:space="preserve"> </w:t>
      </w:r>
      <w:r>
        <w:t>and others</w:t>
      </w:r>
      <w:r w:rsidRPr="001168FC">
        <w:t xml:space="preserve">, </w:t>
      </w:r>
      <w:r w:rsidRPr="000468E7">
        <w:t>“</w:t>
      </w:r>
      <w:r w:rsidRPr="00A636C7">
        <w:t xml:space="preserve">Systematic </w:t>
      </w:r>
      <w:r>
        <w:t>l</w:t>
      </w:r>
      <w:r w:rsidRPr="00A636C7">
        <w:t xml:space="preserve">iterature </w:t>
      </w:r>
      <w:r>
        <w:t>r</w:t>
      </w:r>
      <w:r w:rsidRPr="00A636C7">
        <w:t xml:space="preserve">eview of </w:t>
      </w:r>
      <w:r>
        <w:t>h</w:t>
      </w:r>
      <w:r w:rsidRPr="00A636C7">
        <w:t xml:space="preserve">ealth </w:t>
      </w:r>
      <w:r>
        <w:t>i</w:t>
      </w:r>
      <w:r w:rsidRPr="00A636C7">
        <w:t xml:space="preserve">mpact </w:t>
      </w:r>
      <w:r>
        <w:t>a</w:t>
      </w:r>
      <w:r w:rsidRPr="00A636C7">
        <w:t xml:space="preserve">ssessments in </w:t>
      </w:r>
      <w:r>
        <w:t>l</w:t>
      </w:r>
      <w:r w:rsidRPr="00A636C7">
        <w:t xml:space="preserve">ow and </w:t>
      </w:r>
      <w:r>
        <w:t>m</w:t>
      </w:r>
      <w:r w:rsidRPr="00A636C7">
        <w:t>iddle-</w:t>
      </w:r>
      <w:r>
        <w:t>i</w:t>
      </w:r>
      <w:r w:rsidRPr="00A636C7">
        <w:t xml:space="preserve">ncome </w:t>
      </w:r>
      <w:r>
        <w:t>c</w:t>
      </w:r>
      <w:r w:rsidRPr="00A636C7">
        <w:t>ountries</w:t>
      </w:r>
      <w:r w:rsidRPr="004A4A02">
        <w:t>”</w:t>
      </w:r>
      <w:r>
        <w:t>,</w:t>
      </w:r>
      <w:r w:rsidRPr="00A636C7">
        <w:t xml:space="preserve"> </w:t>
      </w:r>
      <w:r w:rsidRPr="007E6467">
        <w:rPr>
          <w:i/>
          <w:iCs/>
        </w:rPr>
        <w:t>International</w:t>
      </w:r>
      <w:r w:rsidRPr="00A636C7">
        <w:t xml:space="preserve"> </w:t>
      </w:r>
      <w:r w:rsidRPr="007E6467">
        <w:rPr>
          <w:i/>
          <w:iCs/>
        </w:rPr>
        <w:t>Journal of Environmental Research and Public Health</w:t>
      </w:r>
      <w:r w:rsidRPr="00A636C7">
        <w:t xml:space="preserve">, </w:t>
      </w:r>
      <w:r>
        <w:t xml:space="preserve">vol. </w:t>
      </w:r>
      <w:r w:rsidRPr="00A636C7">
        <w:t>16</w:t>
      </w:r>
      <w:r>
        <w:t xml:space="preserve">, No. 11 (2019). Available at </w:t>
      </w:r>
      <w:r w:rsidRPr="00A636C7">
        <w:t>https://doi.org/10.3390/ijerph16112018</w:t>
      </w:r>
      <w:r w:rsidRPr="00A636C7">
        <w:fldChar w:fldCharType="end"/>
      </w:r>
      <w:r>
        <w:t>.</w:t>
      </w:r>
    </w:p>
  </w:footnote>
  <w:footnote w:id="31">
    <w:p w14:paraId="5E7D2DDE" w14:textId="00D35890" w:rsidR="007C2448" w:rsidRPr="008B5D8C" w:rsidRDefault="007C2448" w:rsidP="008B5D8C">
      <w:pPr>
        <w:pStyle w:val="FootnoteText"/>
      </w:pPr>
      <w:r>
        <w:tab/>
      </w:r>
      <w:r w:rsidRPr="008B5D8C">
        <w:rPr>
          <w:vertAlign w:val="superscript"/>
        </w:rPr>
        <w:footnoteRef/>
      </w:r>
      <w:r>
        <w:tab/>
      </w:r>
      <w:r w:rsidRPr="008B5D8C">
        <w:t>J. Simos and others, “The role of health impact assessment”; for terms of reference for a steering group, see P. Harris and others, Health Impact Assessment: A practical guide (Sydney, Centre for Health Equity Training, Research and Evaluation, University of New South Wales, January 2007).</w:t>
      </w:r>
    </w:p>
  </w:footnote>
  <w:footnote w:id="32">
    <w:p w14:paraId="07930EE7" w14:textId="52D308F9" w:rsidR="007C2448" w:rsidRPr="0013464F" w:rsidRDefault="007C2448" w:rsidP="00CA381A">
      <w:pPr>
        <w:pStyle w:val="FootnoteText"/>
        <w:ind w:hanging="567"/>
      </w:pPr>
      <w:r>
        <w:tab/>
      </w:r>
      <w:r>
        <w:rPr>
          <w:rStyle w:val="FootnoteReference"/>
        </w:rPr>
        <w:footnoteRef/>
      </w:r>
      <w:r>
        <w:tab/>
      </w:r>
      <w:r w:rsidRPr="0013464F">
        <w:t>United Nations publication, ECE/MP.EIA/17</w:t>
      </w:r>
      <w:r>
        <w:t>, chap. A1.4.</w:t>
      </w:r>
    </w:p>
  </w:footnote>
  <w:footnote w:id="33">
    <w:p w14:paraId="2E453C87" w14:textId="3263EF41" w:rsidR="007C2448" w:rsidRPr="00EF73E7" w:rsidRDefault="007C2448" w:rsidP="00EF73E7">
      <w:pPr>
        <w:pStyle w:val="FootnoteText"/>
        <w:ind w:hanging="567"/>
      </w:pPr>
      <w:r>
        <w:tab/>
      </w:r>
      <w:r w:rsidRPr="00435127">
        <w:rPr>
          <w:vertAlign w:val="superscript"/>
        </w:rPr>
        <w:footnoteRef/>
      </w:r>
      <w:r w:rsidRPr="00435127">
        <w:rPr>
          <w:vertAlign w:val="superscript"/>
        </w:rPr>
        <w:tab/>
      </w:r>
      <w:r w:rsidRPr="00EF73E7">
        <w:t xml:space="preserve">WHO </w:t>
      </w:r>
      <w:bookmarkStart w:id="19" w:name="_Hlk18334837"/>
      <w:r w:rsidRPr="00EF73E7">
        <w:t>Regional Office for Europe</w:t>
      </w:r>
      <w:bookmarkEnd w:id="19"/>
      <w:r>
        <w:t>,</w:t>
      </w:r>
      <w:r w:rsidRPr="00EF73E7">
        <w:t xml:space="preserve"> </w:t>
      </w:r>
      <w:r>
        <w:t>“</w:t>
      </w:r>
      <w:r w:rsidRPr="00EF73E7">
        <w:t>Health Impact Assessment as part of Strategic Environmental Assessment</w:t>
      </w:r>
      <w:r>
        <w:t>”,</w:t>
      </w:r>
      <w:r w:rsidRPr="00EF73E7">
        <w:t xml:space="preserve"> November 2001</w:t>
      </w:r>
      <w:r>
        <w:t>, table 2, a</w:t>
      </w:r>
      <w:r w:rsidRPr="00EF73E7">
        <w:t xml:space="preserve">vailable at </w:t>
      </w:r>
      <w:hyperlink r:id="rId4" w:history="1">
        <w:r w:rsidRPr="00563EA5">
          <w:rPr>
            <w:rStyle w:val="Hyperlink"/>
          </w:rPr>
          <w:t>www.who.int/hia/network/en/HIA_as_part_of_SEA.pdf</w:t>
        </w:r>
      </w:hyperlink>
      <w:r>
        <w:t xml:space="preserve">. </w:t>
      </w:r>
    </w:p>
  </w:footnote>
  <w:footnote w:id="34">
    <w:p w14:paraId="04B88C33" w14:textId="44213B73" w:rsidR="007C2448" w:rsidRPr="00013A19" w:rsidRDefault="007C2448" w:rsidP="00013A19">
      <w:pPr>
        <w:pStyle w:val="FootnoteText"/>
      </w:pPr>
      <w:r>
        <w:tab/>
      </w:r>
      <w:r w:rsidRPr="008E14A5">
        <w:rPr>
          <w:vertAlign w:val="superscript"/>
        </w:rPr>
        <w:footnoteRef/>
      </w:r>
      <w:r w:rsidRPr="00013A19">
        <w:tab/>
      </w:r>
      <w:r>
        <w:tab/>
      </w:r>
      <w:r w:rsidRPr="00013A19">
        <w:t xml:space="preserve">Y. </w:t>
      </w:r>
      <w:r w:rsidRPr="00013A19">
        <w:fldChar w:fldCharType="begin"/>
      </w:r>
      <w:r w:rsidRPr="00013A19">
        <w:instrText xml:space="preserve"> ADDIN EN.CITE &lt;EndNote&gt;&lt;Cite&gt;&lt;Author&gt;von Schirnding&lt;/Author&gt;&lt;Year&gt;2002&lt;/Year&gt;&lt;RecNum&gt;15150&lt;/RecNum&gt;&lt;DisplayText&gt;von Schirnding, Y. 2002b. &lt;style face="italic"&gt;Health in Sustainable Development Planning: the role of indicators&lt;/style&gt;.&lt;/DisplayText&gt;&lt;record&gt;&lt;rec-number&gt;15150&lt;/rec-number&gt;&lt;foreign-keys&gt;&lt;key app="EN" db-id="wvpz5d5w3twx2kezx21v5tw855faveswped2" timestamp="1558098262"&gt;15150&lt;/key&gt;&lt;/foreign-keys&gt;&lt;ref-type name="Book"&gt;6&lt;/ref-type&gt;&lt;contributors&gt;&lt;authors&gt;&lt;author&gt;von Schirnding, Y.&lt;/author&gt;&lt;/authors&gt;&lt;secondary-authors&gt;&lt;author&gt;von Schirnding, Y.&lt;/author&gt;&lt;/secondary-authors&gt;&lt;/contributors&gt;&lt;titles&gt;&lt;title&gt;Health in Sustainable Development Planning: the role of indicators&lt;/title&gt;&lt;/titles&gt;&lt;dates&gt;&lt;year&gt;2002&lt;/year&gt;&lt;/dates&gt;&lt;urls&gt;&lt;related-urls&gt;&lt;url&gt;www.who.int/wssd/resources/indicators/en/&lt;/url&gt;&lt;/related-urls&gt;&lt;/urls&gt;&lt;/record&gt;&lt;/Cite&gt;&lt;/EndNote&gt;</w:instrText>
      </w:r>
      <w:r w:rsidRPr="00013A19">
        <w:fldChar w:fldCharType="separate"/>
      </w:r>
      <w:r w:rsidRPr="00013A19">
        <w:t>von Schirnding, Health in Sustainable Development Planning: The Role of Indicators (Geneva,       WHO, 2002)</w:t>
      </w:r>
      <w:r w:rsidRPr="00013A19">
        <w:fldChar w:fldCharType="end"/>
      </w:r>
      <w:r w:rsidRPr="00013A19">
        <w:t>; and D. Briggs, C. Corvalán and M. Nurminen, eds., “Linkage methods for environment and health analysis: General guidelines. A report of the Health and Environment Analysis for Decision-making (HEADLAMP) project” (Geneva, United Nations Environment Programme/United States Environmental Protection Agency/WHO, 1996).</w:t>
      </w:r>
    </w:p>
  </w:footnote>
  <w:footnote w:id="35">
    <w:p w14:paraId="29962329" w14:textId="564289F7" w:rsidR="007C2448" w:rsidRPr="003816BB" w:rsidRDefault="007C2448" w:rsidP="006602DE">
      <w:pPr>
        <w:pStyle w:val="FootnoteText"/>
        <w:rPr>
          <w:szCs w:val="18"/>
        </w:rPr>
      </w:pPr>
      <w:r w:rsidRPr="00350555">
        <w:rPr>
          <w:szCs w:val="18"/>
        </w:rPr>
        <w:tab/>
      </w:r>
      <w:r w:rsidRPr="003816BB">
        <w:rPr>
          <w:rStyle w:val="FootnoteReference"/>
          <w:szCs w:val="18"/>
        </w:rPr>
        <w:footnoteRef/>
      </w:r>
      <w:r w:rsidRPr="003816BB">
        <w:rPr>
          <w:szCs w:val="18"/>
        </w:rPr>
        <w:t xml:space="preserve"> </w:t>
      </w:r>
      <w:r>
        <w:rPr>
          <w:szCs w:val="18"/>
        </w:rPr>
        <w:tab/>
        <w:t xml:space="preserve">P. </w:t>
      </w:r>
      <w:r w:rsidRPr="003816BB">
        <w:rPr>
          <w:szCs w:val="18"/>
        </w:rPr>
        <w:fldChar w:fldCharType="begin">
          <w:fldData xml:space="preserve">PEVuZE5vdGU+PENpdGU+PEF1dGhvcj5IYXJyaXM8L0F1dGhvcj48WWVhcj4yMDE4PC9ZZWFyPjxS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</w:fldData>
        </w:fldChar>
      </w:r>
      <w:r w:rsidRPr="003816BB">
        <w:rPr>
          <w:szCs w:val="18"/>
        </w:rPr>
        <w:instrText xml:space="preserve"> ADDIN EN.CITE </w:instrText>
      </w:r>
      <w:r w:rsidRPr="003816BB">
        <w:rPr>
          <w:szCs w:val="18"/>
        </w:rPr>
        <w:fldChar w:fldCharType="begin">
          <w:fldData xml:space="preserve">PEVuZE5vdGU+PENpdGU+PEF1dGhvcj5IYXJyaXM8L0F1dGhvcj48WWVhcj4yMDE4PC9ZZWFyPjxS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</w:fldData>
        </w:fldChar>
      </w:r>
      <w:r w:rsidRPr="003816BB">
        <w:rPr>
          <w:szCs w:val="18"/>
        </w:rPr>
        <w:instrText xml:space="preserve"> ADDIN EN.CITE.DATA </w:instrText>
      </w:r>
      <w:r w:rsidRPr="003816BB">
        <w:rPr>
          <w:szCs w:val="18"/>
        </w:rPr>
      </w:r>
      <w:r w:rsidRPr="003816BB">
        <w:rPr>
          <w:szCs w:val="18"/>
        </w:rPr>
        <w:fldChar w:fldCharType="end"/>
      </w:r>
      <w:r w:rsidRPr="003816BB">
        <w:rPr>
          <w:szCs w:val="18"/>
        </w:rPr>
      </w:r>
      <w:r w:rsidRPr="003816BB">
        <w:rPr>
          <w:szCs w:val="18"/>
        </w:rPr>
        <w:fldChar w:fldCharType="separate"/>
      </w:r>
      <w:r w:rsidRPr="003816BB">
        <w:rPr>
          <w:noProof/>
          <w:szCs w:val="18"/>
        </w:rPr>
        <w:t>Harris</w:t>
      </w:r>
      <w:r>
        <w:rPr>
          <w:noProof/>
          <w:szCs w:val="18"/>
        </w:rPr>
        <w:t xml:space="preserve"> and F.</w:t>
      </w:r>
      <w:r w:rsidRPr="003816BB">
        <w:rPr>
          <w:noProof/>
          <w:szCs w:val="18"/>
        </w:rPr>
        <w:t xml:space="preserve"> Viliani</w:t>
      </w:r>
      <w:r>
        <w:rPr>
          <w:noProof/>
          <w:szCs w:val="18"/>
        </w:rPr>
        <w:t>,</w:t>
      </w:r>
      <w:r w:rsidRPr="003816BB">
        <w:rPr>
          <w:noProof/>
          <w:szCs w:val="18"/>
        </w:rPr>
        <w:t xml:space="preserve"> </w:t>
      </w:r>
      <w:r w:rsidRPr="004A4A02">
        <w:rPr>
          <w:noProof/>
          <w:szCs w:val="18"/>
        </w:rPr>
        <w:t>“</w:t>
      </w:r>
      <w:r w:rsidRPr="003816BB">
        <w:rPr>
          <w:noProof/>
          <w:szCs w:val="18"/>
        </w:rPr>
        <w:t>Strategic health assessment for large scale industry development activities: An introduction</w:t>
      </w:r>
      <w:r w:rsidRPr="004A4A02">
        <w:rPr>
          <w:noProof/>
          <w:szCs w:val="18"/>
        </w:rPr>
        <w:t>”</w:t>
      </w:r>
      <w:r>
        <w:rPr>
          <w:noProof/>
          <w:szCs w:val="18"/>
        </w:rPr>
        <w:t>,</w:t>
      </w:r>
      <w:r w:rsidRPr="003816BB">
        <w:rPr>
          <w:noProof/>
          <w:szCs w:val="18"/>
        </w:rPr>
        <w:t xml:space="preserve"> </w:t>
      </w:r>
      <w:r w:rsidRPr="003816BB">
        <w:rPr>
          <w:i/>
          <w:noProof/>
          <w:szCs w:val="18"/>
        </w:rPr>
        <w:t>Environmental Impact Assessment Review,</w:t>
      </w:r>
      <w:r w:rsidRPr="003816BB">
        <w:rPr>
          <w:noProof/>
          <w:szCs w:val="18"/>
        </w:rPr>
        <w:t xml:space="preserve"> </w:t>
      </w:r>
      <w:r>
        <w:rPr>
          <w:noProof/>
          <w:szCs w:val="18"/>
        </w:rPr>
        <w:t xml:space="preserve">vol. </w:t>
      </w:r>
      <w:r w:rsidRPr="003816BB">
        <w:rPr>
          <w:noProof/>
          <w:szCs w:val="18"/>
        </w:rPr>
        <w:t>68</w:t>
      </w:r>
      <w:r>
        <w:rPr>
          <w:noProof/>
          <w:szCs w:val="18"/>
        </w:rPr>
        <w:t xml:space="preserve"> (January 2018)</w:t>
      </w:r>
      <w:r w:rsidRPr="00C72440">
        <w:rPr>
          <w:bCs/>
          <w:noProof/>
          <w:szCs w:val="18"/>
        </w:rPr>
        <w:t>,</w:t>
      </w:r>
      <w:r w:rsidRPr="003816BB">
        <w:rPr>
          <w:noProof/>
          <w:szCs w:val="18"/>
        </w:rPr>
        <w:t xml:space="preserve"> </w:t>
      </w:r>
      <w:r>
        <w:rPr>
          <w:noProof/>
          <w:szCs w:val="18"/>
        </w:rPr>
        <w:t xml:space="preserve">pp. </w:t>
      </w:r>
      <w:r w:rsidRPr="003816BB">
        <w:rPr>
          <w:noProof/>
          <w:szCs w:val="18"/>
        </w:rPr>
        <w:t>59</w:t>
      </w:r>
      <w:r>
        <w:rPr>
          <w:noProof/>
          <w:szCs w:val="18"/>
        </w:rPr>
        <w:t>–</w:t>
      </w:r>
      <w:r w:rsidRPr="003816BB">
        <w:rPr>
          <w:noProof/>
          <w:szCs w:val="18"/>
        </w:rPr>
        <w:t xml:space="preserve">65. </w:t>
      </w:r>
      <w:r>
        <w:rPr>
          <w:noProof/>
          <w:szCs w:val="18"/>
        </w:rPr>
        <w:t xml:space="preserve">Available at </w:t>
      </w:r>
      <w:r w:rsidRPr="003816BB">
        <w:rPr>
          <w:noProof/>
          <w:szCs w:val="18"/>
        </w:rPr>
        <w:t>https://doi.org/10.1016/j.eiar.2017.10.002</w:t>
      </w:r>
      <w:r w:rsidRPr="003816BB">
        <w:rPr>
          <w:szCs w:val="18"/>
        </w:rPr>
        <w:fldChar w:fldCharType="end"/>
      </w:r>
      <w:r>
        <w:rPr>
          <w:szCs w:val="18"/>
        </w:rPr>
        <w:t>.</w:t>
      </w:r>
    </w:p>
  </w:footnote>
  <w:footnote w:id="36">
    <w:p w14:paraId="7FCFA88B" w14:textId="7E1D1433" w:rsidR="007C2448" w:rsidRPr="003816BB" w:rsidRDefault="007C2448" w:rsidP="006602DE">
      <w:pPr>
        <w:pStyle w:val="FootnoteText"/>
        <w:rPr>
          <w:szCs w:val="18"/>
        </w:rPr>
      </w:pPr>
      <w:r w:rsidRPr="00350555">
        <w:rPr>
          <w:szCs w:val="18"/>
        </w:rPr>
        <w:tab/>
      </w:r>
      <w:r w:rsidRPr="003816BB">
        <w:rPr>
          <w:rStyle w:val="FootnoteReference"/>
          <w:szCs w:val="18"/>
        </w:rPr>
        <w:footnoteRef/>
      </w:r>
      <w:r>
        <w:rPr>
          <w:szCs w:val="18"/>
        </w:rPr>
        <w:tab/>
      </w:r>
      <w:r w:rsidRPr="003816BB">
        <w:rPr>
          <w:szCs w:val="18"/>
        </w:rPr>
        <w:fldChar w:fldCharType="begin"/>
      </w:r>
      <w:r w:rsidRPr="003816BB">
        <w:rPr>
          <w:szCs w:val="18"/>
        </w:rPr>
        <w:instrText xml:space="preserve"> ADDIN EN.CITE &lt;EndNote&gt;&lt;Cite&gt;&lt;Author&gt;IPIECA&lt;/Author&gt;&lt;Year&gt;2016&lt;/Year&gt;&lt;RecNum&gt;13346&lt;/RecNum&gt;&lt;DisplayText&gt;IPIECA &amp;amp; IAOGP. 2016. Health Impact Assessments: A guide for the oil and gas industry. International Petroleum Industry Environmental Conservation Association, International Association of Oil and Gas Producers.    www.ipieca.org/resources/good-practice/health-impact-assessment-a-guide-for-the-oil-and-gas-industry/ &lt;/DisplayText&gt;&lt;record&gt;&lt;rec-number&gt;13346&lt;/rec-number&gt;&lt;foreign-keys&gt;&lt;key app="EN" db-id="wvpz5d5w3twx2kezx21v5tw855faveswped2" timestamp="1474988776"&gt;13346&lt;/key&gt;&lt;/foreign-keys&gt;&lt;ref-type name="Report"&gt;27&lt;/ref-type&gt;&lt;contributors&gt;&lt;authors&gt;&lt;author&gt;IPIECA,&lt;/author&gt;&lt;author&gt;IAOGP,&lt;/author&gt;&lt;/authors&gt;&lt;/contributors&gt;&lt;titles&gt;&lt;title&gt;Health Impact Assessments: A guide for the oil and gas industry&lt;/title&gt;&lt;/titles&gt;&lt;keywords&gt;&lt;keyword&gt;health&lt;/keyword&gt;&lt;keyword&gt;health impact assessment&lt;/keyword&gt;&lt;keyword&gt;Impact&lt;/keyword&gt;&lt;keyword&gt;impact assessment&lt;/keyword&gt;&lt;keyword&gt;guide&lt;/keyword&gt;&lt;keyword&gt;Industry&lt;/keyword&gt;&lt;/keywords&gt;&lt;dates&gt;&lt;year&gt;2016&lt;/year&gt;&lt;/dates&gt;&lt;publisher&gt;International Petroleum Industry Environmental Conservation Association, International Association of Oil and Gas Producers&lt;/publisher&gt;&lt;urls&gt;&lt;related-urls&gt;&lt;url&gt;www.ipieca.org/resources/good-practice/health-impact-assessment-a-guide-for-the-oil-and-gas-industry/&lt;/url&gt;&lt;/related-urls&gt;&lt;/urls&gt;&lt;research-notes&gt;http://www.ipieca.org/resources/good-practice/health-impact-assessment-a-guide-for-the-oil-and-gas-industry/&lt;/research-notes&gt;&lt;/record&gt;&lt;/Cite&gt;&lt;/EndNote&gt;</w:instrText>
      </w:r>
      <w:r w:rsidRPr="003816BB">
        <w:rPr>
          <w:szCs w:val="18"/>
        </w:rPr>
        <w:fldChar w:fldCharType="separate"/>
      </w:r>
      <w:r w:rsidRPr="003816BB">
        <w:rPr>
          <w:noProof/>
          <w:szCs w:val="18"/>
        </w:rPr>
        <w:t>I</w:t>
      </w:r>
      <w:r>
        <w:rPr>
          <w:noProof/>
          <w:szCs w:val="18"/>
        </w:rPr>
        <w:t xml:space="preserve">nternational </w:t>
      </w:r>
      <w:r w:rsidRPr="003816BB">
        <w:rPr>
          <w:noProof/>
          <w:szCs w:val="18"/>
        </w:rPr>
        <w:t>P</w:t>
      </w:r>
      <w:r>
        <w:rPr>
          <w:noProof/>
          <w:szCs w:val="18"/>
        </w:rPr>
        <w:t xml:space="preserve">etroleum </w:t>
      </w:r>
      <w:r w:rsidRPr="003816BB">
        <w:rPr>
          <w:noProof/>
          <w:szCs w:val="18"/>
        </w:rPr>
        <w:t>I</w:t>
      </w:r>
      <w:r>
        <w:rPr>
          <w:noProof/>
          <w:szCs w:val="18"/>
        </w:rPr>
        <w:t xml:space="preserve">ndustry </w:t>
      </w:r>
      <w:r w:rsidRPr="003816BB">
        <w:rPr>
          <w:noProof/>
          <w:szCs w:val="18"/>
        </w:rPr>
        <w:t>E</w:t>
      </w:r>
      <w:r>
        <w:rPr>
          <w:noProof/>
          <w:szCs w:val="18"/>
        </w:rPr>
        <w:t xml:space="preserve">nvironmental </w:t>
      </w:r>
      <w:r w:rsidRPr="003816BB">
        <w:rPr>
          <w:noProof/>
          <w:szCs w:val="18"/>
        </w:rPr>
        <w:t>C</w:t>
      </w:r>
      <w:r>
        <w:rPr>
          <w:noProof/>
          <w:szCs w:val="18"/>
        </w:rPr>
        <w:t xml:space="preserve">onservation </w:t>
      </w:r>
      <w:r w:rsidRPr="003816BB">
        <w:rPr>
          <w:noProof/>
          <w:szCs w:val="18"/>
        </w:rPr>
        <w:t>A</w:t>
      </w:r>
      <w:r>
        <w:rPr>
          <w:noProof/>
          <w:szCs w:val="18"/>
        </w:rPr>
        <w:t>ssociation/</w:t>
      </w:r>
      <w:r w:rsidRPr="003816BB">
        <w:rPr>
          <w:noProof/>
          <w:szCs w:val="18"/>
        </w:rPr>
        <w:t>I</w:t>
      </w:r>
      <w:r>
        <w:rPr>
          <w:noProof/>
          <w:szCs w:val="18"/>
        </w:rPr>
        <w:t xml:space="preserve">nternational </w:t>
      </w:r>
      <w:r w:rsidRPr="003816BB">
        <w:rPr>
          <w:noProof/>
          <w:szCs w:val="18"/>
        </w:rPr>
        <w:t>A</w:t>
      </w:r>
      <w:r>
        <w:rPr>
          <w:noProof/>
          <w:szCs w:val="18"/>
        </w:rPr>
        <w:t xml:space="preserve">ssociation of </w:t>
      </w:r>
      <w:r w:rsidRPr="003816BB">
        <w:rPr>
          <w:noProof/>
          <w:szCs w:val="18"/>
        </w:rPr>
        <w:t>O</w:t>
      </w:r>
      <w:r>
        <w:rPr>
          <w:noProof/>
          <w:szCs w:val="18"/>
        </w:rPr>
        <w:t xml:space="preserve">il and </w:t>
      </w:r>
      <w:r w:rsidRPr="003816BB">
        <w:rPr>
          <w:noProof/>
          <w:szCs w:val="18"/>
        </w:rPr>
        <w:t>G</w:t>
      </w:r>
      <w:r>
        <w:rPr>
          <w:noProof/>
          <w:szCs w:val="18"/>
        </w:rPr>
        <w:t xml:space="preserve">as </w:t>
      </w:r>
      <w:r w:rsidRPr="003816BB">
        <w:rPr>
          <w:noProof/>
          <w:szCs w:val="18"/>
        </w:rPr>
        <w:t>P</w:t>
      </w:r>
      <w:r>
        <w:rPr>
          <w:noProof/>
          <w:szCs w:val="18"/>
        </w:rPr>
        <w:t>roducers,</w:t>
      </w:r>
      <w:r w:rsidRPr="003816BB">
        <w:rPr>
          <w:noProof/>
          <w:szCs w:val="18"/>
        </w:rPr>
        <w:t xml:space="preserve"> </w:t>
      </w:r>
      <w:r w:rsidRPr="00640DB6">
        <w:rPr>
          <w:noProof/>
          <w:szCs w:val="18"/>
        </w:rPr>
        <w:t xml:space="preserve">“Health Impact Assessment. A </w:t>
      </w:r>
      <w:r w:rsidRPr="00C72440">
        <w:rPr>
          <w:noProof/>
          <w:szCs w:val="18"/>
        </w:rPr>
        <w:t>G</w:t>
      </w:r>
      <w:r w:rsidRPr="00640DB6">
        <w:rPr>
          <w:noProof/>
          <w:szCs w:val="18"/>
        </w:rPr>
        <w:t xml:space="preserve">uide for the Oil and Gas Industry”, </w:t>
      </w:r>
      <w:r>
        <w:rPr>
          <w:noProof/>
          <w:szCs w:val="18"/>
        </w:rPr>
        <w:t>Report No. 548 (London, 2016). Available at</w:t>
      </w:r>
      <w:r w:rsidRPr="003816BB">
        <w:rPr>
          <w:noProof/>
          <w:szCs w:val="18"/>
        </w:rPr>
        <w:t xml:space="preserve"> www.ipieca.org/resources/good-practice/health-impact-assessment-a-guide-for-the-oil-and-gas-industry/</w:t>
      </w:r>
      <w:r w:rsidRPr="003816BB">
        <w:rPr>
          <w:szCs w:val="18"/>
        </w:rPr>
        <w:fldChar w:fldCharType="end"/>
      </w:r>
      <w:r>
        <w:rPr>
          <w:szCs w:val="18"/>
        </w:rPr>
        <w:t>.</w:t>
      </w:r>
    </w:p>
  </w:footnote>
  <w:footnote w:id="37">
    <w:p w14:paraId="26B07C40" w14:textId="7BFFD8E4" w:rsidR="007C2448" w:rsidRPr="0032462F" w:rsidRDefault="007C2448" w:rsidP="0032462F">
      <w:pPr>
        <w:pStyle w:val="FootnoteText"/>
        <w:ind w:hanging="567"/>
      </w:pPr>
      <w:r>
        <w:tab/>
      </w:r>
      <w:r w:rsidRPr="0032462F">
        <w:rPr>
          <w:vertAlign w:val="superscript"/>
        </w:rPr>
        <w:footnoteRef/>
      </w:r>
      <w:r>
        <w:tab/>
      </w:r>
      <w:r w:rsidRPr="0032462F">
        <w:t>Directive 2001/42/EC.</w:t>
      </w:r>
    </w:p>
  </w:footnote>
  <w:footnote w:id="38">
    <w:p w14:paraId="21C2FC5E" w14:textId="3D51A75E" w:rsidR="007C2448" w:rsidRPr="007F491B" w:rsidRDefault="007C2448" w:rsidP="007F491B">
      <w:pPr>
        <w:pStyle w:val="FootnoteText"/>
        <w:ind w:hanging="567"/>
      </w:pPr>
      <w:r>
        <w:tab/>
      </w:r>
      <w:r w:rsidRPr="007F491B">
        <w:rPr>
          <w:vertAlign w:val="superscript"/>
        </w:rPr>
        <w:footnoteRef/>
      </w:r>
      <w:r>
        <w:tab/>
      </w:r>
      <w:r w:rsidRPr="007F491B">
        <w:t>United Nations publication, ECE/MP.EIA/17, chap. A.1.4.</w:t>
      </w:r>
    </w:p>
  </w:footnote>
  <w:footnote w:id="39">
    <w:p w14:paraId="7BF13CDF" w14:textId="4FE9F8D9" w:rsidR="007C2448" w:rsidRPr="00AB4C37" w:rsidRDefault="007C2448" w:rsidP="007F0347">
      <w:pPr>
        <w:pStyle w:val="FootnoteText"/>
        <w:rPr>
          <w:szCs w:val="18"/>
        </w:rPr>
      </w:pPr>
      <w:r w:rsidRPr="0030746D">
        <w:rPr>
          <w:szCs w:val="18"/>
        </w:rPr>
        <w:tab/>
      </w:r>
      <w:r w:rsidRPr="007B447F">
        <w:rPr>
          <w:rStyle w:val="FootnoteReference"/>
          <w:szCs w:val="18"/>
        </w:rPr>
        <w:footnoteRef/>
      </w:r>
      <w:r>
        <w:rPr>
          <w:szCs w:val="18"/>
        </w:rPr>
        <w:tab/>
        <w:t xml:space="preserve">A. </w:t>
      </w:r>
      <w:r w:rsidRPr="007B447F">
        <w:rPr>
          <w:szCs w:val="18"/>
        </w:rPr>
        <w:fldChar w:fldCharType="begin">
          <w:fldData xml:space="preserve">PEVuZE5vdGU+PENpdGU+PEF1dGhvcj5Cb25kPC9BdXRob3I+PFllYXI+MjAxMzwvWWVhcj48UmVj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=
</w:fldData>
        </w:fldChar>
      </w:r>
      <w:r w:rsidRPr="007B447F">
        <w:rPr>
          <w:szCs w:val="18"/>
        </w:rPr>
        <w:instrText xml:space="preserve"> ADDIN EN.CITE </w:instrText>
      </w:r>
      <w:r w:rsidRPr="007B447F">
        <w:rPr>
          <w:szCs w:val="18"/>
        </w:rPr>
        <w:fldChar w:fldCharType="begin">
          <w:fldData xml:space="preserve">PEVuZE5vdGU+PENpdGU+PEF1dGhvcj5Cb25kPC9BdXRob3I+PFllYXI+MjAxMzwvWWVhcj48UmVj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=
</w:fldData>
        </w:fldChar>
      </w:r>
      <w:r w:rsidRPr="007B447F">
        <w:rPr>
          <w:szCs w:val="18"/>
        </w:rPr>
        <w:instrText xml:space="preserve"> ADDIN EN.CITE.DATA </w:instrText>
      </w:r>
      <w:r w:rsidRPr="007B447F">
        <w:rPr>
          <w:szCs w:val="18"/>
        </w:rPr>
      </w:r>
      <w:r w:rsidRPr="007B447F">
        <w:rPr>
          <w:szCs w:val="18"/>
        </w:rPr>
        <w:fldChar w:fldCharType="end"/>
      </w:r>
      <w:r w:rsidRPr="007B447F">
        <w:rPr>
          <w:szCs w:val="18"/>
        </w:rPr>
      </w:r>
      <w:r w:rsidRPr="007B447F">
        <w:rPr>
          <w:szCs w:val="18"/>
        </w:rPr>
        <w:fldChar w:fldCharType="separate"/>
      </w:r>
      <w:r w:rsidRPr="007B447F">
        <w:rPr>
          <w:noProof/>
          <w:szCs w:val="18"/>
        </w:rPr>
        <w:t xml:space="preserve">Bond, </w:t>
      </w:r>
      <w:r>
        <w:rPr>
          <w:noProof/>
          <w:szCs w:val="18"/>
        </w:rPr>
        <w:t xml:space="preserve">B. </w:t>
      </w:r>
      <w:r w:rsidRPr="007B447F">
        <w:rPr>
          <w:noProof/>
          <w:szCs w:val="18"/>
        </w:rPr>
        <w:t xml:space="preserve">Cave, </w:t>
      </w:r>
      <w:r>
        <w:rPr>
          <w:noProof/>
          <w:szCs w:val="18"/>
        </w:rPr>
        <w:t>and R.</w:t>
      </w:r>
      <w:r w:rsidRPr="007B447F">
        <w:rPr>
          <w:noProof/>
          <w:szCs w:val="18"/>
        </w:rPr>
        <w:t xml:space="preserve"> Ballantyne, </w:t>
      </w:r>
      <w:r w:rsidRPr="00C20298">
        <w:rPr>
          <w:noProof/>
          <w:szCs w:val="18"/>
        </w:rPr>
        <w:t>“</w:t>
      </w:r>
      <w:r w:rsidRPr="007B447F">
        <w:rPr>
          <w:noProof/>
          <w:szCs w:val="18"/>
        </w:rPr>
        <w:t>Who plans for health improvement? SEA, HIA and the separation of spatial planning and health planning</w:t>
      </w:r>
      <w:bookmarkStart w:id="41" w:name="_Hlk18408477"/>
      <w:r w:rsidRPr="00C20298">
        <w:rPr>
          <w:noProof/>
          <w:szCs w:val="18"/>
        </w:rPr>
        <w:t>”</w:t>
      </w:r>
      <w:bookmarkEnd w:id="41"/>
      <w:r>
        <w:rPr>
          <w:noProof/>
          <w:szCs w:val="18"/>
        </w:rPr>
        <w:t>,</w:t>
      </w:r>
      <w:r w:rsidRPr="007B447F">
        <w:rPr>
          <w:noProof/>
          <w:szCs w:val="18"/>
        </w:rPr>
        <w:t xml:space="preserve"> </w:t>
      </w:r>
      <w:r w:rsidRPr="007B447F">
        <w:rPr>
          <w:i/>
          <w:noProof/>
          <w:szCs w:val="18"/>
        </w:rPr>
        <w:t>Environmental Impact Assessment Review,</w:t>
      </w:r>
      <w:r w:rsidRPr="007B447F">
        <w:rPr>
          <w:noProof/>
          <w:szCs w:val="18"/>
        </w:rPr>
        <w:t xml:space="preserve"> </w:t>
      </w:r>
      <w:r>
        <w:rPr>
          <w:noProof/>
          <w:szCs w:val="18"/>
        </w:rPr>
        <w:t xml:space="preserve">vol. </w:t>
      </w:r>
      <w:r w:rsidRPr="007B447F">
        <w:rPr>
          <w:noProof/>
          <w:szCs w:val="18"/>
        </w:rPr>
        <w:t xml:space="preserve">42 </w:t>
      </w:r>
      <w:r>
        <w:rPr>
          <w:noProof/>
          <w:szCs w:val="18"/>
        </w:rPr>
        <w:t xml:space="preserve">(September 2013), pp. </w:t>
      </w:r>
      <w:r w:rsidRPr="007B447F">
        <w:rPr>
          <w:noProof/>
          <w:szCs w:val="18"/>
        </w:rPr>
        <w:t>67</w:t>
      </w:r>
      <w:r>
        <w:rPr>
          <w:noProof/>
          <w:szCs w:val="18"/>
        </w:rPr>
        <w:t>–</w:t>
      </w:r>
      <w:r w:rsidRPr="007B447F">
        <w:rPr>
          <w:noProof/>
          <w:szCs w:val="18"/>
        </w:rPr>
        <w:t xml:space="preserve">73. </w:t>
      </w:r>
      <w:r>
        <w:rPr>
          <w:noProof/>
          <w:szCs w:val="18"/>
        </w:rPr>
        <w:t xml:space="preserve">Available at </w:t>
      </w:r>
      <w:r w:rsidRPr="007B447F">
        <w:rPr>
          <w:noProof/>
          <w:szCs w:val="18"/>
        </w:rPr>
        <w:t>https://doi.org/10.1016/j.eiar.2012.10.002</w:t>
      </w:r>
      <w:r w:rsidRPr="007B447F">
        <w:rPr>
          <w:szCs w:val="18"/>
        </w:rPr>
        <w:fldChar w:fldCharType="end"/>
      </w:r>
      <w:r>
        <w:rPr>
          <w:szCs w:val="18"/>
        </w:rPr>
        <w:t>.</w:t>
      </w:r>
    </w:p>
  </w:footnote>
  <w:footnote w:id="40">
    <w:p w14:paraId="70B94453" w14:textId="440D526D" w:rsidR="007C2448" w:rsidRPr="003816BB" w:rsidRDefault="007C2448" w:rsidP="00F961FC">
      <w:pPr>
        <w:pStyle w:val="FootnoteText"/>
        <w:rPr>
          <w:szCs w:val="18"/>
        </w:rPr>
      </w:pPr>
      <w:r w:rsidRPr="00350555">
        <w:rPr>
          <w:szCs w:val="18"/>
        </w:rPr>
        <w:tab/>
      </w:r>
      <w:r w:rsidRPr="003816BB">
        <w:rPr>
          <w:rStyle w:val="FootnoteReference"/>
          <w:szCs w:val="18"/>
        </w:rPr>
        <w:footnoteRef/>
      </w:r>
      <w:r>
        <w:rPr>
          <w:szCs w:val="18"/>
        </w:rPr>
        <w:tab/>
      </w:r>
      <w:r w:rsidRPr="003816BB">
        <w:rPr>
          <w:szCs w:val="18"/>
        </w:rPr>
        <w:fldChar w:fldCharType="begin"/>
      </w:r>
      <w:r w:rsidRPr="003816BB">
        <w:rPr>
          <w:szCs w:val="18"/>
        </w:rPr>
        <w:instrText xml:space="preserve"> ADDIN EN.CITE &lt;EndNote&gt;&lt;Cite&gt;&lt;Author&gt;World Health Organization&lt;/Author&gt;&lt;Year&gt;2018&lt;/Year&gt;&lt;RecNum&gt;15153&lt;/RecNum&gt;&lt;DisplayText&gt;World Health Organization. 2018. Essential public health functions, health systems, and health security. Developing conceptual clarity and a WHO roadmap for action.    Geneva. https://extranet.who.int/sph/sites/default/files/document-library/document/WHO%20EPHF-Health%20Security-compressed.pdf &lt;/DisplayText&gt;&lt;record&gt;&lt;rec-number&gt;15153&lt;/rec-number&gt;&lt;foreign-keys&gt;&lt;key app="EN" db-id="wvpz5d5w3twx2kezx21v5tw855faveswped2" timestamp="1558361368"&gt;15153&lt;/key&gt;&lt;/foreign-keys&gt;&lt;ref-type name="Report"&gt;27&lt;/ref-type&gt;&lt;contributors&gt;&lt;authors&gt;&lt;author&gt;World Health Organization,&lt;/author&gt;&lt;/authors&gt;&lt;/contributors&gt;&lt;titles&gt;&lt;title&gt;Essential public health functions, health systems, and health security. Developing conceptual clarity and a WHO roadmap for action&lt;/title&gt;&lt;/titles&gt;&lt;dates&gt;&lt;year&gt;2018&lt;/year&gt;&lt;/dates&gt;&lt;pub-location&gt;Geneva&lt;/pub-location&gt;&lt;urls&gt;&lt;related-urls&gt;&lt;url&gt;https://extranet.who.int/sph/sites/default/files/document-library/document/WHO%20EPHF-Health%20Security-compressed.pdf&lt;/url&gt;&lt;/related-urls&gt;&lt;/urls&gt;&lt;research-notes&gt;&lt;style face="bold" font="default" size="100%"&gt;&amp;#xD;Horizontal&lt;/style&gt;&lt;style face="normal" font="default" size="100%"&gt;&amp;#xD;Governance&amp;#xD;Financing&amp;#xD;Human resources&amp;#xD;Health information systems&amp;#xD;Research&amp;#xD;Social participation and health communication&amp;#xD;&lt;/style&gt;&lt;style face="bold" font="default" size="100%"&gt;Vertical &lt;/style&gt;&lt;style face="normal" font="default" size="100%"&gt;(health-topic specific services)&amp;#xD;Health protection&amp;#xD;Health promotion&amp;#xD;Disease prevention&amp;#xD;Health care&amp;#xD;Preparedness for public health emergencies&amp;#xD;Other vertical functions&lt;/style&gt;&lt;/research-notes&gt;&lt;/record&gt;&lt;/Cite&gt;&lt;/EndNote&gt;</w:instrText>
      </w:r>
      <w:r w:rsidRPr="003816BB">
        <w:rPr>
          <w:szCs w:val="18"/>
        </w:rPr>
        <w:fldChar w:fldCharType="separate"/>
      </w:r>
      <w:r w:rsidRPr="003816BB">
        <w:rPr>
          <w:noProof/>
          <w:szCs w:val="18"/>
        </w:rPr>
        <w:t>WHO</w:t>
      </w:r>
      <w:r>
        <w:rPr>
          <w:noProof/>
          <w:szCs w:val="18"/>
        </w:rPr>
        <w:t>,</w:t>
      </w:r>
      <w:r w:rsidRPr="003816BB">
        <w:rPr>
          <w:noProof/>
          <w:szCs w:val="18"/>
        </w:rPr>
        <w:t xml:space="preserve"> </w:t>
      </w:r>
      <w:r w:rsidRPr="007E6467">
        <w:rPr>
          <w:i/>
          <w:iCs/>
          <w:noProof/>
          <w:szCs w:val="18"/>
        </w:rPr>
        <w:t>Essential public health functions, health systems and health security: Developing conceptual clarity and a WHO road map for action</w:t>
      </w:r>
      <w:r w:rsidRPr="003816BB">
        <w:rPr>
          <w:noProof/>
          <w:szCs w:val="18"/>
        </w:rPr>
        <w:t xml:space="preserve"> </w:t>
      </w:r>
      <w:r>
        <w:rPr>
          <w:noProof/>
          <w:szCs w:val="18"/>
        </w:rPr>
        <w:t>(</w:t>
      </w:r>
      <w:r w:rsidRPr="003816BB">
        <w:rPr>
          <w:noProof/>
          <w:szCs w:val="18"/>
        </w:rPr>
        <w:t>Geneva</w:t>
      </w:r>
      <w:r>
        <w:rPr>
          <w:noProof/>
          <w:szCs w:val="18"/>
        </w:rPr>
        <w:t>, 2018)</w:t>
      </w:r>
      <w:r w:rsidRPr="003816BB">
        <w:rPr>
          <w:noProof/>
          <w:szCs w:val="18"/>
        </w:rPr>
        <w:t xml:space="preserve">. </w:t>
      </w:r>
      <w:r w:rsidRPr="003816BB">
        <w:rPr>
          <w:szCs w:val="18"/>
        </w:rPr>
        <w:fldChar w:fldCharType="end"/>
      </w:r>
    </w:p>
  </w:footnote>
  <w:footnote w:id="41">
    <w:p w14:paraId="3C35A4BE" w14:textId="22D7AEC4" w:rsidR="007C2448" w:rsidRPr="003816BB" w:rsidRDefault="007C2448" w:rsidP="00534FBA">
      <w:pPr>
        <w:pStyle w:val="FootnoteText"/>
        <w:rPr>
          <w:szCs w:val="18"/>
        </w:rPr>
      </w:pPr>
      <w:r w:rsidRPr="00350555">
        <w:rPr>
          <w:szCs w:val="18"/>
        </w:rPr>
        <w:tab/>
      </w:r>
      <w:r w:rsidRPr="003816BB">
        <w:rPr>
          <w:rStyle w:val="FootnoteReference"/>
          <w:szCs w:val="18"/>
        </w:rPr>
        <w:footnoteRef/>
      </w:r>
      <w:r w:rsidRPr="0094121A">
        <w:rPr>
          <w:szCs w:val="18"/>
        </w:rPr>
        <w:tab/>
        <w:t xml:space="preserve">M. </w:t>
      </w:r>
      <w:r w:rsidRPr="003E766F">
        <w:rPr>
          <w:szCs w:val="18"/>
        </w:rPr>
        <w:fldChar w:fldCharType="begin"/>
      </w:r>
      <w:r w:rsidRPr="0094121A">
        <w:rPr>
          <w:szCs w:val="18"/>
        </w:rPr>
        <w:instrText xml:space="preserve"> ADDIN EN.CITE &lt;EndNote&gt;&lt;Cite&gt;&lt;Author&gt;Douglas&lt;/Author&gt;&lt;Year&gt;2007&lt;/Year&gt;&lt;RecNum&gt;10200&lt;/RecNum&gt;&lt;DisplayText&gt;Douglas, M., Thomson, H., Jepson, R., et al. 2007. Health impact assessment of transport initiatives: a guide. NHS Health Scotland, MRC Social and Public Health Sciences Unit and Institute of Occupational Medicine.   Edinburgh. www.healthscotland.com/documents/2124.aspx &lt;/DisplayText&gt;&lt;record&gt;&lt;rec-number&gt;10200&lt;/rec-number&gt;&lt;foreign-keys&gt;&lt;key app="EN" db-id="wvpz5d5w3twx2kezx21v5tw855faveswped2" timestamp="1455274081"&gt;10200&lt;/key&gt;&lt;/foreign-keys&gt;&lt;ref-type name="Report"&gt;27&lt;/ref-type&gt;&lt;contributors&gt;&lt;authors&gt;&lt;author&gt;Douglas, M.&lt;/author&gt;&lt;author&gt;Thomson, H.&lt;/author&gt;&lt;author&gt;Jepson, R.&lt;/author&gt;&lt;author&gt;Hurley, F.&lt;/author&gt;&lt;author&gt;Higgins, M.&lt;/author&gt;&lt;author&gt;Muirie, J.&lt;/author&gt;&lt;author&gt;Gorman, D.&lt;/author&gt;&lt;/authors&gt;&lt;/contributors&gt;&lt;titles&gt;&lt;title&gt;Health impact assessment of transport initiatives: a guide&lt;/title&gt;&lt;/titles&gt;&lt;keywords&gt;&lt;keyword&gt;health&lt;/keyword&gt;&lt;keyword&gt;health impact assessment&lt;/keyword&gt;&lt;keyword&gt;Impact&lt;/keyword&gt;&lt;keyword&gt;impact assessment&lt;/keyword&gt;&lt;keyword&gt;transport&lt;/keyword&gt;&lt;keyword&gt;guide&lt;/keyword&gt;&lt;/keywords&gt;&lt;dates&gt;&lt;year&gt;2007&lt;/year&gt;&lt;/dates&gt;&lt;pub-location&gt;Edinburgh&lt;/pub-location&gt;&lt;publisher&gt;NHS Health Scotland, MRC Social and Public Health Sciences Unit and Institute of Occupational Medicine&lt;/publisher&gt;&lt;urls&gt;&lt;related-urls&gt;&lt;url&gt;www.healthscotland.com/documents/2124.aspx&lt;/url&gt;&lt;/related-urls&gt;&lt;/urls&gt;&lt;research-notes&gt;http://bit.ly/12LnvAQ&lt;/research-notes&gt;&lt;/record&gt;&lt;/Cite&gt;&lt;/EndNote&gt;</w:instrText>
      </w:r>
      <w:r w:rsidRPr="003E766F">
        <w:rPr>
          <w:szCs w:val="18"/>
        </w:rPr>
        <w:fldChar w:fldCharType="separate"/>
      </w:r>
      <w:r w:rsidRPr="0094121A">
        <w:rPr>
          <w:noProof/>
          <w:szCs w:val="18"/>
        </w:rPr>
        <w:t xml:space="preserve">Douglas </w:t>
      </w:r>
      <w:r>
        <w:rPr>
          <w:noProof/>
          <w:szCs w:val="18"/>
        </w:rPr>
        <w:t>and others</w:t>
      </w:r>
      <w:r w:rsidRPr="0094121A">
        <w:rPr>
          <w:noProof/>
          <w:szCs w:val="18"/>
        </w:rPr>
        <w:t xml:space="preserve">, eds., </w:t>
      </w:r>
      <w:r w:rsidRPr="0094121A">
        <w:rPr>
          <w:i/>
          <w:iCs/>
          <w:noProof/>
          <w:szCs w:val="18"/>
        </w:rPr>
        <w:t>Health Impact Assessment of Transport Initiatives: A Guide</w:t>
      </w:r>
      <w:r w:rsidRPr="003816BB">
        <w:rPr>
          <w:noProof/>
          <w:szCs w:val="18"/>
        </w:rPr>
        <w:t xml:space="preserve"> </w:t>
      </w:r>
      <w:r>
        <w:rPr>
          <w:noProof/>
          <w:szCs w:val="18"/>
        </w:rPr>
        <w:t xml:space="preserve">(Edinburgh, National Health Service </w:t>
      </w:r>
      <w:r w:rsidRPr="003816BB">
        <w:rPr>
          <w:noProof/>
          <w:szCs w:val="18"/>
        </w:rPr>
        <w:t>Health Scotland</w:t>
      </w:r>
      <w:r>
        <w:rPr>
          <w:noProof/>
          <w:szCs w:val="18"/>
        </w:rPr>
        <w:t>/</w:t>
      </w:r>
      <w:r w:rsidRPr="003816BB">
        <w:rPr>
          <w:noProof/>
          <w:szCs w:val="18"/>
        </w:rPr>
        <w:t>M</w:t>
      </w:r>
      <w:r>
        <w:rPr>
          <w:noProof/>
          <w:szCs w:val="18"/>
        </w:rPr>
        <w:t xml:space="preserve">edical </w:t>
      </w:r>
      <w:r w:rsidRPr="003816BB">
        <w:rPr>
          <w:noProof/>
          <w:szCs w:val="18"/>
        </w:rPr>
        <w:t>R</w:t>
      </w:r>
      <w:r>
        <w:rPr>
          <w:noProof/>
          <w:szCs w:val="18"/>
        </w:rPr>
        <w:t xml:space="preserve">esearch </w:t>
      </w:r>
      <w:r w:rsidRPr="003816BB">
        <w:rPr>
          <w:noProof/>
          <w:szCs w:val="18"/>
        </w:rPr>
        <w:t>C</w:t>
      </w:r>
      <w:r>
        <w:rPr>
          <w:noProof/>
          <w:szCs w:val="18"/>
        </w:rPr>
        <w:t>ouncil</w:t>
      </w:r>
      <w:r w:rsidRPr="003816BB">
        <w:rPr>
          <w:noProof/>
          <w:szCs w:val="18"/>
        </w:rPr>
        <w:t xml:space="preserve"> Social and Public Health Sciences Unit</w:t>
      </w:r>
      <w:r>
        <w:rPr>
          <w:noProof/>
          <w:szCs w:val="18"/>
        </w:rPr>
        <w:t>/</w:t>
      </w:r>
      <w:r w:rsidRPr="003816BB">
        <w:rPr>
          <w:noProof/>
          <w:szCs w:val="18"/>
        </w:rPr>
        <w:t>Institute of Occupational Medicine</w:t>
      </w:r>
      <w:r>
        <w:rPr>
          <w:noProof/>
          <w:szCs w:val="18"/>
        </w:rPr>
        <w:t>, 2007)</w:t>
      </w:r>
      <w:r w:rsidRPr="003816BB">
        <w:rPr>
          <w:noProof/>
          <w:szCs w:val="18"/>
        </w:rPr>
        <w:t xml:space="preserve">. </w:t>
      </w:r>
      <w:r>
        <w:rPr>
          <w:noProof/>
          <w:szCs w:val="18"/>
        </w:rPr>
        <w:t>Available at</w:t>
      </w:r>
      <w:r w:rsidRPr="003816BB">
        <w:rPr>
          <w:noProof/>
          <w:szCs w:val="18"/>
        </w:rPr>
        <w:t xml:space="preserve"> www.healthscotland.com/documents/2124.aspx</w:t>
      </w:r>
      <w:r>
        <w:rPr>
          <w:noProof/>
          <w:szCs w:val="18"/>
        </w:rPr>
        <w:t>.</w:t>
      </w:r>
      <w:r w:rsidRPr="003816BB">
        <w:rPr>
          <w:noProof/>
          <w:szCs w:val="18"/>
        </w:rPr>
        <w:t xml:space="preserve"> </w:t>
      </w:r>
      <w:r w:rsidRPr="003E766F">
        <w:rPr>
          <w:szCs w:val="18"/>
        </w:rPr>
        <w:fldChar w:fldCharType="end"/>
      </w:r>
    </w:p>
  </w:footnote>
  <w:footnote w:id="42">
    <w:p w14:paraId="70FDCECF" w14:textId="325EDF8D" w:rsidR="007C2448" w:rsidRPr="003816BB" w:rsidRDefault="007C2448" w:rsidP="00534FBA">
      <w:pPr>
        <w:pStyle w:val="FootnoteText"/>
        <w:rPr>
          <w:szCs w:val="18"/>
        </w:rPr>
      </w:pPr>
      <w:r w:rsidRPr="00350555">
        <w:rPr>
          <w:szCs w:val="18"/>
        </w:rPr>
        <w:tab/>
      </w:r>
      <w:r w:rsidRPr="003816BB">
        <w:rPr>
          <w:rStyle w:val="FootnoteReference"/>
          <w:szCs w:val="18"/>
        </w:rPr>
        <w:footnoteRef/>
      </w:r>
      <w:r>
        <w:rPr>
          <w:szCs w:val="18"/>
        </w:rPr>
        <w:tab/>
      </w:r>
      <w:r w:rsidRPr="003E766F">
        <w:rPr>
          <w:szCs w:val="18"/>
        </w:rPr>
        <w:fldChar w:fldCharType="begin"/>
      </w:r>
      <w:r w:rsidRPr="003816BB">
        <w:rPr>
          <w:szCs w:val="18"/>
        </w:rPr>
        <w:instrText xml:space="preserve"> ADDIN EN.CITE &lt;EndNote&gt;&lt;Cite&gt;&lt;Year&gt;2014&lt;/Year&gt;&lt;RecNum&gt;13106&lt;/RecNum&gt;&lt;DisplayText&gt;2014. Health in All Policies (HiAP) framework for country action. &lt;style face="italic"&gt;Health Promot Int,&lt;/style&gt; 29 Suppl 1&lt;style face="bold"&gt;,&lt;/style&gt; i19-28. https://doi.org/10.1093/heapro/dau035&lt;/DisplayText&gt;&lt;record&gt;&lt;rec-number&gt;13106&lt;/rec-number&gt;&lt;foreign-keys&gt;&lt;key app="EN" db-id="wvpz5d5w3twx2kezx21v5tw855faveswped2" timestamp="1455277024"&gt;13106&lt;/key&gt;&lt;key app="ENWeb" db-id=""&gt;0&lt;/key&gt;&lt;/foreign-keys&gt;&lt;ref-type name="Journal Article"&gt;17&lt;/ref-type&gt;&lt;contributors&gt;&lt;/contributors&gt;&lt;titles&gt;&lt;title&gt;Health in All Policies (HiAP) framework for country action&lt;/title&gt;&lt;secondary-title&gt;Health Promot Int&lt;/secondary-title&gt;&lt;/titles&gt;&lt;periodical&gt;&lt;full-title&gt;Health Promot Int&lt;/full-title&gt;&lt;/periodical&gt;&lt;pages&gt;i19-28&lt;/pages&gt;&lt;volume&gt;29 Suppl 1&lt;/volume&gt;&lt;keywords&gt;&lt;keyword&gt;Capacity Building&lt;/keyword&gt;&lt;keyword&gt;*Global Health&lt;/keyword&gt;&lt;keyword&gt;*Health Policy&lt;/keyword&gt;&lt;keyword&gt;Health Promotion/*organization &amp;amp; administration&lt;/keyword&gt;&lt;keyword&gt;Health Status Disparities&lt;/keyword&gt;&lt;keyword&gt;Humans&lt;/keyword&gt;&lt;keyword&gt;*International Cooperation&lt;/keyword&gt;&lt;keyword&gt;Needs Assessment&lt;/keyword&gt;&lt;keyword&gt;Social Determinants of Health&lt;/keyword&gt;&lt;keyword&gt;World Health Organization&lt;/keyword&gt;&lt;/keywords&gt;&lt;dates&gt;&lt;year&gt;2014&lt;/year&gt;&lt;pub-dates&gt;&lt;date&gt;Jun&lt;/date&gt;&lt;/pub-dates&gt;&lt;/dates&gt;&lt;isbn&gt;1460-2245 (Electronic)&amp;#xD;0957-4824 (Linking)&lt;/isbn&gt;&lt;accession-num&gt;25217354&lt;/accession-num&gt;&lt;urls&gt;&lt;related-urls&gt;&lt;url&gt;http://www.ncbi.nlm.nih.gov/pubmed/25217354&lt;/url&gt;&lt;/related-urls&gt;&lt;/urls&gt;&lt;electronic-resource-num&gt;10.1093/heapro/dau035&lt;/electronic-resource-num&gt;&lt;/record&gt;&lt;/Cite&gt;&lt;/EndNote&gt;</w:instrText>
      </w:r>
      <w:r w:rsidRPr="003E766F">
        <w:rPr>
          <w:szCs w:val="18"/>
        </w:rPr>
        <w:fldChar w:fldCharType="separate"/>
      </w:r>
      <w:r>
        <w:rPr>
          <w:noProof/>
          <w:szCs w:val="18"/>
        </w:rPr>
        <w:t xml:space="preserve">WHO, </w:t>
      </w:r>
      <w:r w:rsidRPr="00704356">
        <w:rPr>
          <w:noProof/>
          <w:szCs w:val="18"/>
        </w:rPr>
        <w:t>“</w:t>
      </w:r>
      <w:r w:rsidRPr="003816BB">
        <w:rPr>
          <w:noProof/>
          <w:szCs w:val="18"/>
        </w:rPr>
        <w:t xml:space="preserve">Health in </w:t>
      </w:r>
      <w:r>
        <w:rPr>
          <w:noProof/>
          <w:szCs w:val="18"/>
        </w:rPr>
        <w:t>a</w:t>
      </w:r>
      <w:r w:rsidRPr="003816BB">
        <w:rPr>
          <w:noProof/>
          <w:szCs w:val="18"/>
        </w:rPr>
        <w:t xml:space="preserve">ll </w:t>
      </w:r>
      <w:r>
        <w:rPr>
          <w:noProof/>
          <w:szCs w:val="18"/>
        </w:rPr>
        <w:t>p</w:t>
      </w:r>
      <w:r w:rsidRPr="003816BB">
        <w:rPr>
          <w:noProof/>
          <w:szCs w:val="18"/>
        </w:rPr>
        <w:t>olicies (HiAP) framework for country action</w:t>
      </w:r>
      <w:r w:rsidRPr="00704356">
        <w:rPr>
          <w:noProof/>
          <w:szCs w:val="18"/>
        </w:rPr>
        <w:t>”</w:t>
      </w:r>
      <w:r>
        <w:rPr>
          <w:noProof/>
          <w:szCs w:val="18"/>
        </w:rPr>
        <w:t>,</w:t>
      </w:r>
      <w:r w:rsidRPr="003816BB">
        <w:rPr>
          <w:noProof/>
          <w:szCs w:val="18"/>
        </w:rPr>
        <w:t xml:space="preserve"> </w:t>
      </w:r>
      <w:r w:rsidRPr="003816BB">
        <w:rPr>
          <w:i/>
          <w:noProof/>
          <w:szCs w:val="18"/>
        </w:rPr>
        <w:t>Health Promot</w:t>
      </w:r>
      <w:r>
        <w:rPr>
          <w:i/>
          <w:noProof/>
          <w:szCs w:val="18"/>
        </w:rPr>
        <w:t>ion</w:t>
      </w:r>
      <w:r w:rsidRPr="003816BB">
        <w:rPr>
          <w:i/>
          <w:noProof/>
          <w:szCs w:val="18"/>
        </w:rPr>
        <w:t xml:space="preserve"> Int</w:t>
      </w:r>
      <w:r>
        <w:rPr>
          <w:i/>
          <w:noProof/>
          <w:szCs w:val="18"/>
        </w:rPr>
        <w:t>ernational</w:t>
      </w:r>
      <w:r w:rsidRPr="003816BB">
        <w:rPr>
          <w:i/>
          <w:noProof/>
          <w:szCs w:val="18"/>
        </w:rPr>
        <w:t>,</w:t>
      </w:r>
      <w:r w:rsidRPr="003816BB">
        <w:rPr>
          <w:noProof/>
          <w:szCs w:val="18"/>
        </w:rPr>
        <w:t xml:space="preserve"> </w:t>
      </w:r>
      <w:r>
        <w:rPr>
          <w:noProof/>
          <w:szCs w:val="18"/>
        </w:rPr>
        <w:t xml:space="preserve">vo. </w:t>
      </w:r>
      <w:r w:rsidRPr="003816BB">
        <w:rPr>
          <w:noProof/>
          <w:szCs w:val="18"/>
        </w:rPr>
        <w:t>29</w:t>
      </w:r>
      <w:r>
        <w:rPr>
          <w:noProof/>
          <w:szCs w:val="18"/>
        </w:rPr>
        <w:t>,</w:t>
      </w:r>
      <w:r w:rsidRPr="003816BB">
        <w:rPr>
          <w:noProof/>
          <w:szCs w:val="18"/>
        </w:rPr>
        <w:t xml:space="preserve"> </w:t>
      </w:r>
      <w:r>
        <w:rPr>
          <w:noProof/>
          <w:szCs w:val="18"/>
        </w:rPr>
        <w:t>No. S1 (June 2014)</w:t>
      </w:r>
      <w:r w:rsidRPr="007E6467">
        <w:rPr>
          <w:bCs/>
          <w:noProof/>
          <w:szCs w:val="18"/>
        </w:rPr>
        <w:t>,</w:t>
      </w:r>
      <w:r w:rsidRPr="003816BB">
        <w:rPr>
          <w:noProof/>
          <w:szCs w:val="18"/>
        </w:rPr>
        <w:t xml:space="preserve"> </w:t>
      </w:r>
      <w:r>
        <w:rPr>
          <w:noProof/>
          <w:szCs w:val="18"/>
        </w:rPr>
        <w:t xml:space="preserve">pp. </w:t>
      </w:r>
      <w:r w:rsidRPr="003816BB">
        <w:rPr>
          <w:noProof/>
          <w:szCs w:val="18"/>
        </w:rPr>
        <w:t>i19</w:t>
      </w:r>
      <w:r>
        <w:rPr>
          <w:noProof/>
          <w:szCs w:val="18"/>
        </w:rPr>
        <w:t>–i</w:t>
      </w:r>
      <w:r w:rsidRPr="003816BB">
        <w:rPr>
          <w:noProof/>
          <w:szCs w:val="18"/>
        </w:rPr>
        <w:t>28.</w:t>
      </w:r>
      <w:r>
        <w:rPr>
          <w:noProof/>
          <w:szCs w:val="18"/>
        </w:rPr>
        <w:t xml:space="preserve"> Available at</w:t>
      </w:r>
      <w:r w:rsidRPr="003816BB">
        <w:rPr>
          <w:noProof/>
          <w:szCs w:val="18"/>
        </w:rPr>
        <w:t xml:space="preserve"> https://doi.org/10.1093/heapro/dau035</w:t>
      </w:r>
      <w:r w:rsidRPr="003E766F">
        <w:rPr>
          <w:szCs w:val="18"/>
        </w:rPr>
        <w:fldChar w:fldCharType="end"/>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7AB66" w14:textId="77777777" w:rsidR="007C2448" w:rsidRPr="003053E1" w:rsidRDefault="00AB0647">
    <w:pPr>
      <w:pStyle w:val="Header"/>
    </w:pPr>
    <w:r>
      <w:fldChar w:fldCharType="begin"/>
    </w:r>
    <w:r>
      <w:instrText xml:space="preserve"> TITLE  \* MERGEFORMAT </w:instrText>
    </w:r>
    <w:r>
      <w:fldChar w:fldCharType="separate"/>
    </w:r>
    <w:r w:rsidR="007C2448">
      <w:t>ECE/MP.EIA/WG.2/2019/5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F398" w14:textId="77777777" w:rsidR="007C2448" w:rsidRPr="003053E1" w:rsidRDefault="00AB0647" w:rsidP="003053E1">
    <w:pPr>
      <w:pStyle w:val="Header"/>
      <w:jc w:val="right"/>
    </w:pPr>
    <w:r>
      <w:fldChar w:fldCharType="begin"/>
    </w:r>
    <w:r>
      <w:instrText xml:space="preserve"> TITLE  \* MERGEFORMAT </w:instrText>
    </w:r>
    <w:r>
      <w:fldChar w:fldCharType="separate"/>
    </w:r>
    <w:r w:rsidR="007C2448">
      <w:t>ECE/MP.EIA/WG.2/2019/5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790132"/>
    <w:multiLevelType w:val="hybridMultilevel"/>
    <w:tmpl w:val="2C40FE82"/>
    <w:lvl w:ilvl="0" w:tplc="AE9AFC9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A3219D"/>
    <w:multiLevelType w:val="hybridMultilevel"/>
    <w:tmpl w:val="D338ACE4"/>
    <w:lvl w:ilvl="0" w:tplc="CD1AD39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28163A"/>
    <w:multiLevelType w:val="hybridMultilevel"/>
    <w:tmpl w:val="ACE42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943B2F"/>
    <w:multiLevelType w:val="hybridMultilevel"/>
    <w:tmpl w:val="3B186686"/>
    <w:lvl w:ilvl="0" w:tplc="791EDA3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63DB1C4E"/>
    <w:multiLevelType w:val="hybridMultilevel"/>
    <w:tmpl w:val="1CAA0C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2F5886"/>
    <w:multiLevelType w:val="hybridMultilevel"/>
    <w:tmpl w:val="32A2E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2F6557"/>
    <w:multiLevelType w:val="hybridMultilevel"/>
    <w:tmpl w:val="0624DC20"/>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2"/>
  </w:num>
  <w:num w:numId="18">
    <w:abstractNumId w:val="25"/>
  </w:num>
  <w:num w:numId="19">
    <w:abstractNumId w:val="12"/>
  </w:num>
  <w:num w:numId="20">
    <w:abstractNumId w:val="11"/>
  </w:num>
  <w:num w:numId="21">
    <w:abstractNumId w:val="13"/>
  </w:num>
  <w:num w:numId="22">
    <w:abstractNumId w:val="20"/>
  </w:num>
  <w:num w:numId="23">
    <w:abstractNumId w:val="23"/>
  </w:num>
  <w:num w:numId="24">
    <w:abstractNumId w:val="21"/>
  </w:num>
  <w:num w:numId="25">
    <w:abstractNumId w:val="24"/>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E6B8AC-E1B5-49CB-83B8-2CB7280B4E56}"/>
    <w:docVar w:name="dgnword-eventsink" w:val="637739216"/>
  </w:docVars>
  <w:rsids>
    <w:rsidRoot w:val="003053E1"/>
    <w:rsid w:val="00001FE6"/>
    <w:rsid w:val="00002A7D"/>
    <w:rsid w:val="000038A8"/>
    <w:rsid w:val="00006790"/>
    <w:rsid w:val="00010884"/>
    <w:rsid w:val="00013A19"/>
    <w:rsid w:val="000208EF"/>
    <w:rsid w:val="00020ACC"/>
    <w:rsid w:val="00021FFB"/>
    <w:rsid w:val="000247B4"/>
    <w:rsid w:val="000264E9"/>
    <w:rsid w:val="00026DF2"/>
    <w:rsid w:val="00027624"/>
    <w:rsid w:val="0004086D"/>
    <w:rsid w:val="00045EE1"/>
    <w:rsid w:val="000468E7"/>
    <w:rsid w:val="00050F6B"/>
    <w:rsid w:val="00051694"/>
    <w:rsid w:val="0006269A"/>
    <w:rsid w:val="000678CD"/>
    <w:rsid w:val="00072C8C"/>
    <w:rsid w:val="00074F7C"/>
    <w:rsid w:val="000772FD"/>
    <w:rsid w:val="00080610"/>
    <w:rsid w:val="00081CE0"/>
    <w:rsid w:val="00083FC2"/>
    <w:rsid w:val="00084D30"/>
    <w:rsid w:val="00090320"/>
    <w:rsid w:val="00090CF2"/>
    <w:rsid w:val="000931C0"/>
    <w:rsid w:val="000944A9"/>
    <w:rsid w:val="00095DF4"/>
    <w:rsid w:val="000A2E09"/>
    <w:rsid w:val="000B175B"/>
    <w:rsid w:val="000B3A0F"/>
    <w:rsid w:val="000B5F9C"/>
    <w:rsid w:val="000B604C"/>
    <w:rsid w:val="000C0301"/>
    <w:rsid w:val="000D28B8"/>
    <w:rsid w:val="000D46F3"/>
    <w:rsid w:val="000D6C16"/>
    <w:rsid w:val="000E0415"/>
    <w:rsid w:val="000E0736"/>
    <w:rsid w:val="000E6045"/>
    <w:rsid w:val="000F2992"/>
    <w:rsid w:val="000F5F55"/>
    <w:rsid w:val="000F7715"/>
    <w:rsid w:val="001025CC"/>
    <w:rsid w:val="001056FF"/>
    <w:rsid w:val="00112001"/>
    <w:rsid w:val="001140BE"/>
    <w:rsid w:val="001168FC"/>
    <w:rsid w:val="0013464F"/>
    <w:rsid w:val="00140157"/>
    <w:rsid w:val="00156B99"/>
    <w:rsid w:val="001641AB"/>
    <w:rsid w:val="00166124"/>
    <w:rsid w:val="00166126"/>
    <w:rsid w:val="001803C1"/>
    <w:rsid w:val="00180ADE"/>
    <w:rsid w:val="001838A2"/>
    <w:rsid w:val="00183EA6"/>
    <w:rsid w:val="00184DDA"/>
    <w:rsid w:val="001900CD"/>
    <w:rsid w:val="001942EC"/>
    <w:rsid w:val="0019625A"/>
    <w:rsid w:val="001A0452"/>
    <w:rsid w:val="001A112F"/>
    <w:rsid w:val="001A3F70"/>
    <w:rsid w:val="001A7AC3"/>
    <w:rsid w:val="001B18B1"/>
    <w:rsid w:val="001B2D47"/>
    <w:rsid w:val="001B3AF2"/>
    <w:rsid w:val="001B4B04"/>
    <w:rsid w:val="001B5875"/>
    <w:rsid w:val="001C2D74"/>
    <w:rsid w:val="001C30D2"/>
    <w:rsid w:val="001C392C"/>
    <w:rsid w:val="001C427C"/>
    <w:rsid w:val="001C4B9C"/>
    <w:rsid w:val="001C6663"/>
    <w:rsid w:val="001C717B"/>
    <w:rsid w:val="001C7895"/>
    <w:rsid w:val="001C79ED"/>
    <w:rsid w:val="001D26DF"/>
    <w:rsid w:val="001D28D9"/>
    <w:rsid w:val="001D2A45"/>
    <w:rsid w:val="001E626D"/>
    <w:rsid w:val="001F1599"/>
    <w:rsid w:val="001F15DF"/>
    <w:rsid w:val="001F19C4"/>
    <w:rsid w:val="001F63C4"/>
    <w:rsid w:val="002005A9"/>
    <w:rsid w:val="002043F0"/>
    <w:rsid w:val="0020496A"/>
    <w:rsid w:val="00211E0B"/>
    <w:rsid w:val="00224372"/>
    <w:rsid w:val="00224DE2"/>
    <w:rsid w:val="0023117B"/>
    <w:rsid w:val="00232575"/>
    <w:rsid w:val="00247258"/>
    <w:rsid w:val="00247497"/>
    <w:rsid w:val="00256F96"/>
    <w:rsid w:val="00257CAC"/>
    <w:rsid w:val="002633DE"/>
    <w:rsid w:val="00263AC0"/>
    <w:rsid w:val="0026563C"/>
    <w:rsid w:val="0027237A"/>
    <w:rsid w:val="00273A05"/>
    <w:rsid w:val="00291F75"/>
    <w:rsid w:val="00296910"/>
    <w:rsid w:val="002971D0"/>
    <w:rsid w:val="002974E9"/>
    <w:rsid w:val="002A7A56"/>
    <w:rsid w:val="002A7F94"/>
    <w:rsid w:val="002B109A"/>
    <w:rsid w:val="002B51EA"/>
    <w:rsid w:val="002B540C"/>
    <w:rsid w:val="002B734C"/>
    <w:rsid w:val="002C3359"/>
    <w:rsid w:val="002C3C76"/>
    <w:rsid w:val="002C6D45"/>
    <w:rsid w:val="002D0B74"/>
    <w:rsid w:val="002D23AF"/>
    <w:rsid w:val="002D37F0"/>
    <w:rsid w:val="002D6375"/>
    <w:rsid w:val="002D6E53"/>
    <w:rsid w:val="002E10AC"/>
    <w:rsid w:val="002E266A"/>
    <w:rsid w:val="002F046D"/>
    <w:rsid w:val="002F0981"/>
    <w:rsid w:val="002F3023"/>
    <w:rsid w:val="002F398F"/>
    <w:rsid w:val="002F5197"/>
    <w:rsid w:val="002F609C"/>
    <w:rsid w:val="002F7311"/>
    <w:rsid w:val="002F7BB1"/>
    <w:rsid w:val="00300A2E"/>
    <w:rsid w:val="00301764"/>
    <w:rsid w:val="003053E1"/>
    <w:rsid w:val="0030746D"/>
    <w:rsid w:val="003229D8"/>
    <w:rsid w:val="0032462F"/>
    <w:rsid w:val="003249E2"/>
    <w:rsid w:val="00336C97"/>
    <w:rsid w:val="00337117"/>
    <w:rsid w:val="00337F88"/>
    <w:rsid w:val="00340597"/>
    <w:rsid w:val="0034116C"/>
    <w:rsid w:val="00342432"/>
    <w:rsid w:val="0035223F"/>
    <w:rsid w:val="00352D4B"/>
    <w:rsid w:val="0035638C"/>
    <w:rsid w:val="00356892"/>
    <w:rsid w:val="003648B1"/>
    <w:rsid w:val="00365D5E"/>
    <w:rsid w:val="0036651B"/>
    <w:rsid w:val="00371510"/>
    <w:rsid w:val="0037152A"/>
    <w:rsid w:val="003742CD"/>
    <w:rsid w:val="00377475"/>
    <w:rsid w:val="00391118"/>
    <w:rsid w:val="00392EB9"/>
    <w:rsid w:val="00397CCE"/>
    <w:rsid w:val="003A46BB"/>
    <w:rsid w:val="003A4EC7"/>
    <w:rsid w:val="003A53B9"/>
    <w:rsid w:val="003A7295"/>
    <w:rsid w:val="003B1909"/>
    <w:rsid w:val="003B1F60"/>
    <w:rsid w:val="003B3826"/>
    <w:rsid w:val="003B41C1"/>
    <w:rsid w:val="003B736C"/>
    <w:rsid w:val="003C2CC4"/>
    <w:rsid w:val="003D22CC"/>
    <w:rsid w:val="003D4B23"/>
    <w:rsid w:val="003D4DEE"/>
    <w:rsid w:val="003D5635"/>
    <w:rsid w:val="003E278A"/>
    <w:rsid w:val="003E2BBC"/>
    <w:rsid w:val="00402375"/>
    <w:rsid w:val="00405983"/>
    <w:rsid w:val="00406956"/>
    <w:rsid w:val="00413520"/>
    <w:rsid w:val="00413FFD"/>
    <w:rsid w:val="004325CB"/>
    <w:rsid w:val="00434E3A"/>
    <w:rsid w:val="00435127"/>
    <w:rsid w:val="00440A07"/>
    <w:rsid w:val="00441305"/>
    <w:rsid w:val="004422E7"/>
    <w:rsid w:val="00444289"/>
    <w:rsid w:val="00446BDC"/>
    <w:rsid w:val="00446E00"/>
    <w:rsid w:val="0045172E"/>
    <w:rsid w:val="00461B72"/>
    <w:rsid w:val="00462880"/>
    <w:rsid w:val="00462CF5"/>
    <w:rsid w:val="00470052"/>
    <w:rsid w:val="00475CB0"/>
    <w:rsid w:val="00476F24"/>
    <w:rsid w:val="00480FCF"/>
    <w:rsid w:val="004A0EFA"/>
    <w:rsid w:val="004A4A02"/>
    <w:rsid w:val="004A57AF"/>
    <w:rsid w:val="004C0919"/>
    <w:rsid w:val="004C55B0"/>
    <w:rsid w:val="004C69C8"/>
    <w:rsid w:val="004C6D5D"/>
    <w:rsid w:val="004C7E53"/>
    <w:rsid w:val="004D04F8"/>
    <w:rsid w:val="004D3F69"/>
    <w:rsid w:val="004D6FDC"/>
    <w:rsid w:val="004E4E3A"/>
    <w:rsid w:val="004E5E8D"/>
    <w:rsid w:val="004F2CD5"/>
    <w:rsid w:val="004F37CB"/>
    <w:rsid w:val="004F6BA0"/>
    <w:rsid w:val="005008DE"/>
    <w:rsid w:val="00501CAF"/>
    <w:rsid w:val="00501D54"/>
    <w:rsid w:val="00503BEA"/>
    <w:rsid w:val="005042F9"/>
    <w:rsid w:val="005067A6"/>
    <w:rsid w:val="00506A9A"/>
    <w:rsid w:val="00515B0B"/>
    <w:rsid w:val="00524D53"/>
    <w:rsid w:val="00526770"/>
    <w:rsid w:val="00533616"/>
    <w:rsid w:val="00533FFC"/>
    <w:rsid w:val="00534FBA"/>
    <w:rsid w:val="00535ABA"/>
    <w:rsid w:val="0053768B"/>
    <w:rsid w:val="005420F2"/>
    <w:rsid w:val="0054285C"/>
    <w:rsid w:val="0054760F"/>
    <w:rsid w:val="0055307B"/>
    <w:rsid w:val="00565A44"/>
    <w:rsid w:val="00584173"/>
    <w:rsid w:val="00590DF3"/>
    <w:rsid w:val="00593C97"/>
    <w:rsid w:val="00595520"/>
    <w:rsid w:val="00596CB9"/>
    <w:rsid w:val="005A2AA1"/>
    <w:rsid w:val="005A44B9"/>
    <w:rsid w:val="005B094D"/>
    <w:rsid w:val="005B1BA0"/>
    <w:rsid w:val="005B3473"/>
    <w:rsid w:val="005B3A7E"/>
    <w:rsid w:val="005B3DB3"/>
    <w:rsid w:val="005B4D0D"/>
    <w:rsid w:val="005C0286"/>
    <w:rsid w:val="005C0F66"/>
    <w:rsid w:val="005C1D2C"/>
    <w:rsid w:val="005C1FA5"/>
    <w:rsid w:val="005C6360"/>
    <w:rsid w:val="005D15CA"/>
    <w:rsid w:val="005D259F"/>
    <w:rsid w:val="005E2F34"/>
    <w:rsid w:val="005E4844"/>
    <w:rsid w:val="005F08DF"/>
    <w:rsid w:val="005F3066"/>
    <w:rsid w:val="005F3E61"/>
    <w:rsid w:val="005F4679"/>
    <w:rsid w:val="005F55BE"/>
    <w:rsid w:val="006013C8"/>
    <w:rsid w:val="00604DDD"/>
    <w:rsid w:val="00605785"/>
    <w:rsid w:val="0060664E"/>
    <w:rsid w:val="00610014"/>
    <w:rsid w:val="006115CC"/>
    <w:rsid w:val="00611FC4"/>
    <w:rsid w:val="006176FB"/>
    <w:rsid w:val="00626581"/>
    <w:rsid w:val="00627BA6"/>
    <w:rsid w:val="00630FCB"/>
    <w:rsid w:val="00632E08"/>
    <w:rsid w:val="00640B26"/>
    <w:rsid w:val="00640DB6"/>
    <w:rsid w:val="00642248"/>
    <w:rsid w:val="00651B64"/>
    <w:rsid w:val="00654D4F"/>
    <w:rsid w:val="0065766B"/>
    <w:rsid w:val="006602DE"/>
    <w:rsid w:val="006660DA"/>
    <w:rsid w:val="00666F2D"/>
    <w:rsid w:val="0067033E"/>
    <w:rsid w:val="006706BD"/>
    <w:rsid w:val="0067204C"/>
    <w:rsid w:val="006770B2"/>
    <w:rsid w:val="006806CB"/>
    <w:rsid w:val="00681DAB"/>
    <w:rsid w:val="006820F1"/>
    <w:rsid w:val="0068359F"/>
    <w:rsid w:val="00684B81"/>
    <w:rsid w:val="006851A3"/>
    <w:rsid w:val="00686A48"/>
    <w:rsid w:val="006903FD"/>
    <w:rsid w:val="00690C09"/>
    <w:rsid w:val="006940E1"/>
    <w:rsid w:val="00694203"/>
    <w:rsid w:val="006A3C72"/>
    <w:rsid w:val="006A409F"/>
    <w:rsid w:val="006A54EB"/>
    <w:rsid w:val="006A7392"/>
    <w:rsid w:val="006B03A1"/>
    <w:rsid w:val="006B31EA"/>
    <w:rsid w:val="006B4C25"/>
    <w:rsid w:val="006B67D9"/>
    <w:rsid w:val="006B737B"/>
    <w:rsid w:val="006C47D3"/>
    <w:rsid w:val="006C5535"/>
    <w:rsid w:val="006D0589"/>
    <w:rsid w:val="006D0633"/>
    <w:rsid w:val="006D313B"/>
    <w:rsid w:val="006D3E4D"/>
    <w:rsid w:val="006D5DD5"/>
    <w:rsid w:val="006E2C95"/>
    <w:rsid w:val="006E313D"/>
    <w:rsid w:val="006E5509"/>
    <w:rsid w:val="006E564B"/>
    <w:rsid w:val="006E7154"/>
    <w:rsid w:val="007003CD"/>
    <w:rsid w:val="00704356"/>
    <w:rsid w:val="007049C6"/>
    <w:rsid w:val="00704DE0"/>
    <w:rsid w:val="00704FD8"/>
    <w:rsid w:val="00706D1A"/>
    <w:rsid w:val="0070701E"/>
    <w:rsid w:val="007240BD"/>
    <w:rsid w:val="0072632A"/>
    <w:rsid w:val="00726F48"/>
    <w:rsid w:val="00727DA1"/>
    <w:rsid w:val="007345CB"/>
    <w:rsid w:val="007358E8"/>
    <w:rsid w:val="0073601A"/>
    <w:rsid w:val="00736ECE"/>
    <w:rsid w:val="0074533B"/>
    <w:rsid w:val="0074560E"/>
    <w:rsid w:val="007643BC"/>
    <w:rsid w:val="00765623"/>
    <w:rsid w:val="0076761A"/>
    <w:rsid w:val="00767B30"/>
    <w:rsid w:val="00780C68"/>
    <w:rsid w:val="00782629"/>
    <w:rsid w:val="00787595"/>
    <w:rsid w:val="00790CED"/>
    <w:rsid w:val="00795550"/>
    <w:rsid w:val="007959FE"/>
    <w:rsid w:val="007A0CF1"/>
    <w:rsid w:val="007A4EF2"/>
    <w:rsid w:val="007A659F"/>
    <w:rsid w:val="007B0E17"/>
    <w:rsid w:val="007B6BA5"/>
    <w:rsid w:val="007C2448"/>
    <w:rsid w:val="007C3390"/>
    <w:rsid w:val="007C42D8"/>
    <w:rsid w:val="007C4F4B"/>
    <w:rsid w:val="007C533F"/>
    <w:rsid w:val="007C5A80"/>
    <w:rsid w:val="007C5D09"/>
    <w:rsid w:val="007D7362"/>
    <w:rsid w:val="007E54AE"/>
    <w:rsid w:val="007E6467"/>
    <w:rsid w:val="007F0347"/>
    <w:rsid w:val="007F491B"/>
    <w:rsid w:val="007F5CE2"/>
    <w:rsid w:val="007F6611"/>
    <w:rsid w:val="008027C1"/>
    <w:rsid w:val="00803601"/>
    <w:rsid w:val="00810BAC"/>
    <w:rsid w:val="008175E9"/>
    <w:rsid w:val="0082130B"/>
    <w:rsid w:val="00821DB7"/>
    <w:rsid w:val="008227A0"/>
    <w:rsid w:val="008242D7"/>
    <w:rsid w:val="0082577B"/>
    <w:rsid w:val="00831AE2"/>
    <w:rsid w:val="00833038"/>
    <w:rsid w:val="00837DC7"/>
    <w:rsid w:val="008455F3"/>
    <w:rsid w:val="00854A98"/>
    <w:rsid w:val="00854DD9"/>
    <w:rsid w:val="008572B2"/>
    <w:rsid w:val="008573D4"/>
    <w:rsid w:val="008604F8"/>
    <w:rsid w:val="008623AD"/>
    <w:rsid w:val="00864DBE"/>
    <w:rsid w:val="00866893"/>
    <w:rsid w:val="00866F02"/>
    <w:rsid w:val="00867D18"/>
    <w:rsid w:val="00871F9A"/>
    <w:rsid w:val="00871FD5"/>
    <w:rsid w:val="00873E18"/>
    <w:rsid w:val="00876B43"/>
    <w:rsid w:val="00880D15"/>
    <w:rsid w:val="0088172E"/>
    <w:rsid w:val="00881EFA"/>
    <w:rsid w:val="008879CB"/>
    <w:rsid w:val="008907A6"/>
    <w:rsid w:val="00890804"/>
    <w:rsid w:val="00890F57"/>
    <w:rsid w:val="008979B1"/>
    <w:rsid w:val="008A6B25"/>
    <w:rsid w:val="008A6C4F"/>
    <w:rsid w:val="008B389E"/>
    <w:rsid w:val="008B5D8C"/>
    <w:rsid w:val="008C773E"/>
    <w:rsid w:val="008C77E2"/>
    <w:rsid w:val="008D045E"/>
    <w:rsid w:val="008D3F25"/>
    <w:rsid w:val="008D4D82"/>
    <w:rsid w:val="008D60DC"/>
    <w:rsid w:val="008E0E46"/>
    <w:rsid w:val="008E14A5"/>
    <w:rsid w:val="008E6A75"/>
    <w:rsid w:val="008E7116"/>
    <w:rsid w:val="008F143B"/>
    <w:rsid w:val="008F1C5E"/>
    <w:rsid w:val="008F3882"/>
    <w:rsid w:val="008F4B7C"/>
    <w:rsid w:val="00905604"/>
    <w:rsid w:val="009232B5"/>
    <w:rsid w:val="00926E47"/>
    <w:rsid w:val="00933677"/>
    <w:rsid w:val="00935421"/>
    <w:rsid w:val="00936432"/>
    <w:rsid w:val="009401E2"/>
    <w:rsid w:val="0094121A"/>
    <w:rsid w:val="00944938"/>
    <w:rsid w:val="0094580F"/>
    <w:rsid w:val="0094684F"/>
    <w:rsid w:val="00947162"/>
    <w:rsid w:val="00947205"/>
    <w:rsid w:val="0095328E"/>
    <w:rsid w:val="009610D0"/>
    <w:rsid w:val="0096375C"/>
    <w:rsid w:val="00964FC2"/>
    <w:rsid w:val="009662E6"/>
    <w:rsid w:val="0097095E"/>
    <w:rsid w:val="0097662B"/>
    <w:rsid w:val="00976AB6"/>
    <w:rsid w:val="009821C0"/>
    <w:rsid w:val="0098592B"/>
    <w:rsid w:val="00985FC4"/>
    <w:rsid w:val="009870E7"/>
    <w:rsid w:val="00990766"/>
    <w:rsid w:val="00991261"/>
    <w:rsid w:val="00992C89"/>
    <w:rsid w:val="00995079"/>
    <w:rsid w:val="009964C4"/>
    <w:rsid w:val="009A49D7"/>
    <w:rsid w:val="009A7B81"/>
    <w:rsid w:val="009C3CBD"/>
    <w:rsid w:val="009D01C0"/>
    <w:rsid w:val="009D6A08"/>
    <w:rsid w:val="009D731A"/>
    <w:rsid w:val="009E0A16"/>
    <w:rsid w:val="009E5A6B"/>
    <w:rsid w:val="009E6CB7"/>
    <w:rsid w:val="009E7970"/>
    <w:rsid w:val="009F1F02"/>
    <w:rsid w:val="009F2EAC"/>
    <w:rsid w:val="009F57E3"/>
    <w:rsid w:val="00A03D14"/>
    <w:rsid w:val="00A04E49"/>
    <w:rsid w:val="00A04F1A"/>
    <w:rsid w:val="00A0514B"/>
    <w:rsid w:val="00A10F4F"/>
    <w:rsid w:val="00A11067"/>
    <w:rsid w:val="00A1308D"/>
    <w:rsid w:val="00A152CF"/>
    <w:rsid w:val="00A15AE9"/>
    <w:rsid w:val="00A1704A"/>
    <w:rsid w:val="00A26216"/>
    <w:rsid w:val="00A30B2F"/>
    <w:rsid w:val="00A3115A"/>
    <w:rsid w:val="00A425EB"/>
    <w:rsid w:val="00A4359D"/>
    <w:rsid w:val="00A44029"/>
    <w:rsid w:val="00A469FC"/>
    <w:rsid w:val="00A4739B"/>
    <w:rsid w:val="00A535CC"/>
    <w:rsid w:val="00A636C7"/>
    <w:rsid w:val="00A72F22"/>
    <w:rsid w:val="00A733BC"/>
    <w:rsid w:val="00A748A6"/>
    <w:rsid w:val="00A75722"/>
    <w:rsid w:val="00A762D8"/>
    <w:rsid w:val="00A76A69"/>
    <w:rsid w:val="00A826BE"/>
    <w:rsid w:val="00A837EF"/>
    <w:rsid w:val="00A8486A"/>
    <w:rsid w:val="00A850B1"/>
    <w:rsid w:val="00A879A4"/>
    <w:rsid w:val="00A91A3C"/>
    <w:rsid w:val="00AA0FF8"/>
    <w:rsid w:val="00AA5003"/>
    <w:rsid w:val="00AB0647"/>
    <w:rsid w:val="00AB588F"/>
    <w:rsid w:val="00AC0F2C"/>
    <w:rsid w:val="00AC3AB3"/>
    <w:rsid w:val="00AC4B68"/>
    <w:rsid w:val="00AC4F3C"/>
    <w:rsid w:val="00AC502A"/>
    <w:rsid w:val="00AD153E"/>
    <w:rsid w:val="00AD5C05"/>
    <w:rsid w:val="00AD7FA4"/>
    <w:rsid w:val="00AE59C5"/>
    <w:rsid w:val="00AE5F88"/>
    <w:rsid w:val="00AF3D8E"/>
    <w:rsid w:val="00AF58C1"/>
    <w:rsid w:val="00AF7648"/>
    <w:rsid w:val="00B04A3F"/>
    <w:rsid w:val="00B06643"/>
    <w:rsid w:val="00B15055"/>
    <w:rsid w:val="00B20424"/>
    <w:rsid w:val="00B20551"/>
    <w:rsid w:val="00B212D8"/>
    <w:rsid w:val="00B21FE5"/>
    <w:rsid w:val="00B23CD4"/>
    <w:rsid w:val="00B270CC"/>
    <w:rsid w:val="00B30179"/>
    <w:rsid w:val="00B30C82"/>
    <w:rsid w:val="00B33FC7"/>
    <w:rsid w:val="00B37B15"/>
    <w:rsid w:val="00B402E7"/>
    <w:rsid w:val="00B404EC"/>
    <w:rsid w:val="00B405EC"/>
    <w:rsid w:val="00B45C02"/>
    <w:rsid w:val="00B619D8"/>
    <w:rsid w:val="00B70B63"/>
    <w:rsid w:val="00B72A1E"/>
    <w:rsid w:val="00B72A9D"/>
    <w:rsid w:val="00B73964"/>
    <w:rsid w:val="00B75363"/>
    <w:rsid w:val="00B75634"/>
    <w:rsid w:val="00B818F9"/>
    <w:rsid w:val="00B81E12"/>
    <w:rsid w:val="00B87C87"/>
    <w:rsid w:val="00B91518"/>
    <w:rsid w:val="00BA339B"/>
    <w:rsid w:val="00BB5908"/>
    <w:rsid w:val="00BC1E7E"/>
    <w:rsid w:val="00BC4CBD"/>
    <w:rsid w:val="00BC66F1"/>
    <w:rsid w:val="00BC74E9"/>
    <w:rsid w:val="00BD1886"/>
    <w:rsid w:val="00BD74E4"/>
    <w:rsid w:val="00BE2339"/>
    <w:rsid w:val="00BE36A9"/>
    <w:rsid w:val="00BE3DCB"/>
    <w:rsid w:val="00BE5570"/>
    <w:rsid w:val="00BE618E"/>
    <w:rsid w:val="00BE7BEC"/>
    <w:rsid w:val="00BF0A5A"/>
    <w:rsid w:val="00BF0E63"/>
    <w:rsid w:val="00BF12A3"/>
    <w:rsid w:val="00BF16D7"/>
    <w:rsid w:val="00BF2373"/>
    <w:rsid w:val="00BF4053"/>
    <w:rsid w:val="00C044E2"/>
    <w:rsid w:val="00C048CB"/>
    <w:rsid w:val="00C066F3"/>
    <w:rsid w:val="00C12185"/>
    <w:rsid w:val="00C20298"/>
    <w:rsid w:val="00C26423"/>
    <w:rsid w:val="00C463DD"/>
    <w:rsid w:val="00C46B85"/>
    <w:rsid w:val="00C54395"/>
    <w:rsid w:val="00C636D6"/>
    <w:rsid w:val="00C64C35"/>
    <w:rsid w:val="00C65C34"/>
    <w:rsid w:val="00C65F98"/>
    <w:rsid w:val="00C66EC7"/>
    <w:rsid w:val="00C72440"/>
    <w:rsid w:val="00C74546"/>
    <w:rsid w:val="00C745C3"/>
    <w:rsid w:val="00C75A03"/>
    <w:rsid w:val="00C81D4E"/>
    <w:rsid w:val="00C87DB9"/>
    <w:rsid w:val="00C90CA6"/>
    <w:rsid w:val="00C945C8"/>
    <w:rsid w:val="00C978F5"/>
    <w:rsid w:val="00CA24A4"/>
    <w:rsid w:val="00CA381A"/>
    <w:rsid w:val="00CB348D"/>
    <w:rsid w:val="00CB3EED"/>
    <w:rsid w:val="00CC3BA8"/>
    <w:rsid w:val="00CC7720"/>
    <w:rsid w:val="00CD03BB"/>
    <w:rsid w:val="00CD21B1"/>
    <w:rsid w:val="00CD21E6"/>
    <w:rsid w:val="00CD25F0"/>
    <w:rsid w:val="00CD46F5"/>
    <w:rsid w:val="00CE1C63"/>
    <w:rsid w:val="00CE4602"/>
    <w:rsid w:val="00CE4A8F"/>
    <w:rsid w:val="00CF071D"/>
    <w:rsid w:val="00CF17FE"/>
    <w:rsid w:val="00D0123D"/>
    <w:rsid w:val="00D04CD7"/>
    <w:rsid w:val="00D0565B"/>
    <w:rsid w:val="00D135AB"/>
    <w:rsid w:val="00D15B04"/>
    <w:rsid w:val="00D16E72"/>
    <w:rsid w:val="00D2031B"/>
    <w:rsid w:val="00D23D89"/>
    <w:rsid w:val="00D24A38"/>
    <w:rsid w:val="00D25FE2"/>
    <w:rsid w:val="00D33C1F"/>
    <w:rsid w:val="00D35B58"/>
    <w:rsid w:val="00D37DA9"/>
    <w:rsid w:val="00D406A7"/>
    <w:rsid w:val="00D43252"/>
    <w:rsid w:val="00D44D86"/>
    <w:rsid w:val="00D450BB"/>
    <w:rsid w:val="00D50B7D"/>
    <w:rsid w:val="00D52012"/>
    <w:rsid w:val="00D52D52"/>
    <w:rsid w:val="00D704E5"/>
    <w:rsid w:val="00D72727"/>
    <w:rsid w:val="00D72B7A"/>
    <w:rsid w:val="00D7322F"/>
    <w:rsid w:val="00D7457E"/>
    <w:rsid w:val="00D83411"/>
    <w:rsid w:val="00D845C6"/>
    <w:rsid w:val="00D86D50"/>
    <w:rsid w:val="00D90A65"/>
    <w:rsid w:val="00D978C6"/>
    <w:rsid w:val="00D97938"/>
    <w:rsid w:val="00DA0956"/>
    <w:rsid w:val="00DA357F"/>
    <w:rsid w:val="00DA3E12"/>
    <w:rsid w:val="00DA4CD1"/>
    <w:rsid w:val="00DB536D"/>
    <w:rsid w:val="00DB5DC4"/>
    <w:rsid w:val="00DC18AD"/>
    <w:rsid w:val="00DF5ED0"/>
    <w:rsid w:val="00DF7CAE"/>
    <w:rsid w:val="00E001AD"/>
    <w:rsid w:val="00E15691"/>
    <w:rsid w:val="00E21368"/>
    <w:rsid w:val="00E23B79"/>
    <w:rsid w:val="00E32DD8"/>
    <w:rsid w:val="00E332FC"/>
    <w:rsid w:val="00E34217"/>
    <w:rsid w:val="00E35D52"/>
    <w:rsid w:val="00E3648A"/>
    <w:rsid w:val="00E423C0"/>
    <w:rsid w:val="00E52D04"/>
    <w:rsid w:val="00E53D6B"/>
    <w:rsid w:val="00E6414C"/>
    <w:rsid w:val="00E67054"/>
    <w:rsid w:val="00E67745"/>
    <w:rsid w:val="00E67998"/>
    <w:rsid w:val="00E7260F"/>
    <w:rsid w:val="00E76EAE"/>
    <w:rsid w:val="00E774FB"/>
    <w:rsid w:val="00E77519"/>
    <w:rsid w:val="00E820AA"/>
    <w:rsid w:val="00E83562"/>
    <w:rsid w:val="00E8602B"/>
    <w:rsid w:val="00E8702D"/>
    <w:rsid w:val="00E905F4"/>
    <w:rsid w:val="00E916A9"/>
    <w:rsid w:val="00E916DE"/>
    <w:rsid w:val="00E925AD"/>
    <w:rsid w:val="00E96630"/>
    <w:rsid w:val="00EA4EBC"/>
    <w:rsid w:val="00EB200B"/>
    <w:rsid w:val="00EB30BC"/>
    <w:rsid w:val="00EC0359"/>
    <w:rsid w:val="00ED18DC"/>
    <w:rsid w:val="00ED553F"/>
    <w:rsid w:val="00ED6201"/>
    <w:rsid w:val="00ED64D6"/>
    <w:rsid w:val="00ED7131"/>
    <w:rsid w:val="00ED7A2A"/>
    <w:rsid w:val="00EE2973"/>
    <w:rsid w:val="00EE3DCB"/>
    <w:rsid w:val="00EF074B"/>
    <w:rsid w:val="00EF0965"/>
    <w:rsid w:val="00EF1D7F"/>
    <w:rsid w:val="00EF73E7"/>
    <w:rsid w:val="00F0137E"/>
    <w:rsid w:val="00F04977"/>
    <w:rsid w:val="00F071EA"/>
    <w:rsid w:val="00F21786"/>
    <w:rsid w:val="00F232E6"/>
    <w:rsid w:val="00F3742B"/>
    <w:rsid w:val="00F41FDB"/>
    <w:rsid w:val="00F54B36"/>
    <w:rsid w:val="00F550AB"/>
    <w:rsid w:val="00F5624D"/>
    <w:rsid w:val="00F56D63"/>
    <w:rsid w:val="00F609A9"/>
    <w:rsid w:val="00F60B3E"/>
    <w:rsid w:val="00F621F6"/>
    <w:rsid w:val="00F649DA"/>
    <w:rsid w:val="00F747BD"/>
    <w:rsid w:val="00F74A49"/>
    <w:rsid w:val="00F80C99"/>
    <w:rsid w:val="00F84204"/>
    <w:rsid w:val="00F84BF7"/>
    <w:rsid w:val="00F867EC"/>
    <w:rsid w:val="00F87FE9"/>
    <w:rsid w:val="00F91B2B"/>
    <w:rsid w:val="00F92972"/>
    <w:rsid w:val="00F9612B"/>
    <w:rsid w:val="00F961FC"/>
    <w:rsid w:val="00FA4506"/>
    <w:rsid w:val="00FA46D6"/>
    <w:rsid w:val="00FB2AEE"/>
    <w:rsid w:val="00FC03CD"/>
    <w:rsid w:val="00FC0646"/>
    <w:rsid w:val="00FC1EF0"/>
    <w:rsid w:val="00FC68B7"/>
    <w:rsid w:val="00FD207C"/>
    <w:rsid w:val="00FE28DE"/>
    <w:rsid w:val="00FE4ADD"/>
    <w:rsid w:val="00FE559C"/>
    <w:rsid w:val="00FE6985"/>
    <w:rsid w:val="00FF597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FF973"/>
  <w15:docId w15:val="{10E79BF4-A706-40F4-8887-C0279704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SingleTxtGChar">
    <w:name w:val="_ Single Txt_G Char"/>
    <w:basedOn w:val="DefaultParagraphFont"/>
    <w:link w:val="SingleTxtG"/>
    <w:rsid w:val="005008DE"/>
    <w:rPr>
      <w:lang w:val="en-GB"/>
    </w:rPr>
  </w:style>
  <w:style w:type="paragraph" w:styleId="ListParagraph">
    <w:name w:val="List Paragraph"/>
    <w:basedOn w:val="Normal"/>
    <w:uiPriority w:val="34"/>
    <w:qFormat/>
    <w:rsid w:val="001803C1"/>
    <w:pPr>
      <w:ind w:left="720"/>
      <w:contextualSpacing/>
    </w:pPr>
  </w:style>
  <w:style w:type="character" w:customStyle="1" w:styleId="FootnoteTextChar">
    <w:name w:val="Footnote Text Char"/>
    <w:aliases w:val="5_G Char"/>
    <w:basedOn w:val="DefaultParagraphFont"/>
    <w:link w:val="FootnoteText"/>
    <w:rsid w:val="00480FCF"/>
    <w:rPr>
      <w:sz w:val="18"/>
      <w:lang w:val="en-GB"/>
    </w:rPr>
  </w:style>
  <w:style w:type="paragraph" w:styleId="Caption">
    <w:name w:val="caption"/>
    <w:aliases w:val="~Caption,Caption1,AGT ESIA,Caption SS,Caption_ARGOSS,RSK Caption,Caption Char2 Char,Caption Char1 Char Char,Caption Char Char Char Char,Caption Char1 Char Char Char Char,Caption Char Char Char Char Char Char"/>
    <w:basedOn w:val="Normal"/>
    <w:next w:val="Normal"/>
    <w:link w:val="CaptionChar"/>
    <w:uiPriority w:val="35"/>
    <w:qFormat/>
    <w:rsid w:val="001056FF"/>
    <w:pPr>
      <w:keepNext/>
      <w:tabs>
        <w:tab w:val="left" w:pos="851"/>
      </w:tabs>
      <w:suppressAutoHyphens w:val="0"/>
      <w:spacing w:after="120" w:line="240" w:lineRule="auto"/>
      <w:ind w:left="1134" w:right="1134"/>
      <w:jc w:val="both"/>
    </w:pPr>
    <w:rPr>
      <w:rFonts w:eastAsia="Calibri"/>
      <w:b/>
      <w:bCs/>
      <w:lang w:eastAsia="en-US"/>
    </w:rPr>
  </w:style>
  <w:style w:type="character" w:customStyle="1" w:styleId="CaptionChar">
    <w:name w:val="Caption Char"/>
    <w:aliases w:val="~Caption Char,Caption1 Char,AGT ESIA Char,Caption SS Char,Caption_ARGOSS Char,RSK Caption Char,Caption Char2 Char Char,Caption Char1 Char Char Char,Caption Char Char Char Char Char,Caption Char1 Char Char Char Char Char"/>
    <w:basedOn w:val="DefaultParagraphFont"/>
    <w:link w:val="Caption"/>
    <w:uiPriority w:val="35"/>
    <w:locked/>
    <w:rsid w:val="001056FF"/>
    <w:rPr>
      <w:rFonts w:eastAsia="Calibri"/>
      <w:b/>
      <w:bCs/>
      <w:lang w:val="en-GB" w:eastAsia="en-US"/>
    </w:rPr>
  </w:style>
  <w:style w:type="table" w:customStyle="1" w:styleId="GridTable4-Accent11">
    <w:name w:val="Grid Table 4 - Accent 11"/>
    <w:basedOn w:val="TableNormal"/>
    <w:next w:val="GridTable4-Accent1"/>
    <w:uiPriority w:val="49"/>
    <w:rsid w:val="00EE3DCB"/>
    <w:rPr>
      <w:rFonts w:ascii="Calibri" w:eastAsia="Calibri" w:hAnsi="Calibri" w:cs="Arial"/>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EE3DC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next w:val="GridTable4-Accent1"/>
    <w:uiPriority w:val="49"/>
    <w:rsid w:val="00A0514B"/>
    <w:rPr>
      <w:rFonts w:ascii="Calibri" w:eastAsia="Calibri" w:hAnsi="Calibri" w:cs="Arial"/>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3">
    <w:name w:val="Grid Table 4 - Accent 13"/>
    <w:basedOn w:val="TableNormal"/>
    <w:next w:val="GridTable4-Accent1"/>
    <w:uiPriority w:val="49"/>
    <w:rsid w:val="002D0B7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semiHidden/>
    <w:unhideWhenUsed/>
    <w:rsid w:val="00B212D8"/>
    <w:rPr>
      <w:sz w:val="16"/>
      <w:szCs w:val="16"/>
    </w:rPr>
  </w:style>
  <w:style w:type="paragraph" w:styleId="CommentText">
    <w:name w:val="annotation text"/>
    <w:basedOn w:val="Normal"/>
    <w:link w:val="CommentTextChar"/>
    <w:semiHidden/>
    <w:unhideWhenUsed/>
    <w:rsid w:val="00B212D8"/>
    <w:pPr>
      <w:spacing w:line="240" w:lineRule="auto"/>
    </w:pPr>
  </w:style>
  <w:style w:type="character" w:customStyle="1" w:styleId="CommentTextChar">
    <w:name w:val="Comment Text Char"/>
    <w:basedOn w:val="DefaultParagraphFont"/>
    <w:link w:val="CommentText"/>
    <w:semiHidden/>
    <w:rsid w:val="00B212D8"/>
    <w:rPr>
      <w:lang w:val="en-GB"/>
    </w:rPr>
  </w:style>
  <w:style w:type="paragraph" w:styleId="CommentSubject">
    <w:name w:val="annotation subject"/>
    <w:basedOn w:val="CommentText"/>
    <w:next w:val="CommentText"/>
    <w:link w:val="CommentSubjectChar"/>
    <w:semiHidden/>
    <w:unhideWhenUsed/>
    <w:rsid w:val="00B212D8"/>
    <w:rPr>
      <w:b/>
      <w:bCs/>
    </w:rPr>
  </w:style>
  <w:style w:type="character" w:customStyle="1" w:styleId="CommentSubjectChar">
    <w:name w:val="Comment Subject Char"/>
    <w:basedOn w:val="CommentTextChar"/>
    <w:link w:val="CommentSubject"/>
    <w:semiHidden/>
    <w:rsid w:val="00B212D8"/>
    <w:rPr>
      <w:b/>
      <w:bCs/>
      <w:lang w:val="en-GB"/>
    </w:rPr>
  </w:style>
  <w:style w:type="paragraph" w:styleId="Revision">
    <w:name w:val="Revision"/>
    <w:hidden/>
    <w:uiPriority w:val="99"/>
    <w:semiHidden/>
    <w:rsid w:val="004C6D5D"/>
    <w:rPr>
      <w:lang w:val="en-GB"/>
    </w:rPr>
  </w:style>
  <w:style w:type="character" w:customStyle="1" w:styleId="UnresolvedMention1">
    <w:name w:val="Unresolved Mention1"/>
    <w:basedOn w:val="DefaultParagraphFont"/>
    <w:uiPriority w:val="99"/>
    <w:semiHidden/>
    <w:unhideWhenUsed/>
    <w:rsid w:val="00C26423"/>
    <w:rPr>
      <w:color w:val="605E5C"/>
      <w:shd w:val="clear" w:color="auto" w:fill="E1DFDD"/>
    </w:rPr>
  </w:style>
  <w:style w:type="character" w:customStyle="1" w:styleId="FooterChar">
    <w:name w:val="Footer Char"/>
    <w:aliases w:val="3_G Char"/>
    <w:basedOn w:val="DefaultParagraphFont"/>
    <w:link w:val="Footer"/>
    <w:rsid w:val="007C2448"/>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0712">
      <w:bodyDiv w:val="1"/>
      <w:marLeft w:val="0"/>
      <w:marRight w:val="0"/>
      <w:marTop w:val="0"/>
      <w:marBottom w:val="0"/>
      <w:divBdr>
        <w:top w:val="none" w:sz="0" w:space="0" w:color="auto"/>
        <w:left w:val="none" w:sz="0" w:space="0" w:color="auto"/>
        <w:bottom w:val="none" w:sz="0" w:space="0" w:color="auto"/>
        <w:right w:val="none" w:sz="0" w:space="0" w:color="auto"/>
      </w:divBdr>
    </w:div>
    <w:div w:id="20588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notes.xml.rels><?xml version="1.0" encoding="UTF-8" standalone="yes"?>
<Relationships xmlns="http://schemas.openxmlformats.org/package/2006/relationships"><Relationship Id="rId3" Type="http://schemas.openxmlformats.org/officeDocument/2006/relationships/hyperlink" Target="https://doi.org/10.1016/j.puhe.2008.03.014" TargetMode="External"/><Relationship Id="rId2" Type="http://schemas.openxmlformats.org/officeDocument/2006/relationships/hyperlink" Target="http://www.unece.org/env/eia/implementation/review_implementation.html" TargetMode="External"/><Relationship Id="rId1" Type="http://schemas.openxmlformats.org/officeDocument/2006/relationships/hyperlink" Target="http://www.unece.org/fileadmin/DAM/env/documents/2011/eia/ece.mp.eia.17.e.pdf" TargetMode="External"/><Relationship Id="rId4" Type="http://schemas.openxmlformats.org/officeDocument/2006/relationships/hyperlink" Target="http://www.who.int/hia/network/en/HIA_as_part_of_SE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F7BA-573F-474A-8879-5169E399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9838</Words>
  <Characters>56083</Characters>
  <Application>Microsoft Office Word</Application>
  <DocSecurity>4</DocSecurity>
  <Lines>467</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ECE/MP.EIA/WG.2/2019/5</vt:lpstr>
      <vt:lpstr/>
    </vt:vector>
  </TitlesOfParts>
  <Company>CSD</Company>
  <LinksUpToDate>false</LinksUpToDate>
  <CharactersWithSpaces>65790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ECE/MP.EIA/WG.2/2019/5</dc:title>
  <dc:subject/>
  <dc:creator>Elizabeth James</dc:creator>
  <cp:keywords/>
  <dc:description/>
  <cp:lastModifiedBy>Elizabeth James</cp:lastModifiedBy>
  <cp:revision>2</cp:revision>
  <cp:lastPrinted>2009-02-18T09:36:00Z</cp:lastPrinted>
  <dcterms:created xsi:type="dcterms:W3CDTF">2019-10-11T08:51:00Z</dcterms:created>
  <dcterms:modified xsi:type="dcterms:W3CDTF">2019-10-11T08:51:00Z</dcterms:modified>
</cp:coreProperties>
</file>