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134"/>
        <w:gridCol w:w="2410"/>
        <w:gridCol w:w="3260"/>
        <w:gridCol w:w="2835"/>
      </w:tblGrid>
      <w:tr w:rsidR="00B56E9C" w:rsidRPr="00055E82" w14:paraId="32CA7C05" w14:textId="77777777" w:rsidTr="00C91503">
        <w:trPr>
          <w:cantSplit/>
          <w:trHeight w:hRule="exact" w:val="851"/>
        </w:trPr>
        <w:tc>
          <w:tcPr>
            <w:tcW w:w="1134" w:type="dxa"/>
            <w:tcBorders>
              <w:bottom w:val="single" w:sz="4" w:space="0" w:color="auto"/>
            </w:tcBorders>
            <w:shd w:val="clear" w:color="auto" w:fill="auto"/>
            <w:vAlign w:val="bottom"/>
          </w:tcPr>
          <w:p w14:paraId="7DE345B0" w14:textId="41519E1C" w:rsidR="00B56E9C" w:rsidRPr="00055E82" w:rsidRDefault="00B56E9C" w:rsidP="00E43FA9">
            <w:pPr>
              <w:spacing w:after="80"/>
            </w:pPr>
            <w:bookmarkStart w:id="0" w:name="_GoBack"/>
            <w:bookmarkEnd w:id="0"/>
          </w:p>
        </w:tc>
        <w:tc>
          <w:tcPr>
            <w:tcW w:w="2410" w:type="dxa"/>
            <w:tcBorders>
              <w:bottom w:val="single" w:sz="4" w:space="0" w:color="auto"/>
            </w:tcBorders>
            <w:shd w:val="clear" w:color="auto" w:fill="auto"/>
            <w:vAlign w:val="bottom"/>
          </w:tcPr>
          <w:p w14:paraId="12F55E09" w14:textId="77777777" w:rsidR="00B56E9C" w:rsidRPr="00055E82" w:rsidRDefault="00B56E9C" w:rsidP="00E43FA9">
            <w:pPr>
              <w:spacing w:after="80" w:line="300" w:lineRule="exact"/>
              <w:rPr>
                <w:b/>
                <w:sz w:val="24"/>
                <w:szCs w:val="24"/>
              </w:rPr>
            </w:pPr>
            <w:r w:rsidRPr="00055E82">
              <w:rPr>
                <w:sz w:val="28"/>
                <w:szCs w:val="28"/>
              </w:rPr>
              <w:t>United Nations</w:t>
            </w:r>
          </w:p>
        </w:tc>
        <w:tc>
          <w:tcPr>
            <w:tcW w:w="6095" w:type="dxa"/>
            <w:gridSpan w:val="2"/>
            <w:tcBorders>
              <w:bottom w:val="single" w:sz="4" w:space="0" w:color="auto"/>
            </w:tcBorders>
            <w:shd w:val="clear" w:color="auto" w:fill="auto"/>
            <w:vAlign w:val="bottom"/>
          </w:tcPr>
          <w:p w14:paraId="6A2544BA" w14:textId="5D94427B" w:rsidR="00B56E9C" w:rsidRPr="00055E82" w:rsidRDefault="005B164E" w:rsidP="001108B2">
            <w:pPr>
              <w:jc w:val="right"/>
            </w:pPr>
            <w:bookmarkStart w:id="1" w:name="OLE_LINK1"/>
            <w:r w:rsidRPr="00055E82">
              <w:rPr>
                <w:sz w:val="40"/>
              </w:rPr>
              <w:t>ECE</w:t>
            </w:r>
            <w:r w:rsidRPr="00055E82">
              <w:t>/MP.EIA/</w:t>
            </w:r>
            <w:r w:rsidR="002E7331" w:rsidRPr="00055E82">
              <w:t>WG.2/201</w:t>
            </w:r>
            <w:r w:rsidR="008F64CC">
              <w:t>9</w:t>
            </w:r>
            <w:r w:rsidRPr="00055E82">
              <w:t>/</w:t>
            </w:r>
            <w:r w:rsidR="002E7331" w:rsidRPr="00055E82">
              <w:t>1</w:t>
            </w:r>
            <w:bookmarkEnd w:id="1"/>
          </w:p>
        </w:tc>
      </w:tr>
      <w:tr w:rsidR="00B56E9C" w:rsidRPr="00055E82" w14:paraId="38F9A22D" w14:textId="77777777" w:rsidTr="00C91503">
        <w:trPr>
          <w:cantSplit/>
          <w:trHeight w:hRule="exact" w:val="2426"/>
        </w:trPr>
        <w:tc>
          <w:tcPr>
            <w:tcW w:w="1134" w:type="dxa"/>
            <w:tcBorders>
              <w:top w:val="single" w:sz="4" w:space="0" w:color="auto"/>
              <w:bottom w:val="single" w:sz="12" w:space="0" w:color="auto"/>
            </w:tcBorders>
            <w:shd w:val="clear" w:color="auto" w:fill="auto"/>
          </w:tcPr>
          <w:p w14:paraId="1D04AD9A" w14:textId="777E750F" w:rsidR="00B56E9C" w:rsidRPr="00055E82" w:rsidRDefault="00F50A4E" w:rsidP="00E43FA9">
            <w:pPr>
              <w:spacing w:before="120"/>
            </w:pPr>
            <w:r>
              <w:rPr>
                <w:noProof/>
                <w:lang w:val="en-US" w:eastAsia="zh-CN"/>
              </w:rPr>
              <w:drawing>
                <wp:inline distT="0" distB="0" distL="0" distR="0" wp14:anchorId="32DC0F8F" wp14:editId="5A833B15">
                  <wp:extent cx="719455" cy="586105"/>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9455" cy="586105"/>
                          </a:xfrm>
                          <a:prstGeom prst="rect">
                            <a:avLst/>
                          </a:prstGeom>
                          <a:noFill/>
                          <a:ln>
                            <a:noFill/>
                          </a:ln>
                        </pic:spPr>
                      </pic:pic>
                    </a:graphicData>
                  </a:graphic>
                </wp:inline>
              </w:drawing>
            </w:r>
          </w:p>
        </w:tc>
        <w:tc>
          <w:tcPr>
            <w:tcW w:w="5670" w:type="dxa"/>
            <w:gridSpan w:val="2"/>
            <w:tcBorders>
              <w:top w:val="single" w:sz="4" w:space="0" w:color="auto"/>
              <w:bottom w:val="single" w:sz="12" w:space="0" w:color="auto"/>
            </w:tcBorders>
            <w:shd w:val="clear" w:color="auto" w:fill="auto"/>
          </w:tcPr>
          <w:p w14:paraId="5D1DC794" w14:textId="77777777" w:rsidR="008361AF" w:rsidRDefault="00D773DF" w:rsidP="00A91C5B">
            <w:pPr>
              <w:spacing w:before="120" w:line="420" w:lineRule="exact"/>
              <w:rPr>
                <w:b/>
                <w:sz w:val="40"/>
                <w:szCs w:val="40"/>
              </w:rPr>
            </w:pPr>
            <w:r w:rsidRPr="00055E82">
              <w:rPr>
                <w:b/>
                <w:sz w:val="40"/>
                <w:szCs w:val="40"/>
              </w:rPr>
              <w:t>Economic and Social Council</w:t>
            </w:r>
          </w:p>
          <w:p w14:paraId="375F51F8" w14:textId="23D51C12" w:rsidR="007813E2" w:rsidRPr="007813E2" w:rsidRDefault="007813E2" w:rsidP="00A91C5B">
            <w:pPr>
              <w:spacing w:before="120" w:line="420" w:lineRule="exact"/>
              <w:rPr>
                <w:b/>
                <w:color w:val="FF0000"/>
                <w:sz w:val="40"/>
                <w:szCs w:val="40"/>
              </w:rPr>
            </w:pPr>
          </w:p>
        </w:tc>
        <w:tc>
          <w:tcPr>
            <w:tcW w:w="2835" w:type="dxa"/>
            <w:tcBorders>
              <w:top w:val="single" w:sz="4" w:space="0" w:color="auto"/>
              <w:bottom w:val="single" w:sz="12" w:space="0" w:color="auto"/>
            </w:tcBorders>
            <w:shd w:val="clear" w:color="auto" w:fill="auto"/>
          </w:tcPr>
          <w:p w14:paraId="5ED8659E" w14:textId="77777777" w:rsidR="005B164E" w:rsidRPr="00055E82" w:rsidRDefault="005B164E" w:rsidP="00E43FA9">
            <w:pPr>
              <w:spacing w:before="240" w:line="240" w:lineRule="exact"/>
            </w:pPr>
            <w:r w:rsidRPr="00055E82">
              <w:t>Distr.: General</w:t>
            </w:r>
          </w:p>
          <w:p w14:paraId="2EBF4607" w14:textId="66CDD801" w:rsidR="005B164E" w:rsidRPr="00055E82" w:rsidRDefault="00773519" w:rsidP="00E43FA9">
            <w:pPr>
              <w:spacing w:line="240" w:lineRule="exact"/>
            </w:pPr>
            <w:r>
              <w:t>29</w:t>
            </w:r>
            <w:r w:rsidR="00C5451D">
              <w:t xml:space="preserve"> </w:t>
            </w:r>
            <w:r w:rsidR="00673456">
              <w:t>August</w:t>
            </w:r>
            <w:r w:rsidR="000745A4" w:rsidRPr="00055E82">
              <w:t xml:space="preserve"> </w:t>
            </w:r>
            <w:r w:rsidR="002E7331" w:rsidRPr="00055E82">
              <w:t>201</w:t>
            </w:r>
            <w:r w:rsidR="008F64CC">
              <w:t>9</w:t>
            </w:r>
          </w:p>
          <w:p w14:paraId="7AEE3608" w14:textId="77777777" w:rsidR="005B164E" w:rsidRPr="00055E82" w:rsidRDefault="005B164E" w:rsidP="00E43FA9">
            <w:pPr>
              <w:spacing w:line="240" w:lineRule="exact"/>
            </w:pPr>
          </w:p>
          <w:p w14:paraId="1F9BD9A7" w14:textId="77777777" w:rsidR="00B56E9C" w:rsidRPr="00055E82" w:rsidRDefault="005B164E" w:rsidP="00E43FA9">
            <w:pPr>
              <w:spacing w:line="240" w:lineRule="exact"/>
            </w:pPr>
            <w:r w:rsidRPr="00055E82">
              <w:t>Original: English</w:t>
            </w:r>
          </w:p>
        </w:tc>
      </w:tr>
    </w:tbl>
    <w:p w14:paraId="5BCF6F43" w14:textId="77777777" w:rsidR="00442A83" w:rsidRPr="00055E82" w:rsidRDefault="00C96DF2">
      <w:pPr>
        <w:spacing w:before="120"/>
        <w:rPr>
          <w:b/>
          <w:sz w:val="28"/>
          <w:szCs w:val="28"/>
        </w:rPr>
      </w:pPr>
      <w:r w:rsidRPr="00055E82">
        <w:rPr>
          <w:b/>
          <w:sz w:val="28"/>
          <w:szCs w:val="28"/>
        </w:rPr>
        <w:t>Economic Commission for Europe</w:t>
      </w:r>
    </w:p>
    <w:p w14:paraId="3FEC5227" w14:textId="77777777" w:rsidR="002E7331" w:rsidRPr="009968E7" w:rsidRDefault="002E7331">
      <w:pPr>
        <w:spacing w:before="120" w:line="240" w:lineRule="auto"/>
        <w:rPr>
          <w:bCs/>
          <w:sz w:val="28"/>
          <w:szCs w:val="28"/>
        </w:rPr>
      </w:pPr>
      <w:r w:rsidRPr="009968E7">
        <w:rPr>
          <w:bCs/>
          <w:sz w:val="28"/>
          <w:szCs w:val="28"/>
        </w:rPr>
        <w:t xml:space="preserve">Meeting of the Parties to the Convention </w:t>
      </w:r>
      <w:r w:rsidRPr="009968E7">
        <w:rPr>
          <w:bCs/>
          <w:sz w:val="28"/>
          <w:szCs w:val="28"/>
        </w:rPr>
        <w:br/>
        <w:t xml:space="preserve">on Environmental Impact Assessment </w:t>
      </w:r>
      <w:r w:rsidRPr="009968E7">
        <w:rPr>
          <w:bCs/>
          <w:sz w:val="28"/>
          <w:szCs w:val="28"/>
        </w:rPr>
        <w:br/>
        <w:t>in a Transboundary Context</w:t>
      </w:r>
    </w:p>
    <w:p w14:paraId="681882D3" w14:textId="77777777" w:rsidR="002E7331" w:rsidRPr="009968E7" w:rsidRDefault="002E7331">
      <w:pPr>
        <w:suppressAutoHyphens w:val="0"/>
        <w:autoSpaceDE w:val="0"/>
        <w:autoSpaceDN w:val="0"/>
        <w:adjustRightInd w:val="0"/>
        <w:spacing w:before="120"/>
        <w:rPr>
          <w:sz w:val="28"/>
          <w:szCs w:val="28"/>
        </w:rPr>
      </w:pPr>
      <w:r w:rsidRPr="009968E7">
        <w:rPr>
          <w:sz w:val="28"/>
          <w:szCs w:val="28"/>
        </w:rPr>
        <w:t xml:space="preserve">Meeting of the Parties to the Convention </w:t>
      </w:r>
      <w:r w:rsidRPr="009968E7">
        <w:rPr>
          <w:sz w:val="28"/>
          <w:szCs w:val="28"/>
        </w:rPr>
        <w:br/>
        <w:t xml:space="preserve">on Environmental Impact Assessment in </w:t>
      </w:r>
      <w:r w:rsidRPr="009968E7">
        <w:rPr>
          <w:sz w:val="28"/>
          <w:szCs w:val="28"/>
        </w:rPr>
        <w:br/>
        <w:t xml:space="preserve">a Transboundary Context serving as the </w:t>
      </w:r>
      <w:r w:rsidRPr="009968E7">
        <w:rPr>
          <w:sz w:val="28"/>
          <w:szCs w:val="28"/>
        </w:rPr>
        <w:br/>
        <w:t xml:space="preserve">Meeting of the Parties to the Protocol on </w:t>
      </w:r>
      <w:r w:rsidRPr="009968E7">
        <w:rPr>
          <w:sz w:val="28"/>
          <w:szCs w:val="28"/>
        </w:rPr>
        <w:br/>
        <w:t>Strategic Environmental Assessment</w:t>
      </w:r>
    </w:p>
    <w:p w14:paraId="0F5FBEA2" w14:textId="77777777" w:rsidR="004D1042" w:rsidRPr="00055E82" w:rsidRDefault="009F5AE5">
      <w:pPr>
        <w:spacing w:before="120" w:line="240" w:lineRule="auto"/>
        <w:rPr>
          <w:b/>
          <w:sz w:val="24"/>
          <w:szCs w:val="24"/>
        </w:rPr>
      </w:pPr>
      <w:r w:rsidRPr="00055E82">
        <w:rPr>
          <w:b/>
          <w:sz w:val="24"/>
          <w:szCs w:val="24"/>
        </w:rPr>
        <w:t xml:space="preserve">Working Group </w:t>
      </w:r>
      <w:r w:rsidR="004D1042" w:rsidRPr="00055E82">
        <w:rPr>
          <w:b/>
          <w:sz w:val="24"/>
          <w:szCs w:val="24"/>
        </w:rPr>
        <w:t xml:space="preserve">on Environmental </w:t>
      </w:r>
      <w:r w:rsidRPr="00055E82">
        <w:rPr>
          <w:b/>
          <w:sz w:val="24"/>
          <w:szCs w:val="24"/>
        </w:rPr>
        <w:t xml:space="preserve">Impact </w:t>
      </w:r>
      <w:r w:rsidR="004D1042" w:rsidRPr="00055E82">
        <w:rPr>
          <w:b/>
          <w:sz w:val="24"/>
          <w:szCs w:val="24"/>
        </w:rPr>
        <w:t>Assessment</w:t>
      </w:r>
      <w:r w:rsidR="002E7331" w:rsidRPr="00055E82">
        <w:rPr>
          <w:b/>
          <w:sz w:val="24"/>
          <w:szCs w:val="24"/>
        </w:rPr>
        <w:br/>
        <w:t>and Strategic Environmental Assessment</w:t>
      </w:r>
    </w:p>
    <w:p w14:paraId="6721087E" w14:textId="6F96A6A5" w:rsidR="004D1042" w:rsidRPr="00055E82" w:rsidRDefault="00C918A1" w:rsidP="004D1042">
      <w:pPr>
        <w:spacing w:before="120"/>
        <w:rPr>
          <w:b/>
        </w:rPr>
      </w:pPr>
      <w:r>
        <w:rPr>
          <w:b/>
        </w:rPr>
        <w:t>Eighth</w:t>
      </w:r>
      <w:r w:rsidR="00C5451D" w:rsidRPr="00055E82">
        <w:rPr>
          <w:b/>
        </w:rPr>
        <w:t xml:space="preserve"> </w:t>
      </w:r>
      <w:r w:rsidR="009F5AE5" w:rsidRPr="00055E82">
        <w:rPr>
          <w:b/>
        </w:rPr>
        <w:t>meeting</w:t>
      </w:r>
    </w:p>
    <w:p w14:paraId="794FBA16" w14:textId="6E65892A" w:rsidR="004D1042" w:rsidRPr="00055E82" w:rsidRDefault="004D1042" w:rsidP="00FF5847">
      <w:r w:rsidRPr="00055E82">
        <w:t>Geneva</w:t>
      </w:r>
      <w:r w:rsidR="009F5AE5" w:rsidRPr="00055E82">
        <w:t xml:space="preserve">, </w:t>
      </w:r>
      <w:r w:rsidR="00FB7572">
        <w:t>26</w:t>
      </w:r>
      <w:r w:rsidR="002E7331" w:rsidRPr="00055E82">
        <w:t>–</w:t>
      </w:r>
      <w:r w:rsidR="00FB7572">
        <w:t>28</w:t>
      </w:r>
      <w:r w:rsidRPr="00055E82">
        <w:t xml:space="preserve"> </w:t>
      </w:r>
      <w:r w:rsidR="00FB7572">
        <w:t>November</w:t>
      </w:r>
      <w:r w:rsidR="002E7331" w:rsidRPr="00055E82">
        <w:t xml:space="preserve"> 201</w:t>
      </w:r>
      <w:r w:rsidR="00FB7572">
        <w:t>9</w:t>
      </w:r>
    </w:p>
    <w:p w14:paraId="02A2E8EA" w14:textId="77777777" w:rsidR="00F1527D" w:rsidRPr="00055E82" w:rsidRDefault="0093696E" w:rsidP="00FF5847">
      <w:r w:rsidRPr="00055E82">
        <w:t xml:space="preserve">Item </w:t>
      </w:r>
      <w:r w:rsidR="001108B2" w:rsidRPr="00055E82">
        <w:t>1</w:t>
      </w:r>
      <w:r w:rsidR="00F1527D" w:rsidRPr="00055E82">
        <w:t xml:space="preserve"> of the provisional agenda</w:t>
      </w:r>
    </w:p>
    <w:p w14:paraId="3ECE037E" w14:textId="77777777" w:rsidR="00C85177" w:rsidRPr="00055E82" w:rsidRDefault="00F1527D" w:rsidP="00C85177">
      <w:pPr>
        <w:rPr>
          <w:b/>
          <w:bCs/>
        </w:rPr>
      </w:pPr>
      <w:r w:rsidRPr="00055E82">
        <w:rPr>
          <w:b/>
          <w:bCs/>
        </w:rPr>
        <w:t>Adoption of the agenda</w:t>
      </w:r>
    </w:p>
    <w:p w14:paraId="0068D23F" w14:textId="6E18A139" w:rsidR="00295B60" w:rsidRPr="00055E82" w:rsidRDefault="00C85177" w:rsidP="009968E7">
      <w:pPr>
        <w:pStyle w:val="HChG"/>
        <w:spacing w:before="300" w:after="200"/>
        <w:rPr>
          <w:bCs/>
        </w:rPr>
      </w:pPr>
      <w:r w:rsidRPr="00055E82">
        <w:tab/>
      </w:r>
      <w:r w:rsidRPr="00055E82">
        <w:tab/>
      </w:r>
      <w:r w:rsidR="00295B60" w:rsidRPr="00055E82">
        <w:t xml:space="preserve">Annotated provisional agenda </w:t>
      </w:r>
      <w:r w:rsidR="00973E4B" w:rsidRPr="00055E82">
        <w:t xml:space="preserve">for the </w:t>
      </w:r>
      <w:r w:rsidR="00C918A1">
        <w:t>eighth</w:t>
      </w:r>
      <w:r w:rsidR="00973E4B" w:rsidRPr="00055E82">
        <w:t xml:space="preserve"> meeting</w:t>
      </w:r>
    </w:p>
    <w:p w14:paraId="50565A5B" w14:textId="6ECF6B1F" w:rsidR="00295B60" w:rsidRPr="00055E82" w:rsidRDefault="00295B60" w:rsidP="009968E7">
      <w:pPr>
        <w:pStyle w:val="H1G"/>
        <w:spacing w:before="300" w:after="200"/>
      </w:pPr>
      <w:r w:rsidRPr="00055E82">
        <w:tab/>
      </w:r>
      <w:r w:rsidRPr="00055E82">
        <w:tab/>
      </w:r>
      <w:r w:rsidR="0057655D" w:rsidRPr="00055E82">
        <w:t>To</w:t>
      </w:r>
      <w:r w:rsidRPr="00055E82">
        <w:t xml:space="preserve"> be held at the Palais des Nations, Geneva, starting at 10 a.m. </w:t>
      </w:r>
      <w:r w:rsidR="00973E4B" w:rsidRPr="00055E82">
        <w:br/>
      </w:r>
      <w:r w:rsidRPr="00055E82">
        <w:t xml:space="preserve">on </w:t>
      </w:r>
      <w:r w:rsidR="00FB7572">
        <w:t>Tuesday</w:t>
      </w:r>
      <w:r w:rsidR="00C82C4B" w:rsidRPr="00055E82">
        <w:t xml:space="preserve">, </w:t>
      </w:r>
      <w:r w:rsidR="001E4D7A">
        <w:t>2</w:t>
      </w:r>
      <w:r w:rsidR="00FB7572">
        <w:t>6</w:t>
      </w:r>
      <w:r w:rsidR="004D1042" w:rsidRPr="00055E82">
        <w:t xml:space="preserve"> </w:t>
      </w:r>
      <w:r w:rsidR="00FB7572">
        <w:t>November</w:t>
      </w:r>
      <w:r w:rsidR="002E7331" w:rsidRPr="00055E82">
        <w:t xml:space="preserve"> </w:t>
      </w:r>
      <w:r w:rsidRPr="00055E82">
        <w:t>201</w:t>
      </w:r>
      <w:r w:rsidR="00FB7572">
        <w:t>9</w:t>
      </w:r>
      <w:r w:rsidRPr="00055E82">
        <w:rPr>
          <w:rStyle w:val="FootnoteReference"/>
          <w:vertAlign w:val="baseline"/>
        </w:rPr>
        <w:footnoteReference w:customMarkFollows="1" w:id="2"/>
        <w:t>*</w:t>
      </w:r>
    </w:p>
    <w:p w14:paraId="1BD539FE" w14:textId="77777777" w:rsidR="00295B60" w:rsidRPr="00055E82" w:rsidRDefault="00295B60" w:rsidP="009968E7">
      <w:pPr>
        <w:pStyle w:val="HChG"/>
        <w:spacing w:before="300" w:after="200"/>
      </w:pPr>
      <w:r w:rsidRPr="00055E82">
        <w:tab/>
        <w:t>I.</w:t>
      </w:r>
      <w:r w:rsidRPr="00055E82">
        <w:tab/>
        <w:t>Provisional agenda</w:t>
      </w:r>
    </w:p>
    <w:p w14:paraId="5E1E7A79" w14:textId="77777777" w:rsidR="00295B60" w:rsidRPr="00055E82" w:rsidRDefault="00F32153" w:rsidP="00295B60">
      <w:pPr>
        <w:pStyle w:val="SingleTxtG"/>
      </w:pPr>
      <w:r>
        <w:t>1.</w:t>
      </w:r>
      <w:r>
        <w:tab/>
      </w:r>
      <w:r w:rsidR="00295B60" w:rsidRPr="00055E82">
        <w:t>Adoption of the agenda.</w:t>
      </w:r>
    </w:p>
    <w:p w14:paraId="54013A7B" w14:textId="77777777" w:rsidR="00FF0FF9" w:rsidRPr="00055E82" w:rsidRDefault="00BF3F26" w:rsidP="00FF0FF9">
      <w:pPr>
        <w:pStyle w:val="SingleTxtG"/>
      </w:pPr>
      <w:r w:rsidRPr="00055E82">
        <w:lastRenderedPageBreak/>
        <w:t>2</w:t>
      </w:r>
      <w:r w:rsidR="004D1042" w:rsidRPr="00055E82">
        <w:t>.</w:t>
      </w:r>
      <w:r w:rsidR="004D1042" w:rsidRPr="00055E82">
        <w:tab/>
      </w:r>
      <w:r w:rsidR="00FF0FF9" w:rsidRPr="00055E82">
        <w:t>Budget, financial arrangements and financial assistance.</w:t>
      </w:r>
    </w:p>
    <w:p w14:paraId="524D4C72" w14:textId="0A2D3A52" w:rsidR="004D1042" w:rsidRPr="00055E82" w:rsidRDefault="00FF0FF9" w:rsidP="00C71001">
      <w:pPr>
        <w:pStyle w:val="SingleTxtG"/>
      </w:pPr>
      <w:r>
        <w:t>3.</w:t>
      </w:r>
      <w:r>
        <w:tab/>
      </w:r>
      <w:r w:rsidR="004D1042" w:rsidRPr="00055E82">
        <w:t>Status of ratification.</w:t>
      </w:r>
    </w:p>
    <w:p w14:paraId="7A7A9F1B" w14:textId="605D9B7C" w:rsidR="0093696E" w:rsidRPr="00055E82" w:rsidRDefault="00FF0FF9" w:rsidP="00C71001">
      <w:pPr>
        <w:pStyle w:val="SingleTxtG"/>
      </w:pPr>
      <w:r>
        <w:t>4</w:t>
      </w:r>
      <w:r w:rsidR="0093696E" w:rsidRPr="00055E82">
        <w:t>.</w:t>
      </w:r>
      <w:r w:rsidR="0093696E" w:rsidRPr="00055E82">
        <w:tab/>
        <w:t xml:space="preserve">Compliance and implementation. </w:t>
      </w:r>
    </w:p>
    <w:p w14:paraId="306A073C" w14:textId="0222C169" w:rsidR="006E3D24" w:rsidRDefault="00FF0FF9" w:rsidP="00C06511">
      <w:pPr>
        <w:pStyle w:val="SingleTxtG"/>
        <w:ind w:left="1689" w:hanging="555"/>
      </w:pPr>
      <w:r>
        <w:t>5</w:t>
      </w:r>
      <w:r w:rsidR="0093696E" w:rsidRPr="00055E82">
        <w:t>.</w:t>
      </w:r>
      <w:r w:rsidR="0093696E" w:rsidRPr="00055E82">
        <w:tab/>
      </w:r>
      <w:proofErr w:type="spellStart"/>
      <w:r w:rsidR="006E3D24" w:rsidRPr="00055E82">
        <w:t>Subregional</w:t>
      </w:r>
      <w:proofErr w:type="spellEnd"/>
      <w:r w:rsidR="006E3D24" w:rsidRPr="00055E82">
        <w:t xml:space="preserve"> cooperation and capacity-building</w:t>
      </w:r>
      <w:r w:rsidR="006E3D24">
        <w:t>.</w:t>
      </w:r>
    </w:p>
    <w:p w14:paraId="57D23B8D" w14:textId="0A629910" w:rsidR="00AB02C2" w:rsidRPr="00055E82" w:rsidRDefault="00FF0FF9" w:rsidP="00AB02C2">
      <w:pPr>
        <w:pStyle w:val="SingleTxtG"/>
        <w:ind w:left="1701" w:hanging="567"/>
      </w:pPr>
      <w:r>
        <w:t>6</w:t>
      </w:r>
      <w:r w:rsidR="006E3D24">
        <w:t>.</w:t>
      </w:r>
      <w:r w:rsidR="006E3D24">
        <w:tab/>
      </w:r>
      <w:r w:rsidR="00AB02C2" w:rsidRPr="00055E82">
        <w:t xml:space="preserve">Promoting ratification and application of the Protocol </w:t>
      </w:r>
      <w:r w:rsidR="00AB02C2">
        <w:t>and the Convention.</w:t>
      </w:r>
    </w:p>
    <w:p w14:paraId="364D6EB8" w14:textId="0396ABF9" w:rsidR="002244E8" w:rsidRDefault="00FF0FF9" w:rsidP="00C06511">
      <w:pPr>
        <w:pStyle w:val="SingleTxtG"/>
        <w:ind w:left="1689" w:hanging="555"/>
      </w:pPr>
      <w:r>
        <w:t>7</w:t>
      </w:r>
      <w:r w:rsidR="00AB02C2">
        <w:t>.</w:t>
      </w:r>
      <w:r w:rsidR="00AB02C2">
        <w:tab/>
      </w:r>
      <w:r w:rsidR="006E3D24">
        <w:t>Exchange of good practices</w:t>
      </w:r>
      <w:r w:rsidR="002244E8">
        <w:t>:</w:t>
      </w:r>
    </w:p>
    <w:p w14:paraId="78CEDBF5" w14:textId="10F8708F" w:rsidR="002244E8" w:rsidRDefault="002244E8" w:rsidP="004E51F8">
      <w:pPr>
        <w:pStyle w:val="SingleTxtG"/>
        <w:ind w:firstLine="567"/>
      </w:pPr>
      <w:r>
        <w:t>(a)</w:t>
      </w:r>
      <w:r>
        <w:tab/>
      </w:r>
      <w:bookmarkStart w:id="3" w:name="_Hlk8896077"/>
      <w:r>
        <w:t>Workshop</w:t>
      </w:r>
      <w:r w:rsidR="006E3D24" w:rsidRPr="006E3D24">
        <w:t xml:space="preserve"> </w:t>
      </w:r>
      <w:r w:rsidR="006E3D24" w:rsidRPr="000D19E3">
        <w:t xml:space="preserve">on </w:t>
      </w:r>
      <w:r w:rsidR="006E3D24">
        <w:t xml:space="preserve">the assessment of </w:t>
      </w:r>
      <w:r w:rsidR="006E3D24" w:rsidRPr="000D19E3">
        <w:t>health</w:t>
      </w:r>
      <w:r w:rsidR="006E3D24">
        <w:t xml:space="preserve"> impacts</w:t>
      </w:r>
      <w:r w:rsidR="006E3D24" w:rsidRPr="000D19E3">
        <w:t xml:space="preserve"> and health sector involvement in strategic environmental assessment</w:t>
      </w:r>
      <w:bookmarkEnd w:id="3"/>
      <w:r>
        <w:t>;</w:t>
      </w:r>
    </w:p>
    <w:p w14:paraId="1632CC31" w14:textId="6A2A95FC" w:rsidR="006E3D24" w:rsidRDefault="002244E8" w:rsidP="004E51F8">
      <w:pPr>
        <w:pStyle w:val="SingleTxtG"/>
        <w:ind w:firstLine="567"/>
      </w:pPr>
      <w:r>
        <w:t>(b)</w:t>
      </w:r>
      <w:r>
        <w:tab/>
      </w:r>
      <w:r w:rsidR="006E3D24">
        <w:t>Draft guidance on assess</w:t>
      </w:r>
      <w:r w:rsidR="00AE1581">
        <w:t xml:space="preserve">ing </w:t>
      </w:r>
      <w:r w:rsidR="006E3D24">
        <w:t xml:space="preserve">health </w:t>
      </w:r>
      <w:r w:rsidR="004F7C23">
        <w:t>i</w:t>
      </w:r>
      <w:r w:rsidR="006E3D24">
        <w:t>mpacts in strategic environmental assessment;</w:t>
      </w:r>
    </w:p>
    <w:p w14:paraId="4D36CC03" w14:textId="5DD494B4" w:rsidR="00C06511" w:rsidRDefault="006E3D24" w:rsidP="004E51F8">
      <w:pPr>
        <w:pStyle w:val="SingleTxtG"/>
        <w:ind w:firstLine="567"/>
      </w:pPr>
      <w:r>
        <w:t>(c)</w:t>
      </w:r>
      <w:r>
        <w:tab/>
      </w:r>
      <w:r w:rsidR="002B6ED1" w:rsidRPr="00417777">
        <w:t>Other activities for the exchange of good practices</w:t>
      </w:r>
      <w:r w:rsidR="00D96D53">
        <w:t>;</w:t>
      </w:r>
      <w:r w:rsidR="00C06511">
        <w:t xml:space="preserve"> </w:t>
      </w:r>
    </w:p>
    <w:p w14:paraId="574FBCA9" w14:textId="469B9820" w:rsidR="00D96D53" w:rsidRDefault="00D96D53" w:rsidP="004E51F8">
      <w:pPr>
        <w:pStyle w:val="SingleTxtG"/>
        <w:ind w:firstLine="567"/>
      </w:pPr>
      <w:r>
        <w:t>(d)</w:t>
      </w:r>
      <w:r>
        <w:tab/>
        <w:t xml:space="preserve">Practices of States </w:t>
      </w:r>
      <w:r w:rsidR="00410EB9">
        <w:t xml:space="preserve">from </w:t>
      </w:r>
      <w:r>
        <w:t>other regions.</w:t>
      </w:r>
    </w:p>
    <w:p w14:paraId="46D031E5" w14:textId="0515F002" w:rsidR="005B506B" w:rsidRDefault="00FF0FF9" w:rsidP="000B13B3">
      <w:pPr>
        <w:pStyle w:val="SingleTxtG"/>
      </w:pPr>
      <w:r>
        <w:t>8</w:t>
      </w:r>
      <w:r w:rsidR="0093696E" w:rsidRPr="00055E82">
        <w:t>.</w:t>
      </w:r>
      <w:r w:rsidR="0093696E" w:rsidRPr="00055E82">
        <w:tab/>
      </w:r>
      <w:bookmarkStart w:id="4" w:name="_Hlk503195952"/>
      <w:r w:rsidR="005B506B" w:rsidRPr="00055E82">
        <w:t xml:space="preserve">Preparations for the </w:t>
      </w:r>
      <w:r w:rsidR="005B506B">
        <w:t xml:space="preserve">next </w:t>
      </w:r>
      <w:r w:rsidR="005B506B" w:rsidRPr="00055E82">
        <w:t>session</w:t>
      </w:r>
      <w:r w:rsidR="005B506B">
        <w:t>s</w:t>
      </w:r>
      <w:r w:rsidR="005B506B" w:rsidRPr="00055E82">
        <w:t xml:space="preserve"> of the Meeting</w:t>
      </w:r>
      <w:r w:rsidR="005B506B">
        <w:t>s</w:t>
      </w:r>
      <w:r w:rsidR="005B506B" w:rsidRPr="00055E82">
        <w:t xml:space="preserve"> of the Parties.</w:t>
      </w:r>
    </w:p>
    <w:p w14:paraId="4182FE17" w14:textId="3F599A14" w:rsidR="004F7C23" w:rsidRDefault="004F7C23" w:rsidP="004E51F8">
      <w:pPr>
        <w:pStyle w:val="SingleTxtG"/>
        <w:ind w:firstLine="567"/>
      </w:pPr>
      <w:r>
        <w:tab/>
        <w:t>(a)</w:t>
      </w:r>
      <w:r>
        <w:tab/>
        <w:t>Lessons learned from the previous sessions</w:t>
      </w:r>
      <w:r w:rsidR="00D96D53">
        <w:t>;</w:t>
      </w:r>
    </w:p>
    <w:p w14:paraId="595A7CD7" w14:textId="6B78BF30" w:rsidR="004F7C23" w:rsidRDefault="004F7C23" w:rsidP="004E51F8">
      <w:pPr>
        <w:pStyle w:val="SingleTxtG"/>
        <w:ind w:firstLine="567"/>
      </w:pPr>
      <w:r>
        <w:tab/>
        <w:t>(b)</w:t>
      </w:r>
      <w:r>
        <w:tab/>
        <w:t>Practical arrangements</w:t>
      </w:r>
      <w:r w:rsidR="00D96D53">
        <w:t>;</w:t>
      </w:r>
      <w:r>
        <w:t xml:space="preserve"> </w:t>
      </w:r>
    </w:p>
    <w:p w14:paraId="7F741EB1" w14:textId="124B910C" w:rsidR="004F7C23" w:rsidRDefault="004F7C23" w:rsidP="004E51F8">
      <w:pPr>
        <w:pStyle w:val="SingleTxtG"/>
        <w:ind w:firstLine="567"/>
      </w:pPr>
      <w:r>
        <w:tab/>
        <w:t>(c)</w:t>
      </w:r>
      <w:r>
        <w:tab/>
        <w:t>Provisional programme</w:t>
      </w:r>
      <w:r w:rsidR="00D96D53">
        <w:t>;</w:t>
      </w:r>
    </w:p>
    <w:p w14:paraId="24CA5D4B" w14:textId="7CBB06A0" w:rsidR="004F7C23" w:rsidRDefault="004F7C23" w:rsidP="004E51F8">
      <w:pPr>
        <w:pStyle w:val="SingleTxtG"/>
        <w:ind w:firstLine="567"/>
      </w:pPr>
      <w:r>
        <w:t>(d)</w:t>
      </w:r>
      <w:r>
        <w:tab/>
        <w:t>List of draft documents and decisions</w:t>
      </w:r>
      <w:r w:rsidR="00D96D53">
        <w:t>;</w:t>
      </w:r>
    </w:p>
    <w:p w14:paraId="0269DCCB" w14:textId="6D145AC2" w:rsidR="004F7C23" w:rsidRDefault="004F7C23" w:rsidP="004E51F8">
      <w:pPr>
        <w:pStyle w:val="SingleTxtG"/>
        <w:ind w:firstLine="567"/>
      </w:pPr>
      <w:r>
        <w:tab/>
        <w:t>(e)</w:t>
      </w:r>
      <w:r>
        <w:tab/>
        <w:t>Chairs of the sessions</w:t>
      </w:r>
      <w:r w:rsidR="00D96D53">
        <w:t>;</w:t>
      </w:r>
    </w:p>
    <w:p w14:paraId="3248035B" w14:textId="40EAA31C" w:rsidR="004F7C23" w:rsidRDefault="004F7C23" w:rsidP="004E51F8">
      <w:pPr>
        <w:pStyle w:val="SingleTxtG"/>
        <w:ind w:firstLine="567"/>
      </w:pPr>
      <w:r>
        <w:t>(f)</w:t>
      </w:r>
      <w:r>
        <w:tab/>
        <w:t>Possible activities for the next draft workplan (2021–2023)</w:t>
      </w:r>
      <w:r w:rsidR="00D96D53">
        <w:t>;</w:t>
      </w:r>
    </w:p>
    <w:p w14:paraId="0FB588F7" w14:textId="777CC904" w:rsidR="004F7C23" w:rsidRDefault="004F7C23" w:rsidP="004E51F8">
      <w:pPr>
        <w:pStyle w:val="SingleTxtG"/>
        <w:ind w:firstLine="567"/>
      </w:pPr>
      <w:r>
        <w:tab/>
        <w:t>(g)</w:t>
      </w:r>
      <w:r>
        <w:tab/>
        <w:t>Tentative sequence of meetings in the next intersessional period</w:t>
      </w:r>
      <w:r w:rsidR="00D96D53">
        <w:t>;</w:t>
      </w:r>
    </w:p>
    <w:p w14:paraId="796FE8C7" w14:textId="50937482" w:rsidR="004F7C23" w:rsidRDefault="004F7C23" w:rsidP="004E51F8">
      <w:pPr>
        <w:pStyle w:val="SingleTxtG"/>
        <w:ind w:firstLine="567"/>
      </w:pPr>
      <w:r>
        <w:tab/>
        <w:t>(h)</w:t>
      </w:r>
      <w:r>
        <w:tab/>
        <w:t>Officers for the next intersessional period</w:t>
      </w:r>
      <w:r w:rsidR="00D96D53">
        <w:t>.</w:t>
      </w:r>
    </w:p>
    <w:bookmarkEnd w:id="4"/>
    <w:p w14:paraId="0DC44253" w14:textId="62273426" w:rsidR="0092677E" w:rsidRPr="00055E82" w:rsidRDefault="002B6ED1" w:rsidP="002B6ED1">
      <w:pPr>
        <w:pStyle w:val="SingleTxtG"/>
      </w:pPr>
      <w:r>
        <w:t>9</w:t>
      </w:r>
      <w:r w:rsidR="005B506B">
        <w:t>.</w:t>
      </w:r>
      <w:r w:rsidR="005B506B">
        <w:tab/>
      </w:r>
      <w:r w:rsidR="0092677E" w:rsidRPr="00055E82">
        <w:t>Inputs to related international processes.</w:t>
      </w:r>
    </w:p>
    <w:p w14:paraId="3D3123EC" w14:textId="008774EB" w:rsidR="00295B60" w:rsidRPr="00055E82" w:rsidRDefault="003F57CF" w:rsidP="00295B60">
      <w:pPr>
        <w:pStyle w:val="SingleTxtG"/>
      </w:pPr>
      <w:r w:rsidRPr="00055E82">
        <w:t>1</w:t>
      </w:r>
      <w:r w:rsidR="002B6ED1">
        <w:t>0</w:t>
      </w:r>
      <w:r w:rsidR="00295B60" w:rsidRPr="00055E82">
        <w:t>.</w:t>
      </w:r>
      <w:r w:rsidR="00295B60" w:rsidRPr="00055E82">
        <w:tab/>
        <w:t>Other business.</w:t>
      </w:r>
    </w:p>
    <w:p w14:paraId="213BF04D" w14:textId="0EEAD109" w:rsidR="00023B01" w:rsidRPr="00055E82" w:rsidRDefault="003F57CF" w:rsidP="00023B01">
      <w:pPr>
        <w:pStyle w:val="SingleTxtG"/>
      </w:pPr>
      <w:r w:rsidRPr="00055E82">
        <w:t>1</w:t>
      </w:r>
      <w:r w:rsidR="002B6ED1">
        <w:t>1</w:t>
      </w:r>
      <w:r w:rsidR="00295B60" w:rsidRPr="00055E82">
        <w:t>.</w:t>
      </w:r>
      <w:r w:rsidR="00295B60" w:rsidRPr="00055E82">
        <w:tab/>
        <w:t xml:space="preserve">Presentation of the main decisions taken and closing of the </w:t>
      </w:r>
      <w:r w:rsidR="00E676BB" w:rsidRPr="00055E82">
        <w:t>meeting</w:t>
      </w:r>
      <w:r w:rsidR="00295B60" w:rsidRPr="00055E82">
        <w:t>.</w:t>
      </w:r>
    </w:p>
    <w:p w14:paraId="137E6C1A" w14:textId="77777777" w:rsidR="00295B60" w:rsidRPr="00055E82" w:rsidRDefault="006A79B2" w:rsidP="00F72670">
      <w:pPr>
        <w:pStyle w:val="HChG"/>
      </w:pPr>
      <w:r w:rsidRPr="00055E82">
        <w:tab/>
      </w:r>
      <w:r w:rsidR="00295B60" w:rsidRPr="00055E82">
        <w:t>II.</w:t>
      </w:r>
      <w:r w:rsidR="00295B60" w:rsidRPr="00055E82">
        <w:tab/>
      </w:r>
      <w:r w:rsidRPr="00055E82">
        <w:t>Annotations to the provisional agenda</w:t>
      </w:r>
      <w:r w:rsidR="004257C1" w:rsidRPr="00055E82">
        <w:t xml:space="preserve"> </w:t>
      </w:r>
    </w:p>
    <w:p w14:paraId="7405E8C6" w14:textId="77777777" w:rsidR="00295B60" w:rsidRPr="00055E82" w:rsidRDefault="0093696E" w:rsidP="005543BD">
      <w:pPr>
        <w:pStyle w:val="H1G"/>
      </w:pPr>
      <w:r w:rsidRPr="00055E82">
        <w:tab/>
      </w:r>
      <w:r w:rsidR="00BF3F26" w:rsidRPr="00055E82">
        <w:t>1</w:t>
      </w:r>
      <w:r w:rsidR="0057655D" w:rsidRPr="00055E82">
        <w:t>.</w:t>
      </w:r>
      <w:r w:rsidR="005543BD" w:rsidRPr="00055E82">
        <w:tab/>
      </w:r>
      <w:r w:rsidR="00295B60" w:rsidRPr="00055E82">
        <w:t>Adoption of the agenda</w:t>
      </w:r>
    </w:p>
    <w:p w14:paraId="21BFF123" w14:textId="69BFE1BA" w:rsidR="004257C1" w:rsidRPr="00055E82" w:rsidRDefault="002F41A2" w:rsidP="007A4A52">
      <w:pPr>
        <w:pStyle w:val="H4G"/>
      </w:pPr>
      <w:r w:rsidRPr="00055E82">
        <w:tab/>
      </w:r>
      <w:r w:rsidRPr="00055E82">
        <w:tab/>
      </w:r>
      <w:r w:rsidR="004257C1" w:rsidRPr="00055E82">
        <w:t xml:space="preserve">Tentative timing: </w:t>
      </w:r>
      <w:bookmarkStart w:id="5" w:name="_Hlk502853972"/>
      <w:r w:rsidR="003E63C8">
        <w:t>Tuesday</w:t>
      </w:r>
      <w:r w:rsidRPr="00055E82">
        <w:t>, 2</w:t>
      </w:r>
      <w:r w:rsidR="003E63C8">
        <w:t>6</w:t>
      </w:r>
      <w:r w:rsidRPr="00055E82">
        <w:t xml:space="preserve"> </w:t>
      </w:r>
      <w:bookmarkEnd w:id="5"/>
      <w:r w:rsidR="003E63C8">
        <w:t>November</w:t>
      </w:r>
      <w:r w:rsidRPr="00055E82">
        <w:t xml:space="preserve">, </w:t>
      </w:r>
      <w:r w:rsidR="004257C1" w:rsidRPr="00055E82">
        <w:t>10</w:t>
      </w:r>
      <w:r w:rsidR="000F7D07" w:rsidRPr="00055E82">
        <w:t>–10.</w:t>
      </w:r>
      <w:r w:rsidR="00BF3F26" w:rsidRPr="00055E82">
        <w:t>15</w:t>
      </w:r>
      <w:r w:rsidR="004257C1" w:rsidRPr="00055E82">
        <w:t xml:space="preserve"> a.m.</w:t>
      </w:r>
    </w:p>
    <w:p w14:paraId="5B929345" w14:textId="6D774904" w:rsidR="00767BC5" w:rsidRPr="006C507F" w:rsidRDefault="00E7246D" w:rsidP="00F32153">
      <w:pPr>
        <w:pStyle w:val="SingleTxtG"/>
      </w:pPr>
      <w:r>
        <w:t>1.</w:t>
      </w:r>
      <w:r>
        <w:tab/>
      </w:r>
      <w:r w:rsidR="00985A77" w:rsidRPr="008A34C4">
        <w:t>The Chair of the Working Group on Environmental Impact Assessment and Strategic Environmental Assessment under the Convention on Environmental Impact Assessment in a Transboundary Context (Espoo Convention) and its Protocol on Strategic Environmental Assessment will invite the Working Group</w:t>
      </w:r>
      <w:r w:rsidR="00642AD5">
        <w:t xml:space="preserve"> to adopt the agenda for its </w:t>
      </w:r>
      <w:r w:rsidR="00C7533E">
        <w:t>eighth</w:t>
      </w:r>
      <w:r w:rsidR="00985A77" w:rsidRPr="008A34C4">
        <w:t xml:space="preserve"> meeting, as set </w:t>
      </w:r>
      <w:r w:rsidR="00985A77" w:rsidRPr="008A34C4">
        <w:lastRenderedPageBreak/>
        <w:t xml:space="preserve">out in the present document. The provisional agenda was prepared by the secretariat in </w:t>
      </w:r>
      <w:r w:rsidR="00642AD5">
        <w:t xml:space="preserve">agreement </w:t>
      </w:r>
      <w:r w:rsidR="00985A77" w:rsidRPr="008A34C4">
        <w:t>with the Bureau of the Meetings of the Parties to the two treaties.</w:t>
      </w:r>
      <w:r w:rsidR="00985A77" w:rsidRPr="008A34C4">
        <w:rPr>
          <w:rStyle w:val="FootnoteReference"/>
        </w:rPr>
        <w:footnoteReference w:id="3"/>
      </w:r>
    </w:p>
    <w:p w14:paraId="2128A9D1" w14:textId="747EF4C2" w:rsidR="00533BFD" w:rsidRPr="00546522" w:rsidRDefault="00533BFD" w:rsidP="00533BFD">
      <w:pPr>
        <w:pStyle w:val="H23G"/>
      </w:pPr>
      <w:r>
        <w:tab/>
      </w:r>
      <w:r>
        <w:tab/>
      </w:r>
      <w:r w:rsidRPr="00546522">
        <w:t>Documentation</w:t>
      </w:r>
    </w:p>
    <w:p w14:paraId="3007720C" w14:textId="71DE9AB3" w:rsidR="00533BFD" w:rsidRPr="00546522" w:rsidRDefault="00533BFD" w:rsidP="00533BFD">
      <w:pPr>
        <w:pStyle w:val="SingleTxtG"/>
      </w:pPr>
      <w:r w:rsidRPr="00546522">
        <w:t>Annotate</w:t>
      </w:r>
      <w:r>
        <w:t xml:space="preserve">d provisional agenda for the </w:t>
      </w:r>
      <w:r w:rsidR="00C918A1">
        <w:t>eighth</w:t>
      </w:r>
      <w:r w:rsidRPr="00546522">
        <w:t xml:space="preserve"> meeting (</w:t>
      </w:r>
      <w:r>
        <w:t>ECE/MP.EIA/WG.2/201</w:t>
      </w:r>
      <w:r w:rsidR="008C0FA0">
        <w:t>9</w:t>
      </w:r>
      <w:r>
        <w:t>/1</w:t>
      </w:r>
      <w:r w:rsidRPr="00546522">
        <w:t>)</w:t>
      </w:r>
    </w:p>
    <w:p w14:paraId="37188754" w14:textId="734DEB69" w:rsidR="00067541" w:rsidRPr="00057681" w:rsidRDefault="00067541" w:rsidP="00057681">
      <w:pPr>
        <w:pStyle w:val="H4G"/>
        <w:rPr>
          <w:iCs/>
        </w:rPr>
      </w:pPr>
      <w:bookmarkStart w:id="6" w:name="_Hlk502918450"/>
      <w:r>
        <w:tab/>
      </w:r>
      <w:r>
        <w:tab/>
      </w:r>
      <w:r w:rsidRPr="00057681">
        <w:rPr>
          <w:iCs/>
        </w:rPr>
        <w:t>Informal document</w:t>
      </w:r>
    </w:p>
    <w:p w14:paraId="28AEF5E6" w14:textId="2E0FC58F" w:rsidR="00533BFD" w:rsidRPr="00546522" w:rsidRDefault="00533BFD" w:rsidP="00533BFD">
      <w:pPr>
        <w:pStyle w:val="SingleTxtG"/>
      </w:pPr>
      <w:r w:rsidRPr="00546522">
        <w:t xml:space="preserve">Informal notes on </w:t>
      </w:r>
      <w:r>
        <w:t>the agenda (</w:t>
      </w:r>
      <w:r w:rsidRPr="00067541">
        <w:t>ECE/MP.EIA/WG.2/201</w:t>
      </w:r>
      <w:r w:rsidR="008C0FA0">
        <w:t>9</w:t>
      </w:r>
      <w:r w:rsidRPr="00067541">
        <w:t>/INF.1</w:t>
      </w:r>
      <w:r w:rsidRPr="00546522">
        <w:t>)</w:t>
      </w:r>
    </w:p>
    <w:bookmarkEnd w:id="6"/>
    <w:p w14:paraId="044ECC7D" w14:textId="77777777" w:rsidR="00A61519" w:rsidRPr="00055E82" w:rsidRDefault="003F57CF" w:rsidP="00A61519">
      <w:pPr>
        <w:pStyle w:val="H1G"/>
      </w:pPr>
      <w:r w:rsidRPr="00055E82">
        <w:tab/>
      </w:r>
      <w:r w:rsidR="00BF3F26" w:rsidRPr="00055E82">
        <w:t>2</w:t>
      </w:r>
      <w:r w:rsidRPr="00055E82">
        <w:t>.</w:t>
      </w:r>
      <w:r w:rsidRPr="00055E82">
        <w:tab/>
      </w:r>
      <w:r w:rsidR="00A61519" w:rsidRPr="00055E82">
        <w:t>Budget, financial arrangements and financial assistance</w:t>
      </w:r>
    </w:p>
    <w:p w14:paraId="5E079693" w14:textId="3636A886" w:rsidR="00A61519" w:rsidRDefault="00A61519" w:rsidP="00A61519">
      <w:pPr>
        <w:pStyle w:val="H4G"/>
      </w:pPr>
      <w:r w:rsidRPr="00055E82">
        <w:tab/>
      </w:r>
      <w:r w:rsidRPr="00055E82">
        <w:tab/>
      </w:r>
      <w:r w:rsidRPr="00F706C0">
        <w:t xml:space="preserve">Tentative timing: </w:t>
      </w:r>
      <w:r>
        <w:t>Tuesday</w:t>
      </w:r>
      <w:r w:rsidRPr="00F706C0">
        <w:t>, 2</w:t>
      </w:r>
      <w:r>
        <w:t>6</w:t>
      </w:r>
      <w:r w:rsidRPr="00F706C0">
        <w:t xml:space="preserve"> November, </w:t>
      </w:r>
      <w:r>
        <w:t>10.15</w:t>
      </w:r>
      <w:r w:rsidRPr="00F706C0">
        <w:t>–</w:t>
      </w:r>
      <w:r>
        <w:t>11.</w:t>
      </w:r>
      <w:r w:rsidR="0001246C">
        <w:t>30</w:t>
      </w:r>
      <w:r w:rsidRPr="00F706C0">
        <w:t xml:space="preserve"> </w:t>
      </w:r>
      <w:r w:rsidR="0098089D">
        <w:t>a</w:t>
      </w:r>
      <w:r w:rsidRPr="00F706C0">
        <w:t xml:space="preserve">.m. </w:t>
      </w:r>
    </w:p>
    <w:p w14:paraId="642863F6" w14:textId="69EBF564" w:rsidR="00A61519" w:rsidRPr="00472C96" w:rsidRDefault="00A61519" w:rsidP="00A61519">
      <w:pPr>
        <w:spacing w:after="120"/>
        <w:ind w:left="1134" w:right="1134"/>
        <w:jc w:val="both"/>
      </w:pPr>
      <w:r>
        <w:t>2.</w:t>
      </w:r>
      <w:r>
        <w:tab/>
        <w:t xml:space="preserve">The secretariat will present the second annual financial report in the period between </w:t>
      </w:r>
      <w:r w:rsidR="005D6D5E">
        <w:t xml:space="preserve">the </w:t>
      </w:r>
      <w:r>
        <w:t xml:space="preserve">seventh/third and eighth/fourth sessions of the Meeting of the Parties to the Convention/Protocol </w:t>
      </w:r>
      <w:r w:rsidR="00DF45FE">
        <w:t>(</w:t>
      </w:r>
      <w:r>
        <w:t>period extending from 1 July 2017 to 30 June 2019</w:t>
      </w:r>
      <w:r w:rsidR="00DF45FE">
        <w:t>)</w:t>
      </w:r>
      <w:r>
        <w:t xml:space="preserve">. The </w:t>
      </w:r>
      <w:r w:rsidRPr="00472C96">
        <w:t xml:space="preserve">secretariat will also </w:t>
      </w:r>
      <w:r>
        <w:t xml:space="preserve">report </w:t>
      </w:r>
      <w:r w:rsidRPr="00472C96">
        <w:t xml:space="preserve">on recently received contributions to, and on expenditure from, </w:t>
      </w:r>
      <w:bookmarkStart w:id="7" w:name="_Hlk17970056"/>
      <w:r w:rsidRPr="00472C96">
        <w:t xml:space="preserve">the Convention’s and </w:t>
      </w:r>
      <w:r w:rsidR="00E4574B">
        <w:t xml:space="preserve">the </w:t>
      </w:r>
      <w:r w:rsidRPr="00472C96">
        <w:t>Protocol’s trust fund</w:t>
      </w:r>
      <w:r>
        <w:t>.</w:t>
      </w:r>
      <w:r w:rsidRPr="00D96D53">
        <w:t xml:space="preserve"> </w:t>
      </w:r>
    </w:p>
    <w:bookmarkEnd w:id="7"/>
    <w:p w14:paraId="7C8FB70B" w14:textId="4B40EE89" w:rsidR="00A61519" w:rsidRPr="00472C96" w:rsidRDefault="00A61519" w:rsidP="00A61519">
      <w:pPr>
        <w:pStyle w:val="SingleTxtG"/>
      </w:pPr>
      <w:r>
        <w:t>3.</w:t>
      </w:r>
      <w:r>
        <w:tab/>
      </w:r>
      <w:r w:rsidRPr="00472C96">
        <w:t>As mandated by the Meetings of the Parties at their intermediary sessions</w:t>
      </w:r>
      <w:r w:rsidR="00E4574B">
        <w:t xml:space="preserve"> (</w:t>
      </w:r>
      <w:r w:rsidR="00692294" w:rsidRPr="00692294">
        <w:t>ECE/MP.EIA/27−ECE/MP.EIA/SEA/11</w:t>
      </w:r>
      <w:r w:rsidR="00692294">
        <w:t>, para. 54</w:t>
      </w:r>
      <w:r w:rsidR="00E4574B">
        <w:t>)</w:t>
      </w:r>
      <w:r w:rsidRPr="00472C96">
        <w:t xml:space="preserve">, the Bureau, in consultation with the secretariat, </w:t>
      </w:r>
      <w:r>
        <w:t xml:space="preserve">has </w:t>
      </w:r>
      <w:r w:rsidRPr="00472C96">
        <w:t>put forward proposal</w:t>
      </w:r>
      <w:r>
        <w:t>s</w:t>
      </w:r>
      <w:r w:rsidR="00DF45FE">
        <w:t xml:space="preserve"> –</w:t>
      </w:r>
      <w:r w:rsidRPr="00472C96">
        <w:t xml:space="preserve"> </w:t>
      </w:r>
      <w:r w:rsidR="00DF45FE">
        <w:t xml:space="preserve">which </w:t>
      </w:r>
      <w:r>
        <w:t xml:space="preserve">the Chair will present </w:t>
      </w:r>
      <w:r w:rsidRPr="00472C96">
        <w:t>for approval by the Working Group</w:t>
      </w:r>
      <w:r w:rsidR="00DF45FE">
        <w:t xml:space="preserve"> –</w:t>
      </w:r>
      <w:r w:rsidRPr="00472C96">
        <w:t xml:space="preserve"> on how to fill the budgetary hole and ensure the functioning of the secretariat during the intersessional period that was extended until December 2020 (the budget adopted through decision VII/4-III/4 </w:t>
      </w:r>
      <w:r w:rsidR="00DF45FE">
        <w:t xml:space="preserve">(see </w:t>
      </w:r>
      <w:r w:rsidR="00DF45FE" w:rsidRPr="00DF45FE">
        <w:t>ECE/MP.EIA/23/Add.1−ECE/MP.EIA/SEA/7/Add.1</w:t>
      </w:r>
      <w:r w:rsidR="00DF45FE">
        <w:t xml:space="preserve">) </w:t>
      </w:r>
      <w:r w:rsidRPr="00472C96">
        <w:t xml:space="preserve">in June 2017 covers only three years). </w:t>
      </w:r>
      <w:r>
        <w:t>The Chair will also present proposals from the Bureau for addressing the general</w:t>
      </w:r>
      <w:r w:rsidR="009E2F34">
        <w:t xml:space="preserve"> and</w:t>
      </w:r>
      <w:r>
        <w:t xml:space="preserve"> long</w:t>
      </w:r>
      <w:r w:rsidR="009E2F34">
        <w:t>-</w:t>
      </w:r>
      <w:r>
        <w:t xml:space="preserve">standing shortage of contributions to the trust fund </w:t>
      </w:r>
      <w:r w:rsidR="004A3621">
        <w:t xml:space="preserve">under </w:t>
      </w:r>
      <w:r>
        <w:t>the Convention and the Protocol that puts at risk the servicing of the two treaties. The Bureau’s proposals include the following:</w:t>
      </w:r>
    </w:p>
    <w:p w14:paraId="306E29AB" w14:textId="7C04AD8C" w:rsidR="00A61519" w:rsidRDefault="00A61519" w:rsidP="00A61519">
      <w:pPr>
        <w:pStyle w:val="SingleTxtG"/>
        <w:ind w:firstLine="567"/>
      </w:pPr>
      <w:r>
        <w:t>(a)</w:t>
      </w:r>
      <w:r>
        <w:tab/>
        <w:t>Urging those Parties</w:t>
      </w:r>
      <w:r w:rsidRPr="00A91310">
        <w:t xml:space="preserve"> that have so far not </w:t>
      </w:r>
      <w:r>
        <w:t xml:space="preserve">contributed to do so; </w:t>
      </w:r>
    </w:p>
    <w:p w14:paraId="0D414497" w14:textId="77777777" w:rsidR="00A61519" w:rsidRDefault="00A61519" w:rsidP="00A61519">
      <w:pPr>
        <w:pStyle w:val="SingleTxtG"/>
        <w:ind w:firstLine="567"/>
      </w:pPr>
      <w:r>
        <w:t>(b)</w:t>
      </w:r>
      <w:r>
        <w:tab/>
      </w:r>
      <w:r w:rsidRPr="00A91310">
        <w:t xml:space="preserve"> </w:t>
      </w:r>
      <w:r>
        <w:t xml:space="preserve">Encouraging all </w:t>
      </w:r>
      <w:r w:rsidRPr="00A91310">
        <w:t>Parties</w:t>
      </w:r>
      <w:r w:rsidRPr="00830EFA">
        <w:t xml:space="preserve"> </w:t>
      </w:r>
      <w:r w:rsidRPr="00A91310">
        <w:t>to raise their contributions during the current and future budget cycles</w:t>
      </w:r>
      <w:r>
        <w:t>;</w:t>
      </w:r>
    </w:p>
    <w:p w14:paraId="1BF10290" w14:textId="053C8F1B" w:rsidR="00A61519" w:rsidRDefault="00A61519" w:rsidP="004A3621">
      <w:pPr>
        <w:pStyle w:val="SingleTxtG"/>
        <w:ind w:firstLine="567"/>
      </w:pPr>
      <w:r>
        <w:t>(c)</w:t>
      </w:r>
      <w:r>
        <w:tab/>
        <w:t xml:space="preserve"> Inviting Parties to again consider adopting </w:t>
      </w:r>
      <w:r w:rsidR="00525BF4">
        <w:t xml:space="preserve">various </w:t>
      </w:r>
      <w:r>
        <w:t xml:space="preserve">measures for a more sustainable, predictable and </w:t>
      </w:r>
      <w:r w:rsidR="00EB661F">
        <w:t xml:space="preserve">equitable </w:t>
      </w:r>
      <w:r>
        <w:t>funding for the Convention and its Protocol, including</w:t>
      </w:r>
      <w:r w:rsidR="00DF45FE">
        <w:t>:</w:t>
      </w:r>
      <w:r>
        <w:t xml:space="preserve"> a scheme </w:t>
      </w:r>
      <w:r w:rsidR="00814E51" w:rsidRPr="00417777">
        <w:t>based on</w:t>
      </w:r>
      <w:r w:rsidRPr="00417777">
        <w:t xml:space="preserve"> a </w:t>
      </w:r>
      <w:r w:rsidR="00FC6830" w:rsidRPr="00417777">
        <w:t>gross domestic product</w:t>
      </w:r>
      <w:r w:rsidR="00525BF4" w:rsidRPr="00C607F7">
        <w:t xml:space="preserve"> per </w:t>
      </w:r>
      <w:r w:rsidR="004A3621" w:rsidRPr="00417777">
        <w:t>capita-based</w:t>
      </w:r>
      <w:r w:rsidRPr="00417777">
        <w:t xml:space="preserve"> scale </w:t>
      </w:r>
      <w:r w:rsidR="00814E51" w:rsidRPr="00417777">
        <w:t>of assessment</w:t>
      </w:r>
      <w:r>
        <w:t>; fixing indicative minimum amounts of contributions</w:t>
      </w:r>
      <w:r w:rsidR="00EB661F">
        <w:t xml:space="preserve">; </w:t>
      </w:r>
      <w:r>
        <w:t xml:space="preserve">and/or </w:t>
      </w:r>
      <w:r w:rsidR="004A3621">
        <w:t>a mandatory</w:t>
      </w:r>
      <w:r>
        <w:t xml:space="preserve"> scheme of contribution</w:t>
      </w:r>
      <w:r w:rsidR="008572FE">
        <w:t>.</w:t>
      </w:r>
      <w:r>
        <w:t xml:space="preserve">    </w:t>
      </w:r>
    </w:p>
    <w:p w14:paraId="07FC2083" w14:textId="4568E81F" w:rsidR="00A61519" w:rsidRDefault="00A61519" w:rsidP="00A61519">
      <w:pPr>
        <w:pStyle w:val="SingleTxtG"/>
      </w:pPr>
      <w:r>
        <w:t>4.</w:t>
      </w:r>
      <w:r>
        <w:tab/>
      </w:r>
      <w:r w:rsidRPr="00472C96">
        <w:t>T</w:t>
      </w:r>
      <w:r>
        <w:t xml:space="preserve">he Working Group is invited to consider the Bureau’s proposals set out in </w:t>
      </w:r>
      <w:r w:rsidR="00814E51">
        <w:t xml:space="preserve">an </w:t>
      </w:r>
      <w:r>
        <w:t xml:space="preserve">informal document and </w:t>
      </w:r>
      <w:r w:rsidR="00C821E6">
        <w:t xml:space="preserve">to </w:t>
      </w:r>
      <w:r>
        <w:t xml:space="preserve">agree on: </w:t>
      </w:r>
    </w:p>
    <w:p w14:paraId="6E77FF07" w14:textId="6E36A6E3" w:rsidR="00A61519" w:rsidRDefault="00A61519" w:rsidP="00A61519">
      <w:pPr>
        <w:pStyle w:val="SingleTxtG"/>
        <w:ind w:firstLine="567"/>
      </w:pPr>
      <w:r>
        <w:t>(a)</w:t>
      </w:r>
      <w:r>
        <w:tab/>
        <w:t xml:space="preserve">How to cover the costs of </w:t>
      </w:r>
      <w:r w:rsidR="00EB661F">
        <w:t xml:space="preserve">one </w:t>
      </w:r>
      <w:r>
        <w:t>secretariat staff member, and any other expenses in the second half of 2020;</w:t>
      </w:r>
    </w:p>
    <w:p w14:paraId="0628AE64" w14:textId="07F77FF8" w:rsidR="00A61519" w:rsidRDefault="00A61519" w:rsidP="00A61519">
      <w:pPr>
        <w:pStyle w:val="SingleTxtG"/>
        <w:ind w:firstLine="567"/>
      </w:pPr>
      <w:r>
        <w:t>(b)</w:t>
      </w:r>
      <w:r>
        <w:tab/>
      </w:r>
      <w:r w:rsidR="00EB661F">
        <w:t>Proposed m</w:t>
      </w:r>
      <w:r>
        <w:t xml:space="preserve">easures for </w:t>
      </w:r>
      <w:r w:rsidR="00EB661F">
        <w:t xml:space="preserve">a </w:t>
      </w:r>
      <w:r>
        <w:t xml:space="preserve">more sustainable and equitably distributed funding of the two </w:t>
      </w:r>
      <w:r w:rsidR="009E2F34">
        <w:t>t</w:t>
      </w:r>
      <w:r>
        <w:t>reaties</w:t>
      </w:r>
      <w:r w:rsidR="00EB661F">
        <w:t xml:space="preserve"> during future budget cycles, to be submitted for adoption by the Meetings of the Parties at their next sessions (preliminarily scheduled for 8</w:t>
      </w:r>
      <w:r w:rsidR="0098089D">
        <w:t>–</w:t>
      </w:r>
      <w:r w:rsidR="00EB661F">
        <w:t>11 December 2019)</w:t>
      </w:r>
      <w:r>
        <w:t>.</w:t>
      </w:r>
    </w:p>
    <w:p w14:paraId="193587C2" w14:textId="3B8A7B6C" w:rsidR="00A61519" w:rsidRPr="00546522" w:rsidRDefault="00A61519" w:rsidP="00C607F7">
      <w:pPr>
        <w:pStyle w:val="SingleTxtG"/>
        <w:ind w:left="567" w:firstLine="567"/>
        <w:rPr>
          <w:b/>
        </w:rPr>
      </w:pPr>
      <w:bookmarkStart w:id="8" w:name="_Hlk502943764"/>
      <w:r w:rsidRPr="00546522">
        <w:rPr>
          <w:b/>
        </w:rPr>
        <w:lastRenderedPageBreak/>
        <w:t>Documentation</w:t>
      </w:r>
    </w:p>
    <w:bookmarkEnd w:id="8"/>
    <w:p w14:paraId="35A5D7C6" w14:textId="77777777" w:rsidR="00A61519" w:rsidRDefault="00A61519" w:rsidP="00A61519">
      <w:pPr>
        <w:pStyle w:val="H4G"/>
      </w:pPr>
      <w:r>
        <w:tab/>
      </w:r>
      <w:r>
        <w:tab/>
        <w:t>Informal documents</w:t>
      </w:r>
    </w:p>
    <w:p w14:paraId="3653868B" w14:textId="23261588" w:rsidR="00A61519" w:rsidRPr="00472C96" w:rsidRDefault="00A61519" w:rsidP="00A61519">
      <w:pPr>
        <w:pStyle w:val="SingleTxtG"/>
      </w:pPr>
      <w:bookmarkStart w:id="9" w:name="_Hlk13496013"/>
      <w:r w:rsidRPr="00472C96">
        <w:t xml:space="preserve">Bureau’s proposals on the financing of the Convention and the Protocol </w:t>
      </w:r>
      <w:bookmarkStart w:id="10" w:name="_Hlk17970081"/>
      <w:r w:rsidRPr="00472C96">
        <w:t>(ECE/MP.EIA/WG.2/2019/INF.</w:t>
      </w:r>
      <w:r w:rsidR="00943E50">
        <w:t>2</w:t>
      </w:r>
      <w:r w:rsidRPr="00472C96">
        <w:t>)</w:t>
      </w:r>
    </w:p>
    <w:bookmarkEnd w:id="9"/>
    <w:bookmarkEnd w:id="10"/>
    <w:p w14:paraId="3D5D6481" w14:textId="469EDB71" w:rsidR="00A61519" w:rsidRDefault="00A61519" w:rsidP="00A61519">
      <w:pPr>
        <w:pStyle w:val="SingleTxtG"/>
      </w:pPr>
      <w:r w:rsidRPr="00472C96">
        <w:t>S</w:t>
      </w:r>
      <w:r w:rsidRPr="00631CBF">
        <w:t>econd annual financial report in the period between seventh/third and eighth/fourth sessions of the Meeting of the Parties to the Convention/Protocol: period to 30 June 201</w:t>
      </w:r>
      <w:r w:rsidRPr="00472C96">
        <w:t>9</w:t>
      </w:r>
      <w:r w:rsidRPr="00631CBF">
        <w:t xml:space="preserve"> </w:t>
      </w:r>
    </w:p>
    <w:p w14:paraId="7F518A6C" w14:textId="5E98631F" w:rsidR="0039517E" w:rsidRPr="00472C96" w:rsidRDefault="0039517E" w:rsidP="0039517E">
      <w:pPr>
        <w:pStyle w:val="SingleTxtG"/>
      </w:pPr>
      <w:bookmarkStart w:id="11" w:name="_Hlk17973811"/>
      <w:r>
        <w:t xml:space="preserve">Recent contributions to </w:t>
      </w:r>
      <w:r w:rsidRPr="00472C96">
        <w:t xml:space="preserve">the Convention’s and </w:t>
      </w:r>
      <w:r>
        <w:t xml:space="preserve">the </w:t>
      </w:r>
      <w:r w:rsidRPr="00472C96">
        <w:t xml:space="preserve">Protocol’s trust </w:t>
      </w:r>
      <w:r w:rsidR="00C16967" w:rsidRPr="00472C96">
        <w:t>fund</w:t>
      </w:r>
      <w:r w:rsidR="00C16967">
        <w:t xml:space="preserve"> </w:t>
      </w:r>
      <w:r w:rsidR="00C16967" w:rsidRPr="00D96D53">
        <w:t>(</w:t>
      </w:r>
      <w:r w:rsidRPr="00472C96">
        <w:t>ECE/MP.EIA/WG.2/2019/INF.</w:t>
      </w:r>
      <w:r w:rsidR="00C16967">
        <w:t>14</w:t>
      </w:r>
      <w:r w:rsidRPr="00472C96">
        <w:t>)</w:t>
      </w:r>
    </w:p>
    <w:bookmarkEnd w:id="11"/>
    <w:p w14:paraId="5B1C5397" w14:textId="772682F0" w:rsidR="004D1042" w:rsidRPr="00055E82" w:rsidRDefault="00A61519" w:rsidP="00A61519">
      <w:pPr>
        <w:pStyle w:val="H1G"/>
        <w:ind w:hanging="567"/>
      </w:pPr>
      <w:r>
        <w:t>3.</w:t>
      </w:r>
      <w:r>
        <w:tab/>
      </w:r>
      <w:r>
        <w:tab/>
      </w:r>
      <w:r w:rsidR="004D1042" w:rsidRPr="00055E82">
        <w:t xml:space="preserve">Status of ratification </w:t>
      </w:r>
    </w:p>
    <w:p w14:paraId="68BFBC4B" w14:textId="7D6E5208" w:rsidR="007418D5" w:rsidRPr="00055E82" w:rsidRDefault="002F41A2" w:rsidP="007A4A52">
      <w:pPr>
        <w:pStyle w:val="H4G"/>
      </w:pPr>
      <w:r w:rsidRPr="00055E82">
        <w:tab/>
      </w:r>
      <w:r w:rsidRPr="00055E82">
        <w:tab/>
      </w:r>
      <w:r w:rsidR="007418D5" w:rsidRPr="00055E82">
        <w:t>Tentative timing</w:t>
      </w:r>
      <w:r w:rsidR="006F2719" w:rsidRPr="00055E82">
        <w:t xml:space="preserve">: </w:t>
      </w:r>
      <w:r w:rsidR="008C0FA0">
        <w:t>Tuesday</w:t>
      </w:r>
      <w:r w:rsidR="00960C88" w:rsidRPr="00960C88">
        <w:t>, 2</w:t>
      </w:r>
      <w:r w:rsidR="008C0FA0">
        <w:t>6</w:t>
      </w:r>
      <w:r w:rsidR="00960C88" w:rsidRPr="00960C88">
        <w:t xml:space="preserve"> </w:t>
      </w:r>
      <w:r w:rsidR="008C0FA0">
        <w:t>November</w:t>
      </w:r>
      <w:r w:rsidR="00624C6C" w:rsidRPr="00055E82">
        <w:t xml:space="preserve">, </w:t>
      </w:r>
      <w:r w:rsidR="006F2719" w:rsidRPr="00055E82">
        <w:t>1</w:t>
      </w:r>
      <w:r w:rsidR="00A61519">
        <w:t>1</w:t>
      </w:r>
      <w:r w:rsidR="003757BE" w:rsidRPr="00055E82">
        <w:t>.</w:t>
      </w:r>
      <w:r w:rsidR="00B8189C">
        <w:t>30</w:t>
      </w:r>
      <w:r w:rsidR="00A61519">
        <w:t xml:space="preserve"> a.m.</w:t>
      </w:r>
      <w:r w:rsidR="00A86A8B" w:rsidRPr="00055E82">
        <w:t>–</w:t>
      </w:r>
      <w:r w:rsidR="00C173AB">
        <w:t>1</w:t>
      </w:r>
      <w:r w:rsidR="00A61519">
        <w:t>2</w:t>
      </w:r>
      <w:r w:rsidR="00BB2EA5" w:rsidRPr="00055E82">
        <w:t xml:space="preserve"> </w:t>
      </w:r>
      <w:r w:rsidR="00A61519">
        <w:t>p</w:t>
      </w:r>
      <w:r w:rsidR="00BB2EA5" w:rsidRPr="00055E82">
        <w:t>.m</w:t>
      </w:r>
      <w:r w:rsidR="003757BE" w:rsidRPr="00055E82">
        <w:t>.</w:t>
      </w:r>
    </w:p>
    <w:p w14:paraId="1EA76D6D" w14:textId="7175A5D3" w:rsidR="004D1042" w:rsidRPr="006C507F" w:rsidRDefault="00A61519" w:rsidP="00F32153">
      <w:pPr>
        <w:pStyle w:val="SingleTxtG"/>
      </w:pPr>
      <w:r>
        <w:t>5</w:t>
      </w:r>
      <w:r w:rsidR="00F32153">
        <w:t>.</w:t>
      </w:r>
      <w:r w:rsidR="00F32153">
        <w:tab/>
      </w:r>
      <w:r w:rsidR="004D1042" w:rsidRPr="006C507F">
        <w:t xml:space="preserve">The secretariat will report on the status of the </w:t>
      </w:r>
      <w:r w:rsidR="00023B01" w:rsidRPr="006C507F">
        <w:t>Convention and its two amendments</w:t>
      </w:r>
      <w:r w:rsidR="00426C61" w:rsidRPr="006C507F">
        <w:t xml:space="preserve">. </w:t>
      </w:r>
      <w:r w:rsidR="004D1042" w:rsidRPr="006C507F">
        <w:t>Delegations will be invited to report on planned ratifications.</w:t>
      </w:r>
      <w:r w:rsidR="008639FF" w:rsidRPr="006C507F">
        <w:t xml:space="preserve"> </w:t>
      </w:r>
      <w:r w:rsidR="00023B01" w:rsidRPr="006C507F">
        <w:t xml:space="preserve">The Chair will invite each Party to the Convention that has not </w:t>
      </w:r>
      <w:r w:rsidR="00BC37FB" w:rsidRPr="006C507F">
        <w:t xml:space="preserve">yet </w:t>
      </w:r>
      <w:r w:rsidR="00023B01" w:rsidRPr="006C507F">
        <w:t>ratified the two amendments to report on its preparations for ratification</w:t>
      </w:r>
      <w:r w:rsidR="000F7D07" w:rsidRPr="006C507F">
        <w:t>.</w:t>
      </w:r>
      <w:r w:rsidR="00A91C5B" w:rsidRPr="006C507F">
        <w:t xml:space="preserve"> In particular,</w:t>
      </w:r>
      <w:r w:rsidR="00FD336B" w:rsidRPr="006C507F">
        <w:t xml:space="preserve"> </w:t>
      </w:r>
      <w:r w:rsidR="00FD336B" w:rsidRPr="00F22C3D">
        <w:t>fu</w:t>
      </w:r>
      <w:r w:rsidR="00730699" w:rsidRPr="00F22C3D">
        <w:t>rther to the appeal</w:t>
      </w:r>
      <w:r w:rsidR="00FD336B" w:rsidRPr="00F22C3D">
        <w:t xml:space="preserve"> </w:t>
      </w:r>
      <w:r w:rsidR="00946FB6" w:rsidRPr="00F22C3D">
        <w:t>made</w:t>
      </w:r>
      <w:r w:rsidR="00946FB6">
        <w:t xml:space="preserve"> by </w:t>
      </w:r>
      <w:r w:rsidR="00FD336B" w:rsidRPr="006C507F">
        <w:t xml:space="preserve">the Meeting of the Parties to the Convention at its </w:t>
      </w:r>
      <w:r w:rsidR="008C0FA0">
        <w:t>intermediary</w:t>
      </w:r>
      <w:r w:rsidR="00FD336B" w:rsidRPr="006C507F">
        <w:t xml:space="preserve"> session (</w:t>
      </w:r>
      <w:r w:rsidR="008C0FA0">
        <w:t>Geneva</w:t>
      </w:r>
      <w:r w:rsidR="00FD336B" w:rsidRPr="006C507F">
        <w:t xml:space="preserve">, </w:t>
      </w:r>
      <w:r w:rsidR="008C0FA0">
        <w:t>5</w:t>
      </w:r>
      <w:r w:rsidR="00451BEC" w:rsidRPr="006C507F">
        <w:t>–</w:t>
      </w:r>
      <w:r w:rsidR="008C0FA0">
        <w:t>7</w:t>
      </w:r>
      <w:r w:rsidR="00FD336B" w:rsidRPr="006C507F">
        <w:t xml:space="preserve"> </w:t>
      </w:r>
      <w:r w:rsidR="008C0FA0">
        <w:t>February</w:t>
      </w:r>
      <w:r w:rsidR="00FD336B" w:rsidRPr="006C507F">
        <w:t xml:space="preserve"> 201</w:t>
      </w:r>
      <w:r w:rsidR="008C0FA0">
        <w:t>9</w:t>
      </w:r>
      <w:r w:rsidR="00730699" w:rsidRPr="006C507F">
        <w:t>)</w:t>
      </w:r>
      <w:r w:rsidR="00FD336B" w:rsidRPr="006C507F">
        <w:t xml:space="preserve">, </w:t>
      </w:r>
      <w:r w:rsidR="002160FA">
        <w:t xml:space="preserve">the </w:t>
      </w:r>
      <w:r w:rsidR="00A91C5B" w:rsidRPr="006C507F">
        <w:t xml:space="preserve">delegations of </w:t>
      </w:r>
      <w:r w:rsidR="00887087" w:rsidRPr="006C507F">
        <w:t xml:space="preserve">Armenia, Azerbaijan, Belgium, </w:t>
      </w:r>
      <w:r w:rsidR="008C0FA0">
        <w:t xml:space="preserve">North </w:t>
      </w:r>
      <w:r w:rsidR="00887087" w:rsidRPr="006C507F">
        <w:t xml:space="preserve">Macedonia, the United Kingdom </w:t>
      </w:r>
      <w:r w:rsidR="00426C61" w:rsidRPr="006C507F">
        <w:t xml:space="preserve">of Great Britain and Northern Ireland </w:t>
      </w:r>
      <w:r w:rsidR="00887087" w:rsidRPr="006C507F">
        <w:t>and Ukraine</w:t>
      </w:r>
      <w:r w:rsidR="00C456F6" w:rsidRPr="006C507F">
        <w:t xml:space="preserve"> </w:t>
      </w:r>
      <w:r w:rsidR="00A91C5B" w:rsidRPr="006C507F">
        <w:t xml:space="preserve">will be invited to provide detailed information on steps taken towards </w:t>
      </w:r>
      <w:r w:rsidR="00776B2E" w:rsidRPr="006C507F">
        <w:t>the</w:t>
      </w:r>
      <w:r w:rsidR="00A91C5B" w:rsidRPr="006C507F">
        <w:t xml:space="preserve"> ratification</w:t>
      </w:r>
      <w:r w:rsidR="00776B2E" w:rsidRPr="006C507F">
        <w:t xml:space="preserve"> of th</w:t>
      </w:r>
      <w:r w:rsidR="00946FB6">
        <w:t>e first</w:t>
      </w:r>
      <w:r w:rsidR="00776B2E" w:rsidRPr="006C507F">
        <w:t xml:space="preserve"> amendment</w:t>
      </w:r>
      <w:r w:rsidR="00946FB6">
        <w:t xml:space="preserve"> to the </w:t>
      </w:r>
      <w:r w:rsidR="00413AF2">
        <w:t>Convention</w:t>
      </w:r>
      <w:r w:rsidR="00730699" w:rsidRPr="006C507F">
        <w:t>. The</w:t>
      </w:r>
      <w:r w:rsidR="00C456F6" w:rsidRPr="006C507F">
        <w:t xml:space="preserve"> </w:t>
      </w:r>
      <w:r w:rsidR="00730699" w:rsidRPr="006C507F">
        <w:t xml:space="preserve">missing ratifications </w:t>
      </w:r>
      <w:r w:rsidR="000811AC">
        <w:t xml:space="preserve">from these </w:t>
      </w:r>
      <w:r w:rsidR="008C0FA0">
        <w:t>six</w:t>
      </w:r>
      <w:r w:rsidR="002E336D">
        <w:t xml:space="preserve"> </w:t>
      </w:r>
      <w:r w:rsidR="000811AC">
        <w:t xml:space="preserve">countries </w:t>
      </w:r>
      <w:r w:rsidR="00C456F6" w:rsidRPr="006C507F">
        <w:t xml:space="preserve">are necessary for </w:t>
      </w:r>
      <w:r w:rsidR="00730699" w:rsidRPr="006C507F">
        <w:t xml:space="preserve">the first amendment </w:t>
      </w:r>
      <w:r w:rsidR="00C456F6" w:rsidRPr="006C507F">
        <w:t>to h</w:t>
      </w:r>
      <w:r w:rsidR="00730699" w:rsidRPr="006C507F">
        <w:t>av</w:t>
      </w:r>
      <w:r w:rsidR="00C456F6" w:rsidRPr="006C507F">
        <w:t xml:space="preserve">e effect, opening accession to the Convention to all </w:t>
      </w:r>
      <w:r w:rsidR="008A50DD">
        <w:t xml:space="preserve">States Members of the </w:t>
      </w:r>
      <w:r w:rsidR="00C456F6" w:rsidRPr="006C507F">
        <w:t>United Nations</w:t>
      </w:r>
      <w:r w:rsidR="00A91C5B" w:rsidRPr="006C507F">
        <w:t>.</w:t>
      </w:r>
    </w:p>
    <w:p w14:paraId="181DC2D2" w14:textId="0C4E0222" w:rsidR="000F7D07" w:rsidRPr="006C507F" w:rsidRDefault="00A61519" w:rsidP="00F32153">
      <w:pPr>
        <w:pStyle w:val="SingleTxtG"/>
      </w:pPr>
      <w:r>
        <w:t>6</w:t>
      </w:r>
      <w:r w:rsidR="00F32153">
        <w:t>.</w:t>
      </w:r>
      <w:r w:rsidR="00F32153">
        <w:tab/>
      </w:r>
      <w:r w:rsidR="000F7D07" w:rsidRPr="006C507F">
        <w:t xml:space="preserve">The secretariat will </w:t>
      </w:r>
      <w:r w:rsidR="00435B5F" w:rsidRPr="006C507F">
        <w:t xml:space="preserve">also </w:t>
      </w:r>
      <w:r w:rsidR="000F7D07" w:rsidRPr="006C507F">
        <w:t xml:space="preserve">report on the status of the Protocol. Delegations will be invited to report on planned ratifications. The Chair will invite each </w:t>
      </w:r>
      <w:r w:rsidR="000811AC">
        <w:t>s</w:t>
      </w:r>
      <w:r w:rsidR="000F7D07" w:rsidRPr="006C507F">
        <w:t xml:space="preserve">ignatory State that has not </w:t>
      </w:r>
      <w:r w:rsidR="00413AF2">
        <w:t xml:space="preserve">completed </w:t>
      </w:r>
      <w:r w:rsidR="001360CC">
        <w:t xml:space="preserve">the </w:t>
      </w:r>
      <w:r w:rsidR="00413AF2">
        <w:t xml:space="preserve">process of </w:t>
      </w:r>
      <w:r w:rsidR="001360CC">
        <w:t xml:space="preserve">ratifying </w:t>
      </w:r>
      <w:r w:rsidR="00413AF2">
        <w:t xml:space="preserve">the Protocol </w:t>
      </w:r>
      <w:r w:rsidR="000F7D07" w:rsidRPr="006C507F">
        <w:t>to report on its preparations for ratification.</w:t>
      </w:r>
    </w:p>
    <w:p w14:paraId="48C7AC0F" w14:textId="12B556DD" w:rsidR="00747BCA" w:rsidRPr="006C507F" w:rsidRDefault="00A61519" w:rsidP="00747BCA">
      <w:pPr>
        <w:spacing w:after="120"/>
        <w:ind w:left="1134" w:right="1134"/>
        <w:jc w:val="both"/>
        <w:rPr>
          <w:rStyle w:val="SingleTxtGChar"/>
        </w:rPr>
      </w:pPr>
      <w:r>
        <w:t>7</w:t>
      </w:r>
      <w:r w:rsidR="00F32153">
        <w:t>.</w:t>
      </w:r>
      <w:r w:rsidR="00F32153">
        <w:tab/>
      </w:r>
      <w:r w:rsidR="00EA7C52" w:rsidRPr="006C507F">
        <w:rPr>
          <w:rStyle w:val="SingleTxtGChar"/>
        </w:rPr>
        <w:t>Romania, as the depository</w:t>
      </w:r>
      <w:r w:rsidR="004F3370" w:rsidRPr="006C507F">
        <w:rPr>
          <w:rStyle w:val="SingleTxtGChar"/>
        </w:rPr>
        <w:t xml:space="preserve"> of</w:t>
      </w:r>
      <w:r w:rsidR="00EA7C52" w:rsidRPr="006C507F">
        <w:rPr>
          <w:rStyle w:val="SingleTxtGChar"/>
        </w:rPr>
        <w:t xml:space="preserve"> </w:t>
      </w:r>
      <w:r w:rsidR="00533BFD" w:rsidRPr="006C507F">
        <w:rPr>
          <w:rStyle w:val="SingleTxtGChar"/>
        </w:rPr>
        <w:t xml:space="preserve">the </w:t>
      </w:r>
      <w:r w:rsidR="002B1E25">
        <w:rPr>
          <w:rStyle w:val="SingleTxtGChar"/>
        </w:rPr>
        <w:t>M</w:t>
      </w:r>
      <w:r w:rsidR="00533BFD" w:rsidRPr="006C507F">
        <w:rPr>
          <w:rStyle w:val="SingleTxtGChar"/>
        </w:rPr>
        <w:t xml:space="preserve">ultilateral </w:t>
      </w:r>
      <w:r w:rsidR="002B1E25">
        <w:rPr>
          <w:rStyle w:val="SingleTxtGChar"/>
        </w:rPr>
        <w:t>A</w:t>
      </w:r>
      <w:r w:rsidR="00533BFD" w:rsidRPr="006C507F">
        <w:rPr>
          <w:rStyle w:val="SingleTxtGChar"/>
        </w:rPr>
        <w:t>greement among the countries of South-East Europe for implementation of the Convention on Environmental Impact Assessment in a Transboundary Context (Bucharest Agreement)</w:t>
      </w:r>
      <w:r w:rsidR="000811AC">
        <w:rPr>
          <w:rStyle w:val="SingleTxtGChar"/>
        </w:rPr>
        <w:t>,</w:t>
      </w:r>
      <w:r w:rsidR="004F3370" w:rsidRPr="006C507F">
        <w:rPr>
          <w:rStyle w:val="SingleTxtGChar"/>
        </w:rPr>
        <w:t xml:space="preserve"> will be expected to report on the status </w:t>
      </w:r>
      <w:r w:rsidR="00413AF2">
        <w:rPr>
          <w:rStyle w:val="SingleTxtGChar"/>
        </w:rPr>
        <w:t>of th</w:t>
      </w:r>
      <w:r w:rsidR="00F07240">
        <w:rPr>
          <w:rStyle w:val="SingleTxtGChar"/>
        </w:rPr>
        <w:t>at</w:t>
      </w:r>
      <w:r w:rsidR="00413AF2">
        <w:rPr>
          <w:rStyle w:val="SingleTxtGChar"/>
        </w:rPr>
        <w:t xml:space="preserve"> </w:t>
      </w:r>
      <w:r w:rsidR="00F07240">
        <w:rPr>
          <w:rStyle w:val="SingleTxtGChar"/>
        </w:rPr>
        <w:t>a</w:t>
      </w:r>
      <w:r w:rsidR="00413AF2">
        <w:rPr>
          <w:rStyle w:val="SingleTxtGChar"/>
        </w:rPr>
        <w:t>greement</w:t>
      </w:r>
      <w:r w:rsidR="003555A8">
        <w:rPr>
          <w:rStyle w:val="SingleTxtGChar"/>
        </w:rPr>
        <w:t>.</w:t>
      </w:r>
      <w:r w:rsidR="00413AF2">
        <w:rPr>
          <w:rStyle w:val="SingleTxtGChar"/>
        </w:rPr>
        <w:t xml:space="preserve"> The </w:t>
      </w:r>
      <w:r w:rsidR="000811AC">
        <w:rPr>
          <w:rStyle w:val="SingleTxtGChar"/>
        </w:rPr>
        <w:t>s</w:t>
      </w:r>
      <w:r w:rsidR="00413AF2">
        <w:rPr>
          <w:rStyle w:val="SingleTxtGChar"/>
        </w:rPr>
        <w:t>ignatory S</w:t>
      </w:r>
      <w:r w:rsidR="004F3370" w:rsidRPr="006C507F">
        <w:rPr>
          <w:rStyle w:val="SingleTxtGChar"/>
        </w:rPr>
        <w:t>tates Croatia</w:t>
      </w:r>
      <w:r w:rsidR="008C0FA0">
        <w:rPr>
          <w:rStyle w:val="SingleTxtGChar"/>
        </w:rPr>
        <w:t xml:space="preserve"> and</w:t>
      </w:r>
      <w:r w:rsidR="004F3370" w:rsidRPr="006C507F">
        <w:rPr>
          <w:rStyle w:val="SingleTxtGChar"/>
        </w:rPr>
        <w:t xml:space="preserve"> Greece will be invited to report on their plans to ratify the </w:t>
      </w:r>
      <w:r w:rsidR="000811AC">
        <w:rPr>
          <w:rStyle w:val="SingleTxtGChar"/>
        </w:rPr>
        <w:t xml:space="preserve">Bucharest </w:t>
      </w:r>
      <w:r w:rsidR="004F3370" w:rsidRPr="006C507F">
        <w:rPr>
          <w:rStyle w:val="SingleTxtGChar"/>
        </w:rPr>
        <w:t>Agreement</w:t>
      </w:r>
      <w:r w:rsidR="00895A5B">
        <w:rPr>
          <w:rStyle w:val="SingleTxtGChar"/>
        </w:rPr>
        <w:t>,</w:t>
      </w:r>
      <w:r w:rsidR="004F3370" w:rsidRPr="006C507F">
        <w:rPr>
          <w:rStyle w:val="SingleTxtGChar"/>
        </w:rPr>
        <w:t xml:space="preserve"> and Bosnia and Herzegovina</w:t>
      </w:r>
      <w:r w:rsidR="000811AC">
        <w:rPr>
          <w:rStyle w:val="SingleTxtGChar"/>
        </w:rPr>
        <w:t xml:space="preserve"> on </w:t>
      </w:r>
      <w:r w:rsidR="00057681">
        <w:rPr>
          <w:rStyle w:val="SingleTxtGChar"/>
        </w:rPr>
        <w:t xml:space="preserve">its </w:t>
      </w:r>
      <w:r w:rsidR="000811AC">
        <w:rPr>
          <w:rStyle w:val="SingleTxtGChar"/>
        </w:rPr>
        <w:t>plans</w:t>
      </w:r>
      <w:r w:rsidR="004F3370" w:rsidRPr="006C507F">
        <w:rPr>
          <w:rStyle w:val="SingleTxtGChar"/>
        </w:rPr>
        <w:t xml:space="preserve"> to accede </w:t>
      </w:r>
      <w:r w:rsidR="002B1E25">
        <w:rPr>
          <w:rStyle w:val="SingleTxtGChar"/>
        </w:rPr>
        <w:t>thereto</w:t>
      </w:r>
      <w:r w:rsidR="004F3370" w:rsidRPr="006C507F">
        <w:rPr>
          <w:rStyle w:val="SingleTxtGChar"/>
        </w:rPr>
        <w:t xml:space="preserve">. </w:t>
      </w:r>
    </w:p>
    <w:p w14:paraId="2F209703" w14:textId="5EAE782C" w:rsidR="00624C6C" w:rsidRPr="006C507F" w:rsidRDefault="00A61519" w:rsidP="00F32153">
      <w:pPr>
        <w:pStyle w:val="SingleTxtG"/>
      </w:pPr>
      <w:r>
        <w:t>8</w:t>
      </w:r>
      <w:r w:rsidR="00F32153">
        <w:t>.</w:t>
      </w:r>
      <w:r w:rsidR="00F32153">
        <w:tab/>
      </w:r>
      <w:r w:rsidR="00D0132D" w:rsidRPr="006C507F">
        <w:t xml:space="preserve">The </w:t>
      </w:r>
      <w:r w:rsidR="00533BFD" w:rsidRPr="006C507F">
        <w:t>Working Group w</w:t>
      </w:r>
      <w:r w:rsidR="00D0132D" w:rsidRPr="006C507F">
        <w:t xml:space="preserve">ill be invited to propose actions that </w:t>
      </w:r>
      <w:r w:rsidR="000811AC">
        <w:t xml:space="preserve">could </w:t>
      </w:r>
      <w:r w:rsidR="00D0132D" w:rsidRPr="006C507F">
        <w:t>be taken to encourage accession to or ratification of the Convention</w:t>
      </w:r>
      <w:r w:rsidR="00A91C5B" w:rsidRPr="006C507F">
        <w:t>, its amendments</w:t>
      </w:r>
      <w:r w:rsidR="00D0132D" w:rsidRPr="006C507F">
        <w:t xml:space="preserve"> and </w:t>
      </w:r>
      <w:r w:rsidR="00A91C5B" w:rsidRPr="006C507F">
        <w:t xml:space="preserve">the </w:t>
      </w:r>
      <w:r w:rsidR="00D0132D" w:rsidRPr="006C507F">
        <w:t xml:space="preserve">Protocol and, in particular, </w:t>
      </w:r>
      <w:r w:rsidR="003555A8" w:rsidRPr="006C507F">
        <w:t>to accelerate</w:t>
      </w:r>
      <w:r w:rsidR="004F3370" w:rsidRPr="006C507F">
        <w:t xml:space="preserve"> the operationalization </w:t>
      </w:r>
      <w:r w:rsidR="00A91C5B" w:rsidRPr="006C507F">
        <w:t>of the first amendment</w:t>
      </w:r>
      <w:r w:rsidR="00E75D08" w:rsidRPr="006C507F">
        <w:t xml:space="preserve"> as soon as possible</w:t>
      </w:r>
      <w:r w:rsidR="00776B2E" w:rsidRPr="006C507F">
        <w:t>.</w:t>
      </w:r>
    </w:p>
    <w:p w14:paraId="104E2695" w14:textId="3B600E0C" w:rsidR="00533BFD" w:rsidRDefault="00533BFD" w:rsidP="00533BFD">
      <w:pPr>
        <w:keepNext/>
        <w:keepLines/>
        <w:tabs>
          <w:tab w:val="right" w:pos="851"/>
        </w:tabs>
        <w:spacing w:before="240" w:after="120" w:line="240" w:lineRule="exact"/>
        <w:ind w:left="1134" w:right="1134" w:hanging="1134"/>
        <w:rPr>
          <w:b/>
        </w:rPr>
      </w:pPr>
      <w:r>
        <w:rPr>
          <w:b/>
        </w:rPr>
        <w:tab/>
      </w:r>
      <w:r>
        <w:rPr>
          <w:b/>
        </w:rPr>
        <w:tab/>
      </w:r>
      <w:r w:rsidRPr="00546522">
        <w:rPr>
          <w:b/>
        </w:rPr>
        <w:t>Documentation</w:t>
      </w:r>
    </w:p>
    <w:p w14:paraId="6F07A39F" w14:textId="18FBDAB4" w:rsidR="00067541" w:rsidRPr="00546522" w:rsidRDefault="00E2771F" w:rsidP="00057681">
      <w:pPr>
        <w:pStyle w:val="H4G"/>
      </w:pPr>
      <w:r>
        <w:tab/>
      </w:r>
      <w:r>
        <w:tab/>
      </w:r>
      <w:r w:rsidR="00067541">
        <w:t>Informal document</w:t>
      </w:r>
    </w:p>
    <w:p w14:paraId="212AE976" w14:textId="12855DAA" w:rsidR="00DD7DEB" w:rsidRDefault="00533BFD" w:rsidP="00DD7DEB">
      <w:pPr>
        <w:pStyle w:val="SingleTxtG"/>
      </w:pPr>
      <w:bookmarkStart w:id="12" w:name="_Hlk502918490"/>
      <w:bookmarkStart w:id="13" w:name="_Hlk8744757"/>
      <w:r w:rsidRPr="00546522">
        <w:t>Status of ratification of the Convention, its amendments and its Protocol (ECE/MP.EIA/WG.2/201</w:t>
      </w:r>
      <w:r w:rsidR="008C0FA0">
        <w:t>9</w:t>
      </w:r>
      <w:r>
        <w:t>/</w:t>
      </w:r>
      <w:r w:rsidRPr="00546522">
        <w:t>INF.</w:t>
      </w:r>
      <w:r w:rsidR="00943E50">
        <w:t>3</w:t>
      </w:r>
      <w:r w:rsidRPr="00546522">
        <w:t>)</w:t>
      </w:r>
      <w:bookmarkEnd w:id="12"/>
    </w:p>
    <w:bookmarkEnd w:id="13"/>
    <w:p w14:paraId="064B2AB7" w14:textId="05A466A4" w:rsidR="004D1042" w:rsidRPr="00055E82" w:rsidRDefault="003555A8" w:rsidP="003555A8">
      <w:pPr>
        <w:pStyle w:val="H1G"/>
      </w:pPr>
      <w:r>
        <w:lastRenderedPageBreak/>
        <w:tab/>
      </w:r>
      <w:r w:rsidR="00A61519">
        <w:t>4</w:t>
      </w:r>
      <w:r w:rsidR="0057655D" w:rsidRPr="00055E82">
        <w:t>.</w:t>
      </w:r>
      <w:r w:rsidR="005543BD" w:rsidRPr="00055E82">
        <w:tab/>
      </w:r>
      <w:r w:rsidR="00706D85" w:rsidRPr="00055E82">
        <w:t xml:space="preserve">Compliance and implementation </w:t>
      </w:r>
    </w:p>
    <w:p w14:paraId="0CB24F9A" w14:textId="729376AB" w:rsidR="007418D5" w:rsidRPr="00055E82" w:rsidRDefault="002F41A2" w:rsidP="007A4A52">
      <w:pPr>
        <w:pStyle w:val="H4G"/>
      </w:pPr>
      <w:r w:rsidRPr="00055E82">
        <w:tab/>
      </w:r>
      <w:r w:rsidRPr="00055E82">
        <w:tab/>
      </w:r>
      <w:bookmarkStart w:id="14" w:name="_Hlk8747473"/>
      <w:r w:rsidR="007418D5" w:rsidRPr="00055E82">
        <w:t>Tentative timing</w:t>
      </w:r>
      <w:r w:rsidR="00E02988" w:rsidRPr="00055E82">
        <w:t xml:space="preserve">: </w:t>
      </w:r>
      <w:r w:rsidR="00904374">
        <w:t>Tuesday</w:t>
      </w:r>
      <w:r w:rsidR="00960C88" w:rsidRPr="00960C88">
        <w:t xml:space="preserve">, </w:t>
      </w:r>
      <w:r w:rsidR="00960C88" w:rsidRPr="00D02F5B">
        <w:t>2</w:t>
      </w:r>
      <w:r w:rsidR="00904374">
        <w:t>6</w:t>
      </w:r>
      <w:r w:rsidR="00960C88" w:rsidRPr="00960C88">
        <w:t xml:space="preserve"> </w:t>
      </w:r>
      <w:r w:rsidR="00BB56B8">
        <w:t>November</w:t>
      </w:r>
      <w:r w:rsidRPr="00055E82">
        <w:t xml:space="preserve">, </w:t>
      </w:r>
      <w:r w:rsidR="00C173AB">
        <w:t>1</w:t>
      </w:r>
      <w:r w:rsidR="00A61519">
        <w:t>2</w:t>
      </w:r>
      <w:r w:rsidR="003757BE" w:rsidRPr="00055E82">
        <w:t>–</w:t>
      </w:r>
      <w:r w:rsidR="00CB7CA1" w:rsidRPr="00055E82">
        <w:t>1</w:t>
      </w:r>
      <w:r w:rsidR="00FD3078" w:rsidRPr="00055E82">
        <w:t xml:space="preserve"> </w:t>
      </w:r>
      <w:r w:rsidR="00CB7CA1" w:rsidRPr="00055E82">
        <w:t>p.m</w:t>
      </w:r>
      <w:r w:rsidR="00CB7CA1" w:rsidRPr="0056368E">
        <w:t>.</w:t>
      </w:r>
      <w:r w:rsidR="00FD3078" w:rsidRPr="0056368E">
        <w:t xml:space="preserve"> and </w:t>
      </w:r>
      <w:r w:rsidR="008C31AD" w:rsidRPr="0056368E">
        <w:t>3</w:t>
      </w:r>
      <w:r w:rsidR="00FD3078" w:rsidRPr="0056368E">
        <w:t>–</w:t>
      </w:r>
      <w:r w:rsidR="00A61519">
        <w:t>5</w:t>
      </w:r>
      <w:r w:rsidR="00FD3078" w:rsidRPr="0056368E">
        <w:t xml:space="preserve"> </w:t>
      </w:r>
      <w:r w:rsidR="00BB2EA5" w:rsidRPr="0056368E">
        <w:t>p</w:t>
      </w:r>
      <w:r w:rsidR="00FD3078" w:rsidRPr="0056368E">
        <w:t>.m.</w:t>
      </w:r>
    </w:p>
    <w:bookmarkEnd w:id="14"/>
    <w:p w14:paraId="258350AB" w14:textId="5ECBDE4E" w:rsidR="000A3370" w:rsidRPr="000A3370" w:rsidRDefault="00943E50" w:rsidP="000A3370">
      <w:pPr>
        <w:pStyle w:val="SingleTxtG"/>
      </w:pPr>
      <w:r>
        <w:t>9</w:t>
      </w:r>
      <w:r w:rsidR="00F32153">
        <w:t>.</w:t>
      </w:r>
      <w:r w:rsidR="00F32153">
        <w:tab/>
      </w:r>
      <w:r w:rsidR="00706D85" w:rsidRPr="001068C4">
        <w:t>The Chair of the Implementation Committee</w:t>
      </w:r>
      <w:r w:rsidR="000F7D07" w:rsidRPr="001068C4">
        <w:t xml:space="preserve"> will report on </w:t>
      </w:r>
      <w:r w:rsidR="00666AEC" w:rsidRPr="001068C4">
        <w:t>compliance and implementation</w:t>
      </w:r>
      <w:r w:rsidR="000F7D07" w:rsidRPr="001068C4">
        <w:t xml:space="preserve">. </w:t>
      </w:r>
      <w:r w:rsidR="00B970B5" w:rsidRPr="001068C4">
        <w:t>He</w:t>
      </w:r>
      <w:r w:rsidR="00706D85" w:rsidRPr="001068C4">
        <w:t xml:space="preserve"> will present </w:t>
      </w:r>
      <w:r w:rsidR="00C173AB" w:rsidRPr="001068C4">
        <w:t>the main outcomes of the Committee’s forty-f</w:t>
      </w:r>
      <w:r w:rsidR="000A3370">
        <w:t>ourth</w:t>
      </w:r>
      <w:r w:rsidR="00C173AB" w:rsidRPr="001068C4">
        <w:t xml:space="preserve"> </w:t>
      </w:r>
      <w:r w:rsidR="00C2056B">
        <w:t xml:space="preserve">and forty-fifth </w:t>
      </w:r>
      <w:r w:rsidR="00C173AB" w:rsidRPr="001068C4">
        <w:t>sessions</w:t>
      </w:r>
      <w:r w:rsidR="000811AC">
        <w:t xml:space="preserve"> (Geneva, </w:t>
      </w:r>
      <w:r w:rsidR="000A3370">
        <w:t>12</w:t>
      </w:r>
      <w:r w:rsidR="00C173AB" w:rsidRPr="001068C4">
        <w:t>–</w:t>
      </w:r>
      <w:r w:rsidR="000A3370">
        <w:t>15</w:t>
      </w:r>
      <w:r w:rsidR="00C173AB" w:rsidRPr="001068C4">
        <w:t xml:space="preserve"> </w:t>
      </w:r>
      <w:r w:rsidR="000A3370">
        <w:t>March</w:t>
      </w:r>
      <w:r w:rsidR="00C173AB" w:rsidRPr="001068C4">
        <w:t xml:space="preserve"> </w:t>
      </w:r>
      <w:r w:rsidR="00C2056B">
        <w:t xml:space="preserve">and </w:t>
      </w:r>
      <w:r w:rsidR="00C2056B" w:rsidRPr="000A3370">
        <w:t xml:space="preserve">10–13 </w:t>
      </w:r>
      <w:r w:rsidR="00C2056B">
        <w:t xml:space="preserve">September </w:t>
      </w:r>
      <w:r w:rsidR="000811AC">
        <w:t>201</w:t>
      </w:r>
      <w:r w:rsidR="000A3370">
        <w:t>9</w:t>
      </w:r>
      <w:r w:rsidR="0098089D">
        <w:t>, respectively</w:t>
      </w:r>
      <w:r w:rsidR="00C173AB" w:rsidRPr="001068C4">
        <w:t>)</w:t>
      </w:r>
      <w:r w:rsidR="000811AC">
        <w:t>,</w:t>
      </w:r>
      <w:r w:rsidR="004C1FC1">
        <w:rPr>
          <w:rStyle w:val="FootnoteReference"/>
        </w:rPr>
        <w:footnoteReference w:id="4"/>
      </w:r>
      <w:r w:rsidR="000A3370">
        <w:t xml:space="preserve"> </w:t>
      </w:r>
      <w:r w:rsidR="000A3370" w:rsidRPr="000A3370">
        <w:t>and the main objectives for the Committee’s forty-</w:t>
      </w:r>
      <w:r w:rsidR="00C2056B">
        <w:t>sixth</w:t>
      </w:r>
      <w:r w:rsidR="000A3370" w:rsidRPr="000A3370">
        <w:t xml:space="preserve"> session (Geneva, </w:t>
      </w:r>
      <w:bookmarkStart w:id="15" w:name="_Hlk13500170"/>
      <w:r w:rsidR="000A3370" w:rsidRPr="000A3370">
        <w:t xml:space="preserve">10–13 December </w:t>
      </w:r>
      <w:bookmarkEnd w:id="15"/>
      <w:r w:rsidR="000A3370" w:rsidRPr="000A3370">
        <w:t>2019).</w:t>
      </w:r>
      <w:r w:rsidR="000F744A">
        <w:t xml:space="preserve"> </w:t>
      </w:r>
      <w:r w:rsidR="005E55D4">
        <w:t>He will also present the plans for the preparatory work for the next sessions of the Meetings of the Parties</w:t>
      </w:r>
      <w:r w:rsidR="00F764C2">
        <w:t>, in December 2020</w:t>
      </w:r>
      <w:r w:rsidR="005E55D4">
        <w:t>.</w:t>
      </w:r>
    </w:p>
    <w:p w14:paraId="559D0006" w14:textId="35EBF0B9" w:rsidR="00D338EC" w:rsidRPr="00055E82" w:rsidRDefault="00943E50" w:rsidP="000F744A">
      <w:pPr>
        <w:pStyle w:val="SingleTxtG"/>
      </w:pPr>
      <w:r>
        <w:t>10</w:t>
      </w:r>
      <w:r w:rsidR="00F32153">
        <w:t>.</w:t>
      </w:r>
      <w:r w:rsidR="00F32153">
        <w:tab/>
      </w:r>
      <w:r w:rsidR="00904374" w:rsidRPr="00546522">
        <w:t xml:space="preserve">The secretariat will present the draft </w:t>
      </w:r>
      <w:r w:rsidR="00904374">
        <w:t>sixth</w:t>
      </w:r>
      <w:r w:rsidR="00904374" w:rsidRPr="00546522">
        <w:t xml:space="preserve"> review of implementation of the Convention and the draft </w:t>
      </w:r>
      <w:r w:rsidR="00904374">
        <w:t xml:space="preserve">third </w:t>
      </w:r>
      <w:r w:rsidR="00904374" w:rsidRPr="00546522">
        <w:t>review of implementation of the Protocol, which it prepared with the assistance of consultant</w:t>
      </w:r>
      <w:r w:rsidR="00904374">
        <w:t>s</w:t>
      </w:r>
      <w:r w:rsidR="00904374" w:rsidRPr="00546522">
        <w:t xml:space="preserve"> based on the reports submitted by Parties. The Working Group will be invited to consider and reach an agreement on the main findings of the draft reports</w:t>
      </w:r>
      <w:r w:rsidR="00F764C2">
        <w:t xml:space="preserve">. Delegations are also expected to present </w:t>
      </w:r>
      <w:r w:rsidR="00904374" w:rsidRPr="00546522">
        <w:t xml:space="preserve">possible comments </w:t>
      </w:r>
      <w:r w:rsidR="00D769E5">
        <w:t xml:space="preserve">on </w:t>
      </w:r>
      <w:r w:rsidR="00904374" w:rsidRPr="00546522">
        <w:t xml:space="preserve">or corrections to the drafts </w:t>
      </w:r>
      <w:r w:rsidR="00904374">
        <w:t xml:space="preserve">concerning their own countries </w:t>
      </w:r>
      <w:r w:rsidR="00904374" w:rsidRPr="00546522">
        <w:t xml:space="preserve">with a view to their finalization. </w:t>
      </w:r>
      <w:r w:rsidR="001809B2">
        <w:t>Lastly</w:t>
      </w:r>
      <w:r w:rsidR="00F764C2">
        <w:t>, the Working Group</w:t>
      </w:r>
      <w:r w:rsidR="00904374">
        <w:t xml:space="preserve"> will also be invited to consider proposals for improving the questionnaires for the next reporting round</w:t>
      </w:r>
      <w:r w:rsidR="00222028">
        <w:t>.</w:t>
      </w:r>
    </w:p>
    <w:p w14:paraId="4223560B" w14:textId="144DFF0B" w:rsidR="00222028" w:rsidRDefault="00943E50" w:rsidP="00F32153">
      <w:pPr>
        <w:pStyle w:val="SingleTxtG"/>
      </w:pPr>
      <w:r>
        <w:t>11</w:t>
      </w:r>
      <w:r w:rsidR="00F32153" w:rsidRPr="00016580">
        <w:t>.</w:t>
      </w:r>
      <w:r w:rsidR="00F32153" w:rsidRPr="00016580">
        <w:tab/>
      </w:r>
      <w:r w:rsidR="00222028">
        <w:t xml:space="preserve">The delegations of </w:t>
      </w:r>
      <w:r w:rsidR="00222028" w:rsidRPr="002B58F9">
        <w:t xml:space="preserve">Germany and </w:t>
      </w:r>
      <w:r w:rsidR="00222028">
        <w:t xml:space="preserve">the </w:t>
      </w:r>
      <w:r w:rsidR="00222028" w:rsidRPr="002B58F9">
        <w:t xml:space="preserve">United Kingdom </w:t>
      </w:r>
      <w:r w:rsidR="0098089D">
        <w:t xml:space="preserve">of Great Britain and Northern Ireland </w:t>
      </w:r>
      <w:r w:rsidR="00222028" w:rsidRPr="002B58F9">
        <w:t xml:space="preserve">will be invited to </w:t>
      </w:r>
      <w:r w:rsidR="00222028">
        <w:t xml:space="preserve">provide an update on </w:t>
      </w:r>
      <w:r w:rsidR="00064392">
        <w:t xml:space="preserve">progress in </w:t>
      </w:r>
      <w:r w:rsidR="00222028">
        <w:t xml:space="preserve">the preparation of </w:t>
      </w:r>
      <w:r w:rsidR="008C523D">
        <w:t xml:space="preserve">draft </w:t>
      </w:r>
      <w:r w:rsidR="00222028">
        <w:t>g</w:t>
      </w:r>
      <w:r w:rsidR="00222028" w:rsidRPr="001231FF">
        <w:t xml:space="preserve">uidance </w:t>
      </w:r>
      <w:r w:rsidR="00222028">
        <w:t>on t</w:t>
      </w:r>
      <w:r w:rsidR="00222028" w:rsidRPr="001231FF">
        <w:t>he applica</w:t>
      </w:r>
      <w:r w:rsidR="00222028">
        <w:t xml:space="preserve">bility </w:t>
      </w:r>
      <w:r w:rsidR="00222028" w:rsidRPr="001231FF">
        <w:t xml:space="preserve">of the Convention to </w:t>
      </w:r>
      <w:r w:rsidR="00222028">
        <w:t xml:space="preserve">the </w:t>
      </w:r>
      <w:r w:rsidR="00222028" w:rsidRPr="001231FF">
        <w:t>lifetime extension of nuclear power plants</w:t>
      </w:r>
      <w:r w:rsidR="00222028">
        <w:t xml:space="preserve"> by </w:t>
      </w:r>
      <w:r w:rsidR="00222028" w:rsidRPr="001231FF">
        <w:t>the ad hoc working group</w:t>
      </w:r>
      <w:r w:rsidR="00222028">
        <w:t>, including the outcomes of the group’s meetings held in Geneva</w:t>
      </w:r>
      <w:r w:rsidR="002C6720">
        <w:t>,</w:t>
      </w:r>
      <w:r w:rsidR="00222028">
        <w:t xml:space="preserve"> on 25 and 26 March</w:t>
      </w:r>
      <w:r w:rsidR="00C162E0">
        <w:t xml:space="preserve">, </w:t>
      </w:r>
      <w:r w:rsidR="00222028">
        <w:t>in Lisbon, on 3 and 4 June</w:t>
      </w:r>
      <w:r w:rsidR="00653BB3">
        <w:t>,</w:t>
      </w:r>
      <w:r w:rsidR="00222028">
        <w:t xml:space="preserve"> </w:t>
      </w:r>
      <w:r w:rsidR="00C162E0">
        <w:t>and in Rotterdam, the Netherlands, on 8 and 9 October 2019</w:t>
      </w:r>
      <w:r w:rsidR="00064392">
        <w:t xml:space="preserve">. </w:t>
      </w:r>
      <w:r w:rsidR="008C523D">
        <w:t xml:space="preserve">They will also </w:t>
      </w:r>
      <w:r w:rsidR="00242F03">
        <w:t xml:space="preserve">be invited to </w:t>
      </w:r>
      <w:r w:rsidR="008C523D">
        <w:t>report on the</w:t>
      </w:r>
      <w:r w:rsidR="00536EC2">
        <w:t xml:space="preserve">ir plans </w:t>
      </w:r>
      <w:r w:rsidR="008C523D">
        <w:t xml:space="preserve">for finalizing the draft for consideration </w:t>
      </w:r>
      <w:r w:rsidR="002C6720">
        <w:t>by</w:t>
      </w:r>
      <w:r w:rsidR="008C523D">
        <w:t xml:space="preserve"> the Working Group at its ninth meeting</w:t>
      </w:r>
      <w:r w:rsidR="00536EC2">
        <w:t>, preliminarily scheduled for 9 to 11 June 2020</w:t>
      </w:r>
      <w:r w:rsidR="008C523D">
        <w:t xml:space="preserve">. </w:t>
      </w:r>
      <w:r w:rsidR="00064392">
        <w:t>A representative of the International Association f</w:t>
      </w:r>
      <w:r w:rsidR="002C6720">
        <w:t>or</w:t>
      </w:r>
      <w:r w:rsidR="00064392">
        <w:t xml:space="preserve"> Impact Assessment will present </w:t>
      </w:r>
      <w:r w:rsidR="00222028">
        <w:t xml:space="preserve">the conclusions of the </w:t>
      </w:r>
      <w:r w:rsidR="002C6720">
        <w:t xml:space="preserve">International </w:t>
      </w:r>
      <w:r w:rsidR="00222028">
        <w:t>workshop</w:t>
      </w:r>
      <w:r w:rsidR="00222028" w:rsidRPr="00571CEF">
        <w:t xml:space="preserve"> </w:t>
      </w:r>
      <w:r w:rsidR="00222028">
        <w:t>on environment and health impacts of lifetime extension of nuclear power plants</w:t>
      </w:r>
      <w:r w:rsidR="002C6720">
        <w:t>,</w:t>
      </w:r>
      <w:r w:rsidR="00222028">
        <w:t xml:space="preserve"> organized </w:t>
      </w:r>
      <w:r w:rsidR="002C6720">
        <w:t>by</w:t>
      </w:r>
      <w:r w:rsidR="00222028">
        <w:t xml:space="preserve"> </w:t>
      </w:r>
      <w:r w:rsidR="00064392">
        <w:t xml:space="preserve">its </w:t>
      </w:r>
      <w:r w:rsidR="00222028">
        <w:t>initiative in Lisbon, on 5 June 2019</w:t>
      </w:r>
      <w:r w:rsidR="00653BB3">
        <w:t>,</w:t>
      </w:r>
      <w:r w:rsidR="002C6003">
        <w:t xml:space="preserve"> to support the preparation of the draft guidance</w:t>
      </w:r>
      <w:r w:rsidR="00222028">
        <w:t>.</w:t>
      </w:r>
      <w:r w:rsidR="00064392">
        <w:t xml:space="preserve"> The Working Group </w:t>
      </w:r>
      <w:r w:rsidR="00242F03">
        <w:t xml:space="preserve">is expected to </w:t>
      </w:r>
      <w:r w:rsidR="00064392">
        <w:t>comment</w:t>
      </w:r>
      <w:r w:rsidR="009852B9">
        <w:t xml:space="preserve"> </w:t>
      </w:r>
      <w:r w:rsidR="00560CA6">
        <w:t xml:space="preserve">on </w:t>
      </w:r>
      <w:r w:rsidR="009852B9">
        <w:t>the information and provide guidance on the finalization of the draft by the ad hoc group</w:t>
      </w:r>
      <w:r w:rsidR="00064392">
        <w:t>.</w:t>
      </w:r>
    </w:p>
    <w:p w14:paraId="0316CBB6" w14:textId="162A296F" w:rsidR="00165284" w:rsidRPr="00015B8D" w:rsidRDefault="00943E50" w:rsidP="002C6003">
      <w:pPr>
        <w:pStyle w:val="SingleTxtG"/>
      </w:pPr>
      <w:r>
        <w:t>12</w:t>
      </w:r>
      <w:r w:rsidR="002C6003">
        <w:t>.</w:t>
      </w:r>
      <w:r w:rsidR="002C6003">
        <w:tab/>
        <w:t>Representatives of Kazakhstan, Tajikistan</w:t>
      </w:r>
      <w:r w:rsidR="00560CA6">
        <w:t>,</w:t>
      </w:r>
      <w:r w:rsidR="002C6003">
        <w:t xml:space="preserve"> Uzbekistan and the secretariat will be invited to report on </w:t>
      </w:r>
      <w:r w:rsidR="005F350D">
        <w:t xml:space="preserve">legislative assistance </w:t>
      </w:r>
      <w:r w:rsidR="002C6003">
        <w:t>planned in 2019 to support the countries’</w:t>
      </w:r>
      <w:r w:rsidR="005F350D">
        <w:t xml:space="preserve"> legal reforms and their</w:t>
      </w:r>
      <w:r w:rsidR="002C6003">
        <w:t xml:space="preserve"> efforts in implementing and ratifying the Convention and/or the Protocol. The </w:t>
      </w:r>
      <w:r w:rsidR="005F350D">
        <w:t>activities in</w:t>
      </w:r>
      <w:r w:rsidR="002C6003">
        <w:t xml:space="preserve"> Kazakhstan </w:t>
      </w:r>
      <w:r w:rsidR="00C918A1">
        <w:t>are</w:t>
      </w:r>
      <w:r w:rsidR="002C6003">
        <w:t xml:space="preserve"> funded by Switzerland and the Organization</w:t>
      </w:r>
      <w:r w:rsidR="005F350D">
        <w:t xml:space="preserve"> for Security and Cooperation in Europe (OSCE)</w:t>
      </w:r>
      <w:r w:rsidR="002F55BA" w:rsidRPr="002F55BA">
        <w:t xml:space="preserve"> Programme </w:t>
      </w:r>
      <w:r w:rsidR="002F55BA">
        <w:t>O</w:t>
      </w:r>
      <w:r w:rsidR="002F55BA" w:rsidRPr="002F55BA">
        <w:t>ffice in Nur-Sultan</w:t>
      </w:r>
      <w:r w:rsidR="002F55BA">
        <w:t xml:space="preserve">. The activities </w:t>
      </w:r>
      <w:r w:rsidR="005F350D">
        <w:t xml:space="preserve">in Tajikistan and Uzbekistan </w:t>
      </w:r>
      <w:r w:rsidR="002F55BA">
        <w:t xml:space="preserve">are funded </w:t>
      </w:r>
      <w:r w:rsidR="005F350D">
        <w:t xml:space="preserve">by </w:t>
      </w:r>
      <w:r w:rsidR="002C6003">
        <w:t>Germany</w:t>
      </w:r>
      <w:r w:rsidR="002F55BA">
        <w:t>,</w:t>
      </w:r>
      <w:r w:rsidR="007364F5">
        <w:t xml:space="preserve"> with additional financial support from Switzerland and the </w:t>
      </w:r>
      <w:r w:rsidR="002F55BA">
        <w:t>O</w:t>
      </w:r>
      <w:r w:rsidR="005A0692">
        <w:t xml:space="preserve">ffice of the </w:t>
      </w:r>
      <w:r w:rsidR="007364F5">
        <w:t>OSCE Project Coordinator in Uzbekistan</w:t>
      </w:r>
      <w:r w:rsidR="005F350D">
        <w:t xml:space="preserve">. The secretariat </w:t>
      </w:r>
      <w:r w:rsidR="00276AC4" w:rsidRPr="001E21C9">
        <w:t xml:space="preserve">will </w:t>
      </w:r>
      <w:r w:rsidR="005F350D">
        <w:t xml:space="preserve">also </w:t>
      </w:r>
      <w:r w:rsidR="00276AC4" w:rsidRPr="001E21C9">
        <w:t xml:space="preserve">be invited to </w:t>
      </w:r>
      <w:r w:rsidR="00165284" w:rsidRPr="001E21C9">
        <w:t xml:space="preserve">report on </w:t>
      </w:r>
      <w:r w:rsidR="00C918A1">
        <w:t>its p</w:t>
      </w:r>
      <w:r w:rsidR="00165284" w:rsidRPr="001E21C9">
        <w:t xml:space="preserve">lanned </w:t>
      </w:r>
      <w:r w:rsidR="00016580" w:rsidRPr="001E21C9">
        <w:t>further legislative assistance</w:t>
      </w:r>
      <w:r w:rsidR="00165284" w:rsidRPr="001E21C9">
        <w:t xml:space="preserve"> </w:t>
      </w:r>
      <w:r w:rsidR="00C858EF">
        <w:t>to Armenia, Azerbaijan, Belarus and the Republic of Moldova</w:t>
      </w:r>
      <w:r w:rsidR="002F55BA">
        <w:t>,</w:t>
      </w:r>
      <w:r w:rsidR="00C858EF">
        <w:t xml:space="preserve"> </w:t>
      </w:r>
      <w:r w:rsidR="00205299" w:rsidRPr="001E21C9">
        <w:t xml:space="preserve">to be </w:t>
      </w:r>
      <w:r w:rsidR="00165284" w:rsidRPr="001E21C9">
        <w:t>fund</w:t>
      </w:r>
      <w:r w:rsidR="00205299" w:rsidRPr="001E21C9">
        <w:t>ed</w:t>
      </w:r>
      <w:r w:rsidR="00DD3A69" w:rsidRPr="001E21C9">
        <w:t xml:space="preserve"> through</w:t>
      </w:r>
      <w:r w:rsidR="00165284" w:rsidRPr="001E21C9">
        <w:t xml:space="preserve"> </w:t>
      </w:r>
      <w:r w:rsidR="005F350D">
        <w:t>the</w:t>
      </w:r>
      <w:r w:rsidR="00E56FA4" w:rsidRPr="001E21C9">
        <w:t xml:space="preserve"> </w:t>
      </w:r>
      <w:r w:rsidR="000A36E5" w:rsidRPr="001E21C9">
        <w:t>European Union</w:t>
      </w:r>
      <w:r w:rsidR="00E56FA4" w:rsidRPr="001E21C9">
        <w:t xml:space="preserve"> “</w:t>
      </w:r>
      <w:r w:rsidR="000A36E5" w:rsidRPr="001E21C9">
        <w:t>EU4Environment</w:t>
      </w:r>
      <w:r w:rsidR="00E56FA4" w:rsidRPr="001E21C9">
        <w:t>”</w:t>
      </w:r>
      <w:r w:rsidR="00C45567">
        <w:t xml:space="preserve"> </w:t>
      </w:r>
      <w:r w:rsidR="0062250B">
        <w:t>project during the period</w:t>
      </w:r>
      <w:r w:rsidR="00C858EF">
        <w:t xml:space="preserve"> 2019–2022</w:t>
      </w:r>
      <w:r w:rsidR="00E56FA4" w:rsidRPr="001E21C9">
        <w:t>.</w:t>
      </w:r>
      <w:r w:rsidR="000A36E5" w:rsidRPr="00015B8D">
        <w:t xml:space="preserve"> </w:t>
      </w:r>
    </w:p>
    <w:p w14:paraId="1C91BD51" w14:textId="6590FF9D" w:rsidR="00E22CE3" w:rsidRPr="00015B8D" w:rsidRDefault="00C858EF" w:rsidP="00544489">
      <w:pPr>
        <w:pStyle w:val="SingleTxtG"/>
      </w:pPr>
      <w:r>
        <w:t>1</w:t>
      </w:r>
      <w:r w:rsidR="00943E50">
        <w:t>3</w:t>
      </w:r>
      <w:r w:rsidR="00F32153">
        <w:t>.</w:t>
      </w:r>
      <w:r w:rsidR="00F32153">
        <w:tab/>
      </w:r>
      <w:r w:rsidR="008C421F" w:rsidRPr="00015B8D">
        <w:t xml:space="preserve">The secretariat will </w:t>
      </w:r>
      <w:r>
        <w:t xml:space="preserve">report on its publication of </w:t>
      </w:r>
      <w:r w:rsidR="008C421F" w:rsidRPr="00015B8D">
        <w:t xml:space="preserve">the </w:t>
      </w:r>
      <w:r>
        <w:t>Revised G</w:t>
      </w:r>
      <w:r w:rsidR="008C421F" w:rsidRPr="00015B8D">
        <w:t xml:space="preserve">uidelines on </w:t>
      </w:r>
      <w:r>
        <w:t>E</w:t>
      </w:r>
      <w:r w:rsidR="001D306A">
        <w:t xml:space="preserve">nvironmental </w:t>
      </w:r>
      <w:r>
        <w:t>I</w:t>
      </w:r>
      <w:r w:rsidR="001D306A">
        <w:t xml:space="preserve">mpact </w:t>
      </w:r>
      <w:r>
        <w:t>A</w:t>
      </w:r>
      <w:r w:rsidR="001D306A">
        <w:t xml:space="preserve">ssessment </w:t>
      </w:r>
      <w:r w:rsidR="00A37825">
        <w:t xml:space="preserve">in a </w:t>
      </w:r>
      <w:r>
        <w:t>T</w:t>
      </w:r>
      <w:r w:rsidR="008C421F" w:rsidRPr="00015B8D">
        <w:t>ran</w:t>
      </w:r>
      <w:r w:rsidR="00A37825">
        <w:t xml:space="preserve">sboundary </w:t>
      </w:r>
      <w:r>
        <w:t>C</w:t>
      </w:r>
      <w:r w:rsidR="008C421F" w:rsidRPr="00015B8D">
        <w:t xml:space="preserve">ontext for Central Asian </w:t>
      </w:r>
      <w:r>
        <w:t>C</w:t>
      </w:r>
      <w:r w:rsidR="008C421F" w:rsidRPr="00015B8D">
        <w:t>ountries</w:t>
      </w:r>
      <w:r w:rsidR="0062250B">
        <w:t>, as endorsed by</w:t>
      </w:r>
      <w:r>
        <w:t xml:space="preserve"> the Meeting of the Parties to the Convention at its intermediary session through decision IS/3</w:t>
      </w:r>
      <w:r w:rsidR="00452707">
        <w:t xml:space="preserve"> (</w:t>
      </w:r>
      <w:r w:rsidR="00452707" w:rsidRPr="00417777">
        <w:t>see ECE/MP.EIA/27/Add.1−ECE/MP.EIA/SEA/11/Add.1</w:t>
      </w:r>
      <w:r w:rsidR="00452707">
        <w:t>)</w:t>
      </w:r>
      <w:r>
        <w:t>.</w:t>
      </w:r>
    </w:p>
    <w:p w14:paraId="1E1888BF" w14:textId="56B23BDE" w:rsidR="007114CD" w:rsidRDefault="00F868FA" w:rsidP="00A96FA5">
      <w:pPr>
        <w:pStyle w:val="SingleTxtG"/>
      </w:pPr>
      <w:r>
        <w:lastRenderedPageBreak/>
        <w:t>1</w:t>
      </w:r>
      <w:r w:rsidR="00943E50">
        <w:t>4</w:t>
      </w:r>
      <w:r w:rsidR="00F32153">
        <w:t>.</w:t>
      </w:r>
      <w:r w:rsidR="00F32153">
        <w:tab/>
      </w:r>
      <w:r w:rsidR="0083730A">
        <w:t>The</w:t>
      </w:r>
      <w:r w:rsidR="00737A46">
        <w:t xml:space="preserve"> </w:t>
      </w:r>
      <w:r w:rsidR="00C858EF">
        <w:t xml:space="preserve">delegations of Austria and the Netherlands </w:t>
      </w:r>
      <w:r w:rsidR="00737A46">
        <w:t xml:space="preserve">will be invited to present </w:t>
      </w:r>
      <w:r w:rsidR="0089173A">
        <w:t xml:space="preserve">further developments and </w:t>
      </w:r>
      <w:r w:rsidR="00737A46">
        <w:t xml:space="preserve">proposals </w:t>
      </w:r>
      <w:r w:rsidR="000B1007">
        <w:t>regarding</w:t>
      </w:r>
      <w:r w:rsidR="0083730A">
        <w:t xml:space="preserve"> the </w:t>
      </w:r>
      <w:r w:rsidR="0089173A">
        <w:t xml:space="preserve">preparation </w:t>
      </w:r>
      <w:r w:rsidR="0083730A">
        <w:t xml:space="preserve">of </w:t>
      </w:r>
      <w:r w:rsidR="00737A46">
        <w:t xml:space="preserve">a </w:t>
      </w:r>
      <w:r w:rsidR="0083730A">
        <w:t>strategy and an action plan for the future application of the Convention and the Protocol that was to be</w:t>
      </w:r>
      <w:r w:rsidR="00737A46">
        <w:t xml:space="preserve"> undertaken </w:t>
      </w:r>
      <w:r w:rsidR="0083730A">
        <w:t>in the period 2017</w:t>
      </w:r>
      <w:r w:rsidR="0083730A" w:rsidRPr="0083730A">
        <w:t>–</w:t>
      </w:r>
      <w:r w:rsidR="0083730A">
        <w:t>2020</w:t>
      </w:r>
      <w:r w:rsidR="00737A46">
        <w:t>,</w:t>
      </w:r>
      <w:r w:rsidR="00F6155C">
        <w:t xml:space="preserve"> resources permitting</w:t>
      </w:r>
      <w:r w:rsidR="00737A46">
        <w:t>,</w:t>
      </w:r>
      <w:r w:rsidR="00737A46" w:rsidRPr="00737A46">
        <w:t xml:space="preserve"> </w:t>
      </w:r>
      <w:r w:rsidR="00F94359">
        <w:t xml:space="preserve">further to </w:t>
      </w:r>
      <w:r w:rsidR="00737A46">
        <w:t xml:space="preserve">decision </w:t>
      </w:r>
      <w:r w:rsidR="00737A46" w:rsidRPr="00737A46">
        <w:t>VII/7–III/6</w:t>
      </w:r>
      <w:r w:rsidR="00FA2490" w:rsidRPr="00FA2490">
        <w:t xml:space="preserve"> </w:t>
      </w:r>
      <w:r w:rsidR="00FA2490">
        <w:t>(</w:t>
      </w:r>
      <w:r w:rsidR="002B4142">
        <w:t xml:space="preserve">see </w:t>
      </w:r>
      <w:r w:rsidR="00FA2490" w:rsidRPr="00FA2490">
        <w:t>ECE/MP.EIA/23/Add.1−ECE/MP.EIA/SEA/7/Add.1</w:t>
      </w:r>
      <w:r w:rsidR="00FA2490">
        <w:t>)</w:t>
      </w:r>
      <w:r w:rsidR="00F6155C">
        <w:t>.</w:t>
      </w:r>
      <w:r w:rsidR="00737A46">
        <w:t xml:space="preserve"> </w:t>
      </w:r>
      <w:r w:rsidR="000B1007">
        <w:t xml:space="preserve">In particular, they will be invited to report on the outcomes of the informal discussions to be held in Rotterdam, the Netherlands, on 7 October 2019. </w:t>
      </w:r>
      <w:r w:rsidR="00737A46">
        <w:t>The delegations are invited to comment</w:t>
      </w:r>
      <w:r w:rsidR="00452707">
        <w:t xml:space="preserve"> on</w:t>
      </w:r>
      <w:r w:rsidR="00737A46">
        <w:t xml:space="preserve"> and </w:t>
      </w:r>
      <w:r w:rsidR="00C918A1">
        <w:t xml:space="preserve">propose </w:t>
      </w:r>
      <w:r w:rsidR="00737A46">
        <w:t>contributing to this work.</w:t>
      </w:r>
      <w:bookmarkStart w:id="16" w:name="_Hlk506815452"/>
      <w:r w:rsidR="008052FE" w:rsidRPr="00055E82">
        <w:t xml:space="preserve"> </w:t>
      </w:r>
      <w:bookmarkEnd w:id="16"/>
    </w:p>
    <w:p w14:paraId="15628384" w14:textId="0114DC61" w:rsidR="00F90E80" w:rsidRPr="00601E64" w:rsidRDefault="0069422F" w:rsidP="0069422F">
      <w:pPr>
        <w:pStyle w:val="H23G"/>
        <w:rPr>
          <w:lang w:val="en-US"/>
        </w:rPr>
      </w:pPr>
      <w:r>
        <w:tab/>
      </w:r>
      <w:r>
        <w:tab/>
      </w:r>
      <w:r w:rsidRPr="00825B6A">
        <w:t>Documentation</w:t>
      </w:r>
    </w:p>
    <w:p w14:paraId="20D52BE5" w14:textId="77777777" w:rsidR="00F62990" w:rsidRPr="00546522" w:rsidRDefault="00F62990" w:rsidP="00F62990">
      <w:pPr>
        <w:pStyle w:val="SingleTxtG"/>
        <w:spacing w:before="240"/>
      </w:pPr>
      <w:bookmarkStart w:id="17" w:name="_Hlk503520905"/>
      <w:bookmarkStart w:id="18" w:name="_Hlk502928245"/>
      <w:r w:rsidRPr="00546522">
        <w:t xml:space="preserve">Draft </w:t>
      </w:r>
      <w:r>
        <w:t>sixth</w:t>
      </w:r>
      <w:r w:rsidRPr="00546522">
        <w:t xml:space="preserve"> review of implementation of the Convention on Environmental Impact Assessment in a Transboundary Context (ECE/MP.EIA/WG.2/201</w:t>
      </w:r>
      <w:r>
        <w:t>9</w:t>
      </w:r>
      <w:r w:rsidRPr="00546522">
        <w:t>/</w:t>
      </w:r>
      <w:r>
        <w:t>3</w:t>
      </w:r>
      <w:r w:rsidRPr="00546522">
        <w:t>)</w:t>
      </w:r>
    </w:p>
    <w:p w14:paraId="2D01C024" w14:textId="77777777" w:rsidR="00F62990" w:rsidRPr="00546522" w:rsidRDefault="00F62990" w:rsidP="00F62990">
      <w:pPr>
        <w:pStyle w:val="SingleTxtG"/>
      </w:pPr>
      <w:r w:rsidRPr="00546522">
        <w:t xml:space="preserve">Draft </w:t>
      </w:r>
      <w:r>
        <w:t>third</w:t>
      </w:r>
      <w:r w:rsidRPr="00546522">
        <w:t xml:space="preserve"> review of implementation of the Protocol on Strategic Environmental Assessment (ECE/MP.EIA/WG.2/201</w:t>
      </w:r>
      <w:r>
        <w:t>9</w:t>
      </w:r>
      <w:r w:rsidRPr="00546522">
        <w:t>/</w:t>
      </w:r>
      <w:r>
        <w:t>4</w:t>
      </w:r>
      <w:r w:rsidRPr="00546522">
        <w:t>)</w:t>
      </w:r>
    </w:p>
    <w:bookmarkEnd w:id="17"/>
    <w:p w14:paraId="02C3922B" w14:textId="25F14B71" w:rsidR="00067541" w:rsidRPr="00546522" w:rsidRDefault="00067541" w:rsidP="00067541">
      <w:pPr>
        <w:pStyle w:val="H4G"/>
      </w:pPr>
      <w:r>
        <w:tab/>
      </w:r>
      <w:r>
        <w:tab/>
      </w:r>
      <w:bookmarkStart w:id="19" w:name="_Hlk8824787"/>
      <w:r>
        <w:t>Informal documents</w:t>
      </w:r>
    </w:p>
    <w:p w14:paraId="23CB2BBA" w14:textId="00BA0962" w:rsidR="00067541" w:rsidRDefault="00067541" w:rsidP="00067541">
      <w:pPr>
        <w:pStyle w:val="SingleTxtG"/>
      </w:pPr>
      <w:bookmarkStart w:id="20" w:name="_Hlk8744682"/>
      <w:r w:rsidRPr="00067541">
        <w:t xml:space="preserve">Workplan implementation status </w:t>
      </w:r>
      <w:bookmarkStart w:id="21" w:name="_Hlk13576072"/>
      <w:r w:rsidRPr="00067541">
        <w:t>(ECE/MP.EIA/WG.2/201</w:t>
      </w:r>
      <w:r w:rsidR="00F62990">
        <w:t>9</w:t>
      </w:r>
      <w:r w:rsidRPr="00067541">
        <w:t>/INF.</w:t>
      </w:r>
      <w:r w:rsidR="00943E50">
        <w:t>4</w:t>
      </w:r>
      <w:r w:rsidRPr="00067541">
        <w:t>)</w:t>
      </w:r>
    </w:p>
    <w:bookmarkEnd w:id="21"/>
    <w:p w14:paraId="7C06A1DB" w14:textId="2C87EC01" w:rsidR="008706A2" w:rsidRDefault="008706A2" w:rsidP="008706A2">
      <w:pPr>
        <w:pStyle w:val="SingleTxtG"/>
      </w:pPr>
      <w:r>
        <w:t xml:space="preserve">Suggested improvements to the questionnaires on the implementation of the Convention and the Protocol </w:t>
      </w:r>
      <w:r w:rsidRPr="008706A2">
        <w:t>(ECE/MP.EIA/WG.2/2019/INF.</w:t>
      </w:r>
      <w:r>
        <w:t>5</w:t>
      </w:r>
      <w:r w:rsidRPr="008706A2">
        <w:t>)</w:t>
      </w:r>
    </w:p>
    <w:bookmarkEnd w:id="19"/>
    <w:p w14:paraId="0DF87A2B" w14:textId="3DBF8B39" w:rsidR="00067541" w:rsidRDefault="00064392" w:rsidP="00BB56B8">
      <w:pPr>
        <w:pStyle w:val="SingleTxtG"/>
      </w:pPr>
      <w:r>
        <w:t xml:space="preserve">Update on the progress in drafting guidance on the applicability of the Convention to the lifetime extension of nuclear power plants </w:t>
      </w:r>
      <w:bookmarkStart w:id="22" w:name="_Hlk13496276"/>
      <w:r>
        <w:t>(</w:t>
      </w:r>
      <w:r w:rsidRPr="00067541">
        <w:t>ECE/MP.EIA/WG.2/201</w:t>
      </w:r>
      <w:r>
        <w:t>9</w:t>
      </w:r>
      <w:r w:rsidRPr="00067541">
        <w:t>/INF.</w:t>
      </w:r>
      <w:r w:rsidR="008706A2">
        <w:t>6</w:t>
      </w:r>
      <w:r>
        <w:t>)</w:t>
      </w:r>
      <w:bookmarkEnd w:id="18"/>
      <w:bookmarkEnd w:id="20"/>
      <w:r w:rsidR="002244E8">
        <w:tab/>
      </w:r>
      <w:bookmarkStart w:id="23" w:name="_Hlk503532417"/>
      <w:bookmarkEnd w:id="22"/>
    </w:p>
    <w:p w14:paraId="30E6A1F4" w14:textId="37805204" w:rsidR="00943E50" w:rsidRPr="001F624D" w:rsidRDefault="007777E1" w:rsidP="00943E50">
      <w:pPr>
        <w:pStyle w:val="SingleTxtG"/>
        <w:tabs>
          <w:tab w:val="left" w:pos="7602"/>
        </w:tabs>
      </w:pPr>
      <w:bookmarkStart w:id="24" w:name="_Hlk13496331"/>
      <w:r>
        <w:t xml:space="preserve">Note on </w:t>
      </w:r>
      <w:r w:rsidR="00943E50">
        <w:t>a</w:t>
      </w:r>
      <w:r>
        <w:t xml:space="preserve"> draft </w:t>
      </w:r>
      <w:r w:rsidR="00943E50">
        <w:t xml:space="preserve">long-term </w:t>
      </w:r>
      <w:r>
        <w:t xml:space="preserve">strategy and </w:t>
      </w:r>
      <w:r w:rsidR="00943E50">
        <w:t xml:space="preserve">an </w:t>
      </w:r>
      <w:r>
        <w:t xml:space="preserve">action plan </w:t>
      </w:r>
      <w:r w:rsidR="00943E50">
        <w:t>for the Convention and the Protocol (</w:t>
      </w:r>
      <w:r w:rsidR="00943E50" w:rsidRPr="00067541">
        <w:t>ECE/MP.EIA/WG.2/201</w:t>
      </w:r>
      <w:r w:rsidR="00943E50">
        <w:t>9</w:t>
      </w:r>
      <w:r w:rsidR="00943E50" w:rsidRPr="00067541">
        <w:t>/INF.</w:t>
      </w:r>
      <w:r w:rsidR="008706A2">
        <w:t>7</w:t>
      </w:r>
      <w:r w:rsidR="00943E50">
        <w:t>)</w:t>
      </w:r>
      <w:bookmarkEnd w:id="24"/>
      <w:r w:rsidR="00943E50">
        <w:tab/>
      </w:r>
    </w:p>
    <w:bookmarkEnd w:id="23"/>
    <w:p w14:paraId="1D586B23" w14:textId="1E567FA2" w:rsidR="001E520F" w:rsidRPr="00055E82" w:rsidRDefault="00472711" w:rsidP="001E520F">
      <w:pPr>
        <w:pStyle w:val="H1G"/>
      </w:pPr>
      <w:r>
        <w:tab/>
      </w:r>
      <w:r w:rsidR="000B13B3">
        <w:t>5</w:t>
      </w:r>
      <w:r w:rsidR="00416EA8">
        <w:t>.</w:t>
      </w:r>
      <w:r>
        <w:tab/>
      </w:r>
      <w:bookmarkStart w:id="25" w:name="_Hlk503195904"/>
      <w:proofErr w:type="spellStart"/>
      <w:r w:rsidR="001E520F" w:rsidRPr="00055E82">
        <w:t>Subregional</w:t>
      </w:r>
      <w:proofErr w:type="spellEnd"/>
      <w:r w:rsidR="001E520F" w:rsidRPr="00055E82">
        <w:t xml:space="preserve"> cooperation and capacity-building</w:t>
      </w:r>
      <w:bookmarkEnd w:id="25"/>
    </w:p>
    <w:p w14:paraId="72F03876" w14:textId="4FE25676" w:rsidR="0056368E" w:rsidRPr="00055E82" w:rsidRDefault="001E520F" w:rsidP="0056368E">
      <w:pPr>
        <w:pStyle w:val="H4G"/>
      </w:pPr>
      <w:r w:rsidRPr="00055E82">
        <w:tab/>
      </w:r>
      <w:r w:rsidRPr="00055E82">
        <w:tab/>
      </w:r>
      <w:bookmarkStart w:id="26" w:name="_Hlk502932998"/>
      <w:r w:rsidR="0056368E" w:rsidRPr="00055E82">
        <w:t xml:space="preserve">Tentative timing: </w:t>
      </w:r>
      <w:r w:rsidR="0056368E">
        <w:t>Tuesday</w:t>
      </w:r>
      <w:r w:rsidR="0056368E" w:rsidRPr="00960C88">
        <w:t xml:space="preserve">, </w:t>
      </w:r>
      <w:r w:rsidR="0056368E" w:rsidRPr="00D02F5B">
        <w:t>2</w:t>
      </w:r>
      <w:r w:rsidR="0056368E">
        <w:t>6</w:t>
      </w:r>
      <w:r w:rsidR="0056368E" w:rsidRPr="00960C88">
        <w:t xml:space="preserve"> </w:t>
      </w:r>
      <w:r w:rsidR="0056368E">
        <w:t>November</w:t>
      </w:r>
      <w:r w:rsidR="0056368E" w:rsidRPr="00055E82">
        <w:t xml:space="preserve">, </w:t>
      </w:r>
      <w:r w:rsidR="0001246C">
        <w:t>5</w:t>
      </w:r>
      <w:r w:rsidR="0056368E">
        <w:t>–</w:t>
      </w:r>
      <w:r w:rsidR="0001246C">
        <w:t>5</w:t>
      </w:r>
      <w:r w:rsidR="0056368E">
        <w:t>.</w:t>
      </w:r>
      <w:r w:rsidR="0001246C">
        <w:t>15</w:t>
      </w:r>
      <w:r w:rsidR="0056368E" w:rsidRPr="0056368E">
        <w:t xml:space="preserve"> p.m.</w:t>
      </w:r>
    </w:p>
    <w:bookmarkEnd w:id="26"/>
    <w:p w14:paraId="44E10914" w14:textId="6BAF78D1" w:rsidR="001E520F" w:rsidRPr="001E7E57" w:rsidRDefault="005725B5" w:rsidP="00F32153">
      <w:pPr>
        <w:pStyle w:val="SingleTxtG"/>
      </w:pPr>
      <w:r>
        <w:t>1</w:t>
      </w:r>
      <w:r w:rsidR="0001246C">
        <w:t>5</w:t>
      </w:r>
      <w:r w:rsidR="00F32153">
        <w:t>.</w:t>
      </w:r>
      <w:r w:rsidR="00F32153">
        <w:tab/>
      </w:r>
      <w:r w:rsidR="001E520F" w:rsidRPr="001E7E57">
        <w:t xml:space="preserve">Lead countries for </w:t>
      </w:r>
      <w:proofErr w:type="spellStart"/>
      <w:r w:rsidR="001E520F" w:rsidRPr="001E7E57">
        <w:t>subregional</w:t>
      </w:r>
      <w:proofErr w:type="spellEnd"/>
      <w:r w:rsidR="001E520F" w:rsidRPr="001E7E57">
        <w:t xml:space="preserve"> cooperation and capacity-building activities foreseen in the workplan and the secretariat will be invited to report on the outcomes of, or preparations for, activities</w:t>
      </w:r>
      <w:r w:rsidR="00B41AC4" w:rsidRPr="001E7E57">
        <w:t xml:space="preserve"> in the following subregions: </w:t>
      </w:r>
    </w:p>
    <w:p w14:paraId="622C9F5C" w14:textId="416A5AF9" w:rsidR="0056368E" w:rsidRDefault="00B41AC4" w:rsidP="00E772D3">
      <w:pPr>
        <w:pStyle w:val="SingleTxtG"/>
        <w:ind w:firstLine="567"/>
      </w:pPr>
      <w:r w:rsidRPr="00D11453">
        <w:t>(a)</w:t>
      </w:r>
      <w:r w:rsidRPr="00D11453">
        <w:tab/>
      </w:r>
      <w:r w:rsidR="0056368E" w:rsidRPr="001E7E57">
        <w:t xml:space="preserve">Baltic Sea, </w:t>
      </w:r>
      <w:r w:rsidR="0056368E" w:rsidRPr="0056368E">
        <w:t>including plans for a meeting to be organized by Denmark, Finland and Sweden in Denmark in spring 2020</w:t>
      </w:r>
      <w:r w:rsidR="0001246C">
        <w:t>;</w:t>
      </w:r>
    </w:p>
    <w:p w14:paraId="082628F9" w14:textId="5E54FC4D" w:rsidR="00B41AC4" w:rsidRPr="001E7E57" w:rsidRDefault="0056368E" w:rsidP="00E772D3">
      <w:pPr>
        <w:pStyle w:val="SingleTxtG"/>
        <w:ind w:firstLine="567"/>
      </w:pPr>
      <w:r>
        <w:t>(b)</w:t>
      </w:r>
      <w:r>
        <w:tab/>
      </w:r>
      <w:r w:rsidR="00B41AC4" w:rsidRPr="001E7E57">
        <w:t xml:space="preserve">South-Eastern Europe, </w:t>
      </w:r>
      <w:r>
        <w:t>with the fourth R</w:t>
      </w:r>
      <w:r w:rsidRPr="00056F91">
        <w:t>egional Conference on Environmental Impact Assessment</w:t>
      </w:r>
      <w:r w:rsidR="00C918A1">
        <w:t xml:space="preserve">, with outcomes of relevance to </w:t>
      </w:r>
      <w:r>
        <w:t>the Convention and the Protocol</w:t>
      </w:r>
      <w:r w:rsidRPr="001E7E57">
        <w:t xml:space="preserve"> </w:t>
      </w:r>
      <w:r w:rsidR="00B41AC4" w:rsidRPr="001E7E57">
        <w:t>(</w:t>
      </w:r>
      <w:proofErr w:type="spellStart"/>
      <w:r w:rsidR="00B41AC4" w:rsidRPr="001E7E57">
        <w:t>Vodice</w:t>
      </w:r>
      <w:proofErr w:type="spellEnd"/>
      <w:r w:rsidR="00B41AC4" w:rsidRPr="001E7E57">
        <w:t>, Croatia, 1</w:t>
      </w:r>
      <w:r>
        <w:t>8</w:t>
      </w:r>
      <w:r w:rsidR="00B41AC4" w:rsidRPr="001E7E57">
        <w:t>–</w:t>
      </w:r>
      <w:r>
        <w:t>2</w:t>
      </w:r>
      <w:r w:rsidR="00B41AC4" w:rsidRPr="001E7E57">
        <w:t>1 September 201</w:t>
      </w:r>
      <w:r>
        <w:t>9</w:t>
      </w:r>
      <w:r w:rsidR="00B41AC4" w:rsidRPr="001E7E57">
        <w:t>)</w:t>
      </w:r>
      <w:r w:rsidR="00D55BE5">
        <w:t>.</w:t>
      </w:r>
      <w:r w:rsidR="00E772D3" w:rsidRPr="001E7E57">
        <w:t xml:space="preserve"> </w:t>
      </w:r>
    </w:p>
    <w:p w14:paraId="53031938" w14:textId="79A42C05" w:rsidR="001911A9" w:rsidRDefault="00712CB0" w:rsidP="00712CB0">
      <w:pPr>
        <w:pStyle w:val="SingleTxtG"/>
      </w:pPr>
      <w:r>
        <w:t>1</w:t>
      </w:r>
      <w:r w:rsidR="0001246C">
        <w:t>6</w:t>
      </w:r>
      <w:r>
        <w:t>.</w:t>
      </w:r>
      <w:r>
        <w:tab/>
      </w:r>
      <w:bookmarkStart w:id="27" w:name="_Hlk17966977"/>
      <w:r>
        <w:t xml:space="preserve">The secretariat will also report on the plans to organize up to two </w:t>
      </w:r>
      <w:proofErr w:type="spellStart"/>
      <w:r>
        <w:t>subregional</w:t>
      </w:r>
      <w:proofErr w:type="spellEnd"/>
      <w:r>
        <w:t xml:space="preserve"> workshops in </w:t>
      </w:r>
      <w:r w:rsidR="001911A9">
        <w:t>Eastern Europe and</w:t>
      </w:r>
      <w:r w:rsidR="00B41AC4" w:rsidRPr="00D11453">
        <w:t xml:space="preserve"> the Caucasus</w:t>
      </w:r>
      <w:r w:rsidR="00103F55">
        <w:t xml:space="preserve"> financed by the </w:t>
      </w:r>
      <w:r w:rsidR="00653E2A">
        <w:t>“</w:t>
      </w:r>
      <w:r w:rsidR="00103F55">
        <w:t>EU4Environment</w:t>
      </w:r>
      <w:r w:rsidR="00653E2A">
        <w:t>”</w:t>
      </w:r>
      <w:r w:rsidR="00103F55">
        <w:t xml:space="preserve"> programme, with one possibly </w:t>
      </w:r>
      <w:r w:rsidR="00653E2A">
        <w:t xml:space="preserve">to be </w:t>
      </w:r>
      <w:r w:rsidR="00103F55">
        <w:t>held in 2020 and the other one</w:t>
      </w:r>
      <w:r>
        <w:t xml:space="preserve"> in the next intersessional period. </w:t>
      </w:r>
      <w:r w:rsidR="00502B36">
        <w:t xml:space="preserve"> </w:t>
      </w:r>
      <w:r w:rsidR="00C25D52">
        <w:t xml:space="preserve">The workshops could be also extended to participants from Central Asian countries, provided that funding </w:t>
      </w:r>
      <w:r w:rsidR="00653E2A">
        <w:t>i</w:t>
      </w:r>
      <w:r w:rsidR="00C25D52">
        <w:t xml:space="preserve">s available. </w:t>
      </w:r>
    </w:p>
    <w:bookmarkEnd w:id="27"/>
    <w:p w14:paraId="3789BC3F" w14:textId="7D80A0D9" w:rsidR="001E520F" w:rsidRPr="00D92C60" w:rsidRDefault="001911A9" w:rsidP="000B4C00">
      <w:pPr>
        <w:pStyle w:val="SingleTxtG"/>
      </w:pPr>
      <w:r>
        <w:t>1</w:t>
      </w:r>
      <w:r w:rsidR="0001246C">
        <w:t>7</w:t>
      </w:r>
      <w:r w:rsidR="00E772D3">
        <w:t>.</w:t>
      </w:r>
      <w:r w:rsidR="00E772D3">
        <w:tab/>
      </w:r>
      <w:r w:rsidR="00B41AC4" w:rsidRPr="00D92C60">
        <w:t xml:space="preserve">The </w:t>
      </w:r>
      <w:r w:rsidR="00E772D3" w:rsidRPr="00D92C60">
        <w:t xml:space="preserve">Working Group </w:t>
      </w:r>
      <w:r w:rsidR="00B41AC4" w:rsidRPr="00D92C60">
        <w:t>is expected to take note of the information and, as needed, to provide advice and agree on actions to ensure the implementation of</w:t>
      </w:r>
      <w:r w:rsidR="00653E2A">
        <w:t>,</w:t>
      </w:r>
      <w:r w:rsidR="00B41AC4" w:rsidRPr="00D92C60">
        <w:t xml:space="preserve"> or follow-up to</w:t>
      </w:r>
      <w:r w:rsidR="00653E2A">
        <w:t>,</w:t>
      </w:r>
      <w:r w:rsidR="00B41AC4" w:rsidRPr="00D92C60">
        <w:t xml:space="preserve"> these activities</w:t>
      </w:r>
      <w:bookmarkStart w:id="28" w:name="_Hlk502937103"/>
      <w:bookmarkStart w:id="29" w:name="_Hlk502936690"/>
      <w:r w:rsidR="001E520F" w:rsidRPr="00D92C60">
        <w:t>.</w:t>
      </w:r>
    </w:p>
    <w:bookmarkEnd w:id="28"/>
    <w:bookmarkEnd w:id="29"/>
    <w:p w14:paraId="58538F05" w14:textId="64BB20E4" w:rsidR="009A7EE6" w:rsidRDefault="00C00990" w:rsidP="009A7EE6">
      <w:pPr>
        <w:pStyle w:val="H1G"/>
      </w:pPr>
      <w:r>
        <w:lastRenderedPageBreak/>
        <w:tab/>
      </w:r>
      <w:r w:rsidR="000B13B3">
        <w:t>6</w:t>
      </w:r>
      <w:r w:rsidR="009C770B" w:rsidRPr="00055E82">
        <w:t>.</w:t>
      </w:r>
      <w:r w:rsidR="009C770B" w:rsidRPr="00055E82">
        <w:tab/>
      </w:r>
      <w:r w:rsidR="009A7EE6" w:rsidRPr="00055E82">
        <w:t xml:space="preserve">Promoting ratification and application of the Protocol </w:t>
      </w:r>
      <w:r w:rsidR="009A7EE6">
        <w:t>and the Convention</w:t>
      </w:r>
    </w:p>
    <w:p w14:paraId="14F4B793" w14:textId="047308D0" w:rsidR="009A7EE6" w:rsidRPr="00055E82" w:rsidRDefault="009A7EE6" w:rsidP="009A7EE6">
      <w:pPr>
        <w:pStyle w:val="H4G"/>
      </w:pPr>
      <w:r>
        <w:tab/>
      </w:r>
      <w:r>
        <w:tab/>
      </w:r>
      <w:r w:rsidRPr="00055E82">
        <w:t xml:space="preserve">Tentative timing: </w:t>
      </w:r>
      <w:r>
        <w:t>Tuesday</w:t>
      </w:r>
      <w:r w:rsidRPr="00960C88">
        <w:t xml:space="preserve">, </w:t>
      </w:r>
      <w:r w:rsidRPr="00D02F5B">
        <w:t>2</w:t>
      </w:r>
      <w:r>
        <w:t>6</w:t>
      </w:r>
      <w:r w:rsidRPr="00960C88">
        <w:t xml:space="preserve"> </w:t>
      </w:r>
      <w:r>
        <w:t>November</w:t>
      </w:r>
      <w:r w:rsidRPr="00055E82">
        <w:t xml:space="preserve">, </w:t>
      </w:r>
      <w:r w:rsidR="0001246C">
        <w:t>5</w:t>
      </w:r>
      <w:r>
        <w:t>.</w:t>
      </w:r>
      <w:r w:rsidR="0001246C">
        <w:t>15</w:t>
      </w:r>
      <w:r>
        <w:t>–6</w:t>
      </w:r>
      <w:r w:rsidRPr="0056368E">
        <w:t xml:space="preserve"> p.m.</w:t>
      </w:r>
    </w:p>
    <w:p w14:paraId="73EE2B80" w14:textId="7388B2A3" w:rsidR="009A7EE6" w:rsidRDefault="009A7EE6" w:rsidP="009A7EE6">
      <w:pPr>
        <w:pStyle w:val="SingleTxtG"/>
      </w:pPr>
      <w:r w:rsidRPr="000A6E05">
        <w:t>1</w:t>
      </w:r>
      <w:r w:rsidR="00505AFA">
        <w:t>8</w:t>
      </w:r>
      <w:r w:rsidRPr="000A6E05">
        <w:t>.</w:t>
      </w:r>
      <w:r w:rsidRPr="000A6E05">
        <w:tab/>
      </w:r>
      <w:bookmarkStart w:id="30" w:name="_Hlk17967070"/>
      <w:r w:rsidRPr="000A6E05">
        <w:t xml:space="preserve">The secretariat and </w:t>
      </w:r>
      <w:r>
        <w:t xml:space="preserve">delegations from the </w:t>
      </w:r>
      <w:r w:rsidRPr="000A6E05">
        <w:t>countries</w:t>
      </w:r>
      <w:r w:rsidR="001A2217">
        <w:t xml:space="preserve"> or organizations</w:t>
      </w:r>
      <w:r w:rsidRPr="000A6E05">
        <w:t xml:space="preserve"> </w:t>
      </w:r>
      <w:r>
        <w:t xml:space="preserve">concerned </w:t>
      </w:r>
      <w:r w:rsidRPr="000A6E05">
        <w:t>will be invited to report on the following activities</w:t>
      </w:r>
      <w:r w:rsidRPr="00E215B1">
        <w:t xml:space="preserve"> undertaken </w:t>
      </w:r>
      <w:r w:rsidR="007F2084">
        <w:t xml:space="preserve">or planned for </w:t>
      </w:r>
      <w:r w:rsidRPr="00E215B1">
        <w:t xml:space="preserve">since </w:t>
      </w:r>
      <w:r>
        <w:t xml:space="preserve">the intermediary sessions of the Meetings of the Parties in February </w:t>
      </w:r>
      <w:r w:rsidRPr="00E215B1">
        <w:t>201</w:t>
      </w:r>
      <w:r>
        <w:t>9</w:t>
      </w:r>
      <w:r w:rsidRPr="00E215B1">
        <w:t xml:space="preserve"> </w:t>
      </w:r>
      <w:r>
        <w:t xml:space="preserve">to </w:t>
      </w:r>
      <w:r w:rsidRPr="00E215B1">
        <w:t>promot</w:t>
      </w:r>
      <w:r>
        <w:t>e</w:t>
      </w:r>
      <w:r w:rsidRPr="00E215B1">
        <w:t xml:space="preserve"> ratification and application of the Protocol</w:t>
      </w:r>
      <w:r>
        <w:t xml:space="preserve"> and the Convention</w:t>
      </w:r>
      <w:r w:rsidRPr="00E215B1">
        <w:t>:</w:t>
      </w:r>
    </w:p>
    <w:p w14:paraId="3E7898EE" w14:textId="001D898A" w:rsidR="001A2217" w:rsidRDefault="009A7EE6" w:rsidP="001A2217">
      <w:pPr>
        <w:pStyle w:val="SingleTxtG"/>
        <w:ind w:firstLine="567"/>
      </w:pPr>
      <w:r w:rsidRPr="000A6E05">
        <w:t>(a)</w:t>
      </w:r>
      <w:r>
        <w:tab/>
      </w:r>
      <w:r w:rsidRPr="009A7EE6">
        <w:t xml:space="preserve">Activities to </w:t>
      </w:r>
      <w:r w:rsidR="001A2217">
        <w:t xml:space="preserve">further </w:t>
      </w:r>
      <w:r w:rsidRPr="009A7EE6">
        <w:t xml:space="preserve">promote the implementation </w:t>
      </w:r>
      <w:r w:rsidR="001A2217">
        <w:t xml:space="preserve">in particular of </w:t>
      </w:r>
      <w:r w:rsidRPr="009A7EE6">
        <w:t xml:space="preserve">strategic environmental assessment </w:t>
      </w:r>
      <w:r w:rsidR="001A2217">
        <w:t xml:space="preserve">in </w:t>
      </w:r>
      <w:r w:rsidR="001A2217" w:rsidRPr="001E21C9">
        <w:t>Armenia, Azerbaijan, Belarus, Georgia, the Republic of Moldova and Ukraine</w:t>
      </w:r>
      <w:r w:rsidR="001A2217">
        <w:t xml:space="preserve"> f</w:t>
      </w:r>
      <w:r w:rsidRPr="009A7EE6">
        <w:t>unded</w:t>
      </w:r>
      <w:r w:rsidR="001A2217">
        <w:t xml:space="preserve"> or co-funded</w:t>
      </w:r>
      <w:r w:rsidRPr="009A7EE6">
        <w:t xml:space="preserve"> by the </w:t>
      </w:r>
      <w:r w:rsidR="00653E2A">
        <w:t>“</w:t>
      </w:r>
      <w:r w:rsidRPr="009A7EE6">
        <w:t>EU4Environment</w:t>
      </w:r>
      <w:r w:rsidR="00653E2A">
        <w:t>”</w:t>
      </w:r>
      <w:r w:rsidRPr="009A7EE6">
        <w:t xml:space="preserve"> </w:t>
      </w:r>
      <w:r w:rsidR="00653E2A">
        <w:t>p</w:t>
      </w:r>
      <w:r w:rsidRPr="009A7EE6">
        <w:t>rogramme</w:t>
      </w:r>
      <w:r w:rsidR="0001246C">
        <w:t>;</w:t>
      </w:r>
      <w:r w:rsidR="001A2217">
        <w:t xml:space="preserve"> </w:t>
      </w:r>
      <w:r w:rsidR="007F2084">
        <w:t xml:space="preserve"> </w:t>
      </w:r>
    </w:p>
    <w:bookmarkEnd w:id="30"/>
    <w:p w14:paraId="7E4B6FB5" w14:textId="1865D9C2" w:rsidR="001A2217" w:rsidRPr="001A2217" w:rsidRDefault="001A2217" w:rsidP="001A2217">
      <w:pPr>
        <w:pStyle w:val="SingleTxtG"/>
        <w:ind w:firstLine="567"/>
      </w:pPr>
      <w:r>
        <w:t>(b)</w:t>
      </w:r>
      <w:r>
        <w:tab/>
      </w:r>
      <w:r w:rsidR="00F82F80">
        <w:t>I</w:t>
      </w:r>
      <w:r w:rsidRPr="001A2217">
        <w:t>nformal pamphlets</w:t>
      </w:r>
      <w:r w:rsidR="00653E2A">
        <w:t>,</w:t>
      </w:r>
      <w:r w:rsidRPr="001A2217">
        <w:t xml:space="preserve"> or “</w:t>
      </w:r>
      <w:proofErr w:type="spellStart"/>
      <w:r w:rsidRPr="001A2217">
        <w:t>FasTips</w:t>
      </w:r>
      <w:proofErr w:type="spellEnd"/>
      <w:r w:rsidRPr="001A2217">
        <w:t>”</w:t>
      </w:r>
      <w:r w:rsidR="00653E2A">
        <w:t>,</w:t>
      </w:r>
      <w:r>
        <w:t xml:space="preserve"> </w:t>
      </w:r>
      <w:r w:rsidR="00C965E8">
        <w:t xml:space="preserve">prepared </w:t>
      </w:r>
      <w:r>
        <w:t xml:space="preserve">by </w:t>
      </w:r>
      <w:r w:rsidR="0018268A">
        <w:t xml:space="preserve">the </w:t>
      </w:r>
      <w:r>
        <w:t>International Association f</w:t>
      </w:r>
      <w:r w:rsidR="00653E2A">
        <w:t>or</w:t>
      </w:r>
      <w:r>
        <w:t xml:space="preserve"> Impact Assessment</w:t>
      </w:r>
      <w:r w:rsidRPr="001A2217">
        <w:t xml:space="preserve">, </w:t>
      </w:r>
      <w:r>
        <w:t xml:space="preserve">and the draft </w:t>
      </w:r>
      <w:r w:rsidR="00653E2A">
        <w:t>“</w:t>
      </w:r>
      <w:proofErr w:type="spellStart"/>
      <w:r>
        <w:t>FasTips</w:t>
      </w:r>
      <w:proofErr w:type="spellEnd"/>
      <w:r w:rsidR="00653E2A">
        <w:t>”</w:t>
      </w:r>
      <w:r>
        <w:t xml:space="preserve"> </w:t>
      </w:r>
      <w:r w:rsidRPr="001A2217">
        <w:t>on the Convention and the Protocol</w:t>
      </w:r>
      <w:r w:rsidR="00D54DC7">
        <w:t xml:space="preserve"> prepared </w:t>
      </w:r>
      <w:r w:rsidR="004E46B0">
        <w:t>b</w:t>
      </w:r>
      <w:r w:rsidR="004E46B0" w:rsidRPr="001A2217">
        <w:t>y the secretariat</w:t>
      </w:r>
      <w:r w:rsidR="00F22C3D">
        <w:t xml:space="preserve">; </w:t>
      </w:r>
    </w:p>
    <w:p w14:paraId="2AFE2A84" w14:textId="1AEB4FF4" w:rsidR="001A2217" w:rsidRPr="009A7EE6" w:rsidRDefault="001A2217" w:rsidP="001A2217">
      <w:pPr>
        <w:pStyle w:val="SingleTxtG"/>
        <w:ind w:firstLine="567"/>
      </w:pPr>
      <w:r>
        <w:t>(c)</w:t>
      </w:r>
      <w:r>
        <w:tab/>
        <w:t>Planned activities</w:t>
      </w:r>
      <w:r w:rsidR="00C9484E">
        <w:t xml:space="preserve">, including a study tour to Germany and a series of </w:t>
      </w:r>
      <w:r w:rsidR="00BE424C">
        <w:t xml:space="preserve">national </w:t>
      </w:r>
      <w:r w:rsidR="00C9484E">
        <w:t>workshops</w:t>
      </w:r>
      <w:r w:rsidR="00D36E3E">
        <w:t xml:space="preserve"> on </w:t>
      </w:r>
      <w:r w:rsidR="005160AF">
        <w:t>strategic environmental assessment</w:t>
      </w:r>
      <w:r w:rsidR="00C9484E">
        <w:t>,</w:t>
      </w:r>
      <w:r>
        <w:t xml:space="preserve"> to raise</w:t>
      </w:r>
      <w:r w:rsidR="00D54DC7">
        <w:t xml:space="preserve"> </w:t>
      </w:r>
      <w:r>
        <w:t>Central Asian countries</w:t>
      </w:r>
      <w:r w:rsidR="00653E2A">
        <w:t>’ awareness</w:t>
      </w:r>
      <w:r>
        <w:t xml:space="preserve"> of the Protocol’s benefits</w:t>
      </w:r>
      <w:r w:rsidR="00C9484E">
        <w:t xml:space="preserve"> and to build capacity on </w:t>
      </w:r>
      <w:r w:rsidR="005160AF">
        <w:t xml:space="preserve">its </w:t>
      </w:r>
      <w:r w:rsidR="00C9484E">
        <w:t>practical application</w:t>
      </w:r>
      <w:r>
        <w:t>, with funding from Germany and implemented in cooperation with OSCE.</w:t>
      </w:r>
    </w:p>
    <w:p w14:paraId="79C6ACD3" w14:textId="73C6EB07" w:rsidR="009A7EE6" w:rsidRPr="008707F3" w:rsidRDefault="002F7594" w:rsidP="009A7EE6">
      <w:pPr>
        <w:pStyle w:val="SingleTxtG"/>
      </w:pPr>
      <w:r w:rsidRPr="00930CF4">
        <w:rPr>
          <w:szCs w:val="16"/>
        </w:rPr>
        <w:t>1</w:t>
      </w:r>
      <w:r w:rsidR="00505AFA">
        <w:rPr>
          <w:szCs w:val="16"/>
        </w:rPr>
        <w:t>9</w:t>
      </w:r>
      <w:r w:rsidR="009A7EE6" w:rsidRPr="00930CF4">
        <w:rPr>
          <w:szCs w:val="16"/>
        </w:rPr>
        <w:t>.</w:t>
      </w:r>
      <w:r w:rsidR="009A7EE6">
        <w:rPr>
          <w:szCs w:val="16"/>
        </w:rPr>
        <w:tab/>
      </w:r>
      <w:r w:rsidR="009A7EE6" w:rsidRPr="008707F3">
        <w:t>The Working Group is expected to take note of the information and, as relevant, provide advice for the implementation or follow-up of the activities.</w:t>
      </w:r>
    </w:p>
    <w:p w14:paraId="55E105CC" w14:textId="77777777" w:rsidR="009A7EE6" w:rsidRPr="00546522" w:rsidRDefault="009A7EE6" w:rsidP="009A7EE6">
      <w:pPr>
        <w:keepNext/>
        <w:keepLines/>
        <w:tabs>
          <w:tab w:val="right" w:pos="851"/>
        </w:tabs>
        <w:spacing w:before="240" w:after="120" w:line="240" w:lineRule="exact"/>
        <w:ind w:left="1134" w:right="1134" w:hanging="1134"/>
        <w:rPr>
          <w:b/>
        </w:rPr>
      </w:pPr>
      <w:r>
        <w:rPr>
          <w:b/>
        </w:rPr>
        <w:tab/>
      </w:r>
      <w:r>
        <w:rPr>
          <w:b/>
        </w:rPr>
        <w:tab/>
      </w:r>
      <w:bookmarkStart w:id="31" w:name="_Hlk502943136"/>
      <w:bookmarkStart w:id="32" w:name="_Hlk8824728"/>
      <w:r w:rsidRPr="00546522">
        <w:rPr>
          <w:b/>
        </w:rPr>
        <w:t>Documentation</w:t>
      </w:r>
    </w:p>
    <w:bookmarkEnd w:id="31"/>
    <w:p w14:paraId="079D4B74" w14:textId="0D262859" w:rsidR="00717867" w:rsidRDefault="00F22C3D" w:rsidP="00717867">
      <w:pPr>
        <w:pStyle w:val="SingleTxtG"/>
        <w:jc w:val="left"/>
      </w:pPr>
      <w:r w:rsidRPr="00F22C3D">
        <w:t>Protocol on Strategic Environmental Assessment (</w:t>
      </w:r>
      <w:proofErr w:type="spellStart"/>
      <w:r w:rsidRPr="00F22C3D">
        <w:t>FastTip</w:t>
      </w:r>
      <w:proofErr w:type="spellEnd"/>
      <w:r w:rsidRPr="00F22C3D">
        <w:t>)</w:t>
      </w:r>
      <w:r>
        <w:t xml:space="preserve"> </w:t>
      </w:r>
      <w:r w:rsidR="00717867" w:rsidRPr="00626E58">
        <w:t>(ECE/MP.EIA/WG.2/201</w:t>
      </w:r>
      <w:r w:rsidR="00717867">
        <w:t>9</w:t>
      </w:r>
      <w:r w:rsidR="00717867" w:rsidRPr="00626E58">
        <w:t>/</w:t>
      </w:r>
      <w:r w:rsidR="00717867">
        <w:t>6</w:t>
      </w:r>
      <w:r w:rsidR="00717867" w:rsidRPr="00626E58">
        <w:t xml:space="preserve">) </w:t>
      </w:r>
    </w:p>
    <w:p w14:paraId="28ED12EE" w14:textId="2EC4F59D" w:rsidR="00717867" w:rsidRDefault="00717867" w:rsidP="00717867">
      <w:pPr>
        <w:pStyle w:val="SingleTxtG"/>
        <w:jc w:val="left"/>
      </w:pPr>
      <w:r w:rsidRPr="00717867">
        <w:t xml:space="preserve">Convention on Environmental Impact Assessment in a Transboundary context </w:t>
      </w:r>
      <w:r>
        <w:t>(</w:t>
      </w:r>
      <w:proofErr w:type="spellStart"/>
      <w:r w:rsidRPr="00717867">
        <w:t>FastTip</w:t>
      </w:r>
      <w:proofErr w:type="spellEnd"/>
      <w:r w:rsidRPr="00717867">
        <w:t>)</w:t>
      </w:r>
      <w:r>
        <w:t xml:space="preserve"> </w:t>
      </w:r>
      <w:r w:rsidRPr="00626E58">
        <w:t>(ECE/MP.EIA/WG.2/201</w:t>
      </w:r>
      <w:r>
        <w:t>9</w:t>
      </w:r>
      <w:r w:rsidRPr="00626E58">
        <w:t>/</w:t>
      </w:r>
      <w:r>
        <w:t>7</w:t>
      </w:r>
      <w:r w:rsidRPr="00626E58">
        <w:t xml:space="preserve">) </w:t>
      </w:r>
    </w:p>
    <w:p w14:paraId="6704FA63" w14:textId="7282B37B" w:rsidR="007813E2" w:rsidRPr="00546522" w:rsidRDefault="007813E2" w:rsidP="007813E2">
      <w:pPr>
        <w:pStyle w:val="H4G"/>
      </w:pPr>
      <w:r>
        <w:tab/>
      </w:r>
      <w:r>
        <w:tab/>
        <w:t>Informal documents</w:t>
      </w:r>
    </w:p>
    <w:p w14:paraId="4506A8A3" w14:textId="46B09447" w:rsidR="007813E2" w:rsidRDefault="007813E2" w:rsidP="007813E2">
      <w:pPr>
        <w:pStyle w:val="SingleTxtG"/>
      </w:pPr>
      <w:r w:rsidRPr="00067541">
        <w:t>Workplan implementation status (ECE/MP.EIA/WG.2/201</w:t>
      </w:r>
      <w:r>
        <w:t>9</w:t>
      </w:r>
      <w:r w:rsidRPr="00067541">
        <w:t>/INF.</w:t>
      </w:r>
      <w:r w:rsidR="00D724B6">
        <w:t>4</w:t>
      </w:r>
      <w:r w:rsidRPr="00067541">
        <w:t>)</w:t>
      </w:r>
    </w:p>
    <w:bookmarkEnd w:id="32"/>
    <w:p w14:paraId="3A078D6F" w14:textId="15F9E7CB" w:rsidR="00BB2EA5" w:rsidRDefault="00717867" w:rsidP="0008392E">
      <w:pPr>
        <w:pStyle w:val="H1G"/>
      </w:pPr>
      <w:r>
        <w:tab/>
      </w:r>
      <w:r w:rsidR="000B13B3">
        <w:t>7</w:t>
      </w:r>
      <w:r>
        <w:t>.</w:t>
      </w:r>
      <w:r>
        <w:tab/>
      </w:r>
      <w:r w:rsidR="009C770B" w:rsidRPr="00055E82">
        <w:t>Exchange of good practices</w:t>
      </w:r>
    </w:p>
    <w:p w14:paraId="16958DDE" w14:textId="5483F2AF" w:rsidR="00BB56B8" w:rsidRPr="002244E8" w:rsidRDefault="00BB56B8" w:rsidP="00BB56B8">
      <w:pPr>
        <w:pStyle w:val="H23G"/>
      </w:pPr>
      <w:r>
        <w:tab/>
        <w:t>(a)</w:t>
      </w:r>
      <w:r>
        <w:tab/>
      </w:r>
      <w:r w:rsidR="00930CF4">
        <w:t>Workshop</w:t>
      </w:r>
      <w:r w:rsidR="00930CF4" w:rsidRPr="006E3D24">
        <w:t xml:space="preserve"> </w:t>
      </w:r>
      <w:r w:rsidR="00930CF4" w:rsidRPr="000D19E3">
        <w:t xml:space="preserve">on </w:t>
      </w:r>
      <w:r w:rsidR="00930CF4">
        <w:t xml:space="preserve">the assessment of </w:t>
      </w:r>
      <w:r w:rsidR="00930CF4" w:rsidRPr="000D19E3">
        <w:t>health</w:t>
      </w:r>
      <w:r w:rsidR="00930CF4">
        <w:t xml:space="preserve"> impacts</w:t>
      </w:r>
      <w:r w:rsidR="00930CF4" w:rsidRPr="000D19E3">
        <w:t xml:space="preserve"> and health sector involvement in strategic environmental assessment</w:t>
      </w:r>
    </w:p>
    <w:p w14:paraId="027040DD" w14:textId="04717FDF" w:rsidR="00BB56B8" w:rsidRDefault="00BB56B8" w:rsidP="00BB56B8">
      <w:pPr>
        <w:pStyle w:val="H4G"/>
        <w:rPr>
          <w:i w:val="0"/>
          <w:iCs/>
        </w:rPr>
      </w:pPr>
      <w:r>
        <w:tab/>
      </w:r>
      <w:r>
        <w:tab/>
      </w:r>
      <w:bookmarkStart w:id="33" w:name="_Hlk8822827"/>
      <w:r w:rsidRPr="00BA03C7">
        <w:t>Tentative timing:</w:t>
      </w:r>
      <w:r w:rsidRPr="00055E82">
        <w:t xml:space="preserve"> </w:t>
      </w:r>
      <w:r w:rsidR="00F706C0">
        <w:t>Wednesday</w:t>
      </w:r>
      <w:r w:rsidRPr="00BA03C7">
        <w:t>, 2</w:t>
      </w:r>
      <w:r w:rsidR="00F706C0">
        <w:t>7 November</w:t>
      </w:r>
      <w:r w:rsidRPr="00BA03C7">
        <w:t xml:space="preserve">, </w:t>
      </w:r>
      <w:r w:rsidR="00F706C0">
        <w:t>10 a.m.</w:t>
      </w:r>
      <w:r w:rsidRPr="00BA03C7">
        <w:t>–</w:t>
      </w:r>
      <w:r w:rsidR="00F706C0">
        <w:t xml:space="preserve">1 </w:t>
      </w:r>
      <w:r w:rsidRPr="00BA03C7">
        <w:t xml:space="preserve">p.m. </w:t>
      </w:r>
    </w:p>
    <w:bookmarkEnd w:id="33"/>
    <w:p w14:paraId="7055F7EA" w14:textId="73EF9B11" w:rsidR="00BB56B8" w:rsidRDefault="00505AFA" w:rsidP="003D25A5">
      <w:pPr>
        <w:pStyle w:val="SingleTxtG"/>
      </w:pPr>
      <w:r>
        <w:t>20</w:t>
      </w:r>
      <w:r w:rsidR="00F32153">
        <w:t>.</w:t>
      </w:r>
      <w:r w:rsidR="00717867">
        <w:tab/>
      </w:r>
      <w:r w:rsidR="00570759" w:rsidRPr="00570759">
        <w:t>Two consultants will be invited to present draft guidance on assessing health impacts in strategic environmental assessment developed in consultation with the secretariat, the World Health Organization and the European Investment Bank</w:t>
      </w:r>
      <w:r w:rsidR="00C34383">
        <w:t>, which</w:t>
      </w:r>
      <w:r w:rsidR="00570759" w:rsidRPr="00570759">
        <w:t xml:space="preserve"> also funds the activity. The consultants will </w:t>
      </w:r>
      <w:r w:rsidR="007525FE">
        <w:t>subsequently</w:t>
      </w:r>
      <w:r w:rsidR="00D54DC7">
        <w:t xml:space="preserve"> </w:t>
      </w:r>
      <w:r w:rsidR="00570759" w:rsidRPr="00570759">
        <w:t xml:space="preserve">moderate a workshop </w:t>
      </w:r>
      <w:r w:rsidR="00363F97">
        <w:t>involving</w:t>
      </w:r>
      <w:r w:rsidR="00570759" w:rsidRPr="00570759">
        <w:t xml:space="preserve"> discuss</w:t>
      </w:r>
      <w:r w:rsidR="00363F97">
        <w:t>ion of</w:t>
      </w:r>
      <w:r w:rsidR="00570759" w:rsidRPr="00570759">
        <w:t xml:space="preserve"> the draft guidance prior to its consideration by the Working Group. The workshop will </w:t>
      </w:r>
      <w:r w:rsidR="00D54DC7">
        <w:t xml:space="preserve">also </w:t>
      </w:r>
      <w:r w:rsidR="00363F97">
        <w:t xml:space="preserve">provide an opportunity to </w:t>
      </w:r>
      <w:r w:rsidR="00570759" w:rsidRPr="00570759">
        <w:t>present and discuss selected good practice</w:t>
      </w:r>
      <w:r w:rsidR="00363F97">
        <w:t>s</w:t>
      </w:r>
      <w:r w:rsidR="0019782A">
        <w:t>,</w:t>
      </w:r>
      <w:r w:rsidR="00570759" w:rsidRPr="00570759">
        <w:t xml:space="preserve"> challenges and possible solutions regarding the assessment of health impacts and the involvement of the health sector in strategic environmental assessment. Representatives from the health sector are invited to take part in the discussions. Detailed information on the workshop will be made available in advance. </w:t>
      </w:r>
    </w:p>
    <w:p w14:paraId="429E2D31" w14:textId="484502E2" w:rsidR="00BB56B8" w:rsidRDefault="00BB56B8" w:rsidP="00F706C0">
      <w:pPr>
        <w:pStyle w:val="H23G"/>
      </w:pPr>
      <w:r>
        <w:lastRenderedPageBreak/>
        <w:tab/>
        <w:t>(b)</w:t>
      </w:r>
      <w:r>
        <w:tab/>
      </w:r>
      <w:r w:rsidR="00F706C0">
        <w:t>D</w:t>
      </w:r>
      <w:r w:rsidR="00F706C0" w:rsidRPr="00F706C0">
        <w:t xml:space="preserve">raft guidance on assessing health impacts in strategic environmental assessment </w:t>
      </w:r>
    </w:p>
    <w:p w14:paraId="4938762F" w14:textId="454EEAE1" w:rsidR="00BB56B8" w:rsidRDefault="00BB56B8" w:rsidP="00F706C0">
      <w:pPr>
        <w:pStyle w:val="H4G"/>
      </w:pPr>
      <w:r>
        <w:tab/>
      </w:r>
      <w:r>
        <w:tab/>
      </w:r>
      <w:bookmarkStart w:id="34" w:name="_Hlk8824523"/>
      <w:r w:rsidR="00F706C0" w:rsidRPr="00F706C0">
        <w:t xml:space="preserve">Tentative timing: Wednesday, 27 November, </w:t>
      </w:r>
      <w:r w:rsidR="00F706C0">
        <w:t>3</w:t>
      </w:r>
      <w:r w:rsidR="00F706C0" w:rsidRPr="00F706C0">
        <w:t>–</w:t>
      </w:r>
      <w:r w:rsidR="003D25A5">
        <w:t>4</w:t>
      </w:r>
      <w:r w:rsidR="00FD74F3">
        <w:t>.30</w:t>
      </w:r>
      <w:r w:rsidR="00F706C0" w:rsidRPr="00F706C0">
        <w:t xml:space="preserve"> p.m. </w:t>
      </w:r>
    </w:p>
    <w:bookmarkEnd w:id="34"/>
    <w:p w14:paraId="3D27809B" w14:textId="7CBED8EA" w:rsidR="003D25A5" w:rsidRPr="00F706C0" w:rsidRDefault="00505AFA" w:rsidP="00CB1A47">
      <w:pPr>
        <w:pStyle w:val="SingleTxtG"/>
      </w:pPr>
      <w:r>
        <w:t>2</w:t>
      </w:r>
      <w:r w:rsidR="003D25A5">
        <w:t>1.</w:t>
      </w:r>
      <w:r w:rsidR="003D25A5">
        <w:tab/>
        <w:t>Subsequently</w:t>
      </w:r>
      <w:r w:rsidR="003D25A5" w:rsidRPr="002B58F9">
        <w:t xml:space="preserve">, </w:t>
      </w:r>
      <w:r w:rsidR="003D25A5">
        <w:t xml:space="preserve">taking into account </w:t>
      </w:r>
      <w:r w:rsidR="003D25A5" w:rsidRPr="002B58F9">
        <w:t xml:space="preserve">the workshop outcomes, the Working Group is expected to discuss </w:t>
      </w:r>
      <w:r w:rsidR="003D25A5">
        <w:t xml:space="preserve">the draft guidance on assessing health impacts in strategic environmental assessment and provide guidance for its finalization. </w:t>
      </w:r>
      <w:r w:rsidR="00CB1A47">
        <w:tab/>
      </w:r>
    </w:p>
    <w:p w14:paraId="438746C2" w14:textId="5900A7A1" w:rsidR="00BB56B8" w:rsidRDefault="00BB56B8" w:rsidP="00CB1A47">
      <w:pPr>
        <w:pStyle w:val="H23G"/>
      </w:pPr>
      <w:r>
        <w:tab/>
        <w:t>(c)</w:t>
      </w:r>
      <w:r>
        <w:tab/>
      </w:r>
      <w:r w:rsidRPr="00417777">
        <w:t>Other activities for</w:t>
      </w:r>
      <w:r w:rsidR="003141A0" w:rsidRPr="00FD74F3">
        <w:t xml:space="preserve"> the exchange of good practices</w:t>
      </w:r>
      <w:r>
        <w:t xml:space="preserve"> </w:t>
      </w:r>
    </w:p>
    <w:p w14:paraId="14799296" w14:textId="4A1CC6FF" w:rsidR="00472C96" w:rsidRDefault="00472C96" w:rsidP="00472C96">
      <w:pPr>
        <w:pStyle w:val="H4G"/>
      </w:pPr>
      <w:r>
        <w:tab/>
      </w:r>
      <w:r>
        <w:tab/>
      </w:r>
      <w:bookmarkStart w:id="35" w:name="_Hlk8895269"/>
      <w:r w:rsidRPr="00F706C0">
        <w:t xml:space="preserve">Tentative timing: Wednesday, 27 November, </w:t>
      </w:r>
      <w:r>
        <w:t>4</w:t>
      </w:r>
      <w:r w:rsidR="00FD74F3">
        <w:t>.30</w:t>
      </w:r>
      <w:r w:rsidRPr="00F706C0">
        <w:t>–</w:t>
      </w:r>
      <w:r w:rsidR="00FD74F3">
        <w:t>5</w:t>
      </w:r>
      <w:r w:rsidRPr="00F706C0">
        <w:t xml:space="preserve"> p.m. </w:t>
      </w:r>
      <w:bookmarkEnd w:id="35"/>
    </w:p>
    <w:p w14:paraId="406BA417" w14:textId="02160AA0" w:rsidR="008B6E05" w:rsidRPr="00833868" w:rsidRDefault="002F7594" w:rsidP="008B6E05">
      <w:pPr>
        <w:spacing w:after="120"/>
        <w:ind w:left="1134" w:right="1134"/>
        <w:jc w:val="both"/>
        <w:rPr>
          <w:rStyle w:val="SingleTxtGChar"/>
        </w:rPr>
      </w:pPr>
      <w:r>
        <w:t>2</w:t>
      </w:r>
      <w:r w:rsidR="009516E6">
        <w:t>2</w:t>
      </w:r>
      <w:r w:rsidR="000C7C3B" w:rsidRPr="00287C81">
        <w:t>.</w:t>
      </w:r>
      <w:r w:rsidR="000C7C3B" w:rsidRPr="00287C81">
        <w:tab/>
      </w:r>
      <w:r w:rsidR="000C7C3B" w:rsidRPr="00833868">
        <w:rPr>
          <w:rStyle w:val="SingleTxtGChar"/>
        </w:rPr>
        <w:t xml:space="preserve">The secretariat will inform the Working Group about </w:t>
      </w:r>
      <w:r w:rsidR="008E5C6F" w:rsidRPr="00833868">
        <w:rPr>
          <w:rStyle w:val="SingleTxtGChar"/>
        </w:rPr>
        <w:t xml:space="preserve">the </w:t>
      </w:r>
      <w:r w:rsidR="00E16BE6">
        <w:rPr>
          <w:rStyle w:val="SingleTxtGChar"/>
        </w:rPr>
        <w:t>activities under</w:t>
      </w:r>
      <w:r w:rsidR="00E16BE6" w:rsidRPr="00E16BE6">
        <w:rPr>
          <w:rStyle w:val="SingleTxtGChar"/>
        </w:rPr>
        <w:t xml:space="preserve"> </w:t>
      </w:r>
      <w:r w:rsidR="00E16BE6" w:rsidRPr="00833868">
        <w:rPr>
          <w:rStyle w:val="SingleTxtGChar"/>
        </w:rPr>
        <w:t xml:space="preserve">the </w:t>
      </w:r>
      <w:hyperlink r:id="rId9" w:history="1">
        <w:r w:rsidR="00E16BE6" w:rsidRPr="00833868">
          <w:rPr>
            <w:rStyle w:val="SingleTxtGChar"/>
          </w:rPr>
          <w:t>Convention on the Transboundary Effects of Industrial Accidents</w:t>
        </w:r>
      </w:hyperlink>
      <w:r w:rsidR="00E16BE6">
        <w:rPr>
          <w:rStyle w:val="SingleTxtGChar"/>
        </w:rPr>
        <w:t xml:space="preserve"> </w:t>
      </w:r>
      <w:r w:rsidR="008664B6">
        <w:rPr>
          <w:rStyle w:val="SingleTxtGChar"/>
        </w:rPr>
        <w:t xml:space="preserve">(Industrial Accidents Convention) </w:t>
      </w:r>
      <w:r w:rsidR="00E16BE6">
        <w:rPr>
          <w:rStyle w:val="SingleTxtGChar"/>
        </w:rPr>
        <w:t>that have</w:t>
      </w:r>
      <w:r w:rsidR="00E16BE6" w:rsidRPr="00833868">
        <w:rPr>
          <w:rStyle w:val="SingleTxtGChar"/>
        </w:rPr>
        <w:t xml:space="preserve"> promote</w:t>
      </w:r>
      <w:r w:rsidR="00E16BE6">
        <w:rPr>
          <w:rStyle w:val="SingleTxtGChar"/>
        </w:rPr>
        <w:t>d</w:t>
      </w:r>
      <w:r w:rsidR="00E16BE6" w:rsidRPr="00833868">
        <w:rPr>
          <w:rStyle w:val="SingleTxtGChar"/>
        </w:rPr>
        <w:t xml:space="preserve"> the application of the joint </w:t>
      </w:r>
      <w:r w:rsidR="00E16BE6" w:rsidRPr="00E44466">
        <w:rPr>
          <w:rStyle w:val="SingleTxtGChar"/>
          <w:i/>
          <w:iCs/>
        </w:rPr>
        <w:t xml:space="preserve">Guidance on Land-use Planning, </w:t>
      </w:r>
      <w:r w:rsidR="007159D4">
        <w:rPr>
          <w:rStyle w:val="SingleTxtGChar"/>
          <w:i/>
          <w:iCs/>
        </w:rPr>
        <w:t xml:space="preserve">the </w:t>
      </w:r>
      <w:r w:rsidR="00E16BE6" w:rsidRPr="00E44466">
        <w:rPr>
          <w:rStyle w:val="SingleTxtGChar"/>
          <w:i/>
          <w:iCs/>
        </w:rPr>
        <w:t xml:space="preserve">Siting of Hazardous Activities and </w:t>
      </w:r>
      <w:r w:rsidR="007159D4">
        <w:rPr>
          <w:rStyle w:val="SingleTxtGChar"/>
          <w:i/>
          <w:iCs/>
        </w:rPr>
        <w:t>r</w:t>
      </w:r>
      <w:r w:rsidR="00E16BE6" w:rsidRPr="00E44466">
        <w:rPr>
          <w:rStyle w:val="SingleTxtGChar"/>
          <w:i/>
          <w:iCs/>
        </w:rPr>
        <w:t>elated Safety Aspects.</w:t>
      </w:r>
      <w:r w:rsidR="00E16BE6">
        <w:rPr>
          <w:rStyle w:val="FootnoteReference"/>
        </w:rPr>
        <w:footnoteReference w:id="5"/>
      </w:r>
      <w:r w:rsidR="00E16BE6" w:rsidRPr="00833868">
        <w:rPr>
          <w:rStyle w:val="SingleTxtGChar"/>
          <w:vertAlign w:val="superscript"/>
        </w:rPr>
        <w:t xml:space="preserve"> </w:t>
      </w:r>
      <w:r w:rsidR="008E5C6F" w:rsidRPr="00833868">
        <w:rPr>
          <w:rStyle w:val="SingleTxtGChar"/>
        </w:rPr>
        <w:t xml:space="preserve">The Working Group is invited to note and comment </w:t>
      </w:r>
      <w:r w:rsidR="00554E4A">
        <w:rPr>
          <w:rStyle w:val="SingleTxtGChar"/>
        </w:rPr>
        <w:t xml:space="preserve">on </w:t>
      </w:r>
      <w:r w:rsidR="008E5C6F" w:rsidRPr="00833868">
        <w:rPr>
          <w:rStyle w:val="SingleTxtGChar"/>
        </w:rPr>
        <w:t>the information</w:t>
      </w:r>
      <w:r w:rsidR="00287C81" w:rsidRPr="00833868">
        <w:rPr>
          <w:rStyle w:val="SingleTxtGChar"/>
        </w:rPr>
        <w:t>, including regarding possible follow-up activities</w:t>
      </w:r>
      <w:r w:rsidR="008E5C6F" w:rsidRPr="00833868">
        <w:rPr>
          <w:rStyle w:val="SingleTxtGChar"/>
        </w:rPr>
        <w:t>.</w:t>
      </w:r>
    </w:p>
    <w:p w14:paraId="7C82E0CA" w14:textId="14F47807" w:rsidR="00442799" w:rsidRDefault="00AA33EF" w:rsidP="008B6E05">
      <w:pPr>
        <w:spacing w:after="120"/>
        <w:ind w:left="1134" w:right="1134"/>
        <w:jc w:val="both"/>
        <w:rPr>
          <w:bCs/>
          <w:vertAlign w:val="superscript"/>
        </w:rPr>
      </w:pPr>
      <w:r>
        <w:rPr>
          <w:bCs/>
        </w:rPr>
        <w:t>2</w:t>
      </w:r>
      <w:r w:rsidR="009516E6">
        <w:rPr>
          <w:bCs/>
        </w:rPr>
        <w:t>3</w:t>
      </w:r>
      <w:r w:rsidR="004F2D76" w:rsidRPr="008B6E05">
        <w:rPr>
          <w:bCs/>
        </w:rPr>
        <w:t>.</w:t>
      </w:r>
      <w:r w:rsidR="004F2D76" w:rsidRPr="008B6E05">
        <w:rPr>
          <w:bCs/>
        </w:rPr>
        <w:tab/>
      </w:r>
      <w:r w:rsidR="00F232EE" w:rsidRPr="008B6E05">
        <w:rPr>
          <w:bCs/>
        </w:rPr>
        <w:t>As decided by the Meeting of the Parties to the Convention at its seventh session</w:t>
      </w:r>
      <w:r w:rsidR="00E16BE6">
        <w:rPr>
          <w:bCs/>
        </w:rPr>
        <w:t xml:space="preserve"> </w:t>
      </w:r>
      <w:r w:rsidR="00347067">
        <w:rPr>
          <w:bCs/>
        </w:rPr>
        <w:t>(Minsk, 13–16 June</w:t>
      </w:r>
      <w:r w:rsidR="00E16BE6">
        <w:rPr>
          <w:bCs/>
        </w:rPr>
        <w:t xml:space="preserve"> 2017</w:t>
      </w:r>
      <w:r w:rsidR="00347067">
        <w:rPr>
          <w:bCs/>
        </w:rPr>
        <w:t>)</w:t>
      </w:r>
      <w:r w:rsidR="00F232EE" w:rsidRPr="008B6E05">
        <w:rPr>
          <w:bCs/>
        </w:rPr>
        <w:t xml:space="preserve">, Parties will be invited to provide information to the Working Group on the usefulness of </w:t>
      </w:r>
      <w:r w:rsidR="00E16BE6" w:rsidRPr="008B6E05">
        <w:rPr>
          <w:bCs/>
        </w:rPr>
        <w:t xml:space="preserve">the </w:t>
      </w:r>
      <w:r w:rsidR="00E16BE6" w:rsidRPr="00E44466">
        <w:rPr>
          <w:bCs/>
          <w:i/>
        </w:rPr>
        <w:t>Good Practice Recommendations on the Application of the Convention to Nuclear Energy</w:t>
      </w:r>
      <w:r w:rsidR="00E16BE6">
        <w:rPr>
          <w:bCs/>
          <w:i/>
        </w:rPr>
        <w:t>-r</w:t>
      </w:r>
      <w:r w:rsidR="00E16BE6" w:rsidRPr="00E44466">
        <w:rPr>
          <w:bCs/>
          <w:i/>
        </w:rPr>
        <w:t>elated Activities</w:t>
      </w:r>
      <w:r w:rsidR="00342356">
        <w:rPr>
          <w:bCs/>
          <w:iCs/>
        </w:rPr>
        <w:t>,</w:t>
      </w:r>
      <w:r w:rsidR="00E16BE6">
        <w:rPr>
          <w:rStyle w:val="FootnoteReference"/>
          <w:bCs/>
        </w:rPr>
        <w:footnoteReference w:id="6"/>
      </w:r>
      <w:r w:rsidR="00E16BE6">
        <w:t xml:space="preserve"> </w:t>
      </w:r>
      <w:r>
        <w:t xml:space="preserve">endorsed </w:t>
      </w:r>
      <w:r w:rsidR="00E16BE6">
        <w:t>at that session</w:t>
      </w:r>
      <w:r w:rsidR="00237F5E" w:rsidRPr="00237F5E">
        <w:t xml:space="preserve"> </w:t>
      </w:r>
      <w:r w:rsidR="00237F5E">
        <w:t>(</w:t>
      </w:r>
      <w:r w:rsidR="00237F5E" w:rsidRPr="00237F5E">
        <w:t>See ECE/MP.EIA/23/Add.1–ECE/MP.EIA/SEA/7/Add.2, decision VII/7–III/6</w:t>
      </w:r>
      <w:r w:rsidR="0046681A">
        <w:t>, Minsk Declaration, para. 11</w:t>
      </w:r>
      <w:r w:rsidR="00237F5E">
        <w:t>)</w:t>
      </w:r>
      <w:r w:rsidR="00E16BE6">
        <w:t>.</w:t>
      </w:r>
      <w:r w:rsidR="004F2D76" w:rsidRPr="008B6E05">
        <w:rPr>
          <w:bCs/>
          <w:vertAlign w:val="superscript"/>
        </w:rPr>
        <w:t xml:space="preserve"> </w:t>
      </w:r>
    </w:p>
    <w:p w14:paraId="2F077059" w14:textId="4BE90B5F" w:rsidR="00CB1A47" w:rsidRDefault="00AA33EF" w:rsidP="001A25B2">
      <w:pPr>
        <w:keepNext/>
        <w:keepLines/>
        <w:tabs>
          <w:tab w:val="right" w:pos="851"/>
        </w:tabs>
        <w:spacing w:before="240" w:after="120" w:line="240" w:lineRule="exact"/>
        <w:ind w:left="1134" w:right="1134" w:hanging="1134"/>
        <w:rPr>
          <w:b/>
        </w:rPr>
      </w:pPr>
      <w:r>
        <w:rPr>
          <w:b/>
        </w:rPr>
        <w:tab/>
      </w:r>
      <w:bookmarkStart w:id="36" w:name="_Hlk8824956"/>
      <w:r w:rsidR="00CB1A47">
        <w:rPr>
          <w:b/>
        </w:rPr>
        <w:t>(d)</w:t>
      </w:r>
      <w:r w:rsidR="00CB1A47">
        <w:rPr>
          <w:b/>
        </w:rPr>
        <w:tab/>
        <w:t xml:space="preserve">Practices in States </w:t>
      </w:r>
      <w:r w:rsidR="00C424AD">
        <w:rPr>
          <w:b/>
        </w:rPr>
        <w:t xml:space="preserve">from </w:t>
      </w:r>
      <w:r w:rsidR="00CB1A47">
        <w:rPr>
          <w:b/>
        </w:rPr>
        <w:t>other regions</w:t>
      </w:r>
    </w:p>
    <w:p w14:paraId="57C15D97" w14:textId="1669D7AC" w:rsidR="00CB1A47" w:rsidRDefault="00CB1A47" w:rsidP="00CB1A47">
      <w:pPr>
        <w:spacing w:after="120"/>
        <w:ind w:right="1134"/>
        <w:jc w:val="both"/>
        <w:rPr>
          <w:i/>
          <w:iCs/>
        </w:rPr>
      </w:pPr>
      <w:r>
        <w:tab/>
      </w:r>
      <w:r>
        <w:tab/>
      </w:r>
      <w:r w:rsidRPr="00CB1A47">
        <w:rPr>
          <w:i/>
          <w:iCs/>
        </w:rPr>
        <w:t xml:space="preserve">Tentative timing: Wednesday, 27 November, </w:t>
      </w:r>
      <w:r w:rsidR="00FD74F3">
        <w:rPr>
          <w:i/>
          <w:iCs/>
        </w:rPr>
        <w:t>5</w:t>
      </w:r>
      <w:r w:rsidRPr="00CB1A47">
        <w:rPr>
          <w:i/>
          <w:iCs/>
        </w:rPr>
        <w:t>–</w:t>
      </w:r>
      <w:r w:rsidR="00FD74F3">
        <w:rPr>
          <w:i/>
          <w:iCs/>
        </w:rPr>
        <w:t>6</w:t>
      </w:r>
      <w:r w:rsidRPr="00CB1A47">
        <w:rPr>
          <w:i/>
          <w:iCs/>
        </w:rPr>
        <w:t xml:space="preserve"> p.m.</w:t>
      </w:r>
    </w:p>
    <w:p w14:paraId="1F8B497B" w14:textId="75839DF3" w:rsidR="00CB1A47" w:rsidRDefault="00CB1A47" w:rsidP="00EC6C39">
      <w:pPr>
        <w:spacing w:after="120"/>
        <w:ind w:left="1134" w:right="1134" w:hanging="1134"/>
        <w:jc w:val="both"/>
      </w:pPr>
      <w:r>
        <w:rPr>
          <w:i/>
          <w:iCs/>
        </w:rPr>
        <w:tab/>
      </w:r>
      <w:r>
        <w:t>2</w:t>
      </w:r>
      <w:r w:rsidR="009516E6">
        <w:t>4</w:t>
      </w:r>
      <w:r>
        <w:t>.</w:t>
      </w:r>
      <w:r>
        <w:tab/>
        <w:t xml:space="preserve">The Chair will invite representatives or experts from States outside the </w:t>
      </w:r>
      <w:r w:rsidR="00EC6C39">
        <w:t>United Nations Economic Commission for Europe (ECE) region that are participating in a meeting under the Convention or its Protocol for the first time to present briefly the strategic environmental assessment and transboundary environmental impact assessment systems and practice in their countr</w:t>
      </w:r>
      <w:r w:rsidR="007A3334">
        <w:t>y</w:t>
      </w:r>
      <w:r w:rsidR="00EC6C39">
        <w:t xml:space="preserve">. </w:t>
      </w:r>
    </w:p>
    <w:p w14:paraId="31FD8BAC" w14:textId="7A337C4F" w:rsidR="001A25B2" w:rsidRPr="00546522" w:rsidRDefault="001A25B2" w:rsidP="001A25B2">
      <w:pPr>
        <w:keepNext/>
        <w:keepLines/>
        <w:tabs>
          <w:tab w:val="right" w:pos="851"/>
        </w:tabs>
        <w:spacing w:before="240" w:after="120" w:line="240" w:lineRule="exact"/>
        <w:ind w:left="1134" w:right="1134" w:hanging="1134"/>
        <w:rPr>
          <w:b/>
        </w:rPr>
      </w:pPr>
      <w:bookmarkStart w:id="37" w:name="_Hlk8897178"/>
      <w:r>
        <w:rPr>
          <w:b/>
        </w:rPr>
        <w:tab/>
      </w:r>
      <w:r>
        <w:rPr>
          <w:b/>
        </w:rPr>
        <w:tab/>
      </w:r>
      <w:r w:rsidRPr="00546522">
        <w:rPr>
          <w:b/>
        </w:rPr>
        <w:t>Documentation</w:t>
      </w:r>
    </w:p>
    <w:p w14:paraId="66E40C24" w14:textId="77777777" w:rsidR="001A25B2" w:rsidRDefault="001A25B2" w:rsidP="001A25B2">
      <w:pPr>
        <w:pStyle w:val="SingleTxtG"/>
        <w:jc w:val="left"/>
      </w:pPr>
      <w:r>
        <w:t>Draft g</w:t>
      </w:r>
      <w:r w:rsidRPr="00626E58">
        <w:t>uidance on assess</w:t>
      </w:r>
      <w:r>
        <w:t xml:space="preserve">ing </w:t>
      </w:r>
      <w:r w:rsidRPr="00626E58">
        <w:t xml:space="preserve">health impacts </w:t>
      </w:r>
      <w:r>
        <w:t xml:space="preserve">in strategic environmental assessment </w:t>
      </w:r>
      <w:r w:rsidRPr="00626E58">
        <w:t>(ECE/MP.EIA/WG.2/201</w:t>
      </w:r>
      <w:r>
        <w:t>9</w:t>
      </w:r>
      <w:r w:rsidRPr="00626E58">
        <w:t>/</w:t>
      </w:r>
      <w:r>
        <w:t>5</w:t>
      </w:r>
      <w:r w:rsidRPr="00626E58">
        <w:t>)</w:t>
      </w:r>
    </w:p>
    <w:p w14:paraId="55B2A5EE" w14:textId="77777777" w:rsidR="001A25B2" w:rsidRPr="00546522" w:rsidRDefault="001A25B2" w:rsidP="001A25B2">
      <w:pPr>
        <w:pStyle w:val="H4G"/>
      </w:pPr>
      <w:r>
        <w:tab/>
      </w:r>
      <w:r>
        <w:tab/>
        <w:t>Informal document</w:t>
      </w:r>
    </w:p>
    <w:p w14:paraId="41948808" w14:textId="5BFD2F97" w:rsidR="001A25B2" w:rsidRDefault="001A25B2" w:rsidP="001A25B2">
      <w:pPr>
        <w:spacing w:after="120"/>
        <w:ind w:left="1134" w:right="1134"/>
        <w:jc w:val="both"/>
      </w:pPr>
      <w:bookmarkStart w:id="38" w:name="_Hlk17968160"/>
      <w:r w:rsidRPr="00101B70">
        <w:t xml:space="preserve">Provisional programme for the workshop on the </w:t>
      </w:r>
      <w:r>
        <w:t xml:space="preserve">assessment </w:t>
      </w:r>
      <w:r w:rsidRPr="00101B70">
        <w:t>of health impacts of plans and programmes in strategic environmental assessment (ECE/MP.EIA/WG.2/2019/INF.</w:t>
      </w:r>
      <w:r w:rsidR="008706A2">
        <w:t>8</w:t>
      </w:r>
      <w:r w:rsidRPr="00101B70">
        <w:t>)</w:t>
      </w:r>
    </w:p>
    <w:bookmarkEnd w:id="36"/>
    <w:bookmarkEnd w:id="37"/>
    <w:bookmarkEnd w:id="38"/>
    <w:p w14:paraId="7D9C21D3" w14:textId="7A8279B8" w:rsidR="001B0B40" w:rsidRPr="00055E82" w:rsidRDefault="000F02D7" w:rsidP="000F02D7">
      <w:pPr>
        <w:pStyle w:val="H1G"/>
      </w:pPr>
      <w:r>
        <w:tab/>
      </w:r>
      <w:r w:rsidR="000B13B3">
        <w:t>8</w:t>
      </w:r>
      <w:r w:rsidR="002E2903" w:rsidRPr="00055E82">
        <w:t>.</w:t>
      </w:r>
      <w:r w:rsidR="002E2903" w:rsidRPr="00055E82">
        <w:tab/>
      </w:r>
      <w:r w:rsidR="001B0B40" w:rsidRPr="00055E82">
        <w:t xml:space="preserve">Preparations for the </w:t>
      </w:r>
      <w:r w:rsidR="0005277B">
        <w:t xml:space="preserve">next </w:t>
      </w:r>
      <w:r w:rsidR="001B0B40" w:rsidRPr="00055E82">
        <w:t>session</w:t>
      </w:r>
      <w:r w:rsidR="006D0DAE">
        <w:t>s</w:t>
      </w:r>
      <w:r w:rsidR="001B0B40" w:rsidRPr="00055E82">
        <w:t xml:space="preserve"> of the Meeting</w:t>
      </w:r>
      <w:r w:rsidR="006D0DAE">
        <w:t>s</w:t>
      </w:r>
      <w:r w:rsidR="001B0B40" w:rsidRPr="00055E82">
        <w:t xml:space="preserve"> of the Parties </w:t>
      </w:r>
    </w:p>
    <w:p w14:paraId="69CA85AC" w14:textId="49420301" w:rsidR="001B0B40" w:rsidRDefault="001B0B40" w:rsidP="007A4A52">
      <w:pPr>
        <w:pStyle w:val="H4G"/>
      </w:pPr>
      <w:r w:rsidRPr="00055E82">
        <w:tab/>
      </w:r>
      <w:r w:rsidRPr="00055E82">
        <w:tab/>
      </w:r>
      <w:bookmarkStart w:id="39" w:name="_Hlk8826909"/>
      <w:r w:rsidRPr="00055E82">
        <w:t xml:space="preserve">Tentative timing: </w:t>
      </w:r>
      <w:r w:rsidR="002073ED">
        <w:t>Thursday, 28</w:t>
      </w:r>
      <w:r w:rsidR="00960C88" w:rsidRPr="00960C88">
        <w:t xml:space="preserve"> </w:t>
      </w:r>
      <w:r w:rsidR="002073ED">
        <w:t>November</w:t>
      </w:r>
      <w:r w:rsidRPr="00055E82">
        <w:t xml:space="preserve">, </w:t>
      </w:r>
      <w:r w:rsidR="007877E9" w:rsidRPr="00C97F4A">
        <w:t>1</w:t>
      </w:r>
      <w:r w:rsidR="002073ED">
        <w:t>0 a.m.</w:t>
      </w:r>
      <w:r w:rsidRPr="00055E82">
        <w:t>–1 p.m.</w:t>
      </w:r>
      <w:r w:rsidR="00864E46" w:rsidRPr="00864E46">
        <w:t xml:space="preserve"> </w:t>
      </w:r>
      <w:r w:rsidR="00864E46">
        <w:t>and</w:t>
      </w:r>
      <w:r w:rsidR="00864E46" w:rsidRPr="00055E82">
        <w:t xml:space="preserve"> </w:t>
      </w:r>
      <w:r w:rsidR="00864E46">
        <w:t>3–</w:t>
      </w:r>
      <w:r w:rsidR="00FD6909">
        <w:t>4</w:t>
      </w:r>
      <w:r w:rsidR="00864E46" w:rsidRPr="00055E82">
        <w:t xml:space="preserve"> </w:t>
      </w:r>
      <w:r w:rsidR="00864E46">
        <w:t>p</w:t>
      </w:r>
      <w:r w:rsidR="00864E46" w:rsidRPr="00055E82">
        <w:t>.m</w:t>
      </w:r>
      <w:r w:rsidR="00864E46">
        <w:t>.</w:t>
      </w:r>
    </w:p>
    <w:bookmarkEnd w:id="39"/>
    <w:p w14:paraId="79D73633" w14:textId="58F62D21" w:rsidR="00583346" w:rsidRDefault="007A4A52" w:rsidP="00F27A9F">
      <w:pPr>
        <w:pStyle w:val="H23G"/>
      </w:pPr>
      <w:r>
        <w:tab/>
      </w:r>
      <w:bookmarkStart w:id="40" w:name="_Hlk8837990"/>
      <w:r w:rsidR="00AB1516" w:rsidRPr="00583346">
        <w:t>(a)</w:t>
      </w:r>
      <w:r w:rsidR="00AB1516" w:rsidRPr="00583346">
        <w:tab/>
      </w:r>
      <w:r w:rsidR="00583346" w:rsidRPr="00583346">
        <w:t>Lessons learned</w:t>
      </w:r>
      <w:r w:rsidR="00583346">
        <w:t xml:space="preserve"> from the previous sessions</w:t>
      </w:r>
    </w:p>
    <w:p w14:paraId="4DA30E9B" w14:textId="4067F417" w:rsidR="00583346" w:rsidRPr="00583346" w:rsidRDefault="00583346" w:rsidP="00583346">
      <w:pPr>
        <w:spacing w:after="120"/>
        <w:ind w:left="1134" w:right="1134"/>
        <w:jc w:val="both"/>
      </w:pPr>
      <w:r>
        <w:t>2</w:t>
      </w:r>
      <w:r w:rsidR="009516E6">
        <w:t>5</w:t>
      </w:r>
      <w:r>
        <w:t>.</w:t>
      </w:r>
      <w:r>
        <w:tab/>
      </w:r>
      <w:r w:rsidRPr="00583346">
        <w:t xml:space="preserve">The </w:t>
      </w:r>
      <w:r>
        <w:t xml:space="preserve">Chair and the Chair of the </w:t>
      </w:r>
      <w:r w:rsidRPr="00583346">
        <w:t xml:space="preserve">Bureau will </w:t>
      </w:r>
      <w:r>
        <w:t>brief the</w:t>
      </w:r>
      <w:r w:rsidR="00D91DE6">
        <w:t xml:space="preserve"> delegations</w:t>
      </w:r>
      <w:r>
        <w:t xml:space="preserve"> about the </w:t>
      </w:r>
      <w:r w:rsidR="002739EF">
        <w:t xml:space="preserve">outcomes of the </w:t>
      </w:r>
      <w:r>
        <w:t xml:space="preserve">Bureau’s stocktaking </w:t>
      </w:r>
      <w:r w:rsidR="00D91DE6">
        <w:t>of t</w:t>
      </w:r>
      <w:r w:rsidR="002739EF">
        <w:t xml:space="preserve">he </w:t>
      </w:r>
      <w:r w:rsidRPr="00583346">
        <w:t>intermediary sessions of the Meetings of the Parties</w:t>
      </w:r>
      <w:r>
        <w:t xml:space="preserve"> in </w:t>
      </w:r>
      <w:r>
        <w:lastRenderedPageBreak/>
        <w:t>February 2019, including</w:t>
      </w:r>
      <w:r w:rsidR="000D435B">
        <w:t xml:space="preserve"> its</w:t>
      </w:r>
      <w:r w:rsidR="002739EF">
        <w:t xml:space="preserve"> views on</w:t>
      </w:r>
      <w:r w:rsidR="00D91DE6">
        <w:t xml:space="preserve"> any </w:t>
      </w:r>
      <w:r w:rsidR="002739EF">
        <w:t xml:space="preserve">lessons to be learned and recommendations for the future. </w:t>
      </w:r>
      <w:r w:rsidRPr="00583346">
        <w:t xml:space="preserve">The </w:t>
      </w:r>
      <w:r w:rsidR="002739EF">
        <w:t xml:space="preserve">Working Group is invited to </w:t>
      </w:r>
      <w:r w:rsidR="00D91DE6">
        <w:t>discuss t</w:t>
      </w:r>
      <w:r w:rsidR="002739EF">
        <w:t xml:space="preserve">he </w:t>
      </w:r>
      <w:r w:rsidR="000D435B">
        <w:t xml:space="preserve">matter </w:t>
      </w:r>
      <w:r w:rsidR="002739EF">
        <w:t xml:space="preserve">and </w:t>
      </w:r>
      <w:r w:rsidRPr="00583346">
        <w:t>to keep its discussions in mind when considering the preparations for the next sessions of the Meetings of the Parties.</w:t>
      </w:r>
    </w:p>
    <w:p w14:paraId="08F70B10" w14:textId="5EDD5709" w:rsidR="00F55E7B" w:rsidRPr="00583346" w:rsidRDefault="002739EF" w:rsidP="00F27A9F">
      <w:pPr>
        <w:pStyle w:val="H23G"/>
      </w:pPr>
      <w:r>
        <w:tab/>
        <w:t>(b)</w:t>
      </w:r>
      <w:r>
        <w:tab/>
      </w:r>
      <w:r w:rsidR="00754761" w:rsidRPr="00583346">
        <w:t xml:space="preserve">Practical arrangements </w:t>
      </w:r>
    </w:p>
    <w:p w14:paraId="4DA5F478" w14:textId="61A9C30D" w:rsidR="00B8610F" w:rsidRDefault="00A24CDA" w:rsidP="00F302D6">
      <w:pPr>
        <w:pStyle w:val="SingleTxtG"/>
      </w:pPr>
      <w:r>
        <w:t>2</w:t>
      </w:r>
      <w:r w:rsidR="009516E6">
        <w:t>6</w:t>
      </w:r>
      <w:r w:rsidR="00953FB6">
        <w:t>.</w:t>
      </w:r>
      <w:r w:rsidR="00B8610F" w:rsidRPr="00A1727D">
        <w:tab/>
      </w:r>
      <w:r w:rsidR="00F12029" w:rsidRPr="00A1727D">
        <w:t>The</w:t>
      </w:r>
      <w:r w:rsidR="00823129" w:rsidRPr="00A1727D">
        <w:t xml:space="preserve"> secretariat will report on </w:t>
      </w:r>
      <w:r w:rsidR="008A7476">
        <w:t>the schedule for the p</w:t>
      </w:r>
      <w:r w:rsidR="00823129" w:rsidRPr="00A1727D">
        <w:t xml:space="preserve">reparations </w:t>
      </w:r>
      <w:r w:rsidR="008A7476">
        <w:t>of</w:t>
      </w:r>
      <w:r w:rsidR="00754761">
        <w:t xml:space="preserve"> the eighth session </w:t>
      </w:r>
      <w:r w:rsidR="00754761" w:rsidRPr="00546522">
        <w:t xml:space="preserve">of the Meeting of the Parties to the Convention and the </w:t>
      </w:r>
      <w:r w:rsidR="00754761">
        <w:t xml:space="preserve">fourth session of the Meeting of the Parties to the </w:t>
      </w:r>
      <w:r w:rsidR="00754761" w:rsidRPr="00546522">
        <w:t xml:space="preserve">Protocol, </w:t>
      </w:r>
      <w:r w:rsidR="00D54DC7">
        <w:t xml:space="preserve">in </w:t>
      </w:r>
      <w:r w:rsidR="00754761">
        <w:t xml:space="preserve">December </w:t>
      </w:r>
      <w:r w:rsidR="00754761" w:rsidRPr="00546522">
        <w:t>20</w:t>
      </w:r>
      <w:r w:rsidR="00754761">
        <w:t xml:space="preserve">20. Any delegations wishing to host the sessions should confirm their commitment </w:t>
      </w:r>
      <w:r w:rsidR="00CC5602">
        <w:t>to do so</w:t>
      </w:r>
      <w:r w:rsidR="000D435B">
        <w:t xml:space="preserve"> at the latest at the </w:t>
      </w:r>
      <w:r w:rsidR="00EC190B">
        <w:t xml:space="preserve">present </w:t>
      </w:r>
      <w:r w:rsidR="000D435B">
        <w:t>meeting of the Working Group</w:t>
      </w:r>
      <w:r w:rsidR="00603EE5">
        <w:t>,</w:t>
      </w:r>
      <w:r w:rsidR="000D435B">
        <w:t xml:space="preserve"> to allow for the </w:t>
      </w:r>
      <w:r w:rsidR="00754761">
        <w:t xml:space="preserve">timely </w:t>
      </w:r>
      <w:r w:rsidR="000D435B">
        <w:t>conclusion of</w:t>
      </w:r>
      <w:r w:rsidR="00754761">
        <w:t xml:space="preserve"> a host country agreement</w:t>
      </w:r>
      <w:r w:rsidR="008A7476">
        <w:t xml:space="preserve"> with </w:t>
      </w:r>
      <w:r w:rsidR="001A25B2">
        <w:t>ECE</w:t>
      </w:r>
      <w:r w:rsidR="00754761">
        <w:t xml:space="preserve">. </w:t>
      </w:r>
    </w:p>
    <w:p w14:paraId="0DFE07F2" w14:textId="5B7459A3" w:rsidR="00754761" w:rsidRPr="00754761" w:rsidRDefault="00754761" w:rsidP="00754761">
      <w:pPr>
        <w:pStyle w:val="SingleTxtG"/>
        <w:ind w:left="0"/>
        <w:rPr>
          <w:b/>
          <w:bCs/>
        </w:rPr>
      </w:pPr>
      <w:r>
        <w:tab/>
      </w:r>
      <w:r w:rsidRPr="00754761">
        <w:rPr>
          <w:b/>
          <w:bCs/>
        </w:rPr>
        <w:t>(</w:t>
      </w:r>
      <w:r w:rsidR="002739EF">
        <w:rPr>
          <w:b/>
          <w:bCs/>
        </w:rPr>
        <w:t>c</w:t>
      </w:r>
      <w:r w:rsidRPr="00754761">
        <w:rPr>
          <w:b/>
          <w:bCs/>
        </w:rPr>
        <w:t>)</w:t>
      </w:r>
      <w:r w:rsidRPr="00754761">
        <w:rPr>
          <w:b/>
          <w:bCs/>
        </w:rPr>
        <w:tab/>
        <w:t>Provisional programme</w:t>
      </w:r>
    </w:p>
    <w:p w14:paraId="694B811D" w14:textId="1962679E" w:rsidR="002739EF" w:rsidRDefault="00995A75" w:rsidP="009A5DF3">
      <w:pPr>
        <w:pStyle w:val="SingleTxtG"/>
      </w:pPr>
      <w:r w:rsidRPr="00A1727D">
        <w:t>2</w:t>
      </w:r>
      <w:r w:rsidR="009516E6">
        <w:t>7</w:t>
      </w:r>
      <w:r w:rsidRPr="00A1727D">
        <w:t>.</w:t>
      </w:r>
      <w:r w:rsidRPr="00A1727D">
        <w:tab/>
      </w:r>
      <w:r w:rsidR="00B8610F" w:rsidRPr="00A1727D">
        <w:t xml:space="preserve">The </w:t>
      </w:r>
      <w:r w:rsidR="00911FAE" w:rsidRPr="00A1727D">
        <w:t>Chair will</w:t>
      </w:r>
      <w:r w:rsidRPr="00A1727D">
        <w:t xml:space="preserve"> present </w:t>
      </w:r>
      <w:r w:rsidR="00A1727D" w:rsidRPr="00A1727D">
        <w:t xml:space="preserve">a Bureau proposal for </w:t>
      </w:r>
      <w:r w:rsidR="00B8610F" w:rsidRPr="00A1727D">
        <w:t xml:space="preserve">the </w:t>
      </w:r>
      <w:r w:rsidR="00165F43">
        <w:t xml:space="preserve">provisional </w:t>
      </w:r>
      <w:r w:rsidR="00583346">
        <w:t xml:space="preserve">programme for the next sessions of the Meetings of the Parties, </w:t>
      </w:r>
      <w:r w:rsidR="002739EF">
        <w:t>t</w:t>
      </w:r>
      <w:r w:rsidR="00CA3232">
        <w:t>aking account</w:t>
      </w:r>
      <w:r w:rsidR="000D435B">
        <w:t xml:space="preserve"> of</w:t>
      </w:r>
      <w:r w:rsidR="00CA3232">
        <w:t xml:space="preserve"> the Bureau’s</w:t>
      </w:r>
      <w:r w:rsidR="002739EF">
        <w:t xml:space="preserve"> v</w:t>
      </w:r>
      <w:r w:rsidR="00583346">
        <w:t>iews on the optimal duration of the</w:t>
      </w:r>
      <w:r w:rsidR="00B235BB">
        <w:t>se</w:t>
      </w:r>
      <w:r w:rsidR="00583346">
        <w:t xml:space="preserve"> sessions</w:t>
      </w:r>
      <w:r w:rsidR="002739EF">
        <w:t>.</w:t>
      </w:r>
      <w:r w:rsidR="00583346">
        <w:t xml:space="preserve"> </w:t>
      </w:r>
      <w:r w:rsidR="00A1727D" w:rsidRPr="00A1727D">
        <w:t xml:space="preserve">The Working Group is expected </w:t>
      </w:r>
      <w:r w:rsidR="00CC5602">
        <w:t xml:space="preserve">to </w:t>
      </w:r>
      <w:r w:rsidR="002739EF">
        <w:t xml:space="preserve">consider the </w:t>
      </w:r>
      <w:r w:rsidR="00CC5602">
        <w:t xml:space="preserve">provisional </w:t>
      </w:r>
      <w:r w:rsidR="002739EF">
        <w:t>programme and provide guidance for the preparation of an annotated provisional agenda f</w:t>
      </w:r>
      <w:r w:rsidR="008B41F0">
        <w:t>or</w:t>
      </w:r>
      <w:r w:rsidR="002739EF">
        <w:t xml:space="preserve"> the two sessions</w:t>
      </w:r>
      <w:r w:rsidR="00603EE5">
        <w:t>,</w:t>
      </w:r>
      <w:r w:rsidR="002739EF">
        <w:t xml:space="preserve"> for it </w:t>
      </w:r>
      <w:r w:rsidR="00A1727D" w:rsidRPr="00A1727D">
        <w:t xml:space="preserve">to agree </w:t>
      </w:r>
      <w:r w:rsidR="00362A33">
        <w:t xml:space="preserve">on </w:t>
      </w:r>
      <w:r w:rsidR="002739EF">
        <w:t xml:space="preserve">at </w:t>
      </w:r>
      <w:r w:rsidR="00D54DC7">
        <w:t xml:space="preserve">its </w:t>
      </w:r>
      <w:r w:rsidR="002739EF">
        <w:t xml:space="preserve">next meeting in 2020. </w:t>
      </w:r>
    </w:p>
    <w:p w14:paraId="2B8A36AA" w14:textId="1AB735AA" w:rsidR="002739EF" w:rsidRDefault="002739EF" w:rsidP="009A5DF3">
      <w:pPr>
        <w:pStyle w:val="SingleTxtG"/>
      </w:pPr>
      <w:r>
        <w:t>2</w:t>
      </w:r>
      <w:r w:rsidR="009516E6">
        <w:t>8</w:t>
      </w:r>
      <w:r>
        <w:t>.</w:t>
      </w:r>
      <w:r>
        <w:tab/>
      </w:r>
      <w:r w:rsidR="009A5DF3" w:rsidRPr="00505C8B">
        <w:t xml:space="preserve">The Chair will invite delegations to make proposals </w:t>
      </w:r>
      <w:r w:rsidR="009A5DF3">
        <w:t xml:space="preserve">for </w:t>
      </w:r>
      <w:r w:rsidR="009A5DF3" w:rsidRPr="00505C8B">
        <w:t xml:space="preserve">attracting high-level </w:t>
      </w:r>
      <w:r w:rsidR="009049DB">
        <w:t xml:space="preserve">participation to </w:t>
      </w:r>
      <w:r w:rsidR="009A5DF3" w:rsidRPr="00505C8B">
        <w:t xml:space="preserve">the next sessions of the Meetings of the Parties and </w:t>
      </w:r>
      <w:r w:rsidR="000D435B">
        <w:t xml:space="preserve">for </w:t>
      </w:r>
      <w:r w:rsidR="009A5DF3" w:rsidRPr="00505C8B">
        <w:t>enriching the programme of the sessions</w:t>
      </w:r>
      <w:r w:rsidR="009A5DF3">
        <w:t>. Considering</w:t>
      </w:r>
      <w:r>
        <w:t xml:space="preserve"> the recommendations from the Bureau, the Working Group is invited to discuss</w:t>
      </w:r>
      <w:r w:rsidR="005D1C08">
        <w:t>,</w:t>
      </w:r>
      <w:r>
        <w:t xml:space="preserve"> </w:t>
      </w:r>
      <w:r w:rsidR="00CC5602">
        <w:t>in particular</w:t>
      </w:r>
      <w:r w:rsidR="005D1C08">
        <w:t>,</w:t>
      </w:r>
      <w:r w:rsidR="00CC5602">
        <w:t xml:space="preserve"> </w:t>
      </w:r>
      <w:r>
        <w:t xml:space="preserve">topics for </w:t>
      </w:r>
      <w:r w:rsidRPr="00E32ABF">
        <w:t>a thematic seminar</w:t>
      </w:r>
      <w:r>
        <w:t xml:space="preserve"> and/or a panel,</w:t>
      </w:r>
      <w:r w:rsidRPr="00E32ABF">
        <w:t xml:space="preserve"> to be </w:t>
      </w:r>
      <w:r>
        <w:t xml:space="preserve">organized </w:t>
      </w:r>
      <w:r w:rsidRPr="00E32ABF">
        <w:t>during the</w:t>
      </w:r>
      <w:r>
        <w:t xml:space="preserve"> se</w:t>
      </w:r>
      <w:r w:rsidRPr="00E32ABF">
        <w:t>ssions</w:t>
      </w:r>
      <w:r w:rsidR="00D91DE6">
        <w:t>’</w:t>
      </w:r>
      <w:r w:rsidR="00631402">
        <w:t xml:space="preserve"> </w:t>
      </w:r>
      <w:r w:rsidR="00D91DE6">
        <w:t>general and/or high-level segment(s)</w:t>
      </w:r>
      <w:r>
        <w:t xml:space="preserve">. Delegations </w:t>
      </w:r>
      <w:r w:rsidR="009A5DF3">
        <w:t xml:space="preserve">may also wish to propose holding side events. Delegations </w:t>
      </w:r>
      <w:r>
        <w:t>are invited to propose leading the</w:t>
      </w:r>
      <w:r w:rsidR="00D91DE6">
        <w:t xml:space="preserve"> organization of the events</w:t>
      </w:r>
      <w:r w:rsidR="00096BC4">
        <w:t xml:space="preserve"> and </w:t>
      </w:r>
      <w:r w:rsidR="00362A33">
        <w:t xml:space="preserve">to </w:t>
      </w:r>
      <w:r w:rsidR="00096BC4">
        <w:t>suggest speakers</w:t>
      </w:r>
      <w:r w:rsidR="00D91DE6">
        <w:t>.</w:t>
      </w:r>
    </w:p>
    <w:p w14:paraId="7BE4B29E" w14:textId="0FE44F59" w:rsidR="00D91DE6" w:rsidRDefault="00D91DE6" w:rsidP="00D91DE6">
      <w:pPr>
        <w:pStyle w:val="SingleTxtG"/>
        <w:ind w:left="0"/>
        <w:rPr>
          <w:b/>
          <w:bCs/>
        </w:rPr>
      </w:pPr>
      <w:r w:rsidRPr="00D91DE6">
        <w:rPr>
          <w:b/>
          <w:bCs/>
        </w:rPr>
        <w:t xml:space="preserve"> </w:t>
      </w:r>
      <w:r w:rsidRPr="00D91DE6">
        <w:rPr>
          <w:b/>
          <w:bCs/>
        </w:rPr>
        <w:tab/>
        <w:t>(d)</w:t>
      </w:r>
      <w:r w:rsidRPr="00D91DE6">
        <w:rPr>
          <w:b/>
          <w:bCs/>
        </w:rPr>
        <w:tab/>
        <w:t>List of draft documents and decisions</w:t>
      </w:r>
    </w:p>
    <w:p w14:paraId="38DA1757" w14:textId="6F2DD490" w:rsidR="000D435B" w:rsidRDefault="009516E6" w:rsidP="00D028E9">
      <w:pPr>
        <w:pStyle w:val="SingleTxtG"/>
      </w:pPr>
      <w:r>
        <w:t>29</w:t>
      </w:r>
      <w:r w:rsidR="00631402">
        <w:t>.</w:t>
      </w:r>
      <w:r w:rsidR="00631402">
        <w:tab/>
        <w:t xml:space="preserve">Based on a proposal by the Bureau, the Working Group is invited to </w:t>
      </w:r>
      <w:r w:rsidR="00631402" w:rsidRPr="00631402">
        <w:t>agree on an initial list of draft decisions and documents</w:t>
      </w:r>
      <w:r w:rsidR="008A1C7E">
        <w:t xml:space="preserve"> </w:t>
      </w:r>
      <w:r w:rsidR="00631402" w:rsidRPr="00631402">
        <w:t xml:space="preserve">to be prepared for </w:t>
      </w:r>
      <w:r w:rsidR="00CA3232">
        <w:t xml:space="preserve">consideration </w:t>
      </w:r>
      <w:r w:rsidR="00362A33">
        <w:t>by</w:t>
      </w:r>
      <w:r w:rsidR="00CA3232">
        <w:t xml:space="preserve"> </w:t>
      </w:r>
      <w:r w:rsidR="00631402" w:rsidRPr="00631402">
        <w:t>the Meetings of the Parties</w:t>
      </w:r>
      <w:r w:rsidR="00CA3232">
        <w:t xml:space="preserve">. </w:t>
      </w:r>
      <w:r w:rsidR="00CA3232" w:rsidRPr="00631402">
        <w:t xml:space="preserve">It </w:t>
      </w:r>
      <w:r w:rsidR="00CA3232">
        <w:t xml:space="preserve">will be invited to </w:t>
      </w:r>
      <w:r w:rsidR="00CA3232" w:rsidRPr="00631402">
        <w:t xml:space="preserve">consider, for example, </w:t>
      </w:r>
      <w:r w:rsidR="001D5162" w:rsidRPr="00417777">
        <w:t xml:space="preserve">elements for </w:t>
      </w:r>
      <w:r w:rsidR="00A20EE3" w:rsidRPr="00477826">
        <w:t xml:space="preserve">a </w:t>
      </w:r>
      <w:r w:rsidR="001D5162" w:rsidRPr="00417777">
        <w:t>draft</w:t>
      </w:r>
      <w:r w:rsidR="000D435B" w:rsidRPr="00417777">
        <w:t xml:space="preserve"> declaration</w:t>
      </w:r>
      <w:r w:rsidR="000D435B">
        <w:t xml:space="preserve"> for the next sessions </w:t>
      </w:r>
      <w:r w:rsidR="001D5162">
        <w:t>prepared by the Bureau with support from the secretariat</w:t>
      </w:r>
      <w:r w:rsidR="00DF6416">
        <w:t xml:space="preserve"> </w:t>
      </w:r>
      <w:r w:rsidR="001D5162">
        <w:t xml:space="preserve">and </w:t>
      </w:r>
      <w:r w:rsidR="00362A33">
        <w:t xml:space="preserve">to </w:t>
      </w:r>
      <w:r w:rsidR="00CA3232">
        <w:t>agree on i</w:t>
      </w:r>
      <w:r w:rsidR="00CA3232" w:rsidRPr="00631402">
        <w:t>ts main messages</w:t>
      </w:r>
      <w:r w:rsidR="00CA3232">
        <w:t xml:space="preserve">. </w:t>
      </w:r>
    </w:p>
    <w:p w14:paraId="39ADD561" w14:textId="51934E3D" w:rsidR="001D1B89" w:rsidRDefault="000D435B" w:rsidP="001D1B89">
      <w:pPr>
        <w:pStyle w:val="SingleTxtG"/>
      </w:pPr>
      <w:r>
        <w:t>3</w:t>
      </w:r>
      <w:r w:rsidR="009516E6">
        <w:t>0</w:t>
      </w:r>
      <w:r>
        <w:t>.</w:t>
      </w:r>
      <w:r>
        <w:tab/>
      </w:r>
      <w:r w:rsidR="00CA3232">
        <w:t>The Working Group will be</w:t>
      </w:r>
      <w:r w:rsidR="001D1B89">
        <w:t xml:space="preserve"> </w:t>
      </w:r>
      <w:r w:rsidR="00CA3232">
        <w:t>expected to</w:t>
      </w:r>
      <w:r w:rsidR="008A1C7E">
        <w:t xml:space="preserve"> provide guidance on th</w:t>
      </w:r>
      <w:r w:rsidR="00182932">
        <w:t>e</w:t>
      </w:r>
      <w:r w:rsidR="008A1C7E">
        <w:t xml:space="preserve"> </w:t>
      </w:r>
      <w:r w:rsidR="00CA3232">
        <w:t xml:space="preserve">development </w:t>
      </w:r>
      <w:r w:rsidR="00182932">
        <w:t xml:space="preserve">of the </w:t>
      </w:r>
      <w:r w:rsidR="00DD043F">
        <w:t xml:space="preserve">draft </w:t>
      </w:r>
      <w:r>
        <w:t xml:space="preserve">declaration, </w:t>
      </w:r>
      <w:r w:rsidR="00DD043F">
        <w:t xml:space="preserve">draft </w:t>
      </w:r>
      <w:r w:rsidR="00182932">
        <w:t>documents</w:t>
      </w:r>
      <w:r w:rsidR="006C6445">
        <w:t xml:space="preserve"> and </w:t>
      </w:r>
      <w:r w:rsidR="00DD043F">
        <w:t xml:space="preserve">draft </w:t>
      </w:r>
      <w:r w:rsidR="006C6445">
        <w:t>decisions</w:t>
      </w:r>
      <w:r w:rsidR="001D1B89">
        <w:t>. It is also expected to r</w:t>
      </w:r>
      <w:r w:rsidR="00CA3232">
        <w:t xml:space="preserve">equest that </w:t>
      </w:r>
      <w:r w:rsidR="00182932">
        <w:t>d</w:t>
      </w:r>
      <w:r w:rsidR="00CA3232">
        <w:t xml:space="preserve">raft documents </w:t>
      </w:r>
      <w:r w:rsidR="00362A33">
        <w:t>b</w:t>
      </w:r>
      <w:r w:rsidR="00CA3232">
        <w:t>e prepared for the Working Group’s consideration</w:t>
      </w:r>
      <w:r>
        <w:t xml:space="preserve"> and agreement</w:t>
      </w:r>
      <w:r w:rsidR="00CA3232">
        <w:t xml:space="preserve"> at its next meeting</w:t>
      </w:r>
      <w:r w:rsidR="00362A33">
        <w:t>,</w:t>
      </w:r>
      <w:r w:rsidR="00CA3232">
        <w:t xml:space="preserve"> </w:t>
      </w:r>
      <w:r w:rsidR="000217E8">
        <w:t xml:space="preserve">either by the Bureau with support from the secretariat, or by </w:t>
      </w:r>
      <w:r w:rsidR="00CA3232">
        <w:t>establishing a</w:t>
      </w:r>
      <w:r w:rsidR="000217E8">
        <w:t xml:space="preserve"> drafting group of volunteering Parties</w:t>
      </w:r>
      <w:r w:rsidR="00CA3232">
        <w:t xml:space="preserve"> that would</w:t>
      </w:r>
      <w:r w:rsidR="000217E8">
        <w:t xml:space="preserve"> consult with the Bureau</w:t>
      </w:r>
      <w:r w:rsidR="00182932">
        <w:t xml:space="preserve"> and the secretariat</w:t>
      </w:r>
      <w:r w:rsidR="001D1B89">
        <w:t xml:space="preserve"> – with the exception of </w:t>
      </w:r>
      <w:bookmarkStart w:id="41" w:name="_Hlk8832292"/>
      <w:r w:rsidR="001D1B89">
        <w:t>the draft decisions on the review</w:t>
      </w:r>
      <w:r w:rsidR="001D1B89" w:rsidRPr="001D1B89">
        <w:t xml:space="preserve"> </w:t>
      </w:r>
      <w:r w:rsidR="001D1B89" w:rsidRPr="00505C8B">
        <w:t>of compliance</w:t>
      </w:r>
      <w:r>
        <w:t xml:space="preserve"> with the Convention and the Protocol and the report on the activities of the Implementation Committee</w:t>
      </w:r>
      <w:r w:rsidR="00362A33">
        <w:t>, which</w:t>
      </w:r>
      <w:r w:rsidR="001D1B89">
        <w:t xml:space="preserve"> are </w:t>
      </w:r>
      <w:r w:rsidR="001D1B89" w:rsidRPr="00505C8B">
        <w:t>to be drafted by the Committee.</w:t>
      </w:r>
    </w:p>
    <w:p w14:paraId="7EFBE55B" w14:textId="66D9B367" w:rsidR="001817AE" w:rsidRPr="001817AE" w:rsidRDefault="001817AE" w:rsidP="001817AE">
      <w:pPr>
        <w:pStyle w:val="SingleTxtG"/>
        <w:ind w:left="0"/>
        <w:rPr>
          <w:b/>
          <w:bCs/>
        </w:rPr>
      </w:pPr>
      <w:r>
        <w:tab/>
      </w:r>
      <w:r w:rsidRPr="001817AE">
        <w:rPr>
          <w:b/>
          <w:bCs/>
        </w:rPr>
        <w:t>(e)</w:t>
      </w:r>
      <w:r w:rsidRPr="001817AE">
        <w:rPr>
          <w:b/>
          <w:bCs/>
        </w:rPr>
        <w:tab/>
        <w:t>Chairs of the sessions</w:t>
      </w:r>
    </w:p>
    <w:p w14:paraId="011E5099" w14:textId="7B45EEF3" w:rsidR="00631402" w:rsidRDefault="002F7594" w:rsidP="001817AE">
      <w:pPr>
        <w:pStyle w:val="SingleTxtG"/>
      </w:pPr>
      <w:r>
        <w:t>3</w:t>
      </w:r>
      <w:r w:rsidR="009516E6">
        <w:t>1</w:t>
      </w:r>
      <w:r w:rsidR="001817AE">
        <w:t>.</w:t>
      </w:r>
      <w:r w:rsidR="001817AE">
        <w:tab/>
      </w:r>
      <w:r w:rsidR="001817AE" w:rsidRPr="00A1727D">
        <w:t xml:space="preserve">The Working Group is also expected to </w:t>
      </w:r>
      <w:r w:rsidR="001817AE">
        <w:t xml:space="preserve">initially </w:t>
      </w:r>
      <w:r w:rsidR="001817AE" w:rsidRPr="00A1727D">
        <w:t>discuss the chair</w:t>
      </w:r>
      <w:r w:rsidR="00DC539A">
        <w:t>ing</w:t>
      </w:r>
      <w:r w:rsidR="001817AE" w:rsidRPr="00A1727D">
        <w:t xml:space="preserve"> of</w:t>
      </w:r>
      <w:r w:rsidR="001817AE">
        <w:t xml:space="preserve"> the general and high-level segment</w:t>
      </w:r>
      <w:r w:rsidR="00362A33">
        <w:t>s</w:t>
      </w:r>
      <w:r w:rsidR="001817AE">
        <w:t xml:space="preserve"> of the </w:t>
      </w:r>
      <w:r w:rsidR="001817AE" w:rsidRPr="00A1727D">
        <w:t>session</w:t>
      </w:r>
      <w:r w:rsidR="007813E2">
        <w:t>s</w:t>
      </w:r>
      <w:r w:rsidR="001817AE" w:rsidRPr="00A1727D">
        <w:t>, taking into account any proposals from the Bureau.</w:t>
      </w:r>
      <w:r w:rsidR="001817AE">
        <w:t xml:space="preserve"> </w:t>
      </w:r>
      <w:r w:rsidR="001D1B89">
        <w:t xml:space="preserve"> </w:t>
      </w:r>
      <w:r w:rsidR="00631402">
        <w:t xml:space="preserve"> </w:t>
      </w:r>
    </w:p>
    <w:bookmarkEnd w:id="41"/>
    <w:p w14:paraId="22E9AF7E" w14:textId="5776FD38" w:rsidR="00E42AAB" w:rsidRPr="00E42AAB" w:rsidRDefault="00E42AAB" w:rsidP="00E42AAB">
      <w:pPr>
        <w:pStyle w:val="SingleTxtG"/>
        <w:ind w:left="0"/>
        <w:rPr>
          <w:b/>
          <w:bCs/>
        </w:rPr>
      </w:pPr>
      <w:r>
        <w:tab/>
      </w:r>
      <w:r w:rsidRPr="00E42AAB">
        <w:rPr>
          <w:b/>
          <w:bCs/>
        </w:rPr>
        <w:t>(</w:t>
      </w:r>
      <w:r w:rsidR="001817AE">
        <w:rPr>
          <w:b/>
          <w:bCs/>
        </w:rPr>
        <w:t>f</w:t>
      </w:r>
      <w:r w:rsidRPr="00E42AAB">
        <w:rPr>
          <w:b/>
          <w:bCs/>
        </w:rPr>
        <w:t>)</w:t>
      </w:r>
      <w:r w:rsidRPr="00E42AAB">
        <w:rPr>
          <w:b/>
          <w:bCs/>
        </w:rPr>
        <w:tab/>
        <w:t>Possible activities for the next draft workplan</w:t>
      </w:r>
      <w:r w:rsidR="002F6842">
        <w:rPr>
          <w:b/>
          <w:bCs/>
        </w:rPr>
        <w:t xml:space="preserve"> (</w:t>
      </w:r>
      <w:r w:rsidRPr="00E42AAB">
        <w:rPr>
          <w:b/>
          <w:bCs/>
        </w:rPr>
        <w:t>2021–2023</w:t>
      </w:r>
      <w:r w:rsidR="002F6842">
        <w:rPr>
          <w:b/>
          <w:bCs/>
        </w:rPr>
        <w:t>)</w:t>
      </w:r>
    </w:p>
    <w:p w14:paraId="0042E1C8" w14:textId="72BE4AFB" w:rsidR="00EB4A21" w:rsidRDefault="001817AE" w:rsidP="007F4998">
      <w:pPr>
        <w:pStyle w:val="SingleTxtG"/>
      </w:pPr>
      <w:r>
        <w:t>3</w:t>
      </w:r>
      <w:r w:rsidR="009516E6">
        <w:t>2</w:t>
      </w:r>
      <w:r w:rsidR="008A1C7E">
        <w:t>.</w:t>
      </w:r>
      <w:r w:rsidR="008A1C7E">
        <w:tab/>
      </w:r>
      <w:r w:rsidR="008A1C7E" w:rsidRPr="00505C8B">
        <w:t>Delegations</w:t>
      </w:r>
      <w:r w:rsidR="008A1C7E">
        <w:t xml:space="preserve"> </w:t>
      </w:r>
      <w:r w:rsidR="008A1C7E" w:rsidRPr="00505C8B">
        <w:t>will be invited to</w:t>
      </w:r>
      <w:r w:rsidR="008A1C7E">
        <w:t xml:space="preserve"> consider the initial workplan elements</w:t>
      </w:r>
      <w:r w:rsidR="002F6842">
        <w:t xml:space="preserve"> for the next intersessional period (2021–2023)</w:t>
      </w:r>
      <w:r w:rsidR="008A1C7E">
        <w:t xml:space="preserve"> </w:t>
      </w:r>
      <w:r w:rsidR="008A1C7E" w:rsidRPr="0096403A">
        <w:t>proposed by the Bureau</w:t>
      </w:r>
      <w:r w:rsidR="00EB4A21" w:rsidRPr="0096403A">
        <w:t>, including</w:t>
      </w:r>
      <w:r w:rsidR="008A1C7E" w:rsidRPr="0096403A">
        <w:t xml:space="preserve"> </w:t>
      </w:r>
      <w:r w:rsidR="00EB4A21" w:rsidRPr="0096403A">
        <w:t xml:space="preserve">based on the </w:t>
      </w:r>
      <w:r w:rsidR="008E54FB" w:rsidRPr="0096403A">
        <w:t>request</w:t>
      </w:r>
      <w:r w:rsidR="00DD043F" w:rsidRPr="0096403A">
        <w:t>s for</w:t>
      </w:r>
      <w:r w:rsidR="008E54FB" w:rsidRPr="0096403A">
        <w:t xml:space="preserve"> </w:t>
      </w:r>
      <w:r w:rsidR="00EB4A21" w:rsidRPr="0096403A">
        <w:t>capacity</w:t>
      </w:r>
      <w:r w:rsidR="00362A33" w:rsidRPr="0096403A">
        <w:t>-</w:t>
      </w:r>
      <w:r w:rsidR="00EB4A21" w:rsidRPr="0096403A">
        <w:t>building activities</w:t>
      </w:r>
      <w:r w:rsidR="007373D1" w:rsidRPr="0096403A">
        <w:t xml:space="preserve"> and </w:t>
      </w:r>
      <w:r w:rsidR="00EC190B" w:rsidRPr="00477826">
        <w:t xml:space="preserve">on </w:t>
      </w:r>
      <w:r w:rsidR="007373D1" w:rsidRPr="0096403A">
        <w:t>suggestions from the Implementation Committee,</w:t>
      </w:r>
      <w:r w:rsidR="00EB4A21" w:rsidRPr="0096403A">
        <w:t xml:space="preserve"> </w:t>
      </w:r>
      <w:r w:rsidR="008A1C7E" w:rsidRPr="0096403A">
        <w:t xml:space="preserve">and </w:t>
      </w:r>
      <w:r w:rsidR="00AB5D43" w:rsidRPr="0096403A">
        <w:t xml:space="preserve">to </w:t>
      </w:r>
      <w:r w:rsidR="008A1C7E" w:rsidRPr="0096403A">
        <w:t>make further proposals on possible elements to be included.</w:t>
      </w:r>
      <w:r w:rsidR="008A1C7E" w:rsidRPr="00505C8B">
        <w:t xml:space="preserve"> </w:t>
      </w:r>
      <w:r w:rsidR="00EB4A21" w:rsidRPr="00546522">
        <w:t xml:space="preserve">The </w:t>
      </w:r>
      <w:r w:rsidR="008E54FB">
        <w:t xml:space="preserve">beneficiary </w:t>
      </w:r>
      <w:r w:rsidR="00EB4A21" w:rsidRPr="00546522">
        <w:t>countries</w:t>
      </w:r>
      <w:r w:rsidR="008E54FB">
        <w:t xml:space="preserve"> for the capacity</w:t>
      </w:r>
      <w:r w:rsidR="00AB5D43">
        <w:t>-</w:t>
      </w:r>
      <w:r w:rsidR="008E54FB">
        <w:t>building activities</w:t>
      </w:r>
      <w:r w:rsidR="00EB4A21" w:rsidRPr="00546522">
        <w:t xml:space="preserve"> will be invited to confirm their priority needs for further assistance.</w:t>
      </w:r>
      <w:r w:rsidR="00EB4A21">
        <w:t xml:space="preserve"> In</w:t>
      </w:r>
      <w:r w:rsidR="002F6842">
        <w:t xml:space="preserve"> drawing up the workplan, t</w:t>
      </w:r>
      <w:r w:rsidR="008A1C7E" w:rsidRPr="00505C8B">
        <w:t xml:space="preserve">he Working Group </w:t>
      </w:r>
      <w:r w:rsidR="002F6842">
        <w:t>m</w:t>
      </w:r>
      <w:r w:rsidR="002F6842" w:rsidRPr="00546522">
        <w:t xml:space="preserve">ay </w:t>
      </w:r>
      <w:r w:rsidR="002F6842">
        <w:t xml:space="preserve">also </w:t>
      </w:r>
      <w:r w:rsidR="002F6842" w:rsidRPr="00546522">
        <w:t xml:space="preserve">wish to consider the key findings from the draft </w:t>
      </w:r>
      <w:r w:rsidR="002F6842">
        <w:t>sixth</w:t>
      </w:r>
      <w:r w:rsidR="002F6842" w:rsidRPr="00546522">
        <w:t xml:space="preserve"> review of implementation of the Convention and the draft </w:t>
      </w:r>
      <w:r w:rsidR="002F6842">
        <w:lastRenderedPageBreak/>
        <w:t xml:space="preserve">third </w:t>
      </w:r>
      <w:r w:rsidR="002F6842" w:rsidRPr="00546522">
        <w:t>review of the implementation of the Protocol</w:t>
      </w:r>
      <w:r w:rsidR="00EB4A21">
        <w:t xml:space="preserve">, </w:t>
      </w:r>
      <w:r w:rsidR="008E54FB">
        <w:t>which</w:t>
      </w:r>
      <w:r w:rsidR="0009208B">
        <w:t xml:space="preserve"> will</w:t>
      </w:r>
      <w:r w:rsidR="00EB4A21">
        <w:t xml:space="preserve"> identify possible weaknesses to be addressed</w:t>
      </w:r>
      <w:r w:rsidR="002F6842">
        <w:t xml:space="preserve">. </w:t>
      </w:r>
    </w:p>
    <w:p w14:paraId="29B3F5C4" w14:textId="039083DA" w:rsidR="00E42AAB" w:rsidRDefault="00EB4A21" w:rsidP="007F4998">
      <w:pPr>
        <w:pStyle w:val="SingleTxtG"/>
      </w:pPr>
      <w:r>
        <w:t>3</w:t>
      </w:r>
      <w:r w:rsidR="009516E6">
        <w:t>3</w:t>
      </w:r>
      <w:r>
        <w:t>.</w:t>
      </w:r>
      <w:r>
        <w:tab/>
      </w:r>
      <w:r w:rsidR="002F6842">
        <w:t xml:space="preserve">The Working Group is </w:t>
      </w:r>
      <w:r w:rsidR="008A1C7E" w:rsidRPr="00505C8B">
        <w:t xml:space="preserve">expected to </w:t>
      </w:r>
      <w:r w:rsidR="008A1C7E">
        <w:t xml:space="preserve">initially </w:t>
      </w:r>
      <w:r w:rsidR="008A1C7E" w:rsidRPr="00505C8B">
        <w:t>ensure that</w:t>
      </w:r>
      <w:r w:rsidR="00AB5D43">
        <w:t>,</w:t>
      </w:r>
      <w:r w:rsidR="008A1C7E" w:rsidRPr="00505C8B">
        <w:t xml:space="preserve"> for each activity in the workplan</w:t>
      </w:r>
      <w:r w:rsidR="00AB5D43">
        <w:t>,</w:t>
      </w:r>
      <w:r w:rsidR="008A1C7E" w:rsidRPr="00505C8B">
        <w:t xml:space="preserve"> a lead country or organization and a source of funding </w:t>
      </w:r>
      <w:r w:rsidR="00AB5D43">
        <w:t>are</w:t>
      </w:r>
      <w:r w:rsidR="008A1C7E" w:rsidRPr="00505C8B">
        <w:t xml:space="preserve"> identified. </w:t>
      </w:r>
      <w:r w:rsidR="002F6842" w:rsidRPr="00546522">
        <w:t xml:space="preserve">Delegations will be invited to </w:t>
      </w:r>
      <w:r w:rsidR="002F6842">
        <w:t xml:space="preserve">consider </w:t>
      </w:r>
      <w:r w:rsidR="002F6842" w:rsidRPr="00546522">
        <w:t xml:space="preserve">their possibilities for leading or sponsoring activities, and for hosting capacity-building or </w:t>
      </w:r>
      <w:proofErr w:type="spellStart"/>
      <w:r w:rsidR="002F6842" w:rsidRPr="00546522">
        <w:t>subregional</w:t>
      </w:r>
      <w:proofErr w:type="spellEnd"/>
      <w:r w:rsidR="002F6842" w:rsidRPr="00546522">
        <w:t xml:space="preserve"> cooperation events within the ECE region or beyond. </w:t>
      </w:r>
      <w:r w:rsidR="0096403A">
        <w:t>The Working Group</w:t>
      </w:r>
      <w:r w:rsidR="008A1C7E" w:rsidRPr="00505C8B">
        <w:t xml:space="preserve"> is also invited on </w:t>
      </w:r>
      <w:r w:rsidR="008A1C7E">
        <w:t xml:space="preserve">consider </w:t>
      </w:r>
      <w:r w:rsidR="008A1C7E" w:rsidRPr="00505C8B">
        <w:t xml:space="preserve">which activities </w:t>
      </w:r>
      <w:r w:rsidR="008A1C7E">
        <w:t xml:space="preserve">could </w:t>
      </w:r>
      <w:r w:rsidR="008A1C7E" w:rsidRPr="00505C8B">
        <w:t xml:space="preserve">be waitlisted in </w:t>
      </w:r>
      <w:r w:rsidR="008A1C7E">
        <w:t xml:space="preserve">the </w:t>
      </w:r>
      <w:r w:rsidR="008A1C7E" w:rsidRPr="00505C8B">
        <w:t>absence of funding</w:t>
      </w:r>
      <w:r w:rsidR="008A1C7E">
        <w:t xml:space="preserve"> at present</w:t>
      </w:r>
      <w:r w:rsidR="0096403A">
        <w:t>. Lastly, the Working Group</w:t>
      </w:r>
      <w:r w:rsidR="008A1C7E" w:rsidRPr="00505C8B">
        <w:t xml:space="preserve"> </w:t>
      </w:r>
      <w:r w:rsidR="007F4998">
        <w:t xml:space="preserve">will be invited </w:t>
      </w:r>
      <w:r w:rsidR="008A1C7E" w:rsidRPr="00505C8B">
        <w:t xml:space="preserve">to </w:t>
      </w:r>
      <w:r w:rsidR="006F2EC0">
        <w:t xml:space="preserve">agree on the format </w:t>
      </w:r>
      <w:r w:rsidR="007F4998">
        <w:t xml:space="preserve">of </w:t>
      </w:r>
      <w:r w:rsidR="006F2EC0">
        <w:t xml:space="preserve">the draft workplan </w:t>
      </w:r>
      <w:r w:rsidR="0009208B">
        <w:t xml:space="preserve">proposed by the Bureau </w:t>
      </w:r>
      <w:r w:rsidR="006F2EC0">
        <w:t xml:space="preserve">and its </w:t>
      </w:r>
      <w:r w:rsidR="008A1C7E" w:rsidRPr="00505C8B">
        <w:t>further development in advance of its next meeting</w:t>
      </w:r>
      <w:r w:rsidR="000563D8">
        <w:t>,</w:t>
      </w:r>
      <w:r w:rsidR="006F2EC0">
        <w:t xml:space="preserve"> with inputs from the delegations</w:t>
      </w:r>
      <w:r w:rsidR="008A1C7E" w:rsidRPr="00505C8B">
        <w:t>.</w:t>
      </w:r>
    </w:p>
    <w:p w14:paraId="1A8F3B59" w14:textId="3405418A" w:rsidR="00E42AAB" w:rsidRPr="00E42AAB" w:rsidRDefault="00046565" w:rsidP="00046565">
      <w:pPr>
        <w:spacing w:after="120"/>
        <w:ind w:right="1134" w:firstLine="567"/>
        <w:jc w:val="both"/>
        <w:rPr>
          <w:b/>
          <w:bCs/>
        </w:rPr>
      </w:pPr>
      <w:r>
        <w:rPr>
          <w:b/>
          <w:bCs/>
        </w:rPr>
        <w:t>(</w:t>
      </w:r>
      <w:r w:rsidR="00B7592A">
        <w:rPr>
          <w:b/>
          <w:bCs/>
        </w:rPr>
        <w:t>g</w:t>
      </w:r>
      <w:r>
        <w:rPr>
          <w:b/>
          <w:bCs/>
        </w:rPr>
        <w:t>)</w:t>
      </w:r>
      <w:r>
        <w:rPr>
          <w:b/>
          <w:bCs/>
        </w:rPr>
        <w:tab/>
      </w:r>
      <w:r w:rsidR="00E42AAB" w:rsidRPr="00E42AAB">
        <w:rPr>
          <w:b/>
          <w:bCs/>
        </w:rPr>
        <w:t>Tentative sequence of meetings in the next intersessional period</w:t>
      </w:r>
    </w:p>
    <w:p w14:paraId="6A3242A4" w14:textId="6E50F559" w:rsidR="00E42AAB" w:rsidRDefault="001817AE" w:rsidP="00F12029">
      <w:pPr>
        <w:pStyle w:val="SingleTxtG"/>
      </w:pPr>
      <w:r>
        <w:t>3</w:t>
      </w:r>
      <w:r w:rsidR="009516E6">
        <w:t>4</w:t>
      </w:r>
      <w:r>
        <w:t>.</w:t>
      </w:r>
      <w:r>
        <w:tab/>
      </w:r>
      <w:r w:rsidR="0009208B">
        <w:t>A</w:t>
      </w:r>
      <w:r>
        <w:t xml:space="preserve">t their intermediary sessions, the Meetings of the Parties decided to extend the present intersessional period </w:t>
      </w:r>
      <w:r w:rsidR="0009208B">
        <w:t xml:space="preserve">from June </w:t>
      </w:r>
      <w:r>
        <w:t xml:space="preserve">until December 2020, </w:t>
      </w:r>
      <w:r w:rsidR="0009208B">
        <w:t xml:space="preserve">altering </w:t>
      </w:r>
      <w:r>
        <w:t>the</w:t>
      </w:r>
      <w:r w:rsidR="0009208B">
        <w:t xml:space="preserve"> usual</w:t>
      </w:r>
      <w:r>
        <w:t xml:space="preserve"> schedule of the meetings of the Bureau and the Working Group held during the period</w:t>
      </w:r>
      <w:r w:rsidR="0009208B">
        <w:t>. T</w:t>
      </w:r>
      <w:r>
        <w:t xml:space="preserve">he </w:t>
      </w:r>
      <w:r w:rsidR="008E54FB">
        <w:t>Working Group</w:t>
      </w:r>
      <w:r>
        <w:t xml:space="preserve"> is expected to </w:t>
      </w:r>
      <w:r w:rsidR="00941179">
        <w:t xml:space="preserve">consider a Bureau proposal and </w:t>
      </w:r>
      <w:r w:rsidR="0009208B">
        <w:t>decide</w:t>
      </w:r>
      <w:r w:rsidR="00941179">
        <w:t xml:space="preserve"> </w:t>
      </w:r>
      <w:r>
        <w:t>how the meetings of the treaty bodies should best be scheduled in the next intersessional period</w:t>
      </w:r>
      <w:r w:rsidR="000563D8">
        <w:t>, which</w:t>
      </w:r>
      <w:r>
        <w:t xml:space="preserve"> will start in January 2021 and is likely to extend until December 2023.  </w:t>
      </w:r>
    </w:p>
    <w:p w14:paraId="2613BF7E" w14:textId="2EFE8D8D" w:rsidR="00E42AAB" w:rsidRDefault="001817AE" w:rsidP="001817AE">
      <w:pPr>
        <w:pStyle w:val="SingleTxtG"/>
        <w:ind w:left="0"/>
        <w:rPr>
          <w:b/>
          <w:bCs/>
        </w:rPr>
      </w:pPr>
      <w:r w:rsidRPr="001817AE">
        <w:rPr>
          <w:b/>
          <w:bCs/>
        </w:rPr>
        <w:tab/>
        <w:t>(</w:t>
      </w:r>
      <w:r w:rsidR="00B7592A">
        <w:rPr>
          <w:b/>
          <w:bCs/>
        </w:rPr>
        <w:t>h</w:t>
      </w:r>
      <w:r w:rsidRPr="001817AE">
        <w:rPr>
          <w:b/>
          <w:bCs/>
        </w:rPr>
        <w:t>)</w:t>
      </w:r>
      <w:r>
        <w:rPr>
          <w:b/>
          <w:bCs/>
        </w:rPr>
        <w:tab/>
      </w:r>
      <w:r w:rsidR="00E42AAB" w:rsidRPr="00E42AAB">
        <w:rPr>
          <w:b/>
          <w:bCs/>
        </w:rPr>
        <w:t xml:space="preserve">Officers for the next intersessional period </w:t>
      </w:r>
    </w:p>
    <w:p w14:paraId="499756C8" w14:textId="14DA0303" w:rsidR="00E42AAB" w:rsidRPr="00E42AAB" w:rsidRDefault="00FD6909" w:rsidP="00E42AAB">
      <w:pPr>
        <w:spacing w:after="120"/>
        <w:ind w:left="1134" w:right="1134"/>
        <w:jc w:val="both"/>
      </w:pPr>
      <w:r>
        <w:t>3</w:t>
      </w:r>
      <w:r w:rsidR="009516E6">
        <w:t>5</w:t>
      </w:r>
      <w:r>
        <w:t>.</w:t>
      </w:r>
      <w:r>
        <w:tab/>
      </w:r>
      <w:r w:rsidR="009A5DF3" w:rsidRPr="00505C8B">
        <w:t xml:space="preserve">The Chair will ask delegations to come forward with nominations for officers </w:t>
      </w:r>
      <w:r w:rsidR="009A5DF3">
        <w:t xml:space="preserve">to be elected </w:t>
      </w:r>
      <w:r w:rsidR="009A5DF3" w:rsidRPr="00505C8B">
        <w:t xml:space="preserve">for the next intersessional period, that is, </w:t>
      </w:r>
      <w:r w:rsidR="009A5DF3">
        <w:t xml:space="preserve">a </w:t>
      </w:r>
      <w:r w:rsidR="009A5DF3" w:rsidRPr="00505C8B">
        <w:t xml:space="preserve">Chair and Vice-Chairs of the Working Group, </w:t>
      </w:r>
      <w:r w:rsidR="000563D8">
        <w:t xml:space="preserve">a </w:t>
      </w:r>
      <w:r w:rsidR="009A5DF3">
        <w:t xml:space="preserve">Chair and </w:t>
      </w:r>
      <w:r w:rsidR="009A5DF3" w:rsidRPr="00505C8B">
        <w:t>members of the Bureau and f</w:t>
      </w:r>
      <w:r w:rsidR="009A5DF3">
        <w:t>ive</w:t>
      </w:r>
      <w:r w:rsidR="009A5DF3" w:rsidRPr="00505C8B">
        <w:t xml:space="preserve"> members of </w:t>
      </w:r>
      <w:r w:rsidR="000563D8">
        <w:t xml:space="preserve">the </w:t>
      </w:r>
      <w:r w:rsidR="009A5DF3" w:rsidRPr="00505C8B">
        <w:t xml:space="preserve">Implementation Committee. Additional new members of the </w:t>
      </w:r>
      <w:r w:rsidR="009A5DF3">
        <w:t xml:space="preserve">Implementation </w:t>
      </w:r>
      <w:r w:rsidR="009A5DF3" w:rsidRPr="00505C8B">
        <w:t>Committee may need to be nominated depending on whether Committee members are Parties to the Protocol</w:t>
      </w:r>
      <w:r w:rsidR="009A5DF3">
        <w:t xml:space="preserve">. </w:t>
      </w:r>
      <w:r w:rsidR="00A904ED">
        <w:t xml:space="preserve">The Working Group may </w:t>
      </w:r>
      <w:r>
        <w:t xml:space="preserve">wish to </w:t>
      </w:r>
      <w:r w:rsidR="009A5DF3">
        <w:t>consider</w:t>
      </w:r>
      <w:r w:rsidR="00A904ED">
        <w:t xml:space="preserve"> the outcomes of the Bureau’s deliberations, including its i</w:t>
      </w:r>
      <w:r w:rsidR="00E42AAB" w:rsidRPr="00E42AAB">
        <w:t>dentifi</w:t>
      </w:r>
      <w:r w:rsidR="00A904ED">
        <w:t xml:space="preserve">cation of </w:t>
      </w:r>
      <w:r w:rsidR="00E42AAB" w:rsidRPr="00E42AAB">
        <w:t xml:space="preserve">Parties that have </w:t>
      </w:r>
      <w:r w:rsidR="00A904ED">
        <w:t xml:space="preserve">never </w:t>
      </w:r>
      <w:r w:rsidR="00E42AAB" w:rsidRPr="00E42AAB">
        <w:t>or not recently been represented</w:t>
      </w:r>
      <w:r w:rsidR="00A904ED">
        <w:t xml:space="preserve"> in the treaty bodies and any informal consultations carried out by the secretariat</w:t>
      </w:r>
      <w:r w:rsidR="00E42AAB" w:rsidRPr="00E42AAB">
        <w:t xml:space="preserve">. </w:t>
      </w:r>
      <w:r w:rsidR="00A904ED">
        <w:t xml:space="preserve">The Working Group </w:t>
      </w:r>
      <w:r w:rsidR="009A5DF3">
        <w:t xml:space="preserve">may also wish </w:t>
      </w:r>
      <w:r w:rsidR="001817AE">
        <w:t>to discuss</w:t>
      </w:r>
      <w:r w:rsidR="00A904ED">
        <w:t xml:space="preserve"> </w:t>
      </w:r>
      <w:r w:rsidR="00FC6B7B">
        <w:t xml:space="preserve">possible criteria </w:t>
      </w:r>
      <w:r w:rsidR="009A5DF3">
        <w:t>for the officers to be elected.</w:t>
      </w:r>
      <w:r w:rsidR="00A904ED">
        <w:t xml:space="preserve"> </w:t>
      </w:r>
    </w:p>
    <w:p w14:paraId="3F1C5A70" w14:textId="77777777" w:rsidR="000870E5" w:rsidRPr="000870E5" w:rsidRDefault="007A4A52" w:rsidP="00F27A9F">
      <w:pPr>
        <w:pStyle w:val="H23G"/>
      </w:pPr>
      <w:bookmarkStart w:id="42" w:name="_Hlk503365047"/>
      <w:bookmarkEnd w:id="40"/>
      <w:r>
        <w:tab/>
      </w:r>
      <w:r>
        <w:tab/>
      </w:r>
      <w:r w:rsidR="000870E5" w:rsidRPr="000870E5">
        <w:t>Documentation</w:t>
      </w:r>
    </w:p>
    <w:p w14:paraId="66AB88D5" w14:textId="0BCF1928" w:rsidR="007627A2" w:rsidRPr="00546522" w:rsidRDefault="007627A2" w:rsidP="007627A2">
      <w:pPr>
        <w:pStyle w:val="H4G"/>
      </w:pPr>
      <w:bookmarkStart w:id="43" w:name="_Hlk503362570"/>
      <w:bookmarkEnd w:id="42"/>
      <w:r>
        <w:tab/>
      </w:r>
      <w:r>
        <w:tab/>
        <w:t>Informal document</w:t>
      </w:r>
      <w:r w:rsidR="009516E6">
        <w:t>s</w:t>
      </w:r>
    </w:p>
    <w:p w14:paraId="3DC649AA" w14:textId="14228762" w:rsidR="00677BF6" w:rsidRDefault="008D303B" w:rsidP="004F4CE9">
      <w:pPr>
        <w:pStyle w:val="SingleTxtG"/>
      </w:pPr>
      <w:bookmarkStart w:id="44" w:name="_Hlk17968229"/>
      <w:bookmarkStart w:id="45" w:name="_Hlk13498782"/>
      <w:r>
        <w:t>P</w:t>
      </w:r>
      <w:r w:rsidR="000870E5" w:rsidRPr="00677BF6">
        <w:t>reparations for the</w:t>
      </w:r>
      <w:r w:rsidR="009049DB">
        <w:t xml:space="preserve"> next sessions of the </w:t>
      </w:r>
      <w:r w:rsidR="000870E5" w:rsidRPr="00677BF6">
        <w:t>Meeting</w:t>
      </w:r>
      <w:r w:rsidR="009049DB">
        <w:t>s</w:t>
      </w:r>
      <w:r w:rsidR="000870E5" w:rsidRPr="00677BF6">
        <w:t xml:space="preserve"> of the Parties </w:t>
      </w:r>
      <w:bookmarkStart w:id="46" w:name="_Hlk13498489"/>
      <w:r w:rsidR="000870E5" w:rsidRPr="00677BF6">
        <w:t>(ECE/MP.EIA/WG.2/201</w:t>
      </w:r>
      <w:r w:rsidR="009A5DF3">
        <w:t>9</w:t>
      </w:r>
      <w:r w:rsidR="000870E5" w:rsidRPr="00677BF6">
        <w:t>/IN</w:t>
      </w:r>
      <w:r w:rsidR="009A5DF3">
        <w:t>F</w:t>
      </w:r>
      <w:r w:rsidR="00B12000">
        <w:t>.</w:t>
      </w:r>
      <w:r w:rsidR="008706A2">
        <w:t>9</w:t>
      </w:r>
      <w:r w:rsidR="000870E5" w:rsidRPr="00677BF6">
        <w:t>)</w:t>
      </w:r>
      <w:bookmarkEnd w:id="43"/>
    </w:p>
    <w:p w14:paraId="1691D2A3" w14:textId="56E146A0" w:rsidR="009049DB" w:rsidRDefault="009049DB" w:rsidP="004F4CE9">
      <w:pPr>
        <w:pStyle w:val="SingleTxtG"/>
      </w:pPr>
      <w:bookmarkStart w:id="47" w:name="_Hlk13501810"/>
      <w:bookmarkEnd w:id="44"/>
      <w:r>
        <w:t xml:space="preserve">Elements for a draft declaration </w:t>
      </w:r>
      <w:r w:rsidRPr="00677BF6">
        <w:t>(ECE/MP.EIA/WG.2/201</w:t>
      </w:r>
      <w:r>
        <w:t>9</w:t>
      </w:r>
      <w:r w:rsidRPr="00677BF6">
        <w:t>/IN</w:t>
      </w:r>
      <w:r>
        <w:t>F.</w:t>
      </w:r>
      <w:r w:rsidR="008706A2">
        <w:t>10</w:t>
      </w:r>
      <w:r w:rsidRPr="00677BF6">
        <w:t>)</w:t>
      </w:r>
    </w:p>
    <w:p w14:paraId="786069E2" w14:textId="6E84F019" w:rsidR="00FF0FF9" w:rsidRDefault="00FF0FF9" w:rsidP="009516E6">
      <w:pPr>
        <w:pStyle w:val="SingleTxtG"/>
        <w:jc w:val="left"/>
      </w:pPr>
      <w:bookmarkStart w:id="48" w:name="_Hlk17968485"/>
      <w:bookmarkEnd w:id="46"/>
      <w:bookmarkEnd w:id="47"/>
      <w:r w:rsidRPr="00FF0FF9">
        <w:t xml:space="preserve">Possible activities for the draft workplan </w:t>
      </w:r>
      <w:r w:rsidR="00A37365">
        <w:t>(</w:t>
      </w:r>
      <w:r w:rsidR="00FC6B7B">
        <w:t>2</w:t>
      </w:r>
      <w:r w:rsidRPr="00FF0FF9">
        <w:t>021–2023</w:t>
      </w:r>
      <w:bookmarkStart w:id="49" w:name="_Hlk13498733"/>
      <w:r w:rsidR="00A37365">
        <w:t>)</w:t>
      </w:r>
      <w:r w:rsidR="00FC6B7B">
        <w:t xml:space="preserve"> </w:t>
      </w:r>
      <w:r w:rsidR="001D5162">
        <w:t>(</w:t>
      </w:r>
      <w:r w:rsidR="009516E6" w:rsidRPr="009516E6">
        <w:t>ECE/MP.EIA/WG.2/2019/INF.</w:t>
      </w:r>
      <w:r w:rsidR="009049DB">
        <w:t>1</w:t>
      </w:r>
      <w:r w:rsidR="008706A2">
        <w:t>1</w:t>
      </w:r>
      <w:r w:rsidR="009516E6" w:rsidRPr="009516E6">
        <w:t>)</w:t>
      </w:r>
      <w:bookmarkEnd w:id="49"/>
    </w:p>
    <w:p w14:paraId="2148DB8D" w14:textId="74697769" w:rsidR="009516E6" w:rsidRDefault="009516E6" w:rsidP="009516E6">
      <w:pPr>
        <w:pStyle w:val="SingleTxtG"/>
        <w:jc w:val="left"/>
      </w:pPr>
      <w:bookmarkStart w:id="50" w:name="_Hlk17973668"/>
      <w:bookmarkEnd w:id="48"/>
      <w:r>
        <w:t>A list of vacancies (chair</w:t>
      </w:r>
      <w:r w:rsidR="00DC539A">
        <w:t>s</w:t>
      </w:r>
      <w:r>
        <w:t xml:space="preserve"> and member</w:t>
      </w:r>
      <w:r w:rsidR="00DC539A">
        <w:t>s</w:t>
      </w:r>
      <w:r>
        <w:t>) in the treaty bodies for 2021</w:t>
      </w:r>
      <w:r w:rsidR="00A37365">
        <w:t>–</w:t>
      </w:r>
      <w:r>
        <w:t xml:space="preserve">2023 </w:t>
      </w:r>
      <w:r w:rsidRPr="009516E6">
        <w:t>(ECE/MP.EIA/WG.2/2019/INF.</w:t>
      </w:r>
      <w:r>
        <w:t>1</w:t>
      </w:r>
      <w:r w:rsidR="008706A2">
        <w:t>2</w:t>
      </w:r>
      <w:r w:rsidRPr="009516E6">
        <w:t>)</w:t>
      </w:r>
    </w:p>
    <w:bookmarkEnd w:id="50"/>
    <w:p w14:paraId="1687A56A" w14:textId="1B667037" w:rsidR="0042747B" w:rsidRDefault="0042747B" w:rsidP="009A5DF3">
      <w:pPr>
        <w:pStyle w:val="SingleTxtG"/>
      </w:pPr>
      <w:r>
        <w:t>Provisional schedule of meetings 20</w:t>
      </w:r>
      <w:r w:rsidR="009A5DF3">
        <w:t>2</w:t>
      </w:r>
      <w:r>
        <w:t>1–202</w:t>
      </w:r>
      <w:r w:rsidR="009A5DF3">
        <w:t>3</w:t>
      </w:r>
      <w:r>
        <w:t xml:space="preserve"> </w:t>
      </w:r>
      <w:r w:rsidRPr="00632E1C">
        <w:t>(ECE/MP.EIA/WG.2/201</w:t>
      </w:r>
      <w:r w:rsidR="009A5DF3">
        <w:t>9</w:t>
      </w:r>
      <w:r w:rsidRPr="00632E1C">
        <w:t>/INF</w:t>
      </w:r>
      <w:r w:rsidR="00B12000">
        <w:t>.</w:t>
      </w:r>
      <w:r w:rsidR="009516E6">
        <w:t>1</w:t>
      </w:r>
      <w:r w:rsidR="008706A2">
        <w:t>3</w:t>
      </w:r>
      <w:r w:rsidRPr="00632E1C">
        <w:t>)</w:t>
      </w:r>
    </w:p>
    <w:bookmarkEnd w:id="45"/>
    <w:p w14:paraId="6CE1800D" w14:textId="5258BF76" w:rsidR="000F02D7" w:rsidRPr="00055E82" w:rsidRDefault="001B0B40" w:rsidP="000F02D7">
      <w:pPr>
        <w:pStyle w:val="H1G"/>
      </w:pPr>
      <w:r w:rsidRPr="00055E82">
        <w:tab/>
      </w:r>
      <w:r w:rsidR="000B13B3">
        <w:t>9</w:t>
      </w:r>
      <w:r w:rsidR="000F02D7" w:rsidRPr="00055E82">
        <w:t>.</w:t>
      </w:r>
      <w:r w:rsidR="000F02D7" w:rsidRPr="00055E82">
        <w:tab/>
        <w:t>Inputs to related international processes</w:t>
      </w:r>
    </w:p>
    <w:p w14:paraId="494FC6FA" w14:textId="7E83373C" w:rsidR="00754761" w:rsidRDefault="000F02D7" w:rsidP="00754761">
      <w:pPr>
        <w:pStyle w:val="H4G"/>
      </w:pPr>
      <w:r w:rsidRPr="00055E82">
        <w:tab/>
      </w:r>
      <w:r w:rsidRPr="00055E82">
        <w:tab/>
      </w:r>
      <w:bookmarkStart w:id="51" w:name="_Hlk8826992"/>
      <w:r w:rsidR="00754761" w:rsidRPr="00055E82">
        <w:t xml:space="preserve">Tentative timing: </w:t>
      </w:r>
      <w:r w:rsidR="00754761">
        <w:t>Thursday, 28</w:t>
      </w:r>
      <w:r w:rsidR="00754761" w:rsidRPr="00960C88">
        <w:t xml:space="preserve"> </w:t>
      </w:r>
      <w:r w:rsidR="00754761">
        <w:t>November</w:t>
      </w:r>
      <w:r w:rsidR="00754761" w:rsidRPr="00055E82">
        <w:t>,</w:t>
      </w:r>
      <w:r w:rsidR="00754761">
        <w:t xml:space="preserve"> </w:t>
      </w:r>
      <w:bookmarkEnd w:id="51"/>
      <w:r w:rsidR="00754761">
        <w:t>4–4.30</w:t>
      </w:r>
      <w:r w:rsidR="00754761" w:rsidRPr="00055E82">
        <w:t xml:space="preserve"> </w:t>
      </w:r>
      <w:r w:rsidR="00754761">
        <w:t>p</w:t>
      </w:r>
      <w:r w:rsidR="00754761" w:rsidRPr="00055E82">
        <w:t>.m</w:t>
      </w:r>
      <w:r w:rsidR="00754761">
        <w:t>.</w:t>
      </w:r>
    </w:p>
    <w:p w14:paraId="7527E0FB" w14:textId="40348F9E" w:rsidR="00FD6909" w:rsidRPr="00FD6909" w:rsidRDefault="004A62AC" w:rsidP="00FD6909">
      <w:pPr>
        <w:pStyle w:val="SingleTxtG"/>
      </w:pPr>
      <w:r>
        <w:t>3</w:t>
      </w:r>
      <w:r w:rsidR="009516E6">
        <w:t>6</w:t>
      </w:r>
      <w:r w:rsidR="00003893">
        <w:t>.</w:t>
      </w:r>
      <w:r w:rsidR="000F02D7">
        <w:tab/>
      </w:r>
      <w:bookmarkStart w:id="52" w:name="_Hlk505105376"/>
      <w:r w:rsidR="00FD6909" w:rsidRPr="00FD6909">
        <w:t>The secretariat will report on the outcomes of any relevant events, including:</w:t>
      </w:r>
    </w:p>
    <w:p w14:paraId="08C6FB65" w14:textId="454AF7E9" w:rsidR="00FD6909" w:rsidRDefault="00FD6909" w:rsidP="00FD6909">
      <w:pPr>
        <w:spacing w:after="120"/>
        <w:ind w:left="1134" w:right="1134" w:firstLine="567"/>
        <w:jc w:val="both"/>
      </w:pPr>
      <w:r w:rsidRPr="00FD6909">
        <w:t>(</w:t>
      </w:r>
      <w:r w:rsidR="000F69CD">
        <w:t>a</w:t>
      </w:r>
      <w:r w:rsidRPr="00FD6909">
        <w:t>)</w:t>
      </w:r>
      <w:r w:rsidRPr="00FD6909">
        <w:tab/>
      </w:r>
      <w:r w:rsidR="00C14183">
        <w:t>The</w:t>
      </w:r>
      <w:r w:rsidRPr="00FD6909">
        <w:t xml:space="preserve"> </w:t>
      </w:r>
      <w:r w:rsidR="00C14183">
        <w:t>W</w:t>
      </w:r>
      <w:r w:rsidRPr="00FD6909">
        <w:t xml:space="preserve">orkshop on </w:t>
      </w:r>
      <w:r w:rsidR="00C14183">
        <w:t>R</w:t>
      </w:r>
      <w:r w:rsidRPr="00FD6909">
        <w:t xml:space="preserve">egional </w:t>
      </w:r>
      <w:r w:rsidR="00C14183">
        <w:t>C</w:t>
      </w:r>
      <w:r w:rsidRPr="00FD6909">
        <w:t xml:space="preserve">ooperation to </w:t>
      </w:r>
      <w:r w:rsidR="00C14183">
        <w:t>E</w:t>
      </w:r>
      <w:r w:rsidRPr="00FD6909">
        <w:t xml:space="preserve">nhance </w:t>
      </w:r>
      <w:r w:rsidR="00C14183">
        <w:t>T</w:t>
      </w:r>
      <w:r w:rsidRPr="00FD6909">
        <w:t xml:space="preserve">ransboundary </w:t>
      </w:r>
      <w:r w:rsidR="00C14183">
        <w:t>C</w:t>
      </w:r>
      <w:r w:rsidRPr="00FD6909">
        <w:t xml:space="preserve">onsultation on </w:t>
      </w:r>
      <w:r w:rsidR="00C14183">
        <w:t>N</w:t>
      </w:r>
      <w:r w:rsidRPr="00FD6909">
        <w:t xml:space="preserve">uclear </w:t>
      </w:r>
      <w:r w:rsidR="00C14183">
        <w:t>P</w:t>
      </w:r>
      <w:r w:rsidRPr="00FD6909">
        <w:t xml:space="preserve">ower </w:t>
      </w:r>
      <w:r w:rsidR="00C14183">
        <w:t>D</w:t>
      </w:r>
      <w:r w:rsidRPr="00FD6909">
        <w:t>evelopment in South-East Asia (Singapore, 8</w:t>
      </w:r>
      <w:r w:rsidR="00653BB3">
        <w:t xml:space="preserve"> and </w:t>
      </w:r>
      <w:r w:rsidRPr="00FD6909">
        <w:t>9 May 2019</w:t>
      </w:r>
      <w:r w:rsidR="00FC6B7B">
        <w:t>);</w:t>
      </w:r>
      <w:r w:rsidRPr="00FD6909">
        <w:t xml:space="preserve"> </w:t>
      </w:r>
    </w:p>
    <w:p w14:paraId="1ADDA7E2" w14:textId="701804D9" w:rsidR="007373D1" w:rsidRDefault="007373D1" w:rsidP="00FD6909">
      <w:pPr>
        <w:spacing w:after="120"/>
        <w:ind w:left="1134" w:right="1134" w:firstLine="567"/>
        <w:jc w:val="both"/>
      </w:pPr>
      <w:r>
        <w:lastRenderedPageBreak/>
        <w:t>(</w:t>
      </w:r>
      <w:r w:rsidR="000F69CD">
        <w:t>b</w:t>
      </w:r>
      <w:r>
        <w:t>)</w:t>
      </w:r>
      <w:r>
        <w:tab/>
      </w:r>
      <w:r w:rsidR="00AE20EC">
        <w:t>The C</w:t>
      </w:r>
      <w:r>
        <w:t xml:space="preserve">onsultancy </w:t>
      </w:r>
      <w:r w:rsidR="00AE20EC">
        <w:t>M</w:t>
      </w:r>
      <w:r>
        <w:t xml:space="preserve">eeting </w:t>
      </w:r>
      <w:r w:rsidR="002168A8">
        <w:t>t</w:t>
      </w:r>
      <w:r>
        <w:t xml:space="preserve">o </w:t>
      </w:r>
      <w:r w:rsidR="00AE20EC">
        <w:t>D</w:t>
      </w:r>
      <w:r>
        <w:t xml:space="preserve">evelop </w:t>
      </w:r>
      <w:r w:rsidR="00AE20EC">
        <w:t>C</w:t>
      </w:r>
      <w:r>
        <w:t>apacity</w:t>
      </w:r>
      <w:r w:rsidR="00156E06">
        <w:t>-</w:t>
      </w:r>
      <w:r>
        <w:t xml:space="preserve">building </w:t>
      </w:r>
      <w:r w:rsidR="00AE20EC">
        <w:t>M</w:t>
      </w:r>
      <w:r>
        <w:t xml:space="preserve">aterial on </w:t>
      </w:r>
      <w:r w:rsidR="00AE20EC">
        <w:t>S</w:t>
      </w:r>
      <w:r>
        <w:t xml:space="preserve">trategic </w:t>
      </w:r>
      <w:r w:rsidR="00AE20EC">
        <w:t>E</w:t>
      </w:r>
      <w:r>
        <w:t xml:space="preserve">nvironmental </w:t>
      </w:r>
      <w:r w:rsidR="00AE20EC">
        <w:t>A</w:t>
      </w:r>
      <w:r>
        <w:t xml:space="preserve">ssessments of </w:t>
      </w:r>
      <w:r w:rsidR="00AE20EC">
        <w:t>N</w:t>
      </w:r>
      <w:r>
        <w:t xml:space="preserve">uclear </w:t>
      </w:r>
      <w:r w:rsidR="00AE20EC">
        <w:t>P</w:t>
      </w:r>
      <w:r>
        <w:t xml:space="preserve">ower </w:t>
      </w:r>
      <w:r w:rsidR="00AE20EC">
        <w:t>P</w:t>
      </w:r>
      <w:r>
        <w:t>rogrammes</w:t>
      </w:r>
      <w:r w:rsidR="00AE20EC">
        <w:t>,</w:t>
      </w:r>
      <w:r>
        <w:t xml:space="preserve"> organized by </w:t>
      </w:r>
      <w:r w:rsidR="00156E06">
        <w:t xml:space="preserve">the </w:t>
      </w:r>
      <w:r>
        <w:t>International Atomic Energy Agency (Vienna, 3–5 July 2019)</w:t>
      </w:r>
      <w:r w:rsidR="001473AB">
        <w:t xml:space="preserve"> and proposals for further collaboration</w:t>
      </w:r>
      <w:r>
        <w:t xml:space="preserve">; </w:t>
      </w:r>
    </w:p>
    <w:p w14:paraId="690D42BD" w14:textId="0F0D3916" w:rsidR="007373D1" w:rsidRPr="00FD6909" w:rsidRDefault="007373D1" w:rsidP="00C25D52">
      <w:pPr>
        <w:spacing w:after="120"/>
        <w:ind w:left="1134" w:right="1134" w:firstLine="567"/>
      </w:pPr>
      <w:r>
        <w:t>(</w:t>
      </w:r>
      <w:r w:rsidR="000F69CD">
        <w:t>c</w:t>
      </w:r>
      <w:r>
        <w:t>)</w:t>
      </w:r>
      <w:r>
        <w:tab/>
      </w:r>
      <w:r w:rsidR="00156E06">
        <w:t xml:space="preserve">The </w:t>
      </w:r>
      <w:r>
        <w:t xml:space="preserve">Seventh Meeting of </w:t>
      </w:r>
      <w:r w:rsidR="00156E06">
        <w:t xml:space="preserve">the </w:t>
      </w:r>
      <w:r>
        <w:t>European Union Eastern Partnership Panel on Environment and Climate Change (Vienna, 27</w:t>
      </w:r>
      <w:r w:rsidR="00653BB3">
        <w:t xml:space="preserve"> and </w:t>
      </w:r>
      <w:r>
        <w:t>28 May 2019)</w:t>
      </w:r>
      <w:r w:rsidR="009B36A2">
        <w:t>.</w:t>
      </w:r>
    </w:p>
    <w:p w14:paraId="1D41F78F" w14:textId="68687620" w:rsidR="00181DFD" w:rsidRDefault="004A62AC" w:rsidP="00181DFD">
      <w:pPr>
        <w:pStyle w:val="SingleTxtG"/>
      </w:pPr>
      <w:bookmarkStart w:id="53" w:name="_Hlk505105406"/>
      <w:bookmarkEnd w:id="52"/>
      <w:r>
        <w:t>3</w:t>
      </w:r>
      <w:r w:rsidR="000F69CD">
        <w:t>7</w:t>
      </w:r>
      <w:r w:rsidR="00181DFD">
        <w:t>.</w:t>
      </w:r>
      <w:r w:rsidR="00181DFD">
        <w:tab/>
      </w:r>
      <w:r w:rsidR="00181DFD" w:rsidRPr="00055E82">
        <w:t>The Work</w:t>
      </w:r>
      <w:r w:rsidR="006F59E5">
        <w:t>ing Group will be</w:t>
      </w:r>
      <w:r w:rsidR="00181DFD">
        <w:t xml:space="preserve"> invited to comment </w:t>
      </w:r>
      <w:r w:rsidR="00C14183">
        <w:t xml:space="preserve">on </w:t>
      </w:r>
      <w:r w:rsidR="00181DFD">
        <w:t>the information provide</w:t>
      </w:r>
      <w:r w:rsidR="00BC4D29">
        <w:t>d</w:t>
      </w:r>
      <w:r w:rsidR="00181DFD">
        <w:t xml:space="preserve"> and, as relevant, to advise on further actions to be taken.</w:t>
      </w:r>
      <w:r w:rsidR="00181DFD" w:rsidRPr="00055E82">
        <w:t xml:space="preserve"> </w:t>
      </w:r>
    </w:p>
    <w:bookmarkEnd w:id="53"/>
    <w:p w14:paraId="06C2F442" w14:textId="2D4B1778" w:rsidR="004D1042" w:rsidRPr="00055E82" w:rsidRDefault="004D1042" w:rsidP="005543BD">
      <w:pPr>
        <w:pStyle w:val="H1G"/>
      </w:pPr>
      <w:r w:rsidRPr="00055E82">
        <w:tab/>
      </w:r>
      <w:r w:rsidR="006F2719" w:rsidRPr="00055E82">
        <w:t>1</w:t>
      </w:r>
      <w:r w:rsidR="000B13B3">
        <w:t>0</w:t>
      </w:r>
      <w:r w:rsidR="0057655D" w:rsidRPr="00055E82">
        <w:t>.</w:t>
      </w:r>
      <w:r w:rsidR="005543BD" w:rsidRPr="00055E82">
        <w:tab/>
      </w:r>
      <w:r w:rsidRPr="00055E82">
        <w:t xml:space="preserve">Other business </w:t>
      </w:r>
    </w:p>
    <w:p w14:paraId="00212A26" w14:textId="1400B0E3" w:rsidR="001B0B40" w:rsidRPr="00055E82" w:rsidRDefault="001B0B40" w:rsidP="007A4A52">
      <w:pPr>
        <w:pStyle w:val="H4G"/>
      </w:pPr>
      <w:r w:rsidRPr="00055E82">
        <w:tab/>
      </w:r>
      <w:r w:rsidRPr="00055E82">
        <w:tab/>
      </w:r>
      <w:bookmarkStart w:id="54" w:name="_Hlk8827006"/>
      <w:r w:rsidR="00754761" w:rsidRPr="00055E82">
        <w:t xml:space="preserve">Tentative timing: </w:t>
      </w:r>
      <w:r w:rsidR="00754761">
        <w:t>Thursday, 28</w:t>
      </w:r>
      <w:r w:rsidR="00754761" w:rsidRPr="00960C88">
        <w:t xml:space="preserve"> </w:t>
      </w:r>
      <w:r w:rsidR="00754761">
        <w:t>November</w:t>
      </w:r>
      <w:r w:rsidR="00754761" w:rsidRPr="00055E82">
        <w:t>,</w:t>
      </w:r>
      <w:r w:rsidR="00754761">
        <w:t xml:space="preserve"> </w:t>
      </w:r>
      <w:r w:rsidRPr="00055E82">
        <w:t>4</w:t>
      </w:r>
      <w:r w:rsidR="00864E46">
        <w:t>.30</w:t>
      </w:r>
      <w:r w:rsidR="00754761">
        <w:t>–5</w:t>
      </w:r>
      <w:r w:rsidRPr="00055E82">
        <w:t xml:space="preserve"> p.m.</w:t>
      </w:r>
    </w:p>
    <w:bookmarkEnd w:id="54"/>
    <w:p w14:paraId="135AA0B1" w14:textId="59ADF6E0" w:rsidR="004D1042" w:rsidRPr="00055E82" w:rsidRDefault="004A62AC" w:rsidP="00F32153">
      <w:pPr>
        <w:pStyle w:val="SingleTxtG"/>
      </w:pPr>
      <w:r>
        <w:t>3</w:t>
      </w:r>
      <w:r w:rsidR="000F69CD">
        <w:t>8</w:t>
      </w:r>
      <w:r w:rsidR="00F32153">
        <w:t>.</w:t>
      </w:r>
      <w:r w:rsidR="00F32153">
        <w:tab/>
      </w:r>
      <w:r w:rsidR="004D1042" w:rsidRPr="00055E82">
        <w:t>Delegations wishing to raise other business should contact the Chair and the secretariat as soon as possible</w:t>
      </w:r>
      <w:r w:rsidR="00156B47" w:rsidRPr="00055E82">
        <w:t xml:space="preserve"> ahead of the meeting</w:t>
      </w:r>
      <w:r w:rsidR="004D1042" w:rsidRPr="00055E82">
        <w:t>.</w:t>
      </w:r>
    </w:p>
    <w:p w14:paraId="16D35237" w14:textId="42140C6D" w:rsidR="004D1042" w:rsidRPr="00055E82" w:rsidRDefault="004D1042" w:rsidP="005543BD">
      <w:pPr>
        <w:pStyle w:val="H1G"/>
      </w:pPr>
      <w:r w:rsidRPr="00055E82">
        <w:tab/>
      </w:r>
      <w:r w:rsidR="0038686D" w:rsidRPr="00055E82">
        <w:t>1</w:t>
      </w:r>
      <w:r w:rsidR="00FC6B7B">
        <w:t>1</w:t>
      </w:r>
      <w:r w:rsidR="0057655D" w:rsidRPr="00055E82">
        <w:t>.</w:t>
      </w:r>
      <w:r w:rsidR="005543BD" w:rsidRPr="00055E82">
        <w:tab/>
      </w:r>
      <w:r w:rsidRPr="00055E82">
        <w:t xml:space="preserve">Presentation of the main decisions taken and closing of the </w:t>
      </w:r>
      <w:r w:rsidR="00E676BB" w:rsidRPr="00055E82">
        <w:t>meeting</w:t>
      </w:r>
    </w:p>
    <w:p w14:paraId="1600CF9C" w14:textId="71E9132D" w:rsidR="00754761" w:rsidRPr="00055E82" w:rsidRDefault="001B0B40" w:rsidP="00754761">
      <w:pPr>
        <w:pStyle w:val="H4G"/>
      </w:pPr>
      <w:r w:rsidRPr="00055E82">
        <w:tab/>
      </w:r>
      <w:r w:rsidRPr="00055E82">
        <w:tab/>
      </w:r>
      <w:r w:rsidR="00754761" w:rsidRPr="00055E82">
        <w:t xml:space="preserve">Tentative timing: </w:t>
      </w:r>
      <w:r w:rsidR="00754761">
        <w:t>Thursday, 28</w:t>
      </w:r>
      <w:r w:rsidR="00754761" w:rsidRPr="00960C88">
        <w:t xml:space="preserve"> </w:t>
      </w:r>
      <w:r w:rsidR="00754761">
        <w:t>November</w:t>
      </w:r>
      <w:r w:rsidR="00754761" w:rsidRPr="00055E82">
        <w:t>,</w:t>
      </w:r>
      <w:r w:rsidR="00754761">
        <w:t xml:space="preserve"> 5–6</w:t>
      </w:r>
      <w:r w:rsidR="00754761" w:rsidRPr="00055E82">
        <w:t xml:space="preserve"> p.m.</w:t>
      </w:r>
    </w:p>
    <w:p w14:paraId="5C5C8755" w14:textId="714B96AF" w:rsidR="00EC6346" w:rsidRDefault="000F69CD" w:rsidP="00EC6346">
      <w:pPr>
        <w:pStyle w:val="SingleTxtG"/>
      </w:pPr>
      <w:r>
        <w:t>39</w:t>
      </w:r>
      <w:r w:rsidR="00351D9E">
        <w:t>.</w:t>
      </w:r>
      <w:r w:rsidR="00F32153">
        <w:tab/>
      </w:r>
      <w:r w:rsidR="004D1042" w:rsidRPr="00055E82">
        <w:t xml:space="preserve">The </w:t>
      </w:r>
      <w:r w:rsidR="00E676BB" w:rsidRPr="00055E82">
        <w:t>Working Group</w:t>
      </w:r>
      <w:r w:rsidR="004D1042" w:rsidRPr="00055E82">
        <w:t xml:space="preserve"> is expected to agree on the main decisions taken at </w:t>
      </w:r>
      <w:r w:rsidR="00525A33">
        <w:t xml:space="preserve">its </w:t>
      </w:r>
      <w:r w:rsidR="00754761">
        <w:t>eighth</w:t>
      </w:r>
      <w:r w:rsidR="00525A33">
        <w:t xml:space="preserve"> meeting</w:t>
      </w:r>
      <w:r w:rsidR="005B2E16" w:rsidRPr="00055E82">
        <w:t xml:space="preserve">, to authorize the secretariat to complete the report after the </w:t>
      </w:r>
      <w:r w:rsidR="00525A33">
        <w:t xml:space="preserve">meeting </w:t>
      </w:r>
      <w:r w:rsidR="005B2E16" w:rsidRPr="00055E82">
        <w:t>under the guidance of the Chair</w:t>
      </w:r>
      <w:r w:rsidR="00E676BB" w:rsidRPr="00055E82">
        <w:t xml:space="preserve"> and to </w:t>
      </w:r>
      <w:r w:rsidR="00E676BB" w:rsidRPr="00055E82">
        <w:rPr>
          <w:szCs w:val="24"/>
        </w:rPr>
        <w:t>confirm the date and venue of its next meeting</w:t>
      </w:r>
      <w:r w:rsidR="004D1042" w:rsidRPr="00055E82">
        <w:t>.</w:t>
      </w:r>
    </w:p>
    <w:p w14:paraId="4DFD3686" w14:textId="77777777" w:rsidR="00EC6346" w:rsidRDefault="00EC6346" w:rsidP="00EC6346">
      <w:pPr>
        <w:pStyle w:val="SingleTxtG"/>
        <w:rPr>
          <w:u w:val="single"/>
        </w:rPr>
      </w:pPr>
    </w:p>
    <w:p w14:paraId="18F2BA26" w14:textId="13CE5D4C" w:rsidR="00DC5061" w:rsidRPr="00EC6346" w:rsidRDefault="00EC6346" w:rsidP="00EC6346">
      <w:pPr>
        <w:pStyle w:val="SingleTxtG"/>
        <w:jc w:val="center"/>
      </w:pPr>
      <w:r>
        <w:t>___________________</w:t>
      </w:r>
    </w:p>
    <w:sectPr w:rsidR="00DC5061" w:rsidRPr="00EC6346" w:rsidSect="00481554">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410B50" w14:textId="77777777" w:rsidR="0019782A" w:rsidRDefault="0019782A"/>
  </w:endnote>
  <w:endnote w:type="continuationSeparator" w:id="0">
    <w:p w14:paraId="5040A40B" w14:textId="77777777" w:rsidR="0019782A" w:rsidRDefault="0019782A"/>
  </w:endnote>
  <w:endnote w:type="continuationNotice" w:id="1">
    <w:p w14:paraId="316444C8" w14:textId="77777777" w:rsidR="0019782A" w:rsidRDefault="001978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39T30Lfz">
    <w:altName w:val="Symbol"/>
    <w:charset w:val="02"/>
    <w:family w:val="auto"/>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47E88" w14:textId="0110F759" w:rsidR="0019782A" w:rsidRPr="005B164E" w:rsidRDefault="0019782A" w:rsidP="005B164E">
    <w:pPr>
      <w:pStyle w:val="Footer"/>
      <w:tabs>
        <w:tab w:val="right" w:pos="9638"/>
      </w:tabs>
      <w:rPr>
        <w:sz w:val="18"/>
      </w:rPr>
    </w:pPr>
    <w:r w:rsidRPr="005B164E">
      <w:rPr>
        <w:b/>
        <w:sz w:val="18"/>
      </w:rPr>
      <w:fldChar w:fldCharType="begin"/>
    </w:r>
    <w:r w:rsidRPr="005B164E">
      <w:rPr>
        <w:b/>
        <w:sz w:val="18"/>
      </w:rPr>
      <w:instrText xml:space="preserve"> PAGE  \* MERGEFORMAT </w:instrText>
    </w:r>
    <w:r w:rsidRPr="005B164E">
      <w:rPr>
        <w:b/>
        <w:sz w:val="18"/>
      </w:rPr>
      <w:fldChar w:fldCharType="separate"/>
    </w:r>
    <w:r w:rsidR="00E85210">
      <w:rPr>
        <w:b/>
        <w:noProof/>
        <w:sz w:val="18"/>
      </w:rPr>
      <w:t>10</w:t>
    </w:r>
    <w:r w:rsidRPr="005B164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66ABD" w14:textId="73990DEB" w:rsidR="0019782A" w:rsidRPr="005B164E" w:rsidRDefault="0019782A" w:rsidP="005B164E">
    <w:pPr>
      <w:pStyle w:val="Footer"/>
      <w:tabs>
        <w:tab w:val="right" w:pos="9638"/>
      </w:tabs>
      <w:rPr>
        <w:b/>
        <w:sz w:val="18"/>
      </w:rPr>
    </w:pPr>
    <w:r>
      <w:tab/>
    </w:r>
    <w:r w:rsidRPr="005B164E">
      <w:rPr>
        <w:b/>
        <w:sz w:val="18"/>
      </w:rPr>
      <w:fldChar w:fldCharType="begin"/>
    </w:r>
    <w:r w:rsidRPr="005B164E">
      <w:rPr>
        <w:b/>
        <w:sz w:val="18"/>
      </w:rPr>
      <w:instrText xml:space="preserve"> PAGE  \* MERGEFORMAT </w:instrText>
    </w:r>
    <w:r w:rsidRPr="005B164E">
      <w:rPr>
        <w:b/>
        <w:sz w:val="18"/>
      </w:rPr>
      <w:fldChar w:fldCharType="separate"/>
    </w:r>
    <w:r w:rsidR="00E85210">
      <w:rPr>
        <w:b/>
        <w:noProof/>
        <w:sz w:val="18"/>
      </w:rPr>
      <w:t>11</w:t>
    </w:r>
    <w:r w:rsidRPr="005B164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856B9" w14:textId="7DABF88D" w:rsidR="00CB494A" w:rsidRDefault="00CB494A" w:rsidP="00CB494A">
    <w:pPr>
      <w:pStyle w:val="Footer"/>
    </w:pPr>
    <w:r>
      <w:rPr>
        <w:rFonts w:ascii="C39T30Lfz" w:hAnsi="C39T30Lfz"/>
        <w:noProof/>
        <w:sz w:val="56"/>
        <w:lang w:val="en-US" w:eastAsia="zh-CN"/>
      </w:rPr>
      <w:drawing>
        <wp:anchor distT="0" distB="0" distL="114300" distR="114300" simplePos="0" relativeHeight="251660288" behindDoc="0" locked="0" layoutInCell="1" allowOverlap="1" wp14:anchorId="644D15D4" wp14:editId="03CC7397">
          <wp:simplePos x="0" y="0"/>
          <wp:positionH relativeFrom="margin">
            <wp:posOffset>5478780</wp:posOffset>
          </wp:positionH>
          <wp:positionV relativeFrom="margin">
            <wp:posOffset>7914726</wp:posOffset>
          </wp:positionV>
          <wp:extent cx="561975" cy="561975"/>
          <wp:effectExtent l="0" t="0" r="9525" b="9525"/>
          <wp:wrapNone/>
          <wp:docPr id="2" name="Picture 1" descr="https://undocs.org/m2/QRCode.ashx?DS=ECE/MP.EIA/WG.2/2019/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MP.EIA/WG.2/2019/1&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zh-CN"/>
      </w:rPr>
      <w:drawing>
        <wp:anchor distT="0" distB="0" distL="114300" distR="114300" simplePos="0" relativeHeight="251659264" behindDoc="1" locked="1" layoutInCell="1" allowOverlap="1" wp14:anchorId="6E4324E7" wp14:editId="7021CE8C">
          <wp:simplePos x="0" y="0"/>
          <wp:positionH relativeFrom="margin">
            <wp:posOffset>4320540</wp:posOffset>
          </wp:positionH>
          <wp:positionV relativeFrom="margin">
            <wp:posOffset>8265160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14:paraId="2A5B4474" w14:textId="798CDA99" w:rsidR="00CB494A" w:rsidRDefault="00CB494A" w:rsidP="00CB494A">
    <w:pPr>
      <w:pStyle w:val="Footer"/>
      <w:ind w:right="1134"/>
      <w:rPr>
        <w:sz w:val="20"/>
      </w:rPr>
    </w:pPr>
    <w:r>
      <w:rPr>
        <w:sz w:val="20"/>
      </w:rPr>
      <w:t>GE.19-14765(E)</w:t>
    </w:r>
  </w:p>
  <w:p w14:paraId="17C5E96C" w14:textId="62325D97" w:rsidR="00CB494A" w:rsidRPr="00CB494A" w:rsidRDefault="00CB494A" w:rsidP="00CB494A">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3CC7B6" w14:textId="77777777" w:rsidR="0019782A" w:rsidRPr="000B175B" w:rsidRDefault="0019782A" w:rsidP="000B175B">
      <w:pPr>
        <w:tabs>
          <w:tab w:val="right" w:pos="2155"/>
        </w:tabs>
        <w:spacing w:after="80"/>
        <w:ind w:left="680"/>
        <w:rPr>
          <w:u w:val="single"/>
        </w:rPr>
      </w:pPr>
      <w:r>
        <w:rPr>
          <w:u w:val="single"/>
        </w:rPr>
        <w:tab/>
      </w:r>
    </w:p>
  </w:footnote>
  <w:footnote w:type="continuationSeparator" w:id="0">
    <w:p w14:paraId="33639AC5" w14:textId="77777777" w:rsidR="0019782A" w:rsidRPr="00FC68B7" w:rsidRDefault="0019782A" w:rsidP="00FC68B7">
      <w:pPr>
        <w:tabs>
          <w:tab w:val="left" w:pos="2155"/>
        </w:tabs>
        <w:spacing w:after="80"/>
        <w:ind w:left="680"/>
        <w:rPr>
          <w:u w:val="single"/>
        </w:rPr>
      </w:pPr>
      <w:r>
        <w:rPr>
          <w:u w:val="single"/>
        </w:rPr>
        <w:tab/>
      </w:r>
    </w:p>
  </w:footnote>
  <w:footnote w:type="continuationNotice" w:id="1">
    <w:p w14:paraId="0A364354" w14:textId="77777777" w:rsidR="0019782A" w:rsidRDefault="0019782A"/>
  </w:footnote>
  <w:footnote w:id="2">
    <w:p w14:paraId="0ED41E8B" w14:textId="1AA59BC1" w:rsidR="0019782A" w:rsidRPr="006C507F" w:rsidRDefault="0019782A" w:rsidP="006C63B8">
      <w:pPr>
        <w:pStyle w:val="FootnoteText"/>
      </w:pPr>
      <w:r>
        <w:rPr>
          <w:b/>
          <w:bCs/>
        </w:rPr>
        <w:tab/>
      </w:r>
      <w:r w:rsidRPr="006C63B8">
        <w:rPr>
          <w:rStyle w:val="FootnoteReference"/>
          <w:b/>
          <w:bCs/>
          <w:vertAlign w:val="baseline"/>
        </w:rPr>
        <w:t>*</w:t>
      </w:r>
      <w:r w:rsidRPr="006C63B8">
        <w:rPr>
          <w:b/>
          <w:bCs/>
        </w:rPr>
        <w:tab/>
      </w:r>
      <w:bookmarkStart w:id="2" w:name="_Hlk17963238"/>
      <w:r w:rsidRPr="006C507F">
        <w:t xml:space="preserve">In accordance with the accreditation procedures for meetings at the Palais des Nations, delegates are </w:t>
      </w:r>
      <w:r w:rsidRPr="001D4F66">
        <w:t>requested to register online no later than three weeks prior to the meeting, i.e. by 4 November 2019, through the following</w:t>
      </w:r>
      <w:r w:rsidR="00046735">
        <w:t xml:space="preserve"> </w:t>
      </w:r>
      <w:r w:rsidR="00046735" w:rsidRPr="00046735">
        <w:t>https://uncdb.unece.org/app/ext/meeting-registration?id=icBbys</w:t>
      </w:r>
      <w:r>
        <w:rPr>
          <w:rStyle w:val="Hyperlink"/>
        </w:rPr>
        <w:t>.</w:t>
      </w:r>
      <w:r w:rsidRPr="006C507F">
        <w:t xml:space="preserve"> </w:t>
      </w:r>
      <w:bookmarkEnd w:id="2"/>
      <w:r w:rsidRPr="006C507F">
        <w:t xml:space="preserve">Registration details are available on the website. The use of </w:t>
      </w:r>
      <w:r>
        <w:t xml:space="preserve">the </w:t>
      </w:r>
      <w:r w:rsidRPr="006C507F">
        <w:t>Internet Explorer browser is recommended. In case of difficulty, please refer to the online user manual (</w:t>
      </w:r>
      <w:hyperlink r:id="rId1" w:history="1">
        <w:r w:rsidRPr="00F93BD7">
          <w:rPr>
            <w:rStyle w:val="Hyperlink"/>
          </w:rPr>
          <w:t>www2.unece.org/wiki/display/OMR/Online+Meeting+Registration+Guidelines</w:t>
        </w:r>
      </w:hyperlink>
      <w:r w:rsidRPr="006C507F">
        <w:t>), or contact the secretariat by email (</w:t>
      </w:r>
      <w:hyperlink r:id="rId2" w:history="1">
        <w:r w:rsidRPr="00FE1795">
          <w:rPr>
            <w:rStyle w:val="Hyperlink"/>
          </w:rPr>
          <w:t>eia.conv@un.org</w:t>
        </w:r>
      </w:hyperlink>
      <w:r w:rsidRPr="006C507F">
        <w:t xml:space="preserve">). On their way to the meeting, delegates should obtain an identification badge at the Pass and Identification Unit of the United Nations Office at Geneva’s Security and Safety Section, located at the </w:t>
      </w:r>
      <w:proofErr w:type="spellStart"/>
      <w:r w:rsidRPr="006C507F">
        <w:t>Pregny</w:t>
      </w:r>
      <w:proofErr w:type="spellEnd"/>
      <w:r w:rsidRPr="006C507F">
        <w:t xml:space="preserve"> Gate, 14, Avenue de la </w:t>
      </w:r>
      <w:proofErr w:type="spellStart"/>
      <w:r w:rsidRPr="006C507F">
        <w:t>Paix</w:t>
      </w:r>
      <w:proofErr w:type="spellEnd"/>
      <w:r w:rsidRPr="006C507F">
        <w:t xml:space="preserve"> (see map and other practical information available from the United Nations Economic Commission for Europe website: </w:t>
      </w:r>
      <w:hyperlink r:id="rId3" w:history="1">
        <w:r w:rsidRPr="00F93BD7">
          <w:rPr>
            <w:rStyle w:val="Hyperlink"/>
          </w:rPr>
          <w:t>www.unece.org/meetings/practical.html</w:t>
        </w:r>
      </w:hyperlink>
      <w:r w:rsidRPr="006C507F">
        <w:t xml:space="preserve">). In case of difficulty, please contact the Convention secretariat by telephone at +41 22 917 </w:t>
      </w:r>
      <w:r>
        <w:t>6307</w:t>
      </w:r>
      <w:r w:rsidRPr="006C507F">
        <w:t>.</w:t>
      </w:r>
    </w:p>
  </w:footnote>
  <w:footnote w:id="3">
    <w:p w14:paraId="221DD8B5" w14:textId="30C921FB" w:rsidR="0019782A" w:rsidRPr="002618F2" w:rsidRDefault="0019782A" w:rsidP="00057681">
      <w:pPr>
        <w:pStyle w:val="FootnoteText"/>
        <w:tabs>
          <w:tab w:val="clear" w:pos="1021"/>
        </w:tabs>
        <w:ind w:hanging="142"/>
      </w:pPr>
      <w:r w:rsidRPr="00B917F4">
        <w:rPr>
          <w:rStyle w:val="FootnoteReference"/>
        </w:rPr>
        <w:footnoteRef/>
      </w:r>
      <w:r w:rsidRPr="00B917F4">
        <w:tab/>
        <w:t xml:space="preserve">All meeting documentation will be made available on a dedicated web page for the meeting on the </w:t>
      </w:r>
      <w:r>
        <w:t xml:space="preserve">United Nations </w:t>
      </w:r>
      <w:r w:rsidRPr="00B917F4">
        <w:t>Economic Commission for Europe website (</w:t>
      </w:r>
      <w:r w:rsidRPr="008C0FA0">
        <w:t>www.unece.org/index.php?id=50466</w:t>
      </w:r>
      <w:r w:rsidRPr="002618F2">
        <w:t xml:space="preserve">). Please note that documents with symbols ending in “INF.” and a number are informal documents and can be located in the documents table by clicking on the “Informal </w:t>
      </w:r>
      <w:r>
        <w:t>d</w:t>
      </w:r>
      <w:r w:rsidRPr="002618F2">
        <w:t>ocuments” tab.</w:t>
      </w:r>
    </w:p>
  </w:footnote>
  <w:footnote w:id="4">
    <w:p w14:paraId="7AA47443" w14:textId="4FED3B3B" w:rsidR="0019782A" w:rsidRDefault="0019782A" w:rsidP="004C1FC1">
      <w:pPr>
        <w:pStyle w:val="FootnoteText"/>
        <w:tabs>
          <w:tab w:val="clear" w:pos="1021"/>
          <w:tab w:val="right" w:pos="1020"/>
        </w:tabs>
      </w:pPr>
      <w:r w:rsidRPr="002618F2">
        <w:tab/>
      </w:r>
      <w:r w:rsidRPr="00B917F4">
        <w:rPr>
          <w:rStyle w:val="FootnoteReference"/>
        </w:rPr>
        <w:footnoteRef/>
      </w:r>
      <w:r w:rsidRPr="00B917F4">
        <w:tab/>
      </w:r>
      <w:r>
        <w:t>The r</w:t>
      </w:r>
      <w:r w:rsidRPr="002618F2">
        <w:t>epor</w:t>
      </w:r>
      <w:r>
        <w:t>t</w:t>
      </w:r>
      <w:r w:rsidRPr="002618F2">
        <w:t xml:space="preserve">s on the Implementation Committee’s </w:t>
      </w:r>
      <w:r>
        <w:t xml:space="preserve">2019 </w:t>
      </w:r>
      <w:r w:rsidRPr="002618F2">
        <w:t>session</w:t>
      </w:r>
      <w:r>
        <w:t>s</w:t>
      </w:r>
      <w:r w:rsidRPr="002618F2">
        <w:t xml:space="preserve"> </w:t>
      </w:r>
      <w:r>
        <w:t>are</w:t>
      </w:r>
      <w:r w:rsidRPr="002618F2">
        <w:t xml:space="preserve"> available </w:t>
      </w:r>
      <w:r>
        <w:t xml:space="preserve">at </w:t>
      </w:r>
      <w:hyperlink r:id="rId4" w:anchor="/0/0/0/28089/19940" w:history="1">
        <w:r w:rsidRPr="00452707">
          <w:rPr>
            <w:rStyle w:val="Hyperlink"/>
          </w:rPr>
          <w:t>www.unece.org/environmental-policy/conventions/environmental-assessment/meetings-and-events.html#/0/0/0/28089/19940</w:t>
        </w:r>
      </w:hyperlink>
      <w:r>
        <w:t>.</w:t>
      </w:r>
    </w:p>
    <w:p w14:paraId="1BD5626F" w14:textId="77777777" w:rsidR="0019782A" w:rsidRDefault="0019782A" w:rsidP="004C1FC1">
      <w:pPr>
        <w:pStyle w:val="FootnoteText"/>
        <w:tabs>
          <w:tab w:val="clear" w:pos="1021"/>
          <w:tab w:val="right" w:pos="1020"/>
        </w:tabs>
      </w:pPr>
    </w:p>
    <w:p w14:paraId="37C00AAB" w14:textId="77777777" w:rsidR="0019782A" w:rsidRPr="002618F2" w:rsidRDefault="0019782A" w:rsidP="004C1FC1">
      <w:pPr>
        <w:pStyle w:val="FootnoteText"/>
        <w:tabs>
          <w:tab w:val="clear" w:pos="1021"/>
          <w:tab w:val="right" w:pos="1020"/>
        </w:tabs>
      </w:pPr>
    </w:p>
  </w:footnote>
  <w:footnote w:id="5">
    <w:p w14:paraId="1C04DF7B" w14:textId="167B1ECF" w:rsidR="0019782A" w:rsidRPr="00E44466" w:rsidRDefault="0019782A" w:rsidP="00E16BE6">
      <w:pPr>
        <w:pStyle w:val="FootnoteText"/>
        <w:tabs>
          <w:tab w:val="clear" w:pos="1021"/>
          <w:tab w:val="right" w:pos="1020"/>
        </w:tabs>
      </w:pPr>
      <w:r w:rsidRPr="00B917F4">
        <w:tab/>
      </w:r>
      <w:r w:rsidRPr="00B917F4">
        <w:rPr>
          <w:rStyle w:val="FootnoteReference"/>
        </w:rPr>
        <w:footnoteRef/>
      </w:r>
      <w:r w:rsidRPr="00B917F4">
        <w:tab/>
        <w:t>United Nations</w:t>
      </w:r>
      <w:r w:rsidRPr="002618F2">
        <w:t xml:space="preserve"> publication, Sales No</w:t>
      </w:r>
      <w:r>
        <w:t>.</w:t>
      </w:r>
      <w:r w:rsidRPr="002618F2">
        <w:t xml:space="preserve"> E.18.II.E.6.</w:t>
      </w:r>
    </w:p>
  </w:footnote>
  <w:footnote w:id="6">
    <w:p w14:paraId="0780D49F" w14:textId="663AD256" w:rsidR="0019782A" w:rsidRPr="00E44466" w:rsidRDefault="0019782A" w:rsidP="00E16BE6">
      <w:pPr>
        <w:pStyle w:val="FootnoteText"/>
        <w:tabs>
          <w:tab w:val="clear" w:pos="1021"/>
          <w:tab w:val="right" w:pos="1020"/>
        </w:tabs>
      </w:pPr>
      <w:r w:rsidRPr="00B917F4">
        <w:tab/>
      </w:r>
      <w:r w:rsidRPr="00B917F4">
        <w:rPr>
          <w:rStyle w:val="FootnoteReference"/>
        </w:rPr>
        <w:footnoteRef/>
      </w:r>
      <w:r w:rsidRPr="00B917F4">
        <w:tab/>
      </w:r>
      <w:r>
        <w:t>United Nations publication, ECE/MP.EIA/24.</w:t>
      </w:r>
      <w:r w:rsidRPr="002618F2">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5E8C4" w14:textId="7D0E532F" w:rsidR="0019782A" w:rsidRPr="007813E2" w:rsidRDefault="0019782A">
    <w:pPr>
      <w:pStyle w:val="Header"/>
      <w:rPr>
        <w:sz w:val="20"/>
      </w:rPr>
    </w:pPr>
    <w:r>
      <w:t xml:space="preserve">ECE/MP.EIA/WG.2/2019/1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2B65A" w14:textId="0B325C71" w:rsidR="0019782A" w:rsidRPr="005B164E" w:rsidRDefault="0019782A" w:rsidP="005B164E">
    <w:pPr>
      <w:pStyle w:val="Header"/>
      <w:jc w:val="right"/>
    </w:pPr>
    <w:r>
      <w:t>ECE/MP.EIA/WG.2/2019/1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8978DC"/>
    <w:multiLevelType w:val="hybridMultilevel"/>
    <w:tmpl w:val="AE1AC8A8"/>
    <w:lvl w:ilvl="0" w:tplc="6F0EE2A8">
      <w:start w:val="1"/>
      <w:numFmt w:val="bullet"/>
      <w:lvlText w:val=""/>
      <w:lvlJc w:val="left"/>
      <w:pPr>
        <w:tabs>
          <w:tab w:val="num" w:pos="720"/>
        </w:tabs>
        <w:ind w:left="720" w:hanging="360"/>
      </w:pPr>
      <w:rPr>
        <w:rFonts w:ascii="Wingdings" w:hAnsi="Wingdings" w:hint="default"/>
      </w:rPr>
    </w:lvl>
    <w:lvl w:ilvl="1" w:tplc="E16ECA98" w:tentative="1">
      <w:start w:val="1"/>
      <w:numFmt w:val="bullet"/>
      <w:lvlText w:val=""/>
      <w:lvlJc w:val="left"/>
      <w:pPr>
        <w:tabs>
          <w:tab w:val="num" w:pos="1440"/>
        </w:tabs>
        <w:ind w:left="1440" w:hanging="360"/>
      </w:pPr>
      <w:rPr>
        <w:rFonts w:ascii="Wingdings" w:hAnsi="Wingdings" w:hint="default"/>
      </w:rPr>
    </w:lvl>
    <w:lvl w:ilvl="2" w:tplc="DA20ADA8" w:tentative="1">
      <w:start w:val="1"/>
      <w:numFmt w:val="bullet"/>
      <w:lvlText w:val=""/>
      <w:lvlJc w:val="left"/>
      <w:pPr>
        <w:tabs>
          <w:tab w:val="num" w:pos="2160"/>
        </w:tabs>
        <w:ind w:left="2160" w:hanging="360"/>
      </w:pPr>
      <w:rPr>
        <w:rFonts w:ascii="Wingdings" w:hAnsi="Wingdings" w:hint="default"/>
      </w:rPr>
    </w:lvl>
    <w:lvl w:ilvl="3" w:tplc="84FAECEE" w:tentative="1">
      <w:start w:val="1"/>
      <w:numFmt w:val="bullet"/>
      <w:lvlText w:val=""/>
      <w:lvlJc w:val="left"/>
      <w:pPr>
        <w:tabs>
          <w:tab w:val="num" w:pos="2880"/>
        </w:tabs>
        <w:ind w:left="2880" w:hanging="360"/>
      </w:pPr>
      <w:rPr>
        <w:rFonts w:ascii="Wingdings" w:hAnsi="Wingdings" w:hint="default"/>
      </w:rPr>
    </w:lvl>
    <w:lvl w:ilvl="4" w:tplc="FA5AF1B0" w:tentative="1">
      <w:start w:val="1"/>
      <w:numFmt w:val="bullet"/>
      <w:lvlText w:val=""/>
      <w:lvlJc w:val="left"/>
      <w:pPr>
        <w:tabs>
          <w:tab w:val="num" w:pos="3600"/>
        </w:tabs>
        <w:ind w:left="3600" w:hanging="360"/>
      </w:pPr>
      <w:rPr>
        <w:rFonts w:ascii="Wingdings" w:hAnsi="Wingdings" w:hint="default"/>
      </w:rPr>
    </w:lvl>
    <w:lvl w:ilvl="5" w:tplc="B02C1F2C" w:tentative="1">
      <w:start w:val="1"/>
      <w:numFmt w:val="bullet"/>
      <w:lvlText w:val=""/>
      <w:lvlJc w:val="left"/>
      <w:pPr>
        <w:tabs>
          <w:tab w:val="num" w:pos="4320"/>
        </w:tabs>
        <w:ind w:left="4320" w:hanging="360"/>
      </w:pPr>
      <w:rPr>
        <w:rFonts w:ascii="Wingdings" w:hAnsi="Wingdings" w:hint="default"/>
      </w:rPr>
    </w:lvl>
    <w:lvl w:ilvl="6" w:tplc="3D1A6572" w:tentative="1">
      <w:start w:val="1"/>
      <w:numFmt w:val="bullet"/>
      <w:lvlText w:val=""/>
      <w:lvlJc w:val="left"/>
      <w:pPr>
        <w:tabs>
          <w:tab w:val="num" w:pos="5040"/>
        </w:tabs>
        <w:ind w:left="5040" w:hanging="360"/>
      </w:pPr>
      <w:rPr>
        <w:rFonts w:ascii="Wingdings" w:hAnsi="Wingdings" w:hint="default"/>
      </w:rPr>
    </w:lvl>
    <w:lvl w:ilvl="7" w:tplc="4878B8A8" w:tentative="1">
      <w:start w:val="1"/>
      <w:numFmt w:val="bullet"/>
      <w:lvlText w:val=""/>
      <w:lvlJc w:val="left"/>
      <w:pPr>
        <w:tabs>
          <w:tab w:val="num" w:pos="5760"/>
        </w:tabs>
        <w:ind w:left="5760" w:hanging="360"/>
      </w:pPr>
      <w:rPr>
        <w:rFonts w:ascii="Wingdings" w:hAnsi="Wingdings" w:hint="default"/>
      </w:rPr>
    </w:lvl>
    <w:lvl w:ilvl="8" w:tplc="AC4C567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B52031F"/>
    <w:multiLevelType w:val="hybridMultilevel"/>
    <w:tmpl w:val="ADA2AF80"/>
    <w:lvl w:ilvl="0" w:tplc="640CA5B6">
      <w:start w:val="30"/>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F635039"/>
    <w:multiLevelType w:val="hybridMultilevel"/>
    <w:tmpl w:val="B32AE396"/>
    <w:lvl w:ilvl="0" w:tplc="EA0EC82E">
      <w:start w:val="1"/>
      <w:numFmt w:val="decimal"/>
      <w:lvlText w:val="%1."/>
      <w:lvlJc w:val="left"/>
      <w:pPr>
        <w:tabs>
          <w:tab w:val="num" w:pos="1080"/>
        </w:tabs>
        <w:ind w:left="1080" w:hanging="720"/>
      </w:pPr>
      <w:rPr>
        <w:rFonts w:hint="default"/>
      </w:rPr>
    </w:lvl>
    <w:lvl w:ilvl="1" w:tplc="9A2623D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9FB035F"/>
    <w:multiLevelType w:val="hybridMultilevel"/>
    <w:tmpl w:val="08E2460A"/>
    <w:lvl w:ilvl="0" w:tplc="DA523AD2">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15:restartNumberingAfterBreak="0">
    <w:nsid w:val="40357906"/>
    <w:multiLevelType w:val="hybridMultilevel"/>
    <w:tmpl w:val="2C26FC5E"/>
    <w:lvl w:ilvl="0" w:tplc="95CC2508">
      <w:start w:val="1"/>
      <w:numFmt w:val="decimal"/>
      <w:lvlText w:val="%1."/>
      <w:lvlJc w:val="left"/>
      <w:pPr>
        <w:tabs>
          <w:tab w:val="num" w:pos="1080"/>
        </w:tabs>
        <w:ind w:left="1080" w:hanging="720"/>
      </w:pPr>
      <w:rPr>
        <w:rFonts w:hint="default"/>
      </w:rPr>
    </w:lvl>
    <w:lvl w:ilvl="1" w:tplc="E258E18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5D82743"/>
    <w:multiLevelType w:val="hybridMultilevel"/>
    <w:tmpl w:val="C062F9FE"/>
    <w:lvl w:ilvl="0" w:tplc="BA5005B8">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83E29F0"/>
    <w:multiLevelType w:val="hybridMultilevel"/>
    <w:tmpl w:val="08E2460A"/>
    <w:lvl w:ilvl="0" w:tplc="DA523AD2">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15:restartNumberingAfterBreak="0">
    <w:nsid w:val="595610E1"/>
    <w:multiLevelType w:val="hybridMultilevel"/>
    <w:tmpl w:val="26FE3480"/>
    <w:lvl w:ilvl="0" w:tplc="34B6A33E">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10C2445"/>
    <w:multiLevelType w:val="hybridMultilevel"/>
    <w:tmpl w:val="30CC4CFA"/>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EE77AB"/>
    <w:multiLevelType w:val="hybridMultilevel"/>
    <w:tmpl w:val="B9244EEE"/>
    <w:lvl w:ilvl="0" w:tplc="A5A66532">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0"/>
  </w:num>
  <w:num w:numId="12">
    <w:abstractNumId w:val="13"/>
  </w:num>
  <w:num w:numId="13">
    <w:abstractNumId w:val="11"/>
  </w:num>
  <w:num w:numId="14">
    <w:abstractNumId w:val="21"/>
  </w:num>
  <w:num w:numId="15">
    <w:abstractNumId w:val="23"/>
  </w:num>
  <w:num w:numId="16">
    <w:abstractNumId w:val="16"/>
  </w:num>
  <w:num w:numId="17">
    <w:abstractNumId w:val="14"/>
  </w:num>
  <w:num w:numId="18">
    <w:abstractNumId w:val="17"/>
  </w:num>
  <w:num w:numId="19">
    <w:abstractNumId w:val="22"/>
  </w:num>
  <w:num w:numId="20">
    <w:abstractNumId w:val="15"/>
  </w:num>
  <w:num w:numId="21">
    <w:abstractNumId w:val="19"/>
  </w:num>
  <w:num w:numId="22">
    <w:abstractNumId w:val="18"/>
  </w:num>
  <w:num w:numId="23">
    <w:abstractNumId w:val="10"/>
  </w:num>
  <w:num w:numId="24">
    <w:abstractNumId w:val="12"/>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activeWritingStyle w:appName="MSWord" w:lang="en-GB" w:vendorID="64" w:dllVersion="5" w:nlCheck="1" w:checkStyle="1"/>
  <w:activeWritingStyle w:appName="MSWord" w:lang="en-GB" w:vendorID="64" w:dllVersion="6" w:nlCheck="1" w:checkStyle="1"/>
  <w:activeWritingStyle w:appName="MSWord" w:lang="fr-CH" w:vendorID="64" w:dllVersion="6" w:nlCheck="1" w:checkStyle="1"/>
  <w:activeWritingStyle w:appName="MSWord" w:lang="en-US" w:vendorID="64" w:dllVersion="6" w:nlCheck="1" w:checkStyle="1"/>
  <w:activeWritingStyle w:appName="MSWord" w:lang="en-GB" w:vendorID="64" w:dllVersion="0" w:nlCheck="1" w:checkStyle="0"/>
  <w:activeWritingStyle w:appName="MSWord" w:lang="es-ES" w:vendorID="64" w:dllVersion="0" w:nlCheck="1" w:checkStyle="0"/>
  <w:activeWritingStyle w:appName="MSWord" w:lang="en-US" w:vendorID="64" w:dllVersion="0" w:nlCheck="1" w:checkStyle="0"/>
  <w:activeWritingStyle w:appName="MSWord" w:lang="es-ES" w:vendorID="64" w:dllVersion="6" w:nlCheck="1" w:checkStyle="0"/>
  <w:activeWritingStyle w:appName="MSWord" w:lang="en-AU"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fr-FR" w:vendorID="64" w:dllVersion="4096" w:nlCheck="1" w:checkStyle="0"/>
  <w:activeWritingStyle w:appName="MSWord" w:lang="fr-CH"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457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9A0"/>
    <w:rsid w:val="0000051B"/>
    <w:rsid w:val="00003893"/>
    <w:rsid w:val="00007757"/>
    <w:rsid w:val="00007796"/>
    <w:rsid w:val="0001246C"/>
    <w:rsid w:val="00013403"/>
    <w:rsid w:val="00015B8D"/>
    <w:rsid w:val="00015C9E"/>
    <w:rsid w:val="00016580"/>
    <w:rsid w:val="00021625"/>
    <w:rsid w:val="000217E8"/>
    <w:rsid w:val="000237C8"/>
    <w:rsid w:val="00023B01"/>
    <w:rsid w:val="00024528"/>
    <w:rsid w:val="00035A50"/>
    <w:rsid w:val="00042726"/>
    <w:rsid w:val="00042976"/>
    <w:rsid w:val="00045218"/>
    <w:rsid w:val="000463DC"/>
    <w:rsid w:val="00046565"/>
    <w:rsid w:val="00046735"/>
    <w:rsid w:val="00046B1F"/>
    <w:rsid w:val="00050F6B"/>
    <w:rsid w:val="0005277B"/>
    <w:rsid w:val="00053625"/>
    <w:rsid w:val="00055E82"/>
    <w:rsid w:val="000563D8"/>
    <w:rsid w:val="00056485"/>
    <w:rsid w:val="00057681"/>
    <w:rsid w:val="00057866"/>
    <w:rsid w:val="00057E97"/>
    <w:rsid w:val="00060695"/>
    <w:rsid w:val="000632C8"/>
    <w:rsid w:val="00064189"/>
    <w:rsid w:val="00064392"/>
    <w:rsid w:val="00064ED0"/>
    <w:rsid w:val="00067541"/>
    <w:rsid w:val="00072C8C"/>
    <w:rsid w:val="000733B5"/>
    <w:rsid w:val="000745A4"/>
    <w:rsid w:val="000747A7"/>
    <w:rsid w:val="00074BE3"/>
    <w:rsid w:val="000754B7"/>
    <w:rsid w:val="00080A0A"/>
    <w:rsid w:val="000811AC"/>
    <w:rsid w:val="00081815"/>
    <w:rsid w:val="00081E82"/>
    <w:rsid w:val="00082CAD"/>
    <w:rsid w:val="0008392E"/>
    <w:rsid w:val="00083CF3"/>
    <w:rsid w:val="0008439F"/>
    <w:rsid w:val="000870E5"/>
    <w:rsid w:val="0009208B"/>
    <w:rsid w:val="000931C0"/>
    <w:rsid w:val="00096421"/>
    <w:rsid w:val="00096594"/>
    <w:rsid w:val="000965B2"/>
    <w:rsid w:val="000968B8"/>
    <w:rsid w:val="00096BC4"/>
    <w:rsid w:val="000A1FDC"/>
    <w:rsid w:val="000A284C"/>
    <w:rsid w:val="000A3370"/>
    <w:rsid w:val="000A36E5"/>
    <w:rsid w:val="000A62E2"/>
    <w:rsid w:val="000A6E05"/>
    <w:rsid w:val="000B0595"/>
    <w:rsid w:val="000B1007"/>
    <w:rsid w:val="000B13B3"/>
    <w:rsid w:val="000B175B"/>
    <w:rsid w:val="000B3A0F"/>
    <w:rsid w:val="000B4C00"/>
    <w:rsid w:val="000B4EF7"/>
    <w:rsid w:val="000C2C03"/>
    <w:rsid w:val="000C2D2E"/>
    <w:rsid w:val="000C4918"/>
    <w:rsid w:val="000C4A35"/>
    <w:rsid w:val="000C7C3B"/>
    <w:rsid w:val="000D04C5"/>
    <w:rsid w:val="000D19F8"/>
    <w:rsid w:val="000D435B"/>
    <w:rsid w:val="000D6790"/>
    <w:rsid w:val="000E0415"/>
    <w:rsid w:val="000E29FF"/>
    <w:rsid w:val="000E2B2C"/>
    <w:rsid w:val="000E327F"/>
    <w:rsid w:val="000F02D7"/>
    <w:rsid w:val="000F16D7"/>
    <w:rsid w:val="000F16EA"/>
    <w:rsid w:val="000F44BE"/>
    <w:rsid w:val="000F69CD"/>
    <w:rsid w:val="000F744A"/>
    <w:rsid w:val="000F7D07"/>
    <w:rsid w:val="000F7FEB"/>
    <w:rsid w:val="00101B70"/>
    <w:rsid w:val="001033A6"/>
    <w:rsid w:val="00103F55"/>
    <w:rsid w:val="0010451F"/>
    <w:rsid w:val="001068C4"/>
    <w:rsid w:val="001103AA"/>
    <w:rsid w:val="001108B2"/>
    <w:rsid w:val="0011666B"/>
    <w:rsid w:val="00120C50"/>
    <w:rsid w:val="0012174C"/>
    <w:rsid w:val="00135025"/>
    <w:rsid w:val="001360CC"/>
    <w:rsid w:val="00136BBE"/>
    <w:rsid w:val="001409D4"/>
    <w:rsid w:val="00140BC8"/>
    <w:rsid w:val="00143E31"/>
    <w:rsid w:val="001445FC"/>
    <w:rsid w:val="001473AB"/>
    <w:rsid w:val="001503B2"/>
    <w:rsid w:val="00154FD9"/>
    <w:rsid w:val="00156B47"/>
    <w:rsid w:val="00156E06"/>
    <w:rsid w:val="001618F9"/>
    <w:rsid w:val="00161F5C"/>
    <w:rsid w:val="00165284"/>
    <w:rsid w:val="00165F3A"/>
    <w:rsid w:val="00165F43"/>
    <w:rsid w:val="00170F0B"/>
    <w:rsid w:val="00176F98"/>
    <w:rsid w:val="001809B2"/>
    <w:rsid w:val="00181355"/>
    <w:rsid w:val="001817AE"/>
    <w:rsid w:val="00181DFD"/>
    <w:rsid w:val="0018268A"/>
    <w:rsid w:val="00182932"/>
    <w:rsid w:val="001830C0"/>
    <w:rsid w:val="00186697"/>
    <w:rsid w:val="00186E38"/>
    <w:rsid w:val="00190320"/>
    <w:rsid w:val="001911A9"/>
    <w:rsid w:val="00193775"/>
    <w:rsid w:val="00195076"/>
    <w:rsid w:val="001969F4"/>
    <w:rsid w:val="0019782A"/>
    <w:rsid w:val="001A19D4"/>
    <w:rsid w:val="001A219A"/>
    <w:rsid w:val="001A2217"/>
    <w:rsid w:val="001A25B2"/>
    <w:rsid w:val="001A3336"/>
    <w:rsid w:val="001A47E2"/>
    <w:rsid w:val="001A51F2"/>
    <w:rsid w:val="001B0B40"/>
    <w:rsid w:val="001B26BD"/>
    <w:rsid w:val="001B4B04"/>
    <w:rsid w:val="001C4E5F"/>
    <w:rsid w:val="001C5AEB"/>
    <w:rsid w:val="001C6663"/>
    <w:rsid w:val="001C7895"/>
    <w:rsid w:val="001C7FC0"/>
    <w:rsid w:val="001D0C8C"/>
    <w:rsid w:val="001D1419"/>
    <w:rsid w:val="001D1B89"/>
    <w:rsid w:val="001D26DF"/>
    <w:rsid w:val="001D306A"/>
    <w:rsid w:val="001D3A03"/>
    <w:rsid w:val="001D4F66"/>
    <w:rsid w:val="001D5162"/>
    <w:rsid w:val="001E21C9"/>
    <w:rsid w:val="001E2E20"/>
    <w:rsid w:val="001E4D7A"/>
    <w:rsid w:val="001E520F"/>
    <w:rsid w:val="001E608D"/>
    <w:rsid w:val="001E7B67"/>
    <w:rsid w:val="001E7E57"/>
    <w:rsid w:val="001F0269"/>
    <w:rsid w:val="001F1923"/>
    <w:rsid w:val="001F624D"/>
    <w:rsid w:val="001F75F3"/>
    <w:rsid w:val="0020180B"/>
    <w:rsid w:val="00202DA8"/>
    <w:rsid w:val="002033F1"/>
    <w:rsid w:val="00205299"/>
    <w:rsid w:val="00206699"/>
    <w:rsid w:val="002073ED"/>
    <w:rsid w:val="00211E0B"/>
    <w:rsid w:val="002160FA"/>
    <w:rsid w:val="002168A8"/>
    <w:rsid w:val="0022008D"/>
    <w:rsid w:val="00222028"/>
    <w:rsid w:val="00222620"/>
    <w:rsid w:val="00222635"/>
    <w:rsid w:val="00222D62"/>
    <w:rsid w:val="00223582"/>
    <w:rsid w:val="002236E1"/>
    <w:rsid w:val="00223F30"/>
    <w:rsid w:val="002244E8"/>
    <w:rsid w:val="00230C33"/>
    <w:rsid w:val="002329E2"/>
    <w:rsid w:val="00233EB3"/>
    <w:rsid w:val="00234A46"/>
    <w:rsid w:val="00235D82"/>
    <w:rsid w:val="00236C98"/>
    <w:rsid w:val="00237F5E"/>
    <w:rsid w:val="0024081F"/>
    <w:rsid w:val="00242F03"/>
    <w:rsid w:val="00243D85"/>
    <w:rsid w:val="002457BE"/>
    <w:rsid w:val="00246E4B"/>
    <w:rsid w:val="0024772E"/>
    <w:rsid w:val="00247CE6"/>
    <w:rsid w:val="00251078"/>
    <w:rsid w:val="0025349B"/>
    <w:rsid w:val="002618F2"/>
    <w:rsid w:val="00261FDE"/>
    <w:rsid w:val="00262B4B"/>
    <w:rsid w:val="00264029"/>
    <w:rsid w:val="00266039"/>
    <w:rsid w:val="00267F5F"/>
    <w:rsid w:val="002739EF"/>
    <w:rsid w:val="00274ADF"/>
    <w:rsid w:val="002769E0"/>
    <w:rsid w:val="00276AC4"/>
    <w:rsid w:val="002803C2"/>
    <w:rsid w:val="00282720"/>
    <w:rsid w:val="00284C67"/>
    <w:rsid w:val="00284CD2"/>
    <w:rsid w:val="002867E3"/>
    <w:rsid w:val="00286B4D"/>
    <w:rsid w:val="00287680"/>
    <w:rsid w:val="00287C81"/>
    <w:rsid w:val="00295B60"/>
    <w:rsid w:val="002A329F"/>
    <w:rsid w:val="002A4348"/>
    <w:rsid w:val="002A4BAE"/>
    <w:rsid w:val="002A69FE"/>
    <w:rsid w:val="002A71DD"/>
    <w:rsid w:val="002B1E25"/>
    <w:rsid w:val="002B3B3A"/>
    <w:rsid w:val="002B4142"/>
    <w:rsid w:val="002B58F9"/>
    <w:rsid w:val="002B5921"/>
    <w:rsid w:val="002B6ED1"/>
    <w:rsid w:val="002C6003"/>
    <w:rsid w:val="002C6720"/>
    <w:rsid w:val="002C76E9"/>
    <w:rsid w:val="002D0F7A"/>
    <w:rsid w:val="002D106E"/>
    <w:rsid w:val="002D13E4"/>
    <w:rsid w:val="002D4643"/>
    <w:rsid w:val="002D4C38"/>
    <w:rsid w:val="002D5BE8"/>
    <w:rsid w:val="002D6CB2"/>
    <w:rsid w:val="002E2472"/>
    <w:rsid w:val="002E2903"/>
    <w:rsid w:val="002E336D"/>
    <w:rsid w:val="002E7331"/>
    <w:rsid w:val="002F13E2"/>
    <w:rsid w:val="002F175C"/>
    <w:rsid w:val="002F2B7D"/>
    <w:rsid w:val="002F3CFA"/>
    <w:rsid w:val="002F41A2"/>
    <w:rsid w:val="002F55BA"/>
    <w:rsid w:val="002F6842"/>
    <w:rsid w:val="002F7594"/>
    <w:rsid w:val="002F78EC"/>
    <w:rsid w:val="0030279F"/>
    <w:rsid w:val="00302E18"/>
    <w:rsid w:val="00303535"/>
    <w:rsid w:val="0030360F"/>
    <w:rsid w:val="00303B81"/>
    <w:rsid w:val="003141A0"/>
    <w:rsid w:val="003229D8"/>
    <w:rsid w:val="00330A2F"/>
    <w:rsid w:val="003311D1"/>
    <w:rsid w:val="003317FF"/>
    <w:rsid w:val="00332EA8"/>
    <w:rsid w:val="00335B6C"/>
    <w:rsid w:val="003372BB"/>
    <w:rsid w:val="00342356"/>
    <w:rsid w:val="00344DC3"/>
    <w:rsid w:val="00345403"/>
    <w:rsid w:val="00347067"/>
    <w:rsid w:val="00351D9E"/>
    <w:rsid w:val="00352709"/>
    <w:rsid w:val="00352AE7"/>
    <w:rsid w:val="00353258"/>
    <w:rsid w:val="00353E27"/>
    <w:rsid w:val="003555A8"/>
    <w:rsid w:val="003619B5"/>
    <w:rsid w:val="00362A33"/>
    <w:rsid w:val="003636DD"/>
    <w:rsid w:val="00363CC2"/>
    <w:rsid w:val="00363F97"/>
    <w:rsid w:val="00365763"/>
    <w:rsid w:val="00365BD2"/>
    <w:rsid w:val="00366BC0"/>
    <w:rsid w:val="00371178"/>
    <w:rsid w:val="00371C26"/>
    <w:rsid w:val="003757BE"/>
    <w:rsid w:val="003811FE"/>
    <w:rsid w:val="00381661"/>
    <w:rsid w:val="0038478B"/>
    <w:rsid w:val="003865BB"/>
    <w:rsid w:val="0038686D"/>
    <w:rsid w:val="00392E47"/>
    <w:rsid w:val="0039517E"/>
    <w:rsid w:val="003977EC"/>
    <w:rsid w:val="003A068A"/>
    <w:rsid w:val="003A2824"/>
    <w:rsid w:val="003A6810"/>
    <w:rsid w:val="003B0070"/>
    <w:rsid w:val="003B03EE"/>
    <w:rsid w:val="003B1627"/>
    <w:rsid w:val="003B1A28"/>
    <w:rsid w:val="003B4680"/>
    <w:rsid w:val="003B653B"/>
    <w:rsid w:val="003C2CC4"/>
    <w:rsid w:val="003C5BE9"/>
    <w:rsid w:val="003C6AC8"/>
    <w:rsid w:val="003D11F9"/>
    <w:rsid w:val="003D1474"/>
    <w:rsid w:val="003D25A5"/>
    <w:rsid w:val="003D4B23"/>
    <w:rsid w:val="003D606A"/>
    <w:rsid w:val="003E0FDC"/>
    <w:rsid w:val="003E405C"/>
    <w:rsid w:val="003E63C8"/>
    <w:rsid w:val="003E6BA1"/>
    <w:rsid w:val="003E75F4"/>
    <w:rsid w:val="003F3E80"/>
    <w:rsid w:val="003F57CF"/>
    <w:rsid w:val="003F6537"/>
    <w:rsid w:val="003F6932"/>
    <w:rsid w:val="003F6CA6"/>
    <w:rsid w:val="004063D2"/>
    <w:rsid w:val="00410C89"/>
    <w:rsid w:val="00410EB9"/>
    <w:rsid w:val="00412564"/>
    <w:rsid w:val="00412658"/>
    <w:rsid w:val="00413AF2"/>
    <w:rsid w:val="00414483"/>
    <w:rsid w:val="00414ED7"/>
    <w:rsid w:val="00414F88"/>
    <w:rsid w:val="00416EA8"/>
    <w:rsid w:val="00417777"/>
    <w:rsid w:val="00420BED"/>
    <w:rsid w:val="00421DF4"/>
    <w:rsid w:val="00422E03"/>
    <w:rsid w:val="004257C1"/>
    <w:rsid w:val="004264B5"/>
    <w:rsid w:val="00426B9B"/>
    <w:rsid w:val="00426C61"/>
    <w:rsid w:val="004271F8"/>
    <w:rsid w:val="0042747B"/>
    <w:rsid w:val="004279C5"/>
    <w:rsid w:val="00430F04"/>
    <w:rsid w:val="004325CB"/>
    <w:rsid w:val="00432954"/>
    <w:rsid w:val="00434BFE"/>
    <w:rsid w:val="0043502B"/>
    <w:rsid w:val="00435B5F"/>
    <w:rsid w:val="00436788"/>
    <w:rsid w:val="00442799"/>
    <w:rsid w:val="00442A83"/>
    <w:rsid w:val="00442B21"/>
    <w:rsid w:val="00442DD9"/>
    <w:rsid w:val="0044337B"/>
    <w:rsid w:val="00451BEC"/>
    <w:rsid w:val="00452707"/>
    <w:rsid w:val="0045495B"/>
    <w:rsid w:val="0045761A"/>
    <w:rsid w:val="0046182C"/>
    <w:rsid w:val="0046479A"/>
    <w:rsid w:val="00465419"/>
    <w:rsid w:val="00466275"/>
    <w:rsid w:val="0046681A"/>
    <w:rsid w:val="00472711"/>
    <w:rsid w:val="00472C96"/>
    <w:rsid w:val="00472FF5"/>
    <w:rsid w:val="00474208"/>
    <w:rsid w:val="004745B9"/>
    <w:rsid w:val="00477826"/>
    <w:rsid w:val="00480D79"/>
    <w:rsid w:val="0048151A"/>
    <w:rsid w:val="00481554"/>
    <w:rsid w:val="00481A77"/>
    <w:rsid w:val="00482E24"/>
    <w:rsid w:val="0048397A"/>
    <w:rsid w:val="0048531C"/>
    <w:rsid w:val="00485CBB"/>
    <w:rsid w:val="004866B7"/>
    <w:rsid w:val="0049111F"/>
    <w:rsid w:val="00491635"/>
    <w:rsid w:val="004922F6"/>
    <w:rsid w:val="00493878"/>
    <w:rsid w:val="00493AB0"/>
    <w:rsid w:val="004958AE"/>
    <w:rsid w:val="00495C99"/>
    <w:rsid w:val="004A31F5"/>
    <w:rsid w:val="004A3621"/>
    <w:rsid w:val="004A5D84"/>
    <w:rsid w:val="004A5E30"/>
    <w:rsid w:val="004A62AC"/>
    <w:rsid w:val="004A7E28"/>
    <w:rsid w:val="004B3433"/>
    <w:rsid w:val="004B46EF"/>
    <w:rsid w:val="004B6647"/>
    <w:rsid w:val="004B7108"/>
    <w:rsid w:val="004C1FC1"/>
    <w:rsid w:val="004C2461"/>
    <w:rsid w:val="004C3298"/>
    <w:rsid w:val="004C49A0"/>
    <w:rsid w:val="004C5532"/>
    <w:rsid w:val="004C7462"/>
    <w:rsid w:val="004C7F76"/>
    <w:rsid w:val="004D085F"/>
    <w:rsid w:val="004D1042"/>
    <w:rsid w:val="004D137B"/>
    <w:rsid w:val="004D5BC4"/>
    <w:rsid w:val="004E46B0"/>
    <w:rsid w:val="004E51F8"/>
    <w:rsid w:val="004E6E44"/>
    <w:rsid w:val="004E77B2"/>
    <w:rsid w:val="004F1463"/>
    <w:rsid w:val="004F2D76"/>
    <w:rsid w:val="004F3370"/>
    <w:rsid w:val="004F425C"/>
    <w:rsid w:val="004F49D5"/>
    <w:rsid w:val="004F4CE9"/>
    <w:rsid w:val="004F64BF"/>
    <w:rsid w:val="004F7C23"/>
    <w:rsid w:val="00500A63"/>
    <w:rsid w:val="00502B36"/>
    <w:rsid w:val="00504B2D"/>
    <w:rsid w:val="00504D55"/>
    <w:rsid w:val="005050B9"/>
    <w:rsid w:val="0050554F"/>
    <w:rsid w:val="00505AFA"/>
    <w:rsid w:val="00512673"/>
    <w:rsid w:val="005130BF"/>
    <w:rsid w:val="005160AF"/>
    <w:rsid w:val="00517208"/>
    <w:rsid w:val="0052136D"/>
    <w:rsid w:val="00525A33"/>
    <w:rsid w:val="00525BF4"/>
    <w:rsid w:val="00527176"/>
    <w:rsid w:val="0052775E"/>
    <w:rsid w:val="00532606"/>
    <w:rsid w:val="00533317"/>
    <w:rsid w:val="00533BFD"/>
    <w:rsid w:val="00534540"/>
    <w:rsid w:val="00535D63"/>
    <w:rsid w:val="00536995"/>
    <w:rsid w:val="00536EC2"/>
    <w:rsid w:val="005371FF"/>
    <w:rsid w:val="005420F2"/>
    <w:rsid w:val="00544489"/>
    <w:rsid w:val="00546F0C"/>
    <w:rsid w:val="005505D6"/>
    <w:rsid w:val="0055177C"/>
    <w:rsid w:val="005543BD"/>
    <w:rsid w:val="0055455C"/>
    <w:rsid w:val="00554E4A"/>
    <w:rsid w:val="00556DB5"/>
    <w:rsid w:val="00560CA6"/>
    <w:rsid w:val="005610CF"/>
    <w:rsid w:val="005628B6"/>
    <w:rsid w:val="0056368E"/>
    <w:rsid w:val="005670D3"/>
    <w:rsid w:val="00570759"/>
    <w:rsid w:val="0057121D"/>
    <w:rsid w:val="00571679"/>
    <w:rsid w:val="00571E1D"/>
    <w:rsid w:val="005725B5"/>
    <w:rsid w:val="005731AD"/>
    <w:rsid w:val="00574EFD"/>
    <w:rsid w:val="00576371"/>
    <w:rsid w:val="0057655D"/>
    <w:rsid w:val="005767E4"/>
    <w:rsid w:val="00576B93"/>
    <w:rsid w:val="005774D9"/>
    <w:rsid w:val="00581726"/>
    <w:rsid w:val="00582229"/>
    <w:rsid w:val="00582347"/>
    <w:rsid w:val="00583346"/>
    <w:rsid w:val="0058639A"/>
    <w:rsid w:val="00593099"/>
    <w:rsid w:val="0059724D"/>
    <w:rsid w:val="00597505"/>
    <w:rsid w:val="005A004E"/>
    <w:rsid w:val="005A0692"/>
    <w:rsid w:val="005A1892"/>
    <w:rsid w:val="005A55E4"/>
    <w:rsid w:val="005A6A7B"/>
    <w:rsid w:val="005B0AB9"/>
    <w:rsid w:val="005B1162"/>
    <w:rsid w:val="005B164E"/>
    <w:rsid w:val="005B2627"/>
    <w:rsid w:val="005B2E16"/>
    <w:rsid w:val="005B3DB3"/>
    <w:rsid w:val="005B4E13"/>
    <w:rsid w:val="005B506B"/>
    <w:rsid w:val="005C342F"/>
    <w:rsid w:val="005C688D"/>
    <w:rsid w:val="005D19B2"/>
    <w:rsid w:val="005D1C08"/>
    <w:rsid w:val="005D2609"/>
    <w:rsid w:val="005D274F"/>
    <w:rsid w:val="005D2C11"/>
    <w:rsid w:val="005D4694"/>
    <w:rsid w:val="005D6D5E"/>
    <w:rsid w:val="005D76C5"/>
    <w:rsid w:val="005E2A28"/>
    <w:rsid w:val="005E2C98"/>
    <w:rsid w:val="005E373E"/>
    <w:rsid w:val="005E3C52"/>
    <w:rsid w:val="005E55D4"/>
    <w:rsid w:val="005F178D"/>
    <w:rsid w:val="005F350D"/>
    <w:rsid w:val="005F35AE"/>
    <w:rsid w:val="005F367F"/>
    <w:rsid w:val="005F4AB2"/>
    <w:rsid w:val="005F6257"/>
    <w:rsid w:val="005F7450"/>
    <w:rsid w:val="005F7B75"/>
    <w:rsid w:val="006001EE"/>
    <w:rsid w:val="00601E64"/>
    <w:rsid w:val="00603EE5"/>
    <w:rsid w:val="00605042"/>
    <w:rsid w:val="00606CBC"/>
    <w:rsid w:val="00606D39"/>
    <w:rsid w:val="00607556"/>
    <w:rsid w:val="00611FC4"/>
    <w:rsid w:val="00612E7C"/>
    <w:rsid w:val="006176FB"/>
    <w:rsid w:val="006205C2"/>
    <w:rsid w:val="00621553"/>
    <w:rsid w:val="0062250B"/>
    <w:rsid w:val="00624C6C"/>
    <w:rsid w:val="00626478"/>
    <w:rsid w:val="00626E58"/>
    <w:rsid w:val="00631402"/>
    <w:rsid w:val="006362AC"/>
    <w:rsid w:val="00640B26"/>
    <w:rsid w:val="00642AD5"/>
    <w:rsid w:val="006453D6"/>
    <w:rsid w:val="00647AB3"/>
    <w:rsid w:val="00652D0A"/>
    <w:rsid w:val="006538E5"/>
    <w:rsid w:val="00653BB3"/>
    <w:rsid w:val="00653E2A"/>
    <w:rsid w:val="00656EF2"/>
    <w:rsid w:val="00661B11"/>
    <w:rsid w:val="00662BB6"/>
    <w:rsid w:val="006650D6"/>
    <w:rsid w:val="006661F3"/>
    <w:rsid w:val="00666AEC"/>
    <w:rsid w:val="0067040B"/>
    <w:rsid w:val="006723FD"/>
    <w:rsid w:val="00673456"/>
    <w:rsid w:val="0067503C"/>
    <w:rsid w:val="00676606"/>
    <w:rsid w:val="00677BF6"/>
    <w:rsid w:val="00680EAB"/>
    <w:rsid w:val="00682525"/>
    <w:rsid w:val="006840B4"/>
    <w:rsid w:val="00684C21"/>
    <w:rsid w:val="0069051C"/>
    <w:rsid w:val="00692294"/>
    <w:rsid w:val="00693C56"/>
    <w:rsid w:val="0069422F"/>
    <w:rsid w:val="00694F3E"/>
    <w:rsid w:val="00696484"/>
    <w:rsid w:val="006A2530"/>
    <w:rsid w:val="006A3EA9"/>
    <w:rsid w:val="006A563B"/>
    <w:rsid w:val="006A79B2"/>
    <w:rsid w:val="006B1BAB"/>
    <w:rsid w:val="006B2937"/>
    <w:rsid w:val="006B2E73"/>
    <w:rsid w:val="006B4BF7"/>
    <w:rsid w:val="006B5134"/>
    <w:rsid w:val="006B58D6"/>
    <w:rsid w:val="006C1DF0"/>
    <w:rsid w:val="006C3589"/>
    <w:rsid w:val="006C507F"/>
    <w:rsid w:val="006C5131"/>
    <w:rsid w:val="006C63B8"/>
    <w:rsid w:val="006C6445"/>
    <w:rsid w:val="006D0DAE"/>
    <w:rsid w:val="006D37AF"/>
    <w:rsid w:val="006D51D0"/>
    <w:rsid w:val="006D5FB9"/>
    <w:rsid w:val="006D7DBF"/>
    <w:rsid w:val="006E3D24"/>
    <w:rsid w:val="006E564B"/>
    <w:rsid w:val="006E580E"/>
    <w:rsid w:val="006E7087"/>
    <w:rsid w:val="006E70EA"/>
    <w:rsid w:val="006E7191"/>
    <w:rsid w:val="006F05B5"/>
    <w:rsid w:val="006F1C1D"/>
    <w:rsid w:val="006F2719"/>
    <w:rsid w:val="006F2EC0"/>
    <w:rsid w:val="006F59E5"/>
    <w:rsid w:val="006F77FF"/>
    <w:rsid w:val="006F7A7A"/>
    <w:rsid w:val="006F7EE7"/>
    <w:rsid w:val="00700A53"/>
    <w:rsid w:val="00703577"/>
    <w:rsid w:val="00703A0B"/>
    <w:rsid w:val="00705894"/>
    <w:rsid w:val="00705A96"/>
    <w:rsid w:val="00706D85"/>
    <w:rsid w:val="007109A6"/>
    <w:rsid w:val="007114CD"/>
    <w:rsid w:val="00712CB0"/>
    <w:rsid w:val="007159D4"/>
    <w:rsid w:val="00717867"/>
    <w:rsid w:val="0072632A"/>
    <w:rsid w:val="007264BD"/>
    <w:rsid w:val="00730699"/>
    <w:rsid w:val="007327D5"/>
    <w:rsid w:val="007330AE"/>
    <w:rsid w:val="0073462C"/>
    <w:rsid w:val="007364F5"/>
    <w:rsid w:val="00736789"/>
    <w:rsid w:val="007373D1"/>
    <w:rsid w:val="00737A46"/>
    <w:rsid w:val="0074031D"/>
    <w:rsid w:val="0074092E"/>
    <w:rsid w:val="007418D5"/>
    <w:rsid w:val="00746F89"/>
    <w:rsid w:val="00747BCA"/>
    <w:rsid w:val="007508CC"/>
    <w:rsid w:val="0075195A"/>
    <w:rsid w:val="007525FE"/>
    <w:rsid w:val="00752A60"/>
    <w:rsid w:val="00754761"/>
    <w:rsid w:val="00754D9D"/>
    <w:rsid w:val="00756291"/>
    <w:rsid w:val="00761486"/>
    <w:rsid w:val="00761E6C"/>
    <w:rsid w:val="007627A2"/>
    <w:rsid w:val="007629C8"/>
    <w:rsid w:val="00763A5E"/>
    <w:rsid w:val="00764586"/>
    <w:rsid w:val="00767B50"/>
    <w:rsid w:val="00767BC5"/>
    <w:rsid w:val="00767F68"/>
    <w:rsid w:val="00770471"/>
    <w:rsid w:val="0077047D"/>
    <w:rsid w:val="00770697"/>
    <w:rsid w:val="00771352"/>
    <w:rsid w:val="00773519"/>
    <w:rsid w:val="007739FD"/>
    <w:rsid w:val="00774B1C"/>
    <w:rsid w:val="00775D76"/>
    <w:rsid w:val="00775F94"/>
    <w:rsid w:val="00776B2E"/>
    <w:rsid w:val="007777E1"/>
    <w:rsid w:val="007803B1"/>
    <w:rsid w:val="00780B8C"/>
    <w:rsid w:val="007813E2"/>
    <w:rsid w:val="00781DE9"/>
    <w:rsid w:val="0078460A"/>
    <w:rsid w:val="007858CD"/>
    <w:rsid w:val="007877E9"/>
    <w:rsid w:val="0079064F"/>
    <w:rsid w:val="00795917"/>
    <w:rsid w:val="00797331"/>
    <w:rsid w:val="007A065D"/>
    <w:rsid w:val="007A2886"/>
    <w:rsid w:val="007A3334"/>
    <w:rsid w:val="007A4A52"/>
    <w:rsid w:val="007A5323"/>
    <w:rsid w:val="007A6FA3"/>
    <w:rsid w:val="007B0BC8"/>
    <w:rsid w:val="007B1518"/>
    <w:rsid w:val="007B4620"/>
    <w:rsid w:val="007B5229"/>
    <w:rsid w:val="007B6BA5"/>
    <w:rsid w:val="007C18DA"/>
    <w:rsid w:val="007C3390"/>
    <w:rsid w:val="007C4D56"/>
    <w:rsid w:val="007C4F4B"/>
    <w:rsid w:val="007C5D51"/>
    <w:rsid w:val="007D4280"/>
    <w:rsid w:val="007D4A1A"/>
    <w:rsid w:val="007E01E9"/>
    <w:rsid w:val="007E2F98"/>
    <w:rsid w:val="007E480A"/>
    <w:rsid w:val="007E63F3"/>
    <w:rsid w:val="007E6E5B"/>
    <w:rsid w:val="007E7092"/>
    <w:rsid w:val="007F2084"/>
    <w:rsid w:val="007F34F4"/>
    <w:rsid w:val="007F3BFD"/>
    <w:rsid w:val="007F41CC"/>
    <w:rsid w:val="007F4998"/>
    <w:rsid w:val="007F59C5"/>
    <w:rsid w:val="007F6611"/>
    <w:rsid w:val="007F7FCF"/>
    <w:rsid w:val="00800590"/>
    <w:rsid w:val="008011E8"/>
    <w:rsid w:val="00803DC1"/>
    <w:rsid w:val="008052FE"/>
    <w:rsid w:val="0080661D"/>
    <w:rsid w:val="00807989"/>
    <w:rsid w:val="00811920"/>
    <w:rsid w:val="00811F45"/>
    <w:rsid w:val="00814E51"/>
    <w:rsid w:val="00815AD0"/>
    <w:rsid w:val="00815D67"/>
    <w:rsid w:val="00817233"/>
    <w:rsid w:val="00817A3B"/>
    <w:rsid w:val="00817A56"/>
    <w:rsid w:val="00822D0D"/>
    <w:rsid w:val="00823129"/>
    <w:rsid w:val="008242D7"/>
    <w:rsid w:val="008257B1"/>
    <w:rsid w:val="00825992"/>
    <w:rsid w:val="00825B6A"/>
    <w:rsid w:val="008264DA"/>
    <w:rsid w:val="00830EFA"/>
    <w:rsid w:val="008312E8"/>
    <w:rsid w:val="00832334"/>
    <w:rsid w:val="00833868"/>
    <w:rsid w:val="00835DBD"/>
    <w:rsid w:val="008361AF"/>
    <w:rsid w:val="0083658A"/>
    <w:rsid w:val="0083730A"/>
    <w:rsid w:val="008404BD"/>
    <w:rsid w:val="00840B26"/>
    <w:rsid w:val="00843767"/>
    <w:rsid w:val="00843ADA"/>
    <w:rsid w:val="00846BD0"/>
    <w:rsid w:val="00851D0B"/>
    <w:rsid w:val="00852560"/>
    <w:rsid w:val="00854AA6"/>
    <w:rsid w:val="008572FE"/>
    <w:rsid w:val="00860589"/>
    <w:rsid w:val="008639FF"/>
    <w:rsid w:val="00864550"/>
    <w:rsid w:val="00864E46"/>
    <w:rsid w:val="00865BB6"/>
    <w:rsid w:val="008664B6"/>
    <w:rsid w:val="008679D9"/>
    <w:rsid w:val="00867D60"/>
    <w:rsid w:val="008706A2"/>
    <w:rsid w:val="008707F3"/>
    <w:rsid w:val="008742CC"/>
    <w:rsid w:val="0087535C"/>
    <w:rsid w:val="008754D7"/>
    <w:rsid w:val="008777AE"/>
    <w:rsid w:val="008825DC"/>
    <w:rsid w:val="00884231"/>
    <w:rsid w:val="00885807"/>
    <w:rsid w:val="008864C2"/>
    <w:rsid w:val="00887087"/>
    <w:rsid w:val="008878DE"/>
    <w:rsid w:val="00890F94"/>
    <w:rsid w:val="0089173A"/>
    <w:rsid w:val="008945A5"/>
    <w:rsid w:val="00894EAA"/>
    <w:rsid w:val="00895A5B"/>
    <w:rsid w:val="008979B1"/>
    <w:rsid w:val="008A0554"/>
    <w:rsid w:val="008A081A"/>
    <w:rsid w:val="008A1C7E"/>
    <w:rsid w:val="008A50DD"/>
    <w:rsid w:val="008A6B25"/>
    <w:rsid w:val="008A6C4F"/>
    <w:rsid w:val="008A7476"/>
    <w:rsid w:val="008B08C1"/>
    <w:rsid w:val="008B2335"/>
    <w:rsid w:val="008B2957"/>
    <w:rsid w:val="008B41F0"/>
    <w:rsid w:val="008B468E"/>
    <w:rsid w:val="008B6E05"/>
    <w:rsid w:val="008B6E3F"/>
    <w:rsid w:val="008C0FA0"/>
    <w:rsid w:val="008C2A58"/>
    <w:rsid w:val="008C31AD"/>
    <w:rsid w:val="008C409B"/>
    <w:rsid w:val="008C421F"/>
    <w:rsid w:val="008C4656"/>
    <w:rsid w:val="008C523D"/>
    <w:rsid w:val="008C5387"/>
    <w:rsid w:val="008C6F76"/>
    <w:rsid w:val="008D303B"/>
    <w:rsid w:val="008D5A0F"/>
    <w:rsid w:val="008D5BA1"/>
    <w:rsid w:val="008E0678"/>
    <w:rsid w:val="008E0C8A"/>
    <w:rsid w:val="008E36B2"/>
    <w:rsid w:val="008E54FB"/>
    <w:rsid w:val="008E5C6F"/>
    <w:rsid w:val="008E5D36"/>
    <w:rsid w:val="008E7F1D"/>
    <w:rsid w:val="008F428E"/>
    <w:rsid w:val="008F59E8"/>
    <w:rsid w:val="008F64A4"/>
    <w:rsid w:val="008F64CC"/>
    <w:rsid w:val="0090367C"/>
    <w:rsid w:val="00904374"/>
    <w:rsid w:val="0090454C"/>
    <w:rsid w:val="009049DB"/>
    <w:rsid w:val="00905AB1"/>
    <w:rsid w:val="00905FD2"/>
    <w:rsid w:val="00907274"/>
    <w:rsid w:val="009079AD"/>
    <w:rsid w:val="00911FAE"/>
    <w:rsid w:val="00912C54"/>
    <w:rsid w:val="00913F1A"/>
    <w:rsid w:val="00917EDC"/>
    <w:rsid w:val="009223CA"/>
    <w:rsid w:val="009262FD"/>
    <w:rsid w:val="0092677E"/>
    <w:rsid w:val="00927652"/>
    <w:rsid w:val="00930CF4"/>
    <w:rsid w:val="009314A1"/>
    <w:rsid w:val="00935F31"/>
    <w:rsid w:val="0093696E"/>
    <w:rsid w:val="00937025"/>
    <w:rsid w:val="00940F93"/>
    <w:rsid w:val="00941179"/>
    <w:rsid w:val="00943E50"/>
    <w:rsid w:val="00945478"/>
    <w:rsid w:val="00946FB6"/>
    <w:rsid w:val="009516E6"/>
    <w:rsid w:val="00953FB6"/>
    <w:rsid w:val="00960C88"/>
    <w:rsid w:val="0096403A"/>
    <w:rsid w:val="00964387"/>
    <w:rsid w:val="00971FB9"/>
    <w:rsid w:val="009734D1"/>
    <w:rsid w:val="00973E4B"/>
    <w:rsid w:val="0097464A"/>
    <w:rsid w:val="009760F3"/>
    <w:rsid w:val="00976CFB"/>
    <w:rsid w:val="0098089D"/>
    <w:rsid w:val="009831B5"/>
    <w:rsid w:val="009852B9"/>
    <w:rsid w:val="00985A77"/>
    <w:rsid w:val="00985EBE"/>
    <w:rsid w:val="00987AEC"/>
    <w:rsid w:val="00991D21"/>
    <w:rsid w:val="00991EA8"/>
    <w:rsid w:val="00995A75"/>
    <w:rsid w:val="009965F0"/>
    <w:rsid w:val="009968E7"/>
    <w:rsid w:val="0099765D"/>
    <w:rsid w:val="009A0830"/>
    <w:rsid w:val="009A0E8D"/>
    <w:rsid w:val="009A2ED0"/>
    <w:rsid w:val="009A3786"/>
    <w:rsid w:val="009A42D3"/>
    <w:rsid w:val="009A5DF3"/>
    <w:rsid w:val="009A629E"/>
    <w:rsid w:val="009A7EE6"/>
    <w:rsid w:val="009B26E7"/>
    <w:rsid w:val="009B36A2"/>
    <w:rsid w:val="009B5AE5"/>
    <w:rsid w:val="009B60F3"/>
    <w:rsid w:val="009C248A"/>
    <w:rsid w:val="009C53C3"/>
    <w:rsid w:val="009C58DD"/>
    <w:rsid w:val="009C5F1E"/>
    <w:rsid w:val="009C770B"/>
    <w:rsid w:val="009C7A31"/>
    <w:rsid w:val="009D13D8"/>
    <w:rsid w:val="009D1B58"/>
    <w:rsid w:val="009D6C23"/>
    <w:rsid w:val="009E2F34"/>
    <w:rsid w:val="009F0949"/>
    <w:rsid w:val="009F0C5B"/>
    <w:rsid w:val="009F3E1C"/>
    <w:rsid w:val="009F5AE5"/>
    <w:rsid w:val="00A00697"/>
    <w:rsid w:val="00A00A3F"/>
    <w:rsid w:val="00A01489"/>
    <w:rsid w:val="00A02B7A"/>
    <w:rsid w:val="00A03666"/>
    <w:rsid w:val="00A0466E"/>
    <w:rsid w:val="00A04F9E"/>
    <w:rsid w:val="00A1727D"/>
    <w:rsid w:val="00A20EE3"/>
    <w:rsid w:val="00A21DF2"/>
    <w:rsid w:val="00A24CDA"/>
    <w:rsid w:val="00A3026E"/>
    <w:rsid w:val="00A3040D"/>
    <w:rsid w:val="00A31F24"/>
    <w:rsid w:val="00A3270D"/>
    <w:rsid w:val="00A33348"/>
    <w:rsid w:val="00A338F1"/>
    <w:rsid w:val="00A3419A"/>
    <w:rsid w:val="00A35BE0"/>
    <w:rsid w:val="00A369D1"/>
    <w:rsid w:val="00A37365"/>
    <w:rsid w:val="00A37825"/>
    <w:rsid w:val="00A40F3B"/>
    <w:rsid w:val="00A42F31"/>
    <w:rsid w:val="00A46570"/>
    <w:rsid w:val="00A50298"/>
    <w:rsid w:val="00A50322"/>
    <w:rsid w:val="00A545EB"/>
    <w:rsid w:val="00A57BFE"/>
    <w:rsid w:val="00A60002"/>
    <w:rsid w:val="00A606DB"/>
    <w:rsid w:val="00A61519"/>
    <w:rsid w:val="00A649D1"/>
    <w:rsid w:val="00A67F53"/>
    <w:rsid w:val="00A72F22"/>
    <w:rsid w:val="00A7360F"/>
    <w:rsid w:val="00A748A6"/>
    <w:rsid w:val="00A7490A"/>
    <w:rsid w:val="00A769F4"/>
    <w:rsid w:val="00A776B4"/>
    <w:rsid w:val="00A776CE"/>
    <w:rsid w:val="00A83031"/>
    <w:rsid w:val="00A857C6"/>
    <w:rsid w:val="00A85932"/>
    <w:rsid w:val="00A86A8B"/>
    <w:rsid w:val="00A87D95"/>
    <w:rsid w:val="00A904ED"/>
    <w:rsid w:val="00A91310"/>
    <w:rsid w:val="00A91C5B"/>
    <w:rsid w:val="00A925C6"/>
    <w:rsid w:val="00A94361"/>
    <w:rsid w:val="00A94B6C"/>
    <w:rsid w:val="00A95054"/>
    <w:rsid w:val="00A9597E"/>
    <w:rsid w:val="00A96FA5"/>
    <w:rsid w:val="00AA0C08"/>
    <w:rsid w:val="00AA293C"/>
    <w:rsid w:val="00AA33EF"/>
    <w:rsid w:val="00AA3AD7"/>
    <w:rsid w:val="00AA57A8"/>
    <w:rsid w:val="00AA6BCC"/>
    <w:rsid w:val="00AB02C2"/>
    <w:rsid w:val="00AB1425"/>
    <w:rsid w:val="00AB1516"/>
    <w:rsid w:val="00AB1F5D"/>
    <w:rsid w:val="00AB495C"/>
    <w:rsid w:val="00AB5765"/>
    <w:rsid w:val="00AB5D43"/>
    <w:rsid w:val="00AB5E0D"/>
    <w:rsid w:val="00AB6E67"/>
    <w:rsid w:val="00AB7078"/>
    <w:rsid w:val="00AB7647"/>
    <w:rsid w:val="00AC1768"/>
    <w:rsid w:val="00AD614B"/>
    <w:rsid w:val="00AD7E76"/>
    <w:rsid w:val="00AE1581"/>
    <w:rsid w:val="00AE20EC"/>
    <w:rsid w:val="00AF0043"/>
    <w:rsid w:val="00B013FD"/>
    <w:rsid w:val="00B01BF0"/>
    <w:rsid w:val="00B041CC"/>
    <w:rsid w:val="00B05139"/>
    <w:rsid w:val="00B05B77"/>
    <w:rsid w:val="00B06ED2"/>
    <w:rsid w:val="00B06FC4"/>
    <w:rsid w:val="00B12000"/>
    <w:rsid w:val="00B14A3F"/>
    <w:rsid w:val="00B1640B"/>
    <w:rsid w:val="00B165B4"/>
    <w:rsid w:val="00B20A22"/>
    <w:rsid w:val="00B22F28"/>
    <w:rsid w:val="00B234DB"/>
    <w:rsid w:val="00B235BB"/>
    <w:rsid w:val="00B2394D"/>
    <w:rsid w:val="00B256A5"/>
    <w:rsid w:val="00B30179"/>
    <w:rsid w:val="00B32045"/>
    <w:rsid w:val="00B41AC4"/>
    <w:rsid w:val="00B421C1"/>
    <w:rsid w:val="00B47668"/>
    <w:rsid w:val="00B478A7"/>
    <w:rsid w:val="00B47CF0"/>
    <w:rsid w:val="00B51070"/>
    <w:rsid w:val="00B52E96"/>
    <w:rsid w:val="00B539F4"/>
    <w:rsid w:val="00B542E2"/>
    <w:rsid w:val="00B5471C"/>
    <w:rsid w:val="00B55C71"/>
    <w:rsid w:val="00B56366"/>
    <w:rsid w:val="00B56E4A"/>
    <w:rsid w:val="00B56E9C"/>
    <w:rsid w:val="00B572C2"/>
    <w:rsid w:val="00B6063E"/>
    <w:rsid w:val="00B61F89"/>
    <w:rsid w:val="00B64B1F"/>
    <w:rsid w:val="00B6553F"/>
    <w:rsid w:val="00B6575C"/>
    <w:rsid w:val="00B7205D"/>
    <w:rsid w:val="00B72614"/>
    <w:rsid w:val="00B73807"/>
    <w:rsid w:val="00B7592A"/>
    <w:rsid w:val="00B77D05"/>
    <w:rsid w:val="00B81206"/>
    <w:rsid w:val="00B8189C"/>
    <w:rsid w:val="00B81E12"/>
    <w:rsid w:val="00B8261C"/>
    <w:rsid w:val="00B856BC"/>
    <w:rsid w:val="00B8610F"/>
    <w:rsid w:val="00B90BFE"/>
    <w:rsid w:val="00B917F4"/>
    <w:rsid w:val="00B95581"/>
    <w:rsid w:val="00B95AE4"/>
    <w:rsid w:val="00B970B5"/>
    <w:rsid w:val="00B9712B"/>
    <w:rsid w:val="00B97D13"/>
    <w:rsid w:val="00BA03C7"/>
    <w:rsid w:val="00BA2BDA"/>
    <w:rsid w:val="00BA6448"/>
    <w:rsid w:val="00BB2EA5"/>
    <w:rsid w:val="00BB3029"/>
    <w:rsid w:val="00BB34A2"/>
    <w:rsid w:val="00BB4A7D"/>
    <w:rsid w:val="00BB56B8"/>
    <w:rsid w:val="00BB6395"/>
    <w:rsid w:val="00BB7B40"/>
    <w:rsid w:val="00BC37FB"/>
    <w:rsid w:val="00BC3FA0"/>
    <w:rsid w:val="00BC4D29"/>
    <w:rsid w:val="00BC74E9"/>
    <w:rsid w:val="00BC77E5"/>
    <w:rsid w:val="00BD01F8"/>
    <w:rsid w:val="00BD5010"/>
    <w:rsid w:val="00BD5A48"/>
    <w:rsid w:val="00BE424C"/>
    <w:rsid w:val="00BE49C4"/>
    <w:rsid w:val="00BE4B86"/>
    <w:rsid w:val="00BE7B1A"/>
    <w:rsid w:val="00BE7CE2"/>
    <w:rsid w:val="00BF213B"/>
    <w:rsid w:val="00BF399D"/>
    <w:rsid w:val="00BF3F26"/>
    <w:rsid w:val="00BF68A8"/>
    <w:rsid w:val="00BF7215"/>
    <w:rsid w:val="00C00990"/>
    <w:rsid w:val="00C02E16"/>
    <w:rsid w:val="00C03719"/>
    <w:rsid w:val="00C04A01"/>
    <w:rsid w:val="00C06511"/>
    <w:rsid w:val="00C11A03"/>
    <w:rsid w:val="00C1324A"/>
    <w:rsid w:val="00C14183"/>
    <w:rsid w:val="00C146A9"/>
    <w:rsid w:val="00C162E0"/>
    <w:rsid w:val="00C16967"/>
    <w:rsid w:val="00C173AB"/>
    <w:rsid w:val="00C2056B"/>
    <w:rsid w:val="00C22C0C"/>
    <w:rsid w:val="00C23ACE"/>
    <w:rsid w:val="00C24218"/>
    <w:rsid w:val="00C25D52"/>
    <w:rsid w:val="00C25E9E"/>
    <w:rsid w:val="00C3196C"/>
    <w:rsid w:val="00C33292"/>
    <w:rsid w:val="00C342EF"/>
    <w:rsid w:val="00C34383"/>
    <w:rsid w:val="00C35F1F"/>
    <w:rsid w:val="00C424AD"/>
    <w:rsid w:val="00C42EE8"/>
    <w:rsid w:val="00C43686"/>
    <w:rsid w:val="00C4527F"/>
    <w:rsid w:val="00C4528D"/>
    <w:rsid w:val="00C45567"/>
    <w:rsid w:val="00C456F6"/>
    <w:rsid w:val="00C45E21"/>
    <w:rsid w:val="00C463DD"/>
    <w:rsid w:val="00C4640B"/>
    <w:rsid w:val="00C46DED"/>
    <w:rsid w:val="00C4724C"/>
    <w:rsid w:val="00C4733E"/>
    <w:rsid w:val="00C5451D"/>
    <w:rsid w:val="00C607F7"/>
    <w:rsid w:val="00C60A29"/>
    <w:rsid w:val="00C629A0"/>
    <w:rsid w:val="00C62D58"/>
    <w:rsid w:val="00C64629"/>
    <w:rsid w:val="00C65BB2"/>
    <w:rsid w:val="00C6609B"/>
    <w:rsid w:val="00C6637D"/>
    <w:rsid w:val="00C71001"/>
    <w:rsid w:val="00C745C3"/>
    <w:rsid w:val="00C7533E"/>
    <w:rsid w:val="00C76CDD"/>
    <w:rsid w:val="00C821E6"/>
    <w:rsid w:val="00C82C4B"/>
    <w:rsid w:val="00C84956"/>
    <w:rsid w:val="00C85177"/>
    <w:rsid w:val="00C858EF"/>
    <w:rsid w:val="00C91503"/>
    <w:rsid w:val="00C918A1"/>
    <w:rsid w:val="00C94668"/>
    <w:rsid w:val="00C9484E"/>
    <w:rsid w:val="00C965E8"/>
    <w:rsid w:val="00C96A34"/>
    <w:rsid w:val="00C96DF2"/>
    <w:rsid w:val="00C97030"/>
    <w:rsid w:val="00C97F4A"/>
    <w:rsid w:val="00CA0159"/>
    <w:rsid w:val="00CA3232"/>
    <w:rsid w:val="00CB1A47"/>
    <w:rsid w:val="00CB3E03"/>
    <w:rsid w:val="00CB494A"/>
    <w:rsid w:val="00CB5B19"/>
    <w:rsid w:val="00CB7CA1"/>
    <w:rsid w:val="00CC3DEE"/>
    <w:rsid w:val="00CC5602"/>
    <w:rsid w:val="00CC5A26"/>
    <w:rsid w:val="00CC6C8E"/>
    <w:rsid w:val="00CD4BC5"/>
    <w:rsid w:val="00CD5F3E"/>
    <w:rsid w:val="00CD6FA0"/>
    <w:rsid w:val="00CD72E3"/>
    <w:rsid w:val="00CD7387"/>
    <w:rsid w:val="00CE105A"/>
    <w:rsid w:val="00CE451E"/>
    <w:rsid w:val="00CE4A8F"/>
    <w:rsid w:val="00CF196B"/>
    <w:rsid w:val="00CF4B09"/>
    <w:rsid w:val="00D01248"/>
    <w:rsid w:val="00D0132D"/>
    <w:rsid w:val="00D028E9"/>
    <w:rsid w:val="00D02901"/>
    <w:rsid w:val="00D02F5B"/>
    <w:rsid w:val="00D0652B"/>
    <w:rsid w:val="00D07AAD"/>
    <w:rsid w:val="00D10671"/>
    <w:rsid w:val="00D11720"/>
    <w:rsid w:val="00D13A77"/>
    <w:rsid w:val="00D1477B"/>
    <w:rsid w:val="00D15FEE"/>
    <w:rsid w:val="00D17FB9"/>
    <w:rsid w:val="00D2031B"/>
    <w:rsid w:val="00D21776"/>
    <w:rsid w:val="00D2556B"/>
    <w:rsid w:val="00D25FE2"/>
    <w:rsid w:val="00D27F76"/>
    <w:rsid w:val="00D27FD9"/>
    <w:rsid w:val="00D338EC"/>
    <w:rsid w:val="00D34CE9"/>
    <w:rsid w:val="00D361CB"/>
    <w:rsid w:val="00D3675E"/>
    <w:rsid w:val="00D36E3E"/>
    <w:rsid w:val="00D4282E"/>
    <w:rsid w:val="00D42FAB"/>
    <w:rsid w:val="00D4317E"/>
    <w:rsid w:val="00D43252"/>
    <w:rsid w:val="00D44F86"/>
    <w:rsid w:val="00D451E4"/>
    <w:rsid w:val="00D47EEA"/>
    <w:rsid w:val="00D53010"/>
    <w:rsid w:val="00D54DC7"/>
    <w:rsid w:val="00D55BE5"/>
    <w:rsid w:val="00D56902"/>
    <w:rsid w:val="00D62CE1"/>
    <w:rsid w:val="00D636CF"/>
    <w:rsid w:val="00D71C18"/>
    <w:rsid w:val="00D724B6"/>
    <w:rsid w:val="00D7258C"/>
    <w:rsid w:val="00D73878"/>
    <w:rsid w:val="00D755D5"/>
    <w:rsid w:val="00D769E5"/>
    <w:rsid w:val="00D76DE6"/>
    <w:rsid w:val="00D773DF"/>
    <w:rsid w:val="00D81006"/>
    <w:rsid w:val="00D83108"/>
    <w:rsid w:val="00D857B8"/>
    <w:rsid w:val="00D85982"/>
    <w:rsid w:val="00D86FAE"/>
    <w:rsid w:val="00D874EA"/>
    <w:rsid w:val="00D875C4"/>
    <w:rsid w:val="00D903D4"/>
    <w:rsid w:val="00D91DE6"/>
    <w:rsid w:val="00D92C60"/>
    <w:rsid w:val="00D946B9"/>
    <w:rsid w:val="00D948D3"/>
    <w:rsid w:val="00D95303"/>
    <w:rsid w:val="00D96D53"/>
    <w:rsid w:val="00D96F5D"/>
    <w:rsid w:val="00D978C6"/>
    <w:rsid w:val="00D97F98"/>
    <w:rsid w:val="00DA2748"/>
    <w:rsid w:val="00DA3C1C"/>
    <w:rsid w:val="00DA43FC"/>
    <w:rsid w:val="00DA510B"/>
    <w:rsid w:val="00DB1825"/>
    <w:rsid w:val="00DB5AAF"/>
    <w:rsid w:val="00DC5061"/>
    <w:rsid w:val="00DC539A"/>
    <w:rsid w:val="00DC6EE0"/>
    <w:rsid w:val="00DD043F"/>
    <w:rsid w:val="00DD3A69"/>
    <w:rsid w:val="00DD433F"/>
    <w:rsid w:val="00DD5D07"/>
    <w:rsid w:val="00DD61A0"/>
    <w:rsid w:val="00DD62E3"/>
    <w:rsid w:val="00DD6B9E"/>
    <w:rsid w:val="00DD6F57"/>
    <w:rsid w:val="00DD7297"/>
    <w:rsid w:val="00DD7DEB"/>
    <w:rsid w:val="00DE0D6F"/>
    <w:rsid w:val="00DE18B0"/>
    <w:rsid w:val="00DE4163"/>
    <w:rsid w:val="00DE6130"/>
    <w:rsid w:val="00DF0E27"/>
    <w:rsid w:val="00DF45FE"/>
    <w:rsid w:val="00DF6401"/>
    <w:rsid w:val="00DF6416"/>
    <w:rsid w:val="00E01053"/>
    <w:rsid w:val="00E01976"/>
    <w:rsid w:val="00E02988"/>
    <w:rsid w:val="00E046DF"/>
    <w:rsid w:val="00E07279"/>
    <w:rsid w:val="00E15E8C"/>
    <w:rsid w:val="00E16BE6"/>
    <w:rsid w:val="00E20794"/>
    <w:rsid w:val="00E215B1"/>
    <w:rsid w:val="00E22CE3"/>
    <w:rsid w:val="00E269FC"/>
    <w:rsid w:val="00E27346"/>
    <w:rsid w:val="00E27694"/>
    <w:rsid w:val="00E2771F"/>
    <w:rsid w:val="00E31201"/>
    <w:rsid w:val="00E42AAB"/>
    <w:rsid w:val="00E43C33"/>
    <w:rsid w:val="00E43FA9"/>
    <w:rsid w:val="00E44466"/>
    <w:rsid w:val="00E4520E"/>
    <w:rsid w:val="00E4574B"/>
    <w:rsid w:val="00E475D3"/>
    <w:rsid w:val="00E55768"/>
    <w:rsid w:val="00E56FA4"/>
    <w:rsid w:val="00E609D8"/>
    <w:rsid w:val="00E61D84"/>
    <w:rsid w:val="00E65776"/>
    <w:rsid w:val="00E66D75"/>
    <w:rsid w:val="00E672E3"/>
    <w:rsid w:val="00E676BB"/>
    <w:rsid w:val="00E7127E"/>
    <w:rsid w:val="00E71BC8"/>
    <w:rsid w:val="00E7246D"/>
    <w:rsid w:val="00E7260F"/>
    <w:rsid w:val="00E73F5D"/>
    <w:rsid w:val="00E75247"/>
    <w:rsid w:val="00E75D08"/>
    <w:rsid w:val="00E76674"/>
    <w:rsid w:val="00E772D3"/>
    <w:rsid w:val="00E777C4"/>
    <w:rsid w:val="00E77E4E"/>
    <w:rsid w:val="00E85210"/>
    <w:rsid w:val="00E85598"/>
    <w:rsid w:val="00E86B12"/>
    <w:rsid w:val="00E90247"/>
    <w:rsid w:val="00E90775"/>
    <w:rsid w:val="00E96630"/>
    <w:rsid w:val="00EA1CB6"/>
    <w:rsid w:val="00EA215F"/>
    <w:rsid w:val="00EA7C52"/>
    <w:rsid w:val="00EB0781"/>
    <w:rsid w:val="00EB1976"/>
    <w:rsid w:val="00EB2B55"/>
    <w:rsid w:val="00EB3631"/>
    <w:rsid w:val="00EB3EC4"/>
    <w:rsid w:val="00EB4A21"/>
    <w:rsid w:val="00EB661F"/>
    <w:rsid w:val="00EB7C93"/>
    <w:rsid w:val="00EC1648"/>
    <w:rsid w:val="00EC190B"/>
    <w:rsid w:val="00EC190E"/>
    <w:rsid w:val="00EC23D5"/>
    <w:rsid w:val="00EC26A2"/>
    <w:rsid w:val="00EC6346"/>
    <w:rsid w:val="00EC6C39"/>
    <w:rsid w:val="00EC7A0E"/>
    <w:rsid w:val="00ED52B2"/>
    <w:rsid w:val="00ED72D8"/>
    <w:rsid w:val="00ED7A2A"/>
    <w:rsid w:val="00EE36F9"/>
    <w:rsid w:val="00EE59AB"/>
    <w:rsid w:val="00EE632A"/>
    <w:rsid w:val="00EE632F"/>
    <w:rsid w:val="00EF1D7F"/>
    <w:rsid w:val="00EF3FDF"/>
    <w:rsid w:val="00EF7CB2"/>
    <w:rsid w:val="00F01C32"/>
    <w:rsid w:val="00F027E6"/>
    <w:rsid w:val="00F03461"/>
    <w:rsid w:val="00F07240"/>
    <w:rsid w:val="00F11D81"/>
    <w:rsid w:val="00F12029"/>
    <w:rsid w:val="00F13BB6"/>
    <w:rsid w:val="00F1527D"/>
    <w:rsid w:val="00F202A4"/>
    <w:rsid w:val="00F22C3D"/>
    <w:rsid w:val="00F232EE"/>
    <w:rsid w:val="00F241C2"/>
    <w:rsid w:val="00F2603F"/>
    <w:rsid w:val="00F27A9F"/>
    <w:rsid w:val="00F302D6"/>
    <w:rsid w:val="00F31E5F"/>
    <w:rsid w:val="00F32153"/>
    <w:rsid w:val="00F32171"/>
    <w:rsid w:val="00F33BDB"/>
    <w:rsid w:val="00F344FD"/>
    <w:rsid w:val="00F3742C"/>
    <w:rsid w:val="00F41AA8"/>
    <w:rsid w:val="00F50016"/>
    <w:rsid w:val="00F506F1"/>
    <w:rsid w:val="00F50A4E"/>
    <w:rsid w:val="00F54321"/>
    <w:rsid w:val="00F550AC"/>
    <w:rsid w:val="00F55E7B"/>
    <w:rsid w:val="00F569AF"/>
    <w:rsid w:val="00F602E6"/>
    <w:rsid w:val="00F6100A"/>
    <w:rsid w:val="00F6155C"/>
    <w:rsid w:val="00F62990"/>
    <w:rsid w:val="00F64228"/>
    <w:rsid w:val="00F64535"/>
    <w:rsid w:val="00F66F2B"/>
    <w:rsid w:val="00F706C0"/>
    <w:rsid w:val="00F70F9A"/>
    <w:rsid w:val="00F71488"/>
    <w:rsid w:val="00F72670"/>
    <w:rsid w:val="00F764C2"/>
    <w:rsid w:val="00F77751"/>
    <w:rsid w:val="00F80C4F"/>
    <w:rsid w:val="00F82F80"/>
    <w:rsid w:val="00F84BC6"/>
    <w:rsid w:val="00F86178"/>
    <w:rsid w:val="00F868FA"/>
    <w:rsid w:val="00F87D75"/>
    <w:rsid w:val="00F90980"/>
    <w:rsid w:val="00F90E80"/>
    <w:rsid w:val="00F9170A"/>
    <w:rsid w:val="00F93781"/>
    <w:rsid w:val="00F93CA3"/>
    <w:rsid w:val="00F94359"/>
    <w:rsid w:val="00F96D42"/>
    <w:rsid w:val="00FA1AE5"/>
    <w:rsid w:val="00FA2436"/>
    <w:rsid w:val="00FA2490"/>
    <w:rsid w:val="00FA4863"/>
    <w:rsid w:val="00FA52D5"/>
    <w:rsid w:val="00FA69E0"/>
    <w:rsid w:val="00FB187B"/>
    <w:rsid w:val="00FB613B"/>
    <w:rsid w:val="00FB6985"/>
    <w:rsid w:val="00FB7572"/>
    <w:rsid w:val="00FC34C3"/>
    <w:rsid w:val="00FC6830"/>
    <w:rsid w:val="00FC68B7"/>
    <w:rsid w:val="00FC6B7B"/>
    <w:rsid w:val="00FD13BA"/>
    <w:rsid w:val="00FD3078"/>
    <w:rsid w:val="00FD336B"/>
    <w:rsid w:val="00FD3E69"/>
    <w:rsid w:val="00FD3F98"/>
    <w:rsid w:val="00FD55D7"/>
    <w:rsid w:val="00FD6010"/>
    <w:rsid w:val="00FD6909"/>
    <w:rsid w:val="00FD6C6F"/>
    <w:rsid w:val="00FD74F3"/>
    <w:rsid w:val="00FE072F"/>
    <w:rsid w:val="00FE0CB6"/>
    <w:rsid w:val="00FE106A"/>
    <w:rsid w:val="00FE13EA"/>
    <w:rsid w:val="00FE22A8"/>
    <w:rsid w:val="00FE2329"/>
    <w:rsid w:val="00FE5265"/>
    <w:rsid w:val="00FE738E"/>
    <w:rsid w:val="00FF0FF9"/>
    <w:rsid w:val="00FF145D"/>
    <w:rsid w:val="00FF5847"/>
    <w:rsid w:val="00FF6767"/>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58B0D7E"/>
  <w15:chartTrackingRefBased/>
  <w15:docId w15:val="{A2A86692-A5AB-44B1-B378-6E6A974C6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C5061"/>
    <w:pPr>
      <w:suppressAutoHyphens/>
      <w:spacing w:line="240" w:lineRule="atLeast"/>
    </w:pPr>
    <w:rPr>
      <w:lang w:eastAsia="en-US"/>
    </w:rPr>
  </w:style>
  <w:style w:type="paragraph" w:styleId="Heading1">
    <w:name w:val="heading 1"/>
    <w:aliases w:val="Table_G"/>
    <w:basedOn w:val="SingleTxtG"/>
    <w:next w:val="SingleTxtG"/>
    <w:qFormat/>
    <w:rsid w:val="00DC5061"/>
    <w:pPr>
      <w:spacing w:after="0" w:line="240" w:lineRule="auto"/>
      <w:ind w:right="0"/>
      <w:jc w:val="left"/>
      <w:outlineLvl w:val="0"/>
    </w:pPr>
  </w:style>
  <w:style w:type="paragraph" w:styleId="Heading2">
    <w:name w:val="heading 2"/>
    <w:basedOn w:val="Normal"/>
    <w:next w:val="Normal"/>
    <w:qFormat/>
    <w:rsid w:val="00DC5061"/>
    <w:pPr>
      <w:spacing w:line="240" w:lineRule="auto"/>
      <w:outlineLvl w:val="1"/>
    </w:pPr>
  </w:style>
  <w:style w:type="paragraph" w:styleId="Heading3">
    <w:name w:val="heading 3"/>
    <w:basedOn w:val="Normal"/>
    <w:next w:val="Normal"/>
    <w:qFormat/>
    <w:rsid w:val="00DC5061"/>
    <w:pPr>
      <w:spacing w:line="240" w:lineRule="auto"/>
      <w:outlineLvl w:val="2"/>
    </w:pPr>
  </w:style>
  <w:style w:type="paragraph" w:styleId="Heading4">
    <w:name w:val="heading 4"/>
    <w:basedOn w:val="Normal"/>
    <w:next w:val="Normal"/>
    <w:qFormat/>
    <w:rsid w:val="00DC5061"/>
    <w:pPr>
      <w:spacing w:line="240" w:lineRule="auto"/>
      <w:outlineLvl w:val="3"/>
    </w:pPr>
  </w:style>
  <w:style w:type="paragraph" w:styleId="Heading5">
    <w:name w:val="heading 5"/>
    <w:basedOn w:val="Normal"/>
    <w:next w:val="Normal"/>
    <w:qFormat/>
    <w:rsid w:val="00DC5061"/>
    <w:pPr>
      <w:spacing w:line="240" w:lineRule="auto"/>
      <w:outlineLvl w:val="4"/>
    </w:pPr>
  </w:style>
  <w:style w:type="paragraph" w:styleId="Heading6">
    <w:name w:val="heading 6"/>
    <w:basedOn w:val="Normal"/>
    <w:next w:val="Normal"/>
    <w:qFormat/>
    <w:rsid w:val="00DC5061"/>
    <w:pPr>
      <w:spacing w:line="240" w:lineRule="auto"/>
      <w:outlineLvl w:val="5"/>
    </w:pPr>
  </w:style>
  <w:style w:type="paragraph" w:styleId="Heading7">
    <w:name w:val="heading 7"/>
    <w:basedOn w:val="Normal"/>
    <w:next w:val="Normal"/>
    <w:qFormat/>
    <w:rsid w:val="00DC5061"/>
    <w:pPr>
      <w:spacing w:line="240" w:lineRule="auto"/>
      <w:outlineLvl w:val="6"/>
    </w:pPr>
  </w:style>
  <w:style w:type="paragraph" w:styleId="Heading8">
    <w:name w:val="heading 8"/>
    <w:basedOn w:val="Normal"/>
    <w:next w:val="Normal"/>
    <w:qFormat/>
    <w:rsid w:val="00DC5061"/>
    <w:pPr>
      <w:spacing w:line="240" w:lineRule="auto"/>
      <w:outlineLvl w:val="7"/>
    </w:pPr>
  </w:style>
  <w:style w:type="paragraph" w:styleId="Heading9">
    <w:name w:val="heading 9"/>
    <w:basedOn w:val="Normal"/>
    <w:next w:val="Normal"/>
    <w:qFormat/>
    <w:rsid w:val="00DC506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C506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DC5061"/>
    <w:pPr>
      <w:keepNext/>
      <w:keepLines/>
      <w:tabs>
        <w:tab w:val="right" w:pos="851"/>
      </w:tabs>
      <w:spacing w:before="360" w:after="240" w:line="300" w:lineRule="exact"/>
      <w:ind w:left="1134" w:right="1134" w:hanging="1134"/>
    </w:pPr>
    <w:rPr>
      <w:b/>
      <w:sz w:val="28"/>
    </w:rPr>
  </w:style>
  <w:style w:type="paragraph" w:styleId="BalloonText">
    <w:name w:val="Balloon Text"/>
    <w:basedOn w:val="Normal"/>
    <w:semiHidden/>
    <w:rsid w:val="00DC6EE0"/>
    <w:rPr>
      <w:rFonts w:ascii="Tahoma" w:hAnsi="Tahoma" w:cs="Tahoma"/>
      <w:sz w:val="16"/>
      <w:szCs w:val="16"/>
    </w:rPr>
  </w:style>
  <w:style w:type="paragraph" w:customStyle="1" w:styleId="SingleTxtG">
    <w:name w:val="_ Single Txt_G"/>
    <w:basedOn w:val="Normal"/>
    <w:link w:val="SingleTxtGChar"/>
    <w:qFormat/>
    <w:rsid w:val="00DC5061"/>
    <w:pPr>
      <w:spacing w:after="120"/>
      <w:ind w:left="1134" w:right="1134"/>
      <w:jc w:val="both"/>
    </w:pPr>
  </w:style>
  <w:style w:type="character" w:styleId="PageNumber">
    <w:name w:val="page number"/>
    <w:aliases w:val="7_G"/>
    <w:rsid w:val="00DC506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DC5061"/>
    <w:pPr>
      <w:keepNext/>
      <w:keepLines/>
      <w:spacing w:before="240" w:after="240" w:line="420" w:lineRule="exact"/>
      <w:ind w:left="1134" w:right="1134"/>
    </w:pPr>
    <w:rPr>
      <w:b/>
      <w:sz w:val="40"/>
    </w:rPr>
  </w:style>
  <w:style w:type="paragraph" w:customStyle="1" w:styleId="SLG">
    <w:name w:val="__S_L_G"/>
    <w:basedOn w:val="Normal"/>
    <w:next w:val="Normal"/>
    <w:rsid w:val="00DC5061"/>
    <w:pPr>
      <w:keepNext/>
      <w:keepLines/>
      <w:spacing w:before="240" w:after="240" w:line="580" w:lineRule="exact"/>
      <w:ind w:left="1134" w:right="1134"/>
    </w:pPr>
    <w:rPr>
      <w:b/>
      <w:sz w:val="56"/>
    </w:rPr>
  </w:style>
  <w:style w:type="paragraph" w:customStyle="1" w:styleId="SSG">
    <w:name w:val="__S_S_G"/>
    <w:basedOn w:val="Normal"/>
    <w:next w:val="Normal"/>
    <w:rsid w:val="00DC5061"/>
    <w:pPr>
      <w:keepNext/>
      <w:keepLines/>
      <w:spacing w:before="240" w:after="240" w:line="300" w:lineRule="exact"/>
      <w:ind w:left="1134" w:right="1134"/>
    </w:pPr>
    <w:rPr>
      <w:b/>
      <w:sz w:val="28"/>
    </w:rPr>
  </w:style>
  <w:style w:type="character" w:styleId="EndnoteReference">
    <w:name w:val="endnote reference"/>
    <w:aliases w:val="1_G"/>
    <w:rsid w:val="00DC5061"/>
    <w:rPr>
      <w:rFonts w:ascii="Times New Roman" w:hAnsi="Times New Roman"/>
      <w:sz w:val="18"/>
      <w:vertAlign w:val="superscript"/>
    </w:rPr>
  </w:style>
  <w:style w:type="character" w:styleId="FootnoteReference">
    <w:name w:val="footnote reference"/>
    <w:aliases w:val="4_G"/>
    <w:rsid w:val="00DC5061"/>
    <w:rPr>
      <w:rFonts w:ascii="Times New Roman" w:hAnsi="Times New Roman"/>
      <w:sz w:val="18"/>
      <w:vertAlign w:val="superscript"/>
    </w:rPr>
  </w:style>
  <w:style w:type="paragraph" w:styleId="FootnoteText">
    <w:name w:val="footnote text"/>
    <w:aliases w:val="5_G"/>
    <w:basedOn w:val="Normal"/>
    <w:rsid w:val="00DC5061"/>
    <w:pPr>
      <w:tabs>
        <w:tab w:val="right" w:pos="1021"/>
      </w:tabs>
      <w:spacing w:line="220" w:lineRule="exact"/>
      <w:ind w:left="1134" w:right="1134" w:hanging="1134"/>
    </w:pPr>
    <w:rPr>
      <w:sz w:val="18"/>
    </w:rPr>
  </w:style>
  <w:style w:type="paragraph" w:customStyle="1" w:styleId="XLargeG">
    <w:name w:val="__XLarge_G"/>
    <w:basedOn w:val="Normal"/>
    <w:next w:val="Normal"/>
    <w:rsid w:val="00DC5061"/>
    <w:pPr>
      <w:keepNext/>
      <w:keepLines/>
      <w:spacing w:before="240" w:after="240" w:line="420" w:lineRule="exact"/>
      <w:ind w:left="1134" w:right="1134"/>
    </w:pPr>
    <w:rPr>
      <w:b/>
      <w:sz w:val="40"/>
    </w:rPr>
  </w:style>
  <w:style w:type="paragraph" w:customStyle="1" w:styleId="Bullet1G">
    <w:name w:val="_Bullet 1_G"/>
    <w:basedOn w:val="Normal"/>
    <w:rsid w:val="00DC5061"/>
    <w:pPr>
      <w:numPr>
        <w:numId w:val="14"/>
      </w:numPr>
      <w:spacing w:after="120"/>
      <w:ind w:right="1134"/>
      <w:jc w:val="both"/>
    </w:pPr>
  </w:style>
  <w:style w:type="paragraph" w:styleId="EndnoteText">
    <w:name w:val="endnote text"/>
    <w:aliases w:val="2_G"/>
    <w:basedOn w:val="FootnoteText"/>
    <w:rsid w:val="00DC5061"/>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DC5061"/>
    <w:pPr>
      <w:numPr>
        <w:numId w:val="15"/>
      </w:numPr>
      <w:spacing w:after="120"/>
      <w:ind w:right="1134"/>
      <w:jc w:val="both"/>
    </w:pPr>
  </w:style>
  <w:style w:type="paragraph" w:customStyle="1" w:styleId="H1G">
    <w:name w:val="_ H_1_G"/>
    <w:basedOn w:val="Normal"/>
    <w:next w:val="Normal"/>
    <w:rsid w:val="00DC506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C506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C506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DC506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DC506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DC506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C506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DC5061"/>
    <w:pPr>
      <w:spacing w:line="240" w:lineRule="auto"/>
    </w:pPr>
    <w:rPr>
      <w:sz w:val="16"/>
    </w:rPr>
  </w:style>
  <w:style w:type="paragraph" w:styleId="Header">
    <w:name w:val="header"/>
    <w:aliases w:val="6_G"/>
    <w:basedOn w:val="Normal"/>
    <w:rsid w:val="00DC5061"/>
    <w:pPr>
      <w:pBdr>
        <w:bottom w:val="single" w:sz="4" w:space="4" w:color="auto"/>
      </w:pBdr>
      <w:spacing w:line="240" w:lineRule="auto"/>
    </w:pPr>
    <w:rPr>
      <w:b/>
      <w:sz w:val="18"/>
    </w:rPr>
  </w:style>
  <w:style w:type="paragraph" w:styleId="CommentSubject">
    <w:name w:val="annotation subject"/>
    <w:basedOn w:val="CommentText"/>
    <w:next w:val="CommentText"/>
    <w:semiHidden/>
    <w:rsid w:val="005B0AB9"/>
    <w:rPr>
      <w:b/>
      <w:bCs/>
    </w:rPr>
  </w:style>
  <w:style w:type="character" w:customStyle="1" w:styleId="SingleTxtGChar">
    <w:name w:val="_ Single Txt_G Char"/>
    <w:link w:val="SingleTxtG"/>
    <w:rsid w:val="00E22CE3"/>
    <w:rPr>
      <w:lang w:eastAsia="en-US"/>
    </w:rPr>
  </w:style>
  <w:style w:type="paragraph" w:styleId="Revision">
    <w:name w:val="Revision"/>
    <w:hidden/>
    <w:uiPriority w:val="99"/>
    <w:semiHidden/>
    <w:rsid w:val="00761E6C"/>
    <w:rPr>
      <w:lang w:eastAsia="en-US"/>
    </w:rPr>
  </w:style>
  <w:style w:type="character" w:customStyle="1" w:styleId="UnresolvedMention1">
    <w:name w:val="Unresolved Mention1"/>
    <w:uiPriority w:val="99"/>
    <w:semiHidden/>
    <w:unhideWhenUsed/>
    <w:rsid w:val="00465419"/>
    <w:rPr>
      <w:color w:val="808080"/>
      <w:shd w:val="clear" w:color="auto" w:fill="E6E6E6"/>
    </w:rPr>
  </w:style>
  <w:style w:type="character" w:customStyle="1" w:styleId="HChGChar">
    <w:name w:val="_ H _Ch_G Char"/>
    <w:link w:val="HChG"/>
    <w:rsid w:val="007A4A52"/>
    <w:rPr>
      <w:b/>
      <w:sz w:val="28"/>
      <w:lang w:eastAsia="en-US"/>
    </w:rPr>
  </w:style>
  <w:style w:type="character" w:customStyle="1" w:styleId="UnresolvedMention2">
    <w:name w:val="Unresolved Mention2"/>
    <w:basedOn w:val="DefaultParagraphFont"/>
    <w:uiPriority w:val="99"/>
    <w:semiHidden/>
    <w:unhideWhenUsed/>
    <w:rsid w:val="00C205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87262">
      <w:bodyDiv w:val="1"/>
      <w:marLeft w:val="0"/>
      <w:marRight w:val="0"/>
      <w:marTop w:val="0"/>
      <w:marBottom w:val="0"/>
      <w:divBdr>
        <w:top w:val="none" w:sz="0" w:space="0" w:color="auto"/>
        <w:left w:val="none" w:sz="0" w:space="0" w:color="auto"/>
        <w:bottom w:val="none" w:sz="0" w:space="0" w:color="auto"/>
        <w:right w:val="none" w:sz="0" w:space="0" w:color="auto"/>
      </w:divBdr>
      <w:divsChild>
        <w:div w:id="482621043">
          <w:marLeft w:val="547"/>
          <w:marRight w:val="0"/>
          <w:marTop w:val="86"/>
          <w:marBottom w:val="0"/>
          <w:divBdr>
            <w:top w:val="none" w:sz="0" w:space="0" w:color="auto"/>
            <w:left w:val="none" w:sz="0" w:space="0" w:color="auto"/>
            <w:bottom w:val="none" w:sz="0" w:space="0" w:color="auto"/>
            <w:right w:val="none" w:sz="0" w:space="0" w:color="auto"/>
          </w:divBdr>
        </w:div>
        <w:div w:id="1807160030">
          <w:marLeft w:val="547"/>
          <w:marRight w:val="0"/>
          <w:marTop w:val="86"/>
          <w:marBottom w:val="0"/>
          <w:divBdr>
            <w:top w:val="none" w:sz="0" w:space="0" w:color="auto"/>
            <w:left w:val="none" w:sz="0" w:space="0" w:color="auto"/>
            <w:bottom w:val="none" w:sz="0" w:space="0" w:color="auto"/>
            <w:right w:val="none" w:sz="0" w:space="0" w:color="auto"/>
          </w:divBdr>
        </w:div>
      </w:divsChild>
    </w:div>
    <w:div w:id="406614913">
      <w:bodyDiv w:val="1"/>
      <w:marLeft w:val="0"/>
      <w:marRight w:val="0"/>
      <w:marTop w:val="0"/>
      <w:marBottom w:val="0"/>
      <w:divBdr>
        <w:top w:val="none" w:sz="0" w:space="0" w:color="auto"/>
        <w:left w:val="none" w:sz="0" w:space="0" w:color="auto"/>
        <w:bottom w:val="none" w:sz="0" w:space="0" w:color="auto"/>
        <w:right w:val="none" w:sz="0" w:space="0" w:color="auto"/>
      </w:divBdr>
    </w:div>
    <w:div w:id="545411997">
      <w:bodyDiv w:val="1"/>
      <w:marLeft w:val="0"/>
      <w:marRight w:val="0"/>
      <w:marTop w:val="0"/>
      <w:marBottom w:val="0"/>
      <w:divBdr>
        <w:top w:val="none" w:sz="0" w:space="0" w:color="auto"/>
        <w:left w:val="none" w:sz="0" w:space="0" w:color="auto"/>
        <w:bottom w:val="none" w:sz="0" w:space="0" w:color="auto"/>
        <w:right w:val="none" w:sz="0" w:space="0" w:color="auto"/>
      </w:divBdr>
    </w:div>
    <w:div w:id="1120877527">
      <w:bodyDiv w:val="1"/>
      <w:marLeft w:val="0"/>
      <w:marRight w:val="0"/>
      <w:marTop w:val="0"/>
      <w:marBottom w:val="0"/>
      <w:divBdr>
        <w:top w:val="none" w:sz="0" w:space="0" w:color="auto"/>
        <w:left w:val="none" w:sz="0" w:space="0" w:color="auto"/>
        <w:bottom w:val="none" w:sz="0" w:space="0" w:color="auto"/>
        <w:right w:val="none" w:sz="0" w:space="0" w:color="auto"/>
      </w:divBdr>
      <w:divsChild>
        <w:div w:id="672102457">
          <w:marLeft w:val="0"/>
          <w:marRight w:val="0"/>
          <w:marTop w:val="0"/>
          <w:marBottom w:val="0"/>
          <w:divBdr>
            <w:top w:val="none" w:sz="0" w:space="0" w:color="auto"/>
            <w:left w:val="none" w:sz="0" w:space="0" w:color="auto"/>
            <w:bottom w:val="none" w:sz="0" w:space="0" w:color="auto"/>
            <w:right w:val="none" w:sz="0" w:space="0" w:color="auto"/>
          </w:divBdr>
        </w:div>
        <w:div w:id="925382174">
          <w:marLeft w:val="0"/>
          <w:marRight w:val="0"/>
          <w:marTop w:val="0"/>
          <w:marBottom w:val="0"/>
          <w:divBdr>
            <w:top w:val="none" w:sz="0" w:space="0" w:color="auto"/>
            <w:left w:val="none" w:sz="0" w:space="0" w:color="auto"/>
            <w:bottom w:val="none" w:sz="0" w:space="0" w:color="auto"/>
            <w:right w:val="none" w:sz="0" w:space="0" w:color="auto"/>
          </w:divBdr>
        </w:div>
        <w:div w:id="1205101512">
          <w:marLeft w:val="0"/>
          <w:marRight w:val="0"/>
          <w:marTop w:val="0"/>
          <w:marBottom w:val="0"/>
          <w:divBdr>
            <w:top w:val="none" w:sz="0" w:space="0" w:color="auto"/>
            <w:left w:val="none" w:sz="0" w:space="0" w:color="auto"/>
            <w:bottom w:val="none" w:sz="0" w:space="0" w:color="auto"/>
            <w:right w:val="none" w:sz="0" w:space="0" w:color="auto"/>
          </w:divBdr>
        </w:div>
      </w:divsChild>
    </w:div>
    <w:div w:id="1632010144">
      <w:bodyDiv w:val="1"/>
      <w:marLeft w:val="0"/>
      <w:marRight w:val="0"/>
      <w:marTop w:val="0"/>
      <w:marBottom w:val="0"/>
      <w:divBdr>
        <w:top w:val="none" w:sz="0" w:space="0" w:color="auto"/>
        <w:left w:val="none" w:sz="0" w:space="0" w:color="auto"/>
        <w:bottom w:val="none" w:sz="0" w:space="0" w:color="auto"/>
        <w:right w:val="none" w:sz="0" w:space="0" w:color="auto"/>
      </w:divBdr>
      <w:divsChild>
        <w:div w:id="959452583">
          <w:marLeft w:val="0"/>
          <w:marRight w:val="0"/>
          <w:marTop w:val="0"/>
          <w:marBottom w:val="0"/>
          <w:divBdr>
            <w:top w:val="none" w:sz="0" w:space="0" w:color="auto"/>
            <w:left w:val="none" w:sz="0" w:space="0" w:color="auto"/>
            <w:bottom w:val="none" w:sz="0" w:space="0" w:color="auto"/>
            <w:right w:val="none" w:sz="0" w:space="0" w:color="auto"/>
          </w:divBdr>
        </w:div>
        <w:div w:id="875503111">
          <w:marLeft w:val="0"/>
          <w:marRight w:val="0"/>
          <w:marTop w:val="0"/>
          <w:marBottom w:val="0"/>
          <w:divBdr>
            <w:top w:val="none" w:sz="0" w:space="0" w:color="auto"/>
            <w:left w:val="none" w:sz="0" w:space="0" w:color="auto"/>
            <w:bottom w:val="none" w:sz="0" w:space="0" w:color="auto"/>
            <w:right w:val="none" w:sz="0" w:space="0" w:color="auto"/>
          </w:divBdr>
        </w:div>
        <w:div w:id="321978814">
          <w:marLeft w:val="0"/>
          <w:marRight w:val="0"/>
          <w:marTop w:val="0"/>
          <w:marBottom w:val="0"/>
          <w:divBdr>
            <w:top w:val="none" w:sz="0" w:space="0" w:color="auto"/>
            <w:left w:val="none" w:sz="0" w:space="0" w:color="auto"/>
            <w:bottom w:val="none" w:sz="0" w:space="0" w:color="auto"/>
            <w:right w:val="none" w:sz="0" w:space="0" w:color="auto"/>
          </w:divBdr>
        </w:div>
        <w:div w:id="1393044876">
          <w:marLeft w:val="0"/>
          <w:marRight w:val="0"/>
          <w:marTop w:val="0"/>
          <w:marBottom w:val="0"/>
          <w:divBdr>
            <w:top w:val="none" w:sz="0" w:space="0" w:color="auto"/>
            <w:left w:val="none" w:sz="0" w:space="0" w:color="auto"/>
            <w:bottom w:val="none" w:sz="0" w:space="0" w:color="auto"/>
            <w:right w:val="none" w:sz="0" w:space="0" w:color="auto"/>
          </w:divBdr>
        </w:div>
        <w:div w:id="1987389359">
          <w:marLeft w:val="0"/>
          <w:marRight w:val="0"/>
          <w:marTop w:val="0"/>
          <w:marBottom w:val="0"/>
          <w:divBdr>
            <w:top w:val="none" w:sz="0" w:space="0" w:color="auto"/>
            <w:left w:val="none" w:sz="0" w:space="0" w:color="auto"/>
            <w:bottom w:val="none" w:sz="0" w:space="0" w:color="auto"/>
            <w:right w:val="none" w:sz="0" w:space="0" w:color="auto"/>
          </w:divBdr>
        </w:div>
        <w:div w:id="89862710">
          <w:marLeft w:val="0"/>
          <w:marRight w:val="0"/>
          <w:marTop w:val="0"/>
          <w:marBottom w:val="0"/>
          <w:divBdr>
            <w:top w:val="none" w:sz="0" w:space="0" w:color="auto"/>
            <w:left w:val="none" w:sz="0" w:space="0" w:color="auto"/>
            <w:bottom w:val="none" w:sz="0" w:space="0" w:color="auto"/>
            <w:right w:val="none" w:sz="0" w:space="0" w:color="auto"/>
          </w:divBdr>
        </w:div>
        <w:div w:id="1231960848">
          <w:marLeft w:val="0"/>
          <w:marRight w:val="0"/>
          <w:marTop w:val="0"/>
          <w:marBottom w:val="0"/>
          <w:divBdr>
            <w:top w:val="none" w:sz="0" w:space="0" w:color="auto"/>
            <w:left w:val="none" w:sz="0" w:space="0" w:color="auto"/>
            <w:bottom w:val="none" w:sz="0" w:space="0" w:color="auto"/>
            <w:right w:val="none" w:sz="0" w:space="0" w:color="auto"/>
          </w:divBdr>
        </w:div>
        <w:div w:id="1872068137">
          <w:marLeft w:val="0"/>
          <w:marRight w:val="0"/>
          <w:marTop w:val="0"/>
          <w:marBottom w:val="0"/>
          <w:divBdr>
            <w:top w:val="none" w:sz="0" w:space="0" w:color="auto"/>
            <w:left w:val="none" w:sz="0" w:space="0" w:color="auto"/>
            <w:bottom w:val="none" w:sz="0" w:space="0" w:color="auto"/>
            <w:right w:val="none" w:sz="0" w:space="0" w:color="auto"/>
          </w:divBdr>
        </w:div>
        <w:div w:id="219438405">
          <w:marLeft w:val="0"/>
          <w:marRight w:val="0"/>
          <w:marTop w:val="0"/>
          <w:marBottom w:val="0"/>
          <w:divBdr>
            <w:top w:val="none" w:sz="0" w:space="0" w:color="auto"/>
            <w:left w:val="none" w:sz="0" w:space="0" w:color="auto"/>
            <w:bottom w:val="none" w:sz="0" w:space="0" w:color="auto"/>
            <w:right w:val="none" w:sz="0" w:space="0" w:color="auto"/>
          </w:divBdr>
        </w:div>
        <w:div w:id="990445891">
          <w:marLeft w:val="0"/>
          <w:marRight w:val="0"/>
          <w:marTop w:val="0"/>
          <w:marBottom w:val="0"/>
          <w:divBdr>
            <w:top w:val="none" w:sz="0" w:space="0" w:color="auto"/>
            <w:left w:val="none" w:sz="0" w:space="0" w:color="auto"/>
            <w:bottom w:val="none" w:sz="0" w:space="0" w:color="auto"/>
            <w:right w:val="none" w:sz="0" w:space="0" w:color="auto"/>
          </w:divBdr>
        </w:div>
      </w:divsChild>
    </w:div>
    <w:div w:id="190050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nece.org/env/teia/welcome.html"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file:///\\unece-fs1.unog.un.org\data\Shares\Groups\Ehlm\Environmental%20Impact%20Assessment%20(EIA)\Working%20Group\WG.2%208th%20Mtg%20(Geneva,%2026-28%20Nov%202019)\Documents\For%20Editing\EDITED\www.unece.org\meetings\practical.html" TargetMode="External"/><Relationship Id="rId2" Type="http://schemas.openxmlformats.org/officeDocument/2006/relationships/hyperlink" Target="mailto:eia.conv@un.org" TargetMode="External"/><Relationship Id="rId1" Type="http://schemas.openxmlformats.org/officeDocument/2006/relationships/hyperlink" Target="file:///\\unece-fs1.unog.un.org\data\Shares\Groups\Ehlm\Environmental%20Impact%20Assessment%20(EIA)\Working%20Group\WG.2%208th%20Mtg%20(Geneva,%2026-28%20Nov%202019)\Documents\For%20Editing\EDITED\www2.unece.org\wiki\display\OMR\Online+Meeting+Registration+Guidelines" TargetMode="External"/><Relationship Id="rId4" Type="http://schemas.openxmlformats.org/officeDocument/2006/relationships/hyperlink" Target="http://www.unece.org/environmental-policy/conventions/environmental-assessment/meetings-and-even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6DC70-ED1B-4873-8246-14B7D1E33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4032</Words>
  <Characters>22987</Characters>
  <Application>Microsoft Office Word</Application>
  <DocSecurity>4</DocSecurity>
  <Lines>191</Lines>
  <Paragraphs>53</Paragraphs>
  <ScaleCrop>false</ScaleCrop>
  <HeadingPairs>
    <vt:vector size="6" baseType="variant">
      <vt:variant>
        <vt:lpstr>Title</vt:lpstr>
      </vt:variant>
      <vt:variant>
        <vt:i4>1</vt:i4>
      </vt:variant>
      <vt:variant>
        <vt:lpstr>Název</vt:lpstr>
      </vt:variant>
      <vt:variant>
        <vt:i4>1</vt:i4>
      </vt:variant>
      <vt:variant>
        <vt:lpstr>Titre</vt:lpstr>
      </vt:variant>
      <vt:variant>
        <vt:i4>1</vt:i4>
      </vt:variant>
    </vt:vector>
  </HeadingPairs>
  <TitlesOfParts>
    <vt:vector size="3" baseType="lpstr">
      <vt:lpstr>ECE/MP.EIA/WG.2/2019/1</vt:lpstr>
      <vt:lpstr>United Nations</vt:lpstr>
      <vt:lpstr>United Nations</vt:lpstr>
    </vt:vector>
  </TitlesOfParts>
  <Company>CSD</Company>
  <LinksUpToDate>false</LinksUpToDate>
  <CharactersWithSpaces>26966</CharactersWithSpaces>
  <SharedDoc>false</SharedDoc>
  <HLinks>
    <vt:vector size="42" baseType="variant">
      <vt:variant>
        <vt:i4>2752639</vt:i4>
      </vt:variant>
      <vt:variant>
        <vt:i4>0</vt:i4>
      </vt:variant>
      <vt:variant>
        <vt:i4>0</vt:i4>
      </vt:variant>
      <vt:variant>
        <vt:i4>5</vt:i4>
      </vt:variant>
      <vt:variant>
        <vt:lpwstr>http://www.unece.org/env/teia/welcome.html</vt:lpwstr>
      </vt:variant>
      <vt:variant>
        <vt:lpwstr/>
      </vt:variant>
      <vt:variant>
        <vt:i4>2883594</vt:i4>
      </vt:variant>
      <vt:variant>
        <vt:i4>15</vt:i4>
      </vt:variant>
      <vt:variant>
        <vt:i4>0</vt:i4>
      </vt:variant>
      <vt:variant>
        <vt:i4>5</vt:i4>
      </vt:variant>
      <vt:variant>
        <vt:lpwstr>http://www.unece.org/env/eia/meetings/mop_7.htm.</vt:lpwstr>
      </vt:variant>
      <vt:variant>
        <vt:lpwstr/>
      </vt:variant>
      <vt:variant>
        <vt:i4>5046348</vt:i4>
      </vt:variant>
      <vt:variant>
        <vt:i4>12</vt:i4>
      </vt:variant>
      <vt:variant>
        <vt:i4>0</vt:i4>
      </vt:variant>
      <vt:variant>
        <vt:i4>5</vt:i4>
      </vt:variant>
      <vt:variant>
        <vt:lpwstr>http://www.unece.org/environmental-policy/conventions/environmental-assessment/meetings-and-events.html</vt:lpwstr>
      </vt:variant>
      <vt:variant>
        <vt:lpwstr>/0/0/0/28089/19940</vt:lpwstr>
      </vt:variant>
      <vt:variant>
        <vt:i4>5242957</vt:i4>
      </vt:variant>
      <vt:variant>
        <vt:i4>9</vt:i4>
      </vt:variant>
      <vt:variant>
        <vt:i4>0</vt:i4>
      </vt:variant>
      <vt:variant>
        <vt:i4>5</vt:i4>
      </vt:variant>
      <vt:variant>
        <vt:lpwstr>http://www.unece.org/meetings/practical.html</vt:lpwstr>
      </vt:variant>
      <vt:variant>
        <vt:lpwstr/>
      </vt:variant>
      <vt:variant>
        <vt:i4>7995406</vt:i4>
      </vt:variant>
      <vt:variant>
        <vt:i4>6</vt:i4>
      </vt:variant>
      <vt:variant>
        <vt:i4>0</vt:i4>
      </vt:variant>
      <vt:variant>
        <vt:i4>5</vt:i4>
      </vt:variant>
      <vt:variant>
        <vt:lpwstr>mailto:eia.conv@unece.org</vt:lpwstr>
      </vt:variant>
      <vt:variant>
        <vt:lpwstr/>
      </vt:variant>
      <vt:variant>
        <vt:i4>3080292</vt:i4>
      </vt:variant>
      <vt:variant>
        <vt:i4>3</vt:i4>
      </vt:variant>
      <vt:variant>
        <vt:i4>0</vt:i4>
      </vt:variant>
      <vt:variant>
        <vt:i4>5</vt:i4>
      </vt:variant>
      <vt:variant>
        <vt:lpwstr>https://www2.unece.org/wiki/display/OMR/Online+Meeting+Registration+Guidelines</vt:lpwstr>
      </vt:variant>
      <vt:variant>
        <vt:lpwstr/>
      </vt:variant>
      <vt:variant>
        <vt:i4>7077932</vt:i4>
      </vt:variant>
      <vt:variant>
        <vt:i4>0</vt:i4>
      </vt:variant>
      <vt:variant>
        <vt:i4>0</vt:i4>
      </vt:variant>
      <vt:variant>
        <vt:i4>5</vt:i4>
      </vt:variant>
      <vt:variant>
        <vt:lpwstr>https://www2.unece.org/uncdb/app/ext/meeting-registration?id=kslZdl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ECE/MP.EIA/WG.2/2019/1</dc:title>
  <dc:subject>1914765</dc:subject>
  <dc:creator>aulavuo</dc:creator>
  <cp:keywords/>
  <dc:description/>
  <cp:lastModifiedBy>Elizabeth James</cp:lastModifiedBy>
  <cp:revision>2</cp:revision>
  <cp:lastPrinted>2019-05-15T15:59:00Z</cp:lastPrinted>
  <dcterms:created xsi:type="dcterms:W3CDTF">2019-10-04T13:11:00Z</dcterms:created>
  <dcterms:modified xsi:type="dcterms:W3CDTF">2019-10-04T13:11:00Z</dcterms:modified>
</cp:coreProperties>
</file>