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AED21" w14:textId="77777777" w:rsidR="006C1115" w:rsidRPr="007B7A39" w:rsidRDefault="006C1115" w:rsidP="00B36272">
      <w:pPr>
        <w:rPr>
          <w:b/>
          <w:sz w:val="24"/>
          <w:szCs w:val="24"/>
        </w:rPr>
      </w:pPr>
      <w:r w:rsidRPr="007B7A39">
        <w:rPr>
          <w:b/>
          <w:sz w:val="24"/>
          <w:szCs w:val="24"/>
        </w:rPr>
        <w:t>Economic Commission for Europe</w:t>
      </w:r>
    </w:p>
    <w:p w14:paraId="3BA7CCA0" w14:textId="14606EC9" w:rsidR="006C1115" w:rsidRPr="007B7A39" w:rsidRDefault="006C1115" w:rsidP="00B36272">
      <w:pPr>
        <w:spacing w:line="240" w:lineRule="auto"/>
        <w:rPr>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w:t>
      </w:r>
      <w:r w:rsidRPr="007B7A39">
        <w:rPr>
          <w:bCs/>
          <w:sz w:val="24"/>
          <w:szCs w:val="24"/>
        </w:rPr>
        <w:br/>
        <w:t>in a Transboundary Context</w:t>
      </w:r>
      <w:r w:rsidR="00B61EDD">
        <w:rPr>
          <w:bCs/>
          <w:sz w:val="24"/>
          <w:szCs w:val="24"/>
        </w:rPr>
        <w:br/>
      </w:r>
    </w:p>
    <w:p w14:paraId="5BEC20A4" w14:textId="045FC33F" w:rsidR="006C1115" w:rsidRPr="007B7A39" w:rsidRDefault="006C1115" w:rsidP="001C49DA">
      <w:pPr>
        <w:rPr>
          <w:b/>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in </w:t>
      </w:r>
      <w:r w:rsidRPr="007B7A39">
        <w:rPr>
          <w:bCs/>
          <w:sz w:val="24"/>
          <w:szCs w:val="24"/>
        </w:rPr>
        <w:br/>
        <w:t xml:space="preserve">a Transboundary Context serving as the </w:t>
      </w:r>
      <w:r w:rsidRPr="007B7A39">
        <w:rPr>
          <w:bCs/>
          <w:sz w:val="24"/>
          <w:szCs w:val="24"/>
        </w:rPr>
        <w:br/>
        <w:t xml:space="preserve">Meeting of the Parties to the Protocol on </w:t>
      </w:r>
      <w:r w:rsidRPr="007B7A39">
        <w:rPr>
          <w:bCs/>
          <w:sz w:val="24"/>
          <w:szCs w:val="24"/>
        </w:rPr>
        <w:br/>
        <w:t>Strategic Environmental Assessment</w:t>
      </w:r>
      <w:r w:rsidR="001C49DA">
        <w:rPr>
          <w:bCs/>
          <w:sz w:val="24"/>
          <w:szCs w:val="24"/>
        </w:rPr>
        <w:br/>
      </w:r>
    </w:p>
    <w:p w14:paraId="0CAD2240" w14:textId="5286CC77" w:rsidR="006C1115" w:rsidRDefault="006C1115" w:rsidP="006C2CE6">
      <w:pPr>
        <w:spacing w:line="240" w:lineRule="auto"/>
        <w:rPr>
          <w:b/>
          <w:sz w:val="24"/>
          <w:szCs w:val="24"/>
        </w:rPr>
      </w:pPr>
      <w:r>
        <w:rPr>
          <w:b/>
          <w:sz w:val="24"/>
          <w:szCs w:val="24"/>
        </w:rPr>
        <w:t>Working Group on Environmental Impact Assessment</w:t>
      </w:r>
      <w:r>
        <w:rPr>
          <w:b/>
          <w:sz w:val="24"/>
          <w:szCs w:val="24"/>
        </w:rPr>
        <w:br/>
        <w:t>and Strategic Environmental Assessment</w:t>
      </w:r>
      <w:r w:rsidR="00B61EDD">
        <w:rPr>
          <w:b/>
          <w:sz w:val="24"/>
          <w:szCs w:val="24"/>
        </w:rPr>
        <w:br/>
      </w:r>
    </w:p>
    <w:p w14:paraId="66E8127D" w14:textId="415DC8E8" w:rsidR="006C1115" w:rsidRPr="00327213" w:rsidRDefault="006C1115" w:rsidP="006C1115">
      <w:pPr>
        <w:rPr>
          <w:b/>
        </w:rPr>
      </w:pPr>
      <w:r>
        <w:rPr>
          <w:b/>
        </w:rPr>
        <w:t>Seventh meeting</w:t>
      </w:r>
    </w:p>
    <w:p w14:paraId="701A2F0E" w14:textId="23CCE7BE" w:rsidR="006C1115" w:rsidRPr="00327213" w:rsidRDefault="006C1115" w:rsidP="006C1115">
      <w:r w:rsidRPr="00327213">
        <w:t xml:space="preserve">Geneva, </w:t>
      </w:r>
      <w:r>
        <w:t>28</w:t>
      </w:r>
      <w:r w:rsidR="00B61EDD">
        <w:t>–</w:t>
      </w:r>
      <w:r>
        <w:t>30 May</w:t>
      </w:r>
      <w:r w:rsidRPr="00327213">
        <w:t xml:space="preserve"> 201</w:t>
      </w:r>
      <w:r>
        <w:t>8</w:t>
      </w:r>
    </w:p>
    <w:p w14:paraId="378C30A3" w14:textId="77777777" w:rsidR="006C1115" w:rsidRPr="00327213" w:rsidRDefault="006C1115" w:rsidP="006C1115">
      <w:r w:rsidRPr="00327213">
        <w:t xml:space="preserve">Item </w:t>
      </w:r>
      <w:r>
        <w:t>3</w:t>
      </w:r>
      <w:r w:rsidRPr="00327213">
        <w:t xml:space="preserve"> of the provisional agenda</w:t>
      </w:r>
    </w:p>
    <w:p w14:paraId="18329D22" w14:textId="77777777" w:rsidR="006C1115" w:rsidRPr="007B7A39" w:rsidRDefault="006C1115" w:rsidP="006C1115">
      <w:pPr>
        <w:rPr>
          <w:b/>
          <w:bCs/>
        </w:rPr>
      </w:pPr>
      <w:r>
        <w:rPr>
          <w:b/>
          <w:bCs/>
        </w:rPr>
        <w:t>Compliance and implementation</w:t>
      </w:r>
    </w:p>
    <w:p w14:paraId="62F753A6" w14:textId="08B4F9CE" w:rsidR="00124384" w:rsidRDefault="00D15615" w:rsidP="00F97E67">
      <w:pPr>
        <w:pStyle w:val="HChG"/>
        <w:spacing w:after="0"/>
      </w:pPr>
      <w:r>
        <w:tab/>
      </w:r>
      <w:r>
        <w:tab/>
      </w:r>
      <w:r w:rsidR="004D6423" w:rsidRPr="004D6423">
        <w:t xml:space="preserve">Draft decision IS/1f on compliance by Ukraine with its obligations under the Convention </w:t>
      </w:r>
      <w:proofErr w:type="gramStart"/>
      <w:r w:rsidR="004D6423" w:rsidRPr="004D6423">
        <w:t>with regard to</w:t>
      </w:r>
      <w:proofErr w:type="gramEnd"/>
      <w:r w:rsidR="004D6423" w:rsidRPr="004D6423">
        <w:t xml:space="preserve"> </w:t>
      </w:r>
      <w:r w:rsidR="00973289">
        <w:t xml:space="preserve">the </w:t>
      </w:r>
      <w:r w:rsidR="004D6423" w:rsidRPr="004D6423">
        <w:t>Danube-Black Sea Deep Water Navigation Canal in the Ukrainian sector of the Danube Delta</w:t>
      </w:r>
    </w:p>
    <w:p w14:paraId="4550FFDD" w14:textId="2C4CE671" w:rsidR="006C1115" w:rsidRDefault="00C40613" w:rsidP="000A0CAD">
      <w:pPr>
        <w:pStyle w:val="HChG"/>
      </w:pPr>
      <w:r>
        <w:tab/>
      </w:r>
      <w:r>
        <w:tab/>
      </w:r>
      <w:r w:rsidR="000C4882">
        <w:tab/>
      </w:r>
      <w:r w:rsidRPr="00316317">
        <w:t>Proposal by the Implementation Committee</w:t>
      </w:r>
      <w:r w:rsidR="0088771D">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6C1115" w14:paraId="7BB02110" w14:textId="77777777" w:rsidTr="00D9592B">
        <w:trPr>
          <w:jc w:val="center"/>
        </w:trPr>
        <w:tc>
          <w:tcPr>
            <w:tcW w:w="9629" w:type="dxa"/>
            <w:shd w:val="clear" w:color="auto" w:fill="auto"/>
          </w:tcPr>
          <w:p w14:paraId="0CFA5C35" w14:textId="77777777" w:rsidR="006C1115" w:rsidRPr="00B51933" w:rsidRDefault="006C1115" w:rsidP="0031441E">
            <w:pPr>
              <w:rPr>
                <w:i/>
                <w:sz w:val="24"/>
              </w:rPr>
            </w:pPr>
          </w:p>
        </w:tc>
      </w:tr>
      <w:tr w:rsidR="006C1115" w14:paraId="13A49AF6" w14:textId="77777777" w:rsidTr="00D9592B">
        <w:trPr>
          <w:jc w:val="center"/>
        </w:trPr>
        <w:tc>
          <w:tcPr>
            <w:tcW w:w="9629" w:type="dxa"/>
            <w:shd w:val="clear" w:color="auto" w:fill="auto"/>
          </w:tcPr>
          <w:p w14:paraId="2EF14B6A" w14:textId="7269091F" w:rsidR="006C1115" w:rsidRDefault="006C1115" w:rsidP="00A40189">
            <w:pPr>
              <w:pStyle w:val="SingleTxtG"/>
              <w:ind w:firstLine="566"/>
            </w:pPr>
            <w:r>
              <w:tab/>
            </w:r>
            <w:r w:rsidRPr="009A3684">
              <w:t>This note p</w:t>
            </w:r>
            <w:r>
              <w:t xml:space="preserve">resents </w:t>
            </w:r>
            <w:r w:rsidRPr="009A3684">
              <w:t xml:space="preserve">draft decision </w:t>
            </w:r>
            <w:r w:rsidRPr="006C1115">
              <w:t>IS/1</w:t>
            </w:r>
            <w:r w:rsidR="00F97E67">
              <w:t>f</w:t>
            </w:r>
            <w:r w:rsidRPr="006C1115">
              <w:t xml:space="preserve"> </w:t>
            </w:r>
            <w:r w:rsidR="00B61EDD">
              <w:t xml:space="preserve">of the Meeting of the Parties to the Convention at its intermediary session </w:t>
            </w:r>
            <w:r w:rsidR="001C49DA">
              <w:t xml:space="preserve">(Geneva, 5–7 February 2019) </w:t>
            </w:r>
            <w:r w:rsidRPr="006C1115">
              <w:t xml:space="preserve">on compliance </w:t>
            </w:r>
            <w:r w:rsidR="00F97E67" w:rsidRPr="00F97E67">
              <w:t xml:space="preserve">by Ukraine with its obligations under the Convention with regard to </w:t>
            </w:r>
            <w:r w:rsidR="00973289">
              <w:t xml:space="preserve">the </w:t>
            </w:r>
            <w:r w:rsidR="00F97E67" w:rsidRPr="00F97E67">
              <w:t>Danube-Black Sea Deep Water Navigation Canal in the Ukrainian sector of the Danube Delta</w:t>
            </w:r>
            <w:r w:rsidR="00B61EDD">
              <w:t xml:space="preserve">. </w:t>
            </w:r>
            <w:r w:rsidR="006D1A5D">
              <w:t xml:space="preserve">As mandated by the Meeting of the Parties at its seventh session (Minsk, 13–16 June 2017), the Implementation Committee prepared the draft decision based on its </w:t>
            </w:r>
            <w:r w:rsidR="001C49DA">
              <w:t>review</w:t>
            </w:r>
            <w:r w:rsidR="006D1A5D">
              <w:t xml:space="preserve"> of the relevant paragraphs of dr</w:t>
            </w:r>
            <w:r w:rsidR="001C49DA">
              <w:t>aft decision VII/2</w:t>
            </w:r>
            <w:r w:rsidR="006D1A5D">
              <w:t xml:space="preserve"> </w:t>
            </w:r>
            <w:r w:rsidR="001C49DA">
              <w:t xml:space="preserve">and </w:t>
            </w:r>
            <w:r w:rsidR="006D1A5D">
              <w:t xml:space="preserve">taking into </w:t>
            </w:r>
            <w:r w:rsidR="001C49DA">
              <w:t>account</w:t>
            </w:r>
            <w:r w:rsidR="006D1A5D">
              <w:t xml:space="preserve"> the progress </w:t>
            </w:r>
            <w:r w:rsidR="00CE7736">
              <w:t xml:space="preserve">made </w:t>
            </w:r>
            <w:r w:rsidR="006D1A5D">
              <w:t>before</w:t>
            </w:r>
            <w:r w:rsidR="003A0C5B">
              <w:t xml:space="preserve">, </w:t>
            </w:r>
            <w:r w:rsidR="006D1A5D">
              <w:t xml:space="preserve">during </w:t>
            </w:r>
            <w:r w:rsidR="003A0C5B">
              <w:t xml:space="preserve">and after </w:t>
            </w:r>
            <w:r w:rsidR="006D1A5D">
              <w:t>the</w:t>
            </w:r>
            <w:r w:rsidR="001C49DA">
              <w:t xml:space="preserve"> </w:t>
            </w:r>
            <w:r w:rsidR="006D1A5D">
              <w:t xml:space="preserve">seventh session. </w:t>
            </w:r>
            <w:r w:rsidR="0023722A">
              <w:t>As suggested by the delegation of Ukraine in June 2017, t</w:t>
            </w:r>
            <w:r w:rsidR="003A0C5B">
              <w:t xml:space="preserve">he Committee decided to present the general and </w:t>
            </w:r>
            <w:r w:rsidR="0023722A">
              <w:t xml:space="preserve">the </w:t>
            </w:r>
            <w:r w:rsidR="003A0C5B">
              <w:t xml:space="preserve">country specific </w:t>
            </w:r>
            <w:r w:rsidR="009A02C4">
              <w:t xml:space="preserve">draft </w:t>
            </w:r>
            <w:r w:rsidR="003A0C5B">
              <w:t xml:space="preserve">decisions in separate documents to facilitate their </w:t>
            </w:r>
            <w:r w:rsidR="0023722A">
              <w:t xml:space="preserve">subsequent </w:t>
            </w:r>
            <w:r w:rsidR="003A0C5B">
              <w:t xml:space="preserve">consideration and adoption by the Meeting of the Parties. </w:t>
            </w:r>
          </w:p>
          <w:p w14:paraId="79E6EADC" w14:textId="0B09F8EE" w:rsidR="006C1115" w:rsidRDefault="00A40189" w:rsidP="0031441E">
            <w:pPr>
              <w:pStyle w:val="SingleTxtG"/>
            </w:pPr>
            <w:r>
              <w:t xml:space="preserve">            </w:t>
            </w:r>
            <w:r w:rsidR="006C1115">
              <w:t xml:space="preserve">The Chair of the Committee will present the </w:t>
            </w:r>
            <w:r w:rsidR="00D9592B">
              <w:t xml:space="preserve">draft decision </w:t>
            </w:r>
            <w:r w:rsidR="006D1A5D">
              <w:t xml:space="preserve">for information </w:t>
            </w:r>
            <w:r w:rsidR="006C1115" w:rsidRPr="005458EB">
              <w:t xml:space="preserve">to the Working Group on </w:t>
            </w:r>
            <w:r w:rsidR="006D1A5D">
              <w:t>E</w:t>
            </w:r>
            <w:r w:rsidR="006C1115">
              <w:t xml:space="preserve">nvironmental </w:t>
            </w:r>
            <w:r w:rsidR="006D1A5D">
              <w:t>I</w:t>
            </w:r>
            <w:r w:rsidR="006C1115">
              <w:t xml:space="preserve">mpact </w:t>
            </w:r>
            <w:r w:rsidR="006D1A5D">
              <w:t>A</w:t>
            </w:r>
            <w:r w:rsidR="006C1115">
              <w:t xml:space="preserve">ssessment </w:t>
            </w:r>
            <w:r w:rsidR="006C1115" w:rsidRPr="005458EB">
              <w:t xml:space="preserve">and </w:t>
            </w:r>
            <w:r w:rsidR="006D1A5D">
              <w:t>S</w:t>
            </w:r>
            <w:r w:rsidR="006C1115">
              <w:t xml:space="preserve">trategic </w:t>
            </w:r>
            <w:r w:rsidR="006D1A5D">
              <w:t>E</w:t>
            </w:r>
            <w:r w:rsidR="006C1115">
              <w:t xml:space="preserve">nvironmental </w:t>
            </w:r>
            <w:r w:rsidR="006D1A5D">
              <w:t>A</w:t>
            </w:r>
            <w:r w:rsidR="006C1115">
              <w:t>ssessment.</w:t>
            </w:r>
            <w:r w:rsidR="003A0C5B">
              <w:t xml:space="preserve"> The </w:t>
            </w:r>
            <w:r w:rsidR="009A02C4">
              <w:t xml:space="preserve">delegates </w:t>
            </w:r>
            <w:r w:rsidR="003A0C5B">
              <w:t xml:space="preserve">may wish to present </w:t>
            </w:r>
            <w:r w:rsidR="009A02C4">
              <w:t xml:space="preserve">their </w:t>
            </w:r>
            <w:r w:rsidR="003A0C5B">
              <w:t>views on the draft.</w:t>
            </w:r>
          </w:p>
          <w:p w14:paraId="2ACCF375" w14:textId="6E601793" w:rsidR="006C1115" w:rsidRDefault="00C4008E" w:rsidP="0031441E">
            <w:pPr>
              <w:pStyle w:val="SingleTxtG"/>
            </w:pPr>
            <w:r>
              <w:lastRenderedPageBreak/>
              <w:br/>
            </w:r>
            <w:r w:rsidR="006C1115">
              <w:t xml:space="preserve">            The Committee will finalize the draft decision at its forty-second session (Geneva, 11</w:t>
            </w:r>
            <w:r w:rsidR="003A0C5B">
              <w:t>–</w:t>
            </w:r>
            <w:r w:rsidR="006C1115">
              <w:t xml:space="preserve">14 September 2018) prior to </w:t>
            </w:r>
            <w:r w:rsidR="003A0C5B">
              <w:t>its</w:t>
            </w:r>
            <w:r w:rsidR="006C1115">
              <w:t xml:space="preserve"> submission for consideration and adoption </w:t>
            </w:r>
            <w:r w:rsidR="006C1115" w:rsidRPr="009A3684">
              <w:t xml:space="preserve">by </w:t>
            </w:r>
            <w:r w:rsidR="006C1115">
              <w:t xml:space="preserve">the </w:t>
            </w:r>
            <w:r w:rsidR="006C1115" w:rsidRPr="009A3684">
              <w:t>Meeting of</w:t>
            </w:r>
            <w:r w:rsidR="006C1115">
              <w:t xml:space="preserve"> the Parties to the Convention at its intermediary session</w:t>
            </w:r>
            <w:r w:rsidR="006C1115" w:rsidRPr="00F451A3">
              <w:t>.</w:t>
            </w:r>
          </w:p>
        </w:tc>
      </w:tr>
    </w:tbl>
    <w:p w14:paraId="56C91EC0" w14:textId="77777777" w:rsidR="006A4B51" w:rsidRDefault="006A4B51" w:rsidP="00C009D1">
      <w:pPr>
        <w:pStyle w:val="SingleTxtG"/>
        <w:rPr>
          <w:rFonts w:asciiTheme="majorBidi" w:hAnsiTheme="majorBidi" w:cstheme="majorBidi"/>
          <w:i/>
        </w:rPr>
      </w:pPr>
    </w:p>
    <w:p w14:paraId="3072CA6D" w14:textId="336C24B6" w:rsidR="00C009D1" w:rsidRPr="009810A1" w:rsidRDefault="00C009D1" w:rsidP="00C009D1">
      <w:pPr>
        <w:pStyle w:val="SingleTxtG"/>
        <w:rPr>
          <w:rFonts w:asciiTheme="majorBidi" w:hAnsiTheme="majorBidi" w:cstheme="majorBidi"/>
        </w:rPr>
      </w:pPr>
      <w:r w:rsidRPr="009810A1">
        <w:rPr>
          <w:rFonts w:asciiTheme="majorBidi" w:hAnsiTheme="majorBidi" w:cstheme="majorBidi"/>
          <w:i/>
        </w:rPr>
        <w:t>The Meeting of the Parties</w:t>
      </w:r>
      <w:r w:rsidRPr="009810A1">
        <w:rPr>
          <w:rFonts w:asciiTheme="majorBidi" w:hAnsiTheme="majorBidi" w:cstheme="majorBidi"/>
        </w:rPr>
        <w:t xml:space="preserve">, </w:t>
      </w:r>
    </w:p>
    <w:p w14:paraId="3ECC878C" w14:textId="77777777" w:rsidR="00C009D1" w:rsidRPr="009810A1" w:rsidRDefault="00C009D1" w:rsidP="00C009D1">
      <w:pPr>
        <w:pStyle w:val="SingleTxtG"/>
        <w:rPr>
          <w:rFonts w:asciiTheme="majorBidi" w:hAnsiTheme="majorBidi" w:cstheme="majorBidi"/>
        </w:rPr>
      </w:pPr>
      <w:r w:rsidRPr="009810A1">
        <w:rPr>
          <w:rFonts w:asciiTheme="majorBidi" w:hAnsiTheme="majorBidi" w:cstheme="majorBidi"/>
          <w:i/>
        </w:rPr>
        <w:tab/>
      </w:r>
      <w:r w:rsidRPr="009810A1">
        <w:rPr>
          <w:rFonts w:asciiTheme="majorBidi" w:hAnsiTheme="majorBidi" w:cstheme="majorBidi"/>
          <w:i/>
        </w:rPr>
        <w:tab/>
        <w:t>Recalling</w:t>
      </w:r>
      <w:r w:rsidRPr="009810A1">
        <w:rPr>
          <w:rFonts w:asciiTheme="majorBidi" w:hAnsiTheme="majorBidi" w:cstheme="majorBidi"/>
        </w:rPr>
        <w:t xml:space="preserve"> article 11, paragraph 2, and article 14 </w:t>
      </w:r>
      <w:proofErr w:type="spellStart"/>
      <w:r w:rsidRPr="009810A1">
        <w:rPr>
          <w:rFonts w:asciiTheme="majorBidi" w:hAnsiTheme="majorBidi" w:cstheme="majorBidi"/>
        </w:rPr>
        <w:t>bis</w:t>
      </w:r>
      <w:proofErr w:type="spellEnd"/>
      <w:r w:rsidRPr="009810A1">
        <w:rPr>
          <w:rFonts w:asciiTheme="majorBidi" w:hAnsiTheme="majorBidi" w:cstheme="majorBidi"/>
        </w:rPr>
        <w:t xml:space="preserve"> of the Convention on Environmental Impact Assessment in a Transboundary Context (Espoo Convention),</w:t>
      </w:r>
    </w:p>
    <w:p w14:paraId="4778D86E" w14:textId="77777777" w:rsidR="00C009D1" w:rsidRPr="009810A1" w:rsidRDefault="00C009D1" w:rsidP="00C009D1">
      <w:pPr>
        <w:pStyle w:val="SingleTxtG"/>
        <w:rPr>
          <w:rFonts w:asciiTheme="majorBidi" w:hAnsiTheme="majorBidi" w:cstheme="majorBidi"/>
        </w:rPr>
      </w:pPr>
      <w:r w:rsidRPr="009810A1">
        <w:rPr>
          <w:rFonts w:asciiTheme="majorBidi" w:hAnsiTheme="majorBidi" w:cstheme="majorBidi"/>
          <w:i/>
        </w:rPr>
        <w:tab/>
      </w:r>
      <w:r w:rsidRPr="009810A1">
        <w:rPr>
          <w:rFonts w:asciiTheme="majorBidi" w:hAnsiTheme="majorBidi" w:cstheme="majorBidi"/>
          <w:i/>
        </w:rPr>
        <w:tab/>
        <w:t>Recalling also</w:t>
      </w:r>
      <w:r w:rsidRPr="009810A1">
        <w:rPr>
          <w:rFonts w:asciiTheme="majorBidi" w:hAnsiTheme="majorBidi" w:cstheme="majorBidi"/>
        </w:rPr>
        <w:t xml:space="preserve"> its decision IV/2, paragraphs 7–14,</w:t>
      </w:r>
      <w:r w:rsidRPr="009810A1">
        <w:rPr>
          <w:rStyle w:val="FootnoteReference"/>
          <w:rFonts w:asciiTheme="majorBidi" w:hAnsiTheme="majorBidi" w:cstheme="majorBidi"/>
        </w:rPr>
        <w:footnoteReference w:id="3"/>
      </w:r>
      <w:r w:rsidRPr="009810A1">
        <w:rPr>
          <w:rFonts w:asciiTheme="majorBidi" w:hAnsiTheme="majorBidi" w:cstheme="majorBidi"/>
        </w:rPr>
        <w:t xml:space="preserve"> its decision V/4, paragraphs 17–26,</w:t>
      </w:r>
      <w:r w:rsidRPr="009810A1">
        <w:rPr>
          <w:rStyle w:val="FootnoteReference"/>
          <w:rFonts w:asciiTheme="majorBidi" w:hAnsiTheme="majorBidi" w:cstheme="majorBidi"/>
        </w:rPr>
        <w:footnoteReference w:id="4"/>
      </w:r>
      <w:r w:rsidRPr="009810A1">
        <w:rPr>
          <w:rFonts w:asciiTheme="majorBidi" w:hAnsiTheme="majorBidi" w:cstheme="majorBidi"/>
        </w:rPr>
        <w:t xml:space="preserve"> and its decision VI/2, paragraphs 15–28,</w:t>
      </w:r>
      <w:r w:rsidRPr="009810A1">
        <w:rPr>
          <w:rStyle w:val="FootnoteReference"/>
          <w:rFonts w:asciiTheme="majorBidi" w:hAnsiTheme="majorBidi" w:cstheme="majorBidi"/>
        </w:rPr>
        <w:footnoteReference w:id="5"/>
      </w:r>
      <w:r w:rsidRPr="009810A1">
        <w:rPr>
          <w:rFonts w:asciiTheme="majorBidi" w:hAnsiTheme="majorBidi" w:cstheme="majorBidi"/>
        </w:rPr>
        <w:t xml:space="preserve"> concerning compliance by Ukraine with regard to Danube-Black Sea Deep Water Navigation Canal in the Ukrainian sector of the Danube Delta (</w:t>
      </w:r>
      <w:proofErr w:type="spellStart"/>
      <w:r w:rsidRPr="009810A1">
        <w:rPr>
          <w:rFonts w:asciiTheme="majorBidi" w:hAnsiTheme="majorBidi" w:cstheme="majorBidi"/>
        </w:rPr>
        <w:t>Bystroe</w:t>
      </w:r>
      <w:proofErr w:type="spellEnd"/>
      <w:r w:rsidRPr="009810A1">
        <w:rPr>
          <w:rFonts w:asciiTheme="majorBidi" w:hAnsiTheme="majorBidi" w:cstheme="majorBidi"/>
        </w:rPr>
        <w:t xml:space="preserve"> Canal Project),</w:t>
      </w:r>
    </w:p>
    <w:p w14:paraId="0213D43F" w14:textId="77777777" w:rsidR="00C009D1" w:rsidRPr="009810A1" w:rsidRDefault="00C009D1" w:rsidP="00C009D1">
      <w:pPr>
        <w:pStyle w:val="SingleTxtG"/>
        <w:rPr>
          <w:rFonts w:asciiTheme="majorBidi" w:hAnsiTheme="majorBidi" w:cstheme="majorBidi"/>
        </w:rPr>
      </w:pPr>
      <w:bookmarkStart w:id="0" w:name="_Hlk504650794"/>
      <w:r w:rsidRPr="009810A1">
        <w:rPr>
          <w:rFonts w:asciiTheme="majorBidi" w:hAnsiTheme="majorBidi" w:cstheme="majorBidi"/>
          <w:i/>
        </w:rPr>
        <w:tab/>
      </w:r>
      <w:r w:rsidRPr="009810A1">
        <w:rPr>
          <w:rFonts w:asciiTheme="majorBidi" w:hAnsiTheme="majorBidi" w:cstheme="majorBidi"/>
          <w:i/>
        </w:rPr>
        <w:tab/>
        <w:t xml:space="preserve">Recalling further </w:t>
      </w:r>
      <w:r w:rsidRPr="009810A1">
        <w:rPr>
          <w:rFonts w:asciiTheme="majorBidi" w:hAnsiTheme="majorBidi" w:cstheme="majorBidi"/>
        </w:rPr>
        <w:t>its decision at its seventh session (Minsk, 13–16 June 2017) to finalize its deliberations on the review of compliance with the Convention at an intermediary session, based on a revised draft decision to be prepared by the Implementation Committee and taking into account the work carried out and progress achieved before and during the seventh session,</w:t>
      </w:r>
      <w:r w:rsidRPr="009810A1">
        <w:rPr>
          <w:rStyle w:val="FootnoteReference"/>
          <w:rFonts w:asciiTheme="majorBidi" w:hAnsiTheme="majorBidi" w:cstheme="majorBidi"/>
        </w:rPr>
        <w:footnoteReference w:id="6"/>
      </w:r>
      <w:r w:rsidRPr="009810A1" w:rsidDel="003F0CC6">
        <w:rPr>
          <w:rFonts w:asciiTheme="majorBidi" w:hAnsiTheme="majorBidi" w:cstheme="majorBidi"/>
        </w:rPr>
        <w:t xml:space="preserve"> </w:t>
      </w:r>
      <w:bookmarkEnd w:id="0"/>
    </w:p>
    <w:p w14:paraId="4DC23806" w14:textId="77777777" w:rsidR="00C009D1" w:rsidRPr="009810A1" w:rsidRDefault="00C009D1" w:rsidP="00C009D1">
      <w:pPr>
        <w:pStyle w:val="SingleTxtG"/>
        <w:rPr>
          <w:rFonts w:asciiTheme="majorBidi" w:hAnsiTheme="majorBidi" w:cstheme="majorBidi"/>
        </w:rPr>
      </w:pPr>
      <w:r w:rsidRPr="009810A1">
        <w:rPr>
          <w:rFonts w:asciiTheme="majorBidi" w:hAnsiTheme="majorBidi" w:cstheme="majorBidi"/>
          <w:i/>
        </w:rPr>
        <w:tab/>
      </w:r>
      <w:r w:rsidRPr="009810A1">
        <w:rPr>
          <w:rFonts w:asciiTheme="majorBidi" w:hAnsiTheme="majorBidi" w:cstheme="majorBidi"/>
          <w:i/>
        </w:rPr>
        <w:tab/>
        <w:t>Having considered</w:t>
      </w:r>
      <w:r w:rsidRPr="009810A1">
        <w:rPr>
          <w:rFonts w:asciiTheme="majorBidi" w:hAnsiTheme="majorBidi" w:cstheme="majorBidi"/>
        </w:rPr>
        <w:t xml:space="preserve"> paragraphs 10–16 concerning Ukraine in the report on the activities of the Implementation Committee to the Meeting of the Parties to the Convention at its seventh session</w:t>
      </w:r>
      <w:r w:rsidRPr="009810A1">
        <w:rPr>
          <w:rStyle w:val="FootnoteReference"/>
          <w:rFonts w:asciiTheme="majorBidi" w:hAnsiTheme="majorBidi" w:cstheme="majorBidi"/>
        </w:rPr>
        <w:footnoteReference w:id="7"/>
      </w:r>
      <w:r w:rsidRPr="009810A1">
        <w:rPr>
          <w:rFonts w:asciiTheme="majorBidi" w:hAnsiTheme="majorBidi" w:cstheme="majorBidi"/>
        </w:rPr>
        <w:t xml:space="preserve"> and in the reports of the Committee on its thirty-ninth,</w:t>
      </w:r>
      <w:r w:rsidRPr="009810A1">
        <w:rPr>
          <w:rStyle w:val="FootnoteReference"/>
          <w:rFonts w:asciiTheme="majorBidi" w:hAnsiTheme="majorBidi" w:cstheme="majorBidi"/>
        </w:rPr>
        <w:footnoteReference w:id="8"/>
      </w:r>
      <w:r w:rsidRPr="009810A1">
        <w:rPr>
          <w:rFonts w:asciiTheme="majorBidi" w:hAnsiTheme="majorBidi" w:cstheme="majorBidi"/>
        </w:rPr>
        <w:t xml:space="preserve"> fortieth</w:t>
      </w:r>
      <w:r w:rsidRPr="009810A1">
        <w:rPr>
          <w:rStyle w:val="FootnoteReference"/>
          <w:rFonts w:asciiTheme="majorBidi" w:hAnsiTheme="majorBidi" w:cstheme="majorBidi"/>
        </w:rPr>
        <w:footnoteReference w:id="9"/>
      </w:r>
      <w:r w:rsidRPr="009810A1">
        <w:rPr>
          <w:rFonts w:asciiTheme="majorBidi" w:hAnsiTheme="majorBidi" w:cstheme="majorBidi"/>
        </w:rPr>
        <w:t>, forty-first</w:t>
      </w:r>
      <w:r w:rsidRPr="009810A1">
        <w:rPr>
          <w:rStyle w:val="FootnoteReference"/>
          <w:rFonts w:asciiTheme="majorBidi" w:hAnsiTheme="majorBidi" w:cstheme="majorBidi"/>
        </w:rPr>
        <w:footnoteReference w:id="10"/>
      </w:r>
      <w:r w:rsidRPr="009810A1">
        <w:rPr>
          <w:rFonts w:asciiTheme="majorBidi" w:hAnsiTheme="majorBidi" w:cstheme="majorBidi"/>
        </w:rPr>
        <w:t xml:space="preserve"> and forty-second sessions,</w:t>
      </w:r>
      <w:r w:rsidRPr="009810A1">
        <w:rPr>
          <w:rStyle w:val="FootnoteReference"/>
          <w:rFonts w:asciiTheme="majorBidi" w:hAnsiTheme="majorBidi" w:cstheme="majorBidi"/>
        </w:rPr>
        <w:footnoteReference w:id="11"/>
      </w:r>
    </w:p>
    <w:p w14:paraId="2EEC0E6E"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w:t>
      </w:r>
      <w:r w:rsidRPr="009810A1">
        <w:rPr>
          <w:rFonts w:asciiTheme="majorBidi" w:hAnsiTheme="majorBidi" w:cstheme="majorBidi"/>
          <w:i/>
          <w:iCs/>
        </w:rPr>
        <w:t>Recalling</w:t>
      </w:r>
      <w:r w:rsidRPr="009810A1">
        <w:rPr>
          <w:rFonts w:asciiTheme="majorBidi" w:hAnsiTheme="majorBidi" w:cstheme="majorBidi"/>
        </w:rPr>
        <w:t xml:space="preserve"> its decision IS/1 on the review of compliance with the Convention adopted at the intermediary session,]</w:t>
      </w:r>
    </w:p>
    <w:p w14:paraId="30F2710C"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w:t>
      </w:r>
      <w:r w:rsidRPr="009810A1">
        <w:rPr>
          <w:rFonts w:asciiTheme="majorBidi" w:hAnsiTheme="majorBidi" w:cstheme="majorBidi"/>
          <w:i/>
        </w:rPr>
        <w:tab/>
        <w:t xml:space="preserve">Welcomes </w:t>
      </w:r>
      <w:r w:rsidRPr="009810A1">
        <w:rPr>
          <w:rFonts w:asciiTheme="majorBidi" w:hAnsiTheme="majorBidi" w:cstheme="majorBidi"/>
        </w:rPr>
        <w:t>the efforts demonstrated by the Government of Ukraine to follow the recommendations of the Meeting of the Parties addressed to it in decision VI/2;</w:t>
      </w:r>
    </w:p>
    <w:p w14:paraId="5FE7A017"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2.</w:t>
      </w:r>
      <w:r w:rsidRPr="009810A1">
        <w:rPr>
          <w:rFonts w:asciiTheme="majorBidi" w:hAnsiTheme="majorBidi" w:cstheme="majorBidi"/>
        </w:rPr>
        <w:tab/>
      </w:r>
      <w:r w:rsidRPr="009810A1">
        <w:rPr>
          <w:rFonts w:asciiTheme="majorBidi" w:hAnsiTheme="majorBidi" w:cstheme="majorBidi"/>
          <w:i/>
        </w:rPr>
        <w:t>Appreciates</w:t>
      </w:r>
      <w:r w:rsidRPr="009810A1">
        <w:rPr>
          <w:rFonts w:asciiTheme="majorBidi" w:hAnsiTheme="majorBidi" w:cstheme="majorBidi"/>
        </w:rPr>
        <w:t xml:space="preserve"> the reports received from the Government of Ukraine further to paragraph 25 of decision VI/2, concerning the follow-up to decision V/4 in relation to the </w:t>
      </w:r>
      <w:proofErr w:type="spellStart"/>
      <w:r w:rsidRPr="009810A1">
        <w:rPr>
          <w:rFonts w:asciiTheme="majorBidi" w:hAnsiTheme="majorBidi" w:cstheme="majorBidi"/>
        </w:rPr>
        <w:t>Bystroe</w:t>
      </w:r>
      <w:proofErr w:type="spellEnd"/>
      <w:r w:rsidRPr="009810A1">
        <w:rPr>
          <w:rFonts w:asciiTheme="majorBidi" w:hAnsiTheme="majorBidi" w:cstheme="majorBidi"/>
        </w:rPr>
        <w:t xml:space="preserve"> Canal Project;</w:t>
      </w:r>
    </w:p>
    <w:p w14:paraId="53F57E2D"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3.</w:t>
      </w:r>
      <w:r w:rsidRPr="009810A1">
        <w:rPr>
          <w:rFonts w:asciiTheme="majorBidi" w:hAnsiTheme="majorBidi" w:cstheme="majorBidi"/>
        </w:rPr>
        <w:tab/>
      </w:r>
      <w:r w:rsidRPr="009810A1">
        <w:rPr>
          <w:rFonts w:asciiTheme="majorBidi" w:hAnsiTheme="majorBidi" w:cstheme="majorBidi"/>
          <w:i/>
          <w:iCs/>
        </w:rPr>
        <w:t>Welcomes</w:t>
      </w:r>
      <w:r w:rsidRPr="009810A1">
        <w:rPr>
          <w:rFonts w:asciiTheme="majorBidi" w:hAnsiTheme="majorBidi" w:cstheme="majorBidi"/>
        </w:rPr>
        <w:t xml:space="preserve"> the fact that Ukraine consulted the Implementation Committee during the preparation of its Law on Environmental Impact Assessment to ensure that it provides an adequate basis for the implementation of the Convention;</w:t>
      </w:r>
    </w:p>
    <w:p w14:paraId="0BF66CCD"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4.</w:t>
      </w:r>
      <w:r w:rsidRPr="009810A1">
        <w:rPr>
          <w:rFonts w:asciiTheme="majorBidi" w:hAnsiTheme="majorBidi" w:cstheme="majorBidi"/>
        </w:rPr>
        <w:tab/>
      </w:r>
      <w:r w:rsidRPr="009810A1">
        <w:rPr>
          <w:rFonts w:asciiTheme="majorBidi" w:hAnsiTheme="majorBidi" w:cstheme="majorBidi"/>
          <w:i/>
          <w:iCs/>
        </w:rPr>
        <w:t xml:space="preserve">Also </w:t>
      </w:r>
      <w:r w:rsidRPr="009810A1">
        <w:rPr>
          <w:rFonts w:asciiTheme="majorBidi" w:hAnsiTheme="majorBidi" w:cstheme="majorBidi"/>
          <w:i/>
        </w:rPr>
        <w:t>welcomes</w:t>
      </w:r>
      <w:r w:rsidRPr="009810A1">
        <w:rPr>
          <w:rFonts w:asciiTheme="majorBidi" w:hAnsiTheme="majorBidi" w:cstheme="majorBidi"/>
        </w:rPr>
        <w:t xml:space="preserve"> the adoption by Ukraine of the Law on Environmental impact assessment as a concrete legislative step towards implementation of the strategy of the Government of Ukraine to implement the Convention as referred to in paragraph 25(a) of decision VI/2;</w:t>
      </w:r>
    </w:p>
    <w:p w14:paraId="07B8AFE5"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lastRenderedPageBreak/>
        <w:t>5.</w:t>
      </w:r>
      <w:r w:rsidRPr="009810A1">
        <w:rPr>
          <w:rFonts w:asciiTheme="majorBidi" w:hAnsiTheme="majorBidi" w:cstheme="majorBidi"/>
        </w:rPr>
        <w:tab/>
      </w:r>
      <w:r w:rsidRPr="009810A1">
        <w:rPr>
          <w:rFonts w:asciiTheme="majorBidi" w:hAnsiTheme="majorBidi" w:cstheme="majorBidi"/>
          <w:i/>
        </w:rPr>
        <w:t>Requests</w:t>
      </w:r>
      <w:r w:rsidRPr="009810A1">
        <w:rPr>
          <w:rFonts w:asciiTheme="majorBidi" w:hAnsiTheme="majorBidi" w:cstheme="majorBidi"/>
        </w:rPr>
        <w:t xml:space="preserve"> the Government of Ukraine to report on the status of adoption of the secondary legislation with the purpose to fully align its national legislation with the Convention without delay;</w:t>
      </w:r>
    </w:p>
    <w:p w14:paraId="5340993D"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6.</w:t>
      </w:r>
      <w:r w:rsidRPr="009810A1">
        <w:rPr>
          <w:rFonts w:asciiTheme="majorBidi" w:hAnsiTheme="majorBidi" w:cstheme="majorBidi"/>
          <w:i/>
        </w:rPr>
        <w:tab/>
        <w:t>Regrets</w:t>
      </w:r>
      <w:r w:rsidRPr="009810A1">
        <w:rPr>
          <w:rFonts w:asciiTheme="majorBidi" w:hAnsiTheme="majorBidi" w:cstheme="majorBidi"/>
        </w:rPr>
        <w:t xml:space="preserve"> that only limited</w:t>
      </w:r>
      <w:r w:rsidRPr="009810A1">
        <w:rPr>
          <w:rFonts w:asciiTheme="majorBidi" w:hAnsiTheme="majorBidi" w:cstheme="majorBidi"/>
          <w:color w:val="E36C0A" w:themeColor="accent6" w:themeShade="BF"/>
        </w:rPr>
        <w:t xml:space="preserve"> </w:t>
      </w:r>
      <w:r w:rsidRPr="009810A1">
        <w:rPr>
          <w:rFonts w:asciiTheme="majorBidi" w:hAnsiTheme="majorBidi" w:cstheme="majorBidi"/>
        </w:rPr>
        <w:t xml:space="preserve">steps have been taken to bring the </w:t>
      </w:r>
      <w:proofErr w:type="spellStart"/>
      <w:r w:rsidRPr="009810A1">
        <w:rPr>
          <w:rFonts w:asciiTheme="majorBidi" w:hAnsiTheme="majorBidi" w:cstheme="majorBidi"/>
        </w:rPr>
        <w:t>Bystroe</w:t>
      </w:r>
      <w:proofErr w:type="spellEnd"/>
      <w:r w:rsidRPr="009810A1">
        <w:rPr>
          <w:rFonts w:asciiTheme="majorBidi" w:hAnsiTheme="majorBidi" w:cstheme="majorBidi"/>
        </w:rPr>
        <w:t xml:space="preserve"> Canal Project into full compliance with the Convention further to paragraph 24 of decision VI/2;</w:t>
      </w:r>
    </w:p>
    <w:p w14:paraId="7043AA13"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7.</w:t>
      </w:r>
      <w:r w:rsidRPr="009810A1">
        <w:rPr>
          <w:rFonts w:asciiTheme="majorBidi" w:hAnsiTheme="majorBidi" w:cstheme="majorBidi"/>
          <w:i/>
        </w:rPr>
        <w:tab/>
        <w:t>Endorses</w:t>
      </w:r>
      <w:r w:rsidRPr="009810A1">
        <w:rPr>
          <w:rFonts w:asciiTheme="majorBidi" w:hAnsiTheme="majorBidi" w:cstheme="majorBidi"/>
        </w:rPr>
        <w:t xml:space="preserve"> therefore the findings of the Implementation Committee at its [forty-first] [forty-second] session that, despite some steps taken, Ukraine has not yet fulfilled its obligations under paragraphs 24 and 25 of decision VI/2;</w:t>
      </w:r>
      <w:r w:rsidRPr="009810A1">
        <w:rPr>
          <w:rStyle w:val="FootnoteReference"/>
          <w:rFonts w:asciiTheme="majorBidi" w:hAnsiTheme="majorBidi" w:cstheme="majorBidi"/>
        </w:rPr>
        <w:footnoteReference w:id="12"/>
      </w:r>
    </w:p>
    <w:p w14:paraId="6EE090D6"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8.</w:t>
      </w:r>
      <w:r w:rsidRPr="009810A1">
        <w:rPr>
          <w:rFonts w:asciiTheme="majorBidi" w:hAnsiTheme="majorBidi" w:cstheme="majorBidi"/>
        </w:rPr>
        <w:tab/>
      </w:r>
      <w:r w:rsidRPr="009810A1">
        <w:rPr>
          <w:rFonts w:asciiTheme="majorBidi" w:hAnsiTheme="majorBidi" w:cstheme="majorBidi"/>
          <w:i/>
        </w:rPr>
        <w:t>Endorses</w:t>
      </w:r>
      <w:r w:rsidRPr="009810A1">
        <w:rPr>
          <w:rFonts w:asciiTheme="majorBidi" w:hAnsiTheme="majorBidi" w:cstheme="majorBidi"/>
        </w:rPr>
        <w:t xml:space="preserve"> also the findings of the Committee that the continuation of dredging activities by the Government of Ukraine constitutes a further breach of its obligations under the Convention;</w:t>
      </w:r>
    </w:p>
    <w:p w14:paraId="38215E59"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9.</w:t>
      </w:r>
      <w:r w:rsidRPr="009810A1">
        <w:rPr>
          <w:rFonts w:asciiTheme="majorBidi" w:hAnsiTheme="majorBidi" w:cstheme="majorBidi"/>
        </w:rPr>
        <w:tab/>
      </w:r>
      <w:r w:rsidRPr="009810A1">
        <w:rPr>
          <w:rFonts w:asciiTheme="majorBidi" w:hAnsiTheme="majorBidi" w:cstheme="majorBidi"/>
          <w:i/>
        </w:rPr>
        <w:t>Declares</w:t>
      </w:r>
      <w:r w:rsidRPr="009810A1">
        <w:rPr>
          <w:rFonts w:asciiTheme="majorBidi" w:hAnsiTheme="majorBidi" w:cstheme="majorBidi"/>
        </w:rPr>
        <w:t>, therefore, that the caution to the Government of Ukraine issued at its fourth session is still effective;</w:t>
      </w:r>
    </w:p>
    <w:p w14:paraId="732D58DE"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10.</w:t>
      </w:r>
      <w:r w:rsidRPr="009810A1">
        <w:rPr>
          <w:rFonts w:asciiTheme="majorBidi" w:hAnsiTheme="majorBidi" w:cstheme="majorBidi"/>
        </w:rPr>
        <w:tab/>
      </w:r>
      <w:r w:rsidRPr="009810A1">
        <w:rPr>
          <w:rFonts w:asciiTheme="majorBidi" w:hAnsiTheme="majorBidi" w:cstheme="majorBidi"/>
          <w:i/>
        </w:rPr>
        <w:t>Welcomes</w:t>
      </w:r>
      <w:r w:rsidRPr="009810A1">
        <w:rPr>
          <w:rFonts w:asciiTheme="majorBidi" w:hAnsiTheme="majorBidi" w:cstheme="majorBidi"/>
        </w:rPr>
        <w:t xml:space="preserve"> the declaration of Ukraine of its genuine wish to bring the </w:t>
      </w:r>
      <w:proofErr w:type="spellStart"/>
      <w:r w:rsidRPr="009810A1">
        <w:rPr>
          <w:rFonts w:asciiTheme="majorBidi" w:hAnsiTheme="majorBidi" w:cstheme="majorBidi"/>
        </w:rPr>
        <w:t>Bystroe</w:t>
      </w:r>
      <w:proofErr w:type="spellEnd"/>
      <w:r w:rsidRPr="009810A1">
        <w:rPr>
          <w:rFonts w:asciiTheme="majorBidi" w:hAnsiTheme="majorBidi" w:cstheme="majorBidi"/>
        </w:rPr>
        <w:t xml:space="preserve"> Canal Project into full compliance with the Convention;</w:t>
      </w:r>
    </w:p>
    <w:p w14:paraId="2DB72300"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11.</w:t>
      </w:r>
      <w:r w:rsidRPr="009810A1">
        <w:rPr>
          <w:rFonts w:asciiTheme="majorBidi" w:hAnsiTheme="majorBidi" w:cstheme="majorBidi"/>
        </w:rPr>
        <w:tab/>
      </w:r>
      <w:r w:rsidRPr="009810A1">
        <w:rPr>
          <w:rFonts w:asciiTheme="majorBidi" w:hAnsiTheme="majorBidi" w:cstheme="majorBidi"/>
          <w:i/>
        </w:rPr>
        <w:t>Acknowledges</w:t>
      </w:r>
      <w:r w:rsidRPr="009810A1">
        <w:rPr>
          <w:rFonts w:asciiTheme="majorBidi" w:hAnsiTheme="majorBidi" w:cstheme="majorBidi"/>
        </w:rPr>
        <w:t xml:space="preserve"> that the roadmap developed by Ukraine and discussed at the forty-first session of Implementation Committee provides a good basis for bringing the Project into full compliance with the Convention;</w:t>
      </w:r>
    </w:p>
    <w:p w14:paraId="65C695A2"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12.</w:t>
      </w:r>
      <w:r w:rsidRPr="009810A1">
        <w:rPr>
          <w:rFonts w:asciiTheme="majorBidi" w:hAnsiTheme="majorBidi" w:cstheme="majorBidi"/>
        </w:rPr>
        <w:tab/>
      </w:r>
      <w:r w:rsidRPr="009810A1">
        <w:rPr>
          <w:rFonts w:asciiTheme="majorBidi" w:hAnsiTheme="majorBidi" w:cstheme="majorBidi"/>
          <w:i/>
        </w:rPr>
        <w:t>Welcomes</w:t>
      </w:r>
      <w:r w:rsidRPr="009810A1">
        <w:rPr>
          <w:rFonts w:asciiTheme="majorBidi" w:hAnsiTheme="majorBidi" w:cstheme="majorBidi"/>
        </w:rPr>
        <w:t xml:space="preserve"> the intended steps to be taken by Ukraine as stipulated in the roadmap, including the readiness to stop works, to repeal the final decision, to </w:t>
      </w:r>
      <w:proofErr w:type="gramStart"/>
      <w:r w:rsidRPr="009810A1">
        <w:rPr>
          <w:rFonts w:asciiTheme="majorBidi" w:hAnsiTheme="majorBidi" w:cstheme="majorBidi"/>
        </w:rPr>
        <w:t>conduct an assessment of</w:t>
      </w:r>
      <w:proofErr w:type="gramEnd"/>
      <w:r w:rsidRPr="009810A1">
        <w:rPr>
          <w:rFonts w:asciiTheme="majorBidi" w:hAnsiTheme="majorBidi" w:cstheme="majorBidi"/>
        </w:rPr>
        <w:t xml:space="preserve"> the damage to the environment and to develop a plan for compensatory and mitigation measures;</w:t>
      </w:r>
    </w:p>
    <w:p w14:paraId="0E675181"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13.</w:t>
      </w:r>
      <w:r w:rsidRPr="009810A1">
        <w:rPr>
          <w:rFonts w:asciiTheme="majorBidi" w:hAnsiTheme="majorBidi" w:cstheme="majorBidi"/>
        </w:rPr>
        <w:tab/>
      </w:r>
      <w:r w:rsidRPr="009810A1">
        <w:rPr>
          <w:rFonts w:asciiTheme="majorBidi" w:hAnsiTheme="majorBidi" w:cstheme="majorBidi"/>
          <w:i/>
        </w:rPr>
        <w:t>Takes note</w:t>
      </w:r>
      <w:r w:rsidRPr="009810A1">
        <w:rPr>
          <w:rFonts w:asciiTheme="majorBidi" w:hAnsiTheme="majorBidi" w:cstheme="majorBidi"/>
        </w:rPr>
        <w:t xml:space="preserve"> of Ukraine’s intention to develop a new project for </w:t>
      </w:r>
      <w:proofErr w:type="spellStart"/>
      <w:r w:rsidRPr="009810A1">
        <w:rPr>
          <w:rFonts w:asciiTheme="majorBidi" w:hAnsiTheme="majorBidi" w:cstheme="majorBidi"/>
        </w:rPr>
        <w:t>Bystroe</w:t>
      </w:r>
      <w:proofErr w:type="spellEnd"/>
      <w:r w:rsidRPr="009810A1">
        <w:rPr>
          <w:rFonts w:asciiTheme="majorBidi" w:hAnsiTheme="majorBidi" w:cstheme="majorBidi"/>
        </w:rPr>
        <w:t xml:space="preserve"> Route and to carry out a transboundary environmental impact assessment procedure according to the Convention;</w:t>
      </w:r>
    </w:p>
    <w:p w14:paraId="2CAE79B0"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14.</w:t>
      </w:r>
      <w:r w:rsidRPr="009810A1">
        <w:rPr>
          <w:rFonts w:asciiTheme="majorBidi" w:hAnsiTheme="majorBidi" w:cstheme="majorBidi"/>
        </w:rPr>
        <w:tab/>
        <w:t>Requests Ukraine to inform Romania about the Road map and to consult on its implementation;</w:t>
      </w:r>
    </w:p>
    <w:p w14:paraId="3C7F14C7"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15</w:t>
      </w:r>
      <w:r w:rsidRPr="009810A1">
        <w:rPr>
          <w:rFonts w:asciiTheme="majorBidi" w:hAnsiTheme="majorBidi" w:cstheme="majorBidi"/>
          <w:i/>
          <w:iCs/>
        </w:rPr>
        <w:t>.</w:t>
      </w:r>
      <w:r w:rsidRPr="009810A1">
        <w:rPr>
          <w:rFonts w:asciiTheme="majorBidi" w:hAnsiTheme="majorBidi" w:cstheme="majorBidi"/>
          <w:iCs/>
        </w:rPr>
        <w:tab/>
      </w:r>
      <w:r w:rsidRPr="009810A1">
        <w:rPr>
          <w:rFonts w:asciiTheme="majorBidi" w:hAnsiTheme="majorBidi" w:cstheme="majorBidi"/>
          <w:i/>
          <w:iCs/>
        </w:rPr>
        <w:t xml:space="preserve">Reiterates </w:t>
      </w:r>
      <w:r w:rsidRPr="009810A1">
        <w:rPr>
          <w:rFonts w:asciiTheme="majorBidi" w:hAnsiTheme="majorBidi" w:cstheme="majorBidi"/>
        </w:rPr>
        <w:t>its requests to the Government of Ukraine to bring the project into full compliance with the Convention without delay;</w:t>
      </w:r>
    </w:p>
    <w:p w14:paraId="724CE6D7"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16.</w:t>
      </w:r>
      <w:r w:rsidRPr="009810A1">
        <w:rPr>
          <w:rFonts w:asciiTheme="majorBidi" w:hAnsiTheme="majorBidi" w:cstheme="majorBidi"/>
        </w:rPr>
        <w:tab/>
      </w:r>
      <w:r w:rsidRPr="009810A1">
        <w:rPr>
          <w:rFonts w:asciiTheme="majorBidi" w:hAnsiTheme="majorBidi" w:cstheme="majorBidi"/>
          <w:i/>
        </w:rPr>
        <w:t>Welcomes</w:t>
      </w:r>
      <w:r w:rsidRPr="009810A1">
        <w:rPr>
          <w:rFonts w:asciiTheme="majorBidi" w:hAnsiTheme="majorBidi" w:cstheme="majorBidi"/>
        </w:rPr>
        <w:t xml:space="preserve"> the efforts undertaken by the Governments of Ukraine and Romania to further develop the bilateral agreement for improved implementation of the Convention;</w:t>
      </w:r>
    </w:p>
    <w:p w14:paraId="0B40AA10"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17.</w:t>
      </w:r>
      <w:r w:rsidRPr="009810A1">
        <w:rPr>
          <w:rFonts w:asciiTheme="majorBidi" w:hAnsiTheme="majorBidi" w:cstheme="majorBidi"/>
        </w:rPr>
        <w:tab/>
      </w:r>
      <w:r w:rsidRPr="009810A1">
        <w:rPr>
          <w:rFonts w:asciiTheme="majorBidi" w:hAnsiTheme="majorBidi" w:cstheme="majorBidi"/>
          <w:i/>
        </w:rPr>
        <w:t>Encourages</w:t>
      </w:r>
      <w:r w:rsidRPr="009810A1">
        <w:rPr>
          <w:rFonts w:asciiTheme="majorBidi" w:hAnsiTheme="majorBidi" w:cstheme="majorBidi"/>
        </w:rPr>
        <w:t xml:space="preserve"> the Governments of Ukraine and Romania to continue their cooperation in preparing a bilateral agreement or other arrangement to support further the provisions of the Convention, as set out in article 8 of the Convention;</w:t>
      </w:r>
    </w:p>
    <w:p w14:paraId="4AC8E747" w14:textId="77777777" w:rsidR="00C009D1" w:rsidRPr="009810A1" w:rsidRDefault="00C009D1" w:rsidP="00C009D1">
      <w:pPr>
        <w:pStyle w:val="SingleTxtG"/>
        <w:ind w:firstLine="567"/>
        <w:rPr>
          <w:rFonts w:asciiTheme="majorBidi" w:hAnsiTheme="majorBidi" w:cstheme="majorBidi"/>
        </w:rPr>
      </w:pPr>
      <w:r w:rsidRPr="009810A1">
        <w:rPr>
          <w:rFonts w:asciiTheme="majorBidi" w:hAnsiTheme="majorBidi" w:cstheme="majorBidi"/>
        </w:rPr>
        <w:t>18.</w:t>
      </w:r>
      <w:r w:rsidRPr="009810A1">
        <w:rPr>
          <w:rFonts w:asciiTheme="majorBidi" w:hAnsiTheme="majorBidi" w:cstheme="majorBidi"/>
        </w:rPr>
        <w:tab/>
      </w:r>
      <w:r w:rsidRPr="009810A1">
        <w:rPr>
          <w:rFonts w:asciiTheme="majorBidi" w:hAnsiTheme="majorBidi" w:cstheme="majorBidi"/>
          <w:i/>
        </w:rPr>
        <w:t>Further requests</w:t>
      </w:r>
      <w:r w:rsidRPr="009810A1">
        <w:rPr>
          <w:rFonts w:asciiTheme="majorBidi" w:hAnsiTheme="majorBidi" w:cstheme="majorBidi"/>
        </w:rPr>
        <w:t xml:space="preserve"> the Government of Ukraine to inform Romania about existing monitoring results;</w:t>
      </w:r>
    </w:p>
    <w:p w14:paraId="3D8642A4" w14:textId="3D06297F" w:rsidR="008F7BBE" w:rsidRDefault="008F7BBE" w:rsidP="008F7BBE">
      <w:pPr>
        <w:pStyle w:val="SingleTxtG"/>
        <w:ind w:firstLine="567"/>
      </w:pPr>
    </w:p>
    <w:p w14:paraId="62B76F35" w14:textId="08A9C56C" w:rsidR="00C40613" w:rsidRPr="00FA3EF8" w:rsidRDefault="009A02C4" w:rsidP="009A02C4">
      <w:pPr>
        <w:pStyle w:val="SingleTxtG"/>
        <w:jc w:val="center"/>
        <w:rPr>
          <w:u w:val="single"/>
        </w:rPr>
      </w:pPr>
      <w:r>
        <w:rPr>
          <w:u w:val="single"/>
        </w:rPr>
        <w:t>___________</w:t>
      </w:r>
    </w:p>
    <w:p w14:paraId="32323818" w14:textId="77777777" w:rsidR="00F507EC" w:rsidRPr="00743718" w:rsidRDefault="00F507EC" w:rsidP="00743718">
      <w:pPr>
        <w:suppressAutoHyphens w:val="0"/>
        <w:spacing w:line="240" w:lineRule="auto"/>
      </w:pPr>
    </w:p>
    <w:sectPr w:rsidR="00F507EC" w:rsidRPr="00743718" w:rsidSect="0074371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DF576" w14:textId="77777777" w:rsidR="00E22EA0" w:rsidRDefault="00E22EA0"/>
  </w:endnote>
  <w:endnote w:type="continuationSeparator" w:id="0">
    <w:p w14:paraId="4E7283F0" w14:textId="77777777" w:rsidR="00E22EA0" w:rsidRDefault="00E22EA0"/>
  </w:endnote>
  <w:endnote w:type="continuationNotice" w:id="1">
    <w:p w14:paraId="18C3597D" w14:textId="77777777" w:rsidR="00E22EA0" w:rsidRDefault="00E22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412A" w14:textId="313E8605" w:rsidR="002A1349" w:rsidRPr="00743718" w:rsidRDefault="002A1349" w:rsidP="00743718">
    <w:pPr>
      <w:pStyle w:val="Footer"/>
      <w:tabs>
        <w:tab w:val="right" w:pos="9638"/>
      </w:tabs>
      <w:rPr>
        <w:sz w:val="18"/>
      </w:rPr>
    </w:pPr>
    <w:r w:rsidRPr="00743718">
      <w:rPr>
        <w:b/>
        <w:sz w:val="18"/>
      </w:rPr>
      <w:fldChar w:fldCharType="begin"/>
    </w:r>
    <w:r w:rsidRPr="00743718">
      <w:rPr>
        <w:b/>
        <w:sz w:val="18"/>
      </w:rPr>
      <w:instrText xml:space="preserve"> PAGE  \* MERGEFORMAT </w:instrText>
    </w:r>
    <w:r w:rsidRPr="00743718">
      <w:rPr>
        <w:b/>
        <w:sz w:val="18"/>
      </w:rPr>
      <w:fldChar w:fldCharType="separate"/>
    </w:r>
    <w:r w:rsidR="00CD7526">
      <w:rPr>
        <w:b/>
        <w:noProof/>
        <w:sz w:val="18"/>
      </w:rPr>
      <w:t>2</w:t>
    </w:r>
    <w:r w:rsidRPr="007437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175B" w14:textId="77777777" w:rsidR="002A1349" w:rsidRPr="00743718" w:rsidRDefault="002A1349" w:rsidP="00743718">
    <w:pPr>
      <w:pStyle w:val="Footer"/>
      <w:tabs>
        <w:tab w:val="right" w:pos="9638"/>
      </w:tabs>
      <w:rPr>
        <w:b/>
        <w:sz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24B6" w14:textId="77777777" w:rsidR="00582514" w:rsidRDefault="0058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E802B" w14:textId="77777777" w:rsidR="00E22EA0" w:rsidRPr="000B175B" w:rsidRDefault="00E22EA0" w:rsidP="000B175B">
      <w:pPr>
        <w:tabs>
          <w:tab w:val="right" w:pos="2155"/>
        </w:tabs>
        <w:spacing w:after="80"/>
        <w:ind w:left="680"/>
        <w:rPr>
          <w:u w:val="single"/>
        </w:rPr>
      </w:pPr>
      <w:r>
        <w:rPr>
          <w:u w:val="single"/>
        </w:rPr>
        <w:tab/>
      </w:r>
    </w:p>
  </w:footnote>
  <w:footnote w:type="continuationSeparator" w:id="0">
    <w:p w14:paraId="1B36F4FE" w14:textId="77777777" w:rsidR="00E22EA0" w:rsidRPr="00FC68B7" w:rsidRDefault="00E22EA0" w:rsidP="00FC68B7">
      <w:pPr>
        <w:tabs>
          <w:tab w:val="left" w:pos="2155"/>
        </w:tabs>
        <w:spacing w:after="80"/>
        <w:ind w:left="680"/>
        <w:rPr>
          <w:u w:val="single"/>
        </w:rPr>
      </w:pPr>
      <w:r>
        <w:rPr>
          <w:u w:val="single"/>
        </w:rPr>
        <w:tab/>
      </w:r>
    </w:p>
  </w:footnote>
  <w:footnote w:type="continuationNotice" w:id="1">
    <w:p w14:paraId="058D779E" w14:textId="77777777" w:rsidR="00E22EA0" w:rsidRDefault="00E22EA0"/>
  </w:footnote>
  <w:footnote w:id="2">
    <w:p w14:paraId="29F24382" w14:textId="2E9786C4" w:rsidR="002A1349" w:rsidRDefault="002A1349">
      <w:pPr>
        <w:pStyle w:val="FootnoteText"/>
      </w:pPr>
      <w:r>
        <w:tab/>
      </w:r>
      <w:r>
        <w:rPr>
          <w:rStyle w:val="FootnoteReference"/>
        </w:rPr>
        <w:footnoteRef/>
      </w:r>
      <w:r>
        <w:tab/>
        <w:t>The present decision relates to</w:t>
      </w:r>
      <w:r w:rsidRPr="003F7AB6">
        <w:t xml:space="preserve"> </w:t>
      </w:r>
      <w:r w:rsidR="00C009D1">
        <w:t xml:space="preserve">the submission of Romania </w:t>
      </w:r>
      <w:r w:rsidR="00C009D1" w:rsidRPr="00C009D1">
        <w:t>having concerns about Ukraine’s compliance with its obligations under the Convention</w:t>
      </w:r>
      <w:r>
        <w:t xml:space="preserve"> (reference </w:t>
      </w:r>
      <w:r w:rsidR="00C009D1" w:rsidRPr="00C009D1">
        <w:t>EIA/IC/S/1</w:t>
      </w:r>
      <w:r>
        <w:t>)</w:t>
      </w:r>
      <w:r w:rsidRPr="003F7AB6">
        <w:t xml:space="preserve">. More information on </w:t>
      </w:r>
      <w:r w:rsidR="00C009D1">
        <w:t>submissions</w:t>
      </w:r>
      <w:r w:rsidRPr="003F7AB6">
        <w:t xml:space="preserve"> </w:t>
      </w:r>
      <w:r w:rsidR="00073BC7">
        <w:t>an</w:t>
      </w:r>
      <w:r w:rsidR="000E3F94">
        <w:t>d the follow-</w:t>
      </w:r>
      <w:r w:rsidR="00073BC7">
        <w:t xml:space="preserve">up on decisions of the Meeting of the Parties </w:t>
      </w:r>
      <w:proofErr w:type="gramStart"/>
      <w:r w:rsidR="00073BC7">
        <w:t>with regard to</w:t>
      </w:r>
      <w:proofErr w:type="gramEnd"/>
      <w:r w:rsidR="00073BC7">
        <w:t xml:space="preserve"> the submissions </w:t>
      </w:r>
      <w:r w:rsidRPr="003F7AB6">
        <w:t xml:space="preserve">can be found at </w:t>
      </w:r>
      <w:r w:rsidR="00C009D1" w:rsidRPr="00C009D1">
        <w:t>http://www.unece.org/env/eia/implementation/implementation_</w:t>
      </w:r>
      <w:r w:rsidR="00C009D1">
        <w:br/>
      </w:r>
      <w:r w:rsidR="00C009D1" w:rsidRPr="00C009D1">
        <w:t>committee_matters.html</w:t>
      </w:r>
      <w:r w:rsidRPr="003F7AB6">
        <w:t>.</w:t>
      </w:r>
      <w:r>
        <w:t xml:space="preserve"> </w:t>
      </w:r>
    </w:p>
  </w:footnote>
  <w:footnote w:id="3">
    <w:p w14:paraId="185D62DE" w14:textId="77777777" w:rsidR="00C009D1" w:rsidRPr="00132453" w:rsidRDefault="00C009D1" w:rsidP="00C009D1">
      <w:pPr>
        <w:pStyle w:val="FootnoteText"/>
      </w:pPr>
      <w:r>
        <w:tab/>
      </w:r>
      <w:r w:rsidRPr="00132453">
        <w:footnoteRef/>
      </w:r>
      <w:r w:rsidRPr="00132453">
        <w:tab/>
        <w:t>See ECE/MP.EIA/10.</w:t>
      </w:r>
    </w:p>
  </w:footnote>
  <w:footnote w:id="4">
    <w:p w14:paraId="51A68A7B" w14:textId="77777777" w:rsidR="00C009D1" w:rsidRPr="00132453" w:rsidRDefault="00C009D1" w:rsidP="00C009D1">
      <w:pPr>
        <w:pStyle w:val="FootnoteText"/>
      </w:pPr>
      <w:r>
        <w:tab/>
      </w:r>
      <w:r w:rsidRPr="00132453">
        <w:footnoteRef/>
      </w:r>
      <w:r w:rsidRPr="00132453">
        <w:tab/>
        <w:t>See ECE/MP.EIA/15.</w:t>
      </w:r>
    </w:p>
  </w:footnote>
  <w:footnote w:id="5">
    <w:p w14:paraId="7D1B747C" w14:textId="77777777" w:rsidR="00C009D1" w:rsidRPr="000F60AF" w:rsidRDefault="00C009D1" w:rsidP="00C009D1">
      <w:pPr>
        <w:pStyle w:val="FootnoteText"/>
        <w:rPr>
          <w:lang w:val="es-ES"/>
        </w:rPr>
      </w:pPr>
      <w:r>
        <w:tab/>
      </w:r>
      <w:r w:rsidRPr="00132453">
        <w:footnoteRef/>
      </w:r>
      <w:r w:rsidRPr="000F60AF">
        <w:rPr>
          <w:lang w:val="es-ES"/>
        </w:rPr>
        <w:tab/>
      </w:r>
      <w:proofErr w:type="spellStart"/>
      <w:r w:rsidRPr="000F60AF">
        <w:rPr>
          <w:lang w:val="es-ES"/>
        </w:rPr>
        <w:t>See</w:t>
      </w:r>
      <w:proofErr w:type="spellEnd"/>
      <w:r w:rsidRPr="000F60AF">
        <w:rPr>
          <w:lang w:val="es-ES"/>
        </w:rPr>
        <w:t xml:space="preserve"> ECE/MP.EIA/20/Add.1-ECE/MP.EIA/SEA/4/Add.1.</w:t>
      </w:r>
    </w:p>
  </w:footnote>
  <w:footnote w:id="6">
    <w:p w14:paraId="2150B727" w14:textId="77777777" w:rsidR="00C009D1" w:rsidRPr="00132453" w:rsidRDefault="00C009D1" w:rsidP="00C009D1">
      <w:pPr>
        <w:pStyle w:val="FootnoteText"/>
      </w:pPr>
      <w:r w:rsidRPr="000F60AF">
        <w:rPr>
          <w:lang w:val="es-ES"/>
        </w:rPr>
        <w:tab/>
      </w:r>
      <w:r w:rsidRPr="00132453">
        <w:footnoteRef/>
      </w:r>
      <w:r w:rsidRPr="000F60AF">
        <w:rPr>
          <w:lang w:val="es-ES"/>
        </w:rPr>
        <w:tab/>
      </w:r>
      <w:proofErr w:type="spellStart"/>
      <w:r w:rsidRPr="000F60AF">
        <w:rPr>
          <w:lang w:val="es-ES"/>
        </w:rPr>
        <w:t>See</w:t>
      </w:r>
      <w:proofErr w:type="spellEnd"/>
      <w:r w:rsidRPr="000F60AF">
        <w:rPr>
          <w:lang w:val="es-ES"/>
        </w:rPr>
        <w:t xml:space="preserve"> ECE/MP.EIA/23-ECE/MP.EIA/SEA/7, para. </w:t>
      </w:r>
      <w:r w:rsidRPr="00132453">
        <w:t xml:space="preserve">27. </w:t>
      </w:r>
      <w:r>
        <w:t>See also draft decision VII/2 (ECE/MP.EIA/2017/8).</w:t>
      </w:r>
    </w:p>
  </w:footnote>
  <w:footnote w:id="7">
    <w:p w14:paraId="308F219F" w14:textId="77777777" w:rsidR="00C009D1" w:rsidRPr="00BF1A34" w:rsidRDefault="00C009D1" w:rsidP="00C009D1">
      <w:pPr>
        <w:pStyle w:val="FootnoteText"/>
        <w:rPr>
          <w:lang w:val="es-ES"/>
        </w:rPr>
      </w:pPr>
      <w:r>
        <w:tab/>
      </w:r>
      <w:r w:rsidRPr="00132453">
        <w:footnoteRef/>
      </w:r>
      <w:r w:rsidRPr="00BF1A34">
        <w:rPr>
          <w:lang w:val="es-ES"/>
        </w:rPr>
        <w:tab/>
        <w:t>ECE/MP.EIA/2017/4-ECE/MP.EIA/SEA/2017/4.</w:t>
      </w:r>
    </w:p>
  </w:footnote>
  <w:footnote w:id="8">
    <w:p w14:paraId="7E098B0D" w14:textId="77777777" w:rsidR="00C009D1" w:rsidRPr="000F60AF" w:rsidRDefault="00C009D1" w:rsidP="00C009D1">
      <w:pPr>
        <w:pStyle w:val="FootnoteText"/>
        <w:rPr>
          <w:lang w:val="es-ES"/>
        </w:rPr>
      </w:pPr>
      <w:r w:rsidRPr="000F60AF">
        <w:rPr>
          <w:lang w:val="es-ES"/>
        </w:rPr>
        <w:tab/>
      </w:r>
      <w:r w:rsidRPr="00132453">
        <w:footnoteRef/>
      </w:r>
      <w:r w:rsidRPr="000F60AF">
        <w:rPr>
          <w:lang w:val="es-ES"/>
        </w:rPr>
        <w:tab/>
        <w:t xml:space="preserve">ECE/MP.EIA/IC/2017/4, paras. </w:t>
      </w:r>
      <w:r>
        <w:rPr>
          <w:lang w:val="es-ES"/>
        </w:rPr>
        <w:t>15</w:t>
      </w:r>
      <w:r w:rsidRPr="000F60AF">
        <w:rPr>
          <w:lang w:val="es-ES"/>
        </w:rPr>
        <w:t>-</w:t>
      </w:r>
      <w:r>
        <w:rPr>
          <w:lang w:val="es-ES"/>
        </w:rPr>
        <w:t>2</w:t>
      </w:r>
      <w:r w:rsidRPr="000F60AF">
        <w:rPr>
          <w:lang w:val="es-ES"/>
        </w:rPr>
        <w:t>0.</w:t>
      </w:r>
    </w:p>
  </w:footnote>
  <w:footnote w:id="9">
    <w:p w14:paraId="4F287E10" w14:textId="77777777" w:rsidR="00C009D1" w:rsidRPr="000F60AF" w:rsidRDefault="00C009D1" w:rsidP="00C009D1">
      <w:pPr>
        <w:pStyle w:val="FootnoteText"/>
        <w:rPr>
          <w:lang w:val="es-ES"/>
        </w:rPr>
      </w:pPr>
      <w:r w:rsidRPr="000F60AF">
        <w:rPr>
          <w:lang w:val="es-ES"/>
        </w:rPr>
        <w:tab/>
      </w:r>
      <w:r w:rsidRPr="00132453">
        <w:footnoteRef/>
      </w:r>
      <w:r w:rsidRPr="000F60AF">
        <w:rPr>
          <w:lang w:val="es-ES"/>
        </w:rPr>
        <w:tab/>
        <w:t xml:space="preserve">ECE/MP.EIA/IC/2017/6, paras. </w:t>
      </w:r>
      <w:r>
        <w:rPr>
          <w:lang w:val="es-ES"/>
        </w:rPr>
        <w:t>1</w:t>
      </w:r>
      <w:r w:rsidRPr="000F60AF">
        <w:rPr>
          <w:lang w:val="es-ES"/>
        </w:rPr>
        <w:t>9-2</w:t>
      </w:r>
      <w:r>
        <w:rPr>
          <w:lang w:val="es-ES"/>
        </w:rPr>
        <w:t>6</w:t>
      </w:r>
      <w:r w:rsidRPr="000F60AF">
        <w:rPr>
          <w:lang w:val="es-ES"/>
        </w:rPr>
        <w:t>.</w:t>
      </w:r>
    </w:p>
  </w:footnote>
  <w:footnote w:id="10">
    <w:p w14:paraId="5F790DE4" w14:textId="5E4B1AD1" w:rsidR="00C009D1" w:rsidRPr="00B80860" w:rsidRDefault="00C009D1" w:rsidP="00C009D1">
      <w:pPr>
        <w:pStyle w:val="FootnoteText"/>
        <w:rPr>
          <w:lang w:val="es-ES"/>
        </w:rPr>
      </w:pPr>
      <w:r w:rsidRPr="000F60AF">
        <w:rPr>
          <w:lang w:val="es-ES"/>
        </w:rPr>
        <w:tab/>
      </w:r>
      <w:r w:rsidRPr="00132453">
        <w:footnoteRef/>
      </w:r>
      <w:r w:rsidRPr="00614107">
        <w:rPr>
          <w:lang w:val="es-ES"/>
        </w:rPr>
        <w:tab/>
        <w:t>ECE/MP.EIA/IC/2018/2, paras</w:t>
      </w:r>
      <w:r w:rsidRPr="00132453">
        <w:rPr>
          <w:lang w:val="es-ES"/>
        </w:rPr>
        <w:t>.</w:t>
      </w:r>
      <w:r w:rsidRPr="00614107">
        <w:rPr>
          <w:lang w:val="es-ES"/>
        </w:rPr>
        <w:t xml:space="preserve"> </w:t>
      </w:r>
      <w:r w:rsidR="006A4B51">
        <w:rPr>
          <w:lang w:val="es-ES"/>
        </w:rPr>
        <w:t>30-39.</w:t>
      </w:r>
    </w:p>
  </w:footnote>
  <w:footnote w:id="11">
    <w:p w14:paraId="4216DB1D" w14:textId="77777777" w:rsidR="00C009D1" w:rsidRPr="00B80860" w:rsidRDefault="00C009D1" w:rsidP="00C009D1">
      <w:pPr>
        <w:pStyle w:val="FootnoteText"/>
        <w:rPr>
          <w:lang w:val="es-ES"/>
        </w:rPr>
      </w:pPr>
      <w:r w:rsidRPr="00B80860">
        <w:rPr>
          <w:lang w:val="es-ES"/>
        </w:rPr>
        <w:tab/>
      </w:r>
      <w:r w:rsidRPr="00132453">
        <w:footnoteRef/>
      </w:r>
      <w:r w:rsidRPr="00B80860">
        <w:rPr>
          <w:lang w:val="es-ES"/>
        </w:rPr>
        <w:tab/>
        <w:t>ECE/MP.EIA/2018/4, paras</w:t>
      </w:r>
      <w:r w:rsidRPr="006A4B51">
        <w:rPr>
          <w:lang w:val="es-ES"/>
        </w:rPr>
        <w:t>. […]</w:t>
      </w:r>
    </w:p>
    <w:p w14:paraId="01E0C7F9" w14:textId="77777777" w:rsidR="00C009D1" w:rsidRPr="00B80860" w:rsidRDefault="00C009D1" w:rsidP="00C009D1">
      <w:pPr>
        <w:pStyle w:val="FootnoteText"/>
        <w:rPr>
          <w:lang w:val="es-ES"/>
        </w:rPr>
      </w:pPr>
    </w:p>
  </w:footnote>
  <w:footnote w:id="12">
    <w:p w14:paraId="2764462B" w14:textId="77777777" w:rsidR="00C009D1" w:rsidRPr="00E95415" w:rsidRDefault="00C009D1" w:rsidP="00C009D1">
      <w:pPr>
        <w:pStyle w:val="FootnoteText"/>
        <w:widowControl w:val="0"/>
        <w:tabs>
          <w:tab w:val="clear" w:pos="1021"/>
          <w:tab w:val="right" w:pos="1020"/>
        </w:tabs>
        <w:rPr>
          <w:lang w:val="en-US"/>
        </w:rPr>
      </w:pPr>
      <w:r w:rsidRPr="007C7A36">
        <w:rPr>
          <w:lang w:val="es-ES"/>
        </w:rPr>
        <w:tab/>
      </w:r>
      <w:r>
        <w:rPr>
          <w:rStyle w:val="FootnoteReference"/>
        </w:rPr>
        <w:footnoteRef/>
      </w:r>
      <w:r w:rsidRPr="007C7A36">
        <w:rPr>
          <w:lang w:val="es-ES"/>
        </w:rPr>
        <w:tab/>
        <w:t xml:space="preserve">ECE/MP.EIA/IC/2016/4, para. </w:t>
      </w:r>
      <w:r>
        <w:t xml:space="preserve">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0363" w14:textId="10A8DE3F" w:rsidR="002A1349" w:rsidRPr="00582514" w:rsidRDefault="00582514" w:rsidP="00582514">
    <w:pPr>
      <w:pStyle w:val="Header"/>
    </w:pPr>
    <w:r>
      <w:t>ECE/MP.EIA/WG.2/2018/INF.4f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7D22" w14:textId="77777777" w:rsidR="00CD7526" w:rsidRPr="00582514" w:rsidRDefault="00CD7526" w:rsidP="00CD7526">
    <w:pPr>
      <w:pStyle w:val="Header"/>
      <w:jc w:val="right"/>
    </w:pPr>
    <w:r>
      <w:t>ECE/MP.EIA/WG.2/2018/INF.4f</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4"/>
      <w:gridCol w:w="2839"/>
    </w:tblGrid>
    <w:tr w:rsidR="002A1349" w:rsidRPr="006C2CE6" w14:paraId="079ACF04" w14:textId="77777777" w:rsidTr="002A1349">
      <w:trPr>
        <w:cantSplit/>
        <w:trHeight w:hRule="exact" w:val="958"/>
      </w:trPr>
      <w:tc>
        <w:tcPr>
          <w:tcW w:w="1276" w:type="dxa"/>
          <w:tcBorders>
            <w:bottom w:val="single" w:sz="4" w:space="0" w:color="auto"/>
          </w:tcBorders>
          <w:shd w:val="clear" w:color="auto" w:fill="auto"/>
          <w:vAlign w:val="bottom"/>
        </w:tcPr>
        <w:p w14:paraId="2F34A8AE" w14:textId="77777777" w:rsidR="002A1349" w:rsidRPr="00C4337F" w:rsidRDefault="002A1349" w:rsidP="00ED43E5">
          <w:pPr>
            <w:spacing w:after="80"/>
            <w:rPr>
              <w:b/>
              <w:sz w:val="24"/>
              <w:szCs w:val="24"/>
            </w:rPr>
          </w:pPr>
        </w:p>
      </w:tc>
      <w:tc>
        <w:tcPr>
          <w:tcW w:w="5524" w:type="dxa"/>
          <w:tcBorders>
            <w:bottom w:val="single" w:sz="4" w:space="0" w:color="auto"/>
          </w:tcBorders>
          <w:shd w:val="clear" w:color="auto" w:fill="auto"/>
          <w:vAlign w:val="bottom"/>
        </w:tcPr>
        <w:p w14:paraId="1237F92D" w14:textId="77777777" w:rsidR="002A1349" w:rsidRPr="00C4337F" w:rsidRDefault="002A1349" w:rsidP="00ED43E5">
          <w:pPr>
            <w:spacing w:after="80" w:line="240" w:lineRule="auto"/>
            <w:rPr>
              <w:b/>
              <w:sz w:val="44"/>
              <w:szCs w:val="44"/>
            </w:rPr>
          </w:pPr>
        </w:p>
      </w:tc>
      <w:tc>
        <w:tcPr>
          <w:tcW w:w="2839" w:type="dxa"/>
          <w:tcBorders>
            <w:bottom w:val="single" w:sz="4" w:space="0" w:color="auto"/>
          </w:tcBorders>
          <w:shd w:val="clear" w:color="auto" w:fill="auto"/>
        </w:tcPr>
        <w:p w14:paraId="085EDE49" w14:textId="77777777" w:rsidR="002A1349" w:rsidRPr="007E2BBC" w:rsidRDefault="002A1349" w:rsidP="00313C8E">
          <w:pPr>
            <w:spacing w:line="240" w:lineRule="exact"/>
          </w:pPr>
        </w:p>
        <w:p w14:paraId="0CBEAEC9" w14:textId="6B45C6E4" w:rsidR="002A1349" w:rsidRPr="006C2CE6" w:rsidRDefault="006C1115" w:rsidP="00CE7736">
          <w:pPr>
            <w:spacing w:line="240" w:lineRule="exact"/>
          </w:pPr>
          <w:r w:rsidRPr="007E2BBC">
            <w:t>ECE/MP.EIA/WG.2/2018/INF</w:t>
          </w:r>
          <w:r w:rsidRPr="006C2CE6">
            <w:t>.4</w:t>
          </w:r>
          <w:r w:rsidR="00CE7736" w:rsidRPr="006C2CE6">
            <w:t>.</w:t>
          </w:r>
          <w:r w:rsidR="00F97E67">
            <w:t>f</w:t>
          </w:r>
        </w:p>
        <w:p w14:paraId="3CEDBDE5" w14:textId="0B3C8DDD" w:rsidR="00B61EDD" w:rsidRPr="006C2CE6" w:rsidRDefault="00B61EDD" w:rsidP="007E2BBC">
          <w:pPr>
            <w:spacing w:line="240" w:lineRule="exact"/>
            <w:jc w:val="right"/>
            <w:rPr>
              <w:sz w:val="40"/>
            </w:rPr>
          </w:pPr>
          <w:r w:rsidRPr="006C2CE6">
            <w:t xml:space="preserve">English only </w:t>
          </w:r>
          <w:r w:rsidRPr="006C2CE6">
            <w:br/>
            <w:t xml:space="preserve"> </w:t>
          </w:r>
          <w:r w:rsidR="007E2BBC" w:rsidRPr="006C2CE6">
            <w:t>23</w:t>
          </w:r>
          <w:r w:rsidRPr="006C2CE6">
            <w:t>April 2018</w:t>
          </w:r>
        </w:p>
      </w:tc>
    </w:tr>
  </w:tbl>
  <w:p w14:paraId="5904713E" w14:textId="77777777" w:rsidR="002A1349" w:rsidRPr="00ED43E5" w:rsidRDefault="002A1349" w:rsidP="00ED43E5">
    <w:pPr>
      <w:pStyle w:val="Header"/>
      <w:pBdr>
        <w:bottom w:val="none" w:sz="0" w:space="0" w:color="auto"/>
      </w:pBd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18"/>
    <w:rsid w:val="00002A7D"/>
    <w:rsid w:val="000038A8"/>
    <w:rsid w:val="00006790"/>
    <w:rsid w:val="00015F3D"/>
    <w:rsid w:val="00026F24"/>
    <w:rsid w:val="00027624"/>
    <w:rsid w:val="000340C3"/>
    <w:rsid w:val="00050F6B"/>
    <w:rsid w:val="000678CD"/>
    <w:rsid w:val="00072B2F"/>
    <w:rsid w:val="00072C8C"/>
    <w:rsid w:val="00073BC7"/>
    <w:rsid w:val="00081CE0"/>
    <w:rsid w:val="00083BD9"/>
    <w:rsid w:val="00083C30"/>
    <w:rsid w:val="00084D30"/>
    <w:rsid w:val="00090320"/>
    <w:rsid w:val="00090B5B"/>
    <w:rsid w:val="000931C0"/>
    <w:rsid w:val="00097A33"/>
    <w:rsid w:val="000A0CAD"/>
    <w:rsid w:val="000A2E09"/>
    <w:rsid w:val="000A6708"/>
    <w:rsid w:val="000B175B"/>
    <w:rsid w:val="000B2FB2"/>
    <w:rsid w:val="000B3A0F"/>
    <w:rsid w:val="000B5B1D"/>
    <w:rsid w:val="000C3827"/>
    <w:rsid w:val="000C4882"/>
    <w:rsid w:val="000D5AB1"/>
    <w:rsid w:val="000E0415"/>
    <w:rsid w:val="000E125A"/>
    <w:rsid w:val="000E3B41"/>
    <w:rsid w:val="000E3F94"/>
    <w:rsid w:val="000F0386"/>
    <w:rsid w:val="000F7715"/>
    <w:rsid w:val="00115C39"/>
    <w:rsid w:val="00124384"/>
    <w:rsid w:val="00132453"/>
    <w:rsid w:val="001336B4"/>
    <w:rsid w:val="00155D22"/>
    <w:rsid w:val="00156B99"/>
    <w:rsid w:val="00160F8C"/>
    <w:rsid w:val="00166124"/>
    <w:rsid w:val="00166771"/>
    <w:rsid w:val="00184DDA"/>
    <w:rsid w:val="00186755"/>
    <w:rsid w:val="001900CD"/>
    <w:rsid w:val="001968D0"/>
    <w:rsid w:val="001A0452"/>
    <w:rsid w:val="001B4B04"/>
    <w:rsid w:val="001B5875"/>
    <w:rsid w:val="001C49DA"/>
    <w:rsid w:val="001C4A8C"/>
    <w:rsid w:val="001C4B9C"/>
    <w:rsid w:val="001C6663"/>
    <w:rsid w:val="001C7895"/>
    <w:rsid w:val="001D26DF"/>
    <w:rsid w:val="001D3B22"/>
    <w:rsid w:val="001D44D0"/>
    <w:rsid w:val="001D47A3"/>
    <w:rsid w:val="001F0E08"/>
    <w:rsid w:val="001F1599"/>
    <w:rsid w:val="001F19C4"/>
    <w:rsid w:val="002043F0"/>
    <w:rsid w:val="002059C0"/>
    <w:rsid w:val="00211E0B"/>
    <w:rsid w:val="00221CD0"/>
    <w:rsid w:val="00232575"/>
    <w:rsid w:val="0023722A"/>
    <w:rsid w:val="00247258"/>
    <w:rsid w:val="00257CAC"/>
    <w:rsid w:val="0027237A"/>
    <w:rsid w:val="0028279F"/>
    <w:rsid w:val="002974E9"/>
    <w:rsid w:val="002A1349"/>
    <w:rsid w:val="002A4226"/>
    <w:rsid w:val="002A7F94"/>
    <w:rsid w:val="002B109A"/>
    <w:rsid w:val="002C6D45"/>
    <w:rsid w:val="002D6E53"/>
    <w:rsid w:val="002E3487"/>
    <w:rsid w:val="002F046D"/>
    <w:rsid w:val="00301764"/>
    <w:rsid w:val="00313C8E"/>
    <w:rsid w:val="0031411D"/>
    <w:rsid w:val="003175DA"/>
    <w:rsid w:val="003229D8"/>
    <w:rsid w:val="00332C4F"/>
    <w:rsid w:val="00333B62"/>
    <w:rsid w:val="00336C97"/>
    <w:rsid w:val="00337F88"/>
    <w:rsid w:val="00342432"/>
    <w:rsid w:val="003429A5"/>
    <w:rsid w:val="0035223F"/>
    <w:rsid w:val="00352D4B"/>
    <w:rsid w:val="0035638C"/>
    <w:rsid w:val="003630A0"/>
    <w:rsid w:val="003672C4"/>
    <w:rsid w:val="003826AD"/>
    <w:rsid w:val="00396A10"/>
    <w:rsid w:val="003A0C5B"/>
    <w:rsid w:val="003A3EE7"/>
    <w:rsid w:val="003A46BB"/>
    <w:rsid w:val="003A4EC7"/>
    <w:rsid w:val="003A7295"/>
    <w:rsid w:val="003B1F60"/>
    <w:rsid w:val="003C2CC4"/>
    <w:rsid w:val="003D4B23"/>
    <w:rsid w:val="003E278A"/>
    <w:rsid w:val="003E3358"/>
    <w:rsid w:val="003E7D7A"/>
    <w:rsid w:val="003F7AB6"/>
    <w:rsid w:val="004129A5"/>
    <w:rsid w:val="00413520"/>
    <w:rsid w:val="0041745D"/>
    <w:rsid w:val="004325CB"/>
    <w:rsid w:val="00440A07"/>
    <w:rsid w:val="00453553"/>
    <w:rsid w:val="00455D4F"/>
    <w:rsid w:val="00460B47"/>
    <w:rsid w:val="00462880"/>
    <w:rsid w:val="00463B6C"/>
    <w:rsid w:val="00476F24"/>
    <w:rsid w:val="00485F0D"/>
    <w:rsid w:val="004959D5"/>
    <w:rsid w:val="004C4157"/>
    <w:rsid w:val="004C55B0"/>
    <w:rsid w:val="004D6423"/>
    <w:rsid w:val="004E7F09"/>
    <w:rsid w:val="004F3E71"/>
    <w:rsid w:val="004F6BA0"/>
    <w:rsid w:val="00503BEA"/>
    <w:rsid w:val="00511975"/>
    <w:rsid w:val="00513B50"/>
    <w:rsid w:val="0052068C"/>
    <w:rsid w:val="00533616"/>
    <w:rsid w:val="00535ABA"/>
    <w:rsid w:val="0053768B"/>
    <w:rsid w:val="005420F2"/>
    <w:rsid w:val="0054285C"/>
    <w:rsid w:val="005463A0"/>
    <w:rsid w:val="00550F25"/>
    <w:rsid w:val="00562F21"/>
    <w:rsid w:val="00565EFF"/>
    <w:rsid w:val="00582514"/>
    <w:rsid w:val="00584173"/>
    <w:rsid w:val="00586506"/>
    <w:rsid w:val="005918CE"/>
    <w:rsid w:val="00592A01"/>
    <w:rsid w:val="00595520"/>
    <w:rsid w:val="005958CE"/>
    <w:rsid w:val="005A44B9"/>
    <w:rsid w:val="005B1BA0"/>
    <w:rsid w:val="005B2853"/>
    <w:rsid w:val="005B3DB3"/>
    <w:rsid w:val="005C2A5E"/>
    <w:rsid w:val="005C5121"/>
    <w:rsid w:val="005D15CA"/>
    <w:rsid w:val="005D3403"/>
    <w:rsid w:val="005E2396"/>
    <w:rsid w:val="005F3066"/>
    <w:rsid w:val="005F3E61"/>
    <w:rsid w:val="005F4563"/>
    <w:rsid w:val="00604DDD"/>
    <w:rsid w:val="006115CC"/>
    <w:rsid w:val="00611FC4"/>
    <w:rsid w:val="00614107"/>
    <w:rsid w:val="006176FB"/>
    <w:rsid w:val="006266AD"/>
    <w:rsid w:val="00630FCB"/>
    <w:rsid w:val="006323A8"/>
    <w:rsid w:val="00636368"/>
    <w:rsid w:val="00640B26"/>
    <w:rsid w:val="00653803"/>
    <w:rsid w:val="00660146"/>
    <w:rsid w:val="00662C14"/>
    <w:rsid w:val="00666F7F"/>
    <w:rsid w:val="006755A0"/>
    <w:rsid w:val="006770B2"/>
    <w:rsid w:val="00683DB6"/>
    <w:rsid w:val="006940E1"/>
    <w:rsid w:val="006A3C72"/>
    <w:rsid w:val="006A4B51"/>
    <w:rsid w:val="006A7392"/>
    <w:rsid w:val="006B03A1"/>
    <w:rsid w:val="006B0865"/>
    <w:rsid w:val="006B4C5B"/>
    <w:rsid w:val="006B67D9"/>
    <w:rsid w:val="006C1115"/>
    <w:rsid w:val="006C138B"/>
    <w:rsid w:val="006C2CE6"/>
    <w:rsid w:val="006C5535"/>
    <w:rsid w:val="006D0589"/>
    <w:rsid w:val="006D1A5D"/>
    <w:rsid w:val="006E0C15"/>
    <w:rsid w:val="006E4DA8"/>
    <w:rsid w:val="006E564B"/>
    <w:rsid w:val="006E7154"/>
    <w:rsid w:val="006F49AF"/>
    <w:rsid w:val="006F7DDC"/>
    <w:rsid w:val="007003CD"/>
    <w:rsid w:val="0070701E"/>
    <w:rsid w:val="00711210"/>
    <w:rsid w:val="0072632A"/>
    <w:rsid w:val="00730550"/>
    <w:rsid w:val="00732802"/>
    <w:rsid w:val="007358E8"/>
    <w:rsid w:val="00736ECE"/>
    <w:rsid w:val="00743718"/>
    <w:rsid w:val="00743FA0"/>
    <w:rsid w:val="0074533B"/>
    <w:rsid w:val="007643BC"/>
    <w:rsid w:val="00774894"/>
    <w:rsid w:val="007752E9"/>
    <w:rsid w:val="00776839"/>
    <w:rsid w:val="007841BF"/>
    <w:rsid w:val="00786992"/>
    <w:rsid w:val="007959FE"/>
    <w:rsid w:val="007A0CF1"/>
    <w:rsid w:val="007A1642"/>
    <w:rsid w:val="007A7470"/>
    <w:rsid w:val="007A74D1"/>
    <w:rsid w:val="007B6BA5"/>
    <w:rsid w:val="007C3390"/>
    <w:rsid w:val="007C3ADF"/>
    <w:rsid w:val="007C42D8"/>
    <w:rsid w:val="007C4F4B"/>
    <w:rsid w:val="007D0469"/>
    <w:rsid w:val="007D2087"/>
    <w:rsid w:val="007D7362"/>
    <w:rsid w:val="007E2BBC"/>
    <w:rsid w:val="007F0D5A"/>
    <w:rsid w:val="007F3715"/>
    <w:rsid w:val="007F5CE2"/>
    <w:rsid w:val="007F6611"/>
    <w:rsid w:val="00810BAC"/>
    <w:rsid w:val="008175E9"/>
    <w:rsid w:val="0082234B"/>
    <w:rsid w:val="008242D7"/>
    <w:rsid w:val="0082577B"/>
    <w:rsid w:val="00826BDB"/>
    <w:rsid w:val="008467FE"/>
    <w:rsid w:val="008615D3"/>
    <w:rsid w:val="00864D49"/>
    <w:rsid w:val="008665FE"/>
    <w:rsid w:val="00866893"/>
    <w:rsid w:val="00866F02"/>
    <w:rsid w:val="00867D18"/>
    <w:rsid w:val="00871F9A"/>
    <w:rsid w:val="00871FD5"/>
    <w:rsid w:val="0088172E"/>
    <w:rsid w:val="00881EFA"/>
    <w:rsid w:val="0088771D"/>
    <w:rsid w:val="008879CB"/>
    <w:rsid w:val="008979B1"/>
    <w:rsid w:val="008A6B25"/>
    <w:rsid w:val="008A6C4F"/>
    <w:rsid w:val="008B02E6"/>
    <w:rsid w:val="008B389E"/>
    <w:rsid w:val="008B4C5F"/>
    <w:rsid w:val="008C64C6"/>
    <w:rsid w:val="008D045E"/>
    <w:rsid w:val="008D3314"/>
    <w:rsid w:val="008D3F25"/>
    <w:rsid w:val="008D4D82"/>
    <w:rsid w:val="008D6BA2"/>
    <w:rsid w:val="008E0E46"/>
    <w:rsid w:val="008E4E8A"/>
    <w:rsid w:val="008E7116"/>
    <w:rsid w:val="008F143B"/>
    <w:rsid w:val="008F3882"/>
    <w:rsid w:val="008F4B7C"/>
    <w:rsid w:val="008F797C"/>
    <w:rsid w:val="008F7BBE"/>
    <w:rsid w:val="009250D9"/>
    <w:rsid w:val="00926E47"/>
    <w:rsid w:val="0092711D"/>
    <w:rsid w:val="009278BA"/>
    <w:rsid w:val="00947162"/>
    <w:rsid w:val="00957A5B"/>
    <w:rsid w:val="00957F35"/>
    <w:rsid w:val="009610D0"/>
    <w:rsid w:val="0096375C"/>
    <w:rsid w:val="00965B3F"/>
    <w:rsid w:val="009662E6"/>
    <w:rsid w:val="0097095E"/>
    <w:rsid w:val="00973289"/>
    <w:rsid w:val="00974065"/>
    <w:rsid w:val="0097584F"/>
    <w:rsid w:val="0098592B"/>
    <w:rsid w:val="00985FC4"/>
    <w:rsid w:val="009876D0"/>
    <w:rsid w:val="00990766"/>
    <w:rsid w:val="00991261"/>
    <w:rsid w:val="009964C4"/>
    <w:rsid w:val="009A02C4"/>
    <w:rsid w:val="009A7B81"/>
    <w:rsid w:val="009B059A"/>
    <w:rsid w:val="009C0CFA"/>
    <w:rsid w:val="009D01C0"/>
    <w:rsid w:val="009D6A08"/>
    <w:rsid w:val="009E0A16"/>
    <w:rsid w:val="009E6CB7"/>
    <w:rsid w:val="009E7970"/>
    <w:rsid w:val="009F1C38"/>
    <w:rsid w:val="009F2EAC"/>
    <w:rsid w:val="009F57E3"/>
    <w:rsid w:val="00A04C9D"/>
    <w:rsid w:val="00A10F4F"/>
    <w:rsid w:val="00A11067"/>
    <w:rsid w:val="00A1704A"/>
    <w:rsid w:val="00A21A6F"/>
    <w:rsid w:val="00A22A43"/>
    <w:rsid w:val="00A2472C"/>
    <w:rsid w:val="00A35706"/>
    <w:rsid w:val="00A373FB"/>
    <w:rsid w:val="00A40189"/>
    <w:rsid w:val="00A4078D"/>
    <w:rsid w:val="00A425EB"/>
    <w:rsid w:val="00A43419"/>
    <w:rsid w:val="00A47A15"/>
    <w:rsid w:val="00A50C7C"/>
    <w:rsid w:val="00A56095"/>
    <w:rsid w:val="00A623D3"/>
    <w:rsid w:val="00A72F22"/>
    <w:rsid w:val="00A733BC"/>
    <w:rsid w:val="00A748A6"/>
    <w:rsid w:val="00A76A69"/>
    <w:rsid w:val="00A879A4"/>
    <w:rsid w:val="00AA0FF8"/>
    <w:rsid w:val="00AA7F8B"/>
    <w:rsid w:val="00AC0F2C"/>
    <w:rsid w:val="00AC502A"/>
    <w:rsid w:val="00AD3767"/>
    <w:rsid w:val="00AD3D61"/>
    <w:rsid w:val="00AD7B15"/>
    <w:rsid w:val="00AE1B02"/>
    <w:rsid w:val="00AF0FB4"/>
    <w:rsid w:val="00AF58C1"/>
    <w:rsid w:val="00AF75D5"/>
    <w:rsid w:val="00B033C9"/>
    <w:rsid w:val="00B03634"/>
    <w:rsid w:val="00B04A3F"/>
    <w:rsid w:val="00B05190"/>
    <w:rsid w:val="00B06643"/>
    <w:rsid w:val="00B15055"/>
    <w:rsid w:val="00B2426C"/>
    <w:rsid w:val="00B30179"/>
    <w:rsid w:val="00B33185"/>
    <w:rsid w:val="00B36272"/>
    <w:rsid w:val="00B37B15"/>
    <w:rsid w:val="00B43AA8"/>
    <w:rsid w:val="00B45C02"/>
    <w:rsid w:val="00B61EDD"/>
    <w:rsid w:val="00B678B7"/>
    <w:rsid w:val="00B72A1E"/>
    <w:rsid w:val="00B7317B"/>
    <w:rsid w:val="00B81E12"/>
    <w:rsid w:val="00B82DDF"/>
    <w:rsid w:val="00BA23AA"/>
    <w:rsid w:val="00BA339B"/>
    <w:rsid w:val="00BC1E7E"/>
    <w:rsid w:val="00BC5035"/>
    <w:rsid w:val="00BC70FB"/>
    <w:rsid w:val="00BC74E9"/>
    <w:rsid w:val="00BC7F91"/>
    <w:rsid w:val="00BD5B70"/>
    <w:rsid w:val="00BE0B4B"/>
    <w:rsid w:val="00BE36A9"/>
    <w:rsid w:val="00BE5FAF"/>
    <w:rsid w:val="00BE618E"/>
    <w:rsid w:val="00BE7BEC"/>
    <w:rsid w:val="00BF0A5A"/>
    <w:rsid w:val="00BF0E63"/>
    <w:rsid w:val="00BF12A3"/>
    <w:rsid w:val="00BF16D7"/>
    <w:rsid w:val="00BF1A34"/>
    <w:rsid w:val="00BF2373"/>
    <w:rsid w:val="00C009D1"/>
    <w:rsid w:val="00C044E2"/>
    <w:rsid w:val="00C048CB"/>
    <w:rsid w:val="00C066F3"/>
    <w:rsid w:val="00C31458"/>
    <w:rsid w:val="00C4008E"/>
    <w:rsid w:val="00C40613"/>
    <w:rsid w:val="00C463DD"/>
    <w:rsid w:val="00C52BCD"/>
    <w:rsid w:val="00C745C3"/>
    <w:rsid w:val="00C84344"/>
    <w:rsid w:val="00C97F32"/>
    <w:rsid w:val="00CA080F"/>
    <w:rsid w:val="00CA24A4"/>
    <w:rsid w:val="00CB02BE"/>
    <w:rsid w:val="00CB348D"/>
    <w:rsid w:val="00CB3CC7"/>
    <w:rsid w:val="00CB71F8"/>
    <w:rsid w:val="00CD46F5"/>
    <w:rsid w:val="00CD7526"/>
    <w:rsid w:val="00CE4A8F"/>
    <w:rsid w:val="00CE7736"/>
    <w:rsid w:val="00CF071D"/>
    <w:rsid w:val="00D038CE"/>
    <w:rsid w:val="00D15615"/>
    <w:rsid w:val="00D15B04"/>
    <w:rsid w:val="00D2031B"/>
    <w:rsid w:val="00D2528F"/>
    <w:rsid w:val="00D25FE2"/>
    <w:rsid w:val="00D37DA9"/>
    <w:rsid w:val="00D406A7"/>
    <w:rsid w:val="00D43252"/>
    <w:rsid w:val="00D44D86"/>
    <w:rsid w:val="00D50B7D"/>
    <w:rsid w:val="00D52012"/>
    <w:rsid w:val="00D53124"/>
    <w:rsid w:val="00D54925"/>
    <w:rsid w:val="00D56701"/>
    <w:rsid w:val="00D56CCD"/>
    <w:rsid w:val="00D704E5"/>
    <w:rsid w:val="00D711E9"/>
    <w:rsid w:val="00D72727"/>
    <w:rsid w:val="00D83DF8"/>
    <w:rsid w:val="00D9592B"/>
    <w:rsid w:val="00D978C6"/>
    <w:rsid w:val="00DA0956"/>
    <w:rsid w:val="00DA1DFB"/>
    <w:rsid w:val="00DA357F"/>
    <w:rsid w:val="00DA3E12"/>
    <w:rsid w:val="00DC18AD"/>
    <w:rsid w:val="00DC5CB9"/>
    <w:rsid w:val="00DD7BF2"/>
    <w:rsid w:val="00DF25AE"/>
    <w:rsid w:val="00DF3555"/>
    <w:rsid w:val="00DF7C68"/>
    <w:rsid w:val="00DF7CAE"/>
    <w:rsid w:val="00E02668"/>
    <w:rsid w:val="00E22EA0"/>
    <w:rsid w:val="00E231EC"/>
    <w:rsid w:val="00E308E1"/>
    <w:rsid w:val="00E30E74"/>
    <w:rsid w:val="00E31B4F"/>
    <w:rsid w:val="00E33E74"/>
    <w:rsid w:val="00E34F1E"/>
    <w:rsid w:val="00E42352"/>
    <w:rsid w:val="00E423C0"/>
    <w:rsid w:val="00E5186C"/>
    <w:rsid w:val="00E53B85"/>
    <w:rsid w:val="00E6414C"/>
    <w:rsid w:val="00E7260F"/>
    <w:rsid w:val="00E73541"/>
    <w:rsid w:val="00E8198D"/>
    <w:rsid w:val="00E8274B"/>
    <w:rsid w:val="00E8702D"/>
    <w:rsid w:val="00E916A9"/>
    <w:rsid w:val="00E916DE"/>
    <w:rsid w:val="00E925AD"/>
    <w:rsid w:val="00E96630"/>
    <w:rsid w:val="00E97EF9"/>
    <w:rsid w:val="00EA4364"/>
    <w:rsid w:val="00EC1968"/>
    <w:rsid w:val="00ED18DC"/>
    <w:rsid w:val="00ED3E57"/>
    <w:rsid w:val="00ED43E5"/>
    <w:rsid w:val="00ED6201"/>
    <w:rsid w:val="00ED7A2A"/>
    <w:rsid w:val="00EF1D7F"/>
    <w:rsid w:val="00EF5518"/>
    <w:rsid w:val="00EF73D5"/>
    <w:rsid w:val="00F0137E"/>
    <w:rsid w:val="00F03258"/>
    <w:rsid w:val="00F06CDC"/>
    <w:rsid w:val="00F12B9B"/>
    <w:rsid w:val="00F21786"/>
    <w:rsid w:val="00F2559E"/>
    <w:rsid w:val="00F26A10"/>
    <w:rsid w:val="00F348C3"/>
    <w:rsid w:val="00F3742B"/>
    <w:rsid w:val="00F41FDB"/>
    <w:rsid w:val="00F507EC"/>
    <w:rsid w:val="00F55399"/>
    <w:rsid w:val="00F56D63"/>
    <w:rsid w:val="00F609A9"/>
    <w:rsid w:val="00F636D5"/>
    <w:rsid w:val="00F669E0"/>
    <w:rsid w:val="00F80C99"/>
    <w:rsid w:val="00F867EC"/>
    <w:rsid w:val="00F91B2B"/>
    <w:rsid w:val="00F97E67"/>
    <w:rsid w:val="00FA3EF8"/>
    <w:rsid w:val="00FC0186"/>
    <w:rsid w:val="00FC03CD"/>
    <w:rsid w:val="00FC0646"/>
    <w:rsid w:val="00FC68B7"/>
    <w:rsid w:val="00FC7FFE"/>
    <w:rsid w:val="00FD6AFC"/>
    <w:rsid w:val="00FE0A28"/>
    <w:rsid w:val="00FE3D1F"/>
    <w:rsid w:val="00FE4493"/>
    <w:rsid w:val="00FE6985"/>
    <w:rsid w:val="00FF5D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FF5AFC"/>
  <w15:docId w15:val="{90B2B51B-4F88-4448-8A8D-BC29F5A5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rsid w:val="00C40613"/>
    <w:rPr>
      <w:sz w:val="18"/>
      <w:lang w:eastAsia="en-US"/>
    </w:rPr>
  </w:style>
  <w:style w:type="character" w:customStyle="1" w:styleId="SingleTxtGChar">
    <w:name w:val="_ Single Txt_G Char"/>
    <w:link w:val="SingleTxtG"/>
    <w:rsid w:val="00C40613"/>
    <w:rPr>
      <w:lang w:eastAsia="en-US"/>
    </w:rPr>
  </w:style>
  <w:style w:type="character" w:styleId="CommentReference">
    <w:name w:val="annotation reference"/>
    <w:basedOn w:val="DefaultParagraphFont"/>
    <w:semiHidden/>
    <w:unhideWhenUsed/>
    <w:rsid w:val="00C40613"/>
    <w:rPr>
      <w:sz w:val="16"/>
      <w:szCs w:val="16"/>
    </w:rPr>
  </w:style>
  <w:style w:type="paragraph" w:styleId="CommentText">
    <w:name w:val="annotation text"/>
    <w:basedOn w:val="Normal"/>
    <w:link w:val="CommentTextChar"/>
    <w:uiPriority w:val="99"/>
    <w:semiHidden/>
    <w:unhideWhenUsed/>
    <w:rsid w:val="00C40613"/>
    <w:pPr>
      <w:spacing w:line="240" w:lineRule="auto"/>
    </w:pPr>
  </w:style>
  <w:style w:type="character" w:customStyle="1" w:styleId="CommentTextChar">
    <w:name w:val="Comment Text Char"/>
    <w:basedOn w:val="DefaultParagraphFont"/>
    <w:link w:val="CommentText"/>
    <w:uiPriority w:val="99"/>
    <w:semiHidden/>
    <w:rsid w:val="00C40613"/>
    <w:rPr>
      <w:lang w:eastAsia="en-US"/>
    </w:rPr>
  </w:style>
  <w:style w:type="paragraph" w:styleId="BalloonText">
    <w:name w:val="Balloon Text"/>
    <w:basedOn w:val="Normal"/>
    <w:link w:val="BalloonTextChar"/>
    <w:semiHidden/>
    <w:unhideWhenUsed/>
    <w:rsid w:val="00C406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0613"/>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D3E57"/>
    <w:rPr>
      <w:b/>
      <w:bCs/>
    </w:rPr>
  </w:style>
  <w:style w:type="character" w:customStyle="1" w:styleId="CommentSubjectChar">
    <w:name w:val="Comment Subject Char"/>
    <w:basedOn w:val="CommentTextChar"/>
    <w:link w:val="CommentSubject"/>
    <w:semiHidden/>
    <w:rsid w:val="00ED3E57"/>
    <w:rPr>
      <w:b/>
      <w:bCs/>
      <w:lang w:eastAsia="en-US"/>
    </w:rPr>
  </w:style>
  <w:style w:type="paragraph" w:styleId="Revision">
    <w:name w:val="Revision"/>
    <w:hidden/>
    <w:uiPriority w:val="99"/>
    <w:semiHidden/>
    <w:rsid w:val="00ED3E57"/>
    <w:rPr>
      <w:lang w:eastAsia="en-US"/>
    </w:rPr>
  </w:style>
  <w:style w:type="character" w:customStyle="1" w:styleId="HChGChar">
    <w:name w:val="_ H _Ch_G Char"/>
    <w:link w:val="HChG"/>
    <w:rsid w:val="006C1115"/>
    <w:rPr>
      <w:b/>
      <w:sz w:val="28"/>
      <w:lang w:eastAsia="en-US"/>
    </w:rPr>
  </w:style>
  <w:style w:type="character" w:styleId="UnresolvedMention">
    <w:name w:val="Unresolved Mention"/>
    <w:basedOn w:val="DefaultParagraphFont"/>
    <w:uiPriority w:val="99"/>
    <w:semiHidden/>
    <w:unhideWhenUsed/>
    <w:rsid w:val="00C009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4A04-EC08-45A9-BF5B-49D00164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3</Pages>
  <Words>1022</Words>
  <Characters>5717</Characters>
  <Application>Microsoft Office Word</Application>
  <DocSecurity>0</DocSecurity>
  <Lines>124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Elena Santer</cp:lastModifiedBy>
  <cp:revision>6</cp:revision>
  <cp:lastPrinted>2009-02-18T09:36:00Z</cp:lastPrinted>
  <dcterms:created xsi:type="dcterms:W3CDTF">2018-04-23T17:01:00Z</dcterms:created>
  <dcterms:modified xsi:type="dcterms:W3CDTF">2018-04-24T12:00:00Z</dcterms:modified>
</cp:coreProperties>
</file>