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08" w:rsidRPr="007B7A39" w:rsidRDefault="009C5608" w:rsidP="009C5608">
      <w:pPr>
        <w:rPr>
          <w:b/>
          <w:sz w:val="24"/>
          <w:szCs w:val="24"/>
        </w:rPr>
      </w:pPr>
      <w:r w:rsidRPr="007B7A39">
        <w:rPr>
          <w:b/>
          <w:sz w:val="24"/>
          <w:szCs w:val="24"/>
        </w:rPr>
        <w:t>Economic Commission for Europe</w:t>
      </w:r>
    </w:p>
    <w:p w:rsidR="009C5608" w:rsidRPr="007B7A39" w:rsidRDefault="009C5608" w:rsidP="009C5608">
      <w:pPr>
        <w:spacing w:line="240" w:lineRule="auto"/>
        <w:rPr>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w:t>
      </w:r>
      <w:r w:rsidRPr="007B7A39">
        <w:rPr>
          <w:bCs/>
          <w:sz w:val="24"/>
          <w:szCs w:val="24"/>
        </w:rPr>
        <w:br/>
        <w:t>in a Transboundary Context</w:t>
      </w:r>
      <w:r>
        <w:rPr>
          <w:bCs/>
          <w:sz w:val="24"/>
          <w:szCs w:val="24"/>
        </w:rPr>
        <w:br/>
      </w:r>
    </w:p>
    <w:p w:rsidR="009C5608" w:rsidRPr="007B7A39" w:rsidRDefault="009C5608" w:rsidP="009C5608">
      <w:pPr>
        <w:rPr>
          <w:b/>
          <w:bCs/>
          <w:sz w:val="24"/>
          <w:szCs w:val="24"/>
        </w:rPr>
      </w:pPr>
      <w:r w:rsidRPr="007B7A39">
        <w:rPr>
          <w:bCs/>
          <w:sz w:val="24"/>
          <w:szCs w:val="24"/>
        </w:rPr>
        <w:t xml:space="preserve">Meeting of the Parties to the Convention </w:t>
      </w:r>
      <w:r w:rsidRPr="007B7A39">
        <w:rPr>
          <w:bCs/>
          <w:sz w:val="24"/>
          <w:szCs w:val="24"/>
        </w:rPr>
        <w:br/>
        <w:t xml:space="preserve">on Environmental Impact Assessment in </w:t>
      </w:r>
      <w:r w:rsidRPr="007B7A39">
        <w:rPr>
          <w:bCs/>
          <w:sz w:val="24"/>
          <w:szCs w:val="24"/>
        </w:rPr>
        <w:br/>
        <w:t xml:space="preserve">a Transboundary Context serving as the </w:t>
      </w:r>
      <w:r w:rsidRPr="007B7A39">
        <w:rPr>
          <w:bCs/>
          <w:sz w:val="24"/>
          <w:szCs w:val="24"/>
        </w:rPr>
        <w:br/>
        <w:t xml:space="preserve">Meeting of the Parties to the Protocol on </w:t>
      </w:r>
      <w:r w:rsidRPr="007B7A39">
        <w:rPr>
          <w:bCs/>
          <w:sz w:val="24"/>
          <w:szCs w:val="24"/>
        </w:rPr>
        <w:br/>
        <w:t>Strategic Environmental Assessment</w:t>
      </w:r>
      <w:r>
        <w:rPr>
          <w:bCs/>
          <w:sz w:val="24"/>
          <w:szCs w:val="24"/>
        </w:rPr>
        <w:br/>
      </w:r>
    </w:p>
    <w:p w:rsidR="009C5608" w:rsidRDefault="009C5608" w:rsidP="009C5608">
      <w:pPr>
        <w:spacing w:line="240" w:lineRule="auto"/>
        <w:rPr>
          <w:b/>
          <w:sz w:val="24"/>
          <w:szCs w:val="24"/>
        </w:rPr>
      </w:pPr>
      <w:r>
        <w:rPr>
          <w:b/>
          <w:sz w:val="24"/>
          <w:szCs w:val="24"/>
        </w:rPr>
        <w:t>Working Group on Environmental Impact Assessment</w:t>
      </w:r>
      <w:r>
        <w:rPr>
          <w:b/>
          <w:sz w:val="24"/>
          <w:szCs w:val="24"/>
        </w:rPr>
        <w:br/>
        <w:t>and Strategic Environmental Assessment</w:t>
      </w:r>
      <w:r>
        <w:rPr>
          <w:b/>
          <w:sz w:val="24"/>
          <w:szCs w:val="24"/>
        </w:rPr>
        <w:br/>
      </w:r>
    </w:p>
    <w:p w:rsidR="009C5608" w:rsidRPr="00327213" w:rsidRDefault="009C5608" w:rsidP="009C5608">
      <w:pPr>
        <w:rPr>
          <w:b/>
        </w:rPr>
      </w:pPr>
      <w:r>
        <w:rPr>
          <w:b/>
        </w:rPr>
        <w:t>Seventh meeting</w:t>
      </w:r>
    </w:p>
    <w:p w:rsidR="009C5608" w:rsidRPr="00327213" w:rsidRDefault="009C5608" w:rsidP="009C5608">
      <w:r w:rsidRPr="00327213">
        <w:t xml:space="preserve">Geneva, </w:t>
      </w:r>
      <w:r>
        <w:t>28–30 May</w:t>
      </w:r>
      <w:r w:rsidRPr="00327213">
        <w:t xml:space="preserve"> 201</w:t>
      </w:r>
      <w:r>
        <w:t>8</w:t>
      </w:r>
    </w:p>
    <w:p w:rsidR="009C5608" w:rsidRPr="00327213" w:rsidRDefault="009C5608" w:rsidP="009C5608">
      <w:r w:rsidRPr="00327213">
        <w:t xml:space="preserve">Item </w:t>
      </w:r>
      <w:r>
        <w:t>3</w:t>
      </w:r>
      <w:r w:rsidRPr="00327213">
        <w:t xml:space="preserve"> of the provisional agenda</w:t>
      </w:r>
    </w:p>
    <w:p w:rsidR="009C5608" w:rsidRPr="007B7A39" w:rsidRDefault="009C5608" w:rsidP="009C5608">
      <w:pPr>
        <w:rPr>
          <w:b/>
          <w:bCs/>
        </w:rPr>
      </w:pPr>
      <w:r>
        <w:rPr>
          <w:b/>
          <w:bCs/>
        </w:rPr>
        <w:t>Compliance and implementation</w:t>
      </w:r>
    </w:p>
    <w:p w:rsidR="00BD269E" w:rsidRDefault="00BD269E" w:rsidP="00BD269E">
      <w:pPr>
        <w:pStyle w:val="HChG"/>
      </w:pPr>
      <w:r>
        <w:tab/>
      </w:r>
      <w:r>
        <w:tab/>
      </w:r>
      <w:r w:rsidRPr="00C00713">
        <w:t>Draft decision IS/1</w:t>
      </w:r>
      <w:r>
        <w:t>e</w:t>
      </w:r>
      <w:r w:rsidR="007A1326">
        <w:t xml:space="preserve"> on c</w:t>
      </w:r>
      <w:r w:rsidRPr="00316317">
        <w:t xml:space="preserve">ompliance by </w:t>
      </w:r>
      <w:r>
        <w:t>Serbia</w:t>
      </w:r>
      <w:r w:rsidRPr="00316317">
        <w:t xml:space="preserve"> with its obligations under the Convention </w:t>
      </w:r>
      <w:proofErr w:type="gramStart"/>
      <w:r>
        <w:t>with regard to</w:t>
      </w:r>
      <w:proofErr w:type="gramEnd"/>
      <w:r>
        <w:t xml:space="preserve"> </w:t>
      </w:r>
      <w:bookmarkStart w:id="0" w:name="_Hlk507522568"/>
      <w:r>
        <w:t xml:space="preserve">the </w:t>
      </w:r>
      <w:proofErr w:type="spellStart"/>
      <w:r>
        <w:t>Kostolac</w:t>
      </w:r>
      <w:proofErr w:type="spellEnd"/>
      <w:r>
        <w:t xml:space="preserve"> lignite power plant </w:t>
      </w:r>
      <w:bookmarkEnd w:id="0"/>
    </w:p>
    <w:p w:rsidR="00BD269E" w:rsidRDefault="00BD269E" w:rsidP="00BD269E">
      <w:pPr>
        <w:pStyle w:val="H1G"/>
      </w:pPr>
      <w:r>
        <w:tab/>
      </w:r>
      <w:r>
        <w:tab/>
      </w:r>
      <w:r w:rsidRPr="00316317">
        <w:t>Proposal by the Implementation Committee</w:t>
      </w:r>
      <w:r>
        <w:rPr>
          <w:rStyle w:val="FootnoteReference"/>
        </w:rPr>
        <w:footnoteReference w:id="1"/>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E352C9" w:rsidTr="000E5179">
        <w:trPr>
          <w:jc w:val="center"/>
        </w:trPr>
        <w:tc>
          <w:tcPr>
            <w:tcW w:w="9629" w:type="dxa"/>
            <w:shd w:val="clear" w:color="auto" w:fill="auto"/>
          </w:tcPr>
          <w:p w:rsidR="00E352C9" w:rsidRPr="00B51933" w:rsidRDefault="00E352C9" w:rsidP="000E5179">
            <w:pPr>
              <w:rPr>
                <w:i/>
                <w:sz w:val="24"/>
              </w:rPr>
            </w:pPr>
          </w:p>
        </w:tc>
      </w:tr>
      <w:tr w:rsidR="00E352C9" w:rsidTr="000E5179">
        <w:trPr>
          <w:jc w:val="center"/>
        </w:trPr>
        <w:tc>
          <w:tcPr>
            <w:tcW w:w="9629" w:type="dxa"/>
            <w:shd w:val="clear" w:color="auto" w:fill="auto"/>
          </w:tcPr>
          <w:p w:rsidR="00E352C9" w:rsidRDefault="00E352C9" w:rsidP="000E5179">
            <w:pPr>
              <w:pStyle w:val="SingleTxtG"/>
              <w:ind w:firstLine="566"/>
            </w:pPr>
            <w:r w:rsidRPr="009A3684">
              <w:t>This note p</w:t>
            </w:r>
            <w:r>
              <w:t xml:space="preserve">resents </w:t>
            </w:r>
            <w:r w:rsidRPr="009A3684">
              <w:t xml:space="preserve">draft decision </w:t>
            </w:r>
            <w:r w:rsidRPr="006C1115">
              <w:t>IS/1</w:t>
            </w:r>
            <w:r>
              <w:t>e</w:t>
            </w:r>
            <w:r w:rsidRPr="006C1115">
              <w:t xml:space="preserve"> </w:t>
            </w:r>
            <w:r>
              <w:t xml:space="preserve">of the Meeting of the Parties to the Convention at its intermediary session (Geneva, 5–7 February 2019) </w:t>
            </w:r>
            <w:bookmarkStart w:id="2" w:name="_Hlk512261791"/>
            <w:r w:rsidRPr="006C1115">
              <w:t xml:space="preserve">on compliance </w:t>
            </w:r>
            <w:r w:rsidRPr="00E352C9">
              <w:t xml:space="preserve">by Serbia with its obligations under the Convention with regard to the </w:t>
            </w:r>
            <w:proofErr w:type="spellStart"/>
            <w:r w:rsidRPr="00E352C9">
              <w:t>Kostolac</w:t>
            </w:r>
            <w:proofErr w:type="spellEnd"/>
            <w:r w:rsidRPr="00E352C9">
              <w:t xml:space="preserve"> lignite power plant</w:t>
            </w:r>
            <w:r>
              <w:t xml:space="preserve">. </w:t>
            </w:r>
            <w:bookmarkEnd w:id="2"/>
            <w:r>
              <w:t xml:space="preserve">As mandated by the Meeting of the Parties at its seventh session (Minsk, 13–16 June 2017), the Implementation Committee prepared the draft decision based on its review of the relevant paragraphs of draft decision VII/2 and </w:t>
            </w:r>
            <w:proofErr w:type="gramStart"/>
            <w:r>
              <w:t>taking into account</w:t>
            </w:r>
            <w:proofErr w:type="gramEnd"/>
            <w:r>
              <w:t xml:space="preserve"> the progress made before, during and after the seventh session. As suggested by the delegation of Ukraine in June 2017, the Committee decided to present the general and the country specific draft decisions in separate documents to facilitate their subsequent consideration and adoption by the Meeting of the Parties. </w:t>
            </w:r>
          </w:p>
          <w:p w:rsidR="00E352C9" w:rsidRDefault="00E352C9" w:rsidP="000E5179">
            <w:pPr>
              <w:pStyle w:val="SingleTxtG"/>
            </w:pPr>
            <w:r>
              <w:t xml:space="preserve">            The Chair of the Committee will present the draft decision for information </w:t>
            </w:r>
            <w:r w:rsidRPr="005458EB">
              <w:t xml:space="preserve">to the Working Group on </w:t>
            </w:r>
            <w:r>
              <w:t xml:space="preserve">Environmental Impact Assessment </w:t>
            </w:r>
            <w:r w:rsidRPr="005458EB">
              <w:t xml:space="preserve">and </w:t>
            </w:r>
            <w:r>
              <w:t>Strategic Environmental Assessment. The delegates may wish to present their views on the draft.</w:t>
            </w:r>
          </w:p>
          <w:p w:rsidR="00E352C9" w:rsidRDefault="00E352C9" w:rsidP="000E5179">
            <w:pPr>
              <w:pStyle w:val="SingleTxtG"/>
            </w:pPr>
            <w:r>
              <w:t xml:space="preserve">            The Committee will finalize the draft decision at its forty-second session (Geneva, 11–14 September 2018) prior to its submission for consideration and adoption </w:t>
            </w:r>
            <w:r w:rsidRPr="009A3684">
              <w:t xml:space="preserve">by </w:t>
            </w:r>
            <w:r>
              <w:t xml:space="preserve">the </w:t>
            </w:r>
            <w:r w:rsidRPr="009A3684">
              <w:t>Meeting of</w:t>
            </w:r>
            <w:r>
              <w:t xml:space="preserve"> the Parties to the Convention at its intermediary session</w:t>
            </w:r>
            <w:r w:rsidRPr="00F451A3">
              <w:t>.</w:t>
            </w:r>
          </w:p>
        </w:tc>
      </w:tr>
    </w:tbl>
    <w:p w:rsidR="00E352C9" w:rsidRPr="00E352C9" w:rsidRDefault="00E352C9" w:rsidP="00E352C9"/>
    <w:p w:rsidR="00BD269E" w:rsidRDefault="00BD269E" w:rsidP="00BD269E">
      <w:pPr>
        <w:pStyle w:val="SingleTxtG"/>
      </w:pPr>
      <w:r>
        <w:lastRenderedPageBreak/>
        <w:tab/>
      </w:r>
      <w:r w:rsidRPr="00ED3E57">
        <w:rPr>
          <w:i/>
        </w:rPr>
        <w:t>The Meeting of the Parties</w:t>
      </w:r>
      <w:r w:rsidRPr="00316317">
        <w:t xml:space="preserve">, </w:t>
      </w:r>
    </w:p>
    <w:p w:rsidR="00BD269E" w:rsidRPr="00774894" w:rsidRDefault="00BD269E" w:rsidP="00BD269E">
      <w:pPr>
        <w:pStyle w:val="SingleTxtG"/>
      </w:pPr>
      <w:r>
        <w:rPr>
          <w:i/>
        </w:rPr>
        <w:tab/>
      </w:r>
      <w:r w:rsidRPr="00A93821">
        <w:rPr>
          <w:i/>
        </w:rPr>
        <w:t>Recalling</w:t>
      </w:r>
      <w:r w:rsidRPr="00316317">
        <w:t xml:space="preserve"> </w:t>
      </w:r>
      <w:r w:rsidRPr="00774894">
        <w:t xml:space="preserve">article 11, paragraph 2, and article 14 </w:t>
      </w:r>
      <w:proofErr w:type="spellStart"/>
      <w:r w:rsidRPr="00774894">
        <w:t>bis</w:t>
      </w:r>
      <w:proofErr w:type="spellEnd"/>
      <w:r w:rsidRPr="00774894">
        <w:t xml:space="preserve"> of the Convention on Environmental Impact Assessment in a Transboundary Context (Espoo Convention),</w:t>
      </w:r>
    </w:p>
    <w:p w:rsidR="00BD269E" w:rsidRPr="00774894" w:rsidRDefault="00BD269E" w:rsidP="00BD269E">
      <w:pPr>
        <w:pStyle w:val="SingleTxtG"/>
      </w:pPr>
      <w:r>
        <w:rPr>
          <w:i/>
        </w:rPr>
        <w:tab/>
      </w:r>
      <w:bookmarkStart w:id="3" w:name="_Hlk504650794"/>
      <w:r>
        <w:rPr>
          <w:i/>
        </w:rPr>
        <w:t>R</w:t>
      </w:r>
      <w:r w:rsidRPr="00DA1BB9">
        <w:rPr>
          <w:i/>
        </w:rPr>
        <w:t>ecalling</w:t>
      </w:r>
      <w:r>
        <w:rPr>
          <w:i/>
        </w:rPr>
        <w:t xml:space="preserve"> further</w:t>
      </w:r>
      <w:r w:rsidRPr="00DA1BB9">
        <w:rPr>
          <w:i/>
        </w:rPr>
        <w:t xml:space="preserve"> </w:t>
      </w:r>
      <w:r w:rsidRPr="00774894">
        <w:t>its decision at its seventh session (Minsk, 13–16 June 2017) to finalize its deliberations on the review of compliance with the Convention at an intermediary session</w:t>
      </w:r>
      <w:r>
        <w:t>,</w:t>
      </w:r>
      <w:r w:rsidRPr="00774894">
        <w:t xml:space="preserve"> based on a revised draft decision </w:t>
      </w:r>
      <w:r>
        <w:t xml:space="preserve">to be </w:t>
      </w:r>
      <w:r w:rsidRPr="00774894">
        <w:t>prepared by the Implementation Committee</w:t>
      </w:r>
      <w:r>
        <w:t xml:space="preserve"> and</w:t>
      </w:r>
      <w:r w:rsidRPr="00774894">
        <w:t xml:space="preserve"> </w:t>
      </w:r>
      <w:proofErr w:type="gramStart"/>
      <w:r w:rsidRPr="00774894">
        <w:t>taking into account</w:t>
      </w:r>
      <w:proofErr w:type="gramEnd"/>
      <w:r w:rsidRPr="00774894">
        <w:t xml:space="preserve"> the work carried out and progress achieved before and during </w:t>
      </w:r>
      <w:r>
        <w:t xml:space="preserve">the seventh </w:t>
      </w:r>
      <w:r w:rsidRPr="00774894">
        <w:t>session</w:t>
      </w:r>
      <w:r>
        <w:t>,</w:t>
      </w:r>
      <w:r>
        <w:rPr>
          <w:rStyle w:val="FootnoteReference"/>
        </w:rPr>
        <w:footnoteReference w:id="2"/>
      </w:r>
      <w:r w:rsidRPr="00774894" w:rsidDel="003F0CC6">
        <w:t xml:space="preserve"> </w:t>
      </w:r>
      <w:bookmarkEnd w:id="3"/>
    </w:p>
    <w:p w:rsidR="00BD269E" w:rsidRDefault="00BD269E" w:rsidP="00BD269E">
      <w:pPr>
        <w:pStyle w:val="SingleTxtG"/>
      </w:pPr>
      <w:r>
        <w:rPr>
          <w:i/>
        </w:rPr>
        <w:tab/>
      </w:r>
      <w:r w:rsidRPr="00A93821">
        <w:rPr>
          <w:i/>
        </w:rPr>
        <w:t>Having considered</w:t>
      </w:r>
      <w:r w:rsidRPr="001D5DD5">
        <w:t xml:space="preserve"> </w:t>
      </w:r>
      <w:r w:rsidRPr="00774894">
        <w:t xml:space="preserve">paragraphs </w:t>
      </w:r>
      <w:r>
        <w:t>86</w:t>
      </w:r>
      <w:r w:rsidRPr="00774894">
        <w:t>–</w:t>
      </w:r>
      <w:r>
        <w:t>87</w:t>
      </w:r>
      <w:r w:rsidRPr="00774894">
        <w:t xml:space="preserve"> concerning </w:t>
      </w:r>
      <w:r>
        <w:t>Serbia</w:t>
      </w:r>
      <w:r w:rsidRPr="00774894">
        <w:t xml:space="preserve"> in the report on the activities of the Implementation Committee to the Meeting of the Parties to the Convention</w:t>
      </w:r>
      <w:r>
        <w:t xml:space="preserve"> at its seventh session</w:t>
      </w:r>
      <w:r>
        <w:rPr>
          <w:rStyle w:val="FootnoteReference"/>
        </w:rPr>
        <w:footnoteReference w:id="3"/>
      </w:r>
      <w:r w:rsidRPr="00774894">
        <w:t xml:space="preserve"> </w:t>
      </w:r>
      <w:r>
        <w:t xml:space="preserve">and </w:t>
      </w:r>
      <w:r w:rsidRPr="00774894">
        <w:t>the report of the Committee on its forty-first</w:t>
      </w:r>
      <w:r>
        <w:t xml:space="preserve"> session,</w:t>
      </w:r>
      <w:r w:rsidRPr="00DD7134">
        <w:rPr>
          <w:rStyle w:val="FootnoteReference"/>
        </w:rPr>
        <w:t xml:space="preserve"> </w:t>
      </w:r>
      <w:r>
        <w:rPr>
          <w:rStyle w:val="FootnoteReference"/>
        </w:rPr>
        <w:footnoteReference w:id="4"/>
      </w:r>
    </w:p>
    <w:p w:rsidR="00BD269E" w:rsidRDefault="00BD269E" w:rsidP="00BD269E">
      <w:pPr>
        <w:pStyle w:val="SingleTxtG"/>
        <w:ind w:left="1080" w:firstLine="567"/>
      </w:pPr>
      <w:r w:rsidRPr="005E5FC7">
        <w:t>[</w:t>
      </w:r>
      <w:r w:rsidRPr="0009532E">
        <w:rPr>
          <w:i/>
          <w:iCs/>
        </w:rPr>
        <w:t>Recalling</w:t>
      </w:r>
      <w:r w:rsidRPr="0009532E">
        <w:t xml:space="preserve"> its decision IS/1 on the review of compliance with the Convention adopted at the intermediary session</w:t>
      </w:r>
      <w:r>
        <w:t>,]</w:t>
      </w:r>
    </w:p>
    <w:p w:rsidR="00BD269E" w:rsidRDefault="00BD269E" w:rsidP="00BD269E">
      <w:pPr>
        <w:pStyle w:val="SingleTxtG"/>
      </w:pPr>
    </w:p>
    <w:p w:rsidR="00BD269E" w:rsidRPr="00B82FF4" w:rsidRDefault="00BD269E" w:rsidP="00BD269E">
      <w:pPr>
        <w:pStyle w:val="SingleTxtG"/>
        <w:ind w:firstLine="567"/>
      </w:pPr>
      <w:r>
        <w:t>1</w:t>
      </w:r>
      <w:r w:rsidRPr="00BC7928">
        <w:t>.</w:t>
      </w:r>
      <w:r w:rsidRPr="00BC7928">
        <w:rPr>
          <w:i/>
        </w:rPr>
        <w:tab/>
        <w:t>Endorses</w:t>
      </w:r>
      <w:r w:rsidRPr="00BC7928">
        <w:t xml:space="preserve"> the finding of the Implementation Committee that Serbia </w:t>
      </w:r>
      <w:proofErr w:type="gramStart"/>
      <w:r w:rsidRPr="00BC7928">
        <w:t>is in compliance with</w:t>
      </w:r>
      <w:proofErr w:type="gramEnd"/>
      <w:r w:rsidRPr="00BC7928">
        <w:t xml:space="preserve"> the Convention regarding the planned extension of the open-pit mine of the </w:t>
      </w:r>
      <w:proofErr w:type="spellStart"/>
      <w:r w:rsidRPr="00BC7928">
        <w:t>Kostolac</w:t>
      </w:r>
      <w:proofErr w:type="spellEnd"/>
      <w:r w:rsidRPr="00BC7928">
        <w:t xml:space="preserve"> lignite power plant</w:t>
      </w:r>
      <w:r w:rsidRPr="00B82FF4">
        <w:t>;</w:t>
      </w:r>
      <w:r w:rsidRPr="0018295D">
        <w:rPr>
          <w:rStyle w:val="FootnoteReference"/>
        </w:rPr>
        <w:footnoteReference w:id="5"/>
      </w:r>
    </w:p>
    <w:p w:rsidR="00BD269E" w:rsidRPr="00B82FF4" w:rsidRDefault="00BD269E" w:rsidP="00BD269E">
      <w:pPr>
        <w:pStyle w:val="SingleTxtG"/>
        <w:ind w:firstLine="567"/>
      </w:pPr>
      <w:r>
        <w:t>2</w:t>
      </w:r>
      <w:r w:rsidRPr="00B82FF4">
        <w:t>.</w:t>
      </w:r>
      <w:r w:rsidRPr="00B82FF4">
        <w:rPr>
          <w:i/>
        </w:rPr>
        <w:tab/>
        <w:t>Welcomes</w:t>
      </w:r>
      <w:r w:rsidRPr="00B82FF4">
        <w:t xml:space="preserve"> the efforts undertaken by Serbia during the </w:t>
      </w:r>
      <w:r>
        <w:t xml:space="preserve">2014-2017 </w:t>
      </w:r>
      <w:r w:rsidRPr="00B82FF4">
        <w:t xml:space="preserve">intersessional period to implement the recommendations of the Committee regarding the planned construction of block 3 of the </w:t>
      </w:r>
      <w:proofErr w:type="spellStart"/>
      <w:r w:rsidRPr="00B82FF4">
        <w:t>Kostolac</w:t>
      </w:r>
      <w:proofErr w:type="spellEnd"/>
      <w:r w:rsidRPr="00B82FF4">
        <w:t xml:space="preserve"> lignite power plant;</w:t>
      </w:r>
      <w:r w:rsidRPr="003E5B4E">
        <w:rPr>
          <w:rStyle w:val="FootnoteReference"/>
        </w:rPr>
        <w:t xml:space="preserve"> </w:t>
      </w:r>
      <w:r w:rsidRPr="0018295D">
        <w:rPr>
          <w:rStyle w:val="FootnoteReference"/>
        </w:rPr>
        <w:footnoteReference w:id="6"/>
      </w:r>
    </w:p>
    <w:p w:rsidR="00BD269E" w:rsidRPr="00BC7928" w:rsidRDefault="00BD269E" w:rsidP="00BD269E">
      <w:pPr>
        <w:pStyle w:val="SingleTxtG"/>
        <w:ind w:firstLine="567"/>
      </w:pPr>
      <w:r>
        <w:t>3</w:t>
      </w:r>
      <w:r w:rsidRPr="00B82FF4">
        <w:t>.</w:t>
      </w:r>
      <w:r w:rsidRPr="00B82FF4">
        <w:rPr>
          <w:i/>
        </w:rPr>
        <w:tab/>
        <w:t>Also endorses</w:t>
      </w:r>
      <w:r w:rsidRPr="00B82FF4">
        <w:t xml:space="preserve"> the findings of the Implementation Committee that Serbia brought the planned construction into compliance with the Convention by initiating a transboundary procedure in accordance with the Convention</w:t>
      </w:r>
      <w:r>
        <w:t>.</w:t>
      </w:r>
      <w:r w:rsidRPr="0018295D">
        <w:rPr>
          <w:rStyle w:val="FootnoteReference"/>
        </w:rPr>
        <w:footnoteReference w:id="7"/>
      </w:r>
    </w:p>
    <w:p w:rsidR="00BD269E" w:rsidRPr="00FA3EF8" w:rsidRDefault="00BD269E" w:rsidP="00BD269E">
      <w:pPr>
        <w:spacing w:before="240"/>
        <w:ind w:left="1134" w:right="1134"/>
        <w:jc w:val="center"/>
        <w:rPr>
          <w:u w:val="single"/>
        </w:rPr>
      </w:pPr>
      <w:r>
        <w:rPr>
          <w:u w:val="single"/>
        </w:rPr>
        <w:tab/>
      </w:r>
      <w:r>
        <w:rPr>
          <w:u w:val="single"/>
        </w:rPr>
        <w:tab/>
      </w:r>
      <w:r>
        <w:rPr>
          <w:u w:val="single"/>
        </w:rPr>
        <w:tab/>
      </w:r>
    </w:p>
    <w:p w:rsidR="00BD269E" w:rsidRPr="00743718" w:rsidRDefault="00BD269E" w:rsidP="00BD269E">
      <w:pPr>
        <w:suppressAutoHyphens w:val="0"/>
        <w:spacing w:line="240" w:lineRule="auto"/>
      </w:pPr>
    </w:p>
    <w:p w:rsidR="00541609" w:rsidRDefault="00FD0A17"/>
    <w:sectPr w:rsidR="00541609" w:rsidSect="00743718">
      <w:headerReference w:type="even" r:id="rId6"/>
      <w:headerReference w:type="default" r:id="rId7"/>
      <w:footerReference w:type="even" r:id="rId8"/>
      <w:footerReference w:type="default" r:id="rId9"/>
      <w:headerReference w:type="firs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A0C" w:rsidRDefault="007E1A0C" w:rsidP="00BD269E">
      <w:pPr>
        <w:spacing w:line="240" w:lineRule="auto"/>
      </w:pPr>
      <w:r>
        <w:separator/>
      </w:r>
    </w:p>
  </w:endnote>
  <w:endnote w:type="continuationSeparator" w:id="0">
    <w:p w:rsidR="007E1A0C" w:rsidRDefault="007E1A0C" w:rsidP="00BD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E93259" w:rsidP="00743718">
    <w:pPr>
      <w:pStyle w:val="Footer"/>
      <w:tabs>
        <w:tab w:val="right" w:pos="9638"/>
      </w:tabs>
      <w:rPr>
        <w:sz w:val="18"/>
      </w:rPr>
    </w:pPr>
    <w:r w:rsidRPr="00743718">
      <w:rPr>
        <w:b/>
        <w:sz w:val="18"/>
      </w:rPr>
      <w:fldChar w:fldCharType="begin"/>
    </w:r>
    <w:r w:rsidRPr="00743718">
      <w:rPr>
        <w:b/>
        <w:sz w:val="18"/>
      </w:rPr>
      <w:instrText xml:space="preserve"> PAGE  \* MERGEFORMAT </w:instrText>
    </w:r>
    <w:r w:rsidRPr="00743718">
      <w:rPr>
        <w:b/>
        <w:sz w:val="18"/>
      </w:rPr>
      <w:fldChar w:fldCharType="separate"/>
    </w:r>
    <w:r>
      <w:rPr>
        <w:b/>
        <w:noProof/>
        <w:sz w:val="18"/>
      </w:rPr>
      <w:t>2</w:t>
    </w:r>
    <w:r w:rsidRPr="0074371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E93259" w:rsidP="00743718">
    <w:pPr>
      <w:pStyle w:val="Footer"/>
      <w:tabs>
        <w:tab w:val="right" w:pos="9638"/>
      </w:tabs>
      <w:rPr>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A0C" w:rsidRDefault="007E1A0C" w:rsidP="00BD269E">
      <w:pPr>
        <w:spacing w:line="240" w:lineRule="auto"/>
      </w:pPr>
      <w:r>
        <w:separator/>
      </w:r>
    </w:p>
  </w:footnote>
  <w:footnote w:type="continuationSeparator" w:id="0">
    <w:p w:rsidR="007E1A0C" w:rsidRDefault="007E1A0C" w:rsidP="00BD269E">
      <w:pPr>
        <w:spacing w:line="240" w:lineRule="auto"/>
      </w:pPr>
      <w:r>
        <w:continuationSeparator/>
      </w:r>
    </w:p>
  </w:footnote>
  <w:footnote w:id="1">
    <w:p w:rsidR="00BD269E" w:rsidRDefault="00BD269E" w:rsidP="00BD269E">
      <w:pPr>
        <w:pStyle w:val="FootnoteText"/>
      </w:pPr>
      <w:r>
        <w:tab/>
      </w:r>
      <w:r>
        <w:rPr>
          <w:rStyle w:val="FootnoteReference"/>
        </w:rPr>
        <w:footnoteRef/>
      </w:r>
      <w:r>
        <w:tab/>
        <w:t>The present decision relates to</w:t>
      </w:r>
      <w:r w:rsidRPr="003F7AB6">
        <w:t xml:space="preserve"> </w:t>
      </w:r>
      <w:r>
        <w:t xml:space="preserve">an Implementation Committee initiative (reference </w:t>
      </w:r>
      <w:r w:rsidRPr="003F7AB6">
        <w:t>EIA/IC/CI/</w:t>
      </w:r>
      <w:r w:rsidR="00FD0A17">
        <w:t>6</w:t>
      </w:r>
      <w:bookmarkStart w:id="1" w:name="_GoBack"/>
      <w:bookmarkEnd w:id="1"/>
      <w:r>
        <w:t>)</w:t>
      </w:r>
      <w:r w:rsidRPr="003F7AB6">
        <w:t>. More information on Committee initiatives can be found at http://www.unece.org/environmental-policy/conventions/environmental-assessment/areas-of-work/review-of-compliance/committee-initiative.html.</w:t>
      </w:r>
      <w:r>
        <w:t xml:space="preserve"> </w:t>
      </w:r>
    </w:p>
  </w:footnote>
  <w:footnote w:id="2">
    <w:p w:rsidR="00BD269E" w:rsidRPr="00132453" w:rsidRDefault="00BD269E" w:rsidP="00BD269E">
      <w:pPr>
        <w:pStyle w:val="FootnoteText"/>
      </w:pPr>
      <w:r w:rsidRPr="008B67FE">
        <w:rPr>
          <w:lang w:val="en-US"/>
        </w:rPr>
        <w:tab/>
      </w:r>
      <w:r w:rsidRPr="001A6A26">
        <w:rPr>
          <w:vertAlign w:val="superscript"/>
        </w:rPr>
        <w:footnoteRef/>
      </w:r>
      <w:r w:rsidRPr="001A6A26">
        <w:rPr>
          <w:lang w:val="es-ES"/>
        </w:rPr>
        <w:tab/>
      </w:r>
      <w:proofErr w:type="spellStart"/>
      <w:r w:rsidRPr="001A6A26">
        <w:rPr>
          <w:lang w:val="es-ES"/>
        </w:rPr>
        <w:t>See</w:t>
      </w:r>
      <w:proofErr w:type="spellEnd"/>
      <w:r w:rsidRPr="001A6A26">
        <w:rPr>
          <w:lang w:val="es-ES"/>
        </w:rPr>
        <w:t xml:space="preserve"> ECE/MP.EIA/23-ECE/MP.EIA/SEA/7, para. </w:t>
      </w:r>
      <w:r w:rsidRPr="00132453">
        <w:t xml:space="preserve">27. </w:t>
      </w:r>
      <w:r>
        <w:t>See also draft decision VII/2 (ECE/MP.EIA/2017/8).</w:t>
      </w:r>
    </w:p>
  </w:footnote>
  <w:footnote w:id="3">
    <w:p w:rsidR="00BD269E" w:rsidRPr="00BF1A34" w:rsidRDefault="00BD269E" w:rsidP="00BD269E">
      <w:pPr>
        <w:pStyle w:val="FootnoteText"/>
        <w:rPr>
          <w:lang w:val="es-ES"/>
        </w:rPr>
      </w:pPr>
      <w:r>
        <w:tab/>
      </w:r>
      <w:r w:rsidRPr="001A6A26">
        <w:rPr>
          <w:vertAlign w:val="superscript"/>
        </w:rPr>
        <w:footnoteRef/>
      </w:r>
      <w:r w:rsidRPr="00BF1A34">
        <w:rPr>
          <w:lang w:val="es-ES"/>
        </w:rPr>
        <w:tab/>
        <w:t>ECE/MP.EIA/2017/4-ECE/MP.EIA/SEA/2017/4.</w:t>
      </w:r>
    </w:p>
  </w:footnote>
  <w:footnote w:id="4">
    <w:p w:rsidR="00BD269E" w:rsidRPr="000E5179" w:rsidRDefault="00BD269E" w:rsidP="00BD269E">
      <w:pPr>
        <w:pStyle w:val="FootnoteText"/>
        <w:rPr>
          <w:lang w:val="es-ES"/>
        </w:rPr>
      </w:pPr>
      <w:r w:rsidRPr="00081E5C">
        <w:rPr>
          <w:lang w:val="es-ES"/>
        </w:rPr>
        <w:tab/>
      </w:r>
      <w:r w:rsidRPr="001A6A26">
        <w:rPr>
          <w:vertAlign w:val="superscript"/>
        </w:rPr>
        <w:footnoteRef/>
      </w:r>
      <w:r w:rsidRPr="00614107">
        <w:rPr>
          <w:lang w:val="es-ES"/>
        </w:rPr>
        <w:tab/>
        <w:t>ECE/MP.EIA/IC/2018/2, paras</w:t>
      </w:r>
      <w:r w:rsidRPr="00132453">
        <w:rPr>
          <w:lang w:val="es-ES"/>
        </w:rPr>
        <w:t>.</w:t>
      </w:r>
      <w:r w:rsidRPr="00614107">
        <w:rPr>
          <w:lang w:val="es-ES"/>
        </w:rPr>
        <w:t xml:space="preserve"> </w:t>
      </w:r>
      <w:r w:rsidR="00F14860">
        <w:rPr>
          <w:lang w:val="es-ES"/>
        </w:rPr>
        <w:t>50.</w:t>
      </w:r>
    </w:p>
  </w:footnote>
  <w:footnote w:id="5">
    <w:p w:rsidR="00BD269E" w:rsidRPr="00387323" w:rsidRDefault="00BD269E" w:rsidP="00BD269E">
      <w:pPr>
        <w:pStyle w:val="FootnoteText"/>
        <w:rPr>
          <w:lang w:val="es-ES"/>
        </w:rPr>
      </w:pPr>
      <w:r w:rsidRPr="00B943BA">
        <w:rPr>
          <w:lang w:val="es-ES"/>
        </w:rPr>
        <w:tab/>
      </w:r>
      <w:r>
        <w:rPr>
          <w:rStyle w:val="FootnoteReference"/>
        </w:rPr>
        <w:footnoteRef/>
      </w:r>
      <w:r w:rsidRPr="00387323">
        <w:rPr>
          <w:lang w:val="es-ES"/>
        </w:rPr>
        <w:tab/>
        <w:t>ECE/MP.EIA/IC/2016/4, paras 42</w:t>
      </w:r>
    </w:p>
  </w:footnote>
  <w:footnote w:id="6">
    <w:p w:rsidR="00BD269E" w:rsidRPr="00477A9C" w:rsidRDefault="00BD269E" w:rsidP="00BD269E">
      <w:pPr>
        <w:pStyle w:val="FootnoteText"/>
        <w:rPr>
          <w:lang w:val="es-ES"/>
        </w:rPr>
      </w:pPr>
      <w:r w:rsidRPr="00387323">
        <w:rPr>
          <w:lang w:val="es-ES"/>
        </w:rPr>
        <w:tab/>
      </w:r>
      <w:r>
        <w:rPr>
          <w:rStyle w:val="FootnoteReference"/>
        </w:rPr>
        <w:footnoteRef/>
      </w:r>
      <w:r w:rsidRPr="00477A9C">
        <w:rPr>
          <w:lang w:val="es-ES"/>
        </w:rPr>
        <w:tab/>
        <w:t>Ibid., para 43.</w:t>
      </w:r>
    </w:p>
  </w:footnote>
  <w:footnote w:id="7">
    <w:p w:rsidR="00BD269E" w:rsidRPr="00477A9C" w:rsidRDefault="00BD269E" w:rsidP="00BD269E">
      <w:pPr>
        <w:pStyle w:val="FootnoteText"/>
        <w:rPr>
          <w:lang w:val="es-ES"/>
        </w:rPr>
      </w:pPr>
      <w:r w:rsidRPr="00387323">
        <w:rPr>
          <w:lang w:val="es-ES"/>
        </w:rPr>
        <w:tab/>
      </w:r>
      <w:r>
        <w:rPr>
          <w:rStyle w:val="FootnoteReference"/>
        </w:rPr>
        <w:footnoteRef/>
      </w:r>
      <w:r w:rsidRPr="00477A9C">
        <w:rPr>
          <w:lang w:val="es-ES"/>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349" w:rsidRPr="00743718" w:rsidRDefault="00E93259">
    <w:pPr>
      <w:pStyle w:val="Header"/>
    </w:pPr>
    <w:r>
      <w:t>ECE/MP.EIA/IS/1e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ED" w:rsidRDefault="00E660ED" w:rsidP="00E660ED">
    <w:pPr>
      <w:pBdr>
        <w:bottom w:val="single" w:sz="4" w:space="1" w:color="auto"/>
      </w:pBdr>
      <w:spacing w:line="240" w:lineRule="exact"/>
    </w:pPr>
    <w:r w:rsidRPr="00E660ED">
      <w:rPr>
        <w:b/>
        <w:bCs/>
      </w:rPr>
      <w:t xml:space="preserve">ECE/MP.EIA/WG.2/2018/INF.4.e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4"/>
      <w:gridCol w:w="2839"/>
    </w:tblGrid>
    <w:tr w:rsidR="002A1349" w:rsidRPr="00C4337F" w:rsidTr="002A1349">
      <w:trPr>
        <w:cantSplit/>
        <w:trHeight w:hRule="exact" w:val="958"/>
      </w:trPr>
      <w:tc>
        <w:tcPr>
          <w:tcW w:w="1276" w:type="dxa"/>
          <w:tcBorders>
            <w:bottom w:val="single" w:sz="4" w:space="0" w:color="auto"/>
          </w:tcBorders>
          <w:shd w:val="clear" w:color="auto" w:fill="auto"/>
          <w:vAlign w:val="bottom"/>
        </w:tcPr>
        <w:p w:rsidR="002A1349" w:rsidRPr="00C4337F" w:rsidRDefault="00FD0A17" w:rsidP="00ED43E5">
          <w:pPr>
            <w:spacing w:after="80"/>
            <w:rPr>
              <w:b/>
              <w:sz w:val="24"/>
              <w:szCs w:val="24"/>
            </w:rPr>
          </w:pPr>
        </w:p>
      </w:tc>
      <w:tc>
        <w:tcPr>
          <w:tcW w:w="5524" w:type="dxa"/>
          <w:tcBorders>
            <w:bottom w:val="single" w:sz="4" w:space="0" w:color="auto"/>
          </w:tcBorders>
          <w:shd w:val="clear" w:color="auto" w:fill="auto"/>
          <w:vAlign w:val="bottom"/>
        </w:tcPr>
        <w:p w:rsidR="002A1349" w:rsidRPr="00C4337F" w:rsidRDefault="00FD0A17" w:rsidP="00ED43E5">
          <w:pPr>
            <w:spacing w:after="80" w:line="240" w:lineRule="auto"/>
            <w:rPr>
              <w:b/>
              <w:sz w:val="44"/>
              <w:szCs w:val="44"/>
            </w:rPr>
          </w:pPr>
        </w:p>
      </w:tc>
      <w:tc>
        <w:tcPr>
          <w:tcW w:w="2839" w:type="dxa"/>
          <w:tcBorders>
            <w:bottom w:val="single" w:sz="4" w:space="0" w:color="auto"/>
          </w:tcBorders>
          <w:shd w:val="clear" w:color="auto" w:fill="auto"/>
        </w:tcPr>
        <w:p w:rsidR="002A1349" w:rsidRDefault="00FD0A17" w:rsidP="009C5608">
          <w:pPr>
            <w:spacing w:line="240" w:lineRule="exact"/>
            <w:jc w:val="right"/>
          </w:pPr>
        </w:p>
        <w:p w:rsidR="009C5608" w:rsidRPr="006C2CE6" w:rsidRDefault="009C5608" w:rsidP="009C5608">
          <w:pPr>
            <w:spacing w:line="240" w:lineRule="exact"/>
            <w:jc w:val="right"/>
          </w:pPr>
          <w:r w:rsidRPr="007E2BBC">
            <w:t>ECE/MP.EIA/WG.2/2018/INF</w:t>
          </w:r>
          <w:r w:rsidRPr="006C2CE6">
            <w:t>.4.</w:t>
          </w:r>
          <w:r>
            <w:t>e</w:t>
          </w:r>
          <w:r w:rsidRPr="006C2CE6">
            <w:t xml:space="preserve"> </w:t>
          </w:r>
        </w:p>
        <w:p w:rsidR="002A1349" w:rsidRPr="00C4337F" w:rsidRDefault="00BF0961" w:rsidP="009C5608">
          <w:pPr>
            <w:spacing w:line="240" w:lineRule="exact"/>
            <w:jc w:val="right"/>
          </w:pPr>
          <w:r>
            <w:t xml:space="preserve">English only </w:t>
          </w:r>
          <w:r>
            <w:br/>
          </w:r>
          <w:r w:rsidR="009C5608" w:rsidRPr="006C2CE6">
            <w:t>23April 2018</w:t>
          </w:r>
        </w:p>
        <w:p w:rsidR="002A1349" w:rsidRPr="00C4337F" w:rsidRDefault="00FD0A17" w:rsidP="00ED43E5">
          <w:pPr>
            <w:spacing w:before="240" w:line="240" w:lineRule="exact"/>
            <w:ind w:left="4"/>
            <w:rPr>
              <w:sz w:val="40"/>
            </w:rPr>
          </w:pPr>
        </w:p>
      </w:tc>
    </w:tr>
  </w:tbl>
  <w:p w:rsidR="002A1349" w:rsidRPr="00ED43E5" w:rsidRDefault="00FD0A17" w:rsidP="00ED43E5">
    <w:pPr>
      <w:pStyle w:val="Header"/>
      <w:pBdr>
        <w:bottom w:val="none" w:sz="0" w:space="0" w:color="auto"/>
      </w:pBd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9E"/>
    <w:rsid w:val="000E1F54"/>
    <w:rsid w:val="002D1302"/>
    <w:rsid w:val="003F14E0"/>
    <w:rsid w:val="005679D6"/>
    <w:rsid w:val="007A1326"/>
    <w:rsid w:val="007E177A"/>
    <w:rsid w:val="007E1A0C"/>
    <w:rsid w:val="009C5608"/>
    <w:rsid w:val="00BD269E"/>
    <w:rsid w:val="00BF0961"/>
    <w:rsid w:val="00E352C9"/>
    <w:rsid w:val="00E660ED"/>
    <w:rsid w:val="00E93259"/>
    <w:rsid w:val="00F07AA6"/>
    <w:rsid w:val="00F14860"/>
    <w:rsid w:val="00FD0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DDEA78"/>
  <w15:chartTrackingRefBased/>
  <w15:docId w15:val="{6A4E7B12-0A97-4F6A-8A3F-7E42B092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69E"/>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D269E"/>
    <w:pPr>
      <w:spacing w:after="120"/>
      <w:ind w:left="1134" w:right="1134"/>
      <w:jc w:val="both"/>
    </w:pPr>
  </w:style>
  <w:style w:type="paragraph" w:customStyle="1" w:styleId="HChG">
    <w:name w:val="_ H _Ch_G"/>
    <w:basedOn w:val="Normal"/>
    <w:next w:val="Normal"/>
    <w:rsid w:val="00BD269E"/>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
    <w:basedOn w:val="DefaultParagraphFont"/>
    <w:rsid w:val="00BD269E"/>
    <w:rPr>
      <w:rFonts w:ascii="Times New Roman" w:hAnsi="Times New Roman"/>
      <w:sz w:val="18"/>
      <w:vertAlign w:val="superscript"/>
    </w:rPr>
  </w:style>
  <w:style w:type="paragraph" w:styleId="FootnoteText">
    <w:name w:val="footnote text"/>
    <w:aliases w:val="5_G"/>
    <w:basedOn w:val="Normal"/>
    <w:link w:val="FootnoteTextChar"/>
    <w:rsid w:val="00BD269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D269E"/>
    <w:rPr>
      <w:rFonts w:ascii="Times New Roman" w:eastAsia="Times New Roman" w:hAnsi="Times New Roman" w:cs="Times New Roman"/>
      <w:sz w:val="18"/>
      <w:szCs w:val="20"/>
      <w:lang w:val="en-GB" w:eastAsia="en-US"/>
    </w:rPr>
  </w:style>
  <w:style w:type="paragraph" w:customStyle="1" w:styleId="H1G">
    <w:name w:val="_ H_1_G"/>
    <w:basedOn w:val="Normal"/>
    <w:next w:val="Normal"/>
    <w:rsid w:val="00BD269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D269E"/>
    <w:pPr>
      <w:keepNext/>
      <w:keepLines/>
      <w:tabs>
        <w:tab w:val="right" w:pos="851"/>
      </w:tabs>
      <w:spacing w:before="240" w:after="120" w:line="240" w:lineRule="exact"/>
      <w:ind w:left="1134" w:right="1134" w:hanging="1134"/>
    </w:pPr>
    <w:rPr>
      <w:b/>
    </w:rPr>
  </w:style>
  <w:style w:type="paragraph" w:styleId="Footer">
    <w:name w:val="footer"/>
    <w:aliases w:val="3_G"/>
    <w:basedOn w:val="Normal"/>
    <w:link w:val="FooterChar"/>
    <w:rsid w:val="00BD269E"/>
    <w:pPr>
      <w:spacing w:line="240" w:lineRule="auto"/>
    </w:pPr>
    <w:rPr>
      <w:sz w:val="16"/>
    </w:rPr>
  </w:style>
  <w:style w:type="character" w:customStyle="1" w:styleId="FooterChar">
    <w:name w:val="Footer Char"/>
    <w:aliases w:val="3_G Char"/>
    <w:basedOn w:val="DefaultParagraphFont"/>
    <w:link w:val="Footer"/>
    <w:rsid w:val="00BD269E"/>
    <w:rPr>
      <w:rFonts w:ascii="Times New Roman" w:eastAsia="Times New Roman" w:hAnsi="Times New Roman" w:cs="Times New Roman"/>
      <w:sz w:val="16"/>
      <w:szCs w:val="20"/>
      <w:lang w:val="en-GB" w:eastAsia="en-US"/>
    </w:rPr>
  </w:style>
  <w:style w:type="paragraph" w:styleId="Header">
    <w:name w:val="header"/>
    <w:aliases w:val="6_G"/>
    <w:basedOn w:val="Normal"/>
    <w:link w:val="HeaderChar"/>
    <w:rsid w:val="00BD269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D269E"/>
    <w:rPr>
      <w:rFonts w:ascii="Times New Roman" w:eastAsia="Times New Roman" w:hAnsi="Times New Roman" w:cs="Times New Roman"/>
      <w:b/>
      <w:sz w:val="18"/>
      <w:szCs w:val="20"/>
      <w:lang w:val="en-GB" w:eastAsia="en-US"/>
    </w:rPr>
  </w:style>
  <w:style w:type="character" w:customStyle="1" w:styleId="SingleTxtGChar">
    <w:name w:val="_ Single Txt_G Char"/>
    <w:link w:val="SingleTxtG"/>
    <w:rsid w:val="00BD269E"/>
    <w:rPr>
      <w:rFonts w:ascii="Times New Roman" w:eastAsia="Times New Roman" w:hAnsi="Times New Roman" w:cs="Times New Roman"/>
      <w:sz w:val="20"/>
      <w:szCs w:val="20"/>
      <w:lang w:val="en-GB" w:eastAsia="en-US"/>
    </w:rPr>
  </w:style>
  <w:style w:type="paragraph" w:customStyle="1" w:styleId="SSG">
    <w:name w:val="__S_S_G"/>
    <w:basedOn w:val="Normal"/>
    <w:next w:val="Normal"/>
    <w:rsid w:val="009C5608"/>
    <w:pPr>
      <w:keepNext/>
      <w:keepLines/>
      <w:spacing w:before="240" w:after="240" w:line="300" w:lineRule="exact"/>
      <w:ind w:left="1134" w:right="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Santer</dc:creator>
  <cp:keywords/>
  <dc:description/>
  <cp:lastModifiedBy>Elena Santer</cp:lastModifiedBy>
  <cp:revision>4</cp:revision>
  <cp:lastPrinted>2018-04-24T11:49:00Z</cp:lastPrinted>
  <dcterms:created xsi:type="dcterms:W3CDTF">2018-04-23T17:00:00Z</dcterms:created>
  <dcterms:modified xsi:type="dcterms:W3CDTF">2018-04-24T11:59:00Z</dcterms:modified>
</cp:coreProperties>
</file>