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9B4CC0" w14:paraId="31307F4B" w14:textId="77777777" w:rsidTr="009E6CB7">
        <w:trPr>
          <w:cantSplit/>
          <w:trHeight w:hRule="exact" w:val="851"/>
        </w:trPr>
        <w:tc>
          <w:tcPr>
            <w:tcW w:w="1276" w:type="dxa"/>
            <w:tcBorders>
              <w:bottom w:val="single" w:sz="4" w:space="0" w:color="auto"/>
            </w:tcBorders>
            <w:vAlign w:val="bottom"/>
          </w:tcPr>
          <w:p w14:paraId="32DD1883" w14:textId="77777777" w:rsidR="009E6CB7" w:rsidRPr="009B4CC0" w:rsidRDefault="009E6CB7" w:rsidP="006E0088">
            <w:pPr>
              <w:spacing w:line="20" w:lineRule="exact"/>
              <w:rPr>
                <w:sz w:val="2"/>
              </w:rPr>
            </w:pPr>
          </w:p>
          <w:p w14:paraId="670216CE" w14:textId="77777777" w:rsidR="006E0088" w:rsidRPr="009B4CC0" w:rsidRDefault="006E0088" w:rsidP="009E6CB7">
            <w:pPr>
              <w:spacing w:after="80"/>
            </w:pPr>
          </w:p>
        </w:tc>
        <w:tc>
          <w:tcPr>
            <w:tcW w:w="2268" w:type="dxa"/>
            <w:tcBorders>
              <w:bottom w:val="single" w:sz="4" w:space="0" w:color="auto"/>
            </w:tcBorders>
            <w:vAlign w:val="bottom"/>
          </w:tcPr>
          <w:p w14:paraId="5631C609" w14:textId="77777777" w:rsidR="009E6CB7" w:rsidRPr="009B4CC0" w:rsidRDefault="009E6CB7" w:rsidP="009E6CB7">
            <w:pPr>
              <w:spacing w:after="80" w:line="300" w:lineRule="exact"/>
              <w:rPr>
                <w:b/>
                <w:sz w:val="24"/>
                <w:szCs w:val="24"/>
              </w:rPr>
            </w:pPr>
            <w:r w:rsidRPr="009B4CC0">
              <w:rPr>
                <w:sz w:val="28"/>
                <w:szCs w:val="28"/>
              </w:rPr>
              <w:t>United Nations</w:t>
            </w:r>
          </w:p>
        </w:tc>
        <w:tc>
          <w:tcPr>
            <w:tcW w:w="6095" w:type="dxa"/>
            <w:gridSpan w:val="2"/>
            <w:tcBorders>
              <w:bottom w:val="single" w:sz="4" w:space="0" w:color="auto"/>
            </w:tcBorders>
            <w:vAlign w:val="bottom"/>
          </w:tcPr>
          <w:p w14:paraId="4E872202" w14:textId="77777777" w:rsidR="009E6CB7" w:rsidRPr="009B4CC0" w:rsidRDefault="00A80B0D" w:rsidP="00364F96">
            <w:pPr>
              <w:jc w:val="right"/>
            </w:pPr>
            <w:r w:rsidRPr="009B4CC0">
              <w:rPr>
                <w:sz w:val="40"/>
              </w:rPr>
              <w:t>ECE</w:t>
            </w:r>
            <w:r w:rsidRPr="009B4CC0">
              <w:t>/CEP/201</w:t>
            </w:r>
            <w:r w:rsidR="009D685E" w:rsidRPr="009B4CC0">
              <w:t>7</w:t>
            </w:r>
            <w:r w:rsidRPr="009B4CC0">
              <w:t>/</w:t>
            </w:r>
            <w:r w:rsidR="00364F96" w:rsidRPr="009B4CC0">
              <w:t>3</w:t>
            </w:r>
          </w:p>
        </w:tc>
      </w:tr>
      <w:tr w:rsidR="009E6CB7" w:rsidRPr="009B4CC0" w14:paraId="600CFC9B" w14:textId="77777777" w:rsidTr="009E6CB7">
        <w:trPr>
          <w:cantSplit/>
          <w:trHeight w:hRule="exact" w:val="2835"/>
        </w:trPr>
        <w:tc>
          <w:tcPr>
            <w:tcW w:w="1276" w:type="dxa"/>
            <w:tcBorders>
              <w:top w:val="single" w:sz="4" w:space="0" w:color="auto"/>
              <w:bottom w:val="single" w:sz="12" w:space="0" w:color="auto"/>
            </w:tcBorders>
          </w:tcPr>
          <w:p w14:paraId="2C902E8C" w14:textId="77777777" w:rsidR="009E6CB7" w:rsidRPr="009B4CC0" w:rsidRDefault="00BC7F91" w:rsidP="009E6CB7">
            <w:pPr>
              <w:spacing w:before="120"/>
            </w:pPr>
            <w:r w:rsidRPr="009B4CC0">
              <w:rPr>
                <w:noProof/>
                <w:lang w:eastAsia="zh-CN"/>
              </w:rPr>
              <w:drawing>
                <wp:inline distT="0" distB="0" distL="0" distR="0" wp14:anchorId="1C80908A" wp14:editId="0B35BEC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2568395" w14:textId="77777777" w:rsidR="009E6CB7" w:rsidRPr="009B4CC0" w:rsidRDefault="009E6CB7" w:rsidP="009E6CB7">
            <w:pPr>
              <w:spacing w:before="120" w:line="420" w:lineRule="exact"/>
              <w:rPr>
                <w:sz w:val="40"/>
                <w:szCs w:val="40"/>
              </w:rPr>
            </w:pPr>
            <w:r w:rsidRPr="009B4CC0">
              <w:rPr>
                <w:b/>
                <w:sz w:val="40"/>
                <w:szCs w:val="40"/>
              </w:rPr>
              <w:t>Economic and Social Council</w:t>
            </w:r>
          </w:p>
        </w:tc>
        <w:tc>
          <w:tcPr>
            <w:tcW w:w="2835" w:type="dxa"/>
            <w:tcBorders>
              <w:top w:val="single" w:sz="4" w:space="0" w:color="auto"/>
              <w:bottom w:val="single" w:sz="12" w:space="0" w:color="auto"/>
            </w:tcBorders>
          </w:tcPr>
          <w:p w14:paraId="3C02B2FC" w14:textId="77777777" w:rsidR="009E6CB7" w:rsidRPr="009B4CC0" w:rsidRDefault="00A80B0D" w:rsidP="00A80B0D">
            <w:pPr>
              <w:spacing w:before="240" w:line="240" w:lineRule="exact"/>
            </w:pPr>
            <w:r w:rsidRPr="009B4CC0">
              <w:t>Distr.: General</w:t>
            </w:r>
          </w:p>
          <w:p w14:paraId="4E994ECE" w14:textId="32EA1DDE" w:rsidR="00A80B0D" w:rsidRPr="009B4CC0" w:rsidRDefault="00C32DAE" w:rsidP="00A80B0D">
            <w:pPr>
              <w:spacing w:line="240" w:lineRule="exact"/>
            </w:pPr>
            <w:r>
              <w:t>1</w:t>
            </w:r>
            <w:r w:rsidR="00E7521E">
              <w:t>6</w:t>
            </w:r>
            <w:r w:rsidRPr="009B4CC0">
              <w:t xml:space="preserve"> </w:t>
            </w:r>
            <w:r w:rsidR="00CE7802" w:rsidRPr="009B4CC0">
              <w:t>November</w:t>
            </w:r>
            <w:r w:rsidR="009D685E" w:rsidRPr="009B4CC0">
              <w:t xml:space="preserve"> 2016</w:t>
            </w:r>
          </w:p>
          <w:p w14:paraId="6A7105D5" w14:textId="77777777" w:rsidR="00A80B0D" w:rsidRPr="009B4CC0" w:rsidRDefault="00A80B0D" w:rsidP="00A80B0D">
            <w:pPr>
              <w:spacing w:line="240" w:lineRule="exact"/>
            </w:pPr>
          </w:p>
          <w:p w14:paraId="0CF9A3C9" w14:textId="77777777" w:rsidR="00A80B0D" w:rsidRPr="009B4CC0" w:rsidRDefault="00A80B0D" w:rsidP="00A80B0D">
            <w:pPr>
              <w:spacing w:line="240" w:lineRule="exact"/>
            </w:pPr>
            <w:r w:rsidRPr="009B4CC0">
              <w:t>Original: English</w:t>
            </w:r>
          </w:p>
        </w:tc>
      </w:tr>
    </w:tbl>
    <w:p w14:paraId="6D43B50D" w14:textId="77777777" w:rsidR="00A80B0D" w:rsidRPr="009B4CC0" w:rsidRDefault="00A80B0D" w:rsidP="00A80B0D">
      <w:pPr>
        <w:spacing w:before="120"/>
        <w:rPr>
          <w:b/>
          <w:sz w:val="28"/>
          <w:szCs w:val="28"/>
        </w:rPr>
      </w:pPr>
      <w:r w:rsidRPr="009B4CC0">
        <w:rPr>
          <w:b/>
          <w:sz w:val="28"/>
          <w:szCs w:val="28"/>
        </w:rPr>
        <w:t>Economic Commission for Europe</w:t>
      </w:r>
    </w:p>
    <w:p w14:paraId="59859F65" w14:textId="77777777" w:rsidR="00A80B0D" w:rsidRPr="009B4CC0" w:rsidRDefault="00A80B0D" w:rsidP="00A80B0D">
      <w:pPr>
        <w:spacing w:before="120"/>
        <w:rPr>
          <w:bCs/>
          <w:sz w:val="28"/>
          <w:szCs w:val="28"/>
        </w:rPr>
      </w:pPr>
      <w:r w:rsidRPr="009B4CC0">
        <w:rPr>
          <w:bCs/>
          <w:sz w:val="28"/>
          <w:szCs w:val="28"/>
        </w:rPr>
        <w:t>Committee on Environmental Policy</w:t>
      </w:r>
    </w:p>
    <w:p w14:paraId="7640C047" w14:textId="77777777" w:rsidR="00A80B0D" w:rsidRPr="009B4CC0" w:rsidRDefault="00A80B0D" w:rsidP="00A80B0D">
      <w:pPr>
        <w:spacing w:before="120"/>
        <w:rPr>
          <w:b/>
        </w:rPr>
      </w:pPr>
      <w:r w:rsidRPr="009B4CC0">
        <w:rPr>
          <w:b/>
        </w:rPr>
        <w:t>Twenty-</w:t>
      </w:r>
      <w:r w:rsidR="009D685E" w:rsidRPr="009B4CC0">
        <w:rPr>
          <w:b/>
        </w:rPr>
        <w:t>second</w:t>
      </w:r>
      <w:r w:rsidRPr="009B4CC0">
        <w:rPr>
          <w:b/>
        </w:rPr>
        <w:t xml:space="preserve"> </w:t>
      </w:r>
      <w:proofErr w:type="gramStart"/>
      <w:r w:rsidRPr="009B4CC0">
        <w:rPr>
          <w:b/>
        </w:rPr>
        <w:t>session</w:t>
      </w:r>
      <w:proofErr w:type="gramEnd"/>
    </w:p>
    <w:p w14:paraId="2D1D54C9" w14:textId="77777777" w:rsidR="00A80B0D" w:rsidRPr="009B4CC0" w:rsidRDefault="00A80B0D" w:rsidP="00A80B0D">
      <w:pPr>
        <w:spacing w:line="264" w:lineRule="auto"/>
      </w:pPr>
      <w:r w:rsidRPr="009B4CC0">
        <w:t>Geneva, 2</w:t>
      </w:r>
      <w:r w:rsidR="009D685E" w:rsidRPr="009B4CC0">
        <w:t>5–27</w:t>
      </w:r>
      <w:r w:rsidRPr="009B4CC0">
        <w:t xml:space="preserve"> </w:t>
      </w:r>
      <w:r w:rsidR="009D685E" w:rsidRPr="009B4CC0">
        <w:t>January 2017</w:t>
      </w:r>
    </w:p>
    <w:p w14:paraId="594A798F" w14:textId="77777777" w:rsidR="00A80B0D" w:rsidRPr="009B4CC0" w:rsidRDefault="00A80B0D" w:rsidP="00A80B0D">
      <w:pPr>
        <w:spacing w:line="240" w:lineRule="auto"/>
      </w:pPr>
      <w:r w:rsidRPr="009B4CC0">
        <w:t xml:space="preserve">Item </w:t>
      </w:r>
      <w:proofErr w:type="gramStart"/>
      <w:r w:rsidR="000E75E7" w:rsidRPr="009B4CC0">
        <w:t>6</w:t>
      </w:r>
      <w:proofErr w:type="gramEnd"/>
      <w:r w:rsidR="000E75E7" w:rsidRPr="009B4CC0">
        <w:t xml:space="preserve"> </w:t>
      </w:r>
      <w:r w:rsidRPr="009B4CC0">
        <w:t>of the provisional agenda</w:t>
      </w:r>
    </w:p>
    <w:p w14:paraId="19265B49" w14:textId="77777777" w:rsidR="00AD71B2" w:rsidRPr="009B4CC0" w:rsidRDefault="000E75E7" w:rsidP="00AD71B2">
      <w:pPr>
        <w:spacing w:line="240" w:lineRule="auto"/>
      </w:pPr>
      <w:r w:rsidRPr="009B4CC0">
        <w:rPr>
          <w:b/>
        </w:rPr>
        <w:t>Environmental monitoring, assessment and reporting</w:t>
      </w:r>
      <w:r w:rsidR="00A52EA1" w:rsidRPr="009B4CC0">
        <w:rPr>
          <w:b/>
        </w:rPr>
        <w:t xml:space="preserve"> </w:t>
      </w:r>
    </w:p>
    <w:p w14:paraId="6F88CE6B" w14:textId="3DBBFBD9" w:rsidR="00A80B0D" w:rsidRPr="009B4CC0" w:rsidRDefault="00A234E1" w:rsidP="000D0D8D">
      <w:pPr>
        <w:pStyle w:val="HChG"/>
        <w:spacing w:before="300"/>
      </w:pPr>
      <w:r w:rsidRPr="009B4CC0">
        <w:tab/>
      </w:r>
      <w:r w:rsidRPr="009B4CC0">
        <w:tab/>
      </w:r>
      <w:r w:rsidR="00735EED" w:rsidRPr="009B4CC0">
        <w:t>Renewal</w:t>
      </w:r>
      <w:r w:rsidR="009D685E" w:rsidRPr="009B4CC0">
        <w:t xml:space="preserve"> of the mandate </w:t>
      </w:r>
      <w:r w:rsidR="00F202CF" w:rsidRPr="00F202CF">
        <w:t xml:space="preserve">and terms of reference </w:t>
      </w:r>
      <w:r w:rsidR="009D685E" w:rsidRPr="00DB3F3D">
        <w:t>of</w:t>
      </w:r>
      <w:r w:rsidR="009D685E" w:rsidRPr="009B4CC0">
        <w:t xml:space="preserve"> the</w:t>
      </w:r>
      <w:r w:rsidR="00C32DAE">
        <w:t xml:space="preserve"> </w:t>
      </w:r>
      <w:r w:rsidR="009D685E" w:rsidRPr="009B4CC0">
        <w:t>Working Group on Environmental Monitoring and</w:t>
      </w:r>
      <w:r w:rsidR="00C32DAE">
        <w:t xml:space="preserve"> </w:t>
      </w:r>
      <w:r w:rsidR="009D685E" w:rsidRPr="009B4CC0">
        <w:t>Assessment</w:t>
      </w:r>
    </w:p>
    <w:p w14:paraId="6E63C2F9" w14:textId="0324F9FC" w:rsidR="00A80B0D" w:rsidRPr="009B4CC0" w:rsidRDefault="00A80B0D" w:rsidP="000D0D8D">
      <w:pPr>
        <w:pStyle w:val="H1G"/>
        <w:spacing w:before="300"/>
        <w:rPr>
          <w:rFonts w:eastAsia="ヒラギノ角ゴ Pro W3"/>
          <w:lang w:eastAsia="en-GB"/>
        </w:rPr>
      </w:pPr>
      <w:r w:rsidRPr="009B4CC0">
        <w:rPr>
          <w:rFonts w:eastAsia="ヒラギノ角ゴ Pro W3"/>
          <w:lang w:eastAsia="en-GB"/>
        </w:rPr>
        <w:tab/>
      </w:r>
      <w:r w:rsidRPr="009B4CC0">
        <w:rPr>
          <w:rFonts w:eastAsia="ヒラギノ角ゴ Pro W3"/>
          <w:lang w:eastAsia="en-GB"/>
        </w:rPr>
        <w:tab/>
        <w:t xml:space="preserve">Note </w:t>
      </w:r>
      <w:proofErr w:type="gramStart"/>
      <w:r w:rsidRPr="009B4CC0">
        <w:rPr>
          <w:rFonts w:eastAsia="ヒラギノ角ゴ Pro W3"/>
          <w:lang w:eastAsia="en-GB"/>
        </w:rPr>
        <w:t xml:space="preserve">by the </w:t>
      </w:r>
      <w:r w:rsidR="0081072A" w:rsidRPr="009B4CC0">
        <w:rPr>
          <w:rFonts w:eastAsia="ヒラギノ角ゴ Pro W3"/>
          <w:lang w:eastAsia="en-GB"/>
        </w:rPr>
        <w:t xml:space="preserve">secretariat in consultation with the </w:t>
      </w:r>
      <w:r w:rsidR="00A177F7" w:rsidRPr="009B4CC0">
        <w:rPr>
          <w:rFonts w:eastAsia="ヒラギノ角ゴ Pro W3"/>
          <w:lang w:eastAsia="en-GB"/>
        </w:rPr>
        <w:t>Working Group on Environmental Monitoring and Assessment</w:t>
      </w:r>
      <w:proofErr w:type="gramEnd"/>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A234E1" w:rsidRPr="009B4CC0" w14:paraId="02F79CDF" w14:textId="77777777" w:rsidTr="00A234E1">
        <w:trPr>
          <w:jc w:val="center"/>
        </w:trPr>
        <w:tc>
          <w:tcPr>
            <w:tcW w:w="9637" w:type="dxa"/>
            <w:shd w:val="clear" w:color="auto" w:fill="auto"/>
          </w:tcPr>
          <w:p w14:paraId="043BBE13" w14:textId="77777777" w:rsidR="00A234E1" w:rsidRPr="009B4CC0" w:rsidRDefault="00A234E1" w:rsidP="00965BD8">
            <w:pPr>
              <w:spacing w:before="200" w:after="120"/>
              <w:ind w:left="255"/>
              <w:rPr>
                <w:rFonts w:eastAsia="ヒラギノ角ゴ Pro W3"/>
                <w:b/>
                <w:i/>
                <w:sz w:val="24"/>
                <w:lang w:eastAsia="en-GB"/>
              </w:rPr>
            </w:pPr>
            <w:r w:rsidRPr="009B4CC0">
              <w:rPr>
                <w:rFonts w:eastAsia="ヒラギノ角ゴ Pro W3"/>
                <w:i/>
                <w:sz w:val="24"/>
                <w:lang w:eastAsia="en-GB"/>
              </w:rPr>
              <w:t>Summary</w:t>
            </w:r>
          </w:p>
        </w:tc>
      </w:tr>
      <w:tr w:rsidR="00A234E1" w:rsidRPr="009B4CC0" w14:paraId="606016D8" w14:textId="77777777" w:rsidTr="00A234E1">
        <w:trPr>
          <w:jc w:val="center"/>
        </w:trPr>
        <w:tc>
          <w:tcPr>
            <w:tcW w:w="9637" w:type="dxa"/>
            <w:shd w:val="clear" w:color="auto" w:fill="auto"/>
          </w:tcPr>
          <w:p w14:paraId="7049D2CD" w14:textId="4ECD4DB1" w:rsidR="00B23C8B" w:rsidRPr="009B4CC0" w:rsidRDefault="00735EED" w:rsidP="00735EED">
            <w:pPr>
              <w:pStyle w:val="SingleTxtG"/>
              <w:spacing w:line="240" w:lineRule="auto"/>
              <w:rPr>
                <w:rFonts w:eastAsia="ヒラギノ角ゴ Pro W3"/>
                <w:lang w:eastAsia="en-GB"/>
              </w:rPr>
            </w:pPr>
            <w:r w:rsidRPr="009B4CC0">
              <w:rPr>
                <w:rFonts w:eastAsia="ヒラギノ角ゴ Pro W3"/>
                <w:lang w:eastAsia="en-GB"/>
              </w:rPr>
              <w:tab/>
            </w:r>
            <w:r w:rsidR="006B0CE5" w:rsidRPr="009B4CC0">
              <w:rPr>
                <w:rFonts w:eastAsia="ヒラギノ角ゴ Pro W3"/>
                <w:lang w:eastAsia="en-GB"/>
              </w:rPr>
              <w:t>A</w:t>
            </w:r>
            <w:r w:rsidR="00BB7119" w:rsidRPr="009B4CC0">
              <w:rPr>
                <w:rFonts w:eastAsia="ヒラギノ角ゴ Pro W3"/>
                <w:lang w:eastAsia="en-GB"/>
              </w:rPr>
              <w:t xml:space="preserve">t its twenty-first session (Geneva, 27–30 October 2015), </w:t>
            </w:r>
            <w:r w:rsidR="006B0CE5" w:rsidRPr="009B4CC0">
              <w:rPr>
                <w:rFonts w:eastAsia="ヒラギノ角ゴ Pro W3"/>
                <w:lang w:eastAsia="en-GB"/>
              </w:rPr>
              <w:t xml:space="preserve">the </w:t>
            </w:r>
            <w:r w:rsidR="006B6310" w:rsidRPr="009B4CC0">
              <w:rPr>
                <w:rFonts w:eastAsia="ヒラギノ角ゴ Pro W3"/>
                <w:lang w:eastAsia="en-GB"/>
              </w:rPr>
              <w:t>United Nation</w:t>
            </w:r>
            <w:r w:rsidR="00A439A7" w:rsidRPr="009B4CC0">
              <w:rPr>
                <w:rFonts w:eastAsia="ヒラギノ角ゴ Pro W3"/>
                <w:lang w:eastAsia="en-GB"/>
              </w:rPr>
              <w:t xml:space="preserve">s </w:t>
            </w:r>
            <w:r w:rsidR="006B6310" w:rsidRPr="009B4CC0">
              <w:rPr>
                <w:rFonts w:eastAsia="ヒラギノ角ゴ Pro W3"/>
                <w:lang w:eastAsia="en-GB"/>
              </w:rPr>
              <w:t xml:space="preserve">Economic Commission for Europe (ECE) </w:t>
            </w:r>
            <w:r w:rsidR="006B0CE5" w:rsidRPr="009B4CC0">
              <w:rPr>
                <w:rFonts w:eastAsia="ヒラギノ角ゴ Pro W3"/>
                <w:lang w:eastAsia="en-GB"/>
              </w:rPr>
              <w:t xml:space="preserve">Committee </w:t>
            </w:r>
            <w:r w:rsidR="00B23C8B" w:rsidRPr="009B4CC0">
              <w:rPr>
                <w:rFonts w:eastAsia="ヒラギノ角ゴ Pro W3"/>
                <w:lang w:eastAsia="en-GB"/>
              </w:rPr>
              <w:t xml:space="preserve">on Environmental Policy </w:t>
            </w:r>
            <w:r w:rsidR="00DB3F3D">
              <w:rPr>
                <w:rFonts w:eastAsia="ヒラギノ角ゴ Pro W3"/>
                <w:lang w:eastAsia="en-GB"/>
              </w:rPr>
              <w:t xml:space="preserve">renewed </w:t>
            </w:r>
            <w:r w:rsidR="00BB7119" w:rsidRPr="009B4CC0">
              <w:rPr>
                <w:rFonts w:eastAsia="ヒラギノ角ゴ Pro W3"/>
                <w:lang w:eastAsia="en-GB"/>
              </w:rPr>
              <w:t xml:space="preserve">the mandate </w:t>
            </w:r>
            <w:r w:rsidR="00B23C8B" w:rsidRPr="009B4CC0">
              <w:rPr>
                <w:rFonts w:eastAsia="ヒラギノ角ゴ Pro W3"/>
                <w:lang w:eastAsia="en-GB"/>
              </w:rPr>
              <w:t xml:space="preserve">and terms of reference </w:t>
            </w:r>
            <w:r w:rsidR="00BB7119" w:rsidRPr="009B4CC0">
              <w:rPr>
                <w:rFonts w:eastAsia="ヒラギノ角ゴ Pro W3"/>
                <w:lang w:eastAsia="en-GB"/>
              </w:rPr>
              <w:t xml:space="preserve">of the Working Group </w:t>
            </w:r>
            <w:r w:rsidR="00B23C8B" w:rsidRPr="009B4CC0">
              <w:rPr>
                <w:rFonts w:eastAsia="ヒラギノ角ゴ Pro W3"/>
                <w:lang w:eastAsia="en-GB"/>
              </w:rPr>
              <w:t>on Environmental Monitoring and Assessment</w:t>
            </w:r>
            <w:r w:rsidR="00F202CF">
              <w:rPr>
                <w:rFonts w:eastAsia="ヒラギノ角ゴ Pro W3"/>
                <w:lang w:eastAsia="en-GB"/>
              </w:rPr>
              <w:t xml:space="preserve"> </w:t>
            </w:r>
            <w:r w:rsidR="00F202CF" w:rsidRPr="009B4CC0">
              <w:rPr>
                <w:rFonts w:eastAsia="ヒラギノ角ゴ Pro W3"/>
                <w:lang w:eastAsia="en-GB"/>
              </w:rPr>
              <w:t xml:space="preserve">for </w:t>
            </w:r>
            <w:r w:rsidR="00DB3F3D">
              <w:rPr>
                <w:rFonts w:eastAsia="ヒラギノ角ゴ Pro W3"/>
                <w:lang w:eastAsia="en-GB"/>
              </w:rPr>
              <w:t>one year</w:t>
            </w:r>
            <w:r w:rsidR="00E029BE">
              <w:rPr>
                <w:rFonts w:eastAsia="ヒラギノ角ゴ Pro W3"/>
                <w:lang w:eastAsia="en-GB"/>
              </w:rPr>
              <w:t>. The Committee</w:t>
            </w:r>
            <w:r w:rsidR="00B23C8B" w:rsidRPr="009B4CC0">
              <w:t xml:space="preserve"> requested the secretariat to </w:t>
            </w:r>
            <w:r w:rsidR="00E029BE">
              <w:t xml:space="preserve">submit the renewed mandate to the Executive Committee for approval, </w:t>
            </w:r>
            <w:proofErr w:type="gramStart"/>
            <w:r w:rsidR="00E029BE">
              <w:t>and also</w:t>
            </w:r>
            <w:proofErr w:type="gramEnd"/>
            <w:r w:rsidR="00E029BE">
              <w:t xml:space="preserve"> to </w:t>
            </w:r>
            <w:r w:rsidR="00B23C8B" w:rsidRPr="009B4CC0">
              <w:t xml:space="preserve">prepare for the Committee’s twenty-second session an updated proposal for </w:t>
            </w:r>
            <w:r w:rsidR="00F202CF">
              <w:t xml:space="preserve">the </w:t>
            </w:r>
            <w:r w:rsidR="00B23C8B" w:rsidRPr="009B4CC0">
              <w:t>terms of reference for the Working Group (ECE/CEP/2015/2</w:t>
            </w:r>
            <w:r w:rsidR="00F202CF">
              <w:t>, paras. 91–92</w:t>
            </w:r>
            <w:r w:rsidR="00B23C8B" w:rsidRPr="009B4CC0">
              <w:t>)</w:t>
            </w:r>
            <w:r w:rsidR="00BB7119" w:rsidRPr="009B4CC0">
              <w:rPr>
                <w:rFonts w:eastAsia="ヒラギノ角ゴ Pro W3"/>
                <w:lang w:eastAsia="en-GB"/>
              </w:rPr>
              <w:t xml:space="preserve">. </w:t>
            </w:r>
            <w:r w:rsidR="00E029BE">
              <w:rPr>
                <w:rFonts w:eastAsia="ヒラギノ角ゴ Pro W3"/>
                <w:lang w:eastAsia="en-GB"/>
              </w:rPr>
              <w:t>A</w:t>
            </w:r>
            <w:r w:rsidR="00E029BE" w:rsidRPr="009B4CC0">
              <w:rPr>
                <w:rFonts w:eastAsia="ヒラギノ角ゴ Pro W3"/>
                <w:lang w:eastAsia="en-GB"/>
              </w:rPr>
              <w:t>t its meeting in Geneva on 10 May 2016</w:t>
            </w:r>
            <w:r w:rsidR="00E029BE">
              <w:rPr>
                <w:rFonts w:eastAsia="ヒラギノ角ゴ Pro W3"/>
                <w:lang w:eastAsia="en-GB"/>
              </w:rPr>
              <w:t>,</w:t>
            </w:r>
            <w:r w:rsidR="00E029BE" w:rsidRPr="009B4CC0">
              <w:rPr>
                <w:rFonts w:eastAsia="ヒラギノ角ゴ Pro W3"/>
                <w:lang w:eastAsia="en-GB"/>
              </w:rPr>
              <w:t xml:space="preserve"> </w:t>
            </w:r>
            <w:r w:rsidR="00E029BE">
              <w:rPr>
                <w:rFonts w:eastAsia="ヒラギノ角ゴ Pro W3"/>
                <w:lang w:eastAsia="en-GB"/>
              </w:rPr>
              <w:t>t</w:t>
            </w:r>
            <w:r w:rsidR="00B87308" w:rsidRPr="009B4CC0">
              <w:rPr>
                <w:rFonts w:eastAsia="ヒラギノ角ゴ Pro W3"/>
                <w:lang w:eastAsia="en-GB"/>
              </w:rPr>
              <w:t>he ECE Executive Committee approved the renewed mandate of the Working Group (ECE/EX/2016/L.11).</w:t>
            </w:r>
          </w:p>
          <w:p w14:paraId="5B2900BA" w14:textId="0506764A" w:rsidR="006D1CFE" w:rsidRPr="009B4CC0" w:rsidRDefault="00735EED" w:rsidP="00A177F7">
            <w:pPr>
              <w:pStyle w:val="SingleTxtG"/>
              <w:spacing w:line="240" w:lineRule="auto"/>
              <w:rPr>
                <w:rFonts w:eastAsia="ヒラギノ角ゴ Pro W3"/>
                <w:lang w:eastAsia="en-GB"/>
              </w:rPr>
            </w:pPr>
            <w:r w:rsidRPr="009B4CC0">
              <w:rPr>
                <w:rFonts w:eastAsia="ヒラギノ角ゴ Pro W3"/>
                <w:lang w:eastAsia="en-GB"/>
              </w:rPr>
              <w:tab/>
            </w:r>
            <w:r w:rsidR="009D685E" w:rsidRPr="009B4CC0">
              <w:rPr>
                <w:rFonts w:eastAsia="ヒラギノ角ゴ Pro W3"/>
                <w:lang w:eastAsia="en-GB"/>
              </w:rPr>
              <w:t>The present document contains a review of the Working Group’s a</w:t>
            </w:r>
            <w:bookmarkStart w:id="0" w:name="_GoBack"/>
            <w:bookmarkEnd w:id="0"/>
            <w:r w:rsidR="009D685E" w:rsidRPr="009B4CC0">
              <w:rPr>
                <w:rFonts w:eastAsia="ヒラギノ角ゴ Pro W3"/>
                <w:lang w:eastAsia="en-GB"/>
              </w:rPr>
              <w:t>chievements for the period</w:t>
            </w:r>
            <w:r w:rsidRPr="009B4CC0">
              <w:rPr>
                <w:rFonts w:eastAsia="ヒラギノ角ゴ Pro W3"/>
                <w:lang w:eastAsia="en-GB"/>
              </w:rPr>
              <w:t xml:space="preserve"> 2015</w:t>
            </w:r>
            <w:r w:rsidR="00045218" w:rsidRPr="009B4CC0">
              <w:rPr>
                <w:rFonts w:eastAsia="ヒラギノ角ゴ Pro W3"/>
                <w:lang w:eastAsia="en-GB"/>
              </w:rPr>
              <w:t>–</w:t>
            </w:r>
            <w:r w:rsidRPr="009B4CC0">
              <w:rPr>
                <w:rFonts w:eastAsia="ヒラギノ角ゴ Pro W3"/>
                <w:lang w:eastAsia="en-GB"/>
              </w:rPr>
              <w:t>2016</w:t>
            </w:r>
            <w:r w:rsidR="00A177F7" w:rsidRPr="009B4CC0">
              <w:rPr>
                <w:rFonts w:eastAsia="ヒラギノ角ゴ Pro W3"/>
                <w:lang w:eastAsia="en-GB"/>
              </w:rPr>
              <w:t xml:space="preserve"> and</w:t>
            </w:r>
            <w:r w:rsidR="006D1CFE" w:rsidRPr="009B4CC0">
              <w:rPr>
                <w:rFonts w:eastAsia="ヒラギノ角ゴ Pro W3"/>
                <w:lang w:eastAsia="en-GB"/>
              </w:rPr>
              <w:t xml:space="preserve"> presents, in an annex,</w:t>
            </w:r>
            <w:r w:rsidR="00A177F7" w:rsidRPr="009B4CC0">
              <w:rPr>
                <w:rFonts w:eastAsia="ヒラギノ角ゴ Pro W3"/>
                <w:lang w:eastAsia="en-GB"/>
              </w:rPr>
              <w:t xml:space="preserve"> </w:t>
            </w:r>
            <w:r w:rsidR="006D1CFE" w:rsidRPr="009B4CC0">
              <w:rPr>
                <w:rFonts w:eastAsia="ヒラギノ角ゴ Pro W3"/>
                <w:lang w:eastAsia="en-GB"/>
              </w:rPr>
              <w:t xml:space="preserve">a draft decision on the renewal of its mandate and terms of reference for a further five-year period. </w:t>
            </w:r>
            <w:r w:rsidR="00A177F7" w:rsidRPr="009B4CC0">
              <w:rPr>
                <w:rFonts w:eastAsia="ヒラギノ角ゴ Pro W3"/>
                <w:lang w:eastAsia="en-GB"/>
              </w:rPr>
              <w:t xml:space="preserve">The document </w:t>
            </w:r>
            <w:proofErr w:type="gramStart"/>
            <w:r w:rsidR="00A177F7" w:rsidRPr="009B4CC0">
              <w:rPr>
                <w:rFonts w:eastAsia="ヒラギノ角ゴ Pro W3"/>
                <w:lang w:eastAsia="en-GB"/>
              </w:rPr>
              <w:t>was prepared</w:t>
            </w:r>
            <w:proofErr w:type="gramEnd"/>
            <w:r w:rsidR="00A177F7" w:rsidRPr="009B4CC0">
              <w:rPr>
                <w:rFonts w:eastAsia="ヒラギノ角ゴ Pro W3"/>
                <w:lang w:eastAsia="en-GB"/>
              </w:rPr>
              <w:t xml:space="preserve"> by the </w:t>
            </w:r>
            <w:r w:rsidR="00006AD0">
              <w:rPr>
                <w:rFonts w:eastAsia="ヒラギノ角ゴ Pro W3"/>
                <w:lang w:eastAsia="en-GB"/>
              </w:rPr>
              <w:t xml:space="preserve">secretariat with the </w:t>
            </w:r>
            <w:r w:rsidR="00A177F7" w:rsidRPr="009B4CC0">
              <w:rPr>
                <w:rFonts w:eastAsia="ヒラギノ角ゴ Pro W3"/>
                <w:lang w:eastAsia="en-GB"/>
              </w:rPr>
              <w:t>Working Group</w:t>
            </w:r>
            <w:r w:rsidR="00006AD0">
              <w:rPr>
                <w:rFonts w:eastAsia="ヒラギノ角ゴ Pro W3"/>
                <w:lang w:eastAsia="en-GB"/>
              </w:rPr>
              <w:t>’s support</w:t>
            </w:r>
            <w:r w:rsidR="00683518">
              <w:rPr>
                <w:rFonts w:eastAsia="ヒラギノ角ゴ Pro W3"/>
                <w:lang w:eastAsia="en-GB"/>
              </w:rPr>
              <w:t xml:space="preserve"> and </w:t>
            </w:r>
            <w:r w:rsidR="00683518" w:rsidRPr="00683518">
              <w:rPr>
                <w:rFonts w:eastAsia="ヒラギノ角ゴ Pro W3"/>
                <w:lang w:eastAsia="en-GB"/>
              </w:rPr>
              <w:t>in consultation with the ECE Statistical Division</w:t>
            </w:r>
            <w:r w:rsidR="00A177F7" w:rsidRPr="009B4CC0">
              <w:rPr>
                <w:rFonts w:eastAsia="ヒラギノ角ゴ Pro W3"/>
                <w:lang w:eastAsia="en-GB"/>
              </w:rPr>
              <w:t xml:space="preserve">. </w:t>
            </w:r>
          </w:p>
          <w:p w14:paraId="41C9651F" w14:textId="329B34D7" w:rsidR="00A177F7" w:rsidRPr="009B4CC0" w:rsidRDefault="006D1CFE" w:rsidP="00C45DD9">
            <w:pPr>
              <w:pStyle w:val="SingleTxtG"/>
              <w:spacing w:line="240" w:lineRule="auto"/>
              <w:rPr>
                <w:rFonts w:eastAsia="ヒラギノ角ゴ Pro W3"/>
                <w:lang w:eastAsia="en-GB"/>
              </w:rPr>
            </w:pPr>
            <w:r w:rsidRPr="009B4CC0">
              <w:rPr>
                <w:rFonts w:eastAsia="ヒラギノ角ゴ Pro W3"/>
                <w:lang w:eastAsia="en-GB"/>
              </w:rPr>
              <w:tab/>
              <w:t xml:space="preserve">The Committee on Environmental Policy </w:t>
            </w:r>
            <w:proofErr w:type="gramStart"/>
            <w:r w:rsidRPr="009B4CC0">
              <w:rPr>
                <w:rFonts w:eastAsia="ヒラギノ角ゴ Pro W3"/>
                <w:lang w:eastAsia="en-GB"/>
              </w:rPr>
              <w:t>will be invited</w:t>
            </w:r>
            <w:proofErr w:type="gramEnd"/>
            <w:r w:rsidRPr="009B4CC0">
              <w:rPr>
                <w:rFonts w:eastAsia="ヒラギノ角ゴ Pro W3"/>
                <w:lang w:eastAsia="en-GB"/>
              </w:rPr>
              <w:t xml:space="preserve"> to consider the document with a view to </w:t>
            </w:r>
            <w:r w:rsidR="00B87308" w:rsidRPr="009B4CC0">
              <w:rPr>
                <w:rFonts w:eastAsia="ヒラギノ角ゴ Pro W3"/>
                <w:lang w:eastAsia="en-GB"/>
              </w:rPr>
              <w:t>adopt</w:t>
            </w:r>
            <w:r w:rsidR="00F202CF">
              <w:rPr>
                <w:rFonts w:eastAsia="ヒラギノ角ゴ Pro W3"/>
                <w:lang w:eastAsia="en-GB"/>
              </w:rPr>
              <w:t>ing</w:t>
            </w:r>
            <w:r w:rsidR="00B87308" w:rsidRPr="009B4CC0">
              <w:rPr>
                <w:rFonts w:eastAsia="ヒラギノ角ゴ Pro W3"/>
                <w:lang w:eastAsia="en-GB"/>
              </w:rPr>
              <w:t xml:space="preserve"> the renewed mandate and terms of reference of the Working Group and subsequently submit</w:t>
            </w:r>
            <w:r w:rsidR="00F202CF">
              <w:rPr>
                <w:rFonts w:eastAsia="ヒラギノ角ゴ Pro W3"/>
                <w:lang w:eastAsia="en-GB"/>
              </w:rPr>
              <w:t>ting</w:t>
            </w:r>
            <w:r w:rsidR="00B87308" w:rsidRPr="009B4CC0">
              <w:rPr>
                <w:rFonts w:eastAsia="ヒラギノ角ゴ Pro W3"/>
                <w:lang w:eastAsia="en-GB"/>
              </w:rPr>
              <w:t xml:space="preserve"> them to the ECE Executive Committee for approval.</w:t>
            </w:r>
          </w:p>
          <w:p w14:paraId="4F0DD2E2" w14:textId="77777777" w:rsidR="00952853" w:rsidRPr="009B4CC0" w:rsidRDefault="00952853" w:rsidP="00C45DD9">
            <w:pPr>
              <w:pStyle w:val="SingleTxtG"/>
              <w:spacing w:line="240" w:lineRule="auto"/>
              <w:rPr>
                <w:rFonts w:eastAsia="ヒラギノ角ゴ Pro W3"/>
                <w:sz w:val="10"/>
                <w:szCs w:val="10"/>
                <w:lang w:eastAsia="en-GB"/>
              </w:rPr>
            </w:pPr>
          </w:p>
        </w:tc>
      </w:tr>
    </w:tbl>
    <w:p w14:paraId="3A987354" w14:textId="77777777" w:rsidR="009B4CC0" w:rsidRDefault="009B4CC0">
      <w:pPr>
        <w:suppressAutoHyphens w:val="0"/>
        <w:spacing w:line="240" w:lineRule="auto"/>
        <w:rPr>
          <w:b/>
          <w:sz w:val="28"/>
        </w:rPr>
      </w:pPr>
      <w:r>
        <w:br w:type="page"/>
      </w:r>
    </w:p>
    <w:p w14:paraId="4C77A6B2" w14:textId="77777777" w:rsidR="009B4CC0" w:rsidRDefault="009B4CC0" w:rsidP="009B4CC0">
      <w:pPr>
        <w:spacing w:after="120"/>
        <w:rPr>
          <w:sz w:val="28"/>
        </w:rPr>
      </w:pPr>
      <w:r>
        <w:rPr>
          <w:sz w:val="28"/>
        </w:rPr>
        <w:lastRenderedPageBreak/>
        <w:t>Contents</w:t>
      </w:r>
    </w:p>
    <w:p w14:paraId="7EA059F3" w14:textId="77777777" w:rsidR="009B4CC0" w:rsidRDefault="009B4CC0" w:rsidP="009B4CC0">
      <w:pPr>
        <w:tabs>
          <w:tab w:val="right" w:pos="9638"/>
        </w:tabs>
        <w:spacing w:after="120"/>
        <w:ind w:left="283"/>
        <w:rPr>
          <w:sz w:val="18"/>
        </w:rPr>
      </w:pPr>
      <w:r>
        <w:rPr>
          <w:i/>
          <w:sz w:val="18"/>
        </w:rPr>
        <w:tab/>
        <w:t>Page</w:t>
      </w:r>
    </w:p>
    <w:p w14:paraId="0E622625" w14:textId="045FFC17" w:rsidR="009B4CC0" w:rsidRDefault="009B4CC0" w:rsidP="009B4CC0">
      <w:pPr>
        <w:tabs>
          <w:tab w:val="right" w:pos="850"/>
          <w:tab w:val="left" w:pos="1134"/>
          <w:tab w:val="left" w:pos="1559"/>
          <w:tab w:val="left" w:pos="1984"/>
          <w:tab w:val="left" w:leader="dot" w:pos="8929"/>
          <w:tab w:val="right" w:pos="9638"/>
        </w:tabs>
        <w:spacing w:after="120"/>
        <w:rPr>
          <w:rFonts w:eastAsia="ヒラギノ角ゴ Pro W3"/>
          <w:lang w:eastAsia="en-GB"/>
        </w:rPr>
      </w:pPr>
      <w:r>
        <w:rPr>
          <w:rFonts w:eastAsia="ヒラギノ角ゴ Pro W3"/>
          <w:lang w:eastAsia="en-GB"/>
        </w:rPr>
        <w:tab/>
        <w:t>I.</w:t>
      </w:r>
      <w:r>
        <w:rPr>
          <w:rFonts w:eastAsia="ヒラギノ角ゴ Pro W3"/>
          <w:lang w:eastAsia="en-GB"/>
        </w:rPr>
        <w:tab/>
        <w:t>Background</w:t>
      </w:r>
      <w:r>
        <w:rPr>
          <w:rFonts w:eastAsia="ヒラギノ角ゴ Pro W3"/>
          <w:lang w:eastAsia="en-GB"/>
        </w:rPr>
        <w:tab/>
      </w:r>
      <w:r>
        <w:rPr>
          <w:rFonts w:eastAsia="ヒラギノ角ゴ Pro W3"/>
          <w:lang w:eastAsia="en-GB"/>
        </w:rPr>
        <w:tab/>
        <w:t>3</w:t>
      </w:r>
    </w:p>
    <w:p w14:paraId="665E1F1F" w14:textId="4EF4DD79" w:rsidR="009B4CC0" w:rsidRDefault="009B4CC0" w:rsidP="009B4CC0">
      <w:pPr>
        <w:tabs>
          <w:tab w:val="right" w:pos="850"/>
          <w:tab w:val="left" w:pos="1134"/>
          <w:tab w:val="left" w:pos="1559"/>
          <w:tab w:val="left" w:pos="1984"/>
          <w:tab w:val="left" w:leader="dot" w:pos="8929"/>
          <w:tab w:val="right" w:pos="9638"/>
        </w:tabs>
        <w:spacing w:after="120"/>
        <w:rPr>
          <w:rFonts w:eastAsia="ヒラギノ角ゴ Pro W3"/>
          <w:lang w:eastAsia="en-GB"/>
        </w:rPr>
      </w:pPr>
      <w:r>
        <w:rPr>
          <w:rFonts w:eastAsia="ヒラギノ角ゴ Pro W3"/>
          <w:lang w:eastAsia="en-GB"/>
        </w:rPr>
        <w:tab/>
        <w:t>II.</w:t>
      </w:r>
      <w:r>
        <w:rPr>
          <w:rFonts w:eastAsia="ヒラギノ角ゴ Pro W3"/>
          <w:lang w:eastAsia="en-GB"/>
        </w:rPr>
        <w:tab/>
        <w:t>History and achievements of the Working Group</w:t>
      </w:r>
      <w:r w:rsidR="00C32DAE">
        <w:rPr>
          <w:rFonts w:eastAsia="ヒラギノ角ゴ Pro W3"/>
          <w:lang w:eastAsia="en-GB"/>
        </w:rPr>
        <w:t xml:space="preserve"> 2015-2016</w:t>
      </w:r>
      <w:r>
        <w:rPr>
          <w:rFonts w:eastAsia="ヒラギノ角ゴ Pro W3"/>
          <w:lang w:eastAsia="en-GB"/>
        </w:rPr>
        <w:tab/>
      </w:r>
      <w:r>
        <w:rPr>
          <w:rFonts w:eastAsia="ヒラギノ角ゴ Pro W3"/>
          <w:lang w:eastAsia="en-GB"/>
        </w:rPr>
        <w:tab/>
      </w:r>
      <w:proofErr w:type="gramStart"/>
      <w:r>
        <w:rPr>
          <w:rFonts w:eastAsia="ヒラギノ角ゴ Pro W3"/>
          <w:lang w:eastAsia="en-GB"/>
        </w:rPr>
        <w:t>4</w:t>
      </w:r>
      <w:proofErr w:type="gramEnd"/>
    </w:p>
    <w:p w14:paraId="43DCE59E" w14:textId="116E14F7" w:rsidR="009B4CC0" w:rsidRDefault="00B648D5" w:rsidP="009B4CC0">
      <w:pPr>
        <w:tabs>
          <w:tab w:val="right" w:pos="850"/>
          <w:tab w:val="left" w:pos="1134"/>
          <w:tab w:val="left" w:pos="1559"/>
          <w:tab w:val="left" w:pos="1984"/>
          <w:tab w:val="left" w:leader="dot" w:pos="8929"/>
          <w:tab w:val="right" w:pos="9638"/>
        </w:tabs>
        <w:spacing w:after="120"/>
        <w:rPr>
          <w:rFonts w:eastAsia="ヒラギノ角ゴ Pro W3"/>
          <w:lang w:eastAsia="en-GB"/>
        </w:rPr>
      </w:pPr>
      <w:r>
        <w:rPr>
          <w:rFonts w:eastAsia="ヒラギノ角ゴ Pro W3"/>
          <w:lang w:eastAsia="en-GB"/>
        </w:rPr>
        <w:tab/>
        <w:t>III.</w:t>
      </w:r>
      <w:r>
        <w:rPr>
          <w:rFonts w:eastAsia="ヒラギノ角ゴ Pro W3"/>
          <w:lang w:eastAsia="en-GB"/>
        </w:rPr>
        <w:tab/>
        <w:t>Sharing our v</w:t>
      </w:r>
      <w:r w:rsidR="009B4CC0">
        <w:rPr>
          <w:rFonts w:eastAsia="ヒラギノ角ゴ Pro W3"/>
          <w:lang w:eastAsia="en-GB"/>
        </w:rPr>
        <w:t>ision for 2030</w:t>
      </w:r>
      <w:r w:rsidR="009B4CC0">
        <w:rPr>
          <w:rFonts w:eastAsia="ヒラギノ角ゴ Pro W3"/>
          <w:lang w:eastAsia="en-GB"/>
        </w:rPr>
        <w:tab/>
      </w:r>
      <w:r w:rsidR="009B4CC0">
        <w:rPr>
          <w:rFonts w:eastAsia="ヒラギノ角ゴ Pro W3"/>
          <w:lang w:eastAsia="en-GB"/>
        </w:rPr>
        <w:tab/>
        <w:t>6</w:t>
      </w:r>
    </w:p>
    <w:p w14:paraId="0C61B3D2" w14:textId="75CABE43" w:rsidR="009B4CC0" w:rsidRDefault="009B4CC0" w:rsidP="009B4CC0">
      <w:pPr>
        <w:tabs>
          <w:tab w:val="right" w:pos="850"/>
          <w:tab w:val="left" w:pos="1134"/>
          <w:tab w:val="left" w:pos="1559"/>
          <w:tab w:val="left" w:pos="1984"/>
          <w:tab w:val="left" w:pos="2410"/>
          <w:tab w:val="left" w:leader="dot" w:pos="8929"/>
          <w:tab w:val="right" w:pos="9638"/>
        </w:tabs>
        <w:spacing w:after="120"/>
        <w:rPr>
          <w:rFonts w:eastAsia="ヒラギノ角ゴ Pro W3"/>
          <w:lang w:eastAsia="en-GB"/>
        </w:rPr>
      </w:pPr>
      <w:r>
        <w:rPr>
          <w:rFonts w:eastAsia="ヒラギノ角ゴ Pro W3"/>
          <w:lang w:eastAsia="en-GB"/>
        </w:rPr>
        <w:tab/>
      </w:r>
      <w:r>
        <w:rPr>
          <w:rFonts w:eastAsia="ヒラギノ角ゴ Pro W3"/>
          <w:lang w:eastAsia="en-GB"/>
        </w:rPr>
        <w:tab/>
        <w:t>A.</w:t>
      </w:r>
      <w:r w:rsidR="00E029BE">
        <w:rPr>
          <w:rFonts w:eastAsia="ヒラギノ角ゴ Pro W3"/>
          <w:lang w:eastAsia="en-GB"/>
        </w:rPr>
        <w:tab/>
        <w:t>Changing to meet the f</w:t>
      </w:r>
      <w:r>
        <w:rPr>
          <w:rFonts w:eastAsia="ヒラギノ角ゴ Pro W3"/>
          <w:lang w:eastAsia="en-GB"/>
        </w:rPr>
        <w:t>uture</w:t>
      </w:r>
      <w:r>
        <w:rPr>
          <w:rFonts w:eastAsia="ヒラギノ角ゴ Pro W3"/>
          <w:lang w:eastAsia="en-GB"/>
        </w:rPr>
        <w:tab/>
      </w:r>
      <w:r>
        <w:rPr>
          <w:rFonts w:eastAsia="ヒラギノ角ゴ Pro W3"/>
          <w:lang w:eastAsia="en-GB"/>
        </w:rPr>
        <w:tab/>
      </w:r>
      <w:proofErr w:type="gramStart"/>
      <w:r>
        <w:rPr>
          <w:rFonts w:eastAsia="ヒラギノ角ゴ Pro W3"/>
          <w:lang w:eastAsia="en-GB"/>
        </w:rPr>
        <w:t>7</w:t>
      </w:r>
      <w:proofErr w:type="gramEnd"/>
    </w:p>
    <w:p w14:paraId="1B3C3577" w14:textId="2F96AAC5" w:rsidR="009B4CC0" w:rsidRDefault="009B4CC0" w:rsidP="009B4CC0">
      <w:pPr>
        <w:tabs>
          <w:tab w:val="right" w:pos="850"/>
          <w:tab w:val="left" w:pos="1134"/>
          <w:tab w:val="left" w:pos="1559"/>
          <w:tab w:val="left" w:pos="1984"/>
          <w:tab w:val="left" w:pos="2410"/>
          <w:tab w:val="left" w:leader="dot" w:pos="8929"/>
          <w:tab w:val="right" w:pos="9638"/>
        </w:tabs>
        <w:spacing w:after="120"/>
        <w:rPr>
          <w:rFonts w:eastAsia="ヒラギノ角ゴ Pro W3"/>
          <w:lang w:eastAsia="en-GB"/>
        </w:rPr>
      </w:pPr>
      <w:r>
        <w:rPr>
          <w:rFonts w:eastAsia="ヒラギノ角ゴ Pro W3"/>
          <w:lang w:eastAsia="en-GB"/>
        </w:rPr>
        <w:tab/>
      </w:r>
      <w:r>
        <w:rPr>
          <w:rFonts w:eastAsia="ヒラギノ角ゴ Pro W3"/>
          <w:lang w:eastAsia="en-GB"/>
        </w:rPr>
        <w:tab/>
        <w:t>B.</w:t>
      </w:r>
      <w:r>
        <w:rPr>
          <w:rFonts w:eastAsia="ヒラギノ角ゴ Pro W3"/>
          <w:lang w:eastAsia="en-GB"/>
        </w:rPr>
        <w:tab/>
        <w:t>Cross-cutting goals and objectives</w:t>
      </w:r>
      <w:r>
        <w:rPr>
          <w:rFonts w:eastAsia="ヒラギノ角ゴ Pro W3"/>
          <w:lang w:eastAsia="en-GB"/>
        </w:rPr>
        <w:tab/>
      </w:r>
      <w:r>
        <w:rPr>
          <w:rFonts w:eastAsia="ヒラギノ角ゴ Pro W3"/>
          <w:lang w:eastAsia="en-GB"/>
        </w:rPr>
        <w:tab/>
        <w:t>8</w:t>
      </w:r>
    </w:p>
    <w:p w14:paraId="6FDBD637" w14:textId="490D1CCD" w:rsidR="009B4CC0" w:rsidRDefault="009B4CC0" w:rsidP="009B4CC0">
      <w:pPr>
        <w:tabs>
          <w:tab w:val="right" w:pos="850"/>
          <w:tab w:val="left" w:pos="1134"/>
          <w:tab w:val="left" w:pos="1559"/>
          <w:tab w:val="left" w:pos="1984"/>
          <w:tab w:val="left" w:pos="2410"/>
          <w:tab w:val="left" w:leader="dot" w:pos="8929"/>
          <w:tab w:val="right" w:pos="9638"/>
        </w:tabs>
        <w:spacing w:after="120"/>
        <w:rPr>
          <w:rFonts w:eastAsia="ヒラギノ角ゴ Pro W3"/>
          <w:lang w:eastAsia="en-GB"/>
        </w:rPr>
      </w:pPr>
      <w:r>
        <w:rPr>
          <w:rFonts w:eastAsia="ヒラギノ角ゴ Pro W3"/>
          <w:lang w:eastAsia="en-GB"/>
        </w:rPr>
        <w:tab/>
      </w:r>
      <w:r>
        <w:rPr>
          <w:rFonts w:eastAsia="ヒラギノ角ゴ Pro W3"/>
          <w:lang w:eastAsia="en-GB"/>
        </w:rPr>
        <w:tab/>
        <w:t>C.</w:t>
      </w:r>
      <w:r>
        <w:rPr>
          <w:rFonts w:eastAsia="ヒラギノ角ゴ Pro W3"/>
          <w:lang w:eastAsia="en-GB"/>
        </w:rPr>
        <w:tab/>
        <w:t>Sustain</w:t>
      </w:r>
      <w:r w:rsidR="00E029BE">
        <w:rPr>
          <w:rFonts w:eastAsia="ヒラギノ角ゴ Pro W3"/>
          <w:lang w:eastAsia="en-GB"/>
        </w:rPr>
        <w:t>able Development Goals and the green e</w:t>
      </w:r>
      <w:r>
        <w:rPr>
          <w:rFonts w:eastAsia="ヒラギノ角ゴ Pro W3"/>
          <w:lang w:eastAsia="en-GB"/>
        </w:rPr>
        <w:t>conomy</w:t>
      </w:r>
      <w:r>
        <w:rPr>
          <w:rFonts w:eastAsia="ヒラギノ角ゴ Pro W3"/>
          <w:lang w:eastAsia="en-GB"/>
        </w:rPr>
        <w:tab/>
      </w:r>
      <w:r>
        <w:rPr>
          <w:rFonts w:eastAsia="ヒラギノ角ゴ Pro W3"/>
          <w:lang w:eastAsia="en-GB"/>
        </w:rPr>
        <w:tab/>
        <w:t>9</w:t>
      </w:r>
    </w:p>
    <w:p w14:paraId="5FB600D4" w14:textId="573AAD5E" w:rsidR="009B4CC0" w:rsidRDefault="009B4CC0" w:rsidP="009B4CC0">
      <w:pPr>
        <w:tabs>
          <w:tab w:val="right" w:pos="850"/>
          <w:tab w:val="left" w:pos="1134"/>
          <w:tab w:val="left" w:pos="1559"/>
          <w:tab w:val="left" w:pos="1984"/>
          <w:tab w:val="left" w:pos="2410"/>
          <w:tab w:val="left" w:leader="dot" w:pos="8929"/>
          <w:tab w:val="right" w:pos="9638"/>
        </w:tabs>
        <w:spacing w:after="120"/>
        <w:rPr>
          <w:rFonts w:eastAsia="ヒラギノ角ゴ Pro W3"/>
          <w:lang w:eastAsia="en-GB"/>
        </w:rPr>
      </w:pPr>
      <w:r>
        <w:rPr>
          <w:rFonts w:eastAsia="ヒラギノ角ゴ Pro W3"/>
          <w:lang w:eastAsia="en-GB"/>
        </w:rPr>
        <w:tab/>
      </w:r>
      <w:r>
        <w:rPr>
          <w:rFonts w:eastAsia="ヒラギノ角ゴ Pro W3"/>
          <w:lang w:eastAsia="en-GB"/>
        </w:rPr>
        <w:tab/>
      </w:r>
      <w:r w:rsidR="00E029BE">
        <w:rPr>
          <w:rFonts w:eastAsia="ヒラギノ角ゴ Pro W3"/>
          <w:lang w:eastAsia="en-GB"/>
        </w:rPr>
        <w:t>D.</w:t>
      </w:r>
      <w:r w:rsidR="00E029BE">
        <w:rPr>
          <w:rFonts w:eastAsia="ヒラギノ角ゴ Pro W3"/>
          <w:lang w:eastAsia="en-GB"/>
        </w:rPr>
        <w:tab/>
        <w:t>Reporting and a</w:t>
      </w:r>
      <w:r>
        <w:rPr>
          <w:rFonts w:eastAsia="ヒラギノ角ゴ Pro W3"/>
          <w:lang w:eastAsia="en-GB"/>
        </w:rPr>
        <w:t xml:space="preserve">ssessment </w:t>
      </w:r>
      <w:r>
        <w:rPr>
          <w:rFonts w:eastAsia="ヒラギノ角ゴ Pro W3"/>
          <w:lang w:eastAsia="en-GB"/>
        </w:rPr>
        <w:tab/>
      </w:r>
      <w:r>
        <w:rPr>
          <w:rFonts w:eastAsia="ヒラギノ角ゴ Pro W3"/>
          <w:lang w:eastAsia="en-GB"/>
        </w:rPr>
        <w:tab/>
        <w:t>10</w:t>
      </w:r>
    </w:p>
    <w:p w14:paraId="644AA0CD" w14:textId="608AFAED" w:rsidR="009B4CC0" w:rsidRDefault="009B4CC0" w:rsidP="009B4CC0">
      <w:pPr>
        <w:tabs>
          <w:tab w:val="right" w:pos="850"/>
          <w:tab w:val="left" w:pos="1134"/>
          <w:tab w:val="left" w:pos="1559"/>
          <w:tab w:val="left" w:pos="1984"/>
          <w:tab w:val="left" w:pos="2410"/>
          <w:tab w:val="left" w:leader="dot" w:pos="8929"/>
          <w:tab w:val="right" w:pos="9638"/>
        </w:tabs>
        <w:spacing w:after="120"/>
        <w:rPr>
          <w:rFonts w:eastAsia="ヒラギノ角ゴ Pro W3"/>
          <w:lang w:eastAsia="en-GB"/>
        </w:rPr>
      </w:pPr>
      <w:r>
        <w:rPr>
          <w:rFonts w:eastAsia="ヒラギノ角ゴ Pro W3"/>
          <w:lang w:eastAsia="en-GB"/>
        </w:rPr>
        <w:tab/>
      </w:r>
      <w:r>
        <w:rPr>
          <w:rFonts w:eastAsia="ヒラギノ角ゴ Pro W3"/>
          <w:lang w:eastAsia="en-GB"/>
        </w:rPr>
        <w:tab/>
      </w:r>
      <w:r w:rsidR="00E029BE">
        <w:rPr>
          <w:rFonts w:eastAsia="ヒラギノ角ゴ Pro W3"/>
          <w:lang w:eastAsia="en-GB"/>
        </w:rPr>
        <w:t>E.</w:t>
      </w:r>
      <w:r w:rsidR="00E029BE">
        <w:rPr>
          <w:rFonts w:eastAsia="ヒラギノ角ゴ Pro W3"/>
          <w:lang w:eastAsia="en-GB"/>
        </w:rPr>
        <w:tab/>
        <w:t>Environmental s</w:t>
      </w:r>
      <w:r w:rsidR="00B648D5">
        <w:rPr>
          <w:rFonts w:eastAsia="ヒラギノ角ゴ Pro W3"/>
          <w:lang w:eastAsia="en-GB"/>
        </w:rPr>
        <w:t>tatistics</w:t>
      </w:r>
      <w:r w:rsidR="00B648D5">
        <w:rPr>
          <w:rFonts w:eastAsia="ヒラギノ角ゴ Pro W3"/>
          <w:lang w:eastAsia="en-GB"/>
        </w:rPr>
        <w:tab/>
      </w:r>
      <w:r w:rsidR="00B648D5">
        <w:rPr>
          <w:rFonts w:eastAsia="ヒラギノ角ゴ Pro W3"/>
          <w:lang w:eastAsia="en-GB"/>
        </w:rPr>
        <w:tab/>
        <w:t>10</w:t>
      </w:r>
    </w:p>
    <w:p w14:paraId="1E07C5DF" w14:textId="70D4D6B9" w:rsidR="009B4CC0" w:rsidRDefault="009B4CC0" w:rsidP="009B4CC0">
      <w:pPr>
        <w:tabs>
          <w:tab w:val="right" w:pos="850"/>
          <w:tab w:val="left" w:pos="1134"/>
          <w:tab w:val="left" w:pos="1559"/>
          <w:tab w:val="left" w:pos="1984"/>
          <w:tab w:val="left" w:pos="2410"/>
          <w:tab w:val="left" w:leader="dot" w:pos="8929"/>
          <w:tab w:val="right" w:pos="9638"/>
        </w:tabs>
        <w:spacing w:after="120"/>
        <w:rPr>
          <w:rFonts w:eastAsia="ヒラギノ角ゴ Pro W3"/>
          <w:lang w:eastAsia="en-GB"/>
        </w:rPr>
      </w:pPr>
      <w:r>
        <w:rPr>
          <w:rFonts w:eastAsia="ヒラギノ角ゴ Pro W3"/>
          <w:lang w:eastAsia="en-GB"/>
        </w:rPr>
        <w:tab/>
      </w:r>
      <w:r w:rsidR="00E029BE">
        <w:rPr>
          <w:rFonts w:eastAsia="ヒラギノ角ゴ Pro W3"/>
          <w:lang w:eastAsia="en-GB"/>
        </w:rPr>
        <w:t>IV.</w:t>
      </w:r>
      <w:r w:rsidR="00E029BE">
        <w:rPr>
          <w:rFonts w:eastAsia="ヒラギノ角ゴ Pro W3"/>
          <w:lang w:eastAsia="en-GB"/>
        </w:rPr>
        <w:tab/>
        <w:t>Working m</w:t>
      </w:r>
      <w:r>
        <w:rPr>
          <w:rFonts w:eastAsia="ヒラギノ角ゴ Pro W3"/>
          <w:lang w:eastAsia="en-GB"/>
        </w:rPr>
        <w:t>odalities of the network of networks</w:t>
      </w:r>
      <w:r>
        <w:rPr>
          <w:rFonts w:eastAsia="ヒラギノ角ゴ Pro W3"/>
          <w:lang w:eastAsia="en-GB"/>
        </w:rPr>
        <w:tab/>
      </w:r>
      <w:r>
        <w:rPr>
          <w:rFonts w:eastAsia="ヒラギノ角ゴ Pro W3"/>
          <w:lang w:eastAsia="en-GB"/>
        </w:rPr>
        <w:tab/>
        <w:t>12</w:t>
      </w:r>
    </w:p>
    <w:p w14:paraId="2B3EB6FB" w14:textId="2F2BFFCB" w:rsidR="009B4CC0" w:rsidRDefault="00E269A3" w:rsidP="009B4CC0">
      <w:pPr>
        <w:tabs>
          <w:tab w:val="right" w:pos="567"/>
          <w:tab w:val="left" w:pos="851"/>
          <w:tab w:val="left" w:pos="1276"/>
          <w:tab w:val="left" w:pos="1559"/>
          <w:tab w:val="left" w:pos="1984"/>
          <w:tab w:val="left" w:pos="2410"/>
          <w:tab w:val="left" w:leader="dot" w:pos="8929"/>
          <w:tab w:val="right" w:pos="9638"/>
        </w:tabs>
        <w:spacing w:after="120"/>
        <w:rPr>
          <w:rFonts w:eastAsia="ヒラギノ角ゴ Pro W3"/>
          <w:lang w:eastAsia="en-GB"/>
        </w:rPr>
      </w:pPr>
      <w:r>
        <w:rPr>
          <w:rFonts w:eastAsia="ヒラギノ角ゴ Pro W3"/>
          <w:lang w:eastAsia="en-GB"/>
        </w:rPr>
        <w:tab/>
        <w:t>Annex</w:t>
      </w:r>
    </w:p>
    <w:p w14:paraId="68A7C7F2" w14:textId="51F3C17D" w:rsidR="009B4CC0" w:rsidRDefault="00E029BE" w:rsidP="00C32DAE">
      <w:pPr>
        <w:tabs>
          <w:tab w:val="right" w:pos="850"/>
          <w:tab w:val="left" w:pos="1134"/>
          <w:tab w:val="left" w:pos="1559"/>
          <w:tab w:val="left" w:pos="1984"/>
          <w:tab w:val="left" w:leader="dot" w:pos="8929"/>
          <w:tab w:val="right" w:pos="9638"/>
        </w:tabs>
        <w:spacing w:after="120"/>
        <w:ind w:left="1134" w:hanging="1134"/>
      </w:pPr>
      <w:r>
        <w:rPr>
          <w:rFonts w:eastAsia="ヒラギノ角ゴ Pro W3"/>
          <w:lang w:eastAsia="en-GB"/>
        </w:rPr>
        <w:tab/>
      </w:r>
      <w:r>
        <w:rPr>
          <w:rFonts w:eastAsia="ヒラギノ角ゴ Pro W3"/>
          <w:lang w:eastAsia="en-GB"/>
        </w:rPr>
        <w:tab/>
        <w:t>Proposal for the mandate and terms of r</w:t>
      </w:r>
      <w:r w:rsidR="009B4CC0">
        <w:rPr>
          <w:rFonts w:eastAsia="ヒラギノ角ゴ Pro W3"/>
          <w:lang w:eastAsia="en-GB"/>
        </w:rPr>
        <w:t>eference of the Working Group on Environmental</w:t>
      </w:r>
      <w:r w:rsidR="009B4CC0">
        <w:rPr>
          <w:rFonts w:eastAsia="ヒラギノ角ゴ Pro W3"/>
          <w:lang w:eastAsia="en-GB"/>
        </w:rPr>
        <w:br/>
      </w:r>
      <w:r w:rsidR="00B648D5">
        <w:rPr>
          <w:rFonts w:eastAsia="ヒラギノ角ゴ Pro W3"/>
          <w:lang w:eastAsia="en-GB"/>
        </w:rPr>
        <w:t>Monitoring and Assessment</w:t>
      </w:r>
      <w:r w:rsidR="00B648D5">
        <w:rPr>
          <w:rFonts w:eastAsia="ヒラギノ角ゴ Pro W3"/>
          <w:lang w:eastAsia="en-GB"/>
        </w:rPr>
        <w:tab/>
      </w:r>
      <w:r w:rsidR="00B648D5">
        <w:rPr>
          <w:rFonts w:eastAsia="ヒラギノ角ゴ Pro W3"/>
          <w:lang w:eastAsia="en-GB"/>
        </w:rPr>
        <w:tab/>
        <w:t>13</w:t>
      </w:r>
    </w:p>
    <w:p w14:paraId="07AE74BF" w14:textId="77777777" w:rsidR="009B4CC0" w:rsidRDefault="009B4CC0" w:rsidP="00C32DAE">
      <w:pPr>
        <w:tabs>
          <w:tab w:val="right" w:pos="850"/>
          <w:tab w:val="left" w:pos="1134"/>
          <w:tab w:val="left" w:pos="1559"/>
          <w:tab w:val="left" w:pos="1984"/>
          <w:tab w:val="left" w:leader="dot" w:pos="8929"/>
          <w:tab w:val="right" w:pos="9638"/>
        </w:tabs>
        <w:spacing w:after="120"/>
      </w:pPr>
    </w:p>
    <w:p w14:paraId="375FF5E1" w14:textId="209E93FF" w:rsidR="00A80B0D" w:rsidRPr="009B4CC0" w:rsidRDefault="00A80B0D" w:rsidP="00C32DAE">
      <w:pPr>
        <w:pStyle w:val="HChG"/>
        <w:rPr>
          <w:rFonts w:eastAsia="ヒラギノ角ゴ Pro W3"/>
          <w:color w:val="000000"/>
          <w:lang w:eastAsia="en-GB"/>
        </w:rPr>
      </w:pPr>
      <w:r w:rsidRPr="009B4CC0">
        <w:br w:type="page"/>
      </w:r>
      <w:r w:rsidRPr="009B4CC0">
        <w:rPr>
          <w:rFonts w:eastAsia="ヒラギノ角ゴ Pro W3"/>
          <w:lang w:eastAsia="en-GB"/>
        </w:rPr>
        <w:tab/>
        <w:t>I.</w:t>
      </w:r>
      <w:r w:rsidRPr="009B4CC0">
        <w:rPr>
          <w:rFonts w:eastAsia="ヒラギノ角ゴ Pro W3"/>
          <w:lang w:eastAsia="en-GB"/>
        </w:rPr>
        <w:tab/>
        <w:t>Background</w:t>
      </w:r>
    </w:p>
    <w:p w14:paraId="77689366" w14:textId="7759ED73" w:rsidR="00AE2B28" w:rsidRPr="009B4CC0" w:rsidRDefault="002C6F1C" w:rsidP="00AE2B28">
      <w:pPr>
        <w:pStyle w:val="SingleTxtG"/>
      </w:pPr>
      <w:r w:rsidRPr="009B4CC0">
        <w:rPr>
          <w:rFonts w:eastAsia="ヒラギノ角ゴ Pro W3"/>
          <w:lang w:eastAsia="en-GB"/>
        </w:rPr>
        <w:t>1.</w:t>
      </w:r>
      <w:r w:rsidRPr="009B4CC0">
        <w:rPr>
          <w:rFonts w:eastAsia="ヒラギノ角ゴ Pro W3"/>
          <w:lang w:eastAsia="en-GB"/>
        </w:rPr>
        <w:tab/>
      </w:r>
      <w:r w:rsidR="00AE2B28" w:rsidRPr="009B4CC0">
        <w:rPr>
          <w:rFonts w:eastAsia="ヒラギノ角ゴ Pro W3"/>
          <w:lang w:eastAsia="en-GB"/>
        </w:rPr>
        <w:t xml:space="preserve">At its twenty-first session (Geneva, 27–30 October 2015), </w:t>
      </w:r>
      <w:r w:rsidR="00AE2B28" w:rsidRPr="009B4CC0">
        <w:t xml:space="preserve">the </w:t>
      </w:r>
      <w:r w:rsidR="00AE2B28" w:rsidRPr="009B4CC0">
        <w:rPr>
          <w:rFonts w:eastAsia="ヒラギノ角ゴ Pro W3"/>
          <w:lang w:eastAsia="en-GB"/>
        </w:rPr>
        <w:t>United Nations Economic Commission for Europe (ECE) Committee on Environmental Policy</w:t>
      </w:r>
      <w:r w:rsidR="00AE2B28" w:rsidRPr="009B4CC0">
        <w:t xml:space="preserve"> </w:t>
      </w:r>
      <w:r w:rsidR="00A2506F">
        <w:t xml:space="preserve">expressed its </w:t>
      </w:r>
      <w:r w:rsidR="00AE2B28" w:rsidRPr="009B4CC0">
        <w:t>appreciat</w:t>
      </w:r>
      <w:r w:rsidR="00A2506F">
        <w:t>ion for</w:t>
      </w:r>
      <w:r w:rsidR="00AE2B28" w:rsidRPr="009B4CC0">
        <w:t xml:space="preserve"> the work of the Working Group on Environmental Monitoring and Assessment</w:t>
      </w:r>
      <w:r w:rsidR="00A2506F">
        <w:t>.</w:t>
      </w:r>
      <w:r w:rsidR="00AE2B28" w:rsidRPr="009B4CC0">
        <w:t xml:space="preserve"> </w:t>
      </w:r>
      <w:r w:rsidR="00A2506F">
        <w:t xml:space="preserve">It </w:t>
      </w:r>
      <w:r w:rsidR="00AE2B28" w:rsidRPr="009B4CC0">
        <w:t xml:space="preserve">mandated the Working Group to review </w:t>
      </w:r>
      <w:r w:rsidR="00A2506F">
        <w:t xml:space="preserve">progress on </w:t>
      </w:r>
      <w:r w:rsidR="00AE2B28" w:rsidRPr="009B4CC0">
        <w:t xml:space="preserve">the </w:t>
      </w:r>
      <w:r w:rsidR="00A2506F">
        <w:t xml:space="preserve">development of the </w:t>
      </w:r>
      <w:r w:rsidR="00AE2B28" w:rsidRPr="009B4CC0">
        <w:t>Shared Environmental Information System (SEIS)</w:t>
      </w:r>
      <w:r w:rsidR="00A2506F">
        <w:t>,</w:t>
      </w:r>
      <w:r w:rsidR="00AE2B28" w:rsidRPr="009B4CC0">
        <w:t xml:space="preserve"> based on the adopted targets and performance indicators, with a view to prepar</w:t>
      </w:r>
      <w:r w:rsidR="00A2506F">
        <w:t>ing</w:t>
      </w:r>
      <w:r w:rsidR="00AE2B28" w:rsidRPr="009B4CC0">
        <w:t xml:space="preserve"> an evaluation report for </w:t>
      </w:r>
      <w:r w:rsidR="00A2506F">
        <w:t xml:space="preserve">submission to ministers at </w:t>
      </w:r>
      <w:r w:rsidR="00AE2B28" w:rsidRPr="009B4CC0">
        <w:t xml:space="preserve">the Eighth Environment for Europe Ministerial Conference (Batumi, Georgia, 8–10 June 2016). </w:t>
      </w:r>
    </w:p>
    <w:p w14:paraId="01EBA805" w14:textId="0935E24A" w:rsidR="00AE2B28" w:rsidRPr="009B4CC0" w:rsidRDefault="00AE2B28" w:rsidP="00AE2B28">
      <w:pPr>
        <w:pStyle w:val="SingleTxtG"/>
      </w:pPr>
      <w:r w:rsidRPr="009B4CC0">
        <w:t>2.</w:t>
      </w:r>
      <w:r w:rsidRPr="009B4CC0">
        <w:tab/>
        <w:t xml:space="preserve">Furthermore, the Committee </w:t>
      </w:r>
      <w:r w:rsidR="00A2506F">
        <w:t xml:space="preserve">renewed </w:t>
      </w:r>
      <w:r w:rsidRPr="009B4CC0">
        <w:t xml:space="preserve">the Working Group’s mandate and terms of reference </w:t>
      </w:r>
      <w:r w:rsidR="00A2506F">
        <w:t xml:space="preserve">for one year, </w:t>
      </w:r>
      <w:r w:rsidRPr="009B4CC0">
        <w:t>and requested the secretariat to prepare for the Committee’s twenty-second session an updated proposal for the Working Group</w:t>
      </w:r>
      <w:r w:rsidR="00006AD0">
        <w:t>’s terms of reference</w:t>
      </w:r>
      <w:r w:rsidRPr="009B4CC0">
        <w:t xml:space="preserve">. The proposal </w:t>
      </w:r>
      <w:r w:rsidR="00006AD0">
        <w:t xml:space="preserve">was to </w:t>
      </w:r>
      <w:r w:rsidRPr="009B4CC0">
        <w:t xml:space="preserve">take into account the outcomes of the Batumi Conference and </w:t>
      </w:r>
      <w:r w:rsidR="00006AD0">
        <w:t xml:space="preserve">suggestions from </w:t>
      </w:r>
      <w:r w:rsidRPr="009B4CC0">
        <w:t xml:space="preserve">further consultations with Committee members and observers on possible additional activities to </w:t>
      </w:r>
      <w:proofErr w:type="gramStart"/>
      <w:r w:rsidRPr="009B4CC0">
        <w:t>be carried out</w:t>
      </w:r>
      <w:proofErr w:type="gramEnd"/>
      <w:r w:rsidRPr="009B4CC0">
        <w:t xml:space="preserve"> by the Working Group. In addition, the </w:t>
      </w:r>
      <w:r w:rsidR="00006AD0">
        <w:t xml:space="preserve">Committee specified that the </w:t>
      </w:r>
      <w:r w:rsidRPr="009B4CC0">
        <w:t xml:space="preserve">proposal should include provisions </w:t>
      </w:r>
      <w:r w:rsidR="00006AD0">
        <w:t xml:space="preserve">for the Working Group </w:t>
      </w:r>
      <w:r w:rsidRPr="009B4CC0">
        <w:t>to report on activities to increase cooperation with the Joint Task Force on Environmental Statistics and Indicators, with a view to enhancing coordination and streamlining and reinforcing the work on environmental monitoring and assessment. The ECE Executive Committee approved the renewed mandate and terms of reference of the Working Group at its meeting in Geneva on 10 May 2016 (ECE/EX/2016/L.11).</w:t>
      </w:r>
    </w:p>
    <w:p w14:paraId="489973F3" w14:textId="6F7C5435" w:rsidR="00AE2B28" w:rsidRPr="009B4CC0" w:rsidRDefault="00AE2B28" w:rsidP="00AE2B28">
      <w:pPr>
        <w:pStyle w:val="SingleTxtG"/>
      </w:pPr>
      <w:r w:rsidRPr="009B4CC0">
        <w:t>3.</w:t>
      </w:r>
      <w:r w:rsidRPr="009B4CC0">
        <w:tab/>
        <w:t xml:space="preserve">In Batumi, ministers welcomed progress in developing SEIS to support a regular process of environmental assessment, and invited countries to continue their efforts and </w:t>
      </w:r>
      <w:proofErr w:type="gramStart"/>
      <w:r w:rsidRPr="009B4CC0">
        <w:t>to further develop</w:t>
      </w:r>
      <w:proofErr w:type="gramEnd"/>
      <w:r w:rsidRPr="009B4CC0">
        <w:t xml:space="preserve"> their national information systems to have SEIS in place in the countries of Europe and Central Asia by 2021. In th</w:t>
      </w:r>
      <w:r w:rsidR="00006AD0">
        <w:t>at</w:t>
      </w:r>
      <w:r w:rsidRPr="009B4CC0">
        <w:t xml:space="preserve"> regard, ministers noted the value of UNEP Live and the Group on Earth Observations as global knowledge-sharing platforms</w:t>
      </w:r>
      <w:r w:rsidR="00006AD0">
        <w:t xml:space="preserve"> and </w:t>
      </w:r>
      <w:r w:rsidRPr="009B4CC0">
        <w:t xml:space="preserve">welcomed the launch of the European regional assessment of the </w:t>
      </w:r>
      <w:r w:rsidR="00163CC2">
        <w:t xml:space="preserve">Sixth </w:t>
      </w:r>
      <w:r w:rsidRPr="009B4CC0">
        <w:t xml:space="preserve">Global Environment Outlook as the regular pan-European environmental assessment. The </w:t>
      </w:r>
      <w:r w:rsidR="00163CC2">
        <w:t>a</w:t>
      </w:r>
      <w:r w:rsidRPr="009B4CC0">
        <w:t xml:space="preserve">ssessment for the pan-European region </w:t>
      </w:r>
      <w:r w:rsidR="00163CC2">
        <w:t xml:space="preserve">in this framework </w:t>
      </w:r>
      <w:r w:rsidRPr="009B4CC0">
        <w:t xml:space="preserve">is built on existing national, </w:t>
      </w:r>
      <w:proofErr w:type="spellStart"/>
      <w:r w:rsidRPr="009B4CC0">
        <w:t>subregional</w:t>
      </w:r>
      <w:proofErr w:type="spellEnd"/>
      <w:r w:rsidRPr="009B4CC0">
        <w:t xml:space="preserve"> and thematic assessments, including </w:t>
      </w:r>
      <w:r w:rsidR="00163CC2" w:rsidRPr="00683518">
        <w:rPr>
          <w:i/>
        </w:rPr>
        <w:t>T</w:t>
      </w:r>
      <w:r w:rsidRPr="00683518">
        <w:rPr>
          <w:i/>
        </w:rPr>
        <w:t xml:space="preserve">he European environment </w:t>
      </w:r>
      <w:r w:rsidR="00163CC2" w:rsidRPr="00683518">
        <w:rPr>
          <w:i/>
        </w:rPr>
        <w:t>—</w:t>
      </w:r>
      <w:r w:rsidRPr="00683518">
        <w:rPr>
          <w:i/>
        </w:rPr>
        <w:t xml:space="preserve"> state and outlook 2015</w:t>
      </w:r>
      <w:r w:rsidRPr="009B4CC0">
        <w:t xml:space="preserve"> report produced by the European Environment Agency.</w:t>
      </w:r>
    </w:p>
    <w:p w14:paraId="42020A98" w14:textId="13E7E453" w:rsidR="002C6F1C" w:rsidRPr="009B4CC0" w:rsidRDefault="00AE2B28" w:rsidP="002C6F1C">
      <w:pPr>
        <w:pStyle w:val="SingleTxtG"/>
        <w:rPr>
          <w:rFonts w:eastAsia="ヒラギノ角ゴ Pro W3"/>
          <w:lang w:eastAsia="en-GB"/>
        </w:rPr>
      </w:pPr>
      <w:r w:rsidRPr="009B4CC0">
        <w:rPr>
          <w:rFonts w:eastAsia="ヒラギノ角ゴ Pro W3"/>
          <w:lang w:eastAsia="en-GB"/>
        </w:rPr>
        <w:t>4</w:t>
      </w:r>
      <w:r w:rsidR="002C6F1C" w:rsidRPr="009B4CC0">
        <w:rPr>
          <w:rFonts w:eastAsia="ヒラギノ角ゴ Pro W3"/>
          <w:lang w:eastAsia="en-GB"/>
        </w:rPr>
        <w:t>.</w:t>
      </w:r>
      <w:r w:rsidR="002C6F1C" w:rsidRPr="009B4CC0">
        <w:rPr>
          <w:rFonts w:eastAsia="ヒラギノ角ゴ Pro W3"/>
          <w:lang w:eastAsia="en-GB"/>
        </w:rPr>
        <w:tab/>
        <w:t xml:space="preserve">At its </w:t>
      </w:r>
      <w:r w:rsidRPr="009B4CC0">
        <w:rPr>
          <w:rFonts w:eastAsia="ヒラギノ角ゴ Pro W3"/>
          <w:lang w:eastAsia="en-GB"/>
        </w:rPr>
        <w:t>e</w:t>
      </w:r>
      <w:r w:rsidR="002C6F1C" w:rsidRPr="009B4CC0">
        <w:rPr>
          <w:rFonts w:eastAsia="ヒラギノ角ゴ Pro W3"/>
          <w:lang w:eastAsia="en-GB"/>
        </w:rPr>
        <w:t>ighteenth session (Geneva, 28</w:t>
      </w:r>
      <w:r w:rsidR="00987018">
        <w:rPr>
          <w:rFonts w:eastAsia="ヒラギノ角ゴ Pro W3"/>
          <w:lang w:eastAsia="en-GB"/>
        </w:rPr>
        <w:t>–</w:t>
      </w:r>
      <w:r w:rsidR="002C6F1C" w:rsidRPr="009B4CC0">
        <w:rPr>
          <w:rFonts w:eastAsia="ヒラギノ角ゴ Pro W3"/>
          <w:lang w:eastAsia="en-GB"/>
        </w:rPr>
        <w:t xml:space="preserve">29 June 2016), the Working Group on Environmental Monitoring and Assessment, as part of preparing </w:t>
      </w:r>
      <w:r w:rsidR="00F14B6D">
        <w:rPr>
          <w:rFonts w:eastAsia="ヒラギノ角ゴ Pro W3"/>
          <w:lang w:eastAsia="en-GB"/>
        </w:rPr>
        <w:t xml:space="preserve">its </w:t>
      </w:r>
      <w:r w:rsidR="002C6F1C" w:rsidRPr="009B4CC0">
        <w:rPr>
          <w:rFonts w:eastAsia="ヒラギノ角ゴ Pro W3"/>
          <w:lang w:eastAsia="en-GB"/>
        </w:rPr>
        <w:t xml:space="preserve">new terms of reference, requested inputs from its members to develop a </w:t>
      </w:r>
      <w:r w:rsidR="006B0CE5" w:rsidRPr="009B4CC0">
        <w:rPr>
          <w:rFonts w:eastAsia="ヒラギノ角ゴ Pro W3"/>
          <w:lang w:eastAsia="en-GB"/>
        </w:rPr>
        <w:t xml:space="preserve">vision </w:t>
      </w:r>
      <w:r w:rsidR="00796732" w:rsidRPr="009B4CC0">
        <w:rPr>
          <w:rFonts w:eastAsia="ヒラギノ角ゴ Pro W3"/>
          <w:lang w:eastAsia="en-GB"/>
        </w:rPr>
        <w:t xml:space="preserve">document </w:t>
      </w:r>
      <w:r w:rsidR="006B0CE5" w:rsidRPr="009B4CC0">
        <w:rPr>
          <w:rFonts w:eastAsia="ヒラギノ角ゴ Pro W3"/>
          <w:lang w:eastAsia="en-GB"/>
        </w:rPr>
        <w:t>for 2030 and a road</w:t>
      </w:r>
      <w:r w:rsidR="00F14B6D">
        <w:rPr>
          <w:rFonts w:eastAsia="ヒラギノ角ゴ Pro W3"/>
          <w:lang w:eastAsia="en-GB"/>
        </w:rPr>
        <w:t xml:space="preserve"> </w:t>
      </w:r>
      <w:r w:rsidR="002C6F1C" w:rsidRPr="009B4CC0">
        <w:rPr>
          <w:rFonts w:eastAsia="ヒラギノ角ゴ Pro W3"/>
          <w:lang w:eastAsia="en-GB"/>
        </w:rPr>
        <w:t>map</w:t>
      </w:r>
      <w:r w:rsidR="006B0CE5" w:rsidRPr="009B4CC0">
        <w:rPr>
          <w:rFonts w:eastAsia="ヒラギノ角ゴ Pro W3"/>
          <w:lang w:eastAsia="en-GB"/>
        </w:rPr>
        <w:t>, leading up to 2021</w:t>
      </w:r>
      <w:r w:rsidR="00F14B6D">
        <w:rPr>
          <w:rFonts w:eastAsia="ヒラギノ角ゴ Pro W3"/>
          <w:lang w:eastAsia="en-GB"/>
        </w:rPr>
        <w:t xml:space="preserve"> (see </w:t>
      </w:r>
      <w:r w:rsidR="00F14B6D" w:rsidRPr="00F14B6D">
        <w:rPr>
          <w:rFonts w:eastAsia="ヒラギノ角ゴ Pro W3"/>
          <w:lang w:eastAsia="en-GB"/>
        </w:rPr>
        <w:t>ECE/CEP/AC.10/2016/2</w:t>
      </w:r>
      <w:r w:rsidR="00F14B6D">
        <w:rPr>
          <w:rFonts w:eastAsia="ヒラギノ角ゴ Pro W3"/>
          <w:lang w:eastAsia="en-GB"/>
        </w:rPr>
        <w:t xml:space="preserve"> and Corr.1)</w:t>
      </w:r>
      <w:r w:rsidR="00796732" w:rsidRPr="009B4CC0">
        <w:rPr>
          <w:rFonts w:eastAsia="ヒラギノ角ゴ Pro W3"/>
          <w:lang w:eastAsia="en-GB"/>
        </w:rPr>
        <w:t>.</w:t>
      </w:r>
      <w:r w:rsidR="00F14B6D" w:rsidRPr="009B4CC0">
        <w:rPr>
          <w:rStyle w:val="FootnoteReference"/>
        </w:rPr>
        <w:footnoteReference w:id="2"/>
      </w:r>
      <w:r w:rsidR="00796732" w:rsidRPr="009B4CC0">
        <w:rPr>
          <w:rFonts w:eastAsia="ヒラギノ角ゴ Pro W3"/>
          <w:lang w:eastAsia="en-GB"/>
        </w:rPr>
        <w:t xml:space="preserve"> Th</w:t>
      </w:r>
      <w:r w:rsidR="00F14B6D">
        <w:rPr>
          <w:rFonts w:eastAsia="ヒラギノ角ゴ Pro W3"/>
          <w:lang w:eastAsia="en-GB"/>
        </w:rPr>
        <w:t>at</w:t>
      </w:r>
      <w:r w:rsidR="00796732" w:rsidRPr="009B4CC0">
        <w:rPr>
          <w:rFonts w:eastAsia="ヒラギノ角ゴ Pro W3"/>
          <w:lang w:eastAsia="en-GB"/>
        </w:rPr>
        <w:t xml:space="preserve"> included</w:t>
      </w:r>
      <w:r w:rsidR="002C6F1C" w:rsidRPr="009B4CC0">
        <w:rPr>
          <w:rFonts w:eastAsia="ヒラギノ角ゴ Pro W3"/>
          <w:lang w:eastAsia="en-GB"/>
        </w:rPr>
        <w:t xml:space="preserve"> addressing earlier demands for streamlining</w:t>
      </w:r>
      <w:r w:rsidR="00F14B6D">
        <w:rPr>
          <w:rFonts w:eastAsia="ヒラギノ角ゴ Pro W3"/>
          <w:lang w:eastAsia="en-GB"/>
        </w:rPr>
        <w:t xml:space="preserve"> the work</w:t>
      </w:r>
      <w:r w:rsidR="002C6F1C" w:rsidRPr="009B4CC0">
        <w:rPr>
          <w:rFonts w:eastAsia="ヒラギノ角ゴ Pro W3"/>
          <w:lang w:eastAsia="en-GB"/>
        </w:rPr>
        <w:t xml:space="preserve">, </w:t>
      </w:r>
      <w:r w:rsidR="00976069" w:rsidRPr="009B4CC0">
        <w:rPr>
          <w:rFonts w:eastAsia="ヒラギノ角ゴ Pro W3"/>
          <w:lang w:eastAsia="en-GB"/>
        </w:rPr>
        <w:t xml:space="preserve">and </w:t>
      </w:r>
      <w:r w:rsidR="002C6F1C" w:rsidRPr="009B4CC0">
        <w:rPr>
          <w:rFonts w:eastAsia="ヒラギノ角ゴ Pro W3"/>
          <w:lang w:eastAsia="en-GB"/>
        </w:rPr>
        <w:t>a discussion on how the activities of the Working Group could contribute more effectively to enhancing environmental monitoring and assessment in the pan-Euro</w:t>
      </w:r>
      <w:r w:rsidR="00BA0DC3" w:rsidRPr="009B4CC0">
        <w:rPr>
          <w:rFonts w:eastAsia="ヒラギノ角ゴ Pro W3"/>
          <w:lang w:eastAsia="en-GB"/>
        </w:rPr>
        <w:t>pean region.</w:t>
      </w:r>
      <w:r w:rsidRPr="009B4CC0">
        <w:rPr>
          <w:rStyle w:val="FootnoteReference"/>
        </w:rPr>
        <w:t xml:space="preserve"> </w:t>
      </w:r>
    </w:p>
    <w:p w14:paraId="635D477A" w14:textId="24A9C37E" w:rsidR="002C6F1C" w:rsidRPr="009B4CC0" w:rsidRDefault="00A05EEB" w:rsidP="002C6F1C">
      <w:pPr>
        <w:pStyle w:val="SingleTxtG"/>
        <w:rPr>
          <w:rFonts w:eastAsia="ヒラギノ角ゴ Pro W3"/>
          <w:lang w:eastAsia="en-GB"/>
        </w:rPr>
      </w:pPr>
      <w:r w:rsidRPr="009B4CC0">
        <w:rPr>
          <w:rFonts w:eastAsia="ヒラギノ角ゴ Pro W3"/>
          <w:lang w:eastAsia="en-GB"/>
        </w:rPr>
        <w:t>5</w:t>
      </w:r>
      <w:r w:rsidR="002C6F1C" w:rsidRPr="009B4CC0">
        <w:rPr>
          <w:rFonts w:eastAsia="ヒラギノ角ゴ Pro W3"/>
          <w:lang w:eastAsia="en-GB"/>
        </w:rPr>
        <w:t>.</w:t>
      </w:r>
      <w:r w:rsidR="002C6F1C" w:rsidRPr="009B4CC0">
        <w:rPr>
          <w:rFonts w:eastAsia="ヒラギノ角ゴ Pro W3"/>
          <w:lang w:eastAsia="en-GB"/>
        </w:rPr>
        <w:tab/>
      </w:r>
      <w:r w:rsidR="00F14B6D">
        <w:rPr>
          <w:rFonts w:eastAsia="ヒラギノ角ゴ Pro W3"/>
          <w:lang w:eastAsia="en-GB"/>
        </w:rPr>
        <w:t xml:space="preserve">A proposal for a new </w:t>
      </w:r>
      <w:r w:rsidR="002C6F1C" w:rsidRPr="009B4CC0">
        <w:rPr>
          <w:rFonts w:eastAsia="ヒラギノ角ゴ Pro W3"/>
          <w:lang w:eastAsia="en-GB"/>
        </w:rPr>
        <w:t>mandate and terms of reference</w:t>
      </w:r>
      <w:r w:rsidR="006B0CE5" w:rsidRPr="009B4CC0">
        <w:rPr>
          <w:rFonts w:eastAsia="ヒラギノ角ゴ Pro W3"/>
          <w:lang w:eastAsia="en-GB"/>
        </w:rPr>
        <w:t xml:space="preserve"> </w:t>
      </w:r>
      <w:r w:rsidR="002C6F1C" w:rsidRPr="009B4CC0">
        <w:rPr>
          <w:rFonts w:eastAsia="ヒラギノ角ゴ Pro W3"/>
          <w:lang w:eastAsia="en-GB"/>
        </w:rPr>
        <w:t>of the Workin</w:t>
      </w:r>
      <w:r w:rsidR="00E615CE" w:rsidRPr="009B4CC0">
        <w:rPr>
          <w:rFonts w:eastAsia="ヒラギノ角ゴ Pro W3"/>
          <w:lang w:eastAsia="en-GB"/>
        </w:rPr>
        <w:t xml:space="preserve">g Group, as presented in the </w:t>
      </w:r>
      <w:r w:rsidR="00240378" w:rsidRPr="009B4CC0">
        <w:rPr>
          <w:rFonts w:eastAsia="ヒラギノ角ゴ Pro W3"/>
          <w:lang w:eastAsia="en-GB"/>
        </w:rPr>
        <w:t>a</w:t>
      </w:r>
      <w:r w:rsidR="00E615CE" w:rsidRPr="009B4CC0">
        <w:rPr>
          <w:rFonts w:eastAsia="ヒラギノ角ゴ Pro W3"/>
          <w:lang w:eastAsia="en-GB"/>
        </w:rPr>
        <w:t>nnex</w:t>
      </w:r>
      <w:r w:rsidR="00240378" w:rsidRPr="009B4CC0">
        <w:rPr>
          <w:rFonts w:eastAsia="ヒラギノ角ゴ Pro W3"/>
          <w:lang w:eastAsia="en-GB"/>
        </w:rPr>
        <w:t xml:space="preserve"> to the current document</w:t>
      </w:r>
      <w:r w:rsidR="002C6F1C" w:rsidRPr="009B4CC0">
        <w:rPr>
          <w:rFonts w:eastAsia="ヒラギノ角ゴ Pro W3"/>
          <w:lang w:eastAsia="en-GB"/>
        </w:rPr>
        <w:t xml:space="preserve">, </w:t>
      </w:r>
      <w:r w:rsidR="009618AB">
        <w:rPr>
          <w:rFonts w:eastAsia="ヒラギノ角ゴ Pro W3"/>
          <w:lang w:eastAsia="en-GB"/>
        </w:rPr>
        <w:t xml:space="preserve">was </w:t>
      </w:r>
      <w:r w:rsidR="00E615CE" w:rsidRPr="009B4CC0">
        <w:rPr>
          <w:rFonts w:eastAsia="ヒラギノ角ゴ Pro W3"/>
          <w:lang w:eastAsia="en-GB"/>
        </w:rPr>
        <w:t xml:space="preserve">prepared in consultation with the ECE Statistical Division and </w:t>
      </w:r>
      <w:r w:rsidR="002C6F1C" w:rsidRPr="009B4CC0">
        <w:rPr>
          <w:rFonts w:eastAsia="ヒラギノ角ゴ Pro W3"/>
          <w:lang w:eastAsia="en-GB"/>
        </w:rPr>
        <w:t>takes into account:</w:t>
      </w:r>
    </w:p>
    <w:p w14:paraId="0C8C007F" w14:textId="56C7DA8C" w:rsidR="002C6F1C" w:rsidRPr="009B4CC0" w:rsidRDefault="002C6F1C" w:rsidP="00976069">
      <w:pPr>
        <w:pStyle w:val="SingleTxtG"/>
        <w:ind w:firstLine="567"/>
      </w:pPr>
      <w:r w:rsidRPr="009B4CC0">
        <w:rPr>
          <w:rFonts w:eastAsia="ヒラギノ角ゴ Pro W3"/>
          <w:lang w:eastAsia="en-GB"/>
        </w:rPr>
        <w:t>(a)</w:t>
      </w:r>
      <w:r w:rsidRPr="009B4CC0">
        <w:rPr>
          <w:rFonts w:eastAsia="ヒラギノ角ゴ Pro W3"/>
          <w:lang w:eastAsia="en-GB"/>
        </w:rPr>
        <w:tab/>
      </w:r>
      <w:r w:rsidR="005A5249" w:rsidRPr="009B4CC0">
        <w:rPr>
          <w:rFonts w:eastAsia="ヒラギノ角ゴ Pro W3"/>
          <w:lang w:eastAsia="en-GB"/>
        </w:rPr>
        <w:t>I</w:t>
      </w:r>
      <w:r w:rsidRPr="009B4CC0">
        <w:rPr>
          <w:rFonts w:eastAsia="ヒラギノ角ゴ Pro W3"/>
          <w:lang w:eastAsia="en-GB"/>
        </w:rPr>
        <w:t xml:space="preserve">nputs provided by the members of the Committee on Environmental Policy during its twenty-first session, and the </w:t>
      </w:r>
      <w:r w:rsidR="00F14B6D">
        <w:rPr>
          <w:rFonts w:eastAsia="ヒラギノ角ゴ Pro W3"/>
          <w:lang w:eastAsia="en-GB"/>
        </w:rPr>
        <w:t xml:space="preserve">need to </w:t>
      </w:r>
      <w:r w:rsidRPr="009B4CC0">
        <w:rPr>
          <w:rFonts w:eastAsia="ヒラギノ角ゴ Pro W3"/>
          <w:lang w:eastAsia="en-GB"/>
        </w:rPr>
        <w:t>streamlin</w:t>
      </w:r>
      <w:r w:rsidR="00F14B6D">
        <w:rPr>
          <w:rFonts w:eastAsia="ヒラギノ角ゴ Pro W3"/>
          <w:lang w:eastAsia="en-GB"/>
        </w:rPr>
        <w:t>e</w:t>
      </w:r>
      <w:r w:rsidRPr="009B4CC0">
        <w:rPr>
          <w:rFonts w:eastAsia="ヒラギノ角ゴ Pro W3"/>
          <w:lang w:eastAsia="en-GB"/>
        </w:rPr>
        <w:t xml:space="preserve"> the activities of the </w:t>
      </w:r>
      <w:r w:rsidRPr="009B4CC0">
        <w:t>Working Group and the Joint Task Force on Environmental Indicators and Statistics (</w:t>
      </w:r>
      <w:r w:rsidR="00F14B6D">
        <w:t xml:space="preserve">see </w:t>
      </w:r>
      <w:r w:rsidRPr="009B4CC0">
        <w:t xml:space="preserve">ECE/CEP/2015/12). </w:t>
      </w:r>
    </w:p>
    <w:p w14:paraId="71FBAE33" w14:textId="6F54AF2B" w:rsidR="002C6F1C" w:rsidRPr="009B4CC0" w:rsidRDefault="002C6F1C" w:rsidP="00976069">
      <w:pPr>
        <w:pStyle w:val="SingleTxtG"/>
        <w:ind w:firstLine="567"/>
      </w:pPr>
      <w:proofErr w:type="gramStart"/>
      <w:r w:rsidRPr="009B4CC0">
        <w:t>(b)</w:t>
      </w:r>
      <w:r w:rsidRPr="009B4CC0">
        <w:tab/>
      </w:r>
      <w:r w:rsidR="00F14B6D">
        <w:t xml:space="preserve">The </w:t>
      </w:r>
      <w:r w:rsidRPr="009B4CC0">
        <w:t>Batumi Ministerial Declaration “Greener, cleaner, smarter!”</w:t>
      </w:r>
      <w:proofErr w:type="gramEnd"/>
      <w:r w:rsidR="009618AB">
        <w:t xml:space="preserve"> (</w:t>
      </w:r>
      <w:r w:rsidR="009618AB" w:rsidRPr="009618AB">
        <w:t>ECE/BATUMI.CONF/2016/2/Add.1</w:t>
      </w:r>
      <w:r w:rsidR="009618AB">
        <w:t>),</w:t>
      </w:r>
      <w:r w:rsidRPr="009B4CC0">
        <w:t xml:space="preserve"> and the call for countries to continue their efforts and to further develop their national information systems to have SEIS in place in the countries of Europe and Central Asia by 2021;</w:t>
      </w:r>
    </w:p>
    <w:p w14:paraId="5F56BEDB" w14:textId="4E8391BE" w:rsidR="002C6F1C" w:rsidRPr="009B4CC0" w:rsidRDefault="002C6F1C" w:rsidP="00976069">
      <w:pPr>
        <w:pStyle w:val="SingleTxtG"/>
        <w:ind w:firstLine="567"/>
        <w:rPr>
          <w:rFonts w:eastAsia="ヒラギノ角ゴ Pro W3"/>
          <w:lang w:eastAsia="en-GB"/>
        </w:rPr>
      </w:pPr>
      <w:r w:rsidRPr="009B4CC0">
        <w:t>(c)</w:t>
      </w:r>
      <w:r w:rsidRPr="009B4CC0">
        <w:tab/>
      </w:r>
      <w:r w:rsidR="009618AB">
        <w:t xml:space="preserve">The </w:t>
      </w:r>
      <w:r w:rsidRPr="009B4CC0">
        <w:t>Working Group</w:t>
      </w:r>
      <w:r w:rsidR="00F707D4">
        <w:t>’s</w:t>
      </w:r>
      <w:r w:rsidRPr="009B4CC0">
        <w:t xml:space="preserve"> </w:t>
      </w:r>
      <w:r w:rsidR="00F707D4">
        <w:t xml:space="preserve">request </w:t>
      </w:r>
      <w:r w:rsidRPr="009B4CC0">
        <w:t>to engage in a consultative process, including a national consul</w:t>
      </w:r>
      <w:r w:rsidR="006B0CE5" w:rsidRPr="009B4CC0">
        <w:t xml:space="preserve">tation and an interactive </w:t>
      </w:r>
      <w:r w:rsidR="0069448A" w:rsidRPr="009B4CC0">
        <w:rPr>
          <w:rFonts w:eastAsia="ヒラギノ角ゴ Pro W3"/>
          <w:u w:color="000000"/>
          <w:lang w:eastAsia="en-GB"/>
        </w:rPr>
        <w:t xml:space="preserve">round-table </w:t>
      </w:r>
      <w:r w:rsidRPr="009B4CC0">
        <w:t xml:space="preserve">discussion during </w:t>
      </w:r>
      <w:r w:rsidR="00F707D4">
        <w:t xml:space="preserve">its </w:t>
      </w:r>
      <w:r w:rsidRPr="009B4CC0">
        <w:t>eighteenth session</w:t>
      </w:r>
      <w:r w:rsidR="00F707D4">
        <w:t>,</w:t>
      </w:r>
      <w:r w:rsidR="00F707D4">
        <w:rPr>
          <w:rFonts w:eastAsia="ヒラギノ角ゴ Pro W3"/>
          <w:lang w:eastAsia="en-GB"/>
        </w:rPr>
        <w:t xml:space="preserve"> in order</w:t>
      </w:r>
      <w:r w:rsidRPr="009B4CC0">
        <w:rPr>
          <w:rFonts w:eastAsia="ヒラギノ角ゴ Pro W3"/>
          <w:lang w:eastAsia="en-GB"/>
        </w:rPr>
        <w:t xml:space="preserve"> to develop a vision document and a </w:t>
      </w:r>
      <w:r w:rsidR="00F707D4">
        <w:rPr>
          <w:rFonts w:eastAsia="ヒラギノ角ゴ Pro W3"/>
          <w:lang w:eastAsia="en-GB"/>
        </w:rPr>
        <w:t>five</w:t>
      </w:r>
      <w:r w:rsidR="006B0CE5" w:rsidRPr="009B4CC0">
        <w:rPr>
          <w:rFonts w:eastAsia="ヒラギノ角ゴ Pro W3"/>
          <w:lang w:eastAsia="en-GB"/>
        </w:rPr>
        <w:t>-year road</w:t>
      </w:r>
      <w:r w:rsidR="00F707D4">
        <w:rPr>
          <w:rFonts w:eastAsia="ヒラギノ角ゴ Pro W3"/>
          <w:lang w:eastAsia="en-GB"/>
        </w:rPr>
        <w:t xml:space="preserve"> </w:t>
      </w:r>
      <w:r w:rsidR="006B0CE5" w:rsidRPr="009B4CC0">
        <w:rPr>
          <w:rFonts w:eastAsia="ヒラギノ角ゴ Pro W3"/>
          <w:lang w:eastAsia="en-GB"/>
        </w:rPr>
        <w:t>map</w:t>
      </w:r>
      <w:r w:rsidRPr="009B4CC0">
        <w:rPr>
          <w:rFonts w:eastAsia="ヒラギノ角ゴ Pro W3"/>
          <w:lang w:eastAsia="en-GB"/>
        </w:rPr>
        <w:t>.</w:t>
      </w:r>
    </w:p>
    <w:p w14:paraId="1DE4B9CB" w14:textId="77777777" w:rsidR="00240378" w:rsidRPr="009B4CC0" w:rsidRDefault="00240378" w:rsidP="00240378">
      <w:pPr>
        <w:pStyle w:val="SingleTxtG"/>
        <w:rPr>
          <w:rFonts w:eastAsia="ヒラギノ角ゴ Pro W3"/>
          <w:lang w:eastAsia="en-GB"/>
        </w:rPr>
      </w:pPr>
      <w:r w:rsidRPr="009B4CC0">
        <w:rPr>
          <w:rFonts w:eastAsia="ヒラギノ角ゴ Pro W3"/>
          <w:lang w:eastAsia="en-GB"/>
        </w:rPr>
        <w:t>6.</w:t>
      </w:r>
      <w:r w:rsidRPr="009B4CC0">
        <w:rPr>
          <w:rFonts w:eastAsia="ヒラギノ角ゴ Pro W3"/>
          <w:lang w:eastAsia="en-GB"/>
        </w:rPr>
        <w:tab/>
        <w:t xml:space="preserve">The present document includes the following parts: </w:t>
      </w:r>
    </w:p>
    <w:p w14:paraId="6AB8593D" w14:textId="45006436" w:rsidR="00240378" w:rsidRPr="009B4CC0" w:rsidRDefault="00240378" w:rsidP="00240378">
      <w:pPr>
        <w:pStyle w:val="SingleTxtG"/>
        <w:rPr>
          <w:rFonts w:eastAsia="ヒラギノ角ゴ Pro W3"/>
          <w:lang w:eastAsia="en-GB"/>
        </w:rPr>
      </w:pPr>
      <w:r w:rsidRPr="009B4CC0">
        <w:rPr>
          <w:rFonts w:eastAsia="ヒラギノ角ゴ Pro W3"/>
          <w:lang w:eastAsia="en-GB"/>
        </w:rPr>
        <w:tab/>
        <w:t>(a)</w:t>
      </w:r>
      <w:r w:rsidRPr="009B4CC0">
        <w:rPr>
          <w:rFonts w:eastAsia="ヒラギノ角ゴ Pro W3"/>
          <w:lang w:eastAsia="en-GB"/>
        </w:rPr>
        <w:tab/>
      </w:r>
      <w:r w:rsidR="006D464E" w:rsidRPr="009B4CC0">
        <w:rPr>
          <w:rFonts w:eastAsia="ヒラギノ角ゴ Pro W3"/>
          <w:lang w:eastAsia="en-GB"/>
        </w:rPr>
        <w:t>History and a</w:t>
      </w:r>
      <w:r w:rsidRPr="009B4CC0">
        <w:rPr>
          <w:rFonts w:eastAsia="ヒラギノ角ゴ Pro W3"/>
          <w:lang w:eastAsia="en-GB"/>
        </w:rPr>
        <w:t>chievements of the Working Group 2015–2016;</w:t>
      </w:r>
    </w:p>
    <w:p w14:paraId="3D4477B7" w14:textId="1914FD1C" w:rsidR="00240378" w:rsidRPr="009B4CC0" w:rsidRDefault="00240378" w:rsidP="00240378">
      <w:pPr>
        <w:pStyle w:val="SingleTxtG"/>
        <w:rPr>
          <w:rFonts w:eastAsia="ヒラギノ角ゴ Pro W3"/>
          <w:lang w:eastAsia="en-GB"/>
        </w:rPr>
      </w:pPr>
      <w:r w:rsidRPr="009B4CC0">
        <w:rPr>
          <w:rFonts w:eastAsia="ヒラギノ角ゴ Pro W3"/>
          <w:lang w:eastAsia="en-GB"/>
        </w:rPr>
        <w:tab/>
        <w:t>(b)</w:t>
      </w:r>
      <w:r w:rsidRPr="009B4CC0">
        <w:rPr>
          <w:rFonts w:eastAsia="ヒラギノ角ゴ Pro W3"/>
          <w:lang w:eastAsia="en-GB"/>
        </w:rPr>
        <w:tab/>
        <w:t>Working Group vision until 2030;</w:t>
      </w:r>
    </w:p>
    <w:p w14:paraId="06B1794E" w14:textId="07E35990" w:rsidR="00240378" w:rsidRPr="009B4CC0" w:rsidRDefault="00240378" w:rsidP="00240378">
      <w:pPr>
        <w:pStyle w:val="SingleTxtG"/>
      </w:pPr>
      <w:r w:rsidRPr="009B4CC0">
        <w:rPr>
          <w:rFonts w:eastAsia="ヒラギノ角ゴ Pro W3"/>
          <w:lang w:eastAsia="en-GB"/>
        </w:rPr>
        <w:tab/>
        <w:t>(c)</w:t>
      </w:r>
      <w:r w:rsidRPr="009B4CC0">
        <w:rPr>
          <w:rFonts w:eastAsia="ヒラギノ角ゴ Pro W3"/>
          <w:lang w:eastAsia="en-GB"/>
        </w:rPr>
        <w:tab/>
      </w:r>
      <w:r w:rsidR="00A76FB4" w:rsidRPr="009B4CC0">
        <w:rPr>
          <w:rFonts w:eastAsia="ヒラギノ角ゴ Pro W3"/>
          <w:lang w:eastAsia="en-GB"/>
        </w:rPr>
        <w:t>W</w:t>
      </w:r>
      <w:r w:rsidRPr="009B4CC0">
        <w:rPr>
          <w:rFonts w:eastAsia="ヒラギノ角ゴ Pro W3"/>
          <w:lang w:eastAsia="en-GB"/>
        </w:rPr>
        <w:t xml:space="preserve">orking modalities for the Working Group serving as </w:t>
      </w:r>
      <w:r w:rsidRPr="009B4CC0">
        <w:t>the regional environmental information and assessment network of networks</w:t>
      </w:r>
      <w:proofErr w:type="gramStart"/>
      <w:r w:rsidRPr="009B4CC0">
        <w:t>;</w:t>
      </w:r>
      <w:proofErr w:type="gramEnd"/>
      <w:r w:rsidRPr="009B4CC0">
        <w:t xml:space="preserve"> </w:t>
      </w:r>
    </w:p>
    <w:p w14:paraId="6187664C" w14:textId="37EFB122" w:rsidR="00240378" w:rsidRPr="009B4CC0" w:rsidRDefault="00240378" w:rsidP="00240378">
      <w:pPr>
        <w:pStyle w:val="SingleTxtG"/>
        <w:rPr>
          <w:rFonts w:eastAsia="ヒラギノ角ゴ Pro W3"/>
          <w:lang w:eastAsia="en-GB"/>
        </w:rPr>
      </w:pPr>
      <w:r w:rsidRPr="009B4CC0">
        <w:rPr>
          <w:rFonts w:eastAsia="ヒラギノ角ゴ Pro W3"/>
          <w:lang w:eastAsia="en-GB"/>
        </w:rPr>
        <w:tab/>
        <w:t>(d)</w:t>
      </w:r>
      <w:r w:rsidRPr="009B4CC0">
        <w:rPr>
          <w:rFonts w:eastAsia="ヒラギノ角ゴ Pro W3"/>
          <w:lang w:eastAsia="en-GB"/>
        </w:rPr>
        <w:tab/>
        <w:t>Proposed mandate and terms of reference of the Working Group (annex).</w:t>
      </w:r>
    </w:p>
    <w:p w14:paraId="226C5DF5" w14:textId="122D8A15" w:rsidR="00A80B0D" w:rsidRPr="009B4CC0" w:rsidRDefault="00240378" w:rsidP="002C6F1C">
      <w:pPr>
        <w:pStyle w:val="SingleTxtG"/>
        <w:rPr>
          <w:rFonts w:eastAsia="ヒラギノ角ゴ Pro W3"/>
          <w:lang w:eastAsia="en-GB"/>
        </w:rPr>
      </w:pPr>
      <w:proofErr w:type="gramStart"/>
      <w:r w:rsidRPr="009B4CC0">
        <w:rPr>
          <w:rFonts w:eastAsia="ヒラギノ角ゴ Pro W3"/>
          <w:lang w:eastAsia="en-GB"/>
        </w:rPr>
        <w:t>7</w:t>
      </w:r>
      <w:r w:rsidR="002C6F1C" w:rsidRPr="009B4CC0">
        <w:rPr>
          <w:rFonts w:eastAsia="ヒラギノ角ゴ Pro W3"/>
          <w:lang w:eastAsia="en-GB"/>
        </w:rPr>
        <w:t>.</w:t>
      </w:r>
      <w:r w:rsidR="002C6F1C" w:rsidRPr="009B4CC0">
        <w:rPr>
          <w:rFonts w:eastAsia="ヒラギノ角ゴ Pro W3"/>
          <w:lang w:eastAsia="en-GB"/>
        </w:rPr>
        <w:tab/>
        <w:t>The Committee on Environmental Policy</w:t>
      </w:r>
      <w:r w:rsidR="00A05EEB" w:rsidRPr="009B4CC0">
        <w:rPr>
          <w:rFonts w:eastAsia="ヒラギノ角ゴ Pro W3"/>
          <w:lang w:eastAsia="en-GB"/>
        </w:rPr>
        <w:t xml:space="preserve"> will be invited to consider the present document with a view</w:t>
      </w:r>
      <w:r w:rsidR="002C6F1C" w:rsidRPr="009B4CC0">
        <w:rPr>
          <w:rFonts w:eastAsia="ヒラギノ角ゴ Pro W3"/>
          <w:lang w:eastAsia="en-GB"/>
        </w:rPr>
        <w:t xml:space="preserve"> to </w:t>
      </w:r>
      <w:r w:rsidRPr="009B4CC0">
        <w:rPr>
          <w:rFonts w:eastAsia="ヒラギノ角ゴ Pro W3"/>
          <w:lang w:eastAsia="en-GB"/>
        </w:rPr>
        <w:t>adopt</w:t>
      </w:r>
      <w:r w:rsidR="00F707D4">
        <w:rPr>
          <w:rFonts w:eastAsia="ヒラギノ角ゴ Pro W3"/>
          <w:lang w:eastAsia="en-GB"/>
        </w:rPr>
        <w:t>ing</w:t>
      </w:r>
      <w:r w:rsidRPr="009B4CC0">
        <w:rPr>
          <w:rFonts w:eastAsia="ヒラギノ角ゴ Pro W3"/>
          <w:lang w:eastAsia="en-GB"/>
        </w:rPr>
        <w:t xml:space="preserve"> the </w:t>
      </w:r>
      <w:r w:rsidR="00F707D4">
        <w:rPr>
          <w:rFonts w:eastAsia="ヒラギノ角ゴ Pro W3"/>
          <w:lang w:eastAsia="en-GB"/>
        </w:rPr>
        <w:t xml:space="preserve">proposed </w:t>
      </w:r>
      <w:r w:rsidR="002C6F1C" w:rsidRPr="009B4CC0">
        <w:rPr>
          <w:rFonts w:eastAsia="ヒラギノ角ゴ Pro W3"/>
          <w:lang w:eastAsia="en-GB"/>
        </w:rPr>
        <w:t xml:space="preserve">mandate </w:t>
      </w:r>
      <w:r w:rsidR="00A05EEB" w:rsidRPr="009B4CC0">
        <w:rPr>
          <w:rFonts w:eastAsia="ヒラギノ角ゴ Pro W3"/>
          <w:lang w:eastAsia="en-GB"/>
        </w:rPr>
        <w:t xml:space="preserve">and terms of reference </w:t>
      </w:r>
      <w:r w:rsidR="002C6F1C" w:rsidRPr="009B4CC0">
        <w:rPr>
          <w:rFonts w:eastAsia="ヒラギノ角ゴ Pro W3"/>
          <w:lang w:eastAsia="en-GB"/>
        </w:rPr>
        <w:t xml:space="preserve">of the Working Group on Environmental Monitoring and Assessment for </w:t>
      </w:r>
      <w:r w:rsidR="00F707D4">
        <w:rPr>
          <w:rFonts w:eastAsia="ヒラギノ角ゴ Pro W3"/>
          <w:lang w:eastAsia="en-GB"/>
        </w:rPr>
        <w:t xml:space="preserve">the next </w:t>
      </w:r>
      <w:r w:rsidR="002C6F1C" w:rsidRPr="009B4CC0">
        <w:rPr>
          <w:rFonts w:eastAsia="ヒラギノ角ゴ Pro W3"/>
          <w:lang w:eastAsia="en-GB"/>
        </w:rPr>
        <w:t>five</w:t>
      </w:r>
      <w:r w:rsidR="00F707D4">
        <w:rPr>
          <w:rFonts w:eastAsia="ヒラギノ角ゴ Pro W3"/>
          <w:lang w:eastAsia="en-GB"/>
        </w:rPr>
        <w:t>-</w:t>
      </w:r>
      <w:r w:rsidR="002C6F1C" w:rsidRPr="009B4CC0">
        <w:rPr>
          <w:rFonts w:eastAsia="ヒラギノ角ゴ Pro W3"/>
          <w:lang w:eastAsia="en-GB"/>
        </w:rPr>
        <w:t>year</w:t>
      </w:r>
      <w:r w:rsidR="00F707D4">
        <w:rPr>
          <w:rFonts w:eastAsia="ヒラギノ角ゴ Pro W3"/>
          <w:lang w:eastAsia="en-GB"/>
        </w:rPr>
        <w:t xml:space="preserve"> period</w:t>
      </w:r>
      <w:r w:rsidR="002C6F1C" w:rsidRPr="009B4CC0">
        <w:rPr>
          <w:rFonts w:eastAsia="ヒラギノ角ゴ Pro W3"/>
          <w:lang w:eastAsia="en-GB"/>
        </w:rPr>
        <w:t xml:space="preserve">, up until </w:t>
      </w:r>
      <w:r w:rsidR="00F707D4">
        <w:rPr>
          <w:rFonts w:eastAsia="ヒラギノ角ゴ Pro W3"/>
          <w:lang w:eastAsia="en-GB"/>
        </w:rPr>
        <w:t xml:space="preserve">the Committee’s </w:t>
      </w:r>
      <w:r w:rsidR="00A05EEB" w:rsidRPr="009B4CC0">
        <w:rPr>
          <w:rFonts w:eastAsia="ヒラギノ角ゴ Pro W3"/>
          <w:lang w:eastAsia="en-GB"/>
        </w:rPr>
        <w:t>regular</w:t>
      </w:r>
      <w:r w:rsidR="002C6F1C" w:rsidRPr="009B4CC0">
        <w:rPr>
          <w:rFonts w:eastAsia="ヒラギノ角ゴ Pro W3"/>
          <w:lang w:eastAsia="en-GB"/>
        </w:rPr>
        <w:t xml:space="preserve"> session in 2021</w:t>
      </w:r>
      <w:r w:rsidR="002D4AAD" w:rsidRPr="009B4CC0">
        <w:rPr>
          <w:rFonts w:eastAsia="ヒラギノ角ゴ Pro W3"/>
          <w:lang w:eastAsia="en-GB"/>
        </w:rPr>
        <w:t xml:space="preserve">, and </w:t>
      </w:r>
      <w:r w:rsidR="00F707D4">
        <w:rPr>
          <w:rFonts w:eastAsia="ヒラギノ角ゴ Pro W3"/>
          <w:lang w:eastAsia="en-GB"/>
        </w:rPr>
        <w:t xml:space="preserve">to </w:t>
      </w:r>
      <w:r w:rsidR="002D4AAD" w:rsidRPr="009B4CC0">
        <w:rPr>
          <w:rFonts w:eastAsia="ヒラギノ角ゴ Pro W3"/>
          <w:lang w:eastAsia="en-GB"/>
        </w:rPr>
        <w:t xml:space="preserve">subsequently submit </w:t>
      </w:r>
      <w:r w:rsidR="00F707D4">
        <w:rPr>
          <w:rFonts w:eastAsia="ヒラギノ角ゴ Pro W3"/>
          <w:lang w:eastAsia="en-GB"/>
        </w:rPr>
        <w:t xml:space="preserve">the mandate and terms of reference to </w:t>
      </w:r>
      <w:r w:rsidR="002D4AAD" w:rsidRPr="009B4CC0">
        <w:rPr>
          <w:rFonts w:eastAsia="ヒラギノ角ゴ Pro W3"/>
          <w:lang w:eastAsia="en-GB"/>
        </w:rPr>
        <w:t>the ECE Executive Committee for approval</w:t>
      </w:r>
      <w:r w:rsidR="002C6F1C" w:rsidRPr="009B4CC0">
        <w:rPr>
          <w:rFonts w:eastAsia="ヒラギノ角ゴ Pro W3"/>
          <w:lang w:eastAsia="en-GB"/>
        </w:rPr>
        <w:t>.</w:t>
      </w:r>
      <w:proofErr w:type="gramEnd"/>
      <w:r w:rsidR="001E748F" w:rsidRPr="009B4CC0">
        <w:rPr>
          <w:rFonts w:eastAsia="ヒラギノ角ゴ Pro W3"/>
          <w:lang w:eastAsia="en-GB"/>
        </w:rPr>
        <w:t xml:space="preserve"> </w:t>
      </w:r>
    </w:p>
    <w:p w14:paraId="325D4C82" w14:textId="16586D6B" w:rsidR="00A80B0D" w:rsidRPr="009B4CC0" w:rsidRDefault="00A80B0D" w:rsidP="00275C48">
      <w:pPr>
        <w:pStyle w:val="HChG"/>
        <w:spacing w:before="320" w:after="200"/>
        <w:rPr>
          <w:rFonts w:eastAsia="ヒラギノ角ゴ Pro W3"/>
          <w:lang w:eastAsia="en-GB"/>
        </w:rPr>
      </w:pPr>
      <w:r w:rsidRPr="009B4CC0">
        <w:rPr>
          <w:rFonts w:eastAsia="ヒラギノ角ゴ Pro W3"/>
          <w:lang w:eastAsia="en-GB"/>
        </w:rPr>
        <w:tab/>
        <w:t>II.</w:t>
      </w:r>
      <w:r w:rsidRPr="009B4CC0">
        <w:rPr>
          <w:rFonts w:eastAsia="ヒラギノ角ゴ Pro W3"/>
          <w:lang w:eastAsia="en-GB"/>
        </w:rPr>
        <w:tab/>
      </w:r>
      <w:r w:rsidR="005A5249" w:rsidRPr="009B4CC0">
        <w:rPr>
          <w:rFonts w:eastAsia="ヒラギノ角ゴ Pro W3"/>
          <w:lang w:eastAsia="en-GB"/>
        </w:rPr>
        <w:t>History</w:t>
      </w:r>
      <w:r w:rsidRPr="009B4CC0">
        <w:rPr>
          <w:rFonts w:eastAsia="ヒラギノ角ゴ Pro W3"/>
          <w:lang w:eastAsia="en-GB"/>
        </w:rPr>
        <w:t xml:space="preserve"> </w:t>
      </w:r>
      <w:r w:rsidR="00502579" w:rsidRPr="009B4CC0">
        <w:rPr>
          <w:rFonts w:eastAsia="ヒラギノ角ゴ Pro W3"/>
          <w:lang w:eastAsia="en-GB"/>
        </w:rPr>
        <w:t xml:space="preserve">and achievements </w:t>
      </w:r>
      <w:r w:rsidRPr="009B4CC0">
        <w:rPr>
          <w:rFonts w:eastAsia="ヒラギノ角ゴ Pro W3"/>
          <w:lang w:eastAsia="en-GB"/>
        </w:rPr>
        <w:t xml:space="preserve">of the Working </w:t>
      </w:r>
      <w:r w:rsidR="0029677D" w:rsidRPr="009B4CC0">
        <w:rPr>
          <w:rFonts w:eastAsia="ヒラギノ角ゴ Pro W3"/>
          <w:lang w:eastAsia="en-GB"/>
        </w:rPr>
        <w:t xml:space="preserve">Group </w:t>
      </w:r>
      <w:r w:rsidR="00502579" w:rsidRPr="009B4CC0">
        <w:rPr>
          <w:rFonts w:eastAsia="ヒラギノ角ゴ Pro W3"/>
          <w:lang w:eastAsia="en-GB"/>
        </w:rPr>
        <w:t>2015–</w:t>
      </w:r>
      <w:r w:rsidR="00D56595" w:rsidRPr="009B4CC0">
        <w:rPr>
          <w:rFonts w:eastAsia="ヒラギノ角ゴ Pro W3"/>
          <w:lang w:eastAsia="en-GB"/>
        </w:rPr>
        <w:t>2016</w:t>
      </w:r>
    </w:p>
    <w:p w14:paraId="404CDC29" w14:textId="2226147B" w:rsidR="00A80B0D" w:rsidRPr="009B4CC0" w:rsidRDefault="00965BD8" w:rsidP="00FA6CA9">
      <w:pPr>
        <w:pStyle w:val="SingleTxtG"/>
        <w:rPr>
          <w:rFonts w:eastAsia="ヒラギノ角ゴ Pro W3"/>
          <w:lang w:eastAsia="en-GB"/>
        </w:rPr>
      </w:pPr>
      <w:proofErr w:type="gramStart"/>
      <w:r w:rsidRPr="009B4CC0">
        <w:rPr>
          <w:rFonts w:eastAsia="ヒラギノ角ゴ Pro W3"/>
          <w:lang w:eastAsia="en-GB"/>
        </w:rPr>
        <w:t>8</w:t>
      </w:r>
      <w:r w:rsidR="00A80B0D" w:rsidRPr="009B4CC0">
        <w:rPr>
          <w:rFonts w:eastAsia="ヒラギノ角ゴ Pro W3"/>
          <w:lang w:eastAsia="en-GB"/>
        </w:rPr>
        <w:t>.</w:t>
      </w:r>
      <w:r w:rsidR="00A80B0D" w:rsidRPr="009B4CC0">
        <w:rPr>
          <w:rFonts w:eastAsia="ヒラギノ角ゴ Pro W3"/>
          <w:lang w:eastAsia="en-GB"/>
        </w:rPr>
        <w:tab/>
        <w:t xml:space="preserve">The Working Group </w:t>
      </w:r>
      <w:r w:rsidR="00B940D4" w:rsidRPr="009B4CC0">
        <w:rPr>
          <w:rFonts w:eastAsia="ヒラギノ角ゴ Pro W3"/>
          <w:lang w:eastAsia="en-GB"/>
        </w:rPr>
        <w:t xml:space="preserve">on </w:t>
      </w:r>
      <w:r w:rsidR="00037BF9" w:rsidRPr="009B4CC0">
        <w:rPr>
          <w:rFonts w:eastAsia="ヒラギノ角ゴ Pro W3"/>
          <w:lang w:eastAsia="en-GB"/>
        </w:rPr>
        <w:t xml:space="preserve">Environmental </w:t>
      </w:r>
      <w:r w:rsidR="00B940D4" w:rsidRPr="009B4CC0">
        <w:rPr>
          <w:rFonts w:eastAsia="ヒラギノ角ゴ Pro W3"/>
          <w:lang w:eastAsia="en-GB"/>
        </w:rPr>
        <w:t xml:space="preserve">Monitoring and Assessment </w:t>
      </w:r>
      <w:r w:rsidR="00A80B0D" w:rsidRPr="009B4CC0">
        <w:rPr>
          <w:rFonts w:eastAsia="ヒラギノ角ゴ Pro W3"/>
          <w:lang w:eastAsia="en-GB"/>
        </w:rPr>
        <w:t xml:space="preserve">was </w:t>
      </w:r>
      <w:r w:rsidR="00B940D4" w:rsidRPr="009B4CC0">
        <w:rPr>
          <w:rFonts w:eastAsia="ヒラギノ角ゴ Pro W3"/>
          <w:lang w:eastAsia="en-GB"/>
        </w:rPr>
        <w:t xml:space="preserve">originally </w:t>
      </w:r>
      <w:r w:rsidR="00A80B0D" w:rsidRPr="009B4CC0">
        <w:rPr>
          <w:rFonts w:eastAsia="ヒラギノ角ゴ Pro W3"/>
          <w:lang w:eastAsia="en-GB"/>
        </w:rPr>
        <w:t xml:space="preserve">established by </w:t>
      </w:r>
      <w:r w:rsidR="005A5249" w:rsidRPr="009B4CC0">
        <w:rPr>
          <w:rFonts w:eastAsia="ヒラギノ角ゴ Pro W3"/>
          <w:lang w:eastAsia="en-GB"/>
        </w:rPr>
        <w:t>the Committee</w:t>
      </w:r>
      <w:r w:rsidR="00A80B0D" w:rsidRPr="009B4CC0">
        <w:rPr>
          <w:rFonts w:eastAsia="ヒラギノ角ゴ Pro W3"/>
          <w:lang w:eastAsia="en-GB"/>
        </w:rPr>
        <w:t xml:space="preserve"> </w:t>
      </w:r>
      <w:r w:rsidR="006D464E" w:rsidRPr="009B4CC0">
        <w:rPr>
          <w:rFonts w:eastAsia="ヒラギノ角ゴ Pro W3"/>
          <w:lang w:eastAsia="en-GB"/>
        </w:rPr>
        <w:t>on Environmental Policy</w:t>
      </w:r>
      <w:proofErr w:type="gramEnd"/>
      <w:r w:rsidR="006D464E" w:rsidRPr="009B4CC0">
        <w:rPr>
          <w:rFonts w:eastAsia="ヒラギノ角ゴ Pro W3"/>
          <w:lang w:eastAsia="en-GB"/>
        </w:rPr>
        <w:t xml:space="preserve"> </w:t>
      </w:r>
      <w:r w:rsidR="00A80B0D" w:rsidRPr="009B4CC0">
        <w:rPr>
          <w:rFonts w:eastAsia="ヒラギノ角ゴ Pro W3"/>
          <w:lang w:eastAsia="en-GB"/>
        </w:rPr>
        <w:t xml:space="preserve">in 2000 as </w:t>
      </w:r>
      <w:r w:rsidR="003C27A7" w:rsidRPr="009B4CC0">
        <w:rPr>
          <w:rFonts w:eastAsia="ヒラギノ角ゴ Pro W3"/>
          <w:lang w:eastAsia="en-GB"/>
        </w:rPr>
        <w:t xml:space="preserve">the </w:t>
      </w:r>
      <w:r w:rsidR="00A80B0D" w:rsidRPr="009B4CC0">
        <w:rPr>
          <w:rFonts w:eastAsia="ヒラギノ角ゴ Pro W3"/>
          <w:lang w:eastAsia="en-GB"/>
        </w:rPr>
        <w:t>Ad Hoc Working Group on Environmental Monitoring</w:t>
      </w:r>
      <w:r w:rsidR="00424076">
        <w:rPr>
          <w:rFonts w:eastAsia="ヒラギノ角ゴ Pro W3"/>
          <w:lang w:eastAsia="en-GB"/>
        </w:rPr>
        <w:t>. The body</w:t>
      </w:r>
      <w:r w:rsidR="003C27A7" w:rsidRPr="009B4CC0">
        <w:rPr>
          <w:rFonts w:eastAsia="ヒラギノ角ゴ Pro W3"/>
          <w:lang w:eastAsia="en-GB"/>
        </w:rPr>
        <w:t xml:space="preserve"> was</w:t>
      </w:r>
      <w:r w:rsidR="00A80B0D" w:rsidRPr="009B4CC0">
        <w:rPr>
          <w:rFonts w:eastAsia="ヒラギノ角ゴ Pro W3"/>
          <w:lang w:eastAsia="en-GB"/>
        </w:rPr>
        <w:t xml:space="preserve"> to serve all the ECE member States as a platform to exchange good practice and information, develop action plans and strengthen initiatives in the area of environmental monitoring and related areas with a view to support</w:t>
      </w:r>
      <w:r w:rsidR="00EB7396" w:rsidRPr="009B4CC0">
        <w:rPr>
          <w:rFonts w:eastAsia="ヒラギノ角ゴ Pro W3"/>
          <w:lang w:eastAsia="en-GB"/>
        </w:rPr>
        <w:t>ing</w:t>
      </w:r>
      <w:r w:rsidR="00A80B0D" w:rsidRPr="009B4CC0">
        <w:rPr>
          <w:rFonts w:eastAsia="ヒラギノ角ゴ Pro W3"/>
          <w:lang w:eastAsia="en-GB"/>
        </w:rPr>
        <w:t xml:space="preserve"> environmental decision-making and assist</w:t>
      </w:r>
      <w:r w:rsidR="00F31491">
        <w:rPr>
          <w:rFonts w:eastAsia="ヒラギノ角ゴ Pro W3"/>
          <w:lang w:eastAsia="en-GB"/>
        </w:rPr>
        <w:t>ing</w:t>
      </w:r>
      <w:r w:rsidR="00A80B0D" w:rsidRPr="009B4CC0">
        <w:rPr>
          <w:rFonts w:eastAsia="ヒラギノ角ゴ Pro W3"/>
          <w:lang w:eastAsia="en-GB"/>
        </w:rPr>
        <w:t xml:space="preserve"> in </w:t>
      </w:r>
      <w:r w:rsidR="00B940D4" w:rsidRPr="009B4CC0">
        <w:rPr>
          <w:rFonts w:eastAsia="ヒラギノ角ゴ Pro W3"/>
          <w:lang w:eastAsia="en-GB"/>
        </w:rPr>
        <w:t xml:space="preserve">the </w:t>
      </w:r>
      <w:r w:rsidR="00A80B0D" w:rsidRPr="009B4CC0">
        <w:rPr>
          <w:rFonts w:eastAsia="ヒラギノ角ゴ Pro W3"/>
          <w:lang w:eastAsia="en-GB"/>
        </w:rPr>
        <w:t xml:space="preserve">preparation </w:t>
      </w:r>
      <w:r w:rsidR="00B940D4" w:rsidRPr="009B4CC0">
        <w:rPr>
          <w:rFonts w:eastAsia="ヒラギノ角ゴ Pro W3"/>
          <w:lang w:eastAsia="en-GB"/>
        </w:rPr>
        <w:t xml:space="preserve">of </w:t>
      </w:r>
      <w:r w:rsidR="00A80B0D" w:rsidRPr="009B4CC0">
        <w:rPr>
          <w:rFonts w:eastAsia="ヒラギノ角ゴ Pro W3"/>
          <w:lang w:eastAsia="en-GB"/>
        </w:rPr>
        <w:t xml:space="preserve">the Fifth </w:t>
      </w:r>
      <w:r w:rsidR="00B56638" w:rsidRPr="009B4CC0">
        <w:rPr>
          <w:rFonts w:eastAsia="ヒラギノ角ゴ Pro W3"/>
          <w:lang w:eastAsia="en-GB"/>
        </w:rPr>
        <w:t xml:space="preserve">Environment for Europe </w:t>
      </w:r>
      <w:r w:rsidR="00A80B0D" w:rsidRPr="009B4CC0">
        <w:rPr>
          <w:rFonts w:eastAsia="ヒラギノ角ゴ Pro W3"/>
          <w:lang w:eastAsia="en-GB"/>
        </w:rPr>
        <w:t>Ministerial Conference (Kyiv</w:t>
      </w:r>
      <w:r w:rsidR="001401E1" w:rsidRPr="009B4CC0">
        <w:rPr>
          <w:rFonts w:eastAsia="ヒラギノ角ゴ Pro W3"/>
          <w:lang w:eastAsia="en-GB"/>
        </w:rPr>
        <w:t>,</w:t>
      </w:r>
      <w:r w:rsidR="00A80B0D" w:rsidRPr="009B4CC0">
        <w:rPr>
          <w:rFonts w:eastAsia="ヒラギノ角ゴ Pro W3"/>
          <w:lang w:eastAsia="en-GB"/>
        </w:rPr>
        <w:t xml:space="preserve"> 2003). The Working Group obtained its current name </w:t>
      </w:r>
      <w:r w:rsidR="00DA6B05" w:rsidRPr="009B4CC0">
        <w:rPr>
          <w:rFonts w:eastAsia="ヒラギノ角ゴ Pro W3"/>
          <w:lang w:eastAsia="en-GB"/>
        </w:rPr>
        <w:t xml:space="preserve">in </w:t>
      </w:r>
      <w:r w:rsidR="00A80B0D" w:rsidRPr="009B4CC0">
        <w:rPr>
          <w:rFonts w:eastAsia="ヒラギノ角ゴ Pro W3"/>
          <w:lang w:eastAsia="en-GB"/>
        </w:rPr>
        <w:t xml:space="preserve">2003 </w:t>
      </w:r>
      <w:r w:rsidR="00DA6B05" w:rsidRPr="009B4CC0">
        <w:rPr>
          <w:rFonts w:eastAsia="ヒラギノ角ゴ Pro W3"/>
          <w:lang w:eastAsia="en-GB"/>
        </w:rPr>
        <w:t xml:space="preserve">when its mandate </w:t>
      </w:r>
      <w:proofErr w:type="gramStart"/>
      <w:r w:rsidR="00DA6B05" w:rsidRPr="009B4CC0">
        <w:rPr>
          <w:rFonts w:eastAsia="ヒラギノ角ゴ Pro W3"/>
          <w:lang w:eastAsia="en-GB"/>
        </w:rPr>
        <w:t xml:space="preserve">was </w:t>
      </w:r>
      <w:r w:rsidR="00A80B0D" w:rsidRPr="009B4CC0">
        <w:rPr>
          <w:rFonts w:eastAsia="ヒラギノ角ゴ Pro W3"/>
          <w:lang w:eastAsia="en-GB"/>
        </w:rPr>
        <w:t>expand</w:t>
      </w:r>
      <w:r w:rsidR="00DA6B05" w:rsidRPr="009B4CC0">
        <w:rPr>
          <w:rFonts w:eastAsia="ヒラギノ角ゴ Pro W3"/>
          <w:lang w:eastAsia="en-GB"/>
        </w:rPr>
        <w:t>ed</w:t>
      </w:r>
      <w:proofErr w:type="gramEnd"/>
      <w:r w:rsidR="00A80B0D" w:rsidRPr="009B4CC0">
        <w:rPr>
          <w:rFonts w:eastAsia="ヒラギノ角ゴ Pro W3"/>
          <w:lang w:eastAsia="en-GB"/>
        </w:rPr>
        <w:t xml:space="preserve"> to </w:t>
      </w:r>
      <w:r w:rsidR="00DA6B05" w:rsidRPr="009B4CC0">
        <w:rPr>
          <w:rFonts w:eastAsia="ヒラギノ角ゴ Pro W3"/>
          <w:lang w:eastAsia="en-GB"/>
        </w:rPr>
        <w:t xml:space="preserve">cover </w:t>
      </w:r>
      <w:r w:rsidR="00A80B0D" w:rsidRPr="009B4CC0">
        <w:rPr>
          <w:rFonts w:eastAsia="ヒラギノ角ゴ Pro W3"/>
          <w:lang w:eastAsia="en-GB"/>
        </w:rPr>
        <w:t>environmental assessment and, in particular, help</w:t>
      </w:r>
      <w:r w:rsidR="00DA6B05" w:rsidRPr="009B4CC0">
        <w:rPr>
          <w:rFonts w:eastAsia="ヒラギノ角ゴ Pro W3"/>
          <w:lang w:eastAsia="en-GB"/>
        </w:rPr>
        <w:t>ing to</w:t>
      </w:r>
      <w:r w:rsidR="00A80B0D" w:rsidRPr="009B4CC0">
        <w:rPr>
          <w:rFonts w:eastAsia="ヒラギノ角ゴ Pro W3"/>
          <w:lang w:eastAsia="en-GB"/>
        </w:rPr>
        <w:t xml:space="preserve"> streamline international environmental reporting in the </w:t>
      </w:r>
      <w:r w:rsidR="00B25D68" w:rsidRPr="009B4CC0">
        <w:rPr>
          <w:rFonts w:eastAsia="ヒラギノ角ゴ Pro W3"/>
          <w:lang w:eastAsia="en-GB"/>
        </w:rPr>
        <w:t>p</w:t>
      </w:r>
      <w:r w:rsidR="00A80B0D" w:rsidRPr="009B4CC0">
        <w:rPr>
          <w:rFonts w:eastAsia="ヒラギノ角ゴ Pro W3"/>
          <w:lang w:eastAsia="en-GB"/>
        </w:rPr>
        <w:t>an-European</w:t>
      </w:r>
      <w:r w:rsidR="00DA6B05" w:rsidRPr="009B4CC0">
        <w:rPr>
          <w:rFonts w:eastAsia="ヒラギノ角ゴ Pro W3"/>
          <w:lang w:eastAsia="en-GB"/>
        </w:rPr>
        <w:t xml:space="preserve"> </w:t>
      </w:r>
      <w:r w:rsidR="00A80B0D" w:rsidRPr="009B4CC0">
        <w:rPr>
          <w:rFonts w:eastAsia="ヒラギノ角ゴ Pro W3"/>
          <w:lang w:eastAsia="en-GB"/>
        </w:rPr>
        <w:t>region.</w:t>
      </w:r>
      <w:r w:rsidR="00D56595" w:rsidRPr="009B4CC0">
        <w:rPr>
          <w:rStyle w:val="FootnoteReference"/>
          <w:rFonts w:eastAsia="ヒラギノ角ゴ Pro W3"/>
          <w:lang w:eastAsia="en-GB"/>
        </w:rPr>
        <w:footnoteReference w:id="3"/>
      </w:r>
    </w:p>
    <w:p w14:paraId="5FA6EEEE" w14:textId="5700B870" w:rsidR="00A80B0D" w:rsidRPr="009B4CC0" w:rsidRDefault="00965BD8" w:rsidP="005A5249">
      <w:pPr>
        <w:pStyle w:val="SingleTxtG"/>
      </w:pPr>
      <w:r w:rsidRPr="009B4CC0">
        <w:rPr>
          <w:rFonts w:eastAsia="ヒラギノ角ゴ Pro W3"/>
          <w:lang w:eastAsia="en-GB"/>
        </w:rPr>
        <w:t>9</w:t>
      </w:r>
      <w:r w:rsidR="00A80B0D" w:rsidRPr="009B4CC0">
        <w:rPr>
          <w:rFonts w:eastAsia="ヒラギノ角ゴ Pro W3"/>
          <w:lang w:eastAsia="en-GB"/>
        </w:rPr>
        <w:t>.</w:t>
      </w:r>
      <w:r w:rsidR="00A80B0D" w:rsidRPr="009B4CC0">
        <w:rPr>
          <w:rFonts w:eastAsia="ヒラギノ角ゴ Pro W3"/>
          <w:lang w:eastAsia="en-GB"/>
        </w:rPr>
        <w:tab/>
      </w:r>
      <w:r w:rsidR="005A5249" w:rsidRPr="009B4CC0">
        <w:rPr>
          <w:rFonts w:eastAsia="ヒラギノ角ゴ Pro W3"/>
          <w:lang w:eastAsia="en-GB"/>
        </w:rPr>
        <w:t>T</w:t>
      </w:r>
      <w:r w:rsidR="00A80B0D" w:rsidRPr="009B4CC0">
        <w:rPr>
          <w:rFonts w:eastAsia="ヒラギノ角ゴ Pro W3"/>
          <w:lang w:eastAsia="en-GB"/>
        </w:rPr>
        <w:t xml:space="preserve">he Working Group </w:t>
      </w:r>
      <w:proofErr w:type="gramStart"/>
      <w:r w:rsidR="00A80B0D" w:rsidRPr="009B4CC0">
        <w:rPr>
          <w:rFonts w:eastAsia="ヒラギノ角ゴ Pro W3"/>
          <w:lang w:eastAsia="en-GB"/>
        </w:rPr>
        <w:t>was mandated</w:t>
      </w:r>
      <w:proofErr w:type="gramEnd"/>
      <w:r w:rsidR="00A80B0D" w:rsidRPr="009B4CC0">
        <w:rPr>
          <w:rFonts w:eastAsia="ヒラギノ角ゴ Pro W3"/>
          <w:lang w:eastAsia="en-GB"/>
        </w:rPr>
        <w:t xml:space="preserve"> </w:t>
      </w:r>
      <w:r w:rsidR="005A5249" w:rsidRPr="009B4CC0">
        <w:rPr>
          <w:rFonts w:eastAsia="ヒラギノ角ゴ Pro W3"/>
          <w:lang w:eastAsia="en-GB"/>
        </w:rPr>
        <w:t xml:space="preserve">in 2007 </w:t>
      </w:r>
      <w:r w:rsidR="00A80B0D" w:rsidRPr="009B4CC0">
        <w:rPr>
          <w:rFonts w:eastAsia="ヒラギノ角ゴ Pro W3"/>
          <w:lang w:eastAsia="en-GB"/>
        </w:rPr>
        <w:t>to assist countries of Eastern Europe, the Caucasus and Central Asia and interested countries of South-Eastern Europe (</w:t>
      </w:r>
      <w:r w:rsidR="00F31491">
        <w:rPr>
          <w:rFonts w:eastAsia="ヒラギノ角ゴ Pro W3"/>
          <w:lang w:eastAsia="en-GB"/>
        </w:rPr>
        <w:t xml:space="preserve">the </w:t>
      </w:r>
      <w:r w:rsidR="00A80B0D" w:rsidRPr="009B4CC0">
        <w:rPr>
          <w:rFonts w:eastAsia="ヒラギノ角ゴ Pro W3"/>
          <w:lang w:eastAsia="en-GB"/>
        </w:rPr>
        <w:t xml:space="preserve">target countries) to make monitoring and assessment an effective instrument </w:t>
      </w:r>
      <w:r w:rsidR="00F31491">
        <w:rPr>
          <w:rFonts w:eastAsia="ヒラギノ角ゴ Pro W3"/>
          <w:lang w:eastAsia="en-GB"/>
        </w:rPr>
        <w:t xml:space="preserve">for </w:t>
      </w:r>
      <w:r w:rsidR="00A80B0D" w:rsidRPr="009B4CC0">
        <w:rPr>
          <w:rFonts w:eastAsia="ヒラギノ角ゴ Pro W3"/>
          <w:lang w:eastAsia="en-GB"/>
        </w:rPr>
        <w:t xml:space="preserve">environmental policymaking, and to improve international environmental reporting. This assistance </w:t>
      </w:r>
      <w:proofErr w:type="gramStart"/>
      <w:r w:rsidR="00A80B0D" w:rsidRPr="009B4CC0">
        <w:rPr>
          <w:rFonts w:eastAsia="ヒラギノ角ゴ Pro W3"/>
          <w:lang w:eastAsia="en-GB"/>
        </w:rPr>
        <w:t>was further expanded</w:t>
      </w:r>
      <w:proofErr w:type="gramEnd"/>
      <w:r w:rsidR="00A80B0D" w:rsidRPr="009B4CC0">
        <w:rPr>
          <w:rFonts w:eastAsia="ヒラギノ角ゴ Pro W3"/>
          <w:lang w:eastAsia="en-GB"/>
        </w:rPr>
        <w:t xml:space="preserve">, </w:t>
      </w:r>
      <w:r w:rsidR="00DA6B05" w:rsidRPr="009B4CC0">
        <w:rPr>
          <w:rFonts w:eastAsia="ヒラギノ角ゴ Pro W3"/>
          <w:lang w:eastAsia="en-GB"/>
        </w:rPr>
        <w:t xml:space="preserve">by later </w:t>
      </w:r>
      <w:r w:rsidR="00A80B0D" w:rsidRPr="009B4CC0">
        <w:rPr>
          <w:rFonts w:eastAsia="ヒラギノ角ゴ Pro W3"/>
          <w:lang w:eastAsia="en-GB"/>
        </w:rPr>
        <w:t>mandates, to support</w:t>
      </w:r>
      <w:r w:rsidR="00DA6B05" w:rsidRPr="009B4CC0">
        <w:rPr>
          <w:rFonts w:eastAsia="ヒラギノ角ゴ Pro W3"/>
          <w:lang w:eastAsia="en-GB"/>
        </w:rPr>
        <w:t>ing</w:t>
      </w:r>
      <w:r w:rsidR="00A80B0D" w:rsidRPr="009B4CC0">
        <w:rPr>
          <w:rFonts w:eastAsia="ヒラギノ角ゴ Pro W3"/>
          <w:lang w:eastAsia="en-GB"/>
        </w:rPr>
        <w:t xml:space="preserve"> the efforts of the target countries in establishing SEIS to underpin regular reporting and assessments in accordance with </w:t>
      </w:r>
      <w:r w:rsidR="00F31491">
        <w:rPr>
          <w:rFonts w:eastAsia="ヒラギノ角ゴ Pro W3"/>
          <w:lang w:eastAsia="en-GB"/>
        </w:rPr>
        <w:t xml:space="preserve">the </w:t>
      </w:r>
      <w:r w:rsidR="00A80B0D" w:rsidRPr="009B4CC0">
        <w:rPr>
          <w:rFonts w:eastAsia="ヒラギノ角ゴ Pro W3"/>
          <w:lang w:eastAsia="en-GB"/>
        </w:rPr>
        <w:t xml:space="preserve">requirements and obligations under relevant multilateral environmental agreements. </w:t>
      </w:r>
    </w:p>
    <w:p w14:paraId="2228F8BB" w14:textId="0D9D2617" w:rsidR="00A80B0D" w:rsidRPr="009B4CC0" w:rsidRDefault="00965BD8" w:rsidP="005A5249">
      <w:pPr>
        <w:pStyle w:val="SingleTxtG"/>
        <w:rPr>
          <w:rFonts w:eastAsia="ヒラギノ角ゴ Pro W3"/>
          <w:lang w:eastAsia="en-GB"/>
        </w:rPr>
      </w:pPr>
      <w:proofErr w:type="gramStart"/>
      <w:r w:rsidRPr="009B4CC0">
        <w:rPr>
          <w:rFonts w:eastAsia="ヒラギノ角ゴ Pro W3"/>
          <w:lang w:eastAsia="en-GB"/>
        </w:rPr>
        <w:t>10.</w:t>
      </w:r>
      <w:r w:rsidRPr="009B4CC0">
        <w:rPr>
          <w:rFonts w:eastAsia="ヒラギノ角ゴ Pro W3"/>
          <w:lang w:eastAsia="en-GB"/>
        </w:rPr>
        <w:tab/>
      </w:r>
      <w:r w:rsidR="005A5249" w:rsidRPr="009B4CC0">
        <w:rPr>
          <w:rFonts w:eastAsia="ヒラギノ角ゴ Pro W3"/>
          <w:lang w:eastAsia="en-GB"/>
        </w:rPr>
        <w:t>B</w:t>
      </w:r>
      <w:r w:rsidR="006D430C" w:rsidRPr="009B4CC0">
        <w:rPr>
          <w:rFonts w:eastAsia="ヒラギノ角ゴ Pro W3"/>
          <w:lang w:eastAsia="en-GB"/>
        </w:rPr>
        <w:t>etween 2007 and 2014</w:t>
      </w:r>
      <w:proofErr w:type="gramEnd"/>
      <w:r w:rsidR="00A80B0D" w:rsidRPr="009B4CC0">
        <w:rPr>
          <w:rFonts w:eastAsia="ヒラギノ角ゴ Pro W3"/>
          <w:lang w:eastAsia="en-GB"/>
        </w:rPr>
        <w:t xml:space="preserve"> the Working Group focused on delivery of the </w:t>
      </w:r>
      <w:r w:rsidR="00452181" w:rsidRPr="009B4CC0">
        <w:rPr>
          <w:rFonts w:eastAsia="ヒラギノ角ゴ Pro W3"/>
          <w:lang w:eastAsia="en-GB"/>
        </w:rPr>
        <w:t xml:space="preserve">mandated </w:t>
      </w:r>
      <w:r w:rsidR="00A80B0D" w:rsidRPr="009B4CC0">
        <w:rPr>
          <w:rFonts w:eastAsia="ヒラギノ角ゴ Pro W3"/>
          <w:lang w:eastAsia="en-GB"/>
        </w:rPr>
        <w:t>assistance to the target countries</w:t>
      </w:r>
      <w:r w:rsidR="00F31491">
        <w:rPr>
          <w:rFonts w:eastAsia="ヒラギノ角ゴ Pro W3"/>
          <w:lang w:eastAsia="en-GB"/>
        </w:rPr>
        <w:t>.</w:t>
      </w:r>
      <w:r w:rsidR="00A80B0D" w:rsidRPr="009B4CC0">
        <w:rPr>
          <w:rFonts w:eastAsia="ヒラギノ角ゴ Pro W3"/>
          <w:lang w:eastAsia="en-GB"/>
        </w:rPr>
        <w:t xml:space="preserve"> </w:t>
      </w:r>
      <w:r w:rsidR="00F31491">
        <w:rPr>
          <w:rFonts w:eastAsia="ヒラギノ角ゴ Pro W3"/>
          <w:lang w:eastAsia="en-GB"/>
        </w:rPr>
        <w:t>I</w:t>
      </w:r>
      <w:r w:rsidR="00452181" w:rsidRPr="009B4CC0">
        <w:rPr>
          <w:rFonts w:eastAsia="ヒラギノ角ゴ Pro W3"/>
          <w:lang w:eastAsia="en-GB"/>
        </w:rPr>
        <w:t xml:space="preserve">t </w:t>
      </w:r>
      <w:r w:rsidR="00A80B0D" w:rsidRPr="009B4CC0">
        <w:rPr>
          <w:rFonts w:eastAsia="ヒラギノ角ゴ Pro W3"/>
          <w:lang w:eastAsia="en-GB"/>
        </w:rPr>
        <w:t xml:space="preserve">also continued to contribute to </w:t>
      </w:r>
      <w:r w:rsidR="00A80B0D" w:rsidRPr="009B4CC0">
        <w:rPr>
          <w:rFonts w:eastAsia="ヒラギノ角ゴ Pro W3"/>
          <w:u w:color="000000"/>
          <w:lang w:eastAsia="en-GB"/>
        </w:rPr>
        <w:t xml:space="preserve">an appraisal of monitoring and assessment requirements within the framework of the </w:t>
      </w:r>
      <w:r w:rsidR="00F31491">
        <w:rPr>
          <w:rFonts w:eastAsia="ヒラギノ角ゴ Pro W3"/>
          <w:u w:color="000000"/>
          <w:lang w:eastAsia="en-GB"/>
        </w:rPr>
        <w:t>Environment for Europe</w:t>
      </w:r>
      <w:r w:rsidR="00A80B0D" w:rsidRPr="009B4CC0">
        <w:rPr>
          <w:rFonts w:eastAsia="ヒラギノ角ゴ Pro W3"/>
          <w:u w:color="000000"/>
          <w:lang w:eastAsia="en-GB"/>
        </w:rPr>
        <w:t xml:space="preserve"> process </w:t>
      </w:r>
      <w:r w:rsidR="00F31491">
        <w:rPr>
          <w:rFonts w:eastAsia="ヒラギノ角ゴ Pro W3"/>
          <w:u w:color="000000"/>
          <w:lang w:eastAsia="en-GB"/>
        </w:rPr>
        <w:t xml:space="preserve">and </w:t>
      </w:r>
      <w:r w:rsidR="00A80B0D" w:rsidRPr="009B4CC0">
        <w:rPr>
          <w:rFonts w:eastAsia="ヒラギノ角ゴ Pro W3"/>
          <w:u w:color="000000"/>
          <w:lang w:eastAsia="en-GB"/>
        </w:rPr>
        <w:t xml:space="preserve">other relevant </w:t>
      </w:r>
      <w:r w:rsidR="00E209AB" w:rsidRPr="009B4CC0">
        <w:rPr>
          <w:rFonts w:eastAsia="ヒラギノ角ゴ Pro W3"/>
          <w:u w:color="000000"/>
          <w:lang w:eastAsia="en-GB"/>
        </w:rPr>
        <w:t>processes.</w:t>
      </w:r>
      <w:r w:rsidR="005A5249" w:rsidRPr="009B4CC0">
        <w:rPr>
          <w:rFonts w:eastAsia="ヒラギノ角ゴ Pro W3"/>
          <w:lang w:eastAsia="en-GB"/>
        </w:rPr>
        <w:t xml:space="preserve"> </w:t>
      </w:r>
      <w:r w:rsidR="007B6369" w:rsidRPr="009B4CC0">
        <w:rPr>
          <w:rFonts w:eastAsia="ヒラギノ角ゴ Pro W3"/>
          <w:lang w:eastAsia="en-GB"/>
        </w:rPr>
        <w:t xml:space="preserve">In 2014, </w:t>
      </w:r>
      <w:r w:rsidR="00796732" w:rsidRPr="009B4CC0">
        <w:rPr>
          <w:rFonts w:eastAsia="ヒラギノ角ゴ Pro W3"/>
          <w:lang w:eastAsia="en-GB"/>
        </w:rPr>
        <w:t xml:space="preserve">the Committee </w:t>
      </w:r>
      <w:r w:rsidR="00D763D5" w:rsidRPr="009B4CC0">
        <w:rPr>
          <w:rFonts w:eastAsia="ヒラギノ角ゴ Pro W3"/>
          <w:lang w:eastAsia="en-GB"/>
        </w:rPr>
        <w:t xml:space="preserve">specifically mandated </w:t>
      </w:r>
      <w:r w:rsidR="007B6369" w:rsidRPr="009B4CC0">
        <w:rPr>
          <w:rFonts w:eastAsia="ヒラギノ角ゴ Pro W3"/>
          <w:lang w:eastAsia="en-GB"/>
        </w:rPr>
        <w:t>the Working Group t</w:t>
      </w:r>
      <w:r w:rsidR="007B6369" w:rsidRPr="009B4CC0">
        <w:t xml:space="preserve">o support the establishment of </w:t>
      </w:r>
      <w:r w:rsidR="00BA0DC3" w:rsidRPr="009B4CC0">
        <w:t>the pan-</w:t>
      </w:r>
      <w:r w:rsidR="007B6369" w:rsidRPr="009B4CC0">
        <w:t xml:space="preserve">European SEIS and </w:t>
      </w:r>
      <w:r w:rsidR="00D763D5" w:rsidRPr="009B4CC0">
        <w:t xml:space="preserve">added the task of </w:t>
      </w:r>
      <w:r w:rsidR="007B6369" w:rsidRPr="009B4CC0">
        <w:t>review</w:t>
      </w:r>
      <w:r w:rsidR="00D763D5" w:rsidRPr="009B4CC0">
        <w:t>ing</w:t>
      </w:r>
      <w:r w:rsidR="007B6369" w:rsidRPr="009B4CC0">
        <w:t xml:space="preserve"> </w:t>
      </w:r>
      <w:r w:rsidR="005A5249" w:rsidRPr="009B4CC0">
        <w:rPr>
          <w:rFonts w:eastAsia="ヒラギノ角ゴ Pro W3"/>
          <w:lang w:eastAsia="en-GB"/>
        </w:rPr>
        <w:t xml:space="preserve">SEIS progress. </w:t>
      </w:r>
      <w:r w:rsidR="00A80B0D" w:rsidRPr="009B4CC0">
        <w:rPr>
          <w:rFonts w:eastAsia="ヒラギノ角ゴ Pro W3"/>
          <w:u w:color="000000"/>
          <w:lang w:eastAsia="en-GB"/>
        </w:rPr>
        <w:t xml:space="preserve">From the </w:t>
      </w:r>
      <w:r w:rsidR="005A5249" w:rsidRPr="009B4CC0">
        <w:rPr>
          <w:rFonts w:eastAsia="ヒラギノ角ゴ Pro W3"/>
          <w:u w:color="000000"/>
          <w:lang w:eastAsia="en-GB"/>
        </w:rPr>
        <w:t>onset</w:t>
      </w:r>
      <w:r w:rsidR="00F31491">
        <w:rPr>
          <w:rFonts w:eastAsia="ヒラギノ角ゴ Pro W3"/>
          <w:u w:color="000000"/>
          <w:lang w:eastAsia="en-GB"/>
        </w:rPr>
        <w:t>,</w:t>
      </w:r>
      <w:r w:rsidR="00A80B0D" w:rsidRPr="009B4CC0">
        <w:rPr>
          <w:rFonts w:eastAsia="ヒラギノ角ゴ Pro W3"/>
          <w:u w:color="000000"/>
          <w:lang w:eastAsia="en-GB"/>
        </w:rPr>
        <w:t xml:space="preserve"> the Working Group was created </w:t>
      </w:r>
      <w:r w:rsidR="00452181" w:rsidRPr="009B4CC0">
        <w:rPr>
          <w:rFonts w:eastAsia="ヒラギノ角ゴ Pro W3"/>
          <w:u w:color="000000"/>
          <w:lang w:eastAsia="en-GB"/>
        </w:rPr>
        <w:t xml:space="preserve">mainly </w:t>
      </w:r>
      <w:r w:rsidR="00A80B0D" w:rsidRPr="009B4CC0">
        <w:rPr>
          <w:rFonts w:eastAsia="ヒラギノ角ゴ Pro W3"/>
          <w:u w:color="000000"/>
          <w:lang w:eastAsia="en-GB"/>
        </w:rPr>
        <w:t>to serve the national institutions from all ECE member States dealing with environmental monitoring and assessment (environmental agencies or ministries)</w:t>
      </w:r>
      <w:r w:rsidR="00452181" w:rsidRPr="009B4CC0">
        <w:rPr>
          <w:rFonts w:eastAsia="ヒラギノ角ゴ Pro W3"/>
          <w:u w:color="000000"/>
          <w:lang w:eastAsia="en-GB"/>
        </w:rPr>
        <w:t>,</w:t>
      </w:r>
      <w:r w:rsidR="00A80B0D" w:rsidRPr="009B4CC0">
        <w:rPr>
          <w:rFonts w:eastAsia="ヒラギノ角ゴ Pro W3"/>
          <w:u w:color="000000"/>
          <w:lang w:eastAsia="en-GB"/>
        </w:rPr>
        <w:t xml:space="preserve"> but was not limited to the participation of expert</w:t>
      </w:r>
      <w:r w:rsidR="00BD4468" w:rsidRPr="009B4CC0">
        <w:rPr>
          <w:rFonts w:eastAsia="ヒラギノ角ゴ Pro W3"/>
          <w:u w:color="000000"/>
          <w:lang w:eastAsia="en-GB"/>
        </w:rPr>
        <w:t>s from these institutions.</w:t>
      </w:r>
    </w:p>
    <w:p w14:paraId="18DAD05D" w14:textId="40F2B635" w:rsidR="00A80B0D" w:rsidRPr="009B4CC0" w:rsidRDefault="00965BD8" w:rsidP="00FA6CA9">
      <w:pPr>
        <w:pStyle w:val="SingleTxtG"/>
        <w:rPr>
          <w:rFonts w:eastAsia="ヒラギノ角ゴ Pro W3"/>
          <w:u w:color="000000"/>
          <w:lang w:eastAsia="en-GB"/>
        </w:rPr>
      </w:pPr>
      <w:r w:rsidRPr="009B4CC0">
        <w:rPr>
          <w:rFonts w:eastAsia="ヒラギノ角ゴ Pro W3"/>
          <w:u w:color="000000"/>
          <w:lang w:eastAsia="en-GB"/>
        </w:rPr>
        <w:t>11</w:t>
      </w:r>
      <w:r w:rsidR="00A80B0D" w:rsidRPr="009B4CC0">
        <w:rPr>
          <w:rFonts w:eastAsia="ヒラギノ角ゴ Pro W3"/>
          <w:u w:color="000000"/>
          <w:lang w:eastAsia="en-GB"/>
        </w:rPr>
        <w:t>.</w:t>
      </w:r>
      <w:r w:rsidR="00A80B0D" w:rsidRPr="009B4CC0">
        <w:rPr>
          <w:rFonts w:eastAsia="ヒラギノ角ゴ Pro W3"/>
          <w:u w:color="000000"/>
          <w:lang w:eastAsia="en-GB"/>
        </w:rPr>
        <w:tab/>
        <w:t>To support the work of the Working Group</w:t>
      </w:r>
      <w:r w:rsidR="00801CC0" w:rsidRPr="009B4CC0">
        <w:rPr>
          <w:rFonts w:eastAsia="ヒラギノ角ゴ Pro W3"/>
          <w:u w:color="000000"/>
          <w:lang w:eastAsia="en-GB"/>
        </w:rPr>
        <w:t>,</w:t>
      </w:r>
      <w:r w:rsidR="00A80B0D" w:rsidRPr="009B4CC0">
        <w:rPr>
          <w:rFonts w:eastAsia="ヒラギノ角ゴ Pro W3"/>
          <w:u w:color="000000"/>
          <w:lang w:eastAsia="en-GB"/>
        </w:rPr>
        <w:t xml:space="preserve"> and specifically to assist the target countries </w:t>
      </w:r>
      <w:r w:rsidR="00801CC0" w:rsidRPr="009B4CC0">
        <w:rPr>
          <w:rFonts w:eastAsia="ヒラギノ角ゴ Pro W3"/>
          <w:u w:color="000000"/>
          <w:lang w:eastAsia="en-GB"/>
        </w:rPr>
        <w:t xml:space="preserve">with </w:t>
      </w:r>
      <w:r w:rsidR="00A80B0D" w:rsidRPr="009B4CC0">
        <w:rPr>
          <w:rFonts w:eastAsia="ヒラギノ角ゴ Pro W3"/>
          <w:u w:color="000000"/>
          <w:lang w:eastAsia="en-GB"/>
        </w:rPr>
        <w:t xml:space="preserve">methodological </w:t>
      </w:r>
      <w:r w:rsidR="00801CC0" w:rsidRPr="009B4CC0">
        <w:rPr>
          <w:rFonts w:eastAsia="ヒラギノ角ゴ Pro W3"/>
          <w:u w:color="000000"/>
          <w:lang w:eastAsia="en-GB"/>
        </w:rPr>
        <w:t xml:space="preserve">challenges related to </w:t>
      </w:r>
      <w:r w:rsidR="00A80B0D" w:rsidRPr="009B4CC0">
        <w:rPr>
          <w:rFonts w:eastAsia="ヒラギノ角ゴ Pro W3"/>
          <w:u w:color="000000"/>
          <w:lang w:eastAsia="en-GB"/>
        </w:rPr>
        <w:t xml:space="preserve">indicators used for </w:t>
      </w:r>
      <w:r w:rsidR="005A5249" w:rsidRPr="009B4CC0">
        <w:rPr>
          <w:rFonts w:eastAsia="ヒラギノ角ゴ Pro W3"/>
          <w:u w:color="000000"/>
          <w:lang w:eastAsia="en-GB"/>
        </w:rPr>
        <w:t xml:space="preserve">environmental </w:t>
      </w:r>
      <w:r w:rsidR="00A80B0D" w:rsidRPr="009B4CC0">
        <w:rPr>
          <w:rFonts w:eastAsia="ヒラギノ角ゴ Pro W3"/>
          <w:u w:color="000000"/>
          <w:lang w:eastAsia="en-GB"/>
        </w:rPr>
        <w:t>assessment</w:t>
      </w:r>
      <w:r w:rsidR="005A5249" w:rsidRPr="009B4CC0">
        <w:rPr>
          <w:rFonts w:eastAsia="ヒラギノ角ゴ Pro W3"/>
          <w:u w:color="000000"/>
          <w:lang w:eastAsia="en-GB"/>
        </w:rPr>
        <w:t>s</w:t>
      </w:r>
      <w:r w:rsidR="00A80B0D" w:rsidRPr="009B4CC0">
        <w:rPr>
          <w:rFonts w:eastAsia="ヒラギノ角ゴ Pro W3"/>
          <w:u w:color="000000"/>
          <w:lang w:eastAsia="en-GB"/>
        </w:rPr>
        <w:t xml:space="preserve">, </w:t>
      </w:r>
      <w:r w:rsidR="00F31491">
        <w:rPr>
          <w:rFonts w:eastAsia="ヒラギノ角ゴ Pro W3"/>
          <w:u w:color="000000"/>
          <w:lang w:eastAsia="en-GB"/>
        </w:rPr>
        <w:t xml:space="preserve">in 2009 </w:t>
      </w:r>
      <w:r w:rsidR="005A5249" w:rsidRPr="009B4CC0">
        <w:rPr>
          <w:rFonts w:eastAsia="ヒラギノ角ゴ Pro W3"/>
          <w:u w:color="000000"/>
          <w:lang w:eastAsia="en-GB"/>
        </w:rPr>
        <w:t>the Committee</w:t>
      </w:r>
      <w:r w:rsidR="00A80B0D" w:rsidRPr="009B4CC0">
        <w:rPr>
          <w:rFonts w:eastAsia="ヒラギノ角ゴ Pro W3"/>
          <w:u w:color="000000"/>
          <w:lang w:eastAsia="en-GB"/>
        </w:rPr>
        <w:t xml:space="preserve"> together with the Conference of European Statisticians</w:t>
      </w:r>
      <w:r w:rsidR="00F46624" w:rsidRPr="009B4CC0">
        <w:rPr>
          <w:rFonts w:eastAsia="ヒラギノ角ゴ Pro W3"/>
          <w:u w:color="000000"/>
          <w:lang w:eastAsia="en-GB"/>
        </w:rPr>
        <w:t xml:space="preserve"> </w:t>
      </w:r>
      <w:r w:rsidR="00A80B0D" w:rsidRPr="009B4CC0">
        <w:rPr>
          <w:rFonts w:eastAsia="ヒラギノ角ゴ Pro W3"/>
          <w:u w:color="000000"/>
          <w:lang w:eastAsia="en-GB"/>
        </w:rPr>
        <w:t>created</w:t>
      </w:r>
      <w:r w:rsidR="00BD4468" w:rsidRPr="009B4CC0">
        <w:rPr>
          <w:rFonts w:eastAsia="ヒラギノ角ゴ Pro W3"/>
          <w:u w:color="000000"/>
          <w:lang w:eastAsia="en-GB"/>
        </w:rPr>
        <w:t xml:space="preserve"> the Joint Task Force</w:t>
      </w:r>
      <w:r w:rsidR="00801CC0" w:rsidRPr="009B4CC0">
        <w:rPr>
          <w:rFonts w:eastAsia="ヒラギノ角ゴ Pro W3"/>
          <w:u w:color="000000"/>
          <w:lang w:eastAsia="en-GB"/>
        </w:rPr>
        <w:t xml:space="preserve"> on Environmental Indicators</w:t>
      </w:r>
      <w:r w:rsidR="005A5249" w:rsidRPr="009B4CC0">
        <w:rPr>
          <w:rFonts w:eastAsia="ヒラギノ角ゴ Pro W3"/>
          <w:u w:color="000000"/>
          <w:lang w:eastAsia="en-GB"/>
        </w:rPr>
        <w:t>, recently renamed the Joint Task Force on Environmental Statistics</w:t>
      </w:r>
      <w:r w:rsidR="006D464E" w:rsidRPr="009B4CC0">
        <w:rPr>
          <w:rFonts w:eastAsia="ヒラギノ角ゴ Pro W3"/>
          <w:u w:color="000000"/>
          <w:lang w:eastAsia="en-GB"/>
        </w:rPr>
        <w:t xml:space="preserve"> and Indicators</w:t>
      </w:r>
      <w:r w:rsidR="00680903">
        <w:rPr>
          <w:rFonts w:eastAsia="ヒラギノ角ゴ Pro W3"/>
          <w:u w:color="000000"/>
          <w:lang w:eastAsia="en-GB"/>
        </w:rPr>
        <w:t xml:space="preserve"> (Joint Task Force)</w:t>
      </w:r>
      <w:r w:rsidR="005A5249" w:rsidRPr="009B4CC0">
        <w:rPr>
          <w:rFonts w:eastAsia="ヒラギノ角ゴ Pro W3"/>
          <w:u w:color="000000"/>
          <w:lang w:eastAsia="en-GB"/>
        </w:rPr>
        <w:t>.</w:t>
      </w:r>
    </w:p>
    <w:p w14:paraId="1D783CA1" w14:textId="3A44EEF0" w:rsidR="00A80B0D" w:rsidRPr="009B4CC0" w:rsidRDefault="005A5249" w:rsidP="00FA6CA9">
      <w:pPr>
        <w:pStyle w:val="SingleTxtG"/>
        <w:rPr>
          <w:rFonts w:eastAsia="ヒラギノ角ゴ Pro W3"/>
          <w:u w:color="000000"/>
          <w:lang w:eastAsia="en-GB"/>
        </w:rPr>
      </w:pPr>
      <w:r w:rsidRPr="009B4CC0">
        <w:rPr>
          <w:rFonts w:eastAsia="ヒラギノ角ゴ Pro W3"/>
          <w:u w:color="000000"/>
          <w:lang w:eastAsia="en-GB"/>
        </w:rPr>
        <w:t>1</w:t>
      </w:r>
      <w:r w:rsidR="00965BD8" w:rsidRPr="009B4CC0">
        <w:rPr>
          <w:rFonts w:eastAsia="ヒラギノ角ゴ Pro W3"/>
          <w:u w:color="000000"/>
          <w:lang w:eastAsia="en-GB"/>
        </w:rPr>
        <w:t>2</w:t>
      </w:r>
      <w:r w:rsidR="00A80B0D" w:rsidRPr="009B4CC0">
        <w:rPr>
          <w:rFonts w:eastAsia="ヒラギノ角ゴ Pro W3"/>
          <w:u w:color="000000"/>
          <w:lang w:eastAsia="en-GB"/>
        </w:rPr>
        <w:t>.</w:t>
      </w:r>
      <w:r w:rsidR="00A80B0D" w:rsidRPr="009B4CC0">
        <w:rPr>
          <w:rFonts w:eastAsia="ヒラギノ角ゴ Pro W3"/>
          <w:u w:color="000000"/>
          <w:lang w:eastAsia="en-GB"/>
        </w:rPr>
        <w:tab/>
      </w:r>
      <w:r w:rsidRPr="009B4CC0">
        <w:rPr>
          <w:rFonts w:eastAsia="ヒラギノ角ゴ Pro W3"/>
          <w:u w:color="000000"/>
          <w:lang w:eastAsia="en-GB"/>
        </w:rPr>
        <w:t>The Committee</w:t>
      </w:r>
      <w:r w:rsidR="00A80B0D" w:rsidRPr="009B4CC0">
        <w:rPr>
          <w:rFonts w:eastAsia="ヒラギノ角ゴ Pro W3"/>
          <w:u w:color="000000"/>
          <w:lang w:eastAsia="en-GB"/>
        </w:rPr>
        <w:t xml:space="preserve"> </w:t>
      </w:r>
      <w:r w:rsidR="00F31491">
        <w:rPr>
          <w:rFonts w:eastAsia="ヒラギノ角ゴ Pro W3"/>
          <w:u w:color="000000"/>
          <w:lang w:eastAsia="en-GB"/>
        </w:rPr>
        <w:t xml:space="preserve">on Environmental Policy </w:t>
      </w:r>
      <w:r w:rsidR="00A80B0D" w:rsidRPr="009B4CC0">
        <w:rPr>
          <w:rFonts w:eastAsia="ヒラギノ角ゴ Pro W3"/>
          <w:u w:color="000000"/>
          <w:lang w:eastAsia="en-GB"/>
        </w:rPr>
        <w:t xml:space="preserve">and </w:t>
      </w:r>
      <w:r w:rsidR="00F31491">
        <w:rPr>
          <w:rFonts w:eastAsia="ヒラギノ角ゴ Pro W3"/>
          <w:u w:color="000000"/>
          <w:lang w:eastAsia="en-GB"/>
        </w:rPr>
        <w:t>the Conference of European Statisticians</w:t>
      </w:r>
      <w:r w:rsidR="00A80B0D" w:rsidRPr="009B4CC0">
        <w:rPr>
          <w:rFonts w:eastAsia="ヒラギノ角ゴ Pro W3"/>
          <w:u w:color="000000"/>
          <w:lang w:eastAsia="en-GB"/>
        </w:rPr>
        <w:t xml:space="preserve"> requested the Joint Task Force to assist national statistical agencies and institutions responsible for environment</w:t>
      </w:r>
      <w:r w:rsidR="00801CC0" w:rsidRPr="009B4CC0">
        <w:rPr>
          <w:rFonts w:eastAsia="ヒラギノ角ゴ Pro W3"/>
          <w:u w:color="000000"/>
          <w:lang w:eastAsia="en-GB"/>
        </w:rPr>
        <w:t>al</w:t>
      </w:r>
      <w:r w:rsidR="00A80B0D" w:rsidRPr="009B4CC0">
        <w:rPr>
          <w:rFonts w:eastAsia="ヒラギノ角ゴ Pro W3"/>
          <w:u w:color="000000"/>
          <w:lang w:eastAsia="en-GB"/>
        </w:rPr>
        <w:t xml:space="preserve"> data and information in the target countries to improve the collection, processing and validation of environmental data underpinning the environmental indicators</w:t>
      </w:r>
      <w:r w:rsidR="003C27A7" w:rsidRPr="009B4CC0">
        <w:rPr>
          <w:rFonts w:eastAsia="ヒラギノ角ゴ Pro W3"/>
          <w:u w:color="000000"/>
          <w:lang w:eastAsia="en-GB"/>
        </w:rPr>
        <w:t>,</w:t>
      </w:r>
      <w:r w:rsidR="00A80B0D" w:rsidRPr="009B4CC0">
        <w:rPr>
          <w:rFonts w:eastAsia="ヒラギノ角ゴ Pro W3"/>
          <w:u w:color="000000"/>
          <w:lang w:eastAsia="en-GB"/>
        </w:rPr>
        <w:t xml:space="preserve"> in line with internationally accepted methodologies and statistical classifications. The objective was </w:t>
      </w:r>
      <w:proofErr w:type="gramStart"/>
      <w:r w:rsidR="00A80B0D" w:rsidRPr="009B4CC0">
        <w:rPr>
          <w:rFonts w:eastAsia="ヒラギノ角ゴ Pro W3"/>
          <w:u w:color="000000"/>
          <w:lang w:eastAsia="en-GB"/>
        </w:rPr>
        <w:t>to gradually improve</w:t>
      </w:r>
      <w:proofErr w:type="gramEnd"/>
      <w:r w:rsidR="00A80B0D" w:rsidRPr="009B4CC0">
        <w:rPr>
          <w:rFonts w:eastAsia="ヒラギノ角ゴ Pro W3"/>
          <w:u w:color="000000"/>
          <w:lang w:eastAsia="en-GB"/>
        </w:rPr>
        <w:t xml:space="preserve"> environmental statistics and the production and sharing of the agreed indicators by the target countries. The </w:t>
      </w:r>
      <w:r w:rsidRPr="009B4CC0">
        <w:rPr>
          <w:rFonts w:eastAsia="ヒラギノ角ゴ Pro W3"/>
          <w:u w:color="000000"/>
          <w:lang w:eastAsia="en-GB"/>
        </w:rPr>
        <w:t xml:space="preserve">Joint </w:t>
      </w:r>
      <w:r w:rsidR="00A80B0D" w:rsidRPr="009B4CC0">
        <w:rPr>
          <w:rFonts w:eastAsia="ヒラギノ角ゴ Pro W3"/>
          <w:u w:color="000000"/>
          <w:lang w:eastAsia="en-GB"/>
        </w:rPr>
        <w:t>Task Force focused on statistical methodologies and analy</w:t>
      </w:r>
      <w:r w:rsidR="00801CC0" w:rsidRPr="009B4CC0">
        <w:rPr>
          <w:rFonts w:eastAsia="ヒラギノ角ゴ Pro W3"/>
          <w:u w:color="000000"/>
          <w:lang w:eastAsia="en-GB"/>
        </w:rPr>
        <w:t>s</w:t>
      </w:r>
      <w:r w:rsidR="00A80B0D" w:rsidRPr="009B4CC0">
        <w:rPr>
          <w:rFonts w:eastAsia="ヒラギノ角ゴ Pro W3"/>
          <w:u w:color="000000"/>
          <w:lang w:eastAsia="en-GB"/>
        </w:rPr>
        <w:t>ing the availability and quality of the data produced by the target countries.</w:t>
      </w:r>
    </w:p>
    <w:p w14:paraId="28BAB2D9" w14:textId="7C2CF31A" w:rsidR="00A80B0D" w:rsidRPr="009B4CC0" w:rsidRDefault="00A80B0D" w:rsidP="00FA6CA9">
      <w:pPr>
        <w:pStyle w:val="SingleTxtG"/>
        <w:rPr>
          <w:rFonts w:eastAsia="ヒラギノ角ゴ Pro W3"/>
          <w:u w:color="000000"/>
          <w:lang w:eastAsia="en-GB"/>
        </w:rPr>
      </w:pPr>
      <w:r w:rsidRPr="009B4CC0">
        <w:rPr>
          <w:rFonts w:eastAsia="ヒラギノ角ゴ Pro W3"/>
          <w:u w:color="000000"/>
          <w:lang w:eastAsia="en-GB"/>
        </w:rPr>
        <w:t>1</w:t>
      </w:r>
      <w:r w:rsidR="00965BD8" w:rsidRPr="009B4CC0">
        <w:rPr>
          <w:rFonts w:eastAsia="ヒラギノ角ゴ Pro W3"/>
          <w:u w:color="000000"/>
          <w:lang w:eastAsia="en-GB"/>
        </w:rPr>
        <w:t>3</w:t>
      </w:r>
      <w:r w:rsidRPr="009B4CC0">
        <w:rPr>
          <w:rFonts w:eastAsia="ヒラギノ角ゴ Pro W3"/>
          <w:u w:color="000000"/>
          <w:lang w:eastAsia="en-GB"/>
        </w:rPr>
        <w:t>.</w:t>
      </w:r>
      <w:r w:rsidRPr="009B4CC0">
        <w:rPr>
          <w:rFonts w:eastAsia="ヒラギノ角ゴ Pro W3"/>
          <w:u w:color="000000"/>
          <w:lang w:eastAsia="en-GB"/>
        </w:rPr>
        <w:tab/>
        <w:t xml:space="preserve">The communication and cooperation between the </w:t>
      </w:r>
      <w:r w:rsidR="00976069" w:rsidRPr="009B4CC0">
        <w:rPr>
          <w:rFonts w:eastAsia="ヒラギノ角ゴ Pro W3"/>
          <w:u w:color="000000"/>
          <w:lang w:eastAsia="en-GB"/>
        </w:rPr>
        <w:t xml:space="preserve">Joint </w:t>
      </w:r>
      <w:r w:rsidR="00801CC0" w:rsidRPr="009B4CC0">
        <w:rPr>
          <w:rFonts w:eastAsia="ヒラギノ角ゴ Pro W3"/>
          <w:u w:color="000000"/>
          <w:lang w:eastAsia="en-GB"/>
        </w:rPr>
        <w:t xml:space="preserve">Task Force and the Working Group </w:t>
      </w:r>
      <w:r w:rsidR="005A5249" w:rsidRPr="009B4CC0">
        <w:rPr>
          <w:rFonts w:eastAsia="ヒラギノ角ゴ Pro W3"/>
          <w:u w:color="000000"/>
          <w:lang w:eastAsia="en-GB"/>
        </w:rPr>
        <w:t>has</w:t>
      </w:r>
      <w:r w:rsidRPr="009B4CC0">
        <w:rPr>
          <w:rFonts w:eastAsia="ヒラギノ角ゴ Pro W3"/>
          <w:u w:color="000000"/>
          <w:lang w:eastAsia="en-GB"/>
        </w:rPr>
        <w:t xml:space="preserve"> always </w:t>
      </w:r>
      <w:r w:rsidR="005A5249" w:rsidRPr="009B4CC0">
        <w:rPr>
          <w:rFonts w:eastAsia="ヒラギノ角ゴ Pro W3"/>
          <w:u w:color="000000"/>
          <w:lang w:eastAsia="en-GB"/>
        </w:rPr>
        <w:t xml:space="preserve">been </w:t>
      </w:r>
      <w:r w:rsidRPr="009B4CC0">
        <w:rPr>
          <w:rFonts w:eastAsia="ヒラギノ角ゴ Pro W3"/>
          <w:u w:color="000000"/>
          <w:lang w:eastAsia="en-GB"/>
        </w:rPr>
        <w:t xml:space="preserve">exemplary. While the Joint Task Force </w:t>
      </w:r>
      <w:r w:rsidR="00976069" w:rsidRPr="009B4CC0">
        <w:rPr>
          <w:rFonts w:eastAsia="ヒラギノ角ゴ Pro W3"/>
          <w:u w:color="000000"/>
          <w:lang w:eastAsia="en-GB"/>
        </w:rPr>
        <w:t>help</w:t>
      </w:r>
      <w:r w:rsidR="006D464E" w:rsidRPr="009B4CC0">
        <w:rPr>
          <w:rFonts w:eastAsia="ヒラギノ角ゴ Pro W3"/>
          <w:u w:color="000000"/>
          <w:lang w:eastAsia="en-GB"/>
        </w:rPr>
        <w:t>s the target</w:t>
      </w:r>
      <w:r w:rsidRPr="009B4CC0">
        <w:rPr>
          <w:rFonts w:eastAsia="ヒラギノ角ゴ Pro W3"/>
          <w:u w:color="000000"/>
          <w:lang w:eastAsia="en-GB"/>
        </w:rPr>
        <w:t xml:space="preserve"> countries </w:t>
      </w:r>
      <w:r w:rsidR="00F31491">
        <w:rPr>
          <w:rFonts w:eastAsia="ヒラギノ角ゴ Pro W3"/>
          <w:u w:color="000000"/>
          <w:lang w:eastAsia="en-GB"/>
        </w:rPr>
        <w:t xml:space="preserve">to </w:t>
      </w:r>
      <w:r w:rsidRPr="009B4CC0">
        <w:rPr>
          <w:rFonts w:eastAsia="ヒラギノ角ゴ Pro W3"/>
          <w:u w:color="000000"/>
          <w:lang w:eastAsia="en-GB"/>
        </w:rPr>
        <w:t>understand the indicator methodologies and support</w:t>
      </w:r>
      <w:r w:rsidR="00F31491">
        <w:rPr>
          <w:rFonts w:eastAsia="ヒラギノ角ゴ Pro W3"/>
          <w:u w:color="000000"/>
          <w:lang w:eastAsia="en-GB"/>
        </w:rPr>
        <w:t>s</w:t>
      </w:r>
      <w:r w:rsidRPr="009B4CC0">
        <w:rPr>
          <w:rFonts w:eastAsia="ヒラギノ角ゴ Pro W3"/>
          <w:u w:color="000000"/>
          <w:lang w:eastAsia="en-GB"/>
        </w:rPr>
        <w:t xml:space="preserve"> them in applying the methodologies to produce and share specific environmental indicators, the Working Group assist</w:t>
      </w:r>
      <w:r w:rsidR="00F31491">
        <w:rPr>
          <w:rFonts w:eastAsia="ヒラギノ角ゴ Pro W3"/>
          <w:u w:color="000000"/>
          <w:lang w:eastAsia="en-GB"/>
        </w:rPr>
        <w:t>s</w:t>
      </w:r>
      <w:r w:rsidRPr="009B4CC0">
        <w:rPr>
          <w:rFonts w:eastAsia="ヒラギノ角ゴ Pro W3"/>
          <w:u w:color="000000"/>
          <w:lang w:eastAsia="en-GB"/>
        </w:rPr>
        <w:t xml:space="preserve"> the</w:t>
      </w:r>
      <w:r w:rsidR="006D464E" w:rsidRPr="009B4CC0">
        <w:rPr>
          <w:rFonts w:eastAsia="ヒラギノ角ゴ Pro W3"/>
          <w:u w:color="000000"/>
          <w:lang w:eastAsia="en-GB"/>
        </w:rPr>
        <w:t>se</w:t>
      </w:r>
      <w:r w:rsidRPr="009B4CC0">
        <w:rPr>
          <w:rFonts w:eastAsia="ヒラギノ角ゴ Pro W3"/>
          <w:u w:color="000000"/>
          <w:lang w:eastAsia="en-GB"/>
        </w:rPr>
        <w:t xml:space="preserve"> countries in analy</w:t>
      </w:r>
      <w:r w:rsidR="00801CC0" w:rsidRPr="009B4CC0">
        <w:rPr>
          <w:rFonts w:eastAsia="ヒラギノ角ゴ Pro W3"/>
          <w:u w:color="000000"/>
          <w:lang w:eastAsia="en-GB"/>
        </w:rPr>
        <w:t>s</w:t>
      </w:r>
      <w:r w:rsidRPr="009B4CC0">
        <w:rPr>
          <w:rFonts w:eastAsia="ヒラギノ角ゴ Pro W3"/>
          <w:u w:color="000000"/>
          <w:lang w:eastAsia="en-GB"/>
        </w:rPr>
        <w:t xml:space="preserve">ing and assessing their national environmental policies, using the indicators produced, </w:t>
      </w:r>
      <w:r w:rsidR="00F31491">
        <w:rPr>
          <w:rFonts w:eastAsia="ヒラギノ角ゴ Pro W3"/>
          <w:u w:color="000000"/>
          <w:lang w:eastAsia="en-GB"/>
        </w:rPr>
        <w:t xml:space="preserve">thereby </w:t>
      </w:r>
      <w:r w:rsidRPr="009B4CC0">
        <w:rPr>
          <w:rFonts w:eastAsia="ヒラギノ角ゴ Pro W3"/>
          <w:u w:color="000000"/>
          <w:lang w:eastAsia="en-GB"/>
        </w:rPr>
        <w:t>improv</w:t>
      </w:r>
      <w:r w:rsidR="00F31491">
        <w:rPr>
          <w:rFonts w:eastAsia="ヒラギノ角ゴ Pro W3"/>
          <w:u w:color="000000"/>
          <w:lang w:eastAsia="en-GB"/>
        </w:rPr>
        <w:t>ing</w:t>
      </w:r>
      <w:r w:rsidRPr="009B4CC0">
        <w:rPr>
          <w:rFonts w:eastAsia="ヒラギノ角ゴ Pro W3"/>
          <w:u w:color="000000"/>
          <w:lang w:eastAsia="en-GB"/>
        </w:rPr>
        <w:t xml:space="preserve"> </w:t>
      </w:r>
      <w:r w:rsidR="001A4ED8" w:rsidRPr="009B4CC0">
        <w:rPr>
          <w:rFonts w:eastAsia="ヒラギノ角ゴ Pro W3"/>
          <w:u w:color="000000"/>
          <w:lang w:eastAsia="en-GB"/>
        </w:rPr>
        <w:t xml:space="preserve">their </w:t>
      </w:r>
      <w:r w:rsidRPr="009B4CC0">
        <w:rPr>
          <w:rFonts w:eastAsia="ヒラギノ角ゴ Pro W3"/>
          <w:u w:color="000000"/>
          <w:lang w:eastAsia="en-GB"/>
        </w:rPr>
        <w:t>capacity for producing good quality</w:t>
      </w:r>
      <w:r w:rsidR="001A4ED8" w:rsidRPr="009B4CC0">
        <w:rPr>
          <w:rFonts w:eastAsia="ヒラギノ角ゴ Pro W3"/>
          <w:u w:color="000000"/>
          <w:lang w:eastAsia="en-GB"/>
        </w:rPr>
        <w:t>,</w:t>
      </w:r>
      <w:r w:rsidRPr="009B4CC0">
        <w:rPr>
          <w:rFonts w:eastAsia="ヒラギノ角ゴ Pro W3"/>
          <w:u w:color="000000"/>
          <w:lang w:eastAsia="en-GB"/>
        </w:rPr>
        <w:t xml:space="preserve"> indicator-based state</w:t>
      </w:r>
      <w:r w:rsidR="001A4ED8" w:rsidRPr="009B4CC0">
        <w:rPr>
          <w:rFonts w:eastAsia="ヒラギノ角ゴ Pro W3"/>
          <w:u w:color="000000"/>
          <w:lang w:eastAsia="en-GB"/>
        </w:rPr>
        <w:t>-</w:t>
      </w:r>
      <w:r w:rsidRPr="009B4CC0">
        <w:rPr>
          <w:rFonts w:eastAsia="ヒラギノ角ゴ Pro W3"/>
          <w:u w:color="000000"/>
          <w:lang w:eastAsia="en-GB"/>
        </w:rPr>
        <w:t>of</w:t>
      </w:r>
      <w:r w:rsidR="001A4ED8" w:rsidRPr="009B4CC0">
        <w:rPr>
          <w:rFonts w:eastAsia="ヒラギノ角ゴ Pro W3"/>
          <w:u w:color="000000"/>
          <w:lang w:eastAsia="en-GB"/>
        </w:rPr>
        <w:t>-the-</w:t>
      </w:r>
      <w:r w:rsidRPr="009B4CC0">
        <w:rPr>
          <w:rFonts w:eastAsia="ヒラギノ角ゴ Pro W3"/>
          <w:u w:color="000000"/>
          <w:lang w:eastAsia="en-GB"/>
        </w:rPr>
        <w:t xml:space="preserve">environment reports. </w:t>
      </w:r>
      <w:r w:rsidR="006D464E" w:rsidRPr="009B4CC0">
        <w:rPr>
          <w:rFonts w:eastAsia="ヒラギノ角ゴ Pro W3"/>
          <w:u w:color="000000"/>
          <w:lang w:eastAsia="en-GB"/>
        </w:rPr>
        <w:t>At the same time, the Working Group supports the establishment of SEIS, including monitoring the progress</w:t>
      </w:r>
      <w:r w:rsidR="005048E1">
        <w:rPr>
          <w:rFonts w:eastAsia="ヒラギノ角ゴ Pro W3"/>
          <w:u w:color="000000"/>
          <w:lang w:eastAsia="en-GB"/>
        </w:rPr>
        <w:t xml:space="preserve"> in its establishment</w:t>
      </w:r>
      <w:r w:rsidR="006D464E" w:rsidRPr="009B4CC0">
        <w:rPr>
          <w:rFonts w:eastAsia="ヒラギノ角ゴ Pro W3"/>
          <w:u w:color="000000"/>
          <w:lang w:eastAsia="en-GB"/>
        </w:rPr>
        <w:t xml:space="preserve">, in all ECE countries. </w:t>
      </w:r>
      <w:r w:rsidR="00796732" w:rsidRPr="009B4CC0">
        <w:rPr>
          <w:rFonts w:eastAsia="ヒラギノ角ゴ Pro W3"/>
          <w:u w:color="000000"/>
          <w:lang w:eastAsia="en-GB"/>
        </w:rPr>
        <w:t>Taken together, the two bodies complement each other</w:t>
      </w:r>
      <w:r w:rsidR="005048E1">
        <w:rPr>
          <w:rFonts w:eastAsia="ヒラギノ角ゴ Pro W3"/>
          <w:u w:color="000000"/>
          <w:lang w:eastAsia="en-GB"/>
        </w:rPr>
        <w:t>’</w:t>
      </w:r>
      <w:r w:rsidR="00796732" w:rsidRPr="009B4CC0">
        <w:rPr>
          <w:rFonts w:eastAsia="ヒラギノ角ゴ Pro W3"/>
          <w:u w:color="000000"/>
          <w:lang w:eastAsia="en-GB"/>
        </w:rPr>
        <w:t>s work</w:t>
      </w:r>
      <w:r w:rsidR="005048E1">
        <w:rPr>
          <w:rFonts w:eastAsia="ヒラギノ角ゴ Pro W3"/>
          <w:u w:color="000000"/>
          <w:lang w:eastAsia="en-GB"/>
        </w:rPr>
        <w:t>,</w:t>
      </w:r>
      <w:r w:rsidR="00796732" w:rsidRPr="009B4CC0">
        <w:rPr>
          <w:rFonts w:eastAsia="ヒラギノ角ゴ Pro W3"/>
          <w:u w:color="000000"/>
          <w:lang w:eastAsia="en-GB"/>
        </w:rPr>
        <w:t xml:space="preserve"> and activities </w:t>
      </w:r>
      <w:proofErr w:type="gramStart"/>
      <w:r w:rsidR="00796732" w:rsidRPr="009B4CC0">
        <w:rPr>
          <w:rFonts w:eastAsia="ヒラギノ角ゴ Pro W3"/>
          <w:u w:color="000000"/>
          <w:lang w:eastAsia="en-GB"/>
        </w:rPr>
        <w:t>are carried out</w:t>
      </w:r>
      <w:proofErr w:type="gramEnd"/>
      <w:r w:rsidR="00796732" w:rsidRPr="009B4CC0">
        <w:rPr>
          <w:rFonts w:eastAsia="ヒラギノ角ゴ Pro W3"/>
          <w:u w:color="000000"/>
          <w:lang w:eastAsia="en-GB"/>
        </w:rPr>
        <w:t xml:space="preserve"> collaboratively between the ECE </w:t>
      </w:r>
      <w:r w:rsidR="006D464E" w:rsidRPr="009B4CC0">
        <w:rPr>
          <w:rFonts w:eastAsia="ヒラギノ角ゴ Pro W3"/>
          <w:u w:color="000000"/>
          <w:lang w:eastAsia="en-GB"/>
        </w:rPr>
        <w:t>E</w:t>
      </w:r>
      <w:r w:rsidR="00796732" w:rsidRPr="009B4CC0">
        <w:rPr>
          <w:rFonts w:eastAsia="ヒラギノ角ゴ Pro W3"/>
          <w:u w:color="000000"/>
          <w:lang w:eastAsia="en-GB"/>
        </w:rPr>
        <w:t xml:space="preserve">nvironment and </w:t>
      </w:r>
      <w:r w:rsidR="006D464E" w:rsidRPr="009B4CC0">
        <w:rPr>
          <w:rFonts w:eastAsia="ヒラギノ角ゴ Pro W3"/>
          <w:u w:color="000000"/>
          <w:lang w:eastAsia="en-GB"/>
        </w:rPr>
        <w:t>S</w:t>
      </w:r>
      <w:r w:rsidR="00796732" w:rsidRPr="009B4CC0">
        <w:rPr>
          <w:rFonts w:eastAsia="ヒラギノ角ゴ Pro W3"/>
          <w:u w:color="000000"/>
          <w:lang w:eastAsia="en-GB"/>
        </w:rPr>
        <w:t xml:space="preserve">tatistics </w:t>
      </w:r>
      <w:r w:rsidR="006D464E" w:rsidRPr="009B4CC0">
        <w:rPr>
          <w:rFonts w:eastAsia="ヒラギノ角ゴ Pro W3"/>
          <w:u w:color="000000"/>
          <w:lang w:eastAsia="en-GB"/>
        </w:rPr>
        <w:t>D</w:t>
      </w:r>
      <w:r w:rsidR="00E269A3">
        <w:rPr>
          <w:rFonts w:eastAsia="ヒラギノ角ゴ Pro W3"/>
          <w:u w:color="000000"/>
          <w:lang w:eastAsia="en-GB"/>
        </w:rPr>
        <w:t>ivisions.</w:t>
      </w:r>
    </w:p>
    <w:p w14:paraId="1D6BF7D1" w14:textId="5A5E35B4" w:rsidR="00796732" w:rsidRPr="009B4CC0" w:rsidRDefault="00976069" w:rsidP="001D4041">
      <w:pPr>
        <w:pStyle w:val="SingleTxtG"/>
        <w:rPr>
          <w:rFonts w:eastAsia="ヒラギノ角ゴ Pro W3"/>
          <w:u w:color="000000"/>
          <w:lang w:eastAsia="en-GB"/>
        </w:rPr>
      </w:pPr>
      <w:proofErr w:type="gramStart"/>
      <w:r w:rsidRPr="009B4CC0">
        <w:rPr>
          <w:rFonts w:eastAsia="ヒラギノ角ゴ Pro W3"/>
          <w:u w:color="000000"/>
          <w:lang w:eastAsia="en-GB"/>
        </w:rPr>
        <w:t>1</w:t>
      </w:r>
      <w:r w:rsidR="00965BD8" w:rsidRPr="009B4CC0">
        <w:rPr>
          <w:rFonts w:eastAsia="ヒラギノ角ゴ Pro W3"/>
          <w:u w:color="000000"/>
          <w:lang w:eastAsia="en-GB"/>
        </w:rPr>
        <w:t>4</w:t>
      </w:r>
      <w:r w:rsidRPr="009B4CC0">
        <w:rPr>
          <w:rFonts w:eastAsia="ヒラギノ角ゴ Pro W3"/>
          <w:u w:color="000000"/>
          <w:lang w:eastAsia="en-GB"/>
        </w:rPr>
        <w:t>.</w:t>
      </w:r>
      <w:r w:rsidRPr="009B4CC0">
        <w:rPr>
          <w:rFonts w:eastAsia="ヒラギノ角ゴ Pro W3"/>
          <w:u w:color="000000"/>
          <w:lang w:eastAsia="en-GB"/>
        </w:rPr>
        <w:tab/>
      </w:r>
      <w:r w:rsidR="00796732" w:rsidRPr="009B4CC0">
        <w:rPr>
          <w:rFonts w:eastAsia="ヒラギノ角ゴ Pro W3"/>
          <w:u w:color="000000"/>
          <w:lang w:eastAsia="en-GB"/>
        </w:rPr>
        <w:t xml:space="preserve">The work carried out by the Working Group in 2015 and 2016 focused on </w:t>
      </w:r>
      <w:r w:rsidR="00D716DD" w:rsidRPr="009B4CC0">
        <w:rPr>
          <w:rFonts w:eastAsia="ヒラギノ角ゴ Pro W3"/>
          <w:u w:color="000000"/>
          <w:lang w:eastAsia="en-GB"/>
        </w:rPr>
        <w:t>preparing</w:t>
      </w:r>
      <w:r w:rsidR="00796732" w:rsidRPr="009B4CC0">
        <w:rPr>
          <w:rFonts w:eastAsia="ヒラギノ角ゴ Pro W3"/>
          <w:u w:color="000000"/>
          <w:lang w:eastAsia="en-GB"/>
        </w:rPr>
        <w:t xml:space="preserve"> the first report on progress in establishing SEIS in support of regular reporting in the pan-European region (ECE/BATUMI.CONF/2016/8) and the European regional assessment of the Sixth Global Environmental Outlook (ECE/BATUMI.CONF/2016/INF/14) together with the United Nations Environment Programme (UNEP).</w:t>
      </w:r>
      <w:proofErr w:type="gramEnd"/>
      <w:r w:rsidR="00796732" w:rsidRPr="009B4CC0">
        <w:rPr>
          <w:rFonts w:eastAsia="ヒラギノ角ゴ Pro W3"/>
          <w:u w:color="000000"/>
          <w:lang w:eastAsia="en-GB"/>
        </w:rPr>
        <w:t xml:space="preserve"> This </w:t>
      </w:r>
      <w:r w:rsidR="003A1ECC" w:rsidRPr="009B4CC0">
        <w:rPr>
          <w:rFonts w:eastAsia="ヒラギノ角ゴ Pro W3"/>
          <w:u w:color="000000"/>
          <w:lang w:eastAsia="en-GB"/>
        </w:rPr>
        <w:t xml:space="preserve">culminated in the launch of these reports </w:t>
      </w:r>
      <w:r w:rsidR="00796732" w:rsidRPr="009B4CC0">
        <w:rPr>
          <w:rFonts w:eastAsia="ヒラギノ角ゴ Pro W3"/>
          <w:u w:color="000000"/>
          <w:lang w:eastAsia="en-GB"/>
        </w:rPr>
        <w:t xml:space="preserve">during the </w:t>
      </w:r>
      <w:r w:rsidR="006D464E" w:rsidRPr="009B4CC0">
        <w:rPr>
          <w:rFonts w:eastAsia="ヒラギノ角ゴ Pro W3"/>
          <w:u w:color="000000"/>
          <w:lang w:eastAsia="en-GB"/>
        </w:rPr>
        <w:t xml:space="preserve">Batumi </w:t>
      </w:r>
      <w:r w:rsidR="00796732" w:rsidRPr="009B4CC0">
        <w:rPr>
          <w:rFonts w:eastAsia="ヒラギノ角ゴ Pro W3"/>
          <w:u w:color="000000"/>
          <w:lang w:eastAsia="en-GB"/>
        </w:rPr>
        <w:t xml:space="preserve">Conference. </w:t>
      </w:r>
      <w:proofErr w:type="gramStart"/>
      <w:r w:rsidR="006D464E" w:rsidRPr="009B4CC0">
        <w:rPr>
          <w:rFonts w:eastAsia="ヒラギノ角ゴ Pro W3"/>
          <w:u w:color="000000"/>
          <w:lang w:eastAsia="en-GB"/>
        </w:rPr>
        <w:t>On the basis of</w:t>
      </w:r>
      <w:proofErr w:type="gramEnd"/>
      <w:r w:rsidR="006D464E" w:rsidRPr="009B4CC0">
        <w:rPr>
          <w:rFonts w:eastAsia="ヒラギノ角ゴ Pro W3"/>
          <w:u w:color="000000"/>
          <w:lang w:eastAsia="en-GB"/>
        </w:rPr>
        <w:t xml:space="preserve"> t</w:t>
      </w:r>
      <w:r w:rsidR="00796732" w:rsidRPr="009B4CC0">
        <w:rPr>
          <w:rFonts w:eastAsia="ヒラギノ角ゴ Pro W3"/>
          <w:u w:color="000000"/>
          <w:lang w:eastAsia="en-GB"/>
        </w:rPr>
        <w:t xml:space="preserve">he progress report </w:t>
      </w:r>
      <w:r w:rsidR="002D359C">
        <w:rPr>
          <w:rFonts w:eastAsia="ヒラギノ角ゴ Pro W3"/>
          <w:u w:color="000000"/>
          <w:lang w:eastAsia="en-GB"/>
        </w:rPr>
        <w:t>m</w:t>
      </w:r>
      <w:r w:rsidR="00796732" w:rsidRPr="009B4CC0">
        <w:rPr>
          <w:rFonts w:eastAsia="ヒラギノ角ゴ Pro W3"/>
          <w:u w:color="000000"/>
          <w:lang w:eastAsia="en-GB"/>
        </w:rPr>
        <w:t xml:space="preserve">inisters </w:t>
      </w:r>
      <w:r w:rsidR="006D464E" w:rsidRPr="009B4CC0">
        <w:rPr>
          <w:rFonts w:eastAsia="ヒラギノ角ゴ Pro W3"/>
          <w:u w:color="000000"/>
          <w:lang w:eastAsia="en-GB"/>
        </w:rPr>
        <w:t xml:space="preserve">welcomed progress </w:t>
      </w:r>
      <w:r w:rsidR="00796732" w:rsidRPr="009B4CC0">
        <w:rPr>
          <w:rFonts w:eastAsia="ヒラギノ角ゴ Pro W3"/>
          <w:u w:color="000000"/>
          <w:lang w:eastAsia="en-GB"/>
        </w:rPr>
        <w:t xml:space="preserve">in developing SEIS and </w:t>
      </w:r>
      <w:r w:rsidR="006D464E" w:rsidRPr="009B4CC0">
        <w:rPr>
          <w:rFonts w:eastAsia="ヒラギノ角ゴ Pro W3"/>
          <w:u w:color="000000"/>
          <w:lang w:eastAsia="en-GB"/>
        </w:rPr>
        <w:t xml:space="preserve">invited countries </w:t>
      </w:r>
      <w:r w:rsidR="00796732" w:rsidRPr="009B4CC0">
        <w:rPr>
          <w:rFonts w:eastAsia="ヒラギノ角ゴ Pro W3"/>
          <w:u w:color="000000"/>
          <w:lang w:eastAsia="en-GB"/>
        </w:rPr>
        <w:t>to further develop their national information systems to have SEIS in place in the countries of Europe and Central Asia by 2021</w:t>
      </w:r>
      <w:r w:rsidR="006D464E" w:rsidRPr="009B4CC0">
        <w:rPr>
          <w:rFonts w:eastAsia="ヒラギノ角ゴ Pro W3"/>
          <w:u w:color="000000"/>
          <w:lang w:eastAsia="en-GB"/>
        </w:rPr>
        <w:t xml:space="preserve"> (see</w:t>
      </w:r>
      <w:r w:rsidR="00E269A3">
        <w:rPr>
          <w:rFonts w:eastAsia="ヒラギノ角ゴ Pro W3"/>
          <w:u w:color="000000"/>
          <w:lang w:eastAsia="en-GB"/>
        </w:rPr>
        <w:t xml:space="preserve"> ECE/BATUMI.CONF/2016/2/Add.1).</w:t>
      </w:r>
    </w:p>
    <w:p w14:paraId="520EBD41" w14:textId="190CBA52" w:rsidR="009840C7" w:rsidRPr="009B4CC0" w:rsidRDefault="00796732" w:rsidP="00D56595">
      <w:pPr>
        <w:pStyle w:val="SingleTxtG"/>
        <w:rPr>
          <w:rFonts w:eastAsia="ヒラギノ角ゴ Pro W3"/>
          <w:u w:color="000000"/>
          <w:lang w:eastAsia="en-GB"/>
        </w:rPr>
      </w:pPr>
      <w:r w:rsidRPr="009B4CC0">
        <w:rPr>
          <w:rFonts w:eastAsia="ヒラギノ角ゴ Pro W3"/>
          <w:u w:color="000000"/>
          <w:lang w:eastAsia="en-GB"/>
        </w:rPr>
        <w:t>15.</w:t>
      </w:r>
      <w:r w:rsidRPr="009B4CC0">
        <w:rPr>
          <w:rFonts w:eastAsia="ヒラギノ角ゴ Pro W3"/>
          <w:u w:color="000000"/>
          <w:lang w:eastAsia="en-GB"/>
        </w:rPr>
        <w:tab/>
        <w:t xml:space="preserve">The </w:t>
      </w:r>
      <w:r w:rsidR="008C6047" w:rsidRPr="009B4CC0">
        <w:rPr>
          <w:rFonts w:eastAsia="ヒラギノ角ゴ Pro W3"/>
          <w:u w:color="000000"/>
          <w:lang w:eastAsia="en-GB"/>
        </w:rPr>
        <w:t xml:space="preserve">eighteenth session of the Working Group </w:t>
      </w:r>
      <w:proofErr w:type="gramStart"/>
      <w:r w:rsidR="008C6047" w:rsidRPr="009B4CC0">
        <w:rPr>
          <w:rFonts w:eastAsia="ヒラギノ角ゴ Pro W3"/>
          <w:u w:color="000000"/>
          <w:lang w:eastAsia="en-GB"/>
        </w:rPr>
        <w:t>was organi</w:t>
      </w:r>
      <w:r w:rsidR="002D359C">
        <w:rPr>
          <w:rFonts w:eastAsia="ヒラギノ角ゴ Pro W3"/>
          <w:u w:color="000000"/>
          <w:lang w:eastAsia="en-GB"/>
        </w:rPr>
        <w:t>z</w:t>
      </w:r>
      <w:r w:rsidR="008C6047" w:rsidRPr="009B4CC0">
        <w:rPr>
          <w:rFonts w:eastAsia="ヒラギノ角ゴ Pro W3"/>
          <w:u w:color="000000"/>
          <w:lang w:eastAsia="en-GB"/>
        </w:rPr>
        <w:t xml:space="preserve">ed shortly after the </w:t>
      </w:r>
      <w:r w:rsidR="006D464E" w:rsidRPr="009B4CC0">
        <w:rPr>
          <w:rFonts w:eastAsia="ヒラギノ角ゴ Pro W3"/>
          <w:u w:color="000000"/>
          <w:lang w:eastAsia="en-GB"/>
        </w:rPr>
        <w:t xml:space="preserve">Batumi </w:t>
      </w:r>
      <w:r w:rsidR="008C6047" w:rsidRPr="009B4CC0">
        <w:rPr>
          <w:rFonts w:eastAsia="ヒラギノ角ゴ Pro W3"/>
          <w:u w:color="000000"/>
          <w:lang w:eastAsia="en-GB"/>
        </w:rPr>
        <w:t xml:space="preserve">Conference </w:t>
      </w:r>
      <w:r w:rsidR="00D716DD" w:rsidRPr="009B4CC0">
        <w:rPr>
          <w:rFonts w:eastAsia="ヒラギノ角ゴ Pro W3"/>
          <w:u w:color="000000"/>
          <w:lang w:eastAsia="en-GB"/>
        </w:rPr>
        <w:t xml:space="preserve">and </w:t>
      </w:r>
      <w:r w:rsidR="008C6047" w:rsidRPr="009B4CC0">
        <w:rPr>
          <w:rFonts w:eastAsia="ヒラギノ角ゴ Pro W3"/>
          <w:u w:color="000000"/>
          <w:lang w:eastAsia="en-GB"/>
        </w:rPr>
        <w:t xml:space="preserve">provided a good opportunity to </w:t>
      </w:r>
      <w:r w:rsidR="00983C11">
        <w:rPr>
          <w:rFonts w:eastAsia="ヒラギノ角ゴ Pro W3"/>
          <w:u w:color="000000"/>
          <w:lang w:eastAsia="en-GB"/>
        </w:rPr>
        <w:t xml:space="preserve">review </w:t>
      </w:r>
      <w:r w:rsidR="002D359C">
        <w:rPr>
          <w:rFonts w:eastAsia="ヒラギノ角ゴ Pro W3"/>
          <w:u w:color="000000"/>
          <w:lang w:eastAsia="en-GB"/>
        </w:rPr>
        <w:t xml:space="preserve">the </w:t>
      </w:r>
      <w:r w:rsidR="008C6047" w:rsidRPr="009B4CC0">
        <w:rPr>
          <w:rFonts w:eastAsia="ヒラギノ角ゴ Pro W3"/>
          <w:u w:color="000000"/>
          <w:lang w:eastAsia="en-GB"/>
        </w:rPr>
        <w:t>lessons learn</w:t>
      </w:r>
      <w:r w:rsidR="002D359C">
        <w:rPr>
          <w:rFonts w:eastAsia="ヒラギノ角ゴ Pro W3"/>
          <w:u w:color="000000"/>
          <w:lang w:eastAsia="en-GB"/>
        </w:rPr>
        <w:t>ed</w:t>
      </w:r>
      <w:r w:rsidR="008C6047" w:rsidRPr="009B4CC0">
        <w:rPr>
          <w:rFonts w:eastAsia="ヒラギノ角ゴ Pro W3"/>
          <w:u w:color="000000"/>
          <w:lang w:eastAsia="en-GB"/>
        </w:rPr>
        <w:t xml:space="preserve"> from the SEIS progress report </w:t>
      </w:r>
      <w:r w:rsidR="001B24C8" w:rsidRPr="009B4CC0">
        <w:rPr>
          <w:rFonts w:eastAsia="ヒラギノ角ゴ Pro W3"/>
          <w:u w:color="000000"/>
          <w:lang w:eastAsia="en-GB"/>
        </w:rPr>
        <w:t xml:space="preserve">and </w:t>
      </w:r>
      <w:r w:rsidR="00983C11">
        <w:rPr>
          <w:rFonts w:eastAsia="ヒラギノ角ゴ Pro W3"/>
          <w:u w:color="000000"/>
          <w:lang w:eastAsia="en-GB"/>
        </w:rPr>
        <w:t xml:space="preserve">consider </w:t>
      </w:r>
      <w:r w:rsidR="001B24C8" w:rsidRPr="009B4CC0">
        <w:rPr>
          <w:rFonts w:eastAsia="ヒラギノ角ゴ Pro W3"/>
          <w:u w:color="000000"/>
          <w:lang w:eastAsia="en-GB"/>
        </w:rPr>
        <w:t>the implications of</w:t>
      </w:r>
      <w:r w:rsidR="00D716DD" w:rsidRPr="009B4CC0">
        <w:rPr>
          <w:rFonts w:eastAsia="ヒラギノ角ゴ Pro W3"/>
          <w:u w:color="000000"/>
          <w:lang w:eastAsia="en-GB"/>
        </w:rPr>
        <w:t xml:space="preserve"> the Batumi </w:t>
      </w:r>
      <w:r w:rsidR="006D464E" w:rsidRPr="009B4CC0">
        <w:rPr>
          <w:rFonts w:eastAsia="ヒラギノ角ゴ Pro W3"/>
          <w:u w:color="000000"/>
          <w:lang w:eastAsia="en-GB"/>
        </w:rPr>
        <w:t xml:space="preserve">Ministerial </w:t>
      </w:r>
      <w:r w:rsidR="00D716DD" w:rsidRPr="009B4CC0">
        <w:rPr>
          <w:rFonts w:eastAsia="ヒラギノ角ゴ Pro W3"/>
          <w:u w:color="000000"/>
          <w:lang w:eastAsia="en-GB"/>
        </w:rPr>
        <w:t>Declaration</w:t>
      </w:r>
      <w:proofErr w:type="gramEnd"/>
      <w:r w:rsidR="00D716DD" w:rsidRPr="009B4CC0">
        <w:rPr>
          <w:rFonts w:eastAsia="ヒラギノ角ゴ Pro W3"/>
          <w:u w:color="000000"/>
          <w:lang w:eastAsia="en-GB"/>
        </w:rPr>
        <w:t xml:space="preserve">. </w:t>
      </w:r>
      <w:r w:rsidR="00983C11">
        <w:rPr>
          <w:rFonts w:eastAsia="ヒラギノ角ゴ Pro W3"/>
          <w:u w:color="000000"/>
          <w:lang w:eastAsia="en-GB"/>
        </w:rPr>
        <w:t>A</w:t>
      </w:r>
      <w:r w:rsidR="00E7409C" w:rsidRPr="009B4CC0">
        <w:rPr>
          <w:rFonts w:eastAsia="ヒラギノ角ゴ Pro W3"/>
          <w:u w:color="000000"/>
          <w:lang w:eastAsia="en-GB"/>
        </w:rPr>
        <w:t>mong other things,</w:t>
      </w:r>
      <w:r w:rsidR="00D716DD" w:rsidRPr="009B4CC0">
        <w:rPr>
          <w:rFonts w:eastAsia="ヒラギノ角ゴ Pro W3"/>
          <w:u w:color="000000"/>
          <w:lang w:eastAsia="en-GB"/>
        </w:rPr>
        <w:t xml:space="preserve"> </w:t>
      </w:r>
      <w:r w:rsidR="00983C11">
        <w:rPr>
          <w:rFonts w:eastAsia="ヒラギノ角ゴ Pro W3"/>
          <w:u w:color="000000"/>
          <w:lang w:eastAsia="en-GB"/>
        </w:rPr>
        <w:t xml:space="preserve">the Working Group examined </w:t>
      </w:r>
      <w:r w:rsidR="00D716DD" w:rsidRPr="009B4CC0">
        <w:rPr>
          <w:rFonts w:eastAsia="ヒラギノ角ゴ Pro W3"/>
          <w:u w:color="000000"/>
          <w:lang w:eastAsia="en-GB"/>
        </w:rPr>
        <w:t>the review criteria applied in the SEIS progress report</w:t>
      </w:r>
      <w:r w:rsidR="001B24C8" w:rsidRPr="009B4CC0">
        <w:rPr>
          <w:rFonts w:eastAsia="ヒラギノ角ゴ Pro W3"/>
          <w:u w:color="000000"/>
          <w:lang w:eastAsia="en-GB"/>
        </w:rPr>
        <w:t xml:space="preserve"> and </w:t>
      </w:r>
      <w:r w:rsidR="00AA5180" w:rsidRPr="009B4CC0">
        <w:rPr>
          <w:rFonts w:eastAsia="ヒラギノ角ゴ Pro W3"/>
          <w:u w:color="000000"/>
          <w:lang w:eastAsia="en-GB"/>
        </w:rPr>
        <w:t>considered</w:t>
      </w:r>
      <w:r w:rsidR="001B24C8" w:rsidRPr="009B4CC0">
        <w:rPr>
          <w:rFonts w:eastAsia="ヒラギノ角ゴ Pro W3"/>
          <w:u w:color="000000"/>
          <w:lang w:eastAsia="en-GB"/>
        </w:rPr>
        <w:t xml:space="preserve"> how these </w:t>
      </w:r>
      <w:proofErr w:type="gramStart"/>
      <w:r w:rsidR="001B24C8" w:rsidRPr="009B4CC0">
        <w:rPr>
          <w:rFonts w:eastAsia="ヒラギノ角ゴ Pro W3"/>
          <w:u w:color="000000"/>
          <w:lang w:eastAsia="en-GB"/>
        </w:rPr>
        <w:t>could be improved</w:t>
      </w:r>
      <w:proofErr w:type="gramEnd"/>
      <w:r w:rsidR="00E7409C" w:rsidRPr="009B4CC0">
        <w:rPr>
          <w:rFonts w:eastAsia="ヒラギノ角ゴ Pro W3"/>
          <w:u w:color="000000"/>
          <w:lang w:eastAsia="en-GB"/>
        </w:rPr>
        <w:t xml:space="preserve">. The </w:t>
      </w:r>
      <w:r w:rsidR="00AA5180" w:rsidRPr="009B4CC0">
        <w:rPr>
          <w:rFonts w:eastAsia="ヒラギノ角ゴ Pro W3"/>
          <w:u w:color="000000"/>
          <w:lang w:eastAsia="en-GB"/>
        </w:rPr>
        <w:t>outcome from this discussion</w:t>
      </w:r>
      <w:r w:rsidR="00E7409C" w:rsidRPr="009B4CC0">
        <w:rPr>
          <w:rFonts w:eastAsia="ヒラギノ角ゴ Pro W3"/>
          <w:u w:color="000000"/>
          <w:lang w:eastAsia="en-GB"/>
        </w:rPr>
        <w:t xml:space="preserve"> was</w:t>
      </w:r>
      <w:r w:rsidR="00D716DD" w:rsidRPr="009B4CC0">
        <w:rPr>
          <w:rFonts w:eastAsia="ヒラギノ角ゴ Pro W3"/>
          <w:u w:color="000000"/>
          <w:lang w:eastAsia="en-GB"/>
        </w:rPr>
        <w:t xml:space="preserve"> a decision by the Working Group to include data quality considerations into future </w:t>
      </w:r>
      <w:r w:rsidR="00E7409C" w:rsidRPr="009B4CC0">
        <w:rPr>
          <w:rFonts w:eastAsia="ヒラギノ角ゴ Pro W3"/>
          <w:u w:color="000000"/>
          <w:lang w:eastAsia="en-GB"/>
        </w:rPr>
        <w:t>SEIS progress reporting</w:t>
      </w:r>
      <w:r w:rsidR="00AA5180" w:rsidRPr="009B4CC0">
        <w:rPr>
          <w:rFonts w:eastAsia="ヒラギノ角ゴ Pro W3"/>
          <w:u w:color="000000"/>
          <w:lang w:eastAsia="en-GB"/>
        </w:rPr>
        <w:t xml:space="preserve">. Steps for the </w:t>
      </w:r>
      <w:r w:rsidR="00E7409C" w:rsidRPr="009B4CC0">
        <w:rPr>
          <w:rFonts w:eastAsia="ヒラギノ角ゴ Pro W3"/>
          <w:u w:color="000000"/>
          <w:lang w:eastAsia="en-GB"/>
        </w:rPr>
        <w:t xml:space="preserve">continued development of a </w:t>
      </w:r>
      <w:r w:rsidR="00AA5180" w:rsidRPr="009B4CC0">
        <w:rPr>
          <w:rFonts w:eastAsia="ヒラギノ角ゴ Pro W3"/>
          <w:u w:color="000000"/>
          <w:lang w:eastAsia="en-GB"/>
        </w:rPr>
        <w:t xml:space="preserve">SEIS </w:t>
      </w:r>
      <w:r w:rsidR="00E7409C" w:rsidRPr="009B4CC0">
        <w:rPr>
          <w:rFonts w:eastAsia="ヒラギノ角ゴ Pro W3"/>
          <w:u w:color="000000"/>
          <w:lang w:eastAsia="en-GB"/>
        </w:rPr>
        <w:t xml:space="preserve">reporting </w:t>
      </w:r>
      <w:r w:rsidR="00AA5180" w:rsidRPr="009B4CC0">
        <w:rPr>
          <w:rFonts w:eastAsia="ヒラギノ角ゴ Pro W3"/>
          <w:u w:color="000000"/>
          <w:lang w:eastAsia="en-GB"/>
        </w:rPr>
        <w:t>application</w:t>
      </w:r>
      <w:r w:rsidR="00E7409C" w:rsidRPr="009B4CC0">
        <w:rPr>
          <w:rFonts w:eastAsia="ヒラギノ角ゴ Pro W3"/>
          <w:u w:color="000000"/>
          <w:lang w:eastAsia="en-GB"/>
        </w:rPr>
        <w:t xml:space="preserve"> through UNEP Live</w:t>
      </w:r>
      <w:r w:rsidR="00AA5180" w:rsidRPr="009B4CC0">
        <w:rPr>
          <w:rFonts w:eastAsia="ヒラギノ角ゴ Pro W3"/>
          <w:u w:color="000000"/>
          <w:lang w:eastAsia="en-GB"/>
        </w:rPr>
        <w:t xml:space="preserve"> </w:t>
      </w:r>
      <w:proofErr w:type="gramStart"/>
      <w:r w:rsidR="00AA5180" w:rsidRPr="009B4CC0">
        <w:rPr>
          <w:rFonts w:eastAsia="ヒラギノ角ゴ Pro W3"/>
          <w:u w:color="000000"/>
          <w:lang w:eastAsia="en-GB"/>
        </w:rPr>
        <w:t>were also agreed</w:t>
      </w:r>
      <w:proofErr w:type="gramEnd"/>
      <w:r w:rsidR="00AA5180" w:rsidRPr="009B4CC0">
        <w:rPr>
          <w:rFonts w:eastAsia="ヒラギノ角ゴ Pro W3"/>
          <w:u w:color="000000"/>
          <w:lang w:eastAsia="en-GB"/>
        </w:rPr>
        <w:t xml:space="preserve"> upon</w:t>
      </w:r>
      <w:r w:rsidR="00D86D9F" w:rsidRPr="009B4CC0">
        <w:rPr>
          <w:rFonts w:eastAsia="ヒラギノ角ゴ Pro W3"/>
          <w:u w:color="000000"/>
          <w:lang w:eastAsia="en-GB"/>
        </w:rPr>
        <w:t xml:space="preserve"> (</w:t>
      </w:r>
      <w:r w:rsidR="00983C11">
        <w:rPr>
          <w:rFonts w:eastAsia="ヒラギノ角ゴ Pro W3"/>
          <w:u w:color="000000"/>
          <w:lang w:eastAsia="en-GB"/>
        </w:rPr>
        <w:t xml:space="preserve">see </w:t>
      </w:r>
      <w:r w:rsidR="00D86D9F" w:rsidRPr="009B4CC0">
        <w:rPr>
          <w:rFonts w:eastAsia="ヒラギノ角ゴ Pro W3"/>
          <w:u w:color="000000"/>
          <w:lang w:eastAsia="en-GB"/>
        </w:rPr>
        <w:t>ECE/CEP/AC.10/2016/2)</w:t>
      </w:r>
      <w:r w:rsidR="00E269A3">
        <w:rPr>
          <w:rFonts w:eastAsia="ヒラギノ角ゴ Pro W3"/>
          <w:u w:color="000000"/>
          <w:lang w:eastAsia="en-GB"/>
        </w:rPr>
        <w:t>.</w:t>
      </w:r>
    </w:p>
    <w:p w14:paraId="1A7F4686" w14:textId="51C3B22C" w:rsidR="00D716DD" w:rsidRPr="009B4CC0" w:rsidRDefault="009840C7">
      <w:pPr>
        <w:pStyle w:val="SingleTxtG"/>
        <w:rPr>
          <w:rFonts w:eastAsia="ヒラギノ角ゴ Pro W3"/>
          <w:u w:color="000000"/>
          <w:lang w:eastAsia="en-GB"/>
        </w:rPr>
      </w:pPr>
      <w:r w:rsidRPr="009B4CC0">
        <w:rPr>
          <w:rFonts w:eastAsia="ヒラギノ角ゴ Pro W3"/>
          <w:u w:color="000000"/>
          <w:lang w:eastAsia="en-GB"/>
        </w:rPr>
        <w:t>16.</w:t>
      </w:r>
      <w:r w:rsidRPr="009B4CC0">
        <w:rPr>
          <w:rFonts w:eastAsia="ヒラギノ角ゴ Pro W3"/>
          <w:u w:color="000000"/>
          <w:lang w:eastAsia="en-GB"/>
        </w:rPr>
        <w:tab/>
      </w:r>
      <w:r w:rsidR="00D91516" w:rsidRPr="009B4CC0">
        <w:rPr>
          <w:rFonts w:eastAsia="ヒラギノ角ゴ Pro W3"/>
          <w:u w:color="000000"/>
          <w:lang w:eastAsia="en-GB"/>
        </w:rPr>
        <w:t>T</w:t>
      </w:r>
      <w:r w:rsidRPr="009B4CC0">
        <w:rPr>
          <w:rFonts w:eastAsia="ヒラギノ角ゴ Pro W3"/>
          <w:u w:color="000000"/>
          <w:lang w:eastAsia="en-GB"/>
        </w:rPr>
        <w:t xml:space="preserve">he eighteenth session </w:t>
      </w:r>
      <w:proofErr w:type="gramStart"/>
      <w:r w:rsidR="00D91516" w:rsidRPr="009B4CC0">
        <w:rPr>
          <w:rFonts w:eastAsia="ヒラギノ角ゴ Pro W3"/>
          <w:u w:color="000000"/>
          <w:lang w:eastAsia="en-GB"/>
        </w:rPr>
        <w:t xml:space="preserve">was </w:t>
      </w:r>
      <w:r w:rsidR="00434405" w:rsidRPr="009B4CC0">
        <w:rPr>
          <w:rFonts w:eastAsia="ヒラギノ角ゴ Pro W3"/>
          <w:u w:color="000000"/>
          <w:lang w:eastAsia="en-GB"/>
        </w:rPr>
        <w:t xml:space="preserve">also </w:t>
      </w:r>
      <w:r w:rsidR="00D91516" w:rsidRPr="009B4CC0">
        <w:rPr>
          <w:rFonts w:eastAsia="ヒラギノ角ゴ Pro W3"/>
          <w:u w:color="000000"/>
          <w:lang w:eastAsia="en-GB"/>
        </w:rPr>
        <w:t>dedicated</w:t>
      </w:r>
      <w:proofErr w:type="gramEnd"/>
      <w:r w:rsidR="00D91516" w:rsidRPr="009B4CC0">
        <w:rPr>
          <w:rFonts w:eastAsia="ヒラギノ角ゴ Pro W3"/>
          <w:u w:color="000000"/>
          <w:lang w:eastAsia="en-GB"/>
        </w:rPr>
        <w:t xml:space="preserve"> towards the development of a </w:t>
      </w:r>
      <w:r w:rsidRPr="009B4CC0">
        <w:rPr>
          <w:rFonts w:eastAsia="ヒラギノ角ゴ Pro W3"/>
          <w:u w:color="000000"/>
          <w:lang w:eastAsia="en-GB"/>
        </w:rPr>
        <w:t xml:space="preserve">vision </w:t>
      </w:r>
      <w:r w:rsidR="00D61E64" w:rsidRPr="009B4CC0">
        <w:rPr>
          <w:rFonts w:eastAsia="ヒラギノ角ゴ Pro W3"/>
          <w:u w:color="000000"/>
          <w:lang w:eastAsia="en-GB"/>
        </w:rPr>
        <w:t>for the Working Group</w:t>
      </w:r>
      <w:r w:rsidR="00434405" w:rsidRPr="009B4CC0">
        <w:rPr>
          <w:rFonts w:eastAsia="ヒラギノ角ゴ Pro W3"/>
          <w:u w:color="000000"/>
          <w:lang w:eastAsia="en-GB"/>
        </w:rPr>
        <w:t xml:space="preserve"> for 2030</w:t>
      </w:r>
      <w:r w:rsidR="00D91516" w:rsidRPr="009B4CC0">
        <w:rPr>
          <w:rFonts w:eastAsia="ヒラギノ角ゴ Pro W3"/>
          <w:u w:color="000000"/>
          <w:lang w:eastAsia="en-GB"/>
        </w:rPr>
        <w:t>, including</w:t>
      </w:r>
      <w:r w:rsidRPr="009B4CC0">
        <w:rPr>
          <w:rFonts w:eastAsia="ヒラギノ角ゴ Pro W3"/>
          <w:u w:color="000000"/>
          <w:lang w:eastAsia="en-GB"/>
        </w:rPr>
        <w:t xml:space="preserve"> a road</w:t>
      </w:r>
      <w:r w:rsidR="00983C11">
        <w:rPr>
          <w:rFonts w:eastAsia="ヒラギノ角ゴ Pro W3"/>
          <w:u w:color="000000"/>
          <w:lang w:eastAsia="en-GB"/>
        </w:rPr>
        <w:t xml:space="preserve"> </w:t>
      </w:r>
      <w:r w:rsidRPr="009B4CC0">
        <w:rPr>
          <w:rFonts w:eastAsia="ヒラギノ角ゴ Pro W3"/>
          <w:u w:color="000000"/>
          <w:lang w:eastAsia="en-GB"/>
        </w:rPr>
        <w:t xml:space="preserve">map </w:t>
      </w:r>
      <w:r w:rsidR="00A35AF1" w:rsidRPr="009B4CC0">
        <w:rPr>
          <w:rFonts w:eastAsia="ヒラギノ角ゴ Pro W3"/>
          <w:u w:color="000000"/>
          <w:lang w:eastAsia="en-GB"/>
        </w:rPr>
        <w:t xml:space="preserve">with </w:t>
      </w:r>
      <w:r w:rsidR="007A03B3" w:rsidRPr="009B4CC0">
        <w:rPr>
          <w:rFonts w:eastAsia="ヒラギノ角ゴ Pro W3"/>
          <w:u w:color="000000"/>
          <w:lang w:eastAsia="en-GB"/>
        </w:rPr>
        <w:t xml:space="preserve">more specific </w:t>
      </w:r>
      <w:r w:rsidR="00A35AF1" w:rsidRPr="009B4CC0">
        <w:rPr>
          <w:rFonts w:eastAsia="ヒラギノ角ゴ Pro W3"/>
          <w:u w:color="000000"/>
          <w:lang w:eastAsia="en-GB"/>
        </w:rPr>
        <w:t xml:space="preserve">guiding objectives </w:t>
      </w:r>
      <w:r w:rsidRPr="009B4CC0">
        <w:rPr>
          <w:rFonts w:eastAsia="ヒラギノ角ゴ Pro W3"/>
          <w:u w:color="000000"/>
          <w:lang w:eastAsia="en-GB"/>
        </w:rPr>
        <w:t>leading up to 2021</w:t>
      </w:r>
      <w:r w:rsidR="007A03B3" w:rsidRPr="009B4CC0">
        <w:rPr>
          <w:rFonts w:eastAsia="ヒラギノ角ゴ Pro W3"/>
          <w:u w:color="000000"/>
          <w:lang w:eastAsia="en-GB"/>
        </w:rPr>
        <w:t xml:space="preserve">. </w:t>
      </w:r>
      <w:r w:rsidR="00D61E64" w:rsidRPr="009B4CC0">
        <w:rPr>
          <w:rFonts w:eastAsia="ヒラギノ角ゴ Pro W3"/>
          <w:u w:color="000000"/>
          <w:lang w:eastAsia="en-GB"/>
        </w:rPr>
        <w:t xml:space="preserve">It </w:t>
      </w:r>
      <w:proofErr w:type="gramStart"/>
      <w:r w:rsidR="00D61E64" w:rsidRPr="009B4CC0">
        <w:rPr>
          <w:rFonts w:eastAsia="ヒラギノ角ゴ Pro W3"/>
          <w:u w:color="000000"/>
          <w:lang w:eastAsia="en-GB"/>
        </w:rPr>
        <w:t xml:space="preserve">should be </w:t>
      </w:r>
      <w:r w:rsidR="00434405" w:rsidRPr="009B4CC0">
        <w:rPr>
          <w:rFonts w:eastAsia="ヒラギノ角ゴ Pro W3"/>
          <w:u w:color="000000"/>
          <w:lang w:eastAsia="en-GB"/>
        </w:rPr>
        <w:t>noted</w:t>
      </w:r>
      <w:proofErr w:type="gramEnd"/>
      <w:r w:rsidR="00D61E64" w:rsidRPr="009B4CC0">
        <w:rPr>
          <w:rFonts w:eastAsia="ヒラギノ角ゴ Pro W3"/>
          <w:u w:color="000000"/>
          <w:lang w:eastAsia="en-GB"/>
        </w:rPr>
        <w:t xml:space="preserve"> that the 2030 vision is only meant to characteri</w:t>
      </w:r>
      <w:r w:rsidR="00983C11">
        <w:rPr>
          <w:rFonts w:eastAsia="ヒラギノ角ゴ Pro W3"/>
          <w:u w:color="000000"/>
          <w:lang w:eastAsia="en-GB"/>
        </w:rPr>
        <w:t>z</w:t>
      </w:r>
      <w:r w:rsidR="00D61E64" w:rsidRPr="009B4CC0">
        <w:rPr>
          <w:rFonts w:eastAsia="ヒラギノ角ゴ Pro W3"/>
          <w:u w:color="000000"/>
          <w:lang w:eastAsia="en-GB"/>
        </w:rPr>
        <w:t xml:space="preserve">e </w:t>
      </w:r>
      <w:r w:rsidR="00434405" w:rsidRPr="009B4CC0">
        <w:rPr>
          <w:rFonts w:eastAsia="ヒラギノ角ゴ Pro W3"/>
          <w:u w:color="000000"/>
          <w:lang w:eastAsia="en-GB"/>
        </w:rPr>
        <w:t>the spectrum of potential developments and options for the Working Group</w:t>
      </w:r>
      <w:r w:rsidR="00983C11">
        <w:rPr>
          <w:rFonts w:eastAsia="ヒラギノ角ゴ Pro W3"/>
          <w:u w:color="000000"/>
          <w:lang w:eastAsia="en-GB"/>
        </w:rPr>
        <w:t>,</w:t>
      </w:r>
      <w:r w:rsidR="00434405" w:rsidRPr="009B4CC0">
        <w:rPr>
          <w:rFonts w:eastAsia="ヒラギノ角ゴ Pro W3"/>
          <w:u w:color="000000"/>
          <w:lang w:eastAsia="en-GB"/>
        </w:rPr>
        <w:t xml:space="preserve"> and to set out general principles that</w:t>
      </w:r>
      <w:r w:rsidR="00E269A3">
        <w:rPr>
          <w:rFonts w:eastAsia="ヒラギノ角ゴ Pro W3"/>
          <w:u w:color="000000"/>
          <w:lang w:eastAsia="en-GB"/>
        </w:rPr>
        <w:t xml:space="preserve"> can be followed in the future.</w:t>
      </w:r>
    </w:p>
    <w:p w14:paraId="55274D18" w14:textId="32D27887" w:rsidR="002C6F1C" w:rsidRPr="009B4CC0" w:rsidRDefault="005B67A4" w:rsidP="00275C48">
      <w:pPr>
        <w:pStyle w:val="HChG"/>
        <w:spacing w:before="320" w:after="200"/>
        <w:rPr>
          <w:rFonts w:eastAsia="ヒラギノ角ゴ Pro W3"/>
          <w:lang w:eastAsia="en-GB"/>
        </w:rPr>
      </w:pPr>
      <w:r w:rsidRPr="009B4CC0">
        <w:rPr>
          <w:rFonts w:eastAsia="ヒラギノ角ゴ Pro W3"/>
          <w:lang w:eastAsia="en-GB"/>
        </w:rPr>
        <w:tab/>
        <w:t>II</w:t>
      </w:r>
      <w:r w:rsidR="0086321A" w:rsidRPr="009B4CC0">
        <w:rPr>
          <w:rFonts w:eastAsia="ヒラギノ角ゴ Pro W3"/>
          <w:lang w:eastAsia="en-GB"/>
        </w:rPr>
        <w:t>I.</w:t>
      </w:r>
      <w:r w:rsidRPr="009B4CC0">
        <w:rPr>
          <w:rFonts w:eastAsia="ヒラギノ角ゴ Pro W3"/>
          <w:lang w:eastAsia="en-GB"/>
        </w:rPr>
        <w:tab/>
      </w:r>
      <w:r w:rsidR="001B24C8" w:rsidRPr="009B4CC0">
        <w:rPr>
          <w:rFonts w:eastAsia="ヒラギノ角ゴ Pro W3"/>
          <w:lang w:eastAsia="en-GB"/>
        </w:rPr>
        <w:t>Sharing o</w:t>
      </w:r>
      <w:r w:rsidRPr="009B4CC0">
        <w:rPr>
          <w:rFonts w:eastAsia="ヒラギノ角ゴ Pro W3"/>
          <w:lang w:eastAsia="en-GB"/>
        </w:rPr>
        <w:t xml:space="preserve">ur </w:t>
      </w:r>
      <w:r w:rsidR="00983C11">
        <w:rPr>
          <w:rFonts w:eastAsia="ヒラギノ角ゴ Pro W3"/>
          <w:lang w:eastAsia="en-GB"/>
        </w:rPr>
        <w:t>v</w:t>
      </w:r>
      <w:r w:rsidR="001B24C8" w:rsidRPr="009B4CC0">
        <w:rPr>
          <w:rFonts w:eastAsia="ヒラギノ角ゴ Pro W3"/>
          <w:lang w:eastAsia="en-GB"/>
        </w:rPr>
        <w:t>ision for 2030</w:t>
      </w:r>
      <w:r w:rsidRPr="009B4CC0">
        <w:rPr>
          <w:rFonts w:eastAsia="ヒラギノ角ゴ Pro W3"/>
          <w:lang w:eastAsia="en-GB"/>
        </w:rPr>
        <w:t xml:space="preserve"> </w:t>
      </w:r>
    </w:p>
    <w:p w14:paraId="368ABE4A" w14:textId="6BBA4AC0" w:rsidR="00D30803" w:rsidRPr="009B4CC0" w:rsidRDefault="00BA0DC3" w:rsidP="008C138C">
      <w:pPr>
        <w:pStyle w:val="SingleTxtG"/>
        <w:rPr>
          <w:rFonts w:eastAsia="ヒラギノ角ゴ Pro W3"/>
          <w:u w:color="000000"/>
          <w:lang w:eastAsia="en-GB"/>
        </w:rPr>
      </w:pPr>
      <w:r w:rsidRPr="009B4CC0">
        <w:rPr>
          <w:rFonts w:eastAsia="ヒラギノ角ゴ Pro W3"/>
          <w:lang w:eastAsia="en-GB"/>
        </w:rPr>
        <w:t>1</w:t>
      </w:r>
      <w:r w:rsidR="00EB0AF1" w:rsidRPr="009B4CC0">
        <w:rPr>
          <w:rFonts w:eastAsia="ヒラギノ角ゴ Pro W3"/>
          <w:lang w:eastAsia="en-GB"/>
        </w:rPr>
        <w:t>7</w:t>
      </w:r>
      <w:r w:rsidR="008C138C" w:rsidRPr="009B4CC0">
        <w:rPr>
          <w:rFonts w:eastAsia="ヒラギノ角ゴ Pro W3"/>
          <w:lang w:eastAsia="en-GB"/>
        </w:rPr>
        <w:t>.</w:t>
      </w:r>
      <w:r w:rsidR="008C138C" w:rsidRPr="009B4CC0">
        <w:rPr>
          <w:rFonts w:eastAsia="ヒラギノ角ゴ Pro W3"/>
          <w:lang w:eastAsia="en-GB"/>
        </w:rPr>
        <w:tab/>
      </w:r>
      <w:r w:rsidR="00E7409C" w:rsidRPr="009B4CC0">
        <w:rPr>
          <w:rFonts w:eastAsia="ヒラギノ角ゴ Pro W3"/>
          <w:u w:color="000000"/>
          <w:lang w:eastAsia="en-GB"/>
        </w:rPr>
        <w:t>T</w:t>
      </w:r>
      <w:r w:rsidR="008C138C" w:rsidRPr="009B4CC0">
        <w:rPr>
          <w:rFonts w:eastAsia="ヒラギノ角ゴ Pro W3"/>
          <w:u w:color="000000"/>
          <w:lang w:eastAsia="en-GB"/>
        </w:rPr>
        <w:t>he</w:t>
      </w:r>
      <w:r w:rsidR="006D464E" w:rsidRPr="009B4CC0">
        <w:rPr>
          <w:rFonts w:eastAsia="ヒラギノ角ゴ Pro W3"/>
          <w:u w:color="000000"/>
          <w:lang w:eastAsia="en-GB"/>
        </w:rPr>
        <w:t xml:space="preserve"> Working Group held </w:t>
      </w:r>
      <w:r w:rsidR="008C138C" w:rsidRPr="009B4CC0">
        <w:rPr>
          <w:rFonts w:eastAsia="ヒラギノ角ゴ Pro W3"/>
          <w:u w:color="000000"/>
          <w:lang w:eastAsia="en-GB"/>
        </w:rPr>
        <w:t xml:space="preserve">national consultations and a foresight-oriented </w:t>
      </w:r>
      <w:r w:rsidR="000A1D50" w:rsidRPr="009B4CC0">
        <w:rPr>
          <w:rFonts w:eastAsia="ヒラギノ角ゴ Pro W3"/>
          <w:u w:color="000000"/>
          <w:lang w:eastAsia="en-GB"/>
        </w:rPr>
        <w:t xml:space="preserve">panel discussion </w:t>
      </w:r>
      <w:r w:rsidR="008C138C" w:rsidRPr="009B4CC0">
        <w:rPr>
          <w:rFonts w:eastAsia="ヒラギノ角ゴ Pro W3"/>
          <w:u w:color="000000"/>
          <w:lang w:eastAsia="en-GB"/>
        </w:rPr>
        <w:t>at its eighteenth session</w:t>
      </w:r>
      <w:r w:rsidR="00E7409C" w:rsidRPr="009B4CC0">
        <w:rPr>
          <w:rFonts w:eastAsia="ヒラギノ角ゴ Pro W3"/>
          <w:u w:color="000000"/>
          <w:lang w:eastAsia="en-GB"/>
        </w:rPr>
        <w:t xml:space="preserve"> as part of the process </w:t>
      </w:r>
      <w:r w:rsidR="003E34C2">
        <w:rPr>
          <w:rFonts w:eastAsia="ヒラギノ角ゴ Pro W3"/>
          <w:u w:color="000000"/>
          <w:lang w:eastAsia="en-GB"/>
        </w:rPr>
        <w:t xml:space="preserve">of </w:t>
      </w:r>
      <w:r w:rsidR="009840C7" w:rsidRPr="009B4CC0">
        <w:rPr>
          <w:rFonts w:eastAsia="ヒラギノ角ゴ Pro W3"/>
          <w:u w:color="000000"/>
          <w:lang w:eastAsia="en-GB"/>
        </w:rPr>
        <w:t>prepar</w:t>
      </w:r>
      <w:r w:rsidR="003E34C2">
        <w:rPr>
          <w:rFonts w:eastAsia="ヒラギノ角ゴ Pro W3"/>
          <w:u w:color="000000"/>
          <w:lang w:eastAsia="en-GB"/>
        </w:rPr>
        <w:t>ing</w:t>
      </w:r>
      <w:r w:rsidR="00E7409C" w:rsidRPr="009B4CC0">
        <w:rPr>
          <w:rFonts w:eastAsia="ヒラギノ角ゴ Pro W3"/>
          <w:u w:color="000000"/>
          <w:lang w:eastAsia="en-GB"/>
        </w:rPr>
        <w:t xml:space="preserve"> </w:t>
      </w:r>
      <w:r w:rsidR="003E34C2">
        <w:rPr>
          <w:rFonts w:eastAsia="ヒラギノ角ゴ Pro W3"/>
          <w:u w:color="000000"/>
          <w:lang w:eastAsia="en-GB"/>
        </w:rPr>
        <w:t xml:space="preserve">its </w:t>
      </w:r>
      <w:r w:rsidR="00E7409C" w:rsidRPr="009B4CC0">
        <w:rPr>
          <w:rFonts w:eastAsia="ヒラギノ角ゴ Pro W3"/>
          <w:u w:color="000000"/>
          <w:lang w:eastAsia="en-GB"/>
        </w:rPr>
        <w:t>new terms of reference</w:t>
      </w:r>
      <w:r w:rsidR="00634578">
        <w:rPr>
          <w:rFonts w:eastAsia="ヒラギノ角ゴ Pro W3"/>
          <w:u w:color="000000"/>
          <w:lang w:eastAsia="en-GB"/>
        </w:rPr>
        <w:t xml:space="preserve"> </w:t>
      </w:r>
      <w:r w:rsidR="00634578" w:rsidRPr="009B4CC0">
        <w:rPr>
          <w:rFonts w:eastAsia="ヒラギノ角ゴ Pro W3"/>
          <w:u w:color="000000"/>
          <w:lang w:eastAsia="en-GB"/>
        </w:rPr>
        <w:t>(see ECE/CEP/AC.10/2016/2</w:t>
      </w:r>
      <w:r w:rsidR="00634578">
        <w:rPr>
          <w:rFonts w:eastAsia="ヒラギノ角ゴ Pro W3"/>
          <w:u w:color="000000"/>
          <w:lang w:eastAsia="en-GB"/>
        </w:rPr>
        <w:t>)</w:t>
      </w:r>
      <w:r w:rsidR="008C138C" w:rsidRPr="009B4CC0">
        <w:rPr>
          <w:rFonts w:eastAsia="ヒラギノ角ゴ Pro W3"/>
          <w:u w:color="000000"/>
          <w:lang w:eastAsia="en-GB"/>
        </w:rPr>
        <w:t xml:space="preserve">. The purpose of engaging </w:t>
      </w:r>
      <w:r w:rsidR="006D464E" w:rsidRPr="009B4CC0">
        <w:rPr>
          <w:rFonts w:eastAsia="ヒラギノ角ゴ Pro W3"/>
          <w:u w:color="000000"/>
          <w:lang w:eastAsia="en-GB"/>
        </w:rPr>
        <w:t xml:space="preserve">the </w:t>
      </w:r>
      <w:r w:rsidR="00D5600A" w:rsidRPr="009B4CC0">
        <w:rPr>
          <w:rFonts w:eastAsia="ヒラギノ角ゴ Pro W3"/>
          <w:u w:color="000000"/>
          <w:lang w:eastAsia="en-GB"/>
        </w:rPr>
        <w:t xml:space="preserve">Working Group </w:t>
      </w:r>
      <w:r w:rsidR="008C138C" w:rsidRPr="009B4CC0">
        <w:rPr>
          <w:rFonts w:eastAsia="ヒラギノ角ゴ Pro W3"/>
          <w:u w:color="000000"/>
          <w:lang w:eastAsia="en-GB"/>
        </w:rPr>
        <w:t>members and partner</w:t>
      </w:r>
      <w:r w:rsidR="00D5600A" w:rsidRPr="009B4CC0">
        <w:rPr>
          <w:rFonts w:eastAsia="ヒラギノ角ゴ Pro W3"/>
          <w:u w:color="000000"/>
          <w:lang w:eastAsia="en-GB"/>
        </w:rPr>
        <w:t xml:space="preserve"> organization</w:t>
      </w:r>
      <w:r w:rsidR="008C138C" w:rsidRPr="009B4CC0">
        <w:rPr>
          <w:rFonts w:eastAsia="ヒラギノ角ゴ Pro W3"/>
          <w:u w:color="000000"/>
          <w:lang w:eastAsia="en-GB"/>
        </w:rPr>
        <w:t xml:space="preserve">s in this process </w:t>
      </w:r>
      <w:r w:rsidR="009840C7" w:rsidRPr="009B4CC0">
        <w:rPr>
          <w:rFonts w:eastAsia="ヒラギノ角ゴ Pro W3"/>
          <w:u w:color="000000"/>
          <w:lang w:eastAsia="en-GB"/>
        </w:rPr>
        <w:t>was</w:t>
      </w:r>
      <w:r w:rsidR="008C138C" w:rsidRPr="009B4CC0">
        <w:rPr>
          <w:rFonts w:eastAsia="ヒラギノ角ゴ Pro W3"/>
          <w:u w:color="000000"/>
          <w:lang w:eastAsia="en-GB"/>
        </w:rPr>
        <w:t xml:space="preserve"> </w:t>
      </w:r>
      <w:proofErr w:type="gramStart"/>
      <w:r w:rsidR="008C138C" w:rsidRPr="009B4CC0">
        <w:rPr>
          <w:rFonts w:eastAsia="ヒラギノ角ゴ Pro W3"/>
          <w:u w:color="000000"/>
          <w:lang w:eastAsia="en-GB"/>
        </w:rPr>
        <w:t xml:space="preserve">to </w:t>
      </w:r>
      <w:r w:rsidR="009840C7" w:rsidRPr="009B4CC0">
        <w:rPr>
          <w:rFonts w:eastAsia="ヒラギノ角ゴ Pro W3"/>
          <w:u w:color="000000"/>
          <w:lang w:eastAsia="en-GB"/>
        </w:rPr>
        <w:t>proactively address</w:t>
      </w:r>
      <w:proofErr w:type="gramEnd"/>
      <w:r w:rsidR="009840C7" w:rsidRPr="009B4CC0">
        <w:rPr>
          <w:rFonts w:eastAsia="ヒラギノ角ゴ Pro W3"/>
          <w:u w:color="000000"/>
          <w:lang w:eastAsia="en-GB"/>
        </w:rPr>
        <w:t xml:space="preserve"> </w:t>
      </w:r>
      <w:r w:rsidR="008C138C" w:rsidRPr="009B4CC0">
        <w:rPr>
          <w:rFonts w:eastAsia="ヒラギノ角ゴ Pro W3"/>
          <w:u w:color="000000"/>
          <w:lang w:eastAsia="en-GB"/>
        </w:rPr>
        <w:t xml:space="preserve">how the Working Group can contribute more effectively to enhance environmental monitoring and assessment in the </w:t>
      </w:r>
      <w:r w:rsidR="00D30803" w:rsidRPr="009B4CC0">
        <w:rPr>
          <w:rFonts w:eastAsia="ヒラギノ角ゴ Pro W3"/>
          <w:u w:color="000000"/>
          <w:lang w:eastAsia="en-GB"/>
        </w:rPr>
        <w:t xml:space="preserve">pan-European </w:t>
      </w:r>
      <w:r w:rsidR="008C138C" w:rsidRPr="009B4CC0">
        <w:rPr>
          <w:rFonts w:eastAsia="ヒラギノ角ゴ Pro W3"/>
          <w:u w:color="000000"/>
          <w:lang w:eastAsia="en-GB"/>
        </w:rPr>
        <w:t>region</w:t>
      </w:r>
      <w:r w:rsidR="000A1D50" w:rsidRPr="009B4CC0">
        <w:rPr>
          <w:rFonts w:eastAsia="ヒラギノ角ゴ Pro W3"/>
          <w:u w:color="000000"/>
          <w:lang w:eastAsia="en-GB"/>
        </w:rPr>
        <w:t xml:space="preserve"> </w:t>
      </w:r>
      <w:r w:rsidR="00201CDA" w:rsidRPr="009B4CC0">
        <w:rPr>
          <w:rFonts w:eastAsia="ヒラギノ角ゴ Pro W3"/>
          <w:u w:color="000000"/>
          <w:lang w:eastAsia="en-GB"/>
        </w:rPr>
        <w:t>leading up to 2021</w:t>
      </w:r>
      <w:r w:rsidR="00E269A3">
        <w:rPr>
          <w:rFonts w:eastAsia="ヒラギノ角ゴ Pro W3"/>
          <w:u w:color="000000"/>
          <w:lang w:eastAsia="en-GB"/>
        </w:rPr>
        <w:t>.</w:t>
      </w:r>
    </w:p>
    <w:p w14:paraId="03B2FBD2" w14:textId="5329BBDB" w:rsidR="008C138C" w:rsidRPr="009B4CC0" w:rsidRDefault="00BA0DC3" w:rsidP="008C138C">
      <w:pPr>
        <w:pStyle w:val="SingleTxtG"/>
        <w:rPr>
          <w:rFonts w:eastAsia="ヒラギノ角ゴ Pro W3"/>
          <w:u w:color="000000"/>
          <w:lang w:eastAsia="en-GB"/>
        </w:rPr>
      </w:pPr>
      <w:r w:rsidRPr="009B4CC0">
        <w:rPr>
          <w:rFonts w:eastAsia="ヒラギノ角ゴ Pro W3"/>
          <w:lang w:eastAsia="en-GB"/>
        </w:rPr>
        <w:t>1</w:t>
      </w:r>
      <w:r w:rsidR="00EB0AF1" w:rsidRPr="009B4CC0">
        <w:rPr>
          <w:rFonts w:eastAsia="ヒラギノ角ゴ Pro W3"/>
          <w:lang w:eastAsia="en-GB"/>
        </w:rPr>
        <w:t>8</w:t>
      </w:r>
      <w:r w:rsidR="00D30803" w:rsidRPr="009B4CC0">
        <w:rPr>
          <w:rFonts w:eastAsia="ヒラギノ角ゴ Pro W3"/>
          <w:lang w:eastAsia="en-GB"/>
        </w:rPr>
        <w:t>.</w:t>
      </w:r>
      <w:r w:rsidR="00D30803" w:rsidRPr="009B4CC0">
        <w:rPr>
          <w:rFonts w:eastAsia="ヒラギノ角ゴ Pro W3"/>
          <w:lang w:eastAsia="en-GB"/>
        </w:rPr>
        <w:tab/>
      </w:r>
      <w:r w:rsidR="008C138C" w:rsidRPr="009B4CC0">
        <w:rPr>
          <w:rFonts w:eastAsia="ヒラギノ角ゴ Pro W3"/>
          <w:u w:color="000000"/>
          <w:lang w:eastAsia="en-GB"/>
        </w:rPr>
        <w:t xml:space="preserve">The foresight-oriented work </w:t>
      </w:r>
      <w:proofErr w:type="gramStart"/>
      <w:r w:rsidR="008C138C" w:rsidRPr="009B4CC0">
        <w:rPr>
          <w:rFonts w:eastAsia="ヒラギノ角ゴ Pro W3"/>
          <w:u w:color="000000"/>
          <w:lang w:eastAsia="en-GB"/>
        </w:rPr>
        <w:t>was</w:t>
      </w:r>
      <w:r w:rsidR="00D30803" w:rsidRPr="009B4CC0">
        <w:rPr>
          <w:rFonts w:eastAsia="ヒラギノ角ゴ Pro W3"/>
          <w:u w:color="000000"/>
          <w:lang w:eastAsia="en-GB"/>
        </w:rPr>
        <w:t xml:space="preserve"> </w:t>
      </w:r>
      <w:r w:rsidR="009840C7" w:rsidRPr="009B4CC0">
        <w:rPr>
          <w:rFonts w:eastAsia="ヒラギノ角ゴ Pro W3"/>
          <w:u w:color="000000"/>
          <w:lang w:eastAsia="en-GB"/>
        </w:rPr>
        <w:t xml:space="preserve">furthermore </w:t>
      </w:r>
      <w:r w:rsidR="008C138C" w:rsidRPr="009B4CC0">
        <w:rPr>
          <w:rFonts w:eastAsia="ヒラギノ角ゴ Pro W3"/>
          <w:u w:color="000000"/>
          <w:lang w:eastAsia="en-GB"/>
        </w:rPr>
        <w:t>set</w:t>
      </w:r>
      <w:proofErr w:type="gramEnd"/>
      <w:r w:rsidR="008C138C" w:rsidRPr="009B4CC0">
        <w:rPr>
          <w:rFonts w:eastAsia="ヒラギノ角ゴ Pro W3"/>
          <w:u w:color="000000"/>
          <w:lang w:eastAsia="en-GB"/>
        </w:rPr>
        <w:t xml:space="preserve"> in motion by the Working Group to take into consider</w:t>
      </w:r>
      <w:r w:rsidR="00D67494" w:rsidRPr="009B4CC0">
        <w:rPr>
          <w:rFonts w:eastAsia="ヒラギノ角ゴ Pro W3"/>
          <w:u w:color="000000"/>
          <w:lang w:eastAsia="en-GB"/>
        </w:rPr>
        <w:t>ation new and future challenges, i</w:t>
      </w:r>
      <w:r w:rsidR="008C138C" w:rsidRPr="009B4CC0">
        <w:rPr>
          <w:rFonts w:eastAsia="ヒラギノ角ゴ Pro W3"/>
          <w:u w:color="000000"/>
          <w:lang w:eastAsia="en-GB"/>
        </w:rPr>
        <w:t>n particular, to consider recent developments, such as:</w:t>
      </w:r>
    </w:p>
    <w:p w14:paraId="04736017" w14:textId="7D519CCB" w:rsidR="008C138C" w:rsidRPr="009B4CC0" w:rsidRDefault="008C138C" w:rsidP="008C138C">
      <w:pPr>
        <w:pStyle w:val="SingleTxtG"/>
        <w:ind w:firstLine="567"/>
      </w:pPr>
      <w:r w:rsidRPr="009B4CC0">
        <w:t>(a)</w:t>
      </w:r>
      <w:r w:rsidRPr="009B4CC0">
        <w:tab/>
      </w:r>
      <w:r w:rsidR="003E34C2">
        <w:t xml:space="preserve">The </w:t>
      </w:r>
      <w:r w:rsidRPr="009B4CC0">
        <w:t>2030 Agenda for Sustainable Development</w:t>
      </w:r>
      <w:r w:rsidR="003D193A">
        <w:t xml:space="preserve"> (2030 Agenda)</w:t>
      </w:r>
      <w:r w:rsidRPr="009B4CC0">
        <w:t>, adopted by the General Assembly on 25 September 2015;</w:t>
      </w:r>
    </w:p>
    <w:p w14:paraId="5939F9B1" w14:textId="48B011D3" w:rsidR="008C138C" w:rsidRPr="009B4CC0" w:rsidRDefault="008C138C" w:rsidP="008C138C">
      <w:pPr>
        <w:pStyle w:val="SingleTxtG"/>
        <w:ind w:firstLine="567"/>
      </w:pPr>
      <w:r w:rsidRPr="009B4CC0">
        <w:t>(</w:t>
      </w:r>
      <w:r w:rsidR="00D67494" w:rsidRPr="009B4CC0">
        <w:t>b</w:t>
      </w:r>
      <w:r w:rsidRPr="009B4CC0">
        <w:t>)</w:t>
      </w:r>
      <w:r w:rsidRPr="009B4CC0">
        <w:tab/>
      </w:r>
      <w:r w:rsidR="003E34C2">
        <w:t xml:space="preserve">The </w:t>
      </w:r>
      <w:r w:rsidRPr="009B4CC0">
        <w:t>Paris Agreement</w:t>
      </w:r>
      <w:r w:rsidR="003E34C2">
        <w:t xml:space="preserve"> on climate change, </w:t>
      </w:r>
      <w:r w:rsidRPr="009B4CC0">
        <w:t xml:space="preserve">adopted at the </w:t>
      </w:r>
      <w:r w:rsidR="003E34C2">
        <w:t xml:space="preserve">twenty-first session of the United Nations Framework Convention on Climate Change </w:t>
      </w:r>
      <w:r w:rsidRPr="009B4CC0">
        <w:t>on 12 December 2015</w:t>
      </w:r>
      <w:proofErr w:type="gramStart"/>
      <w:r w:rsidRPr="009B4CC0">
        <w:t>;</w:t>
      </w:r>
      <w:proofErr w:type="gramEnd"/>
    </w:p>
    <w:p w14:paraId="202CE301" w14:textId="512B1B5B" w:rsidR="008C138C" w:rsidRPr="009B4CC0" w:rsidRDefault="008C138C" w:rsidP="008C138C">
      <w:pPr>
        <w:pStyle w:val="SingleTxtG"/>
        <w:ind w:firstLine="567"/>
      </w:pPr>
      <w:r w:rsidRPr="009B4CC0">
        <w:t>(</w:t>
      </w:r>
      <w:r w:rsidR="00D67494" w:rsidRPr="009B4CC0">
        <w:t>c</w:t>
      </w:r>
      <w:r w:rsidRPr="009B4CC0">
        <w:t>)</w:t>
      </w:r>
      <w:r w:rsidRPr="009B4CC0">
        <w:tab/>
      </w:r>
      <w:r w:rsidR="003E34C2">
        <w:t xml:space="preserve">The </w:t>
      </w:r>
      <w:r w:rsidRPr="009B4CC0">
        <w:t xml:space="preserve">Batumi </w:t>
      </w:r>
      <w:r w:rsidR="00D5600A" w:rsidRPr="009B4CC0">
        <w:t xml:space="preserve">Ministerial </w:t>
      </w:r>
      <w:r w:rsidRPr="009B4CC0">
        <w:t>Declaratio</w:t>
      </w:r>
      <w:r w:rsidR="003E34C2">
        <w:t>n,</w:t>
      </w:r>
      <w:r w:rsidRPr="009B4CC0">
        <w:t xml:space="preserve"> “Greener, cleaner, smarter”, adopted by </w:t>
      </w:r>
      <w:r w:rsidR="003E34C2">
        <w:t>ECE m</w:t>
      </w:r>
      <w:r w:rsidRPr="009B4CC0">
        <w:t>inisters on 10 June 2016</w:t>
      </w:r>
      <w:r w:rsidR="00680903">
        <w:t>;</w:t>
      </w:r>
    </w:p>
    <w:p w14:paraId="750D5FD2" w14:textId="51B0811F" w:rsidR="008C138C" w:rsidRPr="009B4CC0" w:rsidRDefault="008C138C" w:rsidP="008C138C">
      <w:pPr>
        <w:pStyle w:val="SingleTxtG"/>
        <w:ind w:firstLine="567"/>
        <w:rPr>
          <w:rFonts w:eastAsia="ヒラギノ角ゴ Pro W3"/>
          <w:u w:color="000000"/>
          <w:lang w:eastAsia="en-GB"/>
        </w:rPr>
      </w:pPr>
      <w:r w:rsidRPr="009B4CC0">
        <w:t>(</w:t>
      </w:r>
      <w:r w:rsidR="00D67494" w:rsidRPr="009B4CC0">
        <w:t>d)</w:t>
      </w:r>
      <w:r w:rsidRPr="009B4CC0">
        <w:tab/>
      </w:r>
      <w:r w:rsidR="000E43B3">
        <w:t xml:space="preserve">The </w:t>
      </w:r>
      <w:r w:rsidRPr="009B4CC0">
        <w:t>Pan-European Strategic Framework for Greening the Economy</w:t>
      </w:r>
      <w:r w:rsidRPr="009B4CC0">
        <w:rPr>
          <w:rFonts w:eastAsia="ヒラギノ角ゴ Pro W3"/>
          <w:u w:color="000000"/>
          <w:lang w:eastAsia="en-GB"/>
        </w:rPr>
        <w:t xml:space="preserve">, adopted by the Committee on Environmental Policy </w:t>
      </w:r>
      <w:r w:rsidR="00D5600A" w:rsidRPr="009B4CC0">
        <w:rPr>
          <w:rFonts w:eastAsia="ヒラギノ角ゴ Pro W3"/>
          <w:u w:color="000000"/>
          <w:lang w:eastAsia="en-GB"/>
        </w:rPr>
        <w:t xml:space="preserve">and endorsed by </w:t>
      </w:r>
      <w:r w:rsidR="00B20DE3">
        <w:rPr>
          <w:rFonts w:eastAsia="ヒラギノ角ゴ Pro W3"/>
          <w:u w:color="000000"/>
          <w:lang w:eastAsia="en-GB"/>
        </w:rPr>
        <w:t>m</w:t>
      </w:r>
      <w:r w:rsidR="00D5600A" w:rsidRPr="009B4CC0">
        <w:rPr>
          <w:rFonts w:eastAsia="ヒラギノ角ゴ Pro W3"/>
          <w:u w:color="000000"/>
          <w:lang w:eastAsia="en-GB"/>
        </w:rPr>
        <w:t xml:space="preserve">inisters in Batumi </w:t>
      </w:r>
      <w:r w:rsidRPr="009B4CC0">
        <w:rPr>
          <w:rFonts w:eastAsia="ヒラギノ角ゴ Pro W3"/>
          <w:u w:color="000000"/>
          <w:lang w:eastAsia="en-GB"/>
        </w:rPr>
        <w:t>(ECE/BATUMI.CONF/2016/6)</w:t>
      </w:r>
      <w:r w:rsidR="00D5600A" w:rsidRPr="009B4CC0">
        <w:rPr>
          <w:rFonts w:eastAsia="ヒラギノ角ゴ Pro W3"/>
          <w:u w:color="000000"/>
          <w:lang w:eastAsia="en-GB"/>
        </w:rPr>
        <w:t>,</w:t>
      </w:r>
      <w:r w:rsidR="00616FF8">
        <w:rPr>
          <w:rFonts w:eastAsia="ヒラギノ角ゴ Pro W3"/>
          <w:u w:color="000000"/>
          <w:lang w:eastAsia="en-GB"/>
        </w:rPr>
        <w:t xml:space="preserve"> </w:t>
      </w:r>
      <w:r w:rsidR="00D5600A" w:rsidRPr="009B4CC0">
        <w:rPr>
          <w:rFonts w:eastAsia="ヒラギノ角ゴ Pro W3"/>
          <w:u w:color="000000"/>
          <w:lang w:eastAsia="en-GB"/>
        </w:rPr>
        <w:t>and</w:t>
      </w:r>
      <w:r w:rsidR="00D5600A" w:rsidRPr="009B4CC0">
        <w:t xml:space="preserve"> the Batumi Initiative</w:t>
      </w:r>
      <w:r w:rsidR="00D5600A" w:rsidRPr="009B4CC0">
        <w:rPr>
          <w:rFonts w:eastAsia="ヒラギノ角ゴ Pro W3"/>
          <w:u w:color="000000"/>
          <w:lang w:eastAsia="en-GB"/>
        </w:rPr>
        <w:t xml:space="preserve"> on the Green Economy (BIG-E)</w:t>
      </w:r>
      <w:r w:rsidR="00B20DE3">
        <w:rPr>
          <w:rFonts w:eastAsia="ヒラギノ角ゴ Pro W3"/>
          <w:u w:color="000000"/>
          <w:lang w:eastAsia="en-GB"/>
        </w:rPr>
        <w:t>,</w:t>
      </w:r>
      <w:r w:rsidR="00D5600A" w:rsidRPr="009B4CC0">
        <w:rPr>
          <w:rFonts w:eastAsia="ヒラギノ角ゴ Pro W3"/>
          <w:u w:color="000000"/>
          <w:lang w:eastAsia="en-GB"/>
        </w:rPr>
        <w:t xml:space="preserve"> </w:t>
      </w:r>
      <w:r w:rsidR="00B20DE3">
        <w:rPr>
          <w:rFonts w:eastAsia="ヒラギノ角ゴ Pro W3"/>
          <w:u w:color="000000"/>
          <w:lang w:eastAsia="en-GB"/>
        </w:rPr>
        <w:t xml:space="preserve">which ministers </w:t>
      </w:r>
      <w:r w:rsidR="00D5600A" w:rsidRPr="009B4CC0">
        <w:rPr>
          <w:rFonts w:eastAsia="ヒラギノ角ゴ Pro W3"/>
          <w:u w:color="000000"/>
          <w:lang w:eastAsia="en-GB"/>
        </w:rPr>
        <w:t>welcomed in Batumi</w:t>
      </w:r>
      <w:r w:rsidR="00B20DE3">
        <w:rPr>
          <w:rFonts w:eastAsia="ヒラギノ角ゴ Pro W3"/>
          <w:u w:color="000000"/>
          <w:lang w:eastAsia="en-GB"/>
        </w:rPr>
        <w:t xml:space="preserve"> </w:t>
      </w:r>
      <w:r w:rsidR="00B20DE3" w:rsidRPr="009B4CC0">
        <w:rPr>
          <w:rFonts w:eastAsia="ヒラギノ角ゴ Pro W3"/>
          <w:u w:color="000000"/>
          <w:lang w:eastAsia="en-GB"/>
        </w:rPr>
        <w:t>(</w:t>
      </w:r>
      <w:r w:rsidR="00B20DE3">
        <w:rPr>
          <w:rFonts w:eastAsia="ヒラギノ角ゴ Pro W3"/>
          <w:u w:color="000000"/>
          <w:lang w:eastAsia="en-GB"/>
        </w:rPr>
        <w:t>ibid, annex</w:t>
      </w:r>
      <w:r w:rsidR="00B20DE3" w:rsidRPr="009B4CC0">
        <w:rPr>
          <w:rFonts w:eastAsia="ヒラギノ角ゴ Pro W3"/>
          <w:u w:color="000000"/>
          <w:lang w:eastAsia="en-GB"/>
        </w:rPr>
        <w:t>)</w:t>
      </w:r>
      <w:r w:rsidR="00D5600A" w:rsidRPr="009B4CC0">
        <w:rPr>
          <w:rFonts w:eastAsia="ヒラギノ角ゴ Pro W3"/>
          <w:u w:color="000000"/>
          <w:lang w:eastAsia="en-GB"/>
        </w:rPr>
        <w:t>.</w:t>
      </w:r>
    </w:p>
    <w:p w14:paraId="1D21FFEA" w14:textId="03B2F8C1" w:rsidR="00D67494" w:rsidRPr="009B4CC0" w:rsidRDefault="00167E89" w:rsidP="008C138C">
      <w:pPr>
        <w:pStyle w:val="SingleTxtG"/>
        <w:rPr>
          <w:rFonts w:eastAsia="ヒラギノ角ゴ Pro W3"/>
          <w:u w:color="000000"/>
          <w:lang w:eastAsia="en-GB"/>
        </w:rPr>
      </w:pPr>
      <w:r w:rsidRPr="009B4CC0">
        <w:rPr>
          <w:rFonts w:eastAsia="ヒラギノ角ゴ Pro W3"/>
          <w:lang w:eastAsia="en-GB"/>
        </w:rPr>
        <w:t>1</w:t>
      </w:r>
      <w:r w:rsidR="00EB0AF1" w:rsidRPr="009B4CC0">
        <w:rPr>
          <w:rFonts w:eastAsia="ヒラギノ角ゴ Pro W3"/>
          <w:lang w:eastAsia="en-GB"/>
        </w:rPr>
        <w:t>9</w:t>
      </w:r>
      <w:r w:rsidR="008C138C" w:rsidRPr="009B4CC0">
        <w:rPr>
          <w:rFonts w:eastAsia="ヒラギノ角ゴ Pro W3"/>
          <w:lang w:eastAsia="en-GB"/>
        </w:rPr>
        <w:t>.</w:t>
      </w:r>
      <w:r w:rsidR="008C138C" w:rsidRPr="009B4CC0">
        <w:rPr>
          <w:rFonts w:eastAsia="ヒラギノ角ゴ Pro W3"/>
          <w:lang w:eastAsia="en-GB"/>
        </w:rPr>
        <w:tab/>
      </w:r>
      <w:r w:rsidR="008C138C" w:rsidRPr="009B4CC0">
        <w:rPr>
          <w:rFonts w:eastAsia="ヒラギノ角ゴ Pro W3"/>
          <w:u w:color="000000"/>
          <w:lang w:eastAsia="en-GB"/>
        </w:rPr>
        <w:t xml:space="preserve">These commitments, coupled with the request for new terms of reference from the Committee, provided the perfect conditions for the Working Group to reflect on </w:t>
      </w:r>
      <w:proofErr w:type="gramStart"/>
      <w:r w:rsidR="008C138C" w:rsidRPr="009B4CC0">
        <w:rPr>
          <w:rFonts w:eastAsia="ヒラギノ角ゴ Pro W3"/>
          <w:u w:color="000000"/>
          <w:lang w:eastAsia="en-GB"/>
        </w:rPr>
        <w:t>past achievements</w:t>
      </w:r>
      <w:proofErr w:type="gramEnd"/>
      <w:r w:rsidR="008C138C" w:rsidRPr="009B4CC0">
        <w:rPr>
          <w:rFonts w:eastAsia="ヒラギノ角ゴ Pro W3"/>
          <w:u w:color="000000"/>
          <w:lang w:eastAsia="en-GB"/>
        </w:rPr>
        <w:t>, consider lessons learn</w:t>
      </w:r>
      <w:r w:rsidR="00B20DE3">
        <w:rPr>
          <w:rFonts w:eastAsia="ヒラギノ角ゴ Pro W3"/>
          <w:u w:color="000000"/>
          <w:lang w:eastAsia="en-GB"/>
        </w:rPr>
        <w:t>ed</w:t>
      </w:r>
      <w:r w:rsidR="008C138C" w:rsidRPr="009B4CC0">
        <w:rPr>
          <w:rFonts w:eastAsia="ヒラギノ角ゴ Pro W3"/>
          <w:u w:color="000000"/>
          <w:lang w:eastAsia="en-GB"/>
        </w:rPr>
        <w:t xml:space="preserve">, and discuss how all of </w:t>
      </w:r>
      <w:r w:rsidR="00B20DE3">
        <w:rPr>
          <w:rFonts w:eastAsia="ヒラギノ角ゴ Pro W3"/>
          <w:u w:color="000000"/>
          <w:lang w:eastAsia="en-GB"/>
        </w:rPr>
        <w:t xml:space="preserve">that could </w:t>
      </w:r>
      <w:r w:rsidR="008C138C" w:rsidRPr="009B4CC0">
        <w:rPr>
          <w:rFonts w:eastAsia="ヒラギノ角ゴ Pro W3"/>
          <w:u w:color="000000"/>
          <w:lang w:eastAsia="en-GB"/>
        </w:rPr>
        <w:t xml:space="preserve">fit into the bigger picture </w:t>
      </w:r>
      <w:r w:rsidR="00B20DE3">
        <w:rPr>
          <w:rFonts w:eastAsia="ヒラギノ角ゴ Pro W3"/>
          <w:u w:color="000000"/>
          <w:lang w:eastAsia="en-GB"/>
        </w:rPr>
        <w:t xml:space="preserve">with </w:t>
      </w:r>
      <w:r w:rsidR="005A5249" w:rsidRPr="009B4CC0">
        <w:rPr>
          <w:rFonts w:eastAsia="ヒラギノ角ゴ Pro W3"/>
          <w:u w:color="000000"/>
          <w:lang w:eastAsia="en-GB"/>
        </w:rPr>
        <w:t>regard to</w:t>
      </w:r>
      <w:r w:rsidR="008C138C" w:rsidRPr="009B4CC0">
        <w:rPr>
          <w:rFonts w:eastAsia="ヒラギノ角ゴ Pro W3"/>
          <w:u w:color="000000"/>
          <w:lang w:eastAsia="en-GB"/>
        </w:rPr>
        <w:t xml:space="preserve"> where </w:t>
      </w:r>
      <w:r w:rsidR="00B20DE3">
        <w:rPr>
          <w:rFonts w:eastAsia="ヒラギノ角ゴ Pro W3"/>
          <w:u w:color="000000"/>
          <w:lang w:eastAsia="en-GB"/>
        </w:rPr>
        <w:t xml:space="preserve">the </w:t>
      </w:r>
      <w:r w:rsidR="00D67494" w:rsidRPr="009B4CC0">
        <w:rPr>
          <w:rFonts w:eastAsia="ヒラギノ角ゴ Pro W3"/>
          <w:u w:color="000000"/>
          <w:lang w:eastAsia="en-GB"/>
        </w:rPr>
        <w:t xml:space="preserve">Working Group </w:t>
      </w:r>
      <w:r w:rsidR="008C138C" w:rsidRPr="009B4CC0">
        <w:rPr>
          <w:rFonts w:eastAsia="ヒラギノ角ゴ Pro W3"/>
          <w:u w:color="000000"/>
          <w:lang w:eastAsia="en-GB"/>
        </w:rPr>
        <w:t>want</w:t>
      </w:r>
      <w:r w:rsidR="00D67494" w:rsidRPr="009B4CC0">
        <w:rPr>
          <w:rFonts w:eastAsia="ヒラギノ角ゴ Pro W3"/>
          <w:u w:color="000000"/>
          <w:lang w:eastAsia="en-GB"/>
        </w:rPr>
        <w:t>s</w:t>
      </w:r>
      <w:r w:rsidR="008C138C" w:rsidRPr="009B4CC0">
        <w:rPr>
          <w:rFonts w:eastAsia="ヒラギノ角ゴ Pro W3"/>
          <w:u w:color="000000"/>
          <w:lang w:eastAsia="en-GB"/>
        </w:rPr>
        <w:t xml:space="preserve"> to be by 20</w:t>
      </w:r>
      <w:r w:rsidR="009840C7" w:rsidRPr="009B4CC0">
        <w:rPr>
          <w:rFonts w:eastAsia="ヒラギノ角ゴ Pro W3"/>
          <w:u w:color="000000"/>
          <w:lang w:eastAsia="en-GB"/>
        </w:rPr>
        <w:t>21</w:t>
      </w:r>
      <w:r w:rsidR="008C138C" w:rsidRPr="009B4CC0">
        <w:rPr>
          <w:rFonts w:eastAsia="ヒラギノ角ゴ Pro W3"/>
          <w:u w:color="000000"/>
          <w:lang w:eastAsia="en-GB"/>
        </w:rPr>
        <w:t>.</w:t>
      </w:r>
    </w:p>
    <w:p w14:paraId="3C637AF7" w14:textId="793C3BA5" w:rsidR="005B67A4" w:rsidRPr="009B4CC0" w:rsidRDefault="00EB0AF1" w:rsidP="008C138C">
      <w:pPr>
        <w:pStyle w:val="SingleTxtG"/>
        <w:rPr>
          <w:rFonts w:eastAsia="ヒラギノ角ゴ Pro W3"/>
          <w:u w:color="000000"/>
          <w:lang w:eastAsia="en-GB"/>
        </w:rPr>
      </w:pPr>
      <w:r w:rsidRPr="009B4CC0">
        <w:rPr>
          <w:rFonts w:eastAsia="ヒラギノ角ゴ Pro W3"/>
          <w:lang w:eastAsia="en-GB"/>
        </w:rPr>
        <w:t>20</w:t>
      </w:r>
      <w:r w:rsidR="00D67494" w:rsidRPr="009B4CC0">
        <w:rPr>
          <w:rFonts w:eastAsia="ヒラギノ角ゴ Pro W3"/>
          <w:lang w:eastAsia="en-GB"/>
        </w:rPr>
        <w:t>.</w:t>
      </w:r>
      <w:r w:rsidR="00D67494" w:rsidRPr="009B4CC0">
        <w:rPr>
          <w:rFonts w:eastAsia="ヒラギノ角ゴ Pro W3"/>
          <w:lang w:eastAsia="en-GB"/>
        </w:rPr>
        <w:tab/>
      </w:r>
      <w:r w:rsidR="00D67494" w:rsidRPr="009B4CC0">
        <w:rPr>
          <w:rFonts w:eastAsia="ヒラギノ角ゴ Pro W3"/>
          <w:u w:color="000000"/>
          <w:lang w:eastAsia="en-GB"/>
        </w:rPr>
        <w:t>Th</w:t>
      </w:r>
      <w:r w:rsidR="00B20DE3">
        <w:rPr>
          <w:rFonts w:eastAsia="ヒラギノ角ゴ Pro W3"/>
          <w:u w:color="000000"/>
          <w:lang w:eastAsia="en-GB"/>
        </w:rPr>
        <w:t>e discussion</w:t>
      </w:r>
      <w:r w:rsidR="008C138C" w:rsidRPr="009B4CC0">
        <w:rPr>
          <w:rFonts w:eastAsia="ヒラギノ角ゴ Pro W3"/>
          <w:u w:color="000000"/>
          <w:lang w:eastAsia="en-GB"/>
        </w:rPr>
        <w:t xml:space="preserve"> </w:t>
      </w:r>
      <w:r w:rsidR="009840C7" w:rsidRPr="009B4CC0">
        <w:rPr>
          <w:rFonts w:eastAsia="ヒラギノ角ゴ Pro W3"/>
          <w:u w:color="000000"/>
          <w:lang w:eastAsia="en-GB"/>
        </w:rPr>
        <w:t xml:space="preserve">included reflections </w:t>
      </w:r>
      <w:r w:rsidR="008C138C" w:rsidRPr="009B4CC0">
        <w:rPr>
          <w:rFonts w:eastAsia="ヒラギノ角ゴ Pro W3"/>
          <w:u w:color="000000"/>
          <w:lang w:eastAsia="en-GB"/>
        </w:rPr>
        <w:t xml:space="preserve">on how the Working Group could </w:t>
      </w:r>
      <w:r w:rsidR="00D67494" w:rsidRPr="009B4CC0">
        <w:rPr>
          <w:rFonts w:eastAsia="ヒラギノ角ゴ Pro W3"/>
          <w:u w:color="000000"/>
          <w:lang w:eastAsia="en-GB"/>
        </w:rPr>
        <w:t>carry on its present activities</w:t>
      </w:r>
      <w:r w:rsidR="008C138C" w:rsidRPr="009B4CC0">
        <w:rPr>
          <w:rFonts w:eastAsia="ヒラギノ角ゴ Pro W3"/>
          <w:u w:color="000000"/>
          <w:lang w:eastAsia="en-GB"/>
        </w:rPr>
        <w:t>, interlinked with the</w:t>
      </w:r>
      <w:r w:rsidR="00D67494" w:rsidRPr="009B4CC0">
        <w:rPr>
          <w:rFonts w:eastAsia="ヒラギノ角ゴ Pro W3"/>
          <w:u w:color="000000"/>
          <w:lang w:eastAsia="en-GB"/>
        </w:rPr>
        <w:t xml:space="preserve"> renewed call for establishing SEIS in the countries of Europe and Central Asia by 2021. </w:t>
      </w:r>
      <w:proofErr w:type="gramStart"/>
      <w:r w:rsidR="008F202F">
        <w:rPr>
          <w:rFonts w:eastAsia="ヒラギノ角ゴ Pro W3"/>
          <w:u w:color="000000"/>
          <w:lang w:eastAsia="en-GB"/>
        </w:rPr>
        <w:t>Also taken into account was t</w:t>
      </w:r>
      <w:r w:rsidR="00D67494" w:rsidRPr="009B4CC0">
        <w:rPr>
          <w:rFonts w:eastAsia="ヒラギノ角ゴ Pro W3"/>
          <w:u w:color="000000"/>
          <w:lang w:eastAsia="en-GB"/>
        </w:rPr>
        <w:t xml:space="preserve">he request from the Committee </w:t>
      </w:r>
      <w:r w:rsidR="008F202F">
        <w:rPr>
          <w:rFonts w:eastAsia="ヒラギノ角ゴ Pro W3"/>
          <w:u w:color="000000"/>
          <w:lang w:eastAsia="en-GB"/>
        </w:rPr>
        <w:t xml:space="preserve">that the Working Group </w:t>
      </w:r>
      <w:r w:rsidR="00D67494" w:rsidRPr="009B4CC0">
        <w:rPr>
          <w:rFonts w:eastAsia="ヒラギノ角ゴ Pro W3"/>
          <w:u w:color="000000"/>
          <w:lang w:eastAsia="en-GB"/>
        </w:rPr>
        <w:t>serve as a regional environmental information and assessment “network</w:t>
      </w:r>
      <w:r w:rsidR="008F202F">
        <w:rPr>
          <w:rFonts w:eastAsia="ヒラギノ角ゴ Pro W3"/>
          <w:u w:color="000000"/>
          <w:lang w:eastAsia="en-GB"/>
        </w:rPr>
        <w:t xml:space="preserve"> </w:t>
      </w:r>
      <w:r w:rsidR="00D67494" w:rsidRPr="009B4CC0">
        <w:rPr>
          <w:rFonts w:eastAsia="ヒラギノ角ゴ Pro W3"/>
          <w:u w:color="000000"/>
          <w:lang w:eastAsia="en-GB"/>
        </w:rPr>
        <w:t>of</w:t>
      </w:r>
      <w:r w:rsidR="008F202F">
        <w:rPr>
          <w:rFonts w:eastAsia="ヒラギノ角ゴ Pro W3"/>
          <w:u w:color="000000"/>
          <w:lang w:eastAsia="en-GB"/>
        </w:rPr>
        <w:t xml:space="preserve"> </w:t>
      </w:r>
      <w:r w:rsidR="00D67494" w:rsidRPr="009B4CC0">
        <w:rPr>
          <w:rFonts w:eastAsia="ヒラギノ角ゴ Pro W3"/>
          <w:u w:color="000000"/>
          <w:lang w:eastAsia="en-GB"/>
        </w:rPr>
        <w:t>networks”, bring</w:t>
      </w:r>
      <w:r w:rsidR="008F202F">
        <w:rPr>
          <w:rFonts w:eastAsia="ヒラギノ角ゴ Pro W3"/>
          <w:u w:color="000000"/>
          <w:lang w:eastAsia="en-GB"/>
        </w:rPr>
        <w:t>ing</w:t>
      </w:r>
      <w:r w:rsidR="00D67494" w:rsidRPr="009B4CC0">
        <w:rPr>
          <w:rFonts w:eastAsia="ヒラギノ角ゴ Pro W3"/>
          <w:u w:color="000000"/>
          <w:lang w:eastAsia="en-GB"/>
        </w:rPr>
        <w:t xml:space="preserve"> together the </w:t>
      </w:r>
      <w:r w:rsidR="008C6047" w:rsidRPr="009B4CC0">
        <w:rPr>
          <w:rFonts w:eastAsia="ヒラギノ角ゴ Pro W3"/>
          <w:u w:color="000000"/>
          <w:lang w:eastAsia="en-GB"/>
        </w:rPr>
        <w:t xml:space="preserve">experts </w:t>
      </w:r>
      <w:r w:rsidR="009840C7" w:rsidRPr="009B4CC0">
        <w:rPr>
          <w:rFonts w:eastAsia="ヒラギノ角ゴ Pro W3"/>
          <w:u w:color="000000"/>
          <w:lang w:eastAsia="en-GB"/>
        </w:rPr>
        <w:t>contributing towards</w:t>
      </w:r>
      <w:r w:rsidR="008C6047" w:rsidRPr="009B4CC0">
        <w:rPr>
          <w:rFonts w:eastAsia="ヒラギノ角ゴ Pro W3"/>
          <w:u w:color="000000"/>
          <w:lang w:eastAsia="en-GB"/>
        </w:rPr>
        <w:t xml:space="preserve"> the </w:t>
      </w:r>
      <w:r w:rsidR="008F202F">
        <w:rPr>
          <w:rFonts w:eastAsia="ヒラギノ角ゴ Pro W3"/>
          <w:u w:color="000000"/>
          <w:lang w:eastAsia="en-GB"/>
        </w:rPr>
        <w:t xml:space="preserve">UNEP </w:t>
      </w:r>
      <w:r w:rsidR="00D67494" w:rsidRPr="009B4CC0">
        <w:rPr>
          <w:rFonts w:eastAsia="ヒラギノ角ゴ Pro W3"/>
          <w:u w:color="000000"/>
          <w:lang w:eastAsia="en-GB"/>
        </w:rPr>
        <w:t>Global Environment Outlook and the European Environment Agency’s European Environment Information and Observation Network (</w:t>
      </w:r>
      <w:proofErr w:type="spellStart"/>
      <w:r w:rsidR="00D67494" w:rsidRPr="009B4CC0">
        <w:rPr>
          <w:rFonts w:eastAsia="ヒラギノ角ゴ Pro W3"/>
          <w:u w:color="000000"/>
          <w:lang w:eastAsia="en-GB"/>
        </w:rPr>
        <w:t>Eionet</w:t>
      </w:r>
      <w:proofErr w:type="spellEnd"/>
      <w:r w:rsidR="00D67494" w:rsidRPr="009B4CC0">
        <w:rPr>
          <w:rFonts w:eastAsia="ヒラギノ角ゴ Pro W3"/>
          <w:u w:color="000000"/>
          <w:lang w:eastAsia="en-GB"/>
        </w:rPr>
        <w:t xml:space="preserve">), </w:t>
      </w:r>
      <w:r w:rsidR="008F202F">
        <w:rPr>
          <w:rFonts w:eastAsia="ヒラギノ角ゴ Pro W3"/>
          <w:u w:color="000000"/>
          <w:lang w:eastAsia="en-GB"/>
        </w:rPr>
        <w:t xml:space="preserve">together with </w:t>
      </w:r>
      <w:r w:rsidR="00D67494" w:rsidRPr="009B4CC0">
        <w:rPr>
          <w:rFonts w:eastAsia="ヒラギノ角ゴ Pro W3"/>
          <w:u w:color="000000"/>
          <w:lang w:eastAsia="en-GB"/>
        </w:rPr>
        <w:t>other interested partners, to consider and oversee the publication of the regular pan-European environmental assessment.</w:t>
      </w:r>
      <w:proofErr w:type="gramEnd"/>
      <w:r w:rsidR="009840C7" w:rsidRPr="009B4CC0">
        <w:rPr>
          <w:rFonts w:eastAsia="ヒラギノ角ゴ Pro W3"/>
          <w:u w:color="000000"/>
          <w:lang w:eastAsia="en-GB"/>
        </w:rPr>
        <w:t xml:space="preserve"> </w:t>
      </w:r>
    </w:p>
    <w:p w14:paraId="4F713018" w14:textId="16CF1B58" w:rsidR="00D67494" w:rsidRPr="009B4CC0" w:rsidRDefault="00965BD8" w:rsidP="00167E89">
      <w:pPr>
        <w:pStyle w:val="SingleTxtG"/>
        <w:rPr>
          <w:rFonts w:eastAsia="ヒラギノ角ゴ Pro W3"/>
          <w:u w:color="000000"/>
          <w:lang w:eastAsia="en-GB"/>
        </w:rPr>
      </w:pPr>
      <w:r w:rsidRPr="009B4CC0">
        <w:rPr>
          <w:rFonts w:eastAsia="ヒラギノ角ゴ Pro W3"/>
          <w:lang w:eastAsia="en-GB"/>
        </w:rPr>
        <w:t>2</w:t>
      </w:r>
      <w:r w:rsidR="00EB0AF1" w:rsidRPr="009B4CC0">
        <w:rPr>
          <w:rFonts w:eastAsia="ヒラギノ角ゴ Pro W3"/>
          <w:lang w:eastAsia="en-GB"/>
        </w:rPr>
        <w:t>1</w:t>
      </w:r>
      <w:r w:rsidR="00D67494" w:rsidRPr="009B4CC0">
        <w:rPr>
          <w:rFonts w:eastAsia="ヒラギノ角ゴ Pro W3"/>
          <w:lang w:eastAsia="en-GB"/>
        </w:rPr>
        <w:t>.</w:t>
      </w:r>
      <w:r w:rsidR="00D67494" w:rsidRPr="009B4CC0">
        <w:rPr>
          <w:rFonts w:eastAsia="ヒラギノ角ゴ Pro W3"/>
          <w:lang w:eastAsia="en-GB"/>
        </w:rPr>
        <w:tab/>
      </w:r>
      <w:r w:rsidR="00D67494" w:rsidRPr="009B4CC0">
        <w:rPr>
          <w:rFonts w:eastAsia="ヒラギノ角ゴ Pro W3"/>
          <w:u w:color="000000"/>
          <w:lang w:eastAsia="en-GB"/>
        </w:rPr>
        <w:t xml:space="preserve">The purpose of the consultative process </w:t>
      </w:r>
      <w:r w:rsidR="009840C7" w:rsidRPr="009B4CC0">
        <w:rPr>
          <w:rFonts w:eastAsia="ヒラギノ角ゴ Pro W3"/>
          <w:u w:color="000000"/>
          <w:lang w:eastAsia="en-GB"/>
        </w:rPr>
        <w:t>was</w:t>
      </w:r>
      <w:r w:rsidR="00D67494" w:rsidRPr="009B4CC0">
        <w:rPr>
          <w:rFonts w:eastAsia="ヒラギノ角ゴ Pro W3"/>
          <w:u w:color="000000"/>
          <w:lang w:eastAsia="en-GB"/>
        </w:rPr>
        <w:t xml:space="preserve"> to define recommendations for immediate action, so that the secretariat </w:t>
      </w:r>
      <w:r w:rsidR="008F202F">
        <w:rPr>
          <w:rFonts w:eastAsia="ヒラギノ角ゴ Pro W3"/>
          <w:u w:color="000000"/>
          <w:lang w:eastAsia="en-GB"/>
        </w:rPr>
        <w:t xml:space="preserve">could </w:t>
      </w:r>
      <w:r w:rsidR="00D67494" w:rsidRPr="009B4CC0">
        <w:rPr>
          <w:rFonts w:eastAsia="ヒラギノ角ゴ Pro W3"/>
          <w:u w:color="000000"/>
          <w:lang w:eastAsia="en-GB"/>
        </w:rPr>
        <w:t>take the appropriate steps to reali</w:t>
      </w:r>
      <w:r w:rsidR="008F202F">
        <w:rPr>
          <w:rFonts w:eastAsia="ヒラギノ角ゴ Pro W3"/>
          <w:u w:color="000000"/>
          <w:lang w:eastAsia="en-GB"/>
        </w:rPr>
        <w:t>z</w:t>
      </w:r>
      <w:r w:rsidR="00D67494" w:rsidRPr="009B4CC0">
        <w:rPr>
          <w:rFonts w:eastAsia="ヒラギノ角ゴ Pro W3"/>
          <w:u w:color="000000"/>
          <w:lang w:eastAsia="en-GB"/>
        </w:rPr>
        <w:t xml:space="preserve">e the </w:t>
      </w:r>
      <w:r w:rsidR="00167E89" w:rsidRPr="009B4CC0">
        <w:rPr>
          <w:rFonts w:eastAsia="ヒラギノ角ゴ Pro W3"/>
          <w:u w:color="000000"/>
          <w:lang w:eastAsia="en-GB"/>
        </w:rPr>
        <w:t>strategic goals and objectives</w:t>
      </w:r>
      <w:r w:rsidR="00D67494" w:rsidRPr="009B4CC0">
        <w:rPr>
          <w:rFonts w:eastAsia="ヒラギノ角ゴ Pro W3"/>
          <w:u w:color="000000"/>
          <w:lang w:eastAsia="en-GB"/>
        </w:rPr>
        <w:t xml:space="preserve"> set out in the </w:t>
      </w:r>
      <w:r w:rsidR="005A5249" w:rsidRPr="009B4CC0">
        <w:rPr>
          <w:rFonts w:eastAsia="ヒラギノ角ゴ Pro W3"/>
          <w:u w:color="000000"/>
          <w:lang w:eastAsia="en-GB"/>
        </w:rPr>
        <w:t>vision document</w:t>
      </w:r>
      <w:r w:rsidR="00167E89" w:rsidRPr="009B4CC0">
        <w:rPr>
          <w:rFonts w:eastAsia="ヒラギノ角ゴ Pro W3"/>
          <w:u w:color="000000"/>
          <w:lang w:eastAsia="en-GB"/>
        </w:rPr>
        <w:t xml:space="preserve">. </w:t>
      </w:r>
      <w:r w:rsidR="00D67494" w:rsidRPr="009B4CC0">
        <w:rPr>
          <w:rFonts w:eastAsia="ヒラギノ角ゴ Pro W3"/>
          <w:u w:color="000000"/>
          <w:lang w:eastAsia="en-GB"/>
        </w:rPr>
        <w:t xml:space="preserve">The vision </w:t>
      </w:r>
      <w:r w:rsidR="000A1D50" w:rsidRPr="009B4CC0">
        <w:rPr>
          <w:rFonts w:eastAsia="ヒラギノ角ゴ Pro W3"/>
          <w:u w:color="000000"/>
          <w:lang w:eastAsia="en-GB"/>
        </w:rPr>
        <w:t>is</w:t>
      </w:r>
      <w:r w:rsidR="00D67494" w:rsidRPr="009B4CC0">
        <w:rPr>
          <w:rFonts w:eastAsia="ヒラギノ角ゴ Pro W3"/>
          <w:u w:color="000000"/>
          <w:lang w:eastAsia="en-GB"/>
        </w:rPr>
        <w:t xml:space="preserve"> a synthesis of past and current activities of the Working Group, as associated with its mandate and </w:t>
      </w:r>
      <w:r w:rsidR="00976069" w:rsidRPr="009B4CC0">
        <w:rPr>
          <w:rFonts w:eastAsia="ヒラギノ角ゴ Pro W3"/>
          <w:u w:color="000000"/>
          <w:lang w:eastAsia="en-GB"/>
        </w:rPr>
        <w:t xml:space="preserve">present </w:t>
      </w:r>
      <w:r w:rsidR="00D67494" w:rsidRPr="009B4CC0">
        <w:rPr>
          <w:rFonts w:eastAsia="ヒラギノ角ゴ Pro W3"/>
          <w:u w:color="000000"/>
          <w:lang w:eastAsia="en-GB"/>
        </w:rPr>
        <w:t>terms of reference, taking into account recent developments</w:t>
      </w:r>
      <w:r w:rsidR="000A1D50" w:rsidRPr="009B4CC0">
        <w:rPr>
          <w:rFonts w:eastAsia="ヒラギノ角ゴ Pro W3"/>
          <w:u w:color="000000"/>
          <w:lang w:eastAsia="en-GB"/>
        </w:rPr>
        <w:t xml:space="preserve"> and requests made by the Committee</w:t>
      </w:r>
      <w:r w:rsidR="00680903">
        <w:rPr>
          <w:rFonts w:eastAsia="ヒラギノ角ゴ Pro W3"/>
          <w:u w:color="000000"/>
          <w:lang w:eastAsia="en-GB"/>
        </w:rPr>
        <w:t xml:space="preserve"> on Environmental Policy</w:t>
      </w:r>
      <w:r w:rsidR="00D67494" w:rsidRPr="009B4CC0">
        <w:rPr>
          <w:rFonts w:eastAsia="ヒラギノ角ゴ Pro W3"/>
          <w:u w:color="000000"/>
          <w:lang w:eastAsia="en-GB"/>
        </w:rPr>
        <w:t xml:space="preserve">. </w:t>
      </w:r>
    </w:p>
    <w:p w14:paraId="444EE4CE" w14:textId="3F89F6E8" w:rsidR="00D67494" w:rsidRPr="009B4CC0" w:rsidRDefault="00965BD8" w:rsidP="00D67494">
      <w:pPr>
        <w:pStyle w:val="SingleTxtG"/>
        <w:rPr>
          <w:rFonts w:eastAsia="ヒラギノ角ゴ Pro W3"/>
          <w:u w:color="000000"/>
          <w:lang w:eastAsia="en-GB"/>
        </w:rPr>
      </w:pPr>
      <w:r w:rsidRPr="009B4CC0">
        <w:rPr>
          <w:rFonts w:eastAsia="ヒラギノ角ゴ Pro W3"/>
          <w:lang w:eastAsia="en-GB"/>
        </w:rPr>
        <w:t>2</w:t>
      </w:r>
      <w:r w:rsidR="00EB0AF1" w:rsidRPr="009B4CC0">
        <w:rPr>
          <w:rFonts w:eastAsia="ヒラギノ角ゴ Pro W3"/>
          <w:lang w:eastAsia="en-GB"/>
        </w:rPr>
        <w:t>2</w:t>
      </w:r>
      <w:r w:rsidR="00D67494" w:rsidRPr="009B4CC0">
        <w:rPr>
          <w:rFonts w:eastAsia="ヒラギノ角ゴ Pro W3"/>
          <w:lang w:eastAsia="en-GB"/>
        </w:rPr>
        <w:t>.</w:t>
      </w:r>
      <w:r w:rsidR="00D67494" w:rsidRPr="009B4CC0">
        <w:rPr>
          <w:rFonts w:eastAsia="ヒラギノ角ゴ Pro W3"/>
          <w:lang w:eastAsia="en-GB"/>
        </w:rPr>
        <w:tab/>
      </w:r>
      <w:r w:rsidR="00D30803" w:rsidRPr="009B4CC0">
        <w:rPr>
          <w:rFonts w:eastAsia="ヒラギノ角ゴ Pro W3"/>
          <w:u w:color="000000"/>
          <w:lang w:eastAsia="en-GB"/>
        </w:rPr>
        <w:t>T</w:t>
      </w:r>
      <w:r w:rsidR="00D67494" w:rsidRPr="009B4CC0">
        <w:rPr>
          <w:rFonts w:eastAsia="ヒラギノ角ゴ Pro W3"/>
          <w:u w:color="000000"/>
          <w:lang w:eastAsia="en-GB"/>
        </w:rPr>
        <w:t xml:space="preserve">he process involved a </w:t>
      </w:r>
      <w:r w:rsidR="008F202F">
        <w:rPr>
          <w:rFonts w:eastAsia="ヒラギノ角ゴ Pro W3"/>
          <w:u w:color="000000"/>
          <w:lang w:eastAsia="en-GB"/>
        </w:rPr>
        <w:t xml:space="preserve">questionnaire survey in which </w:t>
      </w:r>
      <w:r w:rsidR="00D67494" w:rsidRPr="009B4CC0">
        <w:rPr>
          <w:rFonts w:eastAsia="ヒラギノ角ゴ Pro W3"/>
          <w:u w:color="000000"/>
          <w:lang w:eastAsia="en-GB"/>
        </w:rPr>
        <w:t>all member</w:t>
      </w:r>
      <w:r w:rsidR="008C6047" w:rsidRPr="009B4CC0">
        <w:rPr>
          <w:rFonts w:eastAsia="ヒラギノ角ゴ Pro W3"/>
          <w:u w:color="000000"/>
          <w:lang w:eastAsia="en-GB"/>
        </w:rPr>
        <w:t>s</w:t>
      </w:r>
      <w:r w:rsidR="00D67494" w:rsidRPr="009B4CC0">
        <w:rPr>
          <w:rFonts w:eastAsia="ヒラギノ角ゴ Pro W3"/>
          <w:u w:color="000000"/>
          <w:lang w:eastAsia="en-GB"/>
        </w:rPr>
        <w:t xml:space="preserve"> of the Working </w:t>
      </w:r>
      <w:r w:rsidR="004A02BE" w:rsidRPr="009B4CC0">
        <w:rPr>
          <w:rFonts w:eastAsia="ヒラギノ角ゴ Pro W3"/>
          <w:u w:color="000000"/>
          <w:lang w:eastAsia="en-GB"/>
        </w:rPr>
        <w:t>G</w:t>
      </w:r>
      <w:r w:rsidR="00D67494" w:rsidRPr="009B4CC0">
        <w:rPr>
          <w:rFonts w:eastAsia="ヒラギノ角ゴ Pro W3"/>
          <w:u w:color="000000"/>
          <w:lang w:eastAsia="en-GB"/>
        </w:rPr>
        <w:t xml:space="preserve">roup </w:t>
      </w:r>
      <w:proofErr w:type="gramStart"/>
      <w:r w:rsidR="00D67494" w:rsidRPr="009B4CC0">
        <w:rPr>
          <w:rFonts w:eastAsia="ヒラギノ角ゴ Pro W3"/>
          <w:u w:color="000000"/>
          <w:lang w:eastAsia="en-GB"/>
        </w:rPr>
        <w:t xml:space="preserve">were </w:t>
      </w:r>
      <w:r w:rsidR="008C6047" w:rsidRPr="009B4CC0">
        <w:rPr>
          <w:rFonts w:eastAsia="ヒラギノ角ゴ Pro W3"/>
          <w:u w:color="000000"/>
          <w:lang w:eastAsia="en-GB"/>
        </w:rPr>
        <w:t>asked</w:t>
      </w:r>
      <w:proofErr w:type="gramEnd"/>
      <w:r w:rsidR="008C6047" w:rsidRPr="009B4CC0">
        <w:rPr>
          <w:rFonts w:eastAsia="ヒラギノ角ゴ Pro W3"/>
          <w:u w:color="000000"/>
          <w:lang w:eastAsia="en-GB"/>
        </w:rPr>
        <w:t xml:space="preserve"> </w:t>
      </w:r>
      <w:r w:rsidR="00D67494" w:rsidRPr="009B4CC0">
        <w:rPr>
          <w:rFonts w:eastAsia="ヒラギノ角ゴ Pro W3"/>
          <w:u w:color="000000"/>
          <w:lang w:eastAsia="en-GB"/>
        </w:rPr>
        <w:t xml:space="preserve">to identify and clarify major institutional drivers and environmental priorities for national institutions concerned with environmental monitoring and assessment for the coming five-year period. </w:t>
      </w:r>
      <w:r w:rsidR="008C6047" w:rsidRPr="009B4CC0">
        <w:rPr>
          <w:rFonts w:eastAsia="ヒラギノ角ゴ Pro W3"/>
          <w:u w:color="000000"/>
          <w:lang w:eastAsia="en-GB"/>
        </w:rPr>
        <w:t>Th</w:t>
      </w:r>
      <w:r w:rsidR="008F202F">
        <w:rPr>
          <w:rFonts w:eastAsia="ヒラギノ角ゴ Pro W3"/>
          <w:u w:color="000000"/>
          <w:lang w:eastAsia="en-GB"/>
        </w:rPr>
        <w:t>e</w:t>
      </w:r>
      <w:r w:rsidR="008C6047" w:rsidRPr="009B4CC0">
        <w:rPr>
          <w:rFonts w:eastAsia="ヒラギノ角ゴ Pro W3"/>
          <w:u w:color="000000"/>
          <w:lang w:eastAsia="en-GB"/>
        </w:rPr>
        <w:t xml:space="preserve"> </w:t>
      </w:r>
      <w:r w:rsidR="008F202F">
        <w:rPr>
          <w:rFonts w:eastAsia="ヒラギノ角ゴ Pro W3"/>
          <w:u w:color="000000"/>
          <w:lang w:eastAsia="en-GB"/>
        </w:rPr>
        <w:t xml:space="preserve">survey </w:t>
      </w:r>
      <w:proofErr w:type="gramStart"/>
      <w:r w:rsidR="008C6047" w:rsidRPr="009B4CC0">
        <w:rPr>
          <w:rFonts w:eastAsia="ヒラギノ角ゴ Pro W3"/>
          <w:u w:color="000000"/>
          <w:lang w:eastAsia="en-GB"/>
        </w:rPr>
        <w:t xml:space="preserve">was </w:t>
      </w:r>
      <w:r w:rsidR="000A1D50" w:rsidRPr="009B4CC0">
        <w:rPr>
          <w:rFonts w:eastAsia="ヒラギノ角ゴ Pro W3"/>
          <w:u w:color="000000"/>
          <w:lang w:eastAsia="en-GB"/>
        </w:rPr>
        <w:t>organi</w:t>
      </w:r>
      <w:r w:rsidR="008F202F">
        <w:rPr>
          <w:rFonts w:eastAsia="ヒラギノ角ゴ Pro W3"/>
          <w:u w:color="000000"/>
          <w:lang w:eastAsia="en-GB"/>
        </w:rPr>
        <w:t>z</w:t>
      </w:r>
      <w:r w:rsidR="000A1D50" w:rsidRPr="009B4CC0">
        <w:rPr>
          <w:rFonts w:eastAsia="ヒラギノ角ゴ Pro W3"/>
          <w:u w:color="000000"/>
          <w:lang w:eastAsia="en-GB"/>
        </w:rPr>
        <w:t>ed</w:t>
      </w:r>
      <w:proofErr w:type="gramEnd"/>
      <w:r w:rsidR="000A1D50" w:rsidRPr="009B4CC0">
        <w:rPr>
          <w:rFonts w:eastAsia="ヒラギノ角ゴ Pro W3"/>
          <w:u w:color="000000"/>
          <w:lang w:eastAsia="en-GB"/>
        </w:rPr>
        <w:t xml:space="preserve"> as </w:t>
      </w:r>
      <w:r w:rsidR="008C6047" w:rsidRPr="009B4CC0">
        <w:rPr>
          <w:rFonts w:eastAsia="ヒラギノ角ゴ Pro W3"/>
          <w:u w:color="000000"/>
          <w:lang w:eastAsia="en-GB"/>
        </w:rPr>
        <w:t xml:space="preserve">part of the regular process of consultations on environmental assessment by the secretariat. </w:t>
      </w:r>
      <w:r w:rsidR="00D67494" w:rsidRPr="009B4CC0">
        <w:rPr>
          <w:rFonts w:eastAsia="ヒラギノ角ゴ Pro W3"/>
          <w:u w:color="000000"/>
          <w:lang w:eastAsia="en-GB"/>
        </w:rPr>
        <w:t xml:space="preserve">The questionnaire also </w:t>
      </w:r>
      <w:r w:rsidR="000A1D50" w:rsidRPr="009B4CC0">
        <w:rPr>
          <w:rFonts w:eastAsia="ヒラギノ角ゴ Pro W3"/>
          <w:u w:color="000000"/>
          <w:lang w:eastAsia="en-GB"/>
        </w:rPr>
        <w:t xml:space="preserve">aimed to take </w:t>
      </w:r>
      <w:r w:rsidR="00D67494" w:rsidRPr="009B4CC0">
        <w:rPr>
          <w:rFonts w:eastAsia="ヒラギノ角ゴ Pro W3"/>
          <w:u w:color="000000"/>
          <w:lang w:eastAsia="en-GB"/>
        </w:rPr>
        <w:t>into account a longer time perspective to be able to consider the 2030 Agenda for Sustainable Development.</w:t>
      </w:r>
    </w:p>
    <w:p w14:paraId="21AC95BE" w14:textId="2AD1F5AE" w:rsidR="00D30803" w:rsidRPr="009B4CC0" w:rsidRDefault="00BA0DC3" w:rsidP="00D67494">
      <w:pPr>
        <w:pStyle w:val="SingleTxtG"/>
        <w:rPr>
          <w:rFonts w:eastAsia="ヒラギノ角ゴ Pro W3"/>
          <w:u w:color="000000"/>
          <w:lang w:eastAsia="en-GB"/>
        </w:rPr>
      </w:pPr>
      <w:r w:rsidRPr="009B4CC0">
        <w:rPr>
          <w:rFonts w:eastAsia="ヒラギノ角ゴ Pro W3"/>
          <w:lang w:eastAsia="en-GB"/>
        </w:rPr>
        <w:t>2</w:t>
      </w:r>
      <w:r w:rsidR="00EB0AF1" w:rsidRPr="009B4CC0">
        <w:rPr>
          <w:rFonts w:eastAsia="ヒラギノ角ゴ Pro W3"/>
          <w:lang w:eastAsia="en-GB"/>
        </w:rPr>
        <w:t>3</w:t>
      </w:r>
      <w:r w:rsidR="00D67494" w:rsidRPr="009B4CC0">
        <w:rPr>
          <w:rFonts w:eastAsia="ヒラギノ角ゴ Pro W3"/>
          <w:lang w:eastAsia="en-GB"/>
        </w:rPr>
        <w:t>.</w:t>
      </w:r>
      <w:r w:rsidR="00D67494" w:rsidRPr="009B4CC0">
        <w:rPr>
          <w:rFonts w:eastAsia="ヒラギノ角ゴ Pro W3"/>
          <w:lang w:eastAsia="en-GB"/>
        </w:rPr>
        <w:tab/>
      </w:r>
      <w:r w:rsidR="00D67494" w:rsidRPr="009B4CC0">
        <w:rPr>
          <w:rFonts w:eastAsia="ヒラギノ角ゴ Pro W3"/>
          <w:u w:color="000000"/>
          <w:lang w:eastAsia="en-GB"/>
        </w:rPr>
        <w:t xml:space="preserve">Results from the </w:t>
      </w:r>
      <w:r w:rsidR="008F202F">
        <w:rPr>
          <w:rFonts w:eastAsia="ヒラギノ角ゴ Pro W3"/>
          <w:u w:color="000000"/>
          <w:lang w:eastAsia="en-GB"/>
        </w:rPr>
        <w:t xml:space="preserve">survey </w:t>
      </w:r>
      <w:r w:rsidR="00D67494" w:rsidRPr="009B4CC0">
        <w:rPr>
          <w:rFonts w:eastAsia="ヒラギノ角ゴ Pro W3"/>
          <w:u w:color="000000"/>
          <w:lang w:eastAsia="en-GB"/>
        </w:rPr>
        <w:t>allowed the secretariat to define strategic and thematic priorities</w:t>
      </w:r>
      <w:r w:rsidR="000A1D50" w:rsidRPr="009B4CC0">
        <w:rPr>
          <w:rFonts w:eastAsia="ヒラギノ角ゴ Pro W3"/>
          <w:u w:color="000000"/>
          <w:lang w:eastAsia="en-GB"/>
        </w:rPr>
        <w:t>, which</w:t>
      </w:r>
      <w:r w:rsidR="00D67494" w:rsidRPr="009B4CC0">
        <w:rPr>
          <w:rFonts w:eastAsia="ヒラギノ角ゴ Pro W3"/>
          <w:u w:color="000000"/>
          <w:lang w:eastAsia="en-GB"/>
        </w:rPr>
        <w:t xml:space="preserve"> </w:t>
      </w:r>
      <w:r w:rsidR="001D4041" w:rsidRPr="009B4CC0">
        <w:rPr>
          <w:rFonts w:eastAsia="ヒラギノ角ゴ Pro W3"/>
          <w:u w:color="000000"/>
          <w:lang w:eastAsia="en-GB"/>
        </w:rPr>
        <w:t xml:space="preserve">in turn </w:t>
      </w:r>
      <w:r w:rsidR="00D67494" w:rsidRPr="009B4CC0">
        <w:rPr>
          <w:rFonts w:eastAsia="ヒラギノ角ゴ Pro W3"/>
          <w:u w:color="000000"/>
          <w:lang w:eastAsia="en-GB"/>
        </w:rPr>
        <w:t>provided the basis for round-table discussions</w:t>
      </w:r>
      <w:r w:rsidR="000A1D50" w:rsidRPr="009B4CC0">
        <w:rPr>
          <w:rFonts w:eastAsia="ヒラギノ角ゴ Pro W3"/>
          <w:u w:color="000000"/>
          <w:lang w:eastAsia="en-GB"/>
        </w:rPr>
        <w:t xml:space="preserve"> focusing on </w:t>
      </w:r>
      <w:r w:rsidR="00D67494" w:rsidRPr="009B4CC0">
        <w:rPr>
          <w:rFonts w:eastAsia="ヒラギノ角ゴ Pro W3"/>
          <w:u w:color="000000"/>
          <w:lang w:eastAsia="en-GB"/>
        </w:rPr>
        <w:t xml:space="preserve">three </w:t>
      </w:r>
      <w:r w:rsidR="000A1D50" w:rsidRPr="009B4CC0">
        <w:rPr>
          <w:rFonts w:eastAsia="ヒラギノ角ゴ Pro W3"/>
          <w:u w:color="000000"/>
          <w:lang w:eastAsia="en-GB"/>
        </w:rPr>
        <w:t xml:space="preserve">thematic </w:t>
      </w:r>
      <w:r w:rsidR="00D67494" w:rsidRPr="009B4CC0">
        <w:rPr>
          <w:rFonts w:eastAsia="ヒラギノ角ゴ Pro W3"/>
          <w:u w:color="000000"/>
          <w:lang w:eastAsia="en-GB"/>
        </w:rPr>
        <w:t>topics</w:t>
      </w:r>
      <w:r w:rsidR="00D30803" w:rsidRPr="009B4CC0">
        <w:rPr>
          <w:rFonts w:eastAsia="ヒラギノ角ゴ Pro W3"/>
          <w:u w:color="000000"/>
          <w:lang w:eastAsia="en-GB"/>
        </w:rPr>
        <w:t>:</w:t>
      </w:r>
    </w:p>
    <w:p w14:paraId="74F96ADE" w14:textId="53CACE0E" w:rsidR="00D30803" w:rsidRPr="009B4CC0" w:rsidRDefault="00D30803" w:rsidP="00D30803">
      <w:pPr>
        <w:pStyle w:val="SingleTxtG"/>
        <w:ind w:firstLine="567"/>
      </w:pPr>
      <w:r w:rsidRPr="009B4CC0">
        <w:t>(a)</w:t>
      </w:r>
      <w:r w:rsidRPr="009B4CC0">
        <w:tab/>
      </w:r>
      <w:r w:rsidR="00D56595" w:rsidRPr="009B4CC0">
        <w:t xml:space="preserve">Reporting and </w:t>
      </w:r>
      <w:r w:rsidR="008F202F">
        <w:t>a</w:t>
      </w:r>
      <w:r w:rsidR="00D56595" w:rsidRPr="009B4CC0">
        <w:t>ssessments;</w:t>
      </w:r>
    </w:p>
    <w:p w14:paraId="1F85C67A" w14:textId="538B4346" w:rsidR="00D30803" w:rsidRPr="009B4CC0" w:rsidRDefault="00D30803" w:rsidP="00D30803">
      <w:pPr>
        <w:pStyle w:val="SingleTxtG"/>
        <w:ind w:firstLine="567"/>
      </w:pPr>
      <w:r w:rsidRPr="009B4CC0">
        <w:t>(b)</w:t>
      </w:r>
      <w:r w:rsidRPr="009B4CC0">
        <w:tab/>
        <w:t>Sustainable Developm</w:t>
      </w:r>
      <w:r w:rsidR="00D56595" w:rsidRPr="009B4CC0">
        <w:t xml:space="preserve">ent Goals and the </w:t>
      </w:r>
      <w:r w:rsidR="008F202F">
        <w:t>g</w:t>
      </w:r>
      <w:r w:rsidR="00D56595" w:rsidRPr="009B4CC0">
        <w:t xml:space="preserve">reen </w:t>
      </w:r>
      <w:r w:rsidR="008F202F">
        <w:t>e</w:t>
      </w:r>
      <w:r w:rsidR="00D56595" w:rsidRPr="009B4CC0">
        <w:t>conomy;</w:t>
      </w:r>
      <w:r w:rsidRPr="009B4CC0">
        <w:t xml:space="preserve"> </w:t>
      </w:r>
    </w:p>
    <w:p w14:paraId="6A1C0BA9" w14:textId="20A0A7C1" w:rsidR="00D30803" w:rsidRPr="009B4CC0" w:rsidRDefault="00D30803" w:rsidP="00D30803">
      <w:pPr>
        <w:pStyle w:val="SingleTxtG"/>
        <w:ind w:firstLine="567"/>
      </w:pPr>
      <w:proofErr w:type="gramStart"/>
      <w:r w:rsidRPr="009B4CC0">
        <w:t>(c)</w:t>
      </w:r>
      <w:r w:rsidRPr="009B4CC0">
        <w:tab/>
        <w:t xml:space="preserve">Environmental </w:t>
      </w:r>
      <w:r w:rsidR="008F202F">
        <w:t>s</w:t>
      </w:r>
      <w:r w:rsidRPr="009B4CC0">
        <w:t>tatistics.</w:t>
      </w:r>
      <w:proofErr w:type="gramEnd"/>
    </w:p>
    <w:p w14:paraId="50F84E53" w14:textId="18BD93CE" w:rsidR="00DB183F" w:rsidRPr="009B4CC0" w:rsidRDefault="00BA0DC3" w:rsidP="00D67494">
      <w:pPr>
        <w:pStyle w:val="SingleTxtG"/>
        <w:rPr>
          <w:rFonts w:eastAsia="ヒラギノ角ゴ Pro W3"/>
          <w:u w:color="000000"/>
          <w:lang w:eastAsia="en-GB"/>
        </w:rPr>
      </w:pPr>
      <w:r w:rsidRPr="009B4CC0">
        <w:rPr>
          <w:rFonts w:eastAsia="ヒラギノ角ゴ Pro W3"/>
          <w:lang w:eastAsia="en-GB"/>
        </w:rPr>
        <w:t>2</w:t>
      </w:r>
      <w:r w:rsidR="00EB0AF1" w:rsidRPr="009B4CC0">
        <w:rPr>
          <w:rFonts w:eastAsia="ヒラギノ角ゴ Pro W3"/>
          <w:lang w:eastAsia="en-GB"/>
        </w:rPr>
        <w:t>4</w:t>
      </w:r>
      <w:r w:rsidR="00D30803" w:rsidRPr="009B4CC0">
        <w:rPr>
          <w:rFonts w:eastAsia="ヒラギノ角ゴ Pro W3"/>
          <w:lang w:eastAsia="en-GB"/>
        </w:rPr>
        <w:t>.</w:t>
      </w:r>
      <w:r w:rsidR="00D30803" w:rsidRPr="009B4CC0">
        <w:rPr>
          <w:rFonts w:eastAsia="ヒラギノ角ゴ Pro W3"/>
          <w:lang w:eastAsia="en-GB"/>
        </w:rPr>
        <w:tab/>
      </w:r>
      <w:r w:rsidR="00D67494" w:rsidRPr="009B4CC0">
        <w:rPr>
          <w:rFonts w:eastAsia="ヒラギノ角ゴ Pro W3"/>
          <w:u w:color="000000"/>
          <w:lang w:eastAsia="en-GB"/>
        </w:rPr>
        <w:t xml:space="preserve">Inputs provided </w:t>
      </w:r>
      <w:r w:rsidR="000A1D50" w:rsidRPr="009B4CC0">
        <w:rPr>
          <w:rFonts w:eastAsia="ヒラギノ角ゴ Pro W3"/>
          <w:u w:color="000000"/>
          <w:lang w:eastAsia="en-GB"/>
        </w:rPr>
        <w:t xml:space="preserve">by </w:t>
      </w:r>
      <w:r w:rsidR="00D30803" w:rsidRPr="009B4CC0">
        <w:rPr>
          <w:rFonts w:eastAsia="ヒラギノ角ゴ Pro W3"/>
          <w:u w:color="000000"/>
          <w:lang w:eastAsia="en-GB"/>
        </w:rPr>
        <w:t xml:space="preserve">the Working Group </w:t>
      </w:r>
      <w:r w:rsidR="000A1D50" w:rsidRPr="009B4CC0">
        <w:rPr>
          <w:rFonts w:eastAsia="ヒラギノ角ゴ Pro W3"/>
          <w:u w:color="000000"/>
          <w:lang w:eastAsia="en-GB"/>
        </w:rPr>
        <w:t>during</w:t>
      </w:r>
      <w:r w:rsidR="00D30803" w:rsidRPr="009B4CC0">
        <w:rPr>
          <w:rFonts w:eastAsia="ヒラギノ角ゴ Pro W3"/>
          <w:u w:color="000000"/>
          <w:lang w:eastAsia="en-GB"/>
        </w:rPr>
        <w:t xml:space="preserve"> its eighteenth session </w:t>
      </w:r>
      <w:proofErr w:type="gramStart"/>
      <w:r w:rsidR="00D67494" w:rsidRPr="009B4CC0">
        <w:rPr>
          <w:rFonts w:eastAsia="ヒラギノ角ゴ Pro W3"/>
          <w:u w:color="000000"/>
          <w:lang w:eastAsia="en-GB"/>
        </w:rPr>
        <w:t>were utili</w:t>
      </w:r>
      <w:r w:rsidR="008F202F">
        <w:rPr>
          <w:rFonts w:eastAsia="ヒラギノ角ゴ Pro W3"/>
          <w:u w:color="000000"/>
          <w:lang w:eastAsia="en-GB"/>
        </w:rPr>
        <w:t>z</w:t>
      </w:r>
      <w:r w:rsidR="00D67494" w:rsidRPr="009B4CC0">
        <w:rPr>
          <w:rFonts w:eastAsia="ヒラギノ角ゴ Pro W3"/>
          <w:u w:color="000000"/>
          <w:lang w:eastAsia="en-GB"/>
        </w:rPr>
        <w:t>ed</w:t>
      </w:r>
      <w:proofErr w:type="gramEnd"/>
      <w:r w:rsidR="00D67494" w:rsidRPr="009B4CC0">
        <w:rPr>
          <w:rFonts w:eastAsia="ヒラギノ角ゴ Pro W3"/>
          <w:u w:color="000000"/>
          <w:lang w:eastAsia="en-GB"/>
        </w:rPr>
        <w:t xml:space="preserve"> by the secretariat to compose a draft vision document and road</w:t>
      </w:r>
      <w:r w:rsidR="008F202F">
        <w:rPr>
          <w:rFonts w:eastAsia="ヒラギノ角ゴ Pro W3"/>
          <w:u w:color="000000"/>
          <w:lang w:eastAsia="en-GB"/>
        </w:rPr>
        <w:t xml:space="preserve"> </w:t>
      </w:r>
      <w:r w:rsidR="00D67494" w:rsidRPr="009B4CC0">
        <w:rPr>
          <w:rFonts w:eastAsia="ヒラギノ角ゴ Pro W3"/>
          <w:u w:color="000000"/>
          <w:lang w:eastAsia="en-GB"/>
        </w:rPr>
        <w:t>map</w:t>
      </w:r>
      <w:r w:rsidR="008F202F">
        <w:rPr>
          <w:rFonts w:eastAsia="ヒラギノ角ゴ Pro W3"/>
          <w:u w:color="000000"/>
          <w:lang w:eastAsia="en-GB"/>
        </w:rPr>
        <w:t>, which</w:t>
      </w:r>
      <w:r w:rsidR="00D67494" w:rsidRPr="009B4CC0">
        <w:rPr>
          <w:rFonts w:eastAsia="ヒラギノ角ゴ Pro W3"/>
          <w:u w:color="000000"/>
          <w:lang w:eastAsia="en-GB"/>
        </w:rPr>
        <w:t xml:space="preserve"> was circulated to the Working Group to allow for feedback and </w:t>
      </w:r>
      <w:r w:rsidR="000A1D50" w:rsidRPr="009B4CC0">
        <w:rPr>
          <w:rFonts w:eastAsia="ヒラギノ角ゴ Pro W3"/>
          <w:u w:color="000000"/>
          <w:lang w:eastAsia="en-GB"/>
        </w:rPr>
        <w:t xml:space="preserve">additional </w:t>
      </w:r>
      <w:r w:rsidR="00D67494" w:rsidRPr="009B4CC0">
        <w:rPr>
          <w:rFonts w:eastAsia="ヒラギノ角ゴ Pro W3"/>
          <w:u w:color="000000"/>
          <w:lang w:eastAsia="en-GB"/>
        </w:rPr>
        <w:t>contributions by all members and interested parties.</w:t>
      </w:r>
      <w:r w:rsidR="000A1D50" w:rsidRPr="009B4CC0">
        <w:rPr>
          <w:rFonts w:eastAsia="ヒラギノ角ゴ Pro W3"/>
          <w:u w:color="000000"/>
          <w:lang w:eastAsia="en-GB"/>
        </w:rPr>
        <w:t xml:space="preserve"> </w:t>
      </w:r>
    </w:p>
    <w:p w14:paraId="60E1B0A0" w14:textId="135FFFD2" w:rsidR="00D30803" w:rsidRPr="009B4CC0" w:rsidRDefault="00D30803" w:rsidP="00275C48">
      <w:pPr>
        <w:pStyle w:val="H1G"/>
        <w:spacing w:before="280" w:after="200"/>
      </w:pPr>
      <w:r w:rsidRPr="009B4CC0">
        <w:tab/>
        <w:t>A.</w:t>
      </w:r>
      <w:r w:rsidRPr="009B4CC0">
        <w:tab/>
        <w:t xml:space="preserve">Changing to </w:t>
      </w:r>
      <w:r w:rsidR="00634578">
        <w:t>m</w:t>
      </w:r>
      <w:r w:rsidRPr="009B4CC0">
        <w:t xml:space="preserve">eet the </w:t>
      </w:r>
      <w:r w:rsidR="00634578">
        <w:t>f</w:t>
      </w:r>
      <w:r w:rsidRPr="009B4CC0">
        <w:t xml:space="preserve">uture </w:t>
      </w:r>
    </w:p>
    <w:p w14:paraId="4D41C83C" w14:textId="47DC788A" w:rsidR="00D67494" w:rsidRPr="009B4CC0" w:rsidRDefault="00BA0DC3" w:rsidP="00D67494">
      <w:pPr>
        <w:pStyle w:val="SingleTxtG"/>
        <w:rPr>
          <w:rFonts w:eastAsia="ヒラギノ角ゴ Pro W3"/>
          <w:u w:color="000000"/>
          <w:lang w:eastAsia="en-GB"/>
        </w:rPr>
      </w:pPr>
      <w:r w:rsidRPr="009B4CC0">
        <w:rPr>
          <w:rFonts w:eastAsia="ヒラギノ角ゴ Pro W3"/>
          <w:lang w:eastAsia="en-GB"/>
        </w:rPr>
        <w:t>2</w:t>
      </w:r>
      <w:r w:rsidR="00EB0AF1" w:rsidRPr="009B4CC0">
        <w:rPr>
          <w:rFonts w:eastAsia="ヒラギノ角ゴ Pro W3"/>
          <w:lang w:eastAsia="en-GB"/>
        </w:rPr>
        <w:t>5</w:t>
      </w:r>
      <w:r w:rsidR="00D30803" w:rsidRPr="009B4CC0">
        <w:rPr>
          <w:rFonts w:eastAsia="ヒラギノ角ゴ Pro W3"/>
          <w:lang w:eastAsia="en-GB"/>
        </w:rPr>
        <w:t>.</w:t>
      </w:r>
      <w:r w:rsidR="00D30803" w:rsidRPr="009B4CC0">
        <w:rPr>
          <w:rFonts w:eastAsia="ヒラギノ角ゴ Pro W3"/>
          <w:lang w:eastAsia="en-GB"/>
        </w:rPr>
        <w:tab/>
      </w:r>
      <w:r w:rsidR="00D67494" w:rsidRPr="009B4CC0">
        <w:rPr>
          <w:rFonts w:eastAsia="ヒラギノ角ゴ Pro W3"/>
          <w:u w:color="000000"/>
          <w:lang w:eastAsia="en-GB"/>
        </w:rPr>
        <w:t xml:space="preserve">The work </w:t>
      </w:r>
      <w:r w:rsidR="00D30803" w:rsidRPr="009B4CC0">
        <w:rPr>
          <w:rFonts w:eastAsia="ヒラギノ角ゴ Pro W3"/>
          <w:u w:color="000000"/>
          <w:lang w:eastAsia="en-GB"/>
        </w:rPr>
        <w:t>underlying</w:t>
      </w:r>
      <w:r w:rsidR="00D67494" w:rsidRPr="009B4CC0">
        <w:rPr>
          <w:rFonts w:eastAsia="ヒラギノ角ゴ Pro W3"/>
          <w:u w:color="000000"/>
          <w:lang w:eastAsia="en-GB"/>
        </w:rPr>
        <w:t xml:space="preserve"> the vision document </w:t>
      </w:r>
      <w:proofErr w:type="gramStart"/>
      <w:r w:rsidR="000A1D50" w:rsidRPr="009B4CC0">
        <w:rPr>
          <w:rFonts w:eastAsia="ヒラギノ角ゴ Pro W3"/>
          <w:u w:color="000000"/>
          <w:lang w:eastAsia="en-GB"/>
        </w:rPr>
        <w:t>was</w:t>
      </w:r>
      <w:r w:rsidR="00D67494" w:rsidRPr="009B4CC0">
        <w:rPr>
          <w:rFonts w:eastAsia="ヒラギノ角ゴ Pro W3"/>
          <w:u w:color="000000"/>
          <w:lang w:eastAsia="en-GB"/>
        </w:rPr>
        <w:t xml:space="preserve"> organi</w:t>
      </w:r>
      <w:r w:rsidR="00634578">
        <w:rPr>
          <w:rFonts w:eastAsia="ヒラギノ角ゴ Pro W3"/>
          <w:u w:color="000000"/>
          <w:lang w:eastAsia="en-GB"/>
        </w:rPr>
        <w:t>z</w:t>
      </w:r>
      <w:r w:rsidR="00D67494" w:rsidRPr="009B4CC0">
        <w:rPr>
          <w:rFonts w:eastAsia="ヒラギノ角ゴ Pro W3"/>
          <w:u w:color="000000"/>
          <w:lang w:eastAsia="en-GB"/>
        </w:rPr>
        <w:t>ed</w:t>
      </w:r>
      <w:proofErr w:type="gramEnd"/>
      <w:r w:rsidR="00D67494" w:rsidRPr="009B4CC0">
        <w:rPr>
          <w:rFonts w:eastAsia="ヒラギノ角ゴ Pro W3"/>
          <w:u w:color="000000"/>
          <w:lang w:eastAsia="en-GB"/>
        </w:rPr>
        <w:t xml:space="preserve"> with the interest of the Working Group</w:t>
      </w:r>
      <w:r w:rsidR="00634578">
        <w:rPr>
          <w:rFonts w:eastAsia="ヒラギノ角ゴ Pro W3"/>
          <w:u w:color="000000"/>
          <w:lang w:eastAsia="en-GB"/>
        </w:rPr>
        <w:t>’</w:t>
      </w:r>
      <w:r w:rsidR="00D67494" w:rsidRPr="009B4CC0">
        <w:rPr>
          <w:rFonts w:eastAsia="ヒラギノ角ゴ Pro W3"/>
          <w:u w:color="000000"/>
          <w:lang w:eastAsia="en-GB"/>
        </w:rPr>
        <w:t>s members at heart. Throughout this exercise and dialogue</w:t>
      </w:r>
      <w:r w:rsidR="00634578">
        <w:rPr>
          <w:rFonts w:eastAsia="ヒラギノ角ゴ Pro W3"/>
          <w:u w:color="000000"/>
          <w:lang w:eastAsia="en-GB"/>
        </w:rPr>
        <w:t xml:space="preserve">, </w:t>
      </w:r>
      <w:r w:rsidR="00D67494" w:rsidRPr="009B4CC0">
        <w:rPr>
          <w:rFonts w:eastAsia="ヒラギノ角ゴ Pro W3"/>
          <w:u w:color="000000"/>
          <w:lang w:eastAsia="en-GB"/>
        </w:rPr>
        <w:t xml:space="preserve">it has been encouraging to hear stories about the real and enduring impact that the Working Group on Environmental Monitoring and Assessment has had on </w:t>
      </w:r>
      <w:r w:rsidR="00634578">
        <w:rPr>
          <w:rFonts w:eastAsia="ヒラギノ角ゴ Pro W3"/>
          <w:u w:color="000000"/>
          <w:lang w:eastAsia="en-GB"/>
        </w:rPr>
        <w:t xml:space="preserve">the ground </w:t>
      </w:r>
      <w:r w:rsidR="00D67494" w:rsidRPr="009B4CC0">
        <w:rPr>
          <w:rFonts w:eastAsia="ヒラギノ角ゴ Pro W3"/>
          <w:u w:color="000000"/>
          <w:lang w:eastAsia="en-GB"/>
        </w:rPr>
        <w:t xml:space="preserve">and to understand that there is true value in the work that </w:t>
      </w:r>
      <w:proofErr w:type="gramStart"/>
      <w:r w:rsidR="00167E89" w:rsidRPr="009B4CC0">
        <w:rPr>
          <w:rFonts w:eastAsia="ヒラギノ角ゴ Pro W3"/>
          <w:u w:color="000000"/>
          <w:lang w:eastAsia="en-GB"/>
        </w:rPr>
        <w:t>is being carried out</w:t>
      </w:r>
      <w:proofErr w:type="gramEnd"/>
      <w:r w:rsidR="00D67494" w:rsidRPr="009B4CC0">
        <w:rPr>
          <w:rFonts w:eastAsia="ヒラギノ角ゴ Pro W3"/>
          <w:u w:color="000000"/>
          <w:lang w:eastAsia="en-GB"/>
        </w:rPr>
        <w:t xml:space="preserve">. </w:t>
      </w:r>
    </w:p>
    <w:p w14:paraId="6FAB8507" w14:textId="60EFED0C" w:rsidR="00D67494" w:rsidRPr="009B4CC0" w:rsidRDefault="00BA0DC3" w:rsidP="00D67494">
      <w:pPr>
        <w:pStyle w:val="SingleTxtG"/>
        <w:rPr>
          <w:rFonts w:eastAsia="ヒラギノ角ゴ Pro W3"/>
          <w:u w:color="000000"/>
          <w:lang w:eastAsia="en-GB"/>
        </w:rPr>
      </w:pPr>
      <w:r w:rsidRPr="009B4CC0">
        <w:rPr>
          <w:rFonts w:eastAsia="ヒラギノ角ゴ Pro W3"/>
          <w:lang w:eastAsia="en-GB"/>
        </w:rPr>
        <w:t>2</w:t>
      </w:r>
      <w:r w:rsidR="00EB0AF1" w:rsidRPr="009B4CC0">
        <w:rPr>
          <w:rFonts w:eastAsia="ヒラギノ角ゴ Pro W3"/>
          <w:lang w:eastAsia="en-GB"/>
        </w:rPr>
        <w:t>6</w:t>
      </w:r>
      <w:r w:rsidR="00D30803" w:rsidRPr="009B4CC0">
        <w:rPr>
          <w:rFonts w:eastAsia="ヒラギノ角ゴ Pro W3"/>
          <w:lang w:eastAsia="en-GB"/>
        </w:rPr>
        <w:t>.</w:t>
      </w:r>
      <w:r w:rsidR="00D30803" w:rsidRPr="009B4CC0">
        <w:rPr>
          <w:rFonts w:eastAsia="ヒラギノ角ゴ Pro W3"/>
          <w:lang w:eastAsia="en-GB"/>
        </w:rPr>
        <w:tab/>
      </w:r>
      <w:r w:rsidR="00634578">
        <w:rPr>
          <w:rFonts w:eastAsia="ヒラギノ角ゴ Pro W3"/>
          <w:lang w:eastAsia="en-GB"/>
        </w:rPr>
        <w:t>S</w:t>
      </w:r>
      <w:r w:rsidR="00D67494" w:rsidRPr="009B4CC0">
        <w:rPr>
          <w:rFonts w:eastAsia="ヒラギノ角ゴ Pro W3"/>
          <w:u w:color="000000"/>
          <w:lang w:eastAsia="en-GB"/>
        </w:rPr>
        <w:t>ince its inception in 2001</w:t>
      </w:r>
      <w:r w:rsidR="00634578">
        <w:rPr>
          <w:rFonts w:eastAsia="ヒラギノ角ゴ Pro W3"/>
          <w:u w:color="000000"/>
          <w:lang w:eastAsia="en-GB"/>
        </w:rPr>
        <w:t>, the Working Group has</w:t>
      </w:r>
      <w:r w:rsidR="008F202F">
        <w:rPr>
          <w:rFonts w:eastAsia="ヒラギノ角ゴ Pro W3"/>
          <w:u w:color="000000"/>
          <w:lang w:eastAsia="en-GB"/>
        </w:rPr>
        <w:t xml:space="preserve"> </w:t>
      </w:r>
      <w:r w:rsidR="00D67494" w:rsidRPr="009B4CC0">
        <w:rPr>
          <w:rFonts w:eastAsia="ヒラギノ角ゴ Pro W3"/>
          <w:u w:color="000000"/>
          <w:lang w:eastAsia="en-GB"/>
        </w:rPr>
        <w:t xml:space="preserve">provided a joint and collaborative platform </w:t>
      </w:r>
      <w:r w:rsidR="00EF4A85">
        <w:rPr>
          <w:rFonts w:eastAsia="ヒラギノ角ゴ Pro W3"/>
          <w:u w:color="000000"/>
          <w:lang w:eastAsia="en-GB"/>
        </w:rPr>
        <w:t xml:space="preserve">that has allowed </w:t>
      </w:r>
      <w:r w:rsidR="000A1D50" w:rsidRPr="009B4CC0">
        <w:rPr>
          <w:rFonts w:eastAsia="ヒラギノ角ゴ Pro W3"/>
          <w:u w:color="000000"/>
          <w:lang w:eastAsia="en-GB"/>
        </w:rPr>
        <w:t xml:space="preserve">its </w:t>
      </w:r>
      <w:r w:rsidR="00D67494" w:rsidRPr="009B4CC0">
        <w:rPr>
          <w:rFonts w:eastAsia="ヒラギノ角ゴ Pro W3"/>
          <w:u w:color="000000"/>
          <w:lang w:eastAsia="en-GB"/>
        </w:rPr>
        <w:t xml:space="preserve">members to learn, find new opportunities and </w:t>
      </w:r>
      <w:r w:rsidR="00EF4A85">
        <w:rPr>
          <w:rFonts w:eastAsia="ヒラギノ角ゴ Pro W3"/>
          <w:u w:color="000000"/>
          <w:lang w:eastAsia="en-GB"/>
        </w:rPr>
        <w:t xml:space="preserve">obtain </w:t>
      </w:r>
      <w:r w:rsidR="00D67494" w:rsidRPr="009B4CC0">
        <w:rPr>
          <w:rFonts w:eastAsia="ヒラギノ角ゴ Pro W3"/>
          <w:u w:color="000000"/>
          <w:lang w:eastAsia="en-GB"/>
        </w:rPr>
        <w:t>new capacities and experiences. It has created inter</w:t>
      </w:r>
      <w:r w:rsidR="00EF4A85">
        <w:rPr>
          <w:rFonts w:eastAsia="ヒラギノ角ゴ Pro W3"/>
          <w:u w:color="000000"/>
          <w:lang w:eastAsia="en-GB"/>
        </w:rPr>
        <w:t>linkage</w:t>
      </w:r>
      <w:r w:rsidR="00D67494" w:rsidRPr="009B4CC0">
        <w:rPr>
          <w:rFonts w:eastAsia="ヒラギノ角ゴ Pro W3"/>
          <w:u w:color="000000"/>
          <w:lang w:eastAsia="en-GB"/>
        </w:rPr>
        <w:t>s, spanning different policy areas and institutions, through the organi</w:t>
      </w:r>
      <w:r w:rsidR="00EF4A85">
        <w:rPr>
          <w:rFonts w:eastAsia="ヒラギノ角ゴ Pro W3"/>
          <w:u w:color="000000"/>
          <w:lang w:eastAsia="en-GB"/>
        </w:rPr>
        <w:t>z</w:t>
      </w:r>
      <w:r w:rsidR="00D67494" w:rsidRPr="009B4CC0">
        <w:rPr>
          <w:rFonts w:eastAsia="ヒラギノ角ゴ Pro W3"/>
          <w:u w:color="000000"/>
          <w:lang w:eastAsia="en-GB"/>
        </w:rPr>
        <w:t xml:space="preserve">ation of regular sessions and </w:t>
      </w:r>
      <w:proofErr w:type="gramStart"/>
      <w:r w:rsidR="00D67494" w:rsidRPr="009B4CC0">
        <w:rPr>
          <w:rFonts w:eastAsia="ヒラギノ角ゴ Pro W3"/>
          <w:u w:color="000000"/>
          <w:lang w:eastAsia="en-GB"/>
        </w:rPr>
        <w:t>capacity-building</w:t>
      </w:r>
      <w:proofErr w:type="gramEnd"/>
      <w:r w:rsidR="00D67494" w:rsidRPr="009B4CC0">
        <w:rPr>
          <w:rFonts w:eastAsia="ヒラギノ角ゴ Pro W3"/>
          <w:u w:color="000000"/>
          <w:lang w:eastAsia="en-GB"/>
        </w:rPr>
        <w:t xml:space="preserve">, and it has created a common space through which </w:t>
      </w:r>
      <w:r w:rsidR="000A1D50" w:rsidRPr="009B4CC0">
        <w:rPr>
          <w:rFonts w:eastAsia="ヒラギノ角ゴ Pro W3"/>
          <w:u w:color="000000"/>
          <w:lang w:eastAsia="en-GB"/>
        </w:rPr>
        <w:t xml:space="preserve">its </w:t>
      </w:r>
      <w:r w:rsidR="00D67494" w:rsidRPr="009B4CC0">
        <w:rPr>
          <w:rFonts w:eastAsia="ヒラギノ角ゴ Pro W3"/>
          <w:u w:color="000000"/>
          <w:lang w:eastAsia="en-GB"/>
        </w:rPr>
        <w:t xml:space="preserve">members have been able to </w:t>
      </w:r>
      <w:r w:rsidR="002E4650" w:rsidRPr="009B4CC0">
        <w:rPr>
          <w:rFonts w:eastAsia="ヒラギノ角ゴ Pro W3"/>
          <w:u w:color="000000"/>
          <w:lang w:eastAsia="en-GB"/>
        </w:rPr>
        <w:t>operationalize</w:t>
      </w:r>
      <w:r w:rsidR="00D67494" w:rsidRPr="009B4CC0">
        <w:rPr>
          <w:rFonts w:eastAsia="ヒラギノ角ゴ Pro W3"/>
          <w:u w:color="000000"/>
          <w:lang w:eastAsia="en-GB"/>
        </w:rPr>
        <w:t xml:space="preserve"> joint activities and set targets.</w:t>
      </w:r>
    </w:p>
    <w:p w14:paraId="221B5894" w14:textId="41D9AA28" w:rsidR="00D67494" w:rsidRPr="009B4CC0" w:rsidRDefault="00BA0DC3" w:rsidP="00D67494">
      <w:pPr>
        <w:pStyle w:val="SingleTxtG"/>
        <w:rPr>
          <w:rFonts w:eastAsia="ヒラギノ角ゴ Pro W3"/>
          <w:u w:color="000000"/>
          <w:lang w:eastAsia="en-GB"/>
        </w:rPr>
      </w:pPr>
      <w:r w:rsidRPr="009B4CC0">
        <w:rPr>
          <w:rFonts w:eastAsia="ヒラギノ角ゴ Pro W3"/>
          <w:lang w:eastAsia="en-GB"/>
        </w:rPr>
        <w:t>2</w:t>
      </w:r>
      <w:r w:rsidR="00EB0AF1" w:rsidRPr="009B4CC0">
        <w:rPr>
          <w:rFonts w:eastAsia="ヒラギノ角ゴ Pro W3"/>
          <w:lang w:eastAsia="en-GB"/>
        </w:rPr>
        <w:t>7</w:t>
      </w:r>
      <w:r w:rsidR="00D30803" w:rsidRPr="009B4CC0">
        <w:rPr>
          <w:rFonts w:eastAsia="ヒラギノ角ゴ Pro W3"/>
          <w:lang w:eastAsia="en-GB"/>
        </w:rPr>
        <w:t>.</w:t>
      </w:r>
      <w:r w:rsidR="00D30803" w:rsidRPr="009B4CC0">
        <w:rPr>
          <w:rFonts w:eastAsia="ヒラギノ角ゴ Pro W3"/>
          <w:lang w:eastAsia="en-GB"/>
        </w:rPr>
        <w:tab/>
      </w:r>
      <w:r w:rsidR="00167E89" w:rsidRPr="009B4CC0">
        <w:rPr>
          <w:rFonts w:eastAsia="ヒラギノ角ゴ Pro W3"/>
          <w:lang w:eastAsia="en-GB"/>
        </w:rPr>
        <w:t>T</w:t>
      </w:r>
      <w:r w:rsidR="00D30803" w:rsidRPr="009B4CC0">
        <w:rPr>
          <w:rFonts w:eastAsia="ヒラギノ角ゴ Pro W3"/>
          <w:u w:color="000000"/>
          <w:lang w:eastAsia="en-GB"/>
        </w:rPr>
        <w:t>he vision</w:t>
      </w:r>
      <w:r w:rsidR="00D67494" w:rsidRPr="009B4CC0">
        <w:rPr>
          <w:rFonts w:eastAsia="ヒラギノ角ゴ Pro W3"/>
          <w:u w:color="000000"/>
          <w:lang w:eastAsia="en-GB"/>
        </w:rPr>
        <w:t xml:space="preserve"> </w:t>
      </w:r>
      <w:r w:rsidR="000A1D50" w:rsidRPr="009B4CC0">
        <w:rPr>
          <w:rFonts w:eastAsia="ヒラギノ角ゴ Pro W3"/>
          <w:u w:color="000000"/>
          <w:lang w:eastAsia="en-GB"/>
        </w:rPr>
        <w:t xml:space="preserve">set forth below </w:t>
      </w:r>
      <w:proofErr w:type="gramStart"/>
      <w:r w:rsidR="00D67494" w:rsidRPr="009B4CC0">
        <w:rPr>
          <w:rFonts w:eastAsia="ヒラギノ角ゴ Pro W3"/>
          <w:u w:color="000000"/>
          <w:lang w:eastAsia="en-GB"/>
        </w:rPr>
        <w:t>is meant</w:t>
      </w:r>
      <w:proofErr w:type="gramEnd"/>
      <w:r w:rsidR="00D67494" w:rsidRPr="009B4CC0">
        <w:rPr>
          <w:rFonts w:eastAsia="ヒラギノ角ゴ Pro W3"/>
          <w:u w:color="000000"/>
          <w:lang w:eastAsia="en-GB"/>
        </w:rPr>
        <w:t xml:space="preserve"> </w:t>
      </w:r>
      <w:r w:rsidR="00D538C2" w:rsidRPr="009B4CC0">
        <w:rPr>
          <w:rFonts w:eastAsia="ヒラギノ角ゴ Pro W3"/>
          <w:u w:color="000000"/>
          <w:lang w:eastAsia="en-GB"/>
        </w:rPr>
        <w:t xml:space="preserve">to </w:t>
      </w:r>
      <w:r w:rsidR="00167E89" w:rsidRPr="009B4CC0">
        <w:rPr>
          <w:rFonts w:eastAsia="ヒラギノ角ゴ Pro W3"/>
          <w:u w:color="000000"/>
          <w:lang w:eastAsia="en-GB"/>
        </w:rPr>
        <w:t xml:space="preserve">lead the way, </w:t>
      </w:r>
      <w:r w:rsidR="00A471A4" w:rsidRPr="009B4CC0">
        <w:rPr>
          <w:rFonts w:eastAsia="ヒラギノ角ゴ Pro W3"/>
          <w:u w:color="000000"/>
          <w:lang w:eastAsia="en-GB"/>
        </w:rPr>
        <w:t>setting</w:t>
      </w:r>
      <w:r w:rsidR="00D67494" w:rsidRPr="009B4CC0">
        <w:rPr>
          <w:rFonts w:eastAsia="ヒラギノ角ゴ Pro W3"/>
          <w:u w:color="000000"/>
          <w:lang w:eastAsia="en-GB"/>
        </w:rPr>
        <w:t xml:space="preserve"> </w:t>
      </w:r>
      <w:r w:rsidR="00D91516" w:rsidRPr="009B4CC0">
        <w:rPr>
          <w:rFonts w:eastAsia="ヒラギノ角ゴ Pro W3"/>
          <w:u w:color="000000"/>
          <w:lang w:eastAsia="en-GB"/>
        </w:rPr>
        <w:t>long-term</w:t>
      </w:r>
      <w:r w:rsidR="00D67494" w:rsidRPr="009B4CC0">
        <w:rPr>
          <w:rFonts w:eastAsia="ヒラギノ角ゴ Pro W3"/>
          <w:u w:color="000000"/>
          <w:lang w:eastAsia="en-GB"/>
        </w:rPr>
        <w:t xml:space="preserve"> strategic goals and objectives, including the type of activities that the Working Group want</w:t>
      </w:r>
      <w:r w:rsidR="00D538C2" w:rsidRPr="009B4CC0">
        <w:rPr>
          <w:rFonts w:eastAsia="ヒラギノ角ゴ Pro W3"/>
          <w:u w:color="000000"/>
          <w:lang w:eastAsia="en-GB"/>
        </w:rPr>
        <w:t>s</w:t>
      </w:r>
      <w:r w:rsidR="00D67494" w:rsidRPr="009B4CC0">
        <w:rPr>
          <w:rFonts w:eastAsia="ヒラギノ角ゴ Pro W3"/>
          <w:u w:color="000000"/>
          <w:lang w:eastAsia="en-GB"/>
        </w:rPr>
        <w:t xml:space="preserve"> to focus on in the years to come. </w:t>
      </w:r>
      <w:r w:rsidR="00A471A4" w:rsidRPr="009B4CC0">
        <w:rPr>
          <w:rFonts w:eastAsia="ヒラギノ角ゴ Pro W3"/>
          <w:u w:color="000000"/>
          <w:lang w:eastAsia="en-GB"/>
        </w:rPr>
        <w:t>T</w:t>
      </w:r>
      <w:r w:rsidR="00D67494" w:rsidRPr="009B4CC0">
        <w:rPr>
          <w:rFonts w:eastAsia="ヒラギノ角ゴ Pro W3"/>
          <w:u w:color="000000"/>
          <w:lang w:eastAsia="en-GB"/>
        </w:rPr>
        <w:t xml:space="preserve">he question </w:t>
      </w:r>
      <w:r w:rsidR="00A471A4" w:rsidRPr="009B4CC0">
        <w:rPr>
          <w:rFonts w:eastAsia="ヒラギノ角ゴ Pro W3"/>
          <w:u w:color="000000"/>
          <w:lang w:eastAsia="en-GB"/>
        </w:rPr>
        <w:t xml:space="preserve">the Working Group </w:t>
      </w:r>
      <w:r w:rsidR="008C3E14">
        <w:rPr>
          <w:rFonts w:eastAsia="ヒラギノ角ゴ Pro W3"/>
          <w:u w:color="000000"/>
          <w:lang w:eastAsia="en-GB"/>
        </w:rPr>
        <w:t xml:space="preserve">had to consider was, </w:t>
      </w:r>
      <w:r w:rsidR="00F67C3E" w:rsidRPr="009B4CC0">
        <w:rPr>
          <w:rFonts w:eastAsia="ヒラギノ角ゴ Pro W3"/>
          <w:u w:color="000000"/>
          <w:lang w:eastAsia="en-GB"/>
        </w:rPr>
        <w:t>essentially</w:t>
      </w:r>
      <w:r w:rsidR="00EF4A85">
        <w:rPr>
          <w:rFonts w:eastAsia="ヒラギノ角ゴ Pro W3"/>
          <w:u w:color="000000"/>
          <w:lang w:eastAsia="en-GB"/>
        </w:rPr>
        <w:t>,</w:t>
      </w:r>
      <w:r w:rsidR="00F67C3E" w:rsidRPr="009B4CC0">
        <w:rPr>
          <w:rFonts w:eastAsia="ヒラギノ角ゴ Pro W3"/>
          <w:u w:color="000000"/>
          <w:lang w:eastAsia="en-GB"/>
        </w:rPr>
        <w:t xml:space="preserve"> </w:t>
      </w:r>
      <w:r w:rsidR="00D67494" w:rsidRPr="009B4CC0">
        <w:rPr>
          <w:rFonts w:eastAsia="ヒラギノ角ゴ Pro W3"/>
          <w:u w:color="000000"/>
          <w:lang w:eastAsia="en-GB"/>
        </w:rPr>
        <w:t xml:space="preserve">how </w:t>
      </w:r>
      <w:r w:rsidR="00616FF8">
        <w:rPr>
          <w:rFonts w:eastAsia="ヒラギノ角ゴ Pro W3"/>
          <w:u w:color="000000"/>
          <w:lang w:eastAsia="en-GB"/>
        </w:rPr>
        <w:t>it could</w:t>
      </w:r>
      <w:r w:rsidR="008C3E14">
        <w:rPr>
          <w:rFonts w:eastAsia="ヒラギノ角ゴ Pro W3"/>
          <w:u w:color="000000"/>
          <w:lang w:eastAsia="en-GB"/>
        </w:rPr>
        <w:t xml:space="preserve"> </w:t>
      </w:r>
      <w:r w:rsidR="00D67494" w:rsidRPr="009B4CC0">
        <w:rPr>
          <w:rFonts w:eastAsia="ヒラギノ角ゴ Pro W3"/>
          <w:u w:color="000000"/>
          <w:lang w:eastAsia="en-GB"/>
        </w:rPr>
        <w:t xml:space="preserve">build on </w:t>
      </w:r>
      <w:r w:rsidR="00A471A4" w:rsidRPr="009B4CC0">
        <w:rPr>
          <w:rFonts w:eastAsia="ヒラギノ角ゴ Pro W3"/>
          <w:u w:color="000000"/>
          <w:lang w:eastAsia="en-GB"/>
        </w:rPr>
        <w:t xml:space="preserve">its </w:t>
      </w:r>
      <w:r w:rsidR="00D67494" w:rsidRPr="009B4CC0">
        <w:rPr>
          <w:rFonts w:eastAsia="ヒラギノ角ゴ Pro W3"/>
          <w:u w:color="000000"/>
          <w:lang w:eastAsia="en-GB"/>
        </w:rPr>
        <w:t xml:space="preserve">strengths to address new challenges </w:t>
      </w:r>
      <w:r w:rsidR="00EF4A85">
        <w:rPr>
          <w:rFonts w:eastAsia="ヒラギノ角ゴ Pro W3"/>
          <w:u w:color="000000"/>
          <w:lang w:eastAsia="en-GB"/>
        </w:rPr>
        <w:t xml:space="preserve">in a way that was </w:t>
      </w:r>
      <w:r w:rsidR="00D67494" w:rsidRPr="009B4CC0">
        <w:rPr>
          <w:rFonts w:eastAsia="ヒラギノ角ゴ Pro W3"/>
          <w:u w:color="000000"/>
          <w:lang w:eastAsia="en-GB"/>
        </w:rPr>
        <w:t>advantage</w:t>
      </w:r>
      <w:r w:rsidR="00EF4A85">
        <w:rPr>
          <w:rFonts w:eastAsia="ヒラギノ角ゴ Pro W3"/>
          <w:u w:color="000000"/>
          <w:lang w:eastAsia="en-GB"/>
        </w:rPr>
        <w:t>ous for all</w:t>
      </w:r>
      <w:r w:rsidR="00357700">
        <w:rPr>
          <w:rFonts w:eastAsia="ヒラギノ角ゴ Pro W3"/>
          <w:u w:color="000000"/>
          <w:lang w:eastAsia="en-GB"/>
        </w:rPr>
        <w:t>.</w:t>
      </w:r>
    </w:p>
    <w:p w14:paraId="0E21E323" w14:textId="5E6FAD0E" w:rsidR="00D67494" w:rsidRPr="009B4CC0" w:rsidRDefault="00BA0DC3">
      <w:pPr>
        <w:pStyle w:val="SingleTxtG"/>
        <w:rPr>
          <w:rFonts w:eastAsia="ヒラギノ角ゴ Pro W3"/>
          <w:u w:color="000000"/>
          <w:lang w:eastAsia="en-GB"/>
        </w:rPr>
      </w:pPr>
      <w:proofErr w:type="gramStart"/>
      <w:r w:rsidRPr="009B4CC0">
        <w:rPr>
          <w:rFonts w:eastAsia="ヒラギノ角ゴ Pro W3"/>
          <w:lang w:eastAsia="en-GB"/>
        </w:rPr>
        <w:t>2</w:t>
      </w:r>
      <w:r w:rsidR="00EB0AF1" w:rsidRPr="009B4CC0">
        <w:rPr>
          <w:rFonts w:eastAsia="ヒラギノ角ゴ Pro W3"/>
          <w:lang w:eastAsia="en-GB"/>
        </w:rPr>
        <w:t>8</w:t>
      </w:r>
      <w:r w:rsidR="00D30803" w:rsidRPr="009B4CC0">
        <w:rPr>
          <w:rFonts w:eastAsia="ヒラギノ角ゴ Pro W3"/>
          <w:lang w:eastAsia="en-GB"/>
        </w:rPr>
        <w:t>.</w:t>
      </w:r>
      <w:r w:rsidR="00D30803" w:rsidRPr="009B4CC0">
        <w:rPr>
          <w:rFonts w:eastAsia="ヒラギノ角ゴ Pro W3"/>
          <w:lang w:eastAsia="en-GB"/>
        </w:rPr>
        <w:tab/>
      </w:r>
      <w:r w:rsidR="00D67494" w:rsidRPr="009B4CC0">
        <w:rPr>
          <w:rFonts w:eastAsia="ヒラギノ角ゴ Pro W3"/>
          <w:u w:color="000000"/>
          <w:lang w:eastAsia="en-GB"/>
        </w:rPr>
        <w:t>Th</w:t>
      </w:r>
      <w:r w:rsidR="00EF4A85">
        <w:rPr>
          <w:rFonts w:eastAsia="ヒラギノ角ゴ Pro W3"/>
          <w:u w:color="000000"/>
          <w:lang w:eastAsia="en-GB"/>
        </w:rPr>
        <w:t>e vision</w:t>
      </w:r>
      <w:r w:rsidR="00D67494" w:rsidRPr="009B4CC0">
        <w:rPr>
          <w:rFonts w:eastAsia="ヒラギノ角ゴ Pro W3"/>
          <w:u w:color="000000"/>
          <w:lang w:eastAsia="en-GB"/>
        </w:rPr>
        <w:t xml:space="preserve"> </w:t>
      </w:r>
      <w:r w:rsidR="00A90F78" w:rsidRPr="009B4CC0">
        <w:rPr>
          <w:rFonts w:eastAsia="ヒラギノ角ゴ Pro W3"/>
          <w:u w:color="000000"/>
          <w:lang w:eastAsia="en-GB"/>
        </w:rPr>
        <w:t>takes</w:t>
      </w:r>
      <w:r w:rsidR="00D67494" w:rsidRPr="009B4CC0">
        <w:rPr>
          <w:rFonts w:eastAsia="ヒラギノ角ゴ Pro W3"/>
          <w:u w:color="000000"/>
          <w:lang w:eastAsia="en-GB"/>
        </w:rPr>
        <w:t xml:space="preserve"> into consideration that it is ultimately </w:t>
      </w:r>
      <w:r w:rsidR="00434405" w:rsidRPr="009B4CC0">
        <w:rPr>
          <w:rFonts w:eastAsia="ヒラギノ角ゴ Pro W3"/>
          <w:u w:color="000000"/>
          <w:lang w:eastAsia="en-GB"/>
        </w:rPr>
        <w:t xml:space="preserve">high-quality and robust environmental monitoring, reporting and assessment </w:t>
      </w:r>
      <w:r w:rsidR="00D67494" w:rsidRPr="009B4CC0">
        <w:rPr>
          <w:rFonts w:eastAsia="ヒラギノ角ゴ Pro W3"/>
          <w:u w:color="000000"/>
          <w:lang w:eastAsia="en-GB"/>
        </w:rPr>
        <w:t>that represents the core function and driver behind the activities of the Working Group</w:t>
      </w:r>
      <w:r w:rsidR="00FA1ABB" w:rsidRPr="009B4CC0">
        <w:rPr>
          <w:rFonts w:eastAsia="ヒラギノ角ゴ Pro W3"/>
          <w:u w:color="000000"/>
          <w:lang w:eastAsia="en-GB"/>
        </w:rPr>
        <w:t xml:space="preserve">, complemented by the Joint Task Force on Environmental Statistics and Indicators work on the collection, production, analysis, sharing and dissemination of environmental </w:t>
      </w:r>
      <w:r w:rsidR="006D0FC1" w:rsidRPr="009B4CC0">
        <w:rPr>
          <w:rFonts w:eastAsia="ヒラギノ角ゴ Pro W3"/>
          <w:u w:color="000000"/>
          <w:lang w:eastAsia="en-GB"/>
        </w:rPr>
        <w:t>statistics</w:t>
      </w:r>
      <w:r w:rsidR="00FA1ABB" w:rsidRPr="009B4CC0">
        <w:rPr>
          <w:rFonts w:eastAsia="ヒラギノ角ゴ Pro W3"/>
          <w:u w:color="000000"/>
          <w:lang w:eastAsia="en-GB"/>
        </w:rPr>
        <w:t xml:space="preserve"> and data</w:t>
      </w:r>
      <w:r w:rsidR="008C3E14">
        <w:rPr>
          <w:rFonts w:eastAsia="ヒラギノ角ゴ Pro W3"/>
          <w:u w:color="000000"/>
          <w:lang w:eastAsia="en-GB"/>
        </w:rPr>
        <w:t xml:space="preserve"> —</w:t>
      </w:r>
      <w:r w:rsidR="00FA1ABB" w:rsidRPr="009B4CC0">
        <w:rPr>
          <w:rFonts w:eastAsia="ヒラギノ角ゴ Pro W3"/>
          <w:u w:color="000000"/>
          <w:lang w:eastAsia="en-GB"/>
        </w:rPr>
        <w:t xml:space="preserve"> </w:t>
      </w:r>
      <w:r w:rsidR="008C3E14">
        <w:rPr>
          <w:rFonts w:eastAsia="ヒラギノ角ゴ Pro W3"/>
          <w:u w:color="000000"/>
          <w:lang w:eastAsia="en-GB"/>
        </w:rPr>
        <w:t>whether t</w:t>
      </w:r>
      <w:r w:rsidR="00D67494" w:rsidRPr="009B4CC0">
        <w:rPr>
          <w:rFonts w:eastAsia="ヒラギノ角ゴ Pro W3"/>
          <w:u w:color="000000"/>
          <w:lang w:eastAsia="en-GB"/>
        </w:rPr>
        <w:t xml:space="preserve">hese activities concern </w:t>
      </w:r>
      <w:r w:rsidR="00965BD8" w:rsidRPr="009B4CC0">
        <w:rPr>
          <w:rFonts w:eastAsia="ヒラギノ角ゴ Pro W3"/>
          <w:u w:color="000000"/>
          <w:lang w:eastAsia="en-GB"/>
        </w:rPr>
        <w:t xml:space="preserve">support </w:t>
      </w:r>
      <w:r w:rsidR="008C3E14">
        <w:rPr>
          <w:rFonts w:eastAsia="ヒラギノ角ゴ Pro W3"/>
          <w:u w:color="000000"/>
          <w:lang w:eastAsia="en-GB"/>
        </w:rPr>
        <w:t xml:space="preserve">for </w:t>
      </w:r>
      <w:r w:rsidR="00965BD8" w:rsidRPr="009B4CC0">
        <w:rPr>
          <w:rFonts w:eastAsia="ヒラギノ角ゴ Pro W3"/>
          <w:u w:color="000000"/>
          <w:lang w:eastAsia="en-GB"/>
        </w:rPr>
        <w:t xml:space="preserve">monitoring </w:t>
      </w:r>
      <w:r w:rsidR="00D67494" w:rsidRPr="009B4CC0">
        <w:rPr>
          <w:rFonts w:eastAsia="ヒラギノ角ゴ Pro W3"/>
          <w:u w:color="000000"/>
          <w:lang w:eastAsia="en-GB"/>
        </w:rPr>
        <w:t xml:space="preserve">the </w:t>
      </w:r>
      <w:r w:rsidR="001B451E" w:rsidRPr="009B4CC0">
        <w:rPr>
          <w:rFonts w:eastAsia="ヒラギノ角ゴ Pro W3"/>
          <w:u w:color="000000"/>
          <w:lang w:eastAsia="en-GB"/>
        </w:rPr>
        <w:t>Sustainable Development Goals</w:t>
      </w:r>
      <w:r w:rsidR="00D67494" w:rsidRPr="009B4CC0">
        <w:rPr>
          <w:rFonts w:eastAsia="ヒラギノ角ゴ Pro W3"/>
          <w:u w:color="000000"/>
          <w:lang w:eastAsia="en-GB"/>
        </w:rPr>
        <w:t xml:space="preserve"> to ensure successful progress reporting on the 2030 Agenda, the continued streamlining of activities under the Working Group and the Joint Task Force, or the integration of environmental, social and economic data under the System of Environmental</w:t>
      </w:r>
      <w:r w:rsidR="00EF4A85">
        <w:rPr>
          <w:rFonts w:eastAsia="ヒラギノ角ゴ Pro W3"/>
          <w:u w:color="000000"/>
          <w:lang w:eastAsia="en-GB"/>
        </w:rPr>
        <w:t>-</w:t>
      </w:r>
      <w:r w:rsidR="00D67494" w:rsidRPr="009B4CC0">
        <w:rPr>
          <w:rFonts w:eastAsia="ヒラギノ角ゴ Pro W3"/>
          <w:u w:color="000000"/>
          <w:lang w:eastAsia="en-GB"/>
        </w:rPr>
        <w:t>Economic Accounting</w:t>
      </w:r>
      <w:r w:rsidR="00A90F78" w:rsidRPr="009B4CC0">
        <w:rPr>
          <w:rFonts w:eastAsia="ヒラギノ角ゴ Pro W3"/>
          <w:u w:color="000000"/>
          <w:lang w:eastAsia="en-GB"/>
        </w:rPr>
        <w:t>.</w:t>
      </w:r>
      <w:proofErr w:type="gramEnd"/>
      <w:r w:rsidR="00A90F78" w:rsidRPr="009B4CC0">
        <w:rPr>
          <w:rFonts w:eastAsia="ヒラギノ角ゴ Pro W3"/>
          <w:u w:color="000000"/>
          <w:lang w:eastAsia="en-GB"/>
        </w:rPr>
        <w:t xml:space="preserve"> T</w:t>
      </w:r>
      <w:r w:rsidR="00D67494" w:rsidRPr="009B4CC0">
        <w:rPr>
          <w:rFonts w:eastAsia="ヒラギノ角ゴ Pro W3"/>
          <w:u w:color="000000"/>
          <w:lang w:eastAsia="en-GB"/>
        </w:rPr>
        <w:t xml:space="preserve">he provision of environmental information and data for monitoring and assessment </w:t>
      </w:r>
      <w:r w:rsidR="00F67C3E" w:rsidRPr="009B4CC0">
        <w:rPr>
          <w:rFonts w:eastAsia="ヒラギノ角ゴ Pro W3"/>
          <w:u w:color="000000"/>
          <w:lang w:eastAsia="en-GB"/>
        </w:rPr>
        <w:t xml:space="preserve">has a central position in the Working Groups </w:t>
      </w:r>
      <w:r w:rsidR="00D67494" w:rsidRPr="009B4CC0">
        <w:rPr>
          <w:rFonts w:eastAsia="ヒラギノ角ゴ Pro W3"/>
          <w:u w:color="000000"/>
          <w:lang w:eastAsia="en-GB"/>
        </w:rPr>
        <w:t xml:space="preserve">vision </w:t>
      </w:r>
      <w:r w:rsidR="00F67C3E" w:rsidRPr="009B4CC0">
        <w:rPr>
          <w:rFonts w:eastAsia="ヒラギノ角ゴ Pro W3"/>
          <w:u w:color="000000"/>
          <w:lang w:eastAsia="en-GB"/>
        </w:rPr>
        <w:t>for 2030</w:t>
      </w:r>
      <w:r w:rsidR="00D67494" w:rsidRPr="009B4CC0">
        <w:rPr>
          <w:rFonts w:eastAsia="ヒラギノ角ゴ Pro W3"/>
          <w:u w:color="000000"/>
          <w:lang w:eastAsia="en-GB"/>
        </w:rPr>
        <w:t>.</w:t>
      </w:r>
    </w:p>
    <w:p w14:paraId="45136020" w14:textId="77777777" w:rsidR="00B64189" w:rsidRPr="009B4CC0" w:rsidRDefault="00B64189" w:rsidP="00275C48">
      <w:pPr>
        <w:pStyle w:val="H1G"/>
        <w:spacing w:before="280" w:after="200"/>
      </w:pPr>
      <w:r w:rsidRPr="009B4CC0">
        <w:tab/>
        <w:t>B.</w:t>
      </w:r>
      <w:r w:rsidRPr="009B4CC0">
        <w:tab/>
        <w:t>Cross-cutting goals and objectives</w:t>
      </w:r>
    </w:p>
    <w:p w14:paraId="135B7E20" w14:textId="6D38FC05" w:rsidR="00B64189" w:rsidRPr="009B4CC0" w:rsidRDefault="009B4CC0" w:rsidP="0069448A">
      <w:pPr>
        <w:pStyle w:val="H23G"/>
        <w:rPr>
          <w:rFonts w:eastAsia="ヒラギノ角ゴ Pro W3"/>
          <w:u w:color="000000"/>
          <w:lang w:eastAsia="en-GB"/>
        </w:rPr>
      </w:pPr>
      <w:r>
        <w:rPr>
          <w:rFonts w:eastAsia="ヒラギノ角ゴ Pro W3"/>
          <w:u w:color="000000"/>
          <w:lang w:eastAsia="en-GB"/>
        </w:rPr>
        <w:tab/>
      </w:r>
      <w:r>
        <w:rPr>
          <w:rFonts w:eastAsia="ヒラギノ角ゴ Pro W3"/>
          <w:u w:color="000000"/>
          <w:lang w:eastAsia="en-GB"/>
        </w:rPr>
        <w:tab/>
      </w:r>
      <w:proofErr w:type="gramStart"/>
      <w:r w:rsidR="00B64189" w:rsidRPr="009B4CC0">
        <w:rPr>
          <w:rFonts w:eastAsia="ヒラギノ角ゴ Pro W3"/>
          <w:u w:color="000000"/>
          <w:lang w:eastAsia="en-GB"/>
        </w:rPr>
        <w:t>Capacity-building</w:t>
      </w:r>
      <w:proofErr w:type="gramEnd"/>
    </w:p>
    <w:p w14:paraId="38024494" w14:textId="7C49154F" w:rsidR="00B64189" w:rsidRPr="009B4CC0" w:rsidRDefault="00167E89" w:rsidP="00B64189">
      <w:pPr>
        <w:pStyle w:val="SingleTxtG"/>
        <w:rPr>
          <w:rFonts w:eastAsia="ヒラギノ角ゴ Pro W3"/>
          <w:u w:color="000000"/>
          <w:lang w:eastAsia="en-GB"/>
        </w:rPr>
      </w:pPr>
      <w:r w:rsidRPr="009B4CC0">
        <w:rPr>
          <w:rFonts w:eastAsia="ヒラギノ角ゴ Pro W3"/>
          <w:lang w:eastAsia="en-GB"/>
        </w:rPr>
        <w:t>2</w:t>
      </w:r>
      <w:r w:rsidR="00EB0AF1" w:rsidRPr="009B4CC0">
        <w:rPr>
          <w:rFonts w:eastAsia="ヒラギノ角ゴ Pro W3"/>
          <w:lang w:eastAsia="en-GB"/>
        </w:rPr>
        <w:t>9</w:t>
      </w:r>
      <w:r w:rsidR="00B64189" w:rsidRPr="009B4CC0">
        <w:rPr>
          <w:rFonts w:eastAsia="ヒラギノ角ゴ Pro W3"/>
          <w:lang w:eastAsia="en-GB"/>
        </w:rPr>
        <w:t>.</w:t>
      </w:r>
      <w:r w:rsidR="00B64189" w:rsidRPr="009B4CC0">
        <w:rPr>
          <w:rFonts w:eastAsia="ヒラギノ角ゴ Pro W3"/>
          <w:lang w:eastAsia="en-GB"/>
        </w:rPr>
        <w:tab/>
      </w:r>
      <w:r w:rsidR="00B64189" w:rsidRPr="009B4CC0">
        <w:rPr>
          <w:rFonts w:eastAsia="ヒラギノ角ゴ Pro W3"/>
          <w:u w:color="000000"/>
          <w:lang w:eastAsia="en-GB"/>
        </w:rPr>
        <w:t xml:space="preserve">The goal of the Working Group will be to focus on strengthening human capacities needed to address key challenges </w:t>
      </w:r>
      <w:r w:rsidR="00FB501E">
        <w:rPr>
          <w:rFonts w:eastAsia="ヒラギノ角ゴ Pro W3"/>
          <w:u w:color="000000"/>
          <w:lang w:eastAsia="en-GB"/>
        </w:rPr>
        <w:t xml:space="preserve">with </w:t>
      </w:r>
      <w:r w:rsidR="00B64189" w:rsidRPr="009B4CC0">
        <w:rPr>
          <w:rFonts w:eastAsia="ヒラギノ角ゴ Pro W3"/>
          <w:u w:color="000000"/>
          <w:lang w:eastAsia="en-GB"/>
        </w:rPr>
        <w:t xml:space="preserve">regard to regional and national capacity gaps. This includes guidance on the production of regionally and internationally agreed environmental data flows and indicators in a manner coherent with the principles of SEIS for indicator-based assessments and reporting obligations, such as </w:t>
      </w:r>
      <w:r w:rsidR="00FB501E">
        <w:rPr>
          <w:rFonts w:eastAsia="ヒラギノ角ゴ Pro W3"/>
          <w:u w:color="000000"/>
          <w:lang w:eastAsia="en-GB"/>
        </w:rPr>
        <w:t xml:space="preserve">those </w:t>
      </w:r>
      <w:r w:rsidR="00B64189" w:rsidRPr="009B4CC0">
        <w:rPr>
          <w:rFonts w:eastAsia="ヒラギノ角ゴ Pro W3"/>
          <w:u w:color="000000"/>
          <w:lang w:eastAsia="en-GB"/>
        </w:rPr>
        <w:t xml:space="preserve">for the Convention on Long-range Transboundary Air Pollution and the </w:t>
      </w:r>
      <w:r w:rsidR="00FB501E">
        <w:rPr>
          <w:rFonts w:eastAsia="ヒラギノ角ゴ Pro W3"/>
          <w:u w:color="000000"/>
          <w:lang w:eastAsia="en-GB"/>
        </w:rPr>
        <w:t>Sustainable Development Goals</w:t>
      </w:r>
      <w:r w:rsidR="00B64189" w:rsidRPr="009B4CC0">
        <w:rPr>
          <w:rFonts w:eastAsia="ヒラギノ角ゴ Pro W3"/>
          <w:u w:color="000000"/>
          <w:lang w:eastAsia="en-GB"/>
        </w:rPr>
        <w:t xml:space="preserve">. </w:t>
      </w:r>
      <w:r w:rsidR="006D0FC1" w:rsidRPr="009B4CC0">
        <w:rPr>
          <w:rFonts w:eastAsia="ヒラギノ角ゴ Pro W3"/>
          <w:u w:color="000000"/>
          <w:lang w:eastAsia="en-GB"/>
        </w:rPr>
        <w:t>This includes</w:t>
      </w:r>
      <w:r w:rsidR="00B64189" w:rsidRPr="009B4CC0">
        <w:rPr>
          <w:rFonts w:eastAsia="ヒラギノ角ゴ Pro W3"/>
          <w:u w:color="000000"/>
          <w:lang w:eastAsia="en-GB"/>
        </w:rPr>
        <w:t xml:space="preserve"> taking into consideration new data demands that will surface in the years to come.</w:t>
      </w:r>
    </w:p>
    <w:p w14:paraId="4A0DA906" w14:textId="37FF0109" w:rsidR="00B64189" w:rsidRPr="009B4CC0" w:rsidRDefault="00EB0AF1" w:rsidP="00B64189">
      <w:pPr>
        <w:pStyle w:val="SingleTxtG"/>
        <w:rPr>
          <w:rFonts w:eastAsia="ヒラギノ角ゴ Pro W3"/>
          <w:u w:color="000000"/>
          <w:lang w:eastAsia="en-GB"/>
        </w:rPr>
      </w:pPr>
      <w:r w:rsidRPr="009B4CC0">
        <w:rPr>
          <w:rFonts w:eastAsia="ヒラギノ角ゴ Pro W3"/>
          <w:lang w:eastAsia="en-GB"/>
        </w:rPr>
        <w:t>30</w:t>
      </w:r>
      <w:r w:rsidR="00B64189" w:rsidRPr="009B4CC0">
        <w:rPr>
          <w:rFonts w:eastAsia="ヒラギノ角ゴ Pro W3"/>
          <w:lang w:eastAsia="en-GB"/>
        </w:rPr>
        <w:t>.</w:t>
      </w:r>
      <w:r w:rsidR="00B64189" w:rsidRPr="009B4CC0">
        <w:rPr>
          <w:rFonts w:eastAsia="ヒラギノ角ゴ Pro W3"/>
          <w:lang w:eastAsia="en-GB"/>
        </w:rPr>
        <w:tab/>
      </w:r>
      <w:r w:rsidR="00B64189" w:rsidRPr="009B4CC0">
        <w:rPr>
          <w:rFonts w:eastAsia="ヒラギノ角ゴ Pro W3"/>
          <w:u w:color="000000"/>
          <w:lang w:eastAsia="en-GB"/>
        </w:rPr>
        <w:t xml:space="preserve">It </w:t>
      </w:r>
      <w:r w:rsidR="00FB501E">
        <w:rPr>
          <w:rFonts w:eastAsia="ヒラギノ角ゴ Pro W3"/>
          <w:u w:color="000000"/>
          <w:lang w:eastAsia="en-GB"/>
        </w:rPr>
        <w:t xml:space="preserve">should </w:t>
      </w:r>
      <w:r w:rsidR="00B64189" w:rsidRPr="009B4CC0">
        <w:rPr>
          <w:rFonts w:eastAsia="ヒラギノ角ゴ Pro W3"/>
          <w:u w:color="000000"/>
          <w:lang w:eastAsia="en-GB"/>
        </w:rPr>
        <w:t>be noted that the Working Group has played an important role in establishing SEIS on many levels, e.g.</w:t>
      </w:r>
      <w:r w:rsidR="00FB501E">
        <w:rPr>
          <w:rFonts w:eastAsia="ヒラギノ角ゴ Pro W3"/>
          <w:u w:color="000000"/>
          <w:lang w:eastAsia="en-GB"/>
        </w:rPr>
        <w:t>,</w:t>
      </w:r>
      <w:r w:rsidR="00B64189" w:rsidRPr="009B4CC0">
        <w:rPr>
          <w:rFonts w:eastAsia="ヒラギノ角ゴ Pro W3"/>
          <w:u w:color="000000"/>
          <w:lang w:eastAsia="en-GB"/>
        </w:rPr>
        <w:t xml:space="preserve"> by building capacity, gathering and assessing data, and by advocating for the implementation of SEIS in the pan-European region. The range of actions for the future should build on this expertise when considering the type of capacity-building support that </w:t>
      </w:r>
      <w:proofErr w:type="gramStart"/>
      <w:r w:rsidR="00B64189" w:rsidRPr="009B4CC0">
        <w:rPr>
          <w:rFonts w:eastAsia="ヒラギノ角ゴ Pro W3"/>
          <w:u w:color="000000"/>
          <w:lang w:eastAsia="en-GB"/>
        </w:rPr>
        <w:t>can be provided</w:t>
      </w:r>
      <w:proofErr w:type="gramEnd"/>
      <w:r w:rsidR="00B64189" w:rsidRPr="009B4CC0">
        <w:rPr>
          <w:rFonts w:eastAsia="ヒラギノ角ゴ Pro W3"/>
          <w:u w:color="000000"/>
          <w:lang w:eastAsia="en-GB"/>
        </w:rPr>
        <w:t xml:space="preserve"> by the Working Group. To increase the capacity of its </w:t>
      </w:r>
      <w:r w:rsidR="001D4041" w:rsidRPr="009B4CC0">
        <w:rPr>
          <w:rFonts w:eastAsia="ヒラギノ角ゴ Pro W3"/>
          <w:u w:color="000000"/>
          <w:lang w:eastAsia="en-GB"/>
        </w:rPr>
        <w:t>target countries</w:t>
      </w:r>
      <w:r w:rsidR="00B64189" w:rsidRPr="009B4CC0">
        <w:rPr>
          <w:rFonts w:eastAsia="ヒラギノ角ゴ Pro W3"/>
          <w:u w:color="000000"/>
          <w:lang w:eastAsia="en-GB"/>
        </w:rPr>
        <w:t xml:space="preserve"> to monitor and report on the environment</w:t>
      </w:r>
      <w:r w:rsidR="00FB501E">
        <w:rPr>
          <w:rFonts w:eastAsia="ヒラギノ角ゴ Pro W3"/>
          <w:u w:color="000000"/>
          <w:lang w:eastAsia="en-GB"/>
        </w:rPr>
        <w:t>,</w:t>
      </w:r>
      <w:r w:rsidR="00B64189" w:rsidRPr="009B4CC0">
        <w:rPr>
          <w:rFonts w:eastAsia="ヒラギノ角ゴ Pro W3"/>
          <w:u w:color="000000"/>
          <w:lang w:eastAsia="en-GB"/>
        </w:rPr>
        <w:t xml:space="preserve"> it </w:t>
      </w:r>
      <w:proofErr w:type="gramStart"/>
      <w:r w:rsidR="00B64189" w:rsidRPr="009B4CC0">
        <w:rPr>
          <w:rFonts w:eastAsia="ヒラギノ角ゴ Pro W3"/>
          <w:u w:color="000000"/>
          <w:lang w:eastAsia="en-GB"/>
        </w:rPr>
        <w:t>is foreseen</w:t>
      </w:r>
      <w:proofErr w:type="gramEnd"/>
      <w:r w:rsidR="00B64189" w:rsidRPr="009B4CC0">
        <w:rPr>
          <w:rFonts w:eastAsia="ヒラギノ角ゴ Pro W3"/>
          <w:u w:color="000000"/>
          <w:lang w:eastAsia="en-GB"/>
        </w:rPr>
        <w:t xml:space="preserve"> that the Working Group </w:t>
      </w:r>
      <w:r w:rsidR="00FB501E">
        <w:rPr>
          <w:rFonts w:eastAsia="ヒラギノ角ゴ Pro W3"/>
          <w:u w:color="000000"/>
          <w:lang w:eastAsia="en-GB"/>
        </w:rPr>
        <w:t xml:space="preserve">will </w:t>
      </w:r>
      <w:r w:rsidR="00B64189" w:rsidRPr="009B4CC0">
        <w:rPr>
          <w:rFonts w:eastAsia="ヒラギノ角ゴ Pro W3"/>
          <w:u w:color="000000"/>
          <w:lang w:eastAsia="en-GB"/>
        </w:rPr>
        <w:t xml:space="preserve">continue to produce guidelines and (scalable) methodologies </w:t>
      </w:r>
      <w:r w:rsidR="00D77AEA" w:rsidRPr="009B4CC0">
        <w:rPr>
          <w:rFonts w:eastAsia="ヒラギノ角ゴ Pro W3"/>
          <w:u w:color="000000"/>
          <w:lang w:eastAsia="en-GB"/>
        </w:rPr>
        <w:t xml:space="preserve">that </w:t>
      </w:r>
      <w:r w:rsidR="00B64189" w:rsidRPr="009B4CC0">
        <w:rPr>
          <w:rFonts w:eastAsia="ヒラギノ角ゴ Pro W3"/>
          <w:u w:color="000000"/>
          <w:lang w:eastAsia="en-GB"/>
        </w:rPr>
        <w:t xml:space="preserve">address capacity-related challenges and gaps unique to the </w:t>
      </w:r>
      <w:r w:rsidR="00D77AEA" w:rsidRPr="009B4CC0">
        <w:rPr>
          <w:rFonts w:eastAsia="ヒラギノ角ゴ Pro W3"/>
          <w:u w:color="000000"/>
          <w:lang w:eastAsia="en-GB"/>
        </w:rPr>
        <w:t xml:space="preserve">pan-European </w:t>
      </w:r>
      <w:r w:rsidR="00B64189" w:rsidRPr="009B4CC0">
        <w:rPr>
          <w:rFonts w:eastAsia="ヒラギノ角ゴ Pro W3"/>
          <w:u w:color="000000"/>
          <w:lang w:eastAsia="en-GB"/>
        </w:rPr>
        <w:t xml:space="preserve">region. The goal </w:t>
      </w:r>
      <w:r w:rsidR="00FB501E">
        <w:rPr>
          <w:rFonts w:eastAsia="ヒラギノ角ゴ Pro W3"/>
          <w:u w:color="000000"/>
          <w:lang w:eastAsia="en-GB"/>
        </w:rPr>
        <w:t xml:space="preserve">will </w:t>
      </w:r>
      <w:r w:rsidR="00B64189" w:rsidRPr="009B4CC0">
        <w:rPr>
          <w:rFonts w:eastAsia="ヒラギノ角ゴ Pro W3"/>
          <w:u w:color="000000"/>
          <w:lang w:eastAsia="en-GB"/>
        </w:rPr>
        <w:t>also be to focus on scaling</w:t>
      </w:r>
      <w:r w:rsidR="00FB501E">
        <w:rPr>
          <w:rFonts w:eastAsia="ヒラギノ角ゴ Pro W3"/>
          <w:u w:color="000000"/>
          <w:lang w:eastAsia="en-GB"/>
        </w:rPr>
        <w:t>-</w:t>
      </w:r>
      <w:r w:rsidR="00B64189" w:rsidRPr="009B4CC0">
        <w:rPr>
          <w:rFonts w:eastAsia="ヒラギノ角ゴ Pro W3"/>
          <w:u w:color="000000"/>
          <w:lang w:eastAsia="en-GB"/>
        </w:rPr>
        <w:t>up technical assistance</w:t>
      </w:r>
      <w:r w:rsidR="00FB501E">
        <w:rPr>
          <w:rFonts w:eastAsia="ヒラギノ角ゴ Pro W3"/>
          <w:u w:color="000000"/>
          <w:lang w:eastAsia="en-GB"/>
        </w:rPr>
        <w:t xml:space="preserve"> activities,</w:t>
      </w:r>
      <w:r w:rsidR="00B64189" w:rsidRPr="009B4CC0">
        <w:rPr>
          <w:rFonts w:eastAsia="ヒラギノ角ゴ Pro W3"/>
          <w:u w:color="000000"/>
          <w:lang w:eastAsia="en-GB"/>
        </w:rPr>
        <w:t xml:space="preserve"> </w:t>
      </w:r>
      <w:r w:rsidR="00FB501E">
        <w:rPr>
          <w:rFonts w:eastAsia="ヒラギノ角ゴ Pro W3"/>
          <w:u w:color="000000"/>
          <w:lang w:eastAsia="en-GB"/>
        </w:rPr>
        <w:t xml:space="preserve">by </w:t>
      </w:r>
      <w:r w:rsidR="00B64189" w:rsidRPr="009B4CC0">
        <w:rPr>
          <w:rFonts w:eastAsia="ヒラギノ角ゴ Pro W3"/>
          <w:u w:color="000000"/>
          <w:lang w:eastAsia="en-GB"/>
        </w:rPr>
        <w:t xml:space="preserve">training national stakeholders how to improve the production of and access to environmental information and data for monitoring and assessment as part of building organizational capacity. </w:t>
      </w:r>
    </w:p>
    <w:p w14:paraId="091A1B0F" w14:textId="77A5DD74" w:rsidR="00B64189" w:rsidRPr="009B4CC0" w:rsidRDefault="00965BD8" w:rsidP="00B64189">
      <w:pPr>
        <w:pStyle w:val="SingleTxtG"/>
        <w:rPr>
          <w:rFonts w:eastAsia="ヒラギノ角ゴ Pro W3"/>
          <w:u w:color="000000"/>
          <w:lang w:eastAsia="en-GB"/>
        </w:rPr>
      </w:pPr>
      <w:r w:rsidRPr="009B4CC0">
        <w:rPr>
          <w:rFonts w:eastAsia="ヒラギノ角ゴ Pro W3"/>
          <w:lang w:eastAsia="en-GB"/>
        </w:rPr>
        <w:t>3</w:t>
      </w:r>
      <w:r w:rsidR="00EB0AF1" w:rsidRPr="009B4CC0">
        <w:rPr>
          <w:rFonts w:eastAsia="ヒラギノ角ゴ Pro W3"/>
          <w:lang w:eastAsia="en-GB"/>
        </w:rPr>
        <w:t>1</w:t>
      </w:r>
      <w:r w:rsidR="00B64189" w:rsidRPr="009B4CC0">
        <w:rPr>
          <w:rFonts w:eastAsia="ヒラギノ角ゴ Pro W3"/>
          <w:lang w:eastAsia="en-GB"/>
        </w:rPr>
        <w:t>.</w:t>
      </w:r>
      <w:r w:rsidR="00B64189" w:rsidRPr="009B4CC0">
        <w:rPr>
          <w:rFonts w:eastAsia="ヒラギノ角ゴ Pro W3"/>
          <w:lang w:eastAsia="en-GB"/>
        </w:rPr>
        <w:tab/>
      </w:r>
      <w:r w:rsidR="00B64189" w:rsidRPr="009B4CC0">
        <w:rPr>
          <w:rFonts w:eastAsia="ヒラギノ角ゴ Pro W3"/>
          <w:u w:color="000000"/>
          <w:lang w:eastAsia="en-GB"/>
        </w:rPr>
        <w:t>It should also be recogni</w:t>
      </w:r>
      <w:r w:rsidR="00FB501E">
        <w:rPr>
          <w:rFonts w:eastAsia="ヒラギノ角ゴ Pro W3"/>
          <w:u w:color="000000"/>
          <w:lang w:eastAsia="en-GB"/>
        </w:rPr>
        <w:t>z</w:t>
      </w:r>
      <w:r w:rsidR="00B64189" w:rsidRPr="009B4CC0">
        <w:rPr>
          <w:rFonts w:eastAsia="ヒラギノ角ゴ Pro W3"/>
          <w:u w:color="000000"/>
          <w:lang w:eastAsia="en-GB"/>
        </w:rPr>
        <w:t xml:space="preserve">ed that </w:t>
      </w:r>
      <w:proofErr w:type="gramStart"/>
      <w:r w:rsidR="00B64189" w:rsidRPr="009B4CC0">
        <w:rPr>
          <w:rFonts w:eastAsia="ヒラギノ角ゴ Pro W3"/>
          <w:u w:color="000000"/>
          <w:lang w:eastAsia="en-GB"/>
        </w:rPr>
        <w:t>capacity-building</w:t>
      </w:r>
      <w:proofErr w:type="gramEnd"/>
      <w:r w:rsidR="00B64189" w:rsidRPr="009B4CC0">
        <w:rPr>
          <w:rFonts w:eastAsia="ヒラギノ角ゴ Pro W3"/>
          <w:u w:color="000000"/>
          <w:lang w:eastAsia="en-GB"/>
        </w:rPr>
        <w:t xml:space="preserve"> is not only about human resource development</w:t>
      </w:r>
      <w:r w:rsidR="00485F51">
        <w:rPr>
          <w:rFonts w:eastAsia="ヒラギノ角ゴ Pro W3"/>
          <w:u w:color="000000"/>
          <w:lang w:eastAsia="en-GB"/>
        </w:rPr>
        <w:t>.</w:t>
      </w:r>
      <w:r w:rsidR="00B64189" w:rsidRPr="009B4CC0">
        <w:rPr>
          <w:rFonts w:eastAsia="ヒラギノ角ゴ Pro W3"/>
          <w:u w:color="000000"/>
          <w:lang w:eastAsia="en-GB"/>
        </w:rPr>
        <w:t xml:space="preserve"> </w:t>
      </w:r>
      <w:r w:rsidR="006101C0">
        <w:rPr>
          <w:rFonts w:eastAsia="ヒラギノ角ゴ Pro W3"/>
          <w:u w:color="000000"/>
          <w:lang w:eastAsia="en-GB"/>
        </w:rPr>
        <w:t>T</w:t>
      </w:r>
      <w:r w:rsidR="00B64189" w:rsidRPr="009B4CC0">
        <w:rPr>
          <w:rFonts w:eastAsia="ヒラギノ角ゴ Pro W3"/>
          <w:u w:color="000000"/>
          <w:lang w:eastAsia="en-GB"/>
        </w:rPr>
        <w:t>he approach will be integrative</w:t>
      </w:r>
      <w:r w:rsidR="006101C0">
        <w:rPr>
          <w:rFonts w:eastAsia="ヒラギノ角ゴ Pro W3"/>
          <w:u w:color="000000"/>
          <w:lang w:eastAsia="en-GB"/>
        </w:rPr>
        <w:t>,</w:t>
      </w:r>
      <w:r w:rsidR="00B64189" w:rsidRPr="009B4CC0">
        <w:rPr>
          <w:rFonts w:eastAsia="ヒラギノ角ゴ Pro W3"/>
          <w:u w:color="000000"/>
          <w:lang w:eastAsia="en-GB"/>
        </w:rPr>
        <w:t xml:space="preserve"> and consider the sustainability of capacity-building efforts, national ownership and policy-level impacts. Perhaps even more important will be to help create a systemic and enabling environment through the </w:t>
      </w:r>
      <w:r w:rsidR="00B11941" w:rsidRPr="009B4CC0">
        <w:rPr>
          <w:rFonts w:eastAsia="ヒラギノ角ゴ Pro W3"/>
          <w:u w:color="000000"/>
          <w:lang w:eastAsia="en-GB"/>
        </w:rPr>
        <w:t xml:space="preserve">sessions of the Working Group and the </w:t>
      </w:r>
      <w:r w:rsidR="00D77AEA" w:rsidRPr="009B4CC0">
        <w:rPr>
          <w:rFonts w:eastAsia="ヒラギノ角ゴ Pro W3"/>
          <w:u w:color="000000"/>
          <w:lang w:eastAsia="en-GB"/>
        </w:rPr>
        <w:t xml:space="preserve">development </w:t>
      </w:r>
      <w:r w:rsidR="00B64189" w:rsidRPr="009B4CC0">
        <w:rPr>
          <w:rFonts w:eastAsia="ヒラギノ角ゴ Pro W3"/>
          <w:u w:color="000000"/>
          <w:lang w:eastAsia="en-GB"/>
        </w:rPr>
        <w:t xml:space="preserve">of tools, guidelines and </w:t>
      </w:r>
      <w:r w:rsidR="00B11941" w:rsidRPr="009B4CC0">
        <w:rPr>
          <w:rFonts w:eastAsia="ヒラギノ角ゴ Pro W3"/>
          <w:u w:color="000000"/>
          <w:lang w:eastAsia="en-GB"/>
        </w:rPr>
        <w:t>methodologies</w:t>
      </w:r>
      <w:r w:rsidR="00D77AEA" w:rsidRPr="009B4CC0">
        <w:rPr>
          <w:rFonts w:eastAsia="ヒラギノ角ゴ Pro W3"/>
          <w:u w:color="000000"/>
          <w:lang w:eastAsia="en-GB"/>
        </w:rPr>
        <w:t xml:space="preserve">, addressing key </w:t>
      </w:r>
      <w:r w:rsidR="00B11941" w:rsidRPr="009B4CC0">
        <w:rPr>
          <w:rFonts w:eastAsia="ヒラギノ角ゴ Pro W3"/>
          <w:u w:color="000000"/>
          <w:lang w:eastAsia="en-GB"/>
        </w:rPr>
        <w:t>capacity gaps</w:t>
      </w:r>
      <w:r w:rsidR="00D77AEA" w:rsidRPr="009B4CC0">
        <w:rPr>
          <w:rFonts w:eastAsia="ヒラギノ角ゴ Pro W3"/>
          <w:u w:color="000000"/>
          <w:lang w:eastAsia="en-GB"/>
        </w:rPr>
        <w:t xml:space="preserve"> and new data demands</w:t>
      </w:r>
      <w:r w:rsidR="00B64189" w:rsidRPr="009B4CC0">
        <w:rPr>
          <w:rFonts w:eastAsia="ヒラギノ角ゴ Pro W3"/>
          <w:u w:color="000000"/>
          <w:lang w:eastAsia="en-GB"/>
        </w:rPr>
        <w:t xml:space="preserve">. The long-term goal </w:t>
      </w:r>
      <w:r w:rsidR="00FB501E">
        <w:rPr>
          <w:rFonts w:eastAsia="ヒラギノ角ゴ Pro W3"/>
          <w:u w:color="000000"/>
          <w:lang w:eastAsia="en-GB"/>
        </w:rPr>
        <w:t xml:space="preserve">is </w:t>
      </w:r>
      <w:r w:rsidR="00B64189" w:rsidRPr="009B4CC0">
        <w:rPr>
          <w:rFonts w:eastAsia="ヒラギノ角ゴ Pro W3"/>
          <w:u w:color="000000"/>
          <w:lang w:eastAsia="en-GB"/>
        </w:rPr>
        <w:t xml:space="preserve">to focus </w:t>
      </w:r>
      <w:r w:rsidR="00FB501E">
        <w:rPr>
          <w:rFonts w:eastAsia="ヒラギノ角ゴ Pro W3"/>
          <w:u w:color="000000"/>
          <w:lang w:eastAsia="en-GB"/>
        </w:rPr>
        <w:t xml:space="preserve">not only </w:t>
      </w:r>
      <w:r w:rsidR="00B64189" w:rsidRPr="009B4CC0">
        <w:rPr>
          <w:rFonts w:eastAsia="ヒラギノ角ゴ Pro W3"/>
          <w:u w:color="000000"/>
          <w:lang w:eastAsia="en-GB"/>
        </w:rPr>
        <w:t>on outputs</w:t>
      </w:r>
      <w:r w:rsidR="00FB501E">
        <w:rPr>
          <w:rFonts w:eastAsia="ヒラギノ角ゴ Pro W3"/>
          <w:u w:color="000000"/>
          <w:lang w:eastAsia="en-GB"/>
        </w:rPr>
        <w:t>,</w:t>
      </w:r>
      <w:r w:rsidR="00B64189" w:rsidRPr="009B4CC0">
        <w:rPr>
          <w:rFonts w:eastAsia="ヒラギノ角ゴ Pro W3"/>
          <w:u w:color="000000"/>
          <w:lang w:eastAsia="en-GB"/>
        </w:rPr>
        <w:t xml:space="preserve"> but also to harness the processes that lead to these outputs, which is </w:t>
      </w:r>
      <w:r w:rsidR="00FB501E">
        <w:rPr>
          <w:rFonts w:eastAsia="ヒラギノ角ゴ Pro W3"/>
          <w:u w:color="000000"/>
          <w:lang w:eastAsia="en-GB"/>
        </w:rPr>
        <w:t xml:space="preserve">a </w:t>
      </w:r>
      <w:r w:rsidR="00B64189" w:rsidRPr="009B4CC0">
        <w:rPr>
          <w:rFonts w:eastAsia="ヒラギノ角ゴ Pro W3"/>
          <w:u w:color="000000"/>
          <w:lang w:eastAsia="en-GB"/>
        </w:rPr>
        <w:t>key strength of the Working Group.</w:t>
      </w:r>
    </w:p>
    <w:p w14:paraId="498CB3B0" w14:textId="312DA965" w:rsidR="00B64189" w:rsidRPr="009B4CC0" w:rsidRDefault="009B4CC0" w:rsidP="0069448A">
      <w:pPr>
        <w:pStyle w:val="H23G"/>
        <w:rPr>
          <w:rFonts w:eastAsia="ヒラギノ角ゴ Pro W3"/>
          <w:u w:color="000000"/>
          <w:lang w:eastAsia="en-GB"/>
        </w:rPr>
      </w:pPr>
      <w:r>
        <w:rPr>
          <w:rFonts w:eastAsia="ヒラギノ角ゴ Pro W3"/>
          <w:u w:color="000000"/>
          <w:lang w:eastAsia="en-GB"/>
        </w:rPr>
        <w:tab/>
      </w:r>
      <w:r>
        <w:rPr>
          <w:rFonts w:eastAsia="ヒラギノ角ゴ Pro W3"/>
          <w:u w:color="000000"/>
          <w:lang w:eastAsia="en-GB"/>
        </w:rPr>
        <w:tab/>
      </w:r>
      <w:r w:rsidR="00B64189" w:rsidRPr="009B4CC0">
        <w:rPr>
          <w:rFonts w:eastAsia="ヒラギノ角ゴ Pro W3"/>
          <w:u w:color="000000"/>
          <w:lang w:eastAsia="en-GB"/>
        </w:rPr>
        <w:t xml:space="preserve">Communication and </w:t>
      </w:r>
      <w:r w:rsidR="00FB501E">
        <w:rPr>
          <w:rFonts w:eastAsia="ヒラギノ角ゴ Pro W3"/>
          <w:u w:color="000000"/>
          <w:lang w:eastAsia="en-GB"/>
        </w:rPr>
        <w:t>c</w:t>
      </w:r>
      <w:r w:rsidR="00B64189" w:rsidRPr="009B4CC0">
        <w:rPr>
          <w:rFonts w:eastAsia="ヒラギノ角ゴ Pro W3"/>
          <w:u w:color="000000"/>
          <w:lang w:eastAsia="en-GB"/>
        </w:rPr>
        <w:t>ooperation</w:t>
      </w:r>
    </w:p>
    <w:p w14:paraId="35D64B58" w14:textId="6886416C" w:rsidR="00B64189" w:rsidRPr="009B4CC0" w:rsidRDefault="00965BD8" w:rsidP="00B64189">
      <w:pPr>
        <w:pStyle w:val="SingleTxtG"/>
        <w:rPr>
          <w:rFonts w:eastAsia="ヒラギノ角ゴ Pro W3"/>
          <w:u w:color="000000"/>
          <w:lang w:eastAsia="en-GB"/>
        </w:rPr>
      </w:pPr>
      <w:r w:rsidRPr="009B4CC0">
        <w:rPr>
          <w:rFonts w:eastAsia="ヒラギノ角ゴ Pro W3"/>
          <w:lang w:eastAsia="en-GB"/>
        </w:rPr>
        <w:t>3</w:t>
      </w:r>
      <w:r w:rsidR="00EB0AF1" w:rsidRPr="009B4CC0">
        <w:rPr>
          <w:rFonts w:eastAsia="ヒラギノ角ゴ Pro W3"/>
          <w:lang w:eastAsia="en-GB"/>
        </w:rPr>
        <w:t>2</w:t>
      </w:r>
      <w:r w:rsidR="00B64189" w:rsidRPr="009B4CC0">
        <w:rPr>
          <w:rFonts w:eastAsia="ヒラギノ角ゴ Pro W3"/>
          <w:lang w:eastAsia="en-GB"/>
        </w:rPr>
        <w:t>.</w:t>
      </w:r>
      <w:r w:rsidR="00B64189" w:rsidRPr="009B4CC0">
        <w:rPr>
          <w:rFonts w:eastAsia="ヒラギノ角ゴ Pro W3"/>
          <w:lang w:eastAsia="en-GB"/>
        </w:rPr>
        <w:tab/>
      </w:r>
      <w:r w:rsidR="00B64189" w:rsidRPr="009B4CC0">
        <w:rPr>
          <w:rFonts w:eastAsia="ヒラギノ角ゴ Pro W3"/>
          <w:u w:color="000000"/>
          <w:lang w:eastAsia="en-GB"/>
        </w:rPr>
        <w:t>The Working Group recogni</w:t>
      </w:r>
      <w:r w:rsidR="00FB501E">
        <w:rPr>
          <w:rFonts w:eastAsia="ヒラギノ角ゴ Pro W3"/>
          <w:u w:color="000000"/>
          <w:lang w:eastAsia="en-GB"/>
        </w:rPr>
        <w:t>z</w:t>
      </w:r>
      <w:r w:rsidR="00B64189" w:rsidRPr="009B4CC0">
        <w:rPr>
          <w:rFonts w:eastAsia="ヒラギノ角ゴ Pro W3"/>
          <w:u w:color="000000"/>
          <w:lang w:eastAsia="en-GB"/>
        </w:rPr>
        <w:t xml:space="preserve">es the importance of cooperation </w:t>
      </w:r>
      <w:r w:rsidR="00FB501E">
        <w:rPr>
          <w:rFonts w:eastAsia="ヒラギノ角ゴ Pro W3"/>
          <w:u w:color="000000"/>
          <w:lang w:eastAsia="en-GB"/>
        </w:rPr>
        <w:t xml:space="preserve">and </w:t>
      </w:r>
      <w:r w:rsidR="00B64189" w:rsidRPr="009B4CC0">
        <w:rPr>
          <w:rFonts w:eastAsia="ヒラギノ角ゴ Pro W3"/>
          <w:u w:color="000000"/>
          <w:lang w:eastAsia="en-GB"/>
        </w:rPr>
        <w:t xml:space="preserve">the strategic value in addressing the lack thereof, in particular, as this may help to streamline activities and improve the efficiency of environmental monitoring and reporting. It is </w:t>
      </w:r>
      <w:r w:rsidR="00FB501E">
        <w:rPr>
          <w:rFonts w:eastAsia="ヒラギノ角ゴ Pro W3"/>
          <w:u w:color="000000"/>
          <w:lang w:eastAsia="en-GB"/>
        </w:rPr>
        <w:t xml:space="preserve">therefore </w:t>
      </w:r>
      <w:r w:rsidR="00B64189" w:rsidRPr="009B4CC0">
        <w:rPr>
          <w:rFonts w:eastAsia="ヒラギノ角ゴ Pro W3"/>
          <w:u w:color="000000"/>
          <w:lang w:eastAsia="en-GB"/>
        </w:rPr>
        <w:t xml:space="preserve">important that the Working Group </w:t>
      </w:r>
      <w:proofErr w:type="gramStart"/>
      <w:r w:rsidR="00B64189" w:rsidRPr="009B4CC0">
        <w:rPr>
          <w:rFonts w:eastAsia="ヒラギノ角ゴ Pro W3"/>
          <w:u w:color="000000"/>
          <w:lang w:eastAsia="en-GB"/>
        </w:rPr>
        <w:t>finds</w:t>
      </w:r>
      <w:proofErr w:type="gramEnd"/>
      <w:r w:rsidR="00B64189" w:rsidRPr="009B4CC0">
        <w:rPr>
          <w:rFonts w:eastAsia="ヒラギノ角ゴ Pro W3"/>
          <w:u w:color="000000"/>
          <w:lang w:eastAsia="en-GB"/>
        </w:rPr>
        <w:t xml:space="preserve"> new momentum to revitalize the forum as a first step to address this concern. This </w:t>
      </w:r>
      <w:r w:rsidR="00FB501E">
        <w:rPr>
          <w:rFonts w:eastAsia="ヒラギノ角ゴ Pro W3"/>
          <w:u w:color="000000"/>
          <w:lang w:eastAsia="en-GB"/>
        </w:rPr>
        <w:t xml:space="preserve">is </w:t>
      </w:r>
      <w:r w:rsidR="00B64189" w:rsidRPr="009B4CC0">
        <w:rPr>
          <w:rFonts w:eastAsia="ヒラギノ角ゴ Pro W3"/>
          <w:u w:color="000000"/>
          <w:lang w:eastAsia="en-GB"/>
        </w:rPr>
        <w:t xml:space="preserve">a prerequisite to having a clear vision and the Working Group </w:t>
      </w:r>
      <w:proofErr w:type="gramStart"/>
      <w:r w:rsidR="00B64189" w:rsidRPr="009B4CC0">
        <w:rPr>
          <w:rFonts w:eastAsia="ヒラギノ角ゴ Pro W3"/>
          <w:u w:color="000000"/>
          <w:lang w:eastAsia="en-GB"/>
        </w:rPr>
        <w:t>is uniquely positioned</w:t>
      </w:r>
      <w:proofErr w:type="gramEnd"/>
      <w:r w:rsidR="00B64189" w:rsidRPr="009B4CC0">
        <w:rPr>
          <w:rFonts w:eastAsia="ヒラギノ角ゴ Pro W3"/>
          <w:u w:color="000000"/>
          <w:lang w:eastAsia="en-GB"/>
        </w:rPr>
        <w:t xml:space="preserve"> to drive the formulation and realization of this vision.</w:t>
      </w:r>
    </w:p>
    <w:p w14:paraId="791531BA" w14:textId="444EEDBD" w:rsidR="00B64189" w:rsidRPr="009B4CC0" w:rsidRDefault="00BA0DC3" w:rsidP="00B64189">
      <w:pPr>
        <w:pStyle w:val="SingleTxtG"/>
        <w:rPr>
          <w:rFonts w:eastAsia="ヒラギノ角ゴ Pro W3"/>
          <w:u w:color="000000"/>
          <w:lang w:eastAsia="en-GB"/>
        </w:rPr>
      </w:pPr>
      <w:r w:rsidRPr="009B4CC0">
        <w:rPr>
          <w:rFonts w:eastAsia="ヒラギノ角ゴ Pro W3"/>
          <w:lang w:eastAsia="en-GB"/>
        </w:rPr>
        <w:t>3</w:t>
      </w:r>
      <w:r w:rsidR="00EB0AF1" w:rsidRPr="009B4CC0">
        <w:rPr>
          <w:rFonts w:eastAsia="ヒラギノ角ゴ Pro W3"/>
          <w:lang w:eastAsia="en-GB"/>
        </w:rPr>
        <w:t>3</w:t>
      </w:r>
      <w:r w:rsidR="00B64189" w:rsidRPr="009B4CC0">
        <w:rPr>
          <w:rFonts w:eastAsia="ヒラギノ角ゴ Pro W3"/>
          <w:lang w:eastAsia="en-GB"/>
        </w:rPr>
        <w:t>.</w:t>
      </w:r>
      <w:r w:rsidR="00B64189" w:rsidRPr="009B4CC0">
        <w:rPr>
          <w:rFonts w:eastAsia="ヒラギノ角ゴ Pro W3"/>
          <w:lang w:eastAsia="en-GB"/>
        </w:rPr>
        <w:tab/>
      </w:r>
      <w:r w:rsidR="00B64189" w:rsidRPr="009B4CC0">
        <w:rPr>
          <w:rFonts w:eastAsia="ヒラギノ角ゴ Pro W3"/>
          <w:u w:color="000000"/>
          <w:lang w:eastAsia="en-GB"/>
        </w:rPr>
        <w:t xml:space="preserve">The overarching goal </w:t>
      </w:r>
      <w:r w:rsidR="00701028">
        <w:rPr>
          <w:rFonts w:eastAsia="ヒラギノ角ゴ Pro W3"/>
          <w:u w:color="000000"/>
          <w:lang w:eastAsia="en-GB"/>
        </w:rPr>
        <w:t xml:space="preserve">is to </w:t>
      </w:r>
      <w:r w:rsidR="00B64189" w:rsidRPr="009B4CC0">
        <w:rPr>
          <w:rFonts w:eastAsia="ヒラギノ角ゴ Pro W3"/>
          <w:u w:color="000000"/>
          <w:lang w:eastAsia="en-GB"/>
        </w:rPr>
        <w:t>deepen the collective effort to promote the sharing of knowledge, experiences and technology to support capacity</w:t>
      </w:r>
      <w:r w:rsidR="00701028">
        <w:rPr>
          <w:rFonts w:eastAsia="ヒラギノ角ゴ Pro W3"/>
          <w:u w:color="000000"/>
          <w:lang w:eastAsia="en-GB"/>
        </w:rPr>
        <w:t>-</w:t>
      </w:r>
      <w:r w:rsidR="00B64189" w:rsidRPr="009B4CC0">
        <w:rPr>
          <w:rFonts w:eastAsia="ヒラギノ角ゴ Pro W3"/>
          <w:u w:color="000000"/>
          <w:lang w:eastAsia="en-GB"/>
        </w:rPr>
        <w:t xml:space="preserve">building and human resource development in the pan-European region leading up to 2021. </w:t>
      </w:r>
      <w:r w:rsidR="00701028">
        <w:rPr>
          <w:rFonts w:eastAsia="ヒラギノ角ゴ Pro W3"/>
          <w:u w:color="000000"/>
          <w:lang w:eastAsia="en-GB"/>
        </w:rPr>
        <w:t xml:space="preserve">In order to do so, </w:t>
      </w:r>
      <w:r w:rsidR="00B64189" w:rsidRPr="009B4CC0">
        <w:rPr>
          <w:rFonts w:eastAsia="ヒラギノ角ゴ Pro W3"/>
          <w:u w:color="000000"/>
          <w:lang w:eastAsia="en-GB"/>
        </w:rPr>
        <w:t xml:space="preserve">the Working Group </w:t>
      </w:r>
      <w:r w:rsidR="00701028">
        <w:rPr>
          <w:rFonts w:eastAsia="ヒラギノ角ゴ Pro W3"/>
          <w:u w:color="000000"/>
          <w:lang w:eastAsia="en-GB"/>
        </w:rPr>
        <w:t xml:space="preserve">must </w:t>
      </w:r>
      <w:r w:rsidR="00B64189" w:rsidRPr="009B4CC0">
        <w:rPr>
          <w:rFonts w:eastAsia="ヒラギノ角ゴ Pro W3"/>
          <w:u w:color="000000"/>
          <w:lang w:eastAsia="en-GB"/>
        </w:rPr>
        <w:t xml:space="preserve">consolidate its regional profile and establish a distinct position in which it can play a constructive and complementary role together with other international, regional and </w:t>
      </w:r>
      <w:proofErr w:type="spellStart"/>
      <w:r w:rsidR="00B64189" w:rsidRPr="009B4CC0">
        <w:rPr>
          <w:rFonts w:eastAsia="ヒラギノ角ゴ Pro W3"/>
          <w:u w:color="000000"/>
          <w:lang w:eastAsia="en-GB"/>
        </w:rPr>
        <w:t>subregional</w:t>
      </w:r>
      <w:proofErr w:type="spellEnd"/>
      <w:r w:rsidR="00B64189" w:rsidRPr="009B4CC0">
        <w:rPr>
          <w:rFonts w:eastAsia="ヒラギノ角ゴ Pro W3"/>
          <w:u w:color="000000"/>
          <w:lang w:eastAsia="en-GB"/>
        </w:rPr>
        <w:t xml:space="preserve"> forums. </w:t>
      </w:r>
      <w:r w:rsidR="00701028">
        <w:rPr>
          <w:rFonts w:eastAsia="ヒラギノ角ゴ Pro W3"/>
          <w:u w:color="000000"/>
          <w:lang w:eastAsia="en-GB"/>
        </w:rPr>
        <w:t>T</w:t>
      </w:r>
      <w:r w:rsidR="00F05CFA" w:rsidRPr="009B4CC0">
        <w:rPr>
          <w:rFonts w:eastAsia="ヒラギノ角ゴ Pro W3"/>
          <w:u w:color="000000"/>
          <w:lang w:eastAsia="en-GB"/>
        </w:rPr>
        <w:t xml:space="preserve">he Working Group </w:t>
      </w:r>
      <w:r w:rsidR="00701028">
        <w:rPr>
          <w:rFonts w:eastAsia="ヒラギノ角ゴ Pro W3"/>
          <w:u w:color="000000"/>
          <w:lang w:eastAsia="en-GB"/>
        </w:rPr>
        <w:t xml:space="preserve">will also need to </w:t>
      </w:r>
      <w:r w:rsidR="0047182B" w:rsidRPr="009B4CC0">
        <w:rPr>
          <w:rFonts w:eastAsia="ヒラギノ角ゴ Pro W3"/>
          <w:u w:color="000000"/>
          <w:lang w:eastAsia="en-GB"/>
        </w:rPr>
        <w:t>increase</w:t>
      </w:r>
      <w:r w:rsidR="00F05CFA" w:rsidRPr="009B4CC0">
        <w:rPr>
          <w:rFonts w:eastAsia="ヒラギノ角ゴ Pro W3"/>
          <w:u w:color="000000"/>
          <w:lang w:eastAsia="en-GB"/>
        </w:rPr>
        <w:t xml:space="preserve"> participation in its activities </w:t>
      </w:r>
      <w:r w:rsidR="00701028">
        <w:rPr>
          <w:rFonts w:eastAsia="ヒラギノ角ゴ Pro W3"/>
          <w:u w:color="000000"/>
          <w:lang w:eastAsia="en-GB"/>
        </w:rPr>
        <w:t xml:space="preserve">to cover </w:t>
      </w:r>
      <w:r w:rsidR="00F05CFA" w:rsidRPr="009B4CC0">
        <w:rPr>
          <w:rFonts w:eastAsia="ヒラギノ角ゴ Pro W3"/>
          <w:u w:color="000000"/>
          <w:lang w:eastAsia="en-GB"/>
        </w:rPr>
        <w:t xml:space="preserve">the pan-European region as a whole. </w:t>
      </w:r>
    </w:p>
    <w:p w14:paraId="3D21A6B4" w14:textId="18BCAC9E" w:rsidR="00B64189" w:rsidRPr="009B4CC0" w:rsidRDefault="00BA0DC3" w:rsidP="00B64189">
      <w:pPr>
        <w:pStyle w:val="SingleTxtG"/>
        <w:rPr>
          <w:rFonts w:eastAsia="ヒラギノ角ゴ Pro W3"/>
          <w:u w:color="000000"/>
          <w:lang w:eastAsia="en-GB"/>
        </w:rPr>
      </w:pPr>
      <w:r w:rsidRPr="009B4CC0">
        <w:rPr>
          <w:rFonts w:eastAsia="ヒラギノ角ゴ Pro W3"/>
          <w:lang w:eastAsia="en-GB"/>
        </w:rPr>
        <w:t>3</w:t>
      </w:r>
      <w:r w:rsidR="00EB0AF1" w:rsidRPr="009B4CC0">
        <w:rPr>
          <w:rFonts w:eastAsia="ヒラギノ角ゴ Pro W3"/>
          <w:lang w:eastAsia="en-GB"/>
        </w:rPr>
        <w:t>4</w:t>
      </w:r>
      <w:r w:rsidR="00B64189" w:rsidRPr="009B4CC0">
        <w:rPr>
          <w:rFonts w:eastAsia="ヒラギノ角ゴ Pro W3"/>
          <w:lang w:eastAsia="en-GB"/>
        </w:rPr>
        <w:t>.</w:t>
      </w:r>
      <w:r w:rsidR="00B64189" w:rsidRPr="009B4CC0">
        <w:rPr>
          <w:rFonts w:eastAsia="ヒラギノ角ゴ Pro W3"/>
          <w:lang w:eastAsia="en-GB"/>
        </w:rPr>
        <w:tab/>
      </w:r>
      <w:r w:rsidR="00B64189" w:rsidRPr="009B4CC0">
        <w:rPr>
          <w:rFonts w:eastAsia="ヒラギノ角ゴ Pro W3"/>
          <w:u w:color="000000"/>
          <w:lang w:eastAsia="en-GB"/>
        </w:rPr>
        <w:t>The key element to achieve this will be to enhance the Working Group</w:t>
      </w:r>
      <w:r w:rsidR="00701028">
        <w:rPr>
          <w:rFonts w:eastAsia="ヒラギノ角ゴ Pro W3"/>
          <w:u w:color="000000"/>
          <w:lang w:eastAsia="en-GB"/>
        </w:rPr>
        <w:t>’</w:t>
      </w:r>
      <w:r w:rsidR="00B64189" w:rsidRPr="009B4CC0">
        <w:rPr>
          <w:rFonts w:eastAsia="ヒラギノ角ゴ Pro W3"/>
          <w:u w:color="000000"/>
          <w:lang w:eastAsia="en-GB"/>
        </w:rPr>
        <w:t xml:space="preserve">s role as an active forum for dialogue and collective action on regional issues of common concern and to promote the </w:t>
      </w:r>
      <w:r w:rsidR="00701028">
        <w:rPr>
          <w:rFonts w:eastAsia="ヒラギノ角ゴ Pro W3"/>
          <w:u w:color="000000"/>
          <w:lang w:eastAsia="en-GB"/>
        </w:rPr>
        <w:t>G</w:t>
      </w:r>
      <w:r w:rsidR="00B64189" w:rsidRPr="009B4CC0">
        <w:rPr>
          <w:rFonts w:eastAsia="ヒラギノ角ゴ Pro W3"/>
          <w:u w:color="000000"/>
          <w:lang w:eastAsia="en-GB"/>
        </w:rPr>
        <w:t>roup</w:t>
      </w:r>
      <w:r w:rsidR="00701028">
        <w:rPr>
          <w:rFonts w:eastAsia="ヒラギノ角ゴ Pro W3"/>
          <w:u w:color="000000"/>
          <w:lang w:eastAsia="en-GB"/>
        </w:rPr>
        <w:t>’</w:t>
      </w:r>
      <w:r w:rsidR="00B64189" w:rsidRPr="009B4CC0">
        <w:rPr>
          <w:rFonts w:eastAsia="ヒラギノ角ゴ Pro W3"/>
          <w:u w:color="000000"/>
          <w:lang w:eastAsia="en-GB"/>
        </w:rPr>
        <w:t>s engagement with relevant stakeholders, including international organi</w:t>
      </w:r>
      <w:r w:rsidR="00701028">
        <w:rPr>
          <w:rFonts w:eastAsia="ヒラギノ角ゴ Pro W3"/>
          <w:u w:color="000000"/>
          <w:lang w:eastAsia="en-GB"/>
        </w:rPr>
        <w:t>z</w:t>
      </w:r>
      <w:r w:rsidR="00B64189" w:rsidRPr="009B4CC0">
        <w:rPr>
          <w:rFonts w:eastAsia="ヒラギノ角ゴ Pro W3"/>
          <w:u w:color="000000"/>
          <w:lang w:eastAsia="en-GB"/>
        </w:rPr>
        <w:t xml:space="preserve">ations. </w:t>
      </w:r>
      <w:proofErr w:type="gramStart"/>
      <w:r w:rsidR="00B64189" w:rsidRPr="009B4CC0">
        <w:rPr>
          <w:rFonts w:eastAsia="ヒラギノ角ゴ Pro W3"/>
          <w:u w:color="000000"/>
          <w:lang w:eastAsia="en-GB"/>
        </w:rPr>
        <w:t>Also</w:t>
      </w:r>
      <w:proofErr w:type="gramEnd"/>
      <w:r w:rsidR="00B64189" w:rsidRPr="009B4CC0">
        <w:rPr>
          <w:rFonts w:eastAsia="ヒラギノ角ゴ Pro W3"/>
          <w:u w:color="000000"/>
          <w:lang w:eastAsia="en-GB"/>
        </w:rPr>
        <w:t xml:space="preserve">, it </w:t>
      </w:r>
      <w:r w:rsidR="00701028">
        <w:rPr>
          <w:rFonts w:eastAsia="ヒラギノ角ゴ Pro W3"/>
          <w:u w:color="000000"/>
          <w:lang w:eastAsia="en-GB"/>
        </w:rPr>
        <w:t xml:space="preserve">is </w:t>
      </w:r>
      <w:r w:rsidR="00B64189" w:rsidRPr="009B4CC0">
        <w:rPr>
          <w:rFonts w:eastAsia="ヒラギノ角ゴ Pro W3"/>
          <w:u w:color="000000"/>
          <w:lang w:eastAsia="en-GB"/>
        </w:rPr>
        <w:t xml:space="preserve">important to consider how the Working Group could improve its continued cooperation with the secretariats of </w:t>
      </w:r>
      <w:r w:rsidR="00701028">
        <w:rPr>
          <w:rFonts w:eastAsia="ヒラギノ角ゴ Pro W3"/>
          <w:u w:color="000000"/>
          <w:lang w:eastAsia="en-GB"/>
        </w:rPr>
        <w:t>m</w:t>
      </w:r>
      <w:r w:rsidR="00B64189" w:rsidRPr="009B4CC0">
        <w:rPr>
          <w:rFonts w:eastAsia="ヒラギノ角ゴ Pro W3"/>
          <w:u w:color="000000"/>
          <w:lang w:eastAsia="en-GB"/>
        </w:rPr>
        <w:t xml:space="preserve">ultilateral </w:t>
      </w:r>
      <w:r w:rsidR="00701028">
        <w:rPr>
          <w:rFonts w:eastAsia="ヒラギノ角ゴ Pro W3"/>
          <w:u w:color="000000"/>
          <w:lang w:eastAsia="en-GB"/>
        </w:rPr>
        <w:t>e</w:t>
      </w:r>
      <w:r w:rsidR="00B64189" w:rsidRPr="009B4CC0">
        <w:rPr>
          <w:rFonts w:eastAsia="ヒラギノ角ゴ Pro W3"/>
          <w:u w:color="000000"/>
          <w:lang w:eastAsia="en-GB"/>
        </w:rPr>
        <w:t xml:space="preserve">nvironmental </w:t>
      </w:r>
      <w:r w:rsidR="00701028">
        <w:rPr>
          <w:rFonts w:eastAsia="ヒラギノ角ゴ Pro W3"/>
          <w:u w:color="000000"/>
          <w:lang w:eastAsia="en-GB"/>
        </w:rPr>
        <w:t>a</w:t>
      </w:r>
      <w:r w:rsidR="00B64189" w:rsidRPr="009B4CC0">
        <w:rPr>
          <w:rFonts w:eastAsia="ヒラギノ角ゴ Pro W3"/>
          <w:u w:color="000000"/>
          <w:lang w:eastAsia="en-GB"/>
        </w:rPr>
        <w:t xml:space="preserve">greements, such as the </w:t>
      </w:r>
      <w:r w:rsidR="00D5600A" w:rsidRPr="009B4CC0">
        <w:rPr>
          <w:rFonts w:eastAsia="ヒラギノ角ゴ Pro W3"/>
          <w:u w:color="000000"/>
          <w:lang w:eastAsia="en-GB"/>
        </w:rPr>
        <w:t xml:space="preserve">ECE </w:t>
      </w:r>
      <w:r w:rsidR="00701028">
        <w:rPr>
          <w:rFonts w:eastAsia="ヒラギノ角ゴ Pro W3"/>
          <w:u w:color="000000"/>
          <w:lang w:eastAsia="en-GB"/>
        </w:rPr>
        <w:t>environmental treaties</w:t>
      </w:r>
      <w:r w:rsidR="00B64189" w:rsidRPr="009B4CC0">
        <w:rPr>
          <w:rFonts w:eastAsia="ヒラギノ角ゴ Pro W3"/>
          <w:u w:color="000000"/>
          <w:lang w:eastAsia="en-GB"/>
        </w:rPr>
        <w:t xml:space="preserve">. </w:t>
      </w:r>
      <w:r w:rsidR="00701028">
        <w:rPr>
          <w:rFonts w:eastAsia="ヒラギノ角ゴ Pro W3"/>
          <w:u w:color="000000"/>
          <w:lang w:eastAsia="en-GB"/>
        </w:rPr>
        <w:t>I</w:t>
      </w:r>
      <w:r w:rsidR="00B64189" w:rsidRPr="009B4CC0">
        <w:rPr>
          <w:rFonts w:eastAsia="ヒラギノ角ゴ Pro W3"/>
          <w:u w:color="000000"/>
          <w:lang w:eastAsia="en-GB"/>
        </w:rPr>
        <w:t>n this regard</w:t>
      </w:r>
      <w:r w:rsidR="00701028">
        <w:rPr>
          <w:rFonts w:eastAsia="ヒラギノ角ゴ Pro W3"/>
          <w:u w:color="000000"/>
          <w:lang w:eastAsia="en-GB"/>
        </w:rPr>
        <w:t>, it will</w:t>
      </w:r>
      <w:r w:rsidR="00B64189" w:rsidRPr="009B4CC0">
        <w:rPr>
          <w:rFonts w:eastAsia="ヒラギノ角ゴ Pro W3"/>
          <w:u w:color="000000"/>
          <w:lang w:eastAsia="en-GB"/>
        </w:rPr>
        <w:t xml:space="preserve"> be crucial to enhance the Working Groups capacity to support cooperation through </w:t>
      </w:r>
      <w:r w:rsidR="00701028">
        <w:rPr>
          <w:rFonts w:eastAsia="ヒラギノ角ゴ Pro W3"/>
          <w:u w:color="000000"/>
          <w:lang w:eastAsia="en-GB"/>
        </w:rPr>
        <w:t xml:space="preserve">the </w:t>
      </w:r>
      <w:r w:rsidR="00B64189" w:rsidRPr="009B4CC0">
        <w:rPr>
          <w:rFonts w:eastAsia="ヒラギノ角ゴ Pro W3"/>
          <w:u w:color="000000"/>
          <w:lang w:eastAsia="en-GB"/>
        </w:rPr>
        <w:t xml:space="preserve">review and restructuring of existing areas of cooperation to promote </w:t>
      </w:r>
      <w:proofErr w:type="gramStart"/>
      <w:r w:rsidR="00B64189" w:rsidRPr="009B4CC0">
        <w:rPr>
          <w:rFonts w:eastAsia="ヒラギノ角ゴ Pro W3"/>
          <w:u w:color="000000"/>
          <w:lang w:eastAsia="en-GB"/>
        </w:rPr>
        <w:t>focused,</w:t>
      </w:r>
      <w:proofErr w:type="gramEnd"/>
      <w:r w:rsidR="00B64189" w:rsidRPr="009B4CC0">
        <w:rPr>
          <w:rFonts w:eastAsia="ヒラギノ角ゴ Pro W3"/>
          <w:u w:color="000000"/>
          <w:lang w:eastAsia="en-GB"/>
        </w:rPr>
        <w:t xml:space="preserve"> activity-driven and result</w:t>
      </w:r>
      <w:r w:rsidR="00701028">
        <w:rPr>
          <w:rFonts w:eastAsia="ヒラギノ角ゴ Pro W3"/>
          <w:u w:color="000000"/>
          <w:lang w:eastAsia="en-GB"/>
        </w:rPr>
        <w:t>s</w:t>
      </w:r>
      <w:r w:rsidR="00B64189" w:rsidRPr="009B4CC0">
        <w:rPr>
          <w:rFonts w:eastAsia="ヒラギノ角ゴ Pro W3"/>
          <w:u w:color="000000"/>
          <w:lang w:eastAsia="en-GB"/>
        </w:rPr>
        <w:t>-oriented cooperation.</w:t>
      </w:r>
    </w:p>
    <w:p w14:paraId="4F05243A" w14:textId="1936ECD6" w:rsidR="00B64189" w:rsidRPr="009B4CC0" w:rsidRDefault="009B4CC0" w:rsidP="0069448A">
      <w:pPr>
        <w:pStyle w:val="H23G"/>
        <w:rPr>
          <w:rFonts w:eastAsia="ヒラギノ角ゴ Pro W3"/>
          <w:u w:color="000000"/>
          <w:lang w:eastAsia="en-GB"/>
        </w:rPr>
      </w:pPr>
      <w:r>
        <w:rPr>
          <w:rFonts w:eastAsia="ヒラギノ角ゴ Pro W3"/>
          <w:u w:color="000000"/>
          <w:lang w:eastAsia="en-GB"/>
        </w:rPr>
        <w:tab/>
      </w:r>
      <w:r>
        <w:rPr>
          <w:rFonts w:eastAsia="ヒラギノ角ゴ Pro W3"/>
          <w:u w:color="000000"/>
          <w:lang w:eastAsia="en-GB"/>
        </w:rPr>
        <w:tab/>
      </w:r>
      <w:r w:rsidR="00B64189" w:rsidRPr="009B4CC0">
        <w:rPr>
          <w:rFonts w:eastAsia="ヒラギノ角ゴ Pro W3"/>
          <w:u w:color="000000"/>
          <w:lang w:eastAsia="en-GB"/>
        </w:rPr>
        <w:t>Mobili</w:t>
      </w:r>
      <w:r>
        <w:rPr>
          <w:rFonts w:eastAsia="ヒラギノ角ゴ Pro W3"/>
          <w:u w:color="000000"/>
          <w:lang w:eastAsia="en-GB"/>
        </w:rPr>
        <w:t>z</w:t>
      </w:r>
      <w:r w:rsidR="00B64189" w:rsidRPr="009B4CC0">
        <w:rPr>
          <w:rFonts w:eastAsia="ヒラギノ角ゴ Pro W3"/>
          <w:u w:color="000000"/>
          <w:lang w:eastAsia="en-GB"/>
        </w:rPr>
        <w:t>ing more and better resources in support of the Working Group</w:t>
      </w:r>
    </w:p>
    <w:p w14:paraId="134BA0EF" w14:textId="64E6DB2A" w:rsidR="00B64189" w:rsidRPr="009B4CC0" w:rsidRDefault="00BA0DC3" w:rsidP="00B64189">
      <w:pPr>
        <w:pStyle w:val="SingleTxtG"/>
        <w:rPr>
          <w:rFonts w:eastAsia="ヒラギノ角ゴ Pro W3"/>
          <w:u w:color="000000"/>
          <w:lang w:eastAsia="en-GB"/>
        </w:rPr>
      </w:pPr>
      <w:r w:rsidRPr="009B4CC0">
        <w:rPr>
          <w:rFonts w:eastAsia="ヒラギノ角ゴ Pro W3"/>
          <w:lang w:eastAsia="en-GB"/>
        </w:rPr>
        <w:t>3</w:t>
      </w:r>
      <w:r w:rsidR="00EB0AF1" w:rsidRPr="009B4CC0">
        <w:rPr>
          <w:rFonts w:eastAsia="ヒラギノ角ゴ Pro W3"/>
          <w:lang w:eastAsia="en-GB"/>
        </w:rPr>
        <w:t>5</w:t>
      </w:r>
      <w:r w:rsidR="00B64189" w:rsidRPr="009B4CC0">
        <w:rPr>
          <w:rFonts w:eastAsia="ヒラギノ角ゴ Pro W3"/>
          <w:lang w:eastAsia="en-GB"/>
        </w:rPr>
        <w:t>.</w:t>
      </w:r>
      <w:r w:rsidR="00B64189" w:rsidRPr="009B4CC0">
        <w:rPr>
          <w:rFonts w:eastAsia="ヒラギノ角ゴ Pro W3"/>
          <w:lang w:eastAsia="en-GB"/>
        </w:rPr>
        <w:tab/>
      </w:r>
      <w:r w:rsidR="00B64189" w:rsidRPr="009B4CC0">
        <w:rPr>
          <w:rFonts w:eastAsia="ヒラギノ角ゴ Pro W3"/>
          <w:u w:color="000000"/>
          <w:lang w:eastAsia="en-GB"/>
        </w:rPr>
        <w:t xml:space="preserve">One key objective for the Working Group, which underpins all of its activities, </w:t>
      </w:r>
      <w:r w:rsidR="00701028">
        <w:rPr>
          <w:rFonts w:eastAsia="ヒラギノ角ゴ Pro W3"/>
          <w:u w:color="000000"/>
          <w:lang w:eastAsia="en-GB"/>
        </w:rPr>
        <w:t xml:space="preserve">is </w:t>
      </w:r>
      <w:r w:rsidR="00B64189" w:rsidRPr="009B4CC0">
        <w:rPr>
          <w:rFonts w:eastAsia="ヒラギノ角ゴ Pro W3"/>
          <w:u w:color="000000"/>
          <w:lang w:eastAsia="en-GB"/>
        </w:rPr>
        <w:t xml:space="preserve">improved access </w:t>
      </w:r>
      <w:r w:rsidR="00D5600A" w:rsidRPr="009B4CC0">
        <w:rPr>
          <w:rFonts w:eastAsia="ヒラギノ角ゴ Pro W3"/>
          <w:u w:color="000000"/>
          <w:lang w:eastAsia="en-GB"/>
        </w:rPr>
        <w:t xml:space="preserve">to, </w:t>
      </w:r>
      <w:r w:rsidR="00B64189" w:rsidRPr="009B4CC0">
        <w:rPr>
          <w:rFonts w:eastAsia="ヒラギノ角ゴ Pro W3"/>
          <w:u w:color="000000"/>
          <w:lang w:eastAsia="en-GB"/>
        </w:rPr>
        <w:t>and deepening of</w:t>
      </w:r>
      <w:r w:rsidR="00D5600A" w:rsidRPr="009B4CC0">
        <w:rPr>
          <w:rFonts w:eastAsia="ヒラギノ角ゴ Pro W3"/>
          <w:u w:color="000000"/>
          <w:lang w:eastAsia="en-GB"/>
        </w:rPr>
        <w:t>,</w:t>
      </w:r>
      <w:r w:rsidR="00B64189" w:rsidRPr="009B4CC0">
        <w:rPr>
          <w:rFonts w:eastAsia="ヒラギノ角ゴ Pro W3"/>
          <w:u w:color="000000"/>
          <w:lang w:eastAsia="en-GB"/>
        </w:rPr>
        <w:t xml:space="preserve"> financial resources to support the range of actions that </w:t>
      </w:r>
      <w:proofErr w:type="gramStart"/>
      <w:r w:rsidR="00B64189" w:rsidRPr="009B4CC0">
        <w:rPr>
          <w:rFonts w:eastAsia="ヒラギノ角ゴ Pro W3"/>
          <w:u w:color="000000"/>
          <w:lang w:eastAsia="en-GB"/>
        </w:rPr>
        <w:t>will be carried out</w:t>
      </w:r>
      <w:proofErr w:type="gramEnd"/>
      <w:r w:rsidR="00B64189" w:rsidRPr="009B4CC0">
        <w:rPr>
          <w:rFonts w:eastAsia="ヒラギノ角ゴ Pro W3"/>
          <w:u w:color="000000"/>
          <w:lang w:eastAsia="en-GB"/>
        </w:rPr>
        <w:t xml:space="preserve">. This </w:t>
      </w:r>
      <w:proofErr w:type="gramStart"/>
      <w:r w:rsidR="00B64189" w:rsidRPr="009B4CC0">
        <w:rPr>
          <w:rFonts w:eastAsia="ヒラギノ角ゴ Pro W3"/>
          <w:u w:color="000000"/>
          <w:lang w:eastAsia="en-GB"/>
        </w:rPr>
        <w:t xml:space="preserve">will, </w:t>
      </w:r>
      <w:r w:rsidR="00736438" w:rsidRPr="009B4CC0">
        <w:rPr>
          <w:rFonts w:eastAsia="ヒラギノ角ゴ Pro W3"/>
          <w:u w:color="000000"/>
          <w:lang w:eastAsia="en-GB"/>
        </w:rPr>
        <w:t>in part</w:t>
      </w:r>
      <w:r w:rsidR="00B64189" w:rsidRPr="009B4CC0">
        <w:rPr>
          <w:rFonts w:eastAsia="ヒラギノ角ゴ Pro W3"/>
          <w:u w:color="000000"/>
          <w:lang w:eastAsia="en-GB"/>
        </w:rPr>
        <w:t>, focus</w:t>
      </w:r>
      <w:proofErr w:type="gramEnd"/>
      <w:r w:rsidR="00B64189" w:rsidRPr="009B4CC0">
        <w:rPr>
          <w:rFonts w:eastAsia="ヒラギノ角ゴ Pro W3"/>
          <w:u w:color="000000"/>
          <w:lang w:eastAsia="en-GB"/>
        </w:rPr>
        <w:t xml:space="preserve"> on </w:t>
      </w:r>
      <w:r w:rsidR="00736438" w:rsidRPr="009B4CC0">
        <w:rPr>
          <w:rFonts w:eastAsia="ヒラギノ角ゴ Pro W3"/>
          <w:u w:color="000000"/>
          <w:lang w:eastAsia="en-GB"/>
        </w:rPr>
        <w:t xml:space="preserve">increased streamlining </w:t>
      </w:r>
      <w:r w:rsidR="00B64189" w:rsidRPr="009B4CC0">
        <w:rPr>
          <w:rFonts w:eastAsia="ヒラギノ角ゴ Pro W3"/>
          <w:u w:color="000000"/>
          <w:lang w:eastAsia="en-GB"/>
        </w:rPr>
        <w:t xml:space="preserve">of activities </w:t>
      </w:r>
      <w:r w:rsidR="00736438" w:rsidRPr="009B4CC0">
        <w:rPr>
          <w:rFonts w:eastAsia="ヒラギノ角ゴ Pro W3"/>
          <w:u w:color="000000"/>
          <w:lang w:eastAsia="en-GB"/>
        </w:rPr>
        <w:t>in an effort to reduce costs and the expansion of the</w:t>
      </w:r>
      <w:r w:rsidR="00B64189" w:rsidRPr="009B4CC0">
        <w:rPr>
          <w:rFonts w:eastAsia="ヒラギノ角ゴ Pro W3"/>
          <w:u w:color="000000"/>
          <w:lang w:eastAsia="en-GB"/>
        </w:rPr>
        <w:t xml:space="preserve"> range and type of activities </w:t>
      </w:r>
      <w:r w:rsidR="00736438" w:rsidRPr="009B4CC0">
        <w:rPr>
          <w:rFonts w:eastAsia="ヒラギノ角ゴ Pro W3"/>
          <w:u w:color="000000"/>
          <w:lang w:eastAsia="en-GB"/>
        </w:rPr>
        <w:t>being carried out</w:t>
      </w:r>
      <w:r w:rsidR="00B64189" w:rsidRPr="009B4CC0">
        <w:rPr>
          <w:rFonts w:eastAsia="ヒラギノ角ゴ Pro W3"/>
          <w:u w:color="000000"/>
          <w:lang w:eastAsia="en-GB"/>
        </w:rPr>
        <w:t xml:space="preserve">. Secondly, </w:t>
      </w:r>
      <w:r w:rsidR="00736438" w:rsidRPr="009B4CC0">
        <w:rPr>
          <w:rFonts w:eastAsia="ヒラギノ角ゴ Pro W3"/>
          <w:u w:color="000000"/>
          <w:lang w:eastAsia="en-GB"/>
        </w:rPr>
        <w:t xml:space="preserve">it will </w:t>
      </w:r>
      <w:r w:rsidR="00B64189" w:rsidRPr="009B4CC0">
        <w:rPr>
          <w:rFonts w:eastAsia="ヒラギノ角ゴ Pro W3"/>
          <w:u w:color="000000"/>
          <w:lang w:eastAsia="en-GB"/>
        </w:rPr>
        <w:t>entail proactive steps to ensure that the Working Group mobili</w:t>
      </w:r>
      <w:r w:rsidR="00701028">
        <w:rPr>
          <w:rFonts w:eastAsia="ヒラギノ角ゴ Pro W3"/>
          <w:u w:color="000000"/>
          <w:lang w:eastAsia="en-GB"/>
        </w:rPr>
        <w:t>z</w:t>
      </w:r>
      <w:r w:rsidR="00B64189" w:rsidRPr="009B4CC0">
        <w:rPr>
          <w:rFonts w:eastAsia="ヒラギノ角ゴ Pro W3"/>
          <w:u w:color="000000"/>
          <w:lang w:eastAsia="en-GB"/>
        </w:rPr>
        <w:t>e direct support from prospective contributors</w:t>
      </w:r>
      <w:r w:rsidR="00FA1ABB" w:rsidRPr="009B4CC0">
        <w:rPr>
          <w:rFonts w:eastAsia="ヒラギノ角ゴ Pro W3"/>
          <w:u w:color="000000"/>
          <w:lang w:eastAsia="en-GB"/>
        </w:rPr>
        <w:t xml:space="preserve"> and international organi</w:t>
      </w:r>
      <w:r w:rsidR="00701028">
        <w:rPr>
          <w:rFonts w:eastAsia="ヒラギノ角ゴ Pro W3"/>
          <w:u w:color="000000"/>
          <w:lang w:eastAsia="en-GB"/>
        </w:rPr>
        <w:t>z</w:t>
      </w:r>
      <w:r w:rsidR="00FA1ABB" w:rsidRPr="009B4CC0">
        <w:rPr>
          <w:rFonts w:eastAsia="ヒラギノ角ゴ Pro W3"/>
          <w:u w:color="000000"/>
          <w:lang w:eastAsia="en-GB"/>
        </w:rPr>
        <w:t>ations</w:t>
      </w:r>
      <w:r w:rsidR="00B64189" w:rsidRPr="009B4CC0">
        <w:rPr>
          <w:rFonts w:eastAsia="ヒラギノ角ゴ Pro W3"/>
          <w:u w:color="000000"/>
          <w:lang w:eastAsia="en-GB"/>
        </w:rPr>
        <w:t xml:space="preserve">, leading up to the establishment of SEIS by 2021 </w:t>
      </w:r>
      <w:r w:rsidR="00701028">
        <w:rPr>
          <w:rFonts w:eastAsia="ヒラギノ角ゴ Pro W3"/>
          <w:u w:color="000000"/>
          <w:lang w:eastAsia="en-GB"/>
        </w:rPr>
        <w:t xml:space="preserve">and the </w:t>
      </w:r>
      <w:r w:rsidR="00B64189" w:rsidRPr="009B4CC0">
        <w:rPr>
          <w:rFonts w:eastAsia="ヒラギノ角ゴ Pro W3"/>
          <w:u w:color="000000"/>
          <w:lang w:eastAsia="en-GB"/>
        </w:rPr>
        <w:t xml:space="preserve">monitoring and reporting </w:t>
      </w:r>
      <w:r w:rsidR="000650FF">
        <w:rPr>
          <w:rFonts w:eastAsia="ヒラギノ角ゴ Pro W3"/>
          <w:u w:color="000000"/>
          <w:lang w:eastAsia="en-GB"/>
        </w:rPr>
        <w:t xml:space="preserve">related to the </w:t>
      </w:r>
      <w:r w:rsidR="00B64189" w:rsidRPr="009B4CC0">
        <w:rPr>
          <w:rFonts w:eastAsia="ヒラギノ角ゴ Pro W3"/>
          <w:u w:color="000000"/>
          <w:lang w:eastAsia="en-GB"/>
        </w:rPr>
        <w:t xml:space="preserve">Sustainable Development Goals. </w:t>
      </w:r>
    </w:p>
    <w:p w14:paraId="5769BED3" w14:textId="39BE2C3C" w:rsidR="00B64189" w:rsidRPr="009B4CC0" w:rsidRDefault="00BA0DC3" w:rsidP="00B64189">
      <w:pPr>
        <w:pStyle w:val="SingleTxtG"/>
        <w:rPr>
          <w:rFonts w:eastAsia="ヒラギノ角ゴ Pro W3"/>
          <w:u w:color="000000"/>
          <w:lang w:eastAsia="en-GB"/>
        </w:rPr>
      </w:pPr>
      <w:proofErr w:type="gramStart"/>
      <w:r w:rsidRPr="009B4CC0">
        <w:rPr>
          <w:rFonts w:eastAsia="ヒラギノ角ゴ Pro W3"/>
          <w:lang w:eastAsia="en-GB"/>
        </w:rPr>
        <w:t>3</w:t>
      </w:r>
      <w:r w:rsidR="00EB0AF1" w:rsidRPr="009B4CC0">
        <w:rPr>
          <w:rFonts w:eastAsia="ヒラギノ角ゴ Pro W3"/>
          <w:lang w:eastAsia="en-GB"/>
        </w:rPr>
        <w:t>6</w:t>
      </w:r>
      <w:r w:rsidR="00B64189" w:rsidRPr="009B4CC0">
        <w:rPr>
          <w:rFonts w:eastAsia="ヒラギノ角ゴ Pro W3"/>
          <w:lang w:eastAsia="en-GB"/>
        </w:rPr>
        <w:t>.</w:t>
      </w:r>
      <w:r w:rsidR="00B64189" w:rsidRPr="009B4CC0">
        <w:rPr>
          <w:rFonts w:eastAsia="ヒラギノ角ゴ Pro W3"/>
          <w:lang w:eastAsia="en-GB"/>
        </w:rPr>
        <w:tab/>
      </w:r>
      <w:r w:rsidR="00FA1ABB" w:rsidRPr="009B4CC0">
        <w:rPr>
          <w:rFonts w:eastAsia="ヒラギノ角ゴ Pro W3"/>
          <w:lang w:eastAsia="en-GB"/>
        </w:rPr>
        <w:t xml:space="preserve">To reach the ambitious targets and objectives set out in this document, </w:t>
      </w:r>
      <w:r w:rsidR="00FA1ABB" w:rsidRPr="009B4CC0">
        <w:rPr>
          <w:rFonts w:eastAsia="ヒラギノ角ゴ Pro W3"/>
          <w:u w:color="000000"/>
          <w:lang w:eastAsia="en-GB"/>
        </w:rPr>
        <w:t>i</w:t>
      </w:r>
      <w:r w:rsidR="00B64189" w:rsidRPr="009B4CC0">
        <w:rPr>
          <w:rFonts w:eastAsia="ヒラギノ角ゴ Pro W3"/>
          <w:u w:color="000000"/>
          <w:lang w:eastAsia="en-GB"/>
        </w:rPr>
        <w:t xml:space="preserve">t will be </w:t>
      </w:r>
      <w:r w:rsidR="00DC3B56">
        <w:rPr>
          <w:rFonts w:eastAsia="ヒラギノ角ゴ Pro W3"/>
          <w:u w:color="000000"/>
          <w:lang w:eastAsia="en-GB"/>
        </w:rPr>
        <w:t xml:space="preserve">necessary </w:t>
      </w:r>
      <w:r w:rsidR="00B64189" w:rsidRPr="009B4CC0">
        <w:rPr>
          <w:rFonts w:eastAsia="ヒラギノ角ゴ Pro W3"/>
          <w:u w:color="000000"/>
          <w:lang w:eastAsia="en-GB"/>
        </w:rPr>
        <w:t>to enhance the long-term stability of the Working Group to guarantee that it can carry out all the activities set out in th</w:t>
      </w:r>
      <w:r w:rsidR="004A5FE1" w:rsidRPr="009B4CC0">
        <w:rPr>
          <w:rFonts w:eastAsia="ヒラギノ角ゴ Pro W3"/>
          <w:u w:color="000000"/>
          <w:lang w:eastAsia="en-GB"/>
        </w:rPr>
        <w:t>e</w:t>
      </w:r>
      <w:r w:rsidR="00B64189" w:rsidRPr="009B4CC0">
        <w:rPr>
          <w:rFonts w:eastAsia="ヒラギノ角ゴ Pro W3"/>
          <w:u w:color="000000"/>
          <w:lang w:eastAsia="en-GB"/>
        </w:rPr>
        <w:t xml:space="preserve"> vision document</w:t>
      </w:r>
      <w:r w:rsidR="008F202F">
        <w:rPr>
          <w:rFonts w:eastAsia="ヒラギノ角ゴ Pro W3"/>
          <w:u w:color="000000"/>
          <w:lang w:eastAsia="en-GB"/>
        </w:rPr>
        <w:t xml:space="preserve"> — </w:t>
      </w:r>
      <w:r w:rsidR="00B64189" w:rsidRPr="009B4CC0">
        <w:rPr>
          <w:rFonts w:eastAsia="ヒラギノ角ゴ Pro W3"/>
          <w:u w:color="000000"/>
          <w:lang w:eastAsia="en-GB"/>
        </w:rPr>
        <w:t>with all the costs this would imply</w:t>
      </w:r>
      <w:r w:rsidR="008F202F">
        <w:rPr>
          <w:rFonts w:eastAsia="ヒラギノ角ゴ Pro W3"/>
          <w:u w:color="000000"/>
          <w:lang w:eastAsia="en-GB"/>
        </w:rPr>
        <w:t xml:space="preserve"> — </w:t>
      </w:r>
      <w:r w:rsidR="00B64189" w:rsidRPr="009B4CC0">
        <w:rPr>
          <w:rFonts w:eastAsia="ヒラギノ角ゴ Pro W3"/>
          <w:u w:color="000000"/>
          <w:lang w:eastAsia="en-GB"/>
        </w:rPr>
        <w:t xml:space="preserve">and to provide it with the </w:t>
      </w:r>
      <w:r w:rsidR="00FA1ABB" w:rsidRPr="009B4CC0">
        <w:rPr>
          <w:rFonts w:eastAsia="ヒラギノ角ゴ Pro W3"/>
          <w:u w:color="000000"/>
          <w:lang w:eastAsia="en-GB"/>
        </w:rPr>
        <w:t xml:space="preserve">financial </w:t>
      </w:r>
      <w:r w:rsidR="00B64189" w:rsidRPr="009B4CC0">
        <w:rPr>
          <w:rFonts w:eastAsia="ヒラギノ角ゴ Pro W3"/>
          <w:u w:color="000000"/>
          <w:lang w:eastAsia="en-GB"/>
        </w:rPr>
        <w:t>capability to increase the scale and impact of its activities.</w:t>
      </w:r>
      <w:proofErr w:type="gramEnd"/>
      <w:r w:rsidR="00B64189" w:rsidRPr="009B4CC0">
        <w:rPr>
          <w:rFonts w:eastAsia="ヒラギノ角ゴ Pro W3"/>
          <w:u w:color="000000"/>
          <w:lang w:eastAsia="en-GB"/>
        </w:rPr>
        <w:t xml:space="preserve"> </w:t>
      </w:r>
      <w:r w:rsidR="0047182B" w:rsidRPr="009B4CC0">
        <w:rPr>
          <w:rFonts w:eastAsia="ヒラギノ角ゴ Pro W3"/>
          <w:u w:color="000000"/>
          <w:lang w:eastAsia="en-GB"/>
        </w:rPr>
        <w:t xml:space="preserve">Ensuring additional financial support will for this reason </w:t>
      </w:r>
      <w:proofErr w:type="gramStart"/>
      <w:r w:rsidR="0047182B" w:rsidRPr="009B4CC0">
        <w:rPr>
          <w:rFonts w:eastAsia="ヒラギノ角ゴ Pro W3"/>
          <w:u w:color="000000"/>
          <w:lang w:eastAsia="en-GB"/>
        </w:rPr>
        <w:t>be</w:t>
      </w:r>
      <w:proofErr w:type="gramEnd"/>
      <w:r w:rsidR="0047182B" w:rsidRPr="009B4CC0">
        <w:rPr>
          <w:rFonts w:eastAsia="ヒラギノ角ゴ Pro W3"/>
          <w:u w:color="000000"/>
          <w:lang w:eastAsia="en-GB"/>
        </w:rPr>
        <w:t xml:space="preserve"> essential to </w:t>
      </w:r>
      <w:r w:rsidR="00616FF8">
        <w:rPr>
          <w:rFonts w:eastAsia="ヒラギノ角ゴ Pro W3"/>
          <w:u w:color="000000"/>
          <w:lang w:eastAsia="en-GB"/>
        </w:rPr>
        <w:t>mak</w:t>
      </w:r>
      <w:r w:rsidR="00616FF8" w:rsidRPr="009B4CC0">
        <w:rPr>
          <w:rFonts w:eastAsia="ヒラギノ角ゴ Pro W3"/>
          <w:u w:color="000000"/>
          <w:lang w:eastAsia="en-GB"/>
        </w:rPr>
        <w:t>e sure</w:t>
      </w:r>
      <w:r w:rsidR="0047182B" w:rsidRPr="009B4CC0">
        <w:rPr>
          <w:rFonts w:eastAsia="ヒラギノ角ゴ Pro W3"/>
          <w:u w:color="000000"/>
          <w:lang w:eastAsia="en-GB"/>
        </w:rPr>
        <w:t xml:space="preserve"> </w:t>
      </w:r>
      <w:r w:rsidR="00482C1B" w:rsidRPr="009B4CC0">
        <w:rPr>
          <w:rFonts w:eastAsia="ヒラギノ角ゴ Pro W3"/>
          <w:u w:color="000000"/>
          <w:lang w:eastAsia="en-GB"/>
        </w:rPr>
        <w:t xml:space="preserve">its </w:t>
      </w:r>
      <w:r w:rsidR="0047182B" w:rsidRPr="009B4CC0">
        <w:rPr>
          <w:rFonts w:eastAsia="ヒラギノ角ゴ Pro W3"/>
          <w:u w:color="000000"/>
          <w:lang w:eastAsia="en-GB"/>
        </w:rPr>
        <w:t xml:space="preserve">vision becomes reality. </w:t>
      </w:r>
    </w:p>
    <w:p w14:paraId="0ECA81DE" w14:textId="10E979C4" w:rsidR="00B64189" w:rsidRPr="009B4CC0" w:rsidRDefault="00B64189" w:rsidP="00275C48">
      <w:pPr>
        <w:pStyle w:val="H1G"/>
        <w:spacing w:before="280" w:after="200"/>
      </w:pPr>
      <w:r w:rsidRPr="009B4CC0">
        <w:tab/>
        <w:t>C.</w:t>
      </w:r>
      <w:r w:rsidRPr="009B4CC0">
        <w:tab/>
        <w:t xml:space="preserve">Sustainable Development Goals and the </w:t>
      </w:r>
      <w:r w:rsidR="00701028">
        <w:t>g</w:t>
      </w:r>
      <w:r w:rsidRPr="009B4CC0">
        <w:t xml:space="preserve">reen </w:t>
      </w:r>
      <w:r w:rsidR="00701028">
        <w:t>e</w:t>
      </w:r>
      <w:r w:rsidRPr="009B4CC0">
        <w:t>conomy</w:t>
      </w:r>
    </w:p>
    <w:p w14:paraId="09E4D3A1" w14:textId="1395049E" w:rsidR="00B64189" w:rsidRPr="009B4CC0" w:rsidRDefault="00BA0DC3" w:rsidP="00B64189">
      <w:pPr>
        <w:pStyle w:val="SingleTxtG"/>
        <w:rPr>
          <w:rFonts w:eastAsia="ヒラギノ角ゴ Pro W3"/>
          <w:u w:color="000000"/>
          <w:lang w:eastAsia="en-GB"/>
        </w:rPr>
      </w:pPr>
      <w:r w:rsidRPr="009B4CC0">
        <w:rPr>
          <w:rFonts w:eastAsia="ヒラギノ角ゴ Pro W3"/>
          <w:lang w:eastAsia="en-GB"/>
        </w:rPr>
        <w:t>3</w:t>
      </w:r>
      <w:r w:rsidR="00EB0AF1" w:rsidRPr="009B4CC0">
        <w:rPr>
          <w:rFonts w:eastAsia="ヒラギノ角ゴ Pro W3"/>
          <w:lang w:eastAsia="en-GB"/>
        </w:rPr>
        <w:t>7</w:t>
      </w:r>
      <w:r w:rsidR="00A53FB4" w:rsidRPr="009B4CC0">
        <w:rPr>
          <w:rFonts w:eastAsia="ヒラギノ角ゴ Pro W3"/>
          <w:lang w:eastAsia="en-GB"/>
        </w:rPr>
        <w:t>.</w:t>
      </w:r>
      <w:r w:rsidR="00A53FB4" w:rsidRPr="009B4CC0">
        <w:rPr>
          <w:rFonts w:eastAsia="ヒラギノ角ゴ Pro W3"/>
          <w:lang w:eastAsia="en-GB"/>
        </w:rPr>
        <w:tab/>
      </w:r>
      <w:r w:rsidR="00B64189" w:rsidRPr="009B4CC0">
        <w:rPr>
          <w:rFonts w:eastAsia="ヒラギノ角ゴ Pro W3"/>
          <w:u w:color="000000"/>
          <w:lang w:eastAsia="en-GB"/>
        </w:rPr>
        <w:t xml:space="preserve">Monitoring and reporting mechanisms for tracking progress towards the </w:t>
      </w:r>
      <w:r w:rsidR="00993EC7">
        <w:rPr>
          <w:rFonts w:eastAsia="ヒラギノ角ゴ Pro W3"/>
          <w:u w:color="000000"/>
          <w:lang w:eastAsia="en-GB"/>
        </w:rPr>
        <w:t>Sustainable Development Goals</w:t>
      </w:r>
      <w:r w:rsidR="00B64189" w:rsidRPr="009B4CC0">
        <w:rPr>
          <w:rFonts w:eastAsia="ヒラギノ角ゴ Pro W3"/>
          <w:u w:color="000000"/>
          <w:lang w:eastAsia="en-GB"/>
        </w:rPr>
        <w:t xml:space="preserve"> provide</w:t>
      </w:r>
      <w:r w:rsidR="00167E89" w:rsidRPr="009B4CC0">
        <w:rPr>
          <w:rFonts w:eastAsia="ヒラギノ角ゴ Pro W3"/>
          <w:u w:color="000000"/>
          <w:lang w:eastAsia="en-GB"/>
        </w:rPr>
        <w:t>s</w:t>
      </w:r>
      <w:r w:rsidR="00B64189" w:rsidRPr="009B4CC0">
        <w:rPr>
          <w:rFonts w:eastAsia="ヒラギノ角ゴ Pro W3"/>
          <w:u w:color="000000"/>
          <w:lang w:eastAsia="en-GB"/>
        </w:rPr>
        <w:t xml:space="preserve"> an enormous opportunity for learning and </w:t>
      </w:r>
      <w:r w:rsidR="00167E89" w:rsidRPr="009B4CC0">
        <w:rPr>
          <w:rFonts w:eastAsia="ヒラギノ角ゴ Pro W3"/>
          <w:u w:color="000000"/>
          <w:lang w:eastAsia="en-GB"/>
        </w:rPr>
        <w:t>building</w:t>
      </w:r>
      <w:r w:rsidR="00B64189" w:rsidRPr="009B4CC0">
        <w:rPr>
          <w:rFonts w:eastAsia="ヒラギノ角ゴ Pro W3"/>
          <w:u w:color="000000"/>
          <w:lang w:eastAsia="en-GB"/>
        </w:rPr>
        <w:t xml:space="preserve"> on existing efforts </w:t>
      </w:r>
      <w:r w:rsidR="000650FF">
        <w:rPr>
          <w:rFonts w:eastAsia="ヒラギノ角ゴ Pro W3"/>
          <w:u w:color="000000"/>
          <w:lang w:eastAsia="en-GB"/>
        </w:rPr>
        <w:t xml:space="preserve">that </w:t>
      </w:r>
      <w:proofErr w:type="gramStart"/>
      <w:r w:rsidR="00B64189" w:rsidRPr="009B4CC0">
        <w:rPr>
          <w:rFonts w:eastAsia="ヒラギノ角ゴ Pro W3"/>
          <w:u w:color="000000"/>
          <w:lang w:eastAsia="en-GB"/>
        </w:rPr>
        <w:t>hav</w:t>
      </w:r>
      <w:r w:rsidR="000650FF">
        <w:rPr>
          <w:rFonts w:eastAsia="ヒラギノ角ゴ Pro W3"/>
          <w:u w:color="000000"/>
          <w:lang w:eastAsia="en-GB"/>
        </w:rPr>
        <w:t>e</w:t>
      </w:r>
      <w:r w:rsidR="00B64189" w:rsidRPr="009B4CC0">
        <w:rPr>
          <w:rFonts w:eastAsia="ヒラギノ角ゴ Pro W3"/>
          <w:u w:color="000000"/>
          <w:lang w:eastAsia="en-GB"/>
        </w:rPr>
        <w:t xml:space="preserve"> been carried out</w:t>
      </w:r>
      <w:proofErr w:type="gramEnd"/>
      <w:r w:rsidR="00B64189" w:rsidRPr="009B4CC0">
        <w:rPr>
          <w:rFonts w:eastAsia="ヒラギノ角ゴ Pro W3"/>
          <w:u w:color="000000"/>
          <w:lang w:eastAsia="en-GB"/>
        </w:rPr>
        <w:t xml:space="preserve"> by the Working Group. </w:t>
      </w:r>
      <w:r w:rsidR="002E4650" w:rsidRPr="009B4CC0">
        <w:rPr>
          <w:rFonts w:eastAsia="ヒラギノ角ゴ Pro W3"/>
          <w:u w:color="000000"/>
          <w:lang w:eastAsia="en-GB"/>
        </w:rPr>
        <w:t>Ongoing</w:t>
      </w:r>
      <w:r w:rsidR="00B64189" w:rsidRPr="009B4CC0">
        <w:rPr>
          <w:rFonts w:eastAsia="ヒラギノ角ゴ Pro W3"/>
          <w:u w:color="000000"/>
          <w:lang w:eastAsia="en-GB"/>
        </w:rPr>
        <w:t xml:space="preserve"> and planned reporting activities provide opportunities to identify shortcomings and find solutions, and there is a clear call from members to provide assistance on how to define, collect and analyse environmental information and data to measure progress towards the </w:t>
      </w:r>
      <w:r w:rsidR="00993EC7">
        <w:rPr>
          <w:rFonts w:eastAsia="ヒラギノ角ゴ Pro W3"/>
          <w:u w:color="000000"/>
          <w:lang w:eastAsia="en-GB"/>
        </w:rPr>
        <w:t>Sustainable Development Goals</w:t>
      </w:r>
      <w:r w:rsidR="00B64189" w:rsidRPr="009B4CC0">
        <w:rPr>
          <w:rFonts w:eastAsia="ヒラギノ角ゴ Pro W3"/>
          <w:u w:color="000000"/>
          <w:lang w:eastAsia="en-GB"/>
        </w:rPr>
        <w:t xml:space="preserve"> and the </w:t>
      </w:r>
      <w:r w:rsidR="000650FF">
        <w:rPr>
          <w:rFonts w:eastAsia="ヒラギノ角ゴ Pro W3"/>
          <w:u w:color="000000"/>
          <w:lang w:eastAsia="en-GB"/>
        </w:rPr>
        <w:t>g</w:t>
      </w:r>
      <w:r w:rsidR="00B64189" w:rsidRPr="009B4CC0">
        <w:rPr>
          <w:rFonts w:eastAsia="ヒラギノ角ゴ Pro W3"/>
          <w:u w:color="000000"/>
          <w:lang w:eastAsia="en-GB"/>
        </w:rPr>
        <w:t xml:space="preserve">reen </w:t>
      </w:r>
      <w:r w:rsidR="00993EC7">
        <w:rPr>
          <w:rFonts w:eastAsia="ヒラギノ角ゴ Pro W3"/>
          <w:u w:color="000000"/>
          <w:lang w:eastAsia="en-GB"/>
        </w:rPr>
        <w:t>e</w:t>
      </w:r>
      <w:r w:rsidR="00B64189" w:rsidRPr="009B4CC0">
        <w:rPr>
          <w:rFonts w:eastAsia="ヒラギノ角ゴ Pro W3"/>
          <w:u w:color="000000"/>
          <w:lang w:eastAsia="en-GB"/>
        </w:rPr>
        <w:t xml:space="preserve">conomy. Results from both the questionnaire and </w:t>
      </w:r>
      <w:r w:rsidR="002E4650" w:rsidRPr="009B4CC0">
        <w:rPr>
          <w:rFonts w:eastAsia="ヒラギノ角ゴ Pro W3"/>
          <w:u w:color="000000"/>
          <w:lang w:eastAsia="en-GB"/>
        </w:rPr>
        <w:t>panel discussion</w:t>
      </w:r>
      <w:r w:rsidR="00B64189" w:rsidRPr="009B4CC0">
        <w:rPr>
          <w:rFonts w:eastAsia="ヒラギノ角ゴ Pro W3"/>
          <w:u w:color="000000"/>
          <w:lang w:eastAsia="en-GB"/>
        </w:rPr>
        <w:t xml:space="preserve"> stress the complex set of challenges underlying the obligation to report on progress towards the </w:t>
      </w:r>
      <w:r w:rsidR="00993EC7">
        <w:rPr>
          <w:rFonts w:eastAsia="ヒラギノ角ゴ Pro W3"/>
          <w:u w:color="000000"/>
          <w:lang w:eastAsia="en-GB"/>
        </w:rPr>
        <w:t>Sustainable Development Goals</w:t>
      </w:r>
      <w:r w:rsidR="00B64189" w:rsidRPr="009B4CC0">
        <w:rPr>
          <w:rFonts w:eastAsia="ヒラギノ角ゴ Pro W3"/>
          <w:u w:color="000000"/>
          <w:lang w:eastAsia="en-GB"/>
        </w:rPr>
        <w:t xml:space="preserve"> and highlight that traditional approaches and tools are not fit for this purpose. </w:t>
      </w:r>
      <w:r w:rsidR="000650FF">
        <w:rPr>
          <w:rFonts w:eastAsia="ヒラギノ角ゴ Pro W3"/>
          <w:u w:color="000000"/>
          <w:lang w:eastAsia="en-GB"/>
        </w:rPr>
        <w:t xml:space="preserve">Such reporting </w:t>
      </w:r>
      <w:r w:rsidR="00B64189" w:rsidRPr="009B4CC0">
        <w:rPr>
          <w:rFonts w:eastAsia="ヒラギノ角ゴ Pro W3"/>
          <w:u w:color="000000"/>
          <w:lang w:eastAsia="en-GB"/>
        </w:rPr>
        <w:t>requires integration.</w:t>
      </w:r>
      <w:r w:rsidR="00993EC7">
        <w:rPr>
          <w:rFonts w:eastAsia="ヒラギノ角ゴ Pro W3"/>
          <w:u w:color="000000"/>
          <w:lang w:eastAsia="en-GB"/>
        </w:rPr>
        <w:t xml:space="preserve">  </w:t>
      </w:r>
    </w:p>
    <w:p w14:paraId="2A9780E3" w14:textId="4800E08C" w:rsidR="00B64189" w:rsidRPr="009B4CC0" w:rsidRDefault="00BA0DC3" w:rsidP="00B64189">
      <w:pPr>
        <w:pStyle w:val="SingleTxtG"/>
        <w:rPr>
          <w:rFonts w:eastAsia="ヒラギノ角ゴ Pro W3"/>
          <w:u w:color="000000"/>
          <w:lang w:eastAsia="en-GB"/>
        </w:rPr>
      </w:pPr>
      <w:r w:rsidRPr="009B4CC0">
        <w:rPr>
          <w:rFonts w:eastAsia="ヒラギノ角ゴ Pro W3"/>
          <w:lang w:eastAsia="en-GB"/>
        </w:rPr>
        <w:t>3</w:t>
      </w:r>
      <w:r w:rsidR="00EB0AF1" w:rsidRPr="009B4CC0">
        <w:rPr>
          <w:rFonts w:eastAsia="ヒラギノ角ゴ Pro W3"/>
          <w:lang w:eastAsia="en-GB"/>
        </w:rPr>
        <w:t>8</w:t>
      </w:r>
      <w:r w:rsidR="00A53FB4" w:rsidRPr="009B4CC0">
        <w:rPr>
          <w:rFonts w:eastAsia="ヒラギノ角ゴ Pro W3"/>
          <w:lang w:eastAsia="en-GB"/>
        </w:rPr>
        <w:t>.</w:t>
      </w:r>
      <w:r w:rsidR="00A53FB4" w:rsidRPr="009B4CC0">
        <w:rPr>
          <w:rFonts w:eastAsia="ヒラギノ角ゴ Pro W3"/>
          <w:lang w:eastAsia="en-GB"/>
        </w:rPr>
        <w:tab/>
      </w:r>
      <w:r w:rsidR="00B64189" w:rsidRPr="009B4CC0">
        <w:rPr>
          <w:rFonts w:eastAsia="ヒラギノ角ゴ Pro W3"/>
          <w:u w:color="000000"/>
          <w:lang w:eastAsia="en-GB"/>
        </w:rPr>
        <w:t xml:space="preserve">Challenges emphasized by the Working Group include the absence of </w:t>
      </w:r>
      <w:r w:rsidR="00993EC7">
        <w:rPr>
          <w:rFonts w:eastAsia="ヒラギノ角ゴ Pro W3"/>
          <w:u w:color="000000"/>
          <w:lang w:eastAsia="en-GB"/>
        </w:rPr>
        <w:t>Sustainable Development Goals</w:t>
      </w:r>
      <w:r w:rsidR="00B64189" w:rsidRPr="009B4CC0">
        <w:rPr>
          <w:rFonts w:eastAsia="ヒラギノ角ゴ Pro W3"/>
          <w:u w:color="000000"/>
          <w:lang w:eastAsia="en-GB"/>
        </w:rPr>
        <w:t xml:space="preserve"> in </w:t>
      </w:r>
      <w:r w:rsidR="00993EC7">
        <w:rPr>
          <w:rFonts w:eastAsia="ヒラギノ角ゴ Pro W3"/>
          <w:u w:color="000000"/>
          <w:lang w:eastAsia="en-GB"/>
        </w:rPr>
        <w:t xml:space="preserve">national </w:t>
      </w:r>
      <w:r w:rsidR="00B64189" w:rsidRPr="009B4CC0">
        <w:rPr>
          <w:rFonts w:eastAsia="ヒラギノ角ゴ Pro W3"/>
          <w:u w:color="000000"/>
          <w:lang w:eastAsia="en-GB"/>
        </w:rPr>
        <w:t>strategic documents, methodological and procedural obstacles,</w:t>
      </w:r>
      <w:r w:rsidR="00993EC7">
        <w:rPr>
          <w:rFonts w:eastAsia="ヒラギノ角ゴ Pro W3"/>
          <w:u w:color="000000"/>
          <w:lang w:eastAsia="en-GB"/>
        </w:rPr>
        <w:t xml:space="preserve"> and</w:t>
      </w:r>
      <w:r w:rsidR="00B64189" w:rsidRPr="009B4CC0">
        <w:rPr>
          <w:rFonts w:eastAsia="ヒラギノ角ゴ Pro W3"/>
          <w:u w:color="000000"/>
          <w:lang w:eastAsia="en-GB"/>
        </w:rPr>
        <w:t xml:space="preserve"> </w:t>
      </w:r>
      <w:r w:rsidR="00EB0AF1" w:rsidRPr="009B4CC0">
        <w:rPr>
          <w:rFonts w:eastAsia="ヒラギノ角ゴ Pro W3"/>
          <w:u w:color="000000"/>
          <w:lang w:eastAsia="en-GB"/>
        </w:rPr>
        <w:t>insufficient</w:t>
      </w:r>
      <w:r w:rsidR="00B64189" w:rsidRPr="009B4CC0">
        <w:rPr>
          <w:rFonts w:eastAsia="ヒラギノ角ゴ Pro W3"/>
          <w:u w:color="000000"/>
          <w:lang w:eastAsia="en-GB"/>
        </w:rPr>
        <w:t xml:space="preserve"> available data and knowledge about international methodologies and standards. Among some of the key challenges </w:t>
      </w:r>
      <w:r w:rsidR="00993EC7">
        <w:rPr>
          <w:rFonts w:eastAsia="ヒラギノ角ゴ Pro W3"/>
          <w:u w:color="000000"/>
          <w:lang w:eastAsia="en-GB"/>
        </w:rPr>
        <w:t xml:space="preserve">highlighted </w:t>
      </w:r>
      <w:r w:rsidR="00B64189" w:rsidRPr="009B4CC0">
        <w:rPr>
          <w:rFonts w:eastAsia="ヒラギノ角ゴ Pro W3"/>
          <w:u w:color="000000"/>
          <w:lang w:eastAsia="en-GB"/>
        </w:rPr>
        <w:t>in the panel</w:t>
      </w:r>
      <w:r w:rsidR="000650FF">
        <w:rPr>
          <w:rFonts w:eastAsia="ヒラギノ角ゴ Pro W3"/>
          <w:u w:color="000000"/>
          <w:lang w:eastAsia="en-GB"/>
        </w:rPr>
        <w:t xml:space="preserve"> </w:t>
      </w:r>
      <w:r w:rsidR="00B64189" w:rsidRPr="009B4CC0">
        <w:rPr>
          <w:rFonts w:eastAsia="ヒラギノ角ゴ Pro W3"/>
          <w:u w:color="000000"/>
          <w:lang w:eastAsia="en-GB"/>
        </w:rPr>
        <w:t xml:space="preserve">discussion </w:t>
      </w:r>
      <w:proofErr w:type="gramStart"/>
      <w:r w:rsidR="00B64189" w:rsidRPr="009B4CC0">
        <w:rPr>
          <w:rFonts w:eastAsia="ヒラギノ角ゴ Pro W3"/>
          <w:u w:color="000000"/>
          <w:lang w:eastAsia="en-GB"/>
        </w:rPr>
        <w:t>were the considerable data requirements and analysis needed</w:t>
      </w:r>
      <w:proofErr w:type="gramEnd"/>
      <w:r w:rsidR="00B64189" w:rsidRPr="009B4CC0">
        <w:rPr>
          <w:rFonts w:eastAsia="ヒラギノ角ゴ Pro W3"/>
          <w:u w:color="000000"/>
          <w:lang w:eastAsia="en-GB"/>
        </w:rPr>
        <w:t xml:space="preserve"> to track progress and</w:t>
      </w:r>
      <w:r w:rsidR="00993EC7">
        <w:rPr>
          <w:rFonts w:eastAsia="ヒラギノ角ゴ Pro W3"/>
          <w:u w:color="000000"/>
          <w:lang w:eastAsia="en-GB"/>
        </w:rPr>
        <w:t>,</w:t>
      </w:r>
      <w:r w:rsidR="00B64189" w:rsidRPr="009B4CC0">
        <w:rPr>
          <w:rFonts w:eastAsia="ヒラギノ角ゴ Pro W3"/>
          <w:u w:color="000000"/>
          <w:lang w:eastAsia="en-GB"/>
        </w:rPr>
        <w:t xml:space="preserve"> for countries</w:t>
      </w:r>
      <w:r w:rsidR="00993EC7">
        <w:rPr>
          <w:rFonts w:eastAsia="ヒラギノ角ゴ Pro W3"/>
          <w:u w:color="000000"/>
          <w:lang w:eastAsia="en-GB"/>
        </w:rPr>
        <w:t xml:space="preserve"> that </w:t>
      </w:r>
      <w:r w:rsidR="00B64189" w:rsidRPr="009B4CC0">
        <w:rPr>
          <w:rFonts w:eastAsia="ヒラギノ角ゴ Pro W3"/>
          <w:u w:color="000000"/>
          <w:lang w:eastAsia="en-GB"/>
        </w:rPr>
        <w:t xml:space="preserve">have </w:t>
      </w:r>
      <w:r w:rsidR="00993EC7">
        <w:rPr>
          <w:rFonts w:eastAsia="ヒラギノ角ゴ Pro W3"/>
          <w:u w:color="000000"/>
          <w:lang w:eastAsia="en-GB"/>
        </w:rPr>
        <w:t xml:space="preserve">already </w:t>
      </w:r>
      <w:r w:rsidR="00B64189" w:rsidRPr="009B4CC0">
        <w:rPr>
          <w:rFonts w:eastAsia="ヒラギノ角ゴ Pro W3"/>
          <w:u w:color="000000"/>
          <w:lang w:eastAsia="en-GB"/>
        </w:rPr>
        <w:t xml:space="preserve">started integrating </w:t>
      </w:r>
      <w:r w:rsidR="00993EC7">
        <w:rPr>
          <w:rFonts w:eastAsia="ヒラギノ角ゴ Pro W3"/>
          <w:u w:color="000000"/>
          <w:lang w:eastAsia="en-GB"/>
        </w:rPr>
        <w:t>Sustainable Development Goals</w:t>
      </w:r>
      <w:r w:rsidR="00B64189" w:rsidRPr="009B4CC0">
        <w:rPr>
          <w:rFonts w:eastAsia="ヒラギノ角ゴ Pro W3"/>
          <w:u w:color="000000"/>
          <w:lang w:eastAsia="en-GB"/>
        </w:rPr>
        <w:t xml:space="preserve"> into their national development plans, the customization of indicators. A host of solutions </w:t>
      </w:r>
      <w:proofErr w:type="gramStart"/>
      <w:r w:rsidR="00B64189" w:rsidRPr="009B4CC0">
        <w:rPr>
          <w:rFonts w:eastAsia="ヒラギノ角ゴ Pro W3"/>
          <w:u w:color="000000"/>
          <w:lang w:eastAsia="en-GB"/>
        </w:rPr>
        <w:t>were also noted</w:t>
      </w:r>
      <w:proofErr w:type="gramEnd"/>
      <w:r w:rsidR="00B64189" w:rsidRPr="009B4CC0">
        <w:rPr>
          <w:rFonts w:eastAsia="ヒラギノ角ゴ Pro W3"/>
          <w:u w:color="000000"/>
          <w:lang w:eastAsia="en-GB"/>
        </w:rPr>
        <w:t xml:space="preserve">, </w:t>
      </w:r>
      <w:r w:rsidR="00993EC7">
        <w:rPr>
          <w:rFonts w:eastAsia="ヒラギノ角ゴ Pro W3"/>
          <w:u w:color="000000"/>
          <w:lang w:eastAsia="en-GB"/>
        </w:rPr>
        <w:t xml:space="preserve">including </w:t>
      </w:r>
      <w:r w:rsidR="00B64189" w:rsidRPr="009B4CC0">
        <w:rPr>
          <w:rFonts w:eastAsia="ヒラギノ角ゴ Pro W3"/>
          <w:u w:color="000000"/>
          <w:lang w:eastAsia="en-GB"/>
        </w:rPr>
        <w:t xml:space="preserve">efforts to promote legislative improvements, increased information exchange and engagement of international experts and capacity-building focusing on </w:t>
      </w:r>
      <w:r w:rsidR="00993EC7">
        <w:rPr>
          <w:rFonts w:eastAsia="ヒラギノ角ゴ Pro W3"/>
          <w:u w:color="000000"/>
          <w:lang w:eastAsia="en-GB"/>
        </w:rPr>
        <w:t>Sustainable</w:t>
      </w:r>
      <w:r w:rsidR="00616FF8">
        <w:rPr>
          <w:rFonts w:eastAsia="ヒラギノ角ゴ Pro W3"/>
          <w:u w:color="000000"/>
          <w:lang w:eastAsia="en-GB"/>
        </w:rPr>
        <w:t xml:space="preserve"> </w:t>
      </w:r>
      <w:r w:rsidR="00993EC7">
        <w:rPr>
          <w:rFonts w:eastAsia="ヒラギノ角ゴ Pro W3"/>
          <w:u w:color="000000"/>
          <w:lang w:eastAsia="en-GB"/>
        </w:rPr>
        <w:t>Development</w:t>
      </w:r>
      <w:r w:rsidR="00616FF8">
        <w:rPr>
          <w:rFonts w:eastAsia="ヒラギノ角ゴ Pro W3"/>
          <w:u w:color="000000"/>
          <w:lang w:eastAsia="en-GB"/>
        </w:rPr>
        <w:t xml:space="preserve"> </w:t>
      </w:r>
      <w:r w:rsidR="00993EC7">
        <w:rPr>
          <w:rFonts w:eastAsia="ヒラギノ角ゴ Pro W3"/>
          <w:u w:color="000000"/>
          <w:lang w:eastAsia="en-GB"/>
        </w:rPr>
        <w:t>Goal</w:t>
      </w:r>
      <w:r w:rsidR="00B64189" w:rsidRPr="009B4CC0">
        <w:rPr>
          <w:rFonts w:eastAsia="ヒラギノ角ゴ Pro W3"/>
          <w:u w:color="000000"/>
          <w:lang w:eastAsia="en-GB"/>
        </w:rPr>
        <w:t xml:space="preserve"> and </w:t>
      </w:r>
      <w:r w:rsidR="00993EC7">
        <w:rPr>
          <w:rFonts w:eastAsia="ヒラギノ角ゴ Pro W3"/>
          <w:u w:color="000000"/>
          <w:lang w:eastAsia="en-GB"/>
        </w:rPr>
        <w:t>g</w:t>
      </w:r>
      <w:r w:rsidR="00B64189" w:rsidRPr="009B4CC0">
        <w:rPr>
          <w:rFonts w:eastAsia="ヒラギノ角ゴ Pro W3"/>
          <w:u w:color="000000"/>
          <w:lang w:eastAsia="en-GB"/>
        </w:rPr>
        <w:t>reen</w:t>
      </w:r>
      <w:r w:rsidR="00616FF8">
        <w:rPr>
          <w:rFonts w:eastAsia="ヒラギノ角ゴ Pro W3"/>
          <w:u w:color="000000"/>
          <w:lang w:eastAsia="en-GB"/>
        </w:rPr>
        <w:t xml:space="preserve"> </w:t>
      </w:r>
      <w:r w:rsidR="00993EC7">
        <w:rPr>
          <w:rFonts w:eastAsia="ヒラギノ角ゴ Pro W3"/>
          <w:u w:color="000000"/>
          <w:lang w:eastAsia="en-GB"/>
        </w:rPr>
        <w:t>e</w:t>
      </w:r>
      <w:r w:rsidR="00B64189" w:rsidRPr="009B4CC0">
        <w:rPr>
          <w:rFonts w:eastAsia="ヒラギノ角ゴ Pro W3"/>
          <w:u w:color="000000"/>
          <w:lang w:eastAsia="en-GB"/>
        </w:rPr>
        <w:t>conomy</w:t>
      </w:r>
      <w:r w:rsidR="00616FF8">
        <w:rPr>
          <w:rFonts w:eastAsia="ヒラギノ角ゴ Pro W3"/>
          <w:u w:color="000000"/>
          <w:lang w:eastAsia="en-GB"/>
        </w:rPr>
        <w:t xml:space="preserve"> </w:t>
      </w:r>
      <w:r w:rsidR="00B64189" w:rsidRPr="009B4CC0">
        <w:rPr>
          <w:rFonts w:eastAsia="ヒラギノ角ゴ Pro W3"/>
          <w:u w:color="000000"/>
          <w:lang w:eastAsia="en-GB"/>
        </w:rPr>
        <w:t>indicator-related methodologies and data collection for national use.</w:t>
      </w:r>
    </w:p>
    <w:p w14:paraId="45FE1547" w14:textId="5C3EC53E" w:rsidR="005D1A23" w:rsidRPr="009B4CC0" w:rsidRDefault="00167E89" w:rsidP="005D1A23">
      <w:pPr>
        <w:pStyle w:val="SingleTxtG"/>
        <w:rPr>
          <w:rFonts w:eastAsia="ヒラギノ角ゴ Pro W3"/>
          <w:u w:color="000000"/>
          <w:lang w:eastAsia="en-GB"/>
        </w:rPr>
      </w:pPr>
      <w:r w:rsidRPr="009B4CC0">
        <w:rPr>
          <w:rFonts w:eastAsia="ヒラギノ角ゴ Pro W3"/>
          <w:lang w:eastAsia="en-GB"/>
        </w:rPr>
        <w:t>3</w:t>
      </w:r>
      <w:r w:rsidR="00EB0AF1" w:rsidRPr="009B4CC0">
        <w:rPr>
          <w:rFonts w:eastAsia="ヒラギノ角ゴ Pro W3"/>
          <w:lang w:eastAsia="en-GB"/>
        </w:rPr>
        <w:t>9</w:t>
      </w:r>
      <w:r w:rsidR="00A53FB4" w:rsidRPr="009B4CC0">
        <w:rPr>
          <w:rFonts w:eastAsia="ヒラギノ角ゴ Pro W3"/>
          <w:lang w:eastAsia="en-GB"/>
        </w:rPr>
        <w:t>.</w:t>
      </w:r>
      <w:r w:rsidR="00A53FB4" w:rsidRPr="009B4CC0">
        <w:rPr>
          <w:rFonts w:eastAsia="ヒラギノ角ゴ Pro W3"/>
          <w:lang w:eastAsia="en-GB"/>
        </w:rPr>
        <w:tab/>
      </w:r>
      <w:r w:rsidR="00B64189" w:rsidRPr="009B4CC0">
        <w:rPr>
          <w:rFonts w:eastAsia="ヒラギノ角ゴ Pro W3"/>
          <w:u w:color="000000"/>
          <w:lang w:eastAsia="en-GB"/>
        </w:rPr>
        <w:t xml:space="preserve">The goal for support in the area of the 2030 Agenda and the Pan-European Strategic Framework for Greening the Economy </w:t>
      </w:r>
      <w:r w:rsidR="003D193A">
        <w:rPr>
          <w:rFonts w:eastAsia="ヒラギノ角ゴ Pro W3"/>
          <w:u w:color="000000"/>
          <w:lang w:eastAsia="en-GB"/>
        </w:rPr>
        <w:t xml:space="preserve">is </w:t>
      </w:r>
      <w:r w:rsidR="00B64189" w:rsidRPr="009B4CC0">
        <w:rPr>
          <w:rFonts w:eastAsia="ヒラギノ角ゴ Pro W3"/>
          <w:u w:color="000000"/>
          <w:lang w:eastAsia="en-GB"/>
        </w:rPr>
        <w:t xml:space="preserve">to build on </w:t>
      </w:r>
      <w:proofErr w:type="gramStart"/>
      <w:r w:rsidR="00B64189" w:rsidRPr="009B4CC0">
        <w:rPr>
          <w:rFonts w:eastAsia="ヒラギノ角ゴ Pro W3"/>
          <w:u w:color="000000"/>
          <w:lang w:eastAsia="en-GB"/>
        </w:rPr>
        <w:t>past achievements</w:t>
      </w:r>
      <w:proofErr w:type="gramEnd"/>
      <w:r w:rsidR="00B64189" w:rsidRPr="009B4CC0">
        <w:rPr>
          <w:rFonts w:eastAsia="ヒラギノ角ゴ Pro W3"/>
          <w:u w:color="000000"/>
          <w:lang w:eastAsia="en-GB"/>
        </w:rPr>
        <w:t xml:space="preserve"> and lessons learn</w:t>
      </w:r>
      <w:r w:rsidR="003D193A">
        <w:rPr>
          <w:rFonts w:eastAsia="ヒラギノ角ゴ Pro W3"/>
          <w:u w:color="000000"/>
          <w:lang w:eastAsia="en-GB"/>
        </w:rPr>
        <w:t>ed</w:t>
      </w:r>
      <w:r w:rsidR="00B64189" w:rsidRPr="009B4CC0">
        <w:rPr>
          <w:rFonts w:eastAsia="ヒラギノ角ゴ Pro W3"/>
          <w:u w:color="000000"/>
          <w:lang w:eastAsia="en-GB"/>
        </w:rPr>
        <w:t xml:space="preserve"> in connection with the establishment of SEIS and the sharing of environmental indicators</w:t>
      </w:r>
      <w:r w:rsidR="00D9042C" w:rsidRPr="009B4CC0">
        <w:rPr>
          <w:rFonts w:eastAsia="ヒラギノ角ゴ Pro W3"/>
          <w:u w:color="000000"/>
          <w:lang w:eastAsia="en-GB"/>
        </w:rPr>
        <w:t xml:space="preserve">. This </w:t>
      </w:r>
      <w:r w:rsidR="003D193A">
        <w:rPr>
          <w:rFonts w:eastAsia="ヒラギノ角ゴ Pro W3"/>
          <w:u w:color="000000"/>
          <w:lang w:eastAsia="en-GB"/>
        </w:rPr>
        <w:t xml:space="preserve">will </w:t>
      </w:r>
      <w:r w:rsidR="00D9042C" w:rsidRPr="009B4CC0">
        <w:rPr>
          <w:rFonts w:eastAsia="ヒラギノ角ゴ Pro W3"/>
          <w:u w:color="000000"/>
          <w:lang w:eastAsia="en-GB"/>
        </w:rPr>
        <w:t>be done</w:t>
      </w:r>
      <w:r w:rsidR="00B64189" w:rsidRPr="009B4CC0">
        <w:rPr>
          <w:rFonts w:eastAsia="ヒラギノ角ゴ Pro W3"/>
          <w:u w:color="000000"/>
          <w:lang w:eastAsia="en-GB"/>
        </w:rPr>
        <w:t xml:space="preserve"> </w:t>
      </w:r>
      <w:proofErr w:type="gramStart"/>
      <w:r w:rsidR="00B64189" w:rsidRPr="009B4CC0">
        <w:rPr>
          <w:rFonts w:eastAsia="ヒラギノ角ゴ Pro W3"/>
          <w:u w:color="000000"/>
          <w:lang w:eastAsia="en-GB"/>
        </w:rPr>
        <w:t xml:space="preserve">both through the </w:t>
      </w:r>
      <w:r w:rsidRPr="009B4CC0">
        <w:rPr>
          <w:rFonts w:eastAsia="ヒラギノ角ゴ Pro W3"/>
          <w:u w:color="000000"/>
          <w:lang w:eastAsia="en-GB"/>
        </w:rPr>
        <w:t xml:space="preserve">Working Group and </w:t>
      </w:r>
      <w:r w:rsidR="003D193A">
        <w:rPr>
          <w:rFonts w:eastAsia="ヒラギノ角ゴ Pro W3"/>
          <w:u w:color="000000"/>
          <w:lang w:eastAsia="en-GB"/>
        </w:rPr>
        <w:t>the</w:t>
      </w:r>
      <w:proofErr w:type="gramEnd"/>
      <w:r w:rsidR="003D193A">
        <w:rPr>
          <w:rFonts w:eastAsia="ヒラギノ角ゴ Pro W3"/>
          <w:u w:color="000000"/>
          <w:lang w:eastAsia="en-GB"/>
        </w:rPr>
        <w:t xml:space="preserve"> </w:t>
      </w:r>
      <w:r w:rsidRPr="009B4CC0">
        <w:rPr>
          <w:rFonts w:eastAsia="ヒラギノ角ゴ Pro W3"/>
          <w:u w:color="000000"/>
          <w:lang w:eastAsia="en-GB"/>
        </w:rPr>
        <w:t>Joint Task Force</w:t>
      </w:r>
      <w:r w:rsidR="00D9042C" w:rsidRPr="009B4CC0">
        <w:rPr>
          <w:rFonts w:eastAsia="ヒラギノ角ゴ Pro W3"/>
          <w:u w:color="000000"/>
          <w:lang w:eastAsia="en-GB"/>
        </w:rPr>
        <w:t xml:space="preserve">, in collaboration with relevant partners, such as </w:t>
      </w:r>
      <w:r w:rsidR="003D193A">
        <w:rPr>
          <w:rFonts w:eastAsia="ヒラギノ角ゴ Pro W3"/>
          <w:u w:color="000000"/>
          <w:lang w:eastAsia="en-GB"/>
        </w:rPr>
        <w:t>the Organization for Economic Cooperation and Development (</w:t>
      </w:r>
      <w:r w:rsidR="00D9042C" w:rsidRPr="009B4CC0">
        <w:rPr>
          <w:rFonts w:eastAsia="ヒラギノ角ゴ Pro W3"/>
          <w:u w:color="000000"/>
          <w:lang w:eastAsia="en-GB"/>
        </w:rPr>
        <w:t>OECD</w:t>
      </w:r>
      <w:r w:rsidR="003D193A">
        <w:rPr>
          <w:rFonts w:eastAsia="ヒラギノ角ゴ Pro W3"/>
          <w:u w:color="000000"/>
          <w:lang w:eastAsia="en-GB"/>
        </w:rPr>
        <w:t>)</w:t>
      </w:r>
      <w:r w:rsidR="00D9042C" w:rsidRPr="009B4CC0">
        <w:rPr>
          <w:rFonts w:eastAsia="ヒラギノ角ゴ Pro W3"/>
          <w:u w:color="000000"/>
          <w:lang w:eastAsia="en-GB"/>
        </w:rPr>
        <w:t xml:space="preserve"> and other ECE divisions. </w:t>
      </w:r>
      <w:r w:rsidR="00B64189" w:rsidRPr="007F5426">
        <w:rPr>
          <w:rFonts w:eastAsia="ヒラギノ角ゴ Pro W3"/>
          <w:u w:color="000000"/>
          <w:lang w:eastAsia="en-GB"/>
        </w:rPr>
        <w:t xml:space="preserve">The objective </w:t>
      </w:r>
      <w:r w:rsidR="000650FF" w:rsidRPr="007F5426">
        <w:rPr>
          <w:rFonts w:eastAsia="ヒラギノ角ゴ Pro W3"/>
          <w:u w:color="000000"/>
          <w:lang w:eastAsia="en-GB"/>
        </w:rPr>
        <w:t xml:space="preserve">is </w:t>
      </w:r>
      <w:r w:rsidR="00B64189" w:rsidRPr="007F5426">
        <w:rPr>
          <w:rFonts w:eastAsia="ヒラギノ角ゴ Pro W3"/>
          <w:u w:color="000000"/>
          <w:lang w:eastAsia="en-GB"/>
        </w:rPr>
        <w:t xml:space="preserve">to complement planned activities </w:t>
      </w:r>
      <w:r w:rsidR="00F42552">
        <w:rPr>
          <w:rFonts w:eastAsia="ヒラギノ角ゴ Pro W3"/>
          <w:u w:color="000000"/>
          <w:lang w:eastAsia="en-GB"/>
        </w:rPr>
        <w:t xml:space="preserve">to </w:t>
      </w:r>
      <w:r w:rsidR="00B64189" w:rsidRPr="007F5426">
        <w:rPr>
          <w:rFonts w:eastAsia="ヒラギノ角ゴ Pro W3"/>
          <w:u w:color="000000"/>
          <w:lang w:eastAsia="en-GB"/>
        </w:rPr>
        <w:t xml:space="preserve">develop </w:t>
      </w:r>
      <w:r w:rsidR="00482C1B" w:rsidRPr="007F5426">
        <w:rPr>
          <w:rFonts w:eastAsia="ヒラギノ角ゴ Pro W3"/>
          <w:u w:color="000000"/>
          <w:lang w:eastAsia="en-GB"/>
        </w:rPr>
        <w:t>national</w:t>
      </w:r>
      <w:r w:rsidR="00B64189" w:rsidRPr="007F5426">
        <w:rPr>
          <w:rFonts w:eastAsia="ヒラギノ角ゴ Pro W3"/>
          <w:u w:color="000000"/>
          <w:lang w:eastAsia="en-GB"/>
        </w:rPr>
        <w:t xml:space="preserve"> reporting mechanism</w:t>
      </w:r>
      <w:r w:rsidR="00482C1B" w:rsidRPr="007F5426">
        <w:rPr>
          <w:rFonts w:eastAsia="ヒラギノ角ゴ Pro W3"/>
          <w:u w:color="000000"/>
          <w:lang w:eastAsia="en-GB"/>
        </w:rPr>
        <w:t>s</w:t>
      </w:r>
      <w:r w:rsidR="00B64189" w:rsidRPr="007F5426">
        <w:rPr>
          <w:rFonts w:eastAsia="ヒラギノ角ゴ Pro W3"/>
          <w:u w:color="000000"/>
          <w:lang w:eastAsia="en-GB"/>
        </w:rPr>
        <w:t xml:space="preserve"> for the member countries to self-monitor and self-evaluate progress on SEIS establishment</w:t>
      </w:r>
      <w:r w:rsidR="00F42552">
        <w:rPr>
          <w:rFonts w:eastAsia="ヒラギノ角ゴ Pro W3"/>
          <w:u w:color="000000"/>
          <w:lang w:eastAsia="en-GB"/>
        </w:rPr>
        <w:t xml:space="preserve"> so that</w:t>
      </w:r>
      <w:r w:rsidR="00B64189" w:rsidRPr="007F5426">
        <w:rPr>
          <w:rFonts w:eastAsia="ヒラギノ角ゴ Pro W3"/>
          <w:u w:color="000000"/>
          <w:lang w:eastAsia="en-GB"/>
        </w:rPr>
        <w:t xml:space="preserve"> </w:t>
      </w:r>
      <w:r w:rsidR="00F42552">
        <w:rPr>
          <w:rFonts w:eastAsia="ヒラギノ角ゴ Pro W3"/>
          <w:u w:color="000000"/>
          <w:lang w:eastAsia="en-GB"/>
        </w:rPr>
        <w:t xml:space="preserve">they </w:t>
      </w:r>
      <w:r w:rsidR="00B64189" w:rsidRPr="007F5426">
        <w:rPr>
          <w:rFonts w:eastAsia="ヒラギノ角ゴ Pro W3"/>
          <w:u w:color="000000"/>
          <w:lang w:eastAsia="en-GB"/>
        </w:rPr>
        <w:t>contribut</w:t>
      </w:r>
      <w:r w:rsidR="00F42552">
        <w:rPr>
          <w:rFonts w:eastAsia="ヒラギノ角ゴ Pro W3"/>
          <w:u w:color="000000"/>
          <w:lang w:eastAsia="en-GB"/>
        </w:rPr>
        <w:t>e</w:t>
      </w:r>
      <w:r w:rsidR="00B64189" w:rsidRPr="007F5426">
        <w:rPr>
          <w:rFonts w:eastAsia="ヒラギノ角ゴ Pro W3"/>
          <w:u w:color="000000"/>
          <w:lang w:eastAsia="en-GB"/>
        </w:rPr>
        <w:t xml:space="preserve"> </w:t>
      </w:r>
      <w:r w:rsidR="00F42552">
        <w:rPr>
          <w:rFonts w:eastAsia="ヒラギノ角ゴ Pro W3"/>
          <w:u w:color="000000"/>
          <w:lang w:eastAsia="en-GB"/>
        </w:rPr>
        <w:t xml:space="preserve">also </w:t>
      </w:r>
      <w:r w:rsidR="00B64189" w:rsidRPr="007F5426">
        <w:rPr>
          <w:rFonts w:eastAsia="ヒラギノ角ゴ Pro W3"/>
          <w:u w:color="000000"/>
          <w:lang w:eastAsia="en-GB"/>
        </w:rPr>
        <w:t xml:space="preserve">to the implementation of </w:t>
      </w:r>
      <w:r w:rsidR="00F42552">
        <w:rPr>
          <w:rFonts w:eastAsia="ヒラギノ角ゴ Pro W3"/>
          <w:u w:color="000000"/>
          <w:lang w:eastAsia="en-GB"/>
        </w:rPr>
        <w:t xml:space="preserve">the </w:t>
      </w:r>
      <w:r w:rsidR="00B64189" w:rsidRPr="007F5426">
        <w:rPr>
          <w:rFonts w:eastAsia="ヒラギノ角ゴ Pro W3"/>
          <w:u w:color="000000"/>
          <w:lang w:eastAsia="en-GB"/>
        </w:rPr>
        <w:t>2030 Agenda and to improv</w:t>
      </w:r>
      <w:r w:rsidR="00F42552">
        <w:rPr>
          <w:rFonts w:eastAsia="ヒラギノ角ゴ Pro W3"/>
          <w:u w:color="000000"/>
          <w:lang w:eastAsia="en-GB"/>
        </w:rPr>
        <w:t>ing</w:t>
      </w:r>
      <w:r w:rsidR="00B64189" w:rsidRPr="007F5426">
        <w:rPr>
          <w:rFonts w:eastAsia="ヒラギノ角ゴ Pro W3"/>
          <w:u w:color="000000"/>
          <w:lang w:eastAsia="en-GB"/>
        </w:rPr>
        <w:t xml:space="preserve"> </w:t>
      </w:r>
      <w:r w:rsidR="003D193A" w:rsidRPr="007F5426">
        <w:rPr>
          <w:rFonts w:eastAsia="ヒラギノ角ゴ Pro W3"/>
          <w:u w:color="000000"/>
          <w:lang w:eastAsia="en-GB"/>
        </w:rPr>
        <w:t xml:space="preserve">green economy </w:t>
      </w:r>
      <w:r w:rsidR="00B64189" w:rsidRPr="007F5426">
        <w:rPr>
          <w:rFonts w:eastAsia="ヒラギノ角ゴ Pro W3"/>
          <w:u w:color="000000"/>
          <w:lang w:eastAsia="en-GB"/>
        </w:rPr>
        <w:t>monitoring capabilities</w:t>
      </w:r>
      <w:r w:rsidR="00B64189" w:rsidRPr="009B4CC0">
        <w:rPr>
          <w:rFonts w:eastAsia="ヒラギノ角ゴ Pro W3"/>
          <w:u w:color="000000"/>
          <w:lang w:eastAsia="en-GB"/>
        </w:rPr>
        <w:t xml:space="preserve">. </w:t>
      </w:r>
      <w:r w:rsidR="005D1A23" w:rsidRPr="009B4CC0">
        <w:rPr>
          <w:rFonts w:eastAsia="ヒラギノ角ゴ Pro W3"/>
          <w:u w:color="000000"/>
          <w:lang w:eastAsia="en-GB"/>
        </w:rPr>
        <w:t xml:space="preserve">The aim would also be to ensure that </w:t>
      </w:r>
      <w:r w:rsidR="002E4650" w:rsidRPr="009B4CC0">
        <w:rPr>
          <w:rFonts w:eastAsia="ヒラギノ角ゴ Pro W3"/>
          <w:u w:color="000000"/>
          <w:lang w:eastAsia="en-GB"/>
        </w:rPr>
        <w:t>ongoing</w:t>
      </w:r>
      <w:r w:rsidR="005D1A23" w:rsidRPr="009B4CC0">
        <w:rPr>
          <w:rFonts w:eastAsia="ヒラギノ角ゴ Pro W3"/>
          <w:u w:color="000000"/>
          <w:lang w:eastAsia="en-GB"/>
        </w:rPr>
        <w:t xml:space="preserve"> collaborative activities </w:t>
      </w:r>
      <w:proofErr w:type="gramStart"/>
      <w:r w:rsidR="005D1A23" w:rsidRPr="009B4CC0">
        <w:rPr>
          <w:rFonts w:eastAsia="ヒラギノ角ゴ Pro W3"/>
          <w:u w:color="000000"/>
          <w:lang w:eastAsia="en-GB"/>
        </w:rPr>
        <w:t>are maintained</w:t>
      </w:r>
      <w:proofErr w:type="gramEnd"/>
      <w:r w:rsidR="005D1A23" w:rsidRPr="009B4CC0">
        <w:rPr>
          <w:rFonts w:eastAsia="ヒラギノ角ゴ Pro W3"/>
          <w:u w:color="000000"/>
          <w:lang w:eastAsia="en-GB"/>
        </w:rPr>
        <w:t xml:space="preserve">, in particular with OECD and the work being carried out on </w:t>
      </w:r>
      <w:r w:rsidR="003D193A">
        <w:rPr>
          <w:rFonts w:eastAsia="ヒラギノ角ゴ Pro W3"/>
          <w:u w:color="000000"/>
          <w:lang w:eastAsia="en-GB"/>
        </w:rPr>
        <w:t>g</w:t>
      </w:r>
      <w:r w:rsidR="005D1A23" w:rsidRPr="009B4CC0">
        <w:rPr>
          <w:rFonts w:eastAsia="ヒラギノ角ゴ Pro W3"/>
          <w:u w:color="000000"/>
          <w:lang w:eastAsia="en-GB"/>
        </w:rPr>
        <w:t xml:space="preserve">reen </w:t>
      </w:r>
      <w:r w:rsidR="003D193A">
        <w:rPr>
          <w:rFonts w:eastAsia="ヒラギノ角ゴ Pro W3"/>
          <w:u w:color="000000"/>
          <w:lang w:eastAsia="en-GB"/>
        </w:rPr>
        <w:t>e</w:t>
      </w:r>
      <w:r w:rsidR="005D1A23" w:rsidRPr="009B4CC0">
        <w:rPr>
          <w:rFonts w:eastAsia="ヒラギノ角ゴ Pro W3"/>
          <w:u w:color="000000"/>
          <w:lang w:eastAsia="en-GB"/>
        </w:rPr>
        <w:t>conomy indicators</w:t>
      </w:r>
      <w:r w:rsidR="00736438" w:rsidRPr="009B4CC0">
        <w:rPr>
          <w:rFonts w:eastAsia="ヒラギノ角ゴ Pro W3"/>
          <w:u w:color="000000"/>
          <w:lang w:eastAsia="en-GB"/>
        </w:rPr>
        <w:t xml:space="preserve"> through the </w:t>
      </w:r>
      <w:r w:rsidR="003D193A">
        <w:rPr>
          <w:rFonts w:eastAsia="ヒラギノ角ゴ Pro W3"/>
          <w:u w:color="000000"/>
          <w:lang w:eastAsia="en-GB"/>
        </w:rPr>
        <w:t xml:space="preserve">OECD </w:t>
      </w:r>
      <w:r w:rsidR="00736438" w:rsidRPr="009B4CC0">
        <w:rPr>
          <w:rFonts w:eastAsia="ヒラギノ角ゴ Pro W3"/>
          <w:u w:color="000000"/>
          <w:lang w:eastAsia="en-GB"/>
        </w:rPr>
        <w:t>Green Action Programme</w:t>
      </w:r>
      <w:r w:rsidR="005D1A23" w:rsidRPr="009B4CC0">
        <w:rPr>
          <w:rFonts w:eastAsia="ヒラギノ角ゴ Pro W3"/>
          <w:u w:color="000000"/>
          <w:lang w:eastAsia="en-GB"/>
        </w:rPr>
        <w:t xml:space="preserve">. This should furthermore entail proactive steps to engage other ECE divisions and interested parties in their work on the </w:t>
      </w:r>
      <w:r w:rsidR="003D193A">
        <w:rPr>
          <w:rFonts w:eastAsia="ヒラギノ角ゴ Pro W3"/>
          <w:u w:color="000000"/>
          <w:lang w:eastAsia="en-GB"/>
        </w:rPr>
        <w:t>Sustainable Development Goals</w:t>
      </w:r>
      <w:r w:rsidR="005D1A23" w:rsidRPr="009B4CC0">
        <w:rPr>
          <w:rFonts w:eastAsia="ヒラギノ角ゴ Pro W3"/>
          <w:u w:color="000000"/>
          <w:lang w:eastAsia="en-GB"/>
        </w:rPr>
        <w:t xml:space="preserve">. </w:t>
      </w:r>
    </w:p>
    <w:p w14:paraId="11383D30" w14:textId="2E34D529" w:rsidR="00B64189" w:rsidRPr="009B4CC0" w:rsidRDefault="00EB0AF1" w:rsidP="005D1A23">
      <w:pPr>
        <w:pStyle w:val="SingleTxtG"/>
        <w:rPr>
          <w:rFonts w:eastAsia="ヒラギノ角ゴ Pro W3"/>
          <w:u w:color="000000"/>
          <w:lang w:eastAsia="en-GB"/>
        </w:rPr>
      </w:pPr>
      <w:r w:rsidRPr="009B4CC0">
        <w:rPr>
          <w:rFonts w:eastAsia="ヒラギノ角ゴ Pro W3"/>
          <w:lang w:eastAsia="en-GB"/>
        </w:rPr>
        <w:t>40</w:t>
      </w:r>
      <w:r w:rsidR="005D1A23" w:rsidRPr="009B4CC0">
        <w:rPr>
          <w:rFonts w:eastAsia="ヒラギノ角ゴ Pro W3"/>
          <w:lang w:eastAsia="en-GB"/>
        </w:rPr>
        <w:t>.</w:t>
      </w:r>
      <w:r w:rsidR="005D1A23" w:rsidRPr="009B4CC0">
        <w:rPr>
          <w:rFonts w:eastAsia="ヒラギノ角ゴ Pro W3"/>
          <w:lang w:eastAsia="en-GB"/>
        </w:rPr>
        <w:tab/>
      </w:r>
      <w:r w:rsidR="00B64189" w:rsidRPr="009B4CC0">
        <w:rPr>
          <w:rFonts w:eastAsia="ヒラギノ角ゴ Pro W3"/>
          <w:u w:color="000000"/>
          <w:lang w:eastAsia="en-GB"/>
        </w:rPr>
        <w:t xml:space="preserve">The overarching goal would be to strengthen capacities of national environmental authorities and statistical agencies so that the member countries are able to prepare </w:t>
      </w:r>
      <w:r w:rsidR="00F45670">
        <w:rPr>
          <w:rFonts w:eastAsia="ヒラギノ角ゴ Pro W3"/>
          <w:u w:color="000000"/>
          <w:lang w:eastAsia="en-GB"/>
        </w:rPr>
        <w:t xml:space="preserve">regular, </w:t>
      </w:r>
      <w:r w:rsidR="00B64189" w:rsidRPr="009B4CC0">
        <w:rPr>
          <w:rFonts w:eastAsia="ヒラギノ角ゴ Pro W3"/>
          <w:u w:color="000000"/>
          <w:lang w:eastAsia="en-GB"/>
        </w:rPr>
        <w:t xml:space="preserve">indicator-based reports on progress towards the </w:t>
      </w:r>
      <w:r w:rsidR="00F45670">
        <w:rPr>
          <w:rFonts w:eastAsia="ヒラギノ角ゴ Pro W3"/>
          <w:u w:color="000000"/>
          <w:lang w:eastAsia="en-GB"/>
        </w:rPr>
        <w:t>Sustainable Development Goals</w:t>
      </w:r>
      <w:r w:rsidR="00B64189" w:rsidRPr="009B4CC0">
        <w:rPr>
          <w:rFonts w:eastAsia="ヒラギノ角ゴ Pro W3"/>
          <w:u w:color="000000"/>
          <w:lang w:eastAsia="en-GB"/>
        </w:rPr>
        <w:t xml:space="preserve"> and the </w:t>
      </w:r>
      <w:r w:rsidR="00F45670">
        <w:rPr>
          <w:rFonts w:eastAsia="ヒラギノ角ゴ Pro W3"/>
          <w:u w:color="000000"/>
          <w:lang w:eastAsia="en-GB"/>
        </w:rPr>
        <w:t>g</w:t>
      </w:r>
      <w:r w:rsidR="00B64189" w:rsidRPr="009B4CC0">
        <w:rPr>
          <w:rFonts w:eastAsia="ヒラギノ角ゴ Pro W3"/>
          <w:u w:color="000000"/>
          <w:lang w:eastAsia="en-GB"/>
        </w:rPr>
        <w:t xml:space="preserve">reen </w:t>
      </w:r>
      <w:r w:rsidR="00F45670">
        <w:rPr>
          <w:rFonts w:eastAsia="ヒラギノ角ゴ Pro W3"/>
          <w:u w:color="000000"/>
          <w:lang w:eastAsia="en-GB"/>
        </w:rPr>
        <w:t>e</w:t>
      </w:r>
      <w:r w:rsidR="00B64189" w:rsidRPr="009B4CC0">
        <w:rPr>
          <w:rFonts w:eastAsia="ヒラギノ角ゴ Pro W3"/>
          <w:u w:color="000000"/>
          <w:lang w:eastAsia="en-GB"/>
        </w:rPr>
        <w:t>conomy.</w:t>
      </w:r>
      <w:r w:rsidR="005D1A23" w:rsidRPr="009B4CC0">
        <w:rPr>
          <w:rFonts w:eastAsia="ヒラギノ角ゴ Pro W3"/>
          <w:u w:color="000000"/>
          <w:lang w:eastAsia="en-GB"/>
        </w:rPr>
        <w:t xml:space="preserve"> Steps </w:t>
      </w:r>
      <w:proofErr w:type="gramStart"/>
      <w:r w:rsidR="005D1A23" w:rsidRPr="009B4CC0">
        <w:rPr>
          <w:rFonts w:eastAsia="ヒラギノ角ゴ Pro W3"/>
          <w:u w:color="000000"/>
          <w:lang w:eastAsia="en-GB"/>
        </w:rPr>
        <w:t>should also be taken</w:t>
      </w:r>
      <w:proofErr w:type="gramEnd"/>
      <w:r w:rsidR="005D1A23" w:rsidRPr="009B4CC0">
        <w:rPr>
          <w:rFonts w:eastAsia="ヒラギノ角ゴ Pro W3"/>
          <w:u w:color="000000"/>
          <w:lang w:eastAsia="en-GB"/>
        </w:rPr>
        <w:t xml:space="preserve"> to influence national policy demand in this regard.</w:t>
      </w:r>
    </w:p>
    <w:p w14:paraId="3590212C" w14:textId="3BE255EB" w:rsidR="00B64189" w:rsidRPr="009B4CC0" w:rsidRDefault="00B64189" w:rsidP="00275C48">
      <w:pPr>
        <w:pStyle w:val="H1G"/>
        <w:spacing w:before="280" w:after="200"/>
      </w:pPr>
      <w:r w:rsidRPr="009B4CC0">
        <w:tab/>
        <w:t>D.</w:t>
      </w:r>
      <w:r w:rsidRPr="009B4CC0">
        <w:tab/>
        <w:t xml:space="preserve">Reporting and </w:t>
      </w:r>
      <w:r w:rsidR="00F45670">
        <w:t>a</w:t>
      </w:r>
      <w:r w:rsidRPr="009B4CC0">
        <w:t>ssessment</w:t>
      </w:r>
    </w:p>
    <w:p w14:paraId="75555A71" w14:textId="3D493DA4" w:rsidR="00B64189" w:rsidRPr="009B4CC0" w:rsidRDefault="00EB0AF1" w:rsidP="00B64189">
      <w:pPr>
        <w:pStyle w:val="SingleTxtG"/>
        <w:rPr>
          <w:rFonts w:eastAsia="ヒラギノ角ゴ Pro W3"/>
          <w:u w:color="000000"/>
          <w:lang w:eastAsia="en-GB"/>
        </w:rPr>
      </w:pPr>
      <w:r w:rsidRPr="009B4CC0">
        <w:rPr>
          <w:rFonts w:eastAsia="ヒラギノ角ゴ Pro W3"/>
          <w:lang w:eastAsia="en-GB"/>
        </w:rPr>
        <w:t>41</w:t>
      </w:r>
      <w:r w:rsidR="00A53FB4" w:rsidRPr="009B4CC0">
        <w:rPr>
          <w:rFonts w:eastAsia="ヒラギノ角ゴ Pro W3"/>
          <w:lang w:eastAsia="en-GB"/>
        </w:rPr>
        <w:t>.</w:t>
      </w:r>
      <w:r w:rsidR="00A53FB4" w:rsidRPr="009B4CC0">
        <w:rPr>
          <w:rFonts w:eastAsia="ヒラギノ角ゴ Pro W3"/>
          <w:lang w:eastAsia="en-GB"/>
        </w:rPr>
        <w:tab/>
      </w:r>
      <w:r w:rsidR="00B64189" w:rsidRPr="009B4CC0">
        <w:rPr>
          <w:rFonts w:eastAsia="ヒラギノ角ゴ Pro W3"/>
          <w:u w:color="000000"/>
          <w:lang w:eastAsia="en-GB"/>
        </w:rPr>
        <w:t xml:space="preserve">Environmental reporting and assessments set the stage for the compilation of robust information or an evidence base as an essential component for better policymaking. This </w:t>
      </w:r>
      <w:r w:rsidR="007D07C8">
        <w:rPr>
          <w:rFonts w:eastAsia="ヒラギノ角ゴ Pro W3"/>
          <w:u w:color="000000"/>
          <w:lang w:eastAsia="en-GB"/>
        </w:rPr>
        <w:t xml:space="preserve">is </w:t>
      </w:r>
      <w:r w:rsidR="00B64189" w:rsidRPr="009B4CC0">
        <w:rPr>
          <w:rFonts w:eastAsia="ヒラギノ角ゴ Pro W3"/>
          <w:u w:color="000000"/>
          <w:lang w:eastAsia="en-GB"/>
        </w:rPr>
        <w:t xml:space="preserve">the core purpose of the Working Group, namely, to help improve national capacities to monitor and evaluate the environment. It is the </w:t>
      </w:r>
      <w:r w:rsidR="00482C1B" w:rsidRPr="009B4CC0">
        <w:rPr>
          <w:rFonts w:eastAsia="ヒラギノ角ゴ Pro W3"/>
          <w:u w:color="000000"/>
          <w:lang w:eastAsia="en-GB"/>
        </w:rPr>
        <w:t xml:space="preserve">main </w:t>
      </w:r>
      <w:r w:rsidR="00B64189" w:rsidRPr="009B4CC0">
        <w:rPr>
          <w:rFonts w:eastAsia="ヒラギノ角ゴ Pro W3"/>
          <w:u w:color="000000"/>
          <w:lang w:eastAsia="en-GB"/>
        </w:rPr>
        <w:t xml:space="preserve">driver behind all </w:t>
      </w:r>
      <w:r w:rsidR="00A53FB4" w:rsidRPr="009B4CC0">
        <w:rPr>
          <w:rFonts w:eastAsia="ヒラギノ角ゴ Pro W3"/>
          <w:u w:color="000000"/>
          <w:lang w:eastAsia="en-GB"/>
        </w:rPr>
        <w:t>the</w:t>
      </w:r>
      <w:r w:rsidR="00B64189" w:rsidRPr="009B4CC0">
        <w:rPr>
          <w:rFonts w:eastAsia="ヒラギノ角ゴ Pro W3"/>
          <w:u w:color="000000"/>
          <w:lang w:eastAsia="en-GB"/>
        </w:rPr>
        <w:t xml:space="preserve"> activities </w:t>
      </w:r>
      <w:proofErr w:type="gramStart"/>
      <w:r w:rsidR="00482C1B" w:rsidRPr="009B4CC0">
        <w:rPr>
          <w:rFonts w:eastAsia="ヒラギノ角ゴ Pro W3"/>
          <w:u w:color="000000"/>
          <w:lang w:eastAsia="en-GB"/>
        </w:rPr>
        <w:t xml:space="preserve">being </w:t>
      </w:r>
      <w:r w:rsidR="00A53FB4" w:rsidRPr="009B4CC0">
        <w:rPr>
          <w:rFonts w:eastAsia="ヒラギノ角ゴ Pro W3"/>
          <w:u w:color="000000"/>
          <w:lang w:eastAsia="en-GB"/>
        </w:rPr>
        <w:t>carried out</w:t>
      </w:r>
      <w:proofErr w:type="gramEnd"/>
      <w:r w:rsidR="00A53FB4" w:rsidRPr="009B4CC0">
        <w:rPr>
          <w:rFonts w:eastAsia="ヒラギノ角ゴ Pro W3"/>
          <w:u w:color="000000"/>
          <w:lang w:eastAsia="en-GB"/>
        </w:rPr>
        <w:t xml:space="preserve"> by the Working Group</w:t>
      </w:r>
      <w:r w:rsidR="00B64189" w:rsidRPr="009B4CC0">
        <w:rPr>
          <w:rFonts w:eastAsia="ヒラギノ角ゴ Pro W3"/>
          <w:u w:color="000000"/>
          <w:lang w:eastAsia="en-GB"/>
        </w:rPr>
        <w:t xml:space="preserve">, both through </w:t>
      </w:r>
      <w:r w:rsidR="00A53FB4" w:rsidRPr="009B4CC0">
        <w:rPr>
          <w:rFonts w:eastAsia="ヒラギノ角ゴ Pro W3"/>
          <w:u w:color="000000"/>
          <w:lang w:eastAsia="en-GB"/>
        </w:rPr>
        <w:t>its</w:t>
      </w:r>
      <w:r w:rsidR="00B64189" w:rsidRPr="009B4CC0">
        <w:rPr>
          <w:rFonts w:eastAsia="ヒラギノ角ゴ Pro W3"/>
          <w:u w:color="000000"/>
          <w:lang w:eastAsia="en-GB"/>
        </w:rPr>
        <w:t xml:space="preserve"> sessions </w:t>
      </w:r>
      <w:r w:rsidR="00A53FB4" w:rsidRPr="009B4CC0">
        <w:rPr>
          <w:rFonts w:eastAsia="ヒラギノ角ゴ Pro W3"/>
          <w:u w:color="000000"/>
          <w:lang w:eastAsia="en-GB"/>
        </w:rPr>
        <w:t>and collaboration with the</w:t>
      </w:r>
      <w:r w:rsidR="00B64189" w:rsidRPr="009B4CC0">
        <w:rPr>
          <w:rFonts w:eastAsia="ヒラギノ角ゴ Pro W3"/>
          <w:u w:color="000000"/>
          <w:lang w:eastAsia="en-GB"/>
        </w:rPr>
        <w:t xml:space="preserve"> </w:t>
      </w:r>
      <w:r w:rsidR="00384821" w:rsidRPr="009B4CC0">
        <w:rPr>
          <w:rFonts w:eastAsia="ヒラギノ角ゴ Pro W3"/>
          <w:u w:color="000000"/>
          <w:lang w:eastAsia="en-GB"/>
        </w:rPr>
        <w:t>Joint Task Force</w:t>
      </w:r>
      <w:r w:rsidR="00482C1B" w:rsidRPr="009B4CC0">
        <w:rPr>
          <w:rFonts w:eastAsia="ヒラギノ角ゴ Pro W3"/>
          <w:u w:color="000000"/>
          <w:lang w:eastAsia="en-GB"/>
        </w:rPr>
        <w:t xml:space="preserve"> </w:t>
      </w:r>
      <w:r w:rsidR="00541F10">
        <w:rPr>
          <w:rFonts w:eastAsia="ヒラギノ角ゴ Pro W3"/>
          <w:u w:color="000000"/>
          <w:lang w:eastAsia="en-GB"/>
        </w:rPr>
        <w:t xml:space="preserve">together with </w:t>
      </w:r>
      <w:r w:rsidR="00482C1B" w:rsidRPr="009B4CC0">
        <w:rPr>
          <w:rFonts w:eastAsia="ヒラギノ角ゴ Pro W3"/>
          <w:u w:color="000000"/>
          <w:lang w:eastAsia="en-GB"/>
        </w:rPr>
        <w:t>its work with other organi</w:t>
      </w:r>
      <w:r w:rsidR="00541F10">
        <w:rPr>
          <w:rFonts w:eastAsia="ヒラギノ角ゴ Pro W3"/>
          <w:u w:color="000000"/>
          <w:lang w:eastAsia="en-GB"/>
        </w:rPr>
        <w:t>z</w:t>
      </w:r>
      <w:r w:rsidR="00482C1B" w:rsidRPr="009B4CC0">
        <w:rPr>
          <w:rFonts w:eastAsia="ヒラギノ角ゴ Pro W3"/>
          <w:u w:color="000000"/>
          <w:lang w:eastAsia="en-GB"/>
        </w:rPr>
        <w:t>ations</w:t>
      </w:r>
      <w:r w:rsidR="00541F10">
        <w:rPr>
          <w:rFonts w:eastAsia="ヒラギノ角ゴ Pro W3"/>
          <w:u w:color="000000"/>
          <w:lang w:eastAsia="en-GB"/>
        </w:rPr>
        <w:t>,</w:t>
      </w:r>
      <w:r w:rsidR="00482C1B" w:rsidRPr="009B4CC0">
        <w:rPr>
          <w:rFonts w:eastAsia="ヒラギノ角ゴ Pro W3"/>
          <w:u w:color="000000"/>
          <w:lang w:eastAsia="en-GB"/>
        </w:rPr>
        <w:t xml:space="preserve"> such as the </w:t>
      </w:r>
      <w:r w:rsidR="00541F10">
        <w:rPr>
          <w:rFonts w:eastAsia="ヒラギノ角ゴ Pro W3"/>
          <w:u w:color="000000"/>
          <w:lang w:eastAsia="en-GB"/>
        </w:rPr>
        <w:t>European Environment Agency</w:t>
      </w:r>
      <w:r w:rsidR="00482C1B" w:rsidRPr="009B4CC0">
        <w:rPr>
          <w:rFonts w:eastAsia="ヒラギノ角ゴ Pro W3"/>
          <w:u w:color="000000"/>
          <w:lang w:eastAsia="en-GB"/>
        </w:rPr>
        <w:t>, OECD</w:t>
      </w:r>
      <w:r w:rsidR="00541F10">
        <w:rPr>
          <w:rFonts w:eastAsia="ヒラギノ角ゴ Pro W3"/>
          <w:u w:color="000000"/>
          <w:lang w:eastAsia="en-GB"/>
        </w:rPr>
        <w:t xml:space="preserve"> and UNEP</w:t>
      </w:r>
      <w:r w:rsidR="00B64189" w:rsidRPr="009B4CC0">
        <w:rPr>
          <w:rFonts w:eastAsia="ヒラギノ角ゴ Pro W3"/>
          <w:u w:color="000000"/>
          <w:lang w:eastAsia="en-GB"/>
        </w:rPr>
        <w:t xml:space="preserve">. </w:t>
      </w:r>
    </w:p>
    <w:p w14:paraId="667B8980" w14:textId="4A88FECE" w:rsidR="00B64189" w:rsidRPr="009B4CC0" w:rsidRDefault="00965BD8" w:rsidP="00B64189">
      <w:pPr>
        <w:pStyle w:val="SingleTxtG"/>
        <w:rPr>
          <w:rFonts w:eastAsia="ヒラギノ角ゴ Pro W3"/>
          <w:u w:color="000000"/>
          <w:lang w:eastAsia="en-GB"/>
        </w:rPr>
      </w:pPr>
      <w:r w:rsidRPr="009B4CC0">
        <w:rPr>
          <w:rFonts w:eastAsia="ヒラギノ角ゴ Pro W3"/>
          <w:lang w:eastAsia="en-GB"/>
        </w:rPr>
        <w:t>4</w:t>
      </w:r>
      <w:r w:rsidR="00EB0AF1" w:rsidRPr="009B4CC0">
        <w:rPr>
          <w:rFonts w:eastAsia="ヒラギノ角ゴ Pro W3"/>
          <w:lang w:eastAsia="en-GB"/>
        </w:rPr>
        <w:t>2</w:t>
      </w:r>
      <w:r w:rsidR="00A53FB4" w:rsidRPr="009B4CC0">
        <w:rPr>
          <w:rFonts w:eastAsia="ヒラギノ角ゴ Pro W3"/>
          <w:lang w:eastAsia="en-GB"/>
        </w:rPr>
        <w:t>.</w:t>
      </w:r>
      <w:r w:rsidR="00A53FB4" w:rsidRPr="009B4CC0">
        <w:rPr>
          <w:rFonts w:eastAsia="ヒラギノ角ゴ Pro W3"/>
          <w:lang w:eastAsia="en-GB"/>
        </w:rPr>
        <w:tab/>
      </w:r>
      <w:r w:rsidR="00B64189" w:rsidRPr="009B4CC0">
        <w:rPr>
          <w:rFonts w:eastAsia="ヒラギノ角ゴ Pro W3"/>
          <w:u w:color="000000"/>
          <w:lang w:eastAsia="en-GB"/>
        </w:rPr>
        <w:t xml:space="preserve">It is clear from the preceding </w:t>
      </w:r>
      <w:r w:rsidR="008F202F">
        <w:rPr>
          <w:rFonts w:eastAsia="ヒラギノ角ゴ Pro W3"/>
          <w:u w:color="000000"/>
          <w:lang w:eastAsia="en-GB"/>
        </w:rPr>
        <w:t>chapter</w:t>
      </w:r>
      <w:r w:rsidR="008F202F" w:rsidRPr="009B4CC0">
        <w:rPr>
          <w:rFonts w:eastAsia="ヒラギノ角ゴ Pro W3"/>
          <w:u w:color="000000"/>
          <w:lang w:eastAsia="en-GB"/>
        </w:rPr>
        <w:t xml:space="preserve"> </w:t>
      </w:r>
      <w:r w:rsidR="00B64189" w:rsidRPr="009B4CC0">
        <w:rPr>
          <w:rFonts w:eastAsia="ヒラギノ角ゴ Pro W3"/>
          <w:u w:color="000000"/>
          <w:lang w:eastAsia="en-GB"/>
        </w:rPr>
        <w:t xml:space="preserve">that the challenges in monitoring progress towards the </w:t>
      </w:r>
      <w:r w:rsidR="007D07C8">
        <w:rPr>
          <w:rFonts w:eastAsia="ヒラギノ角ゴ Pro W3"/>
          <w:u w:color="000000"/>
          <w:lang w:eastAsia="en-GB"/>
        </w:rPr>
        <w:t>Sustainable Development Goals</w:t>
      </w:r>
      <w:r w:rsidR="00B64189" w:rsidRPr="009B4CC0">
        <w:rPr>
          <w:rFonts w:eastAsia="ヒラギノ角ゴ Pro W3"/>
          <w:u w:color="000000"/>
          <w:lang w:eastAsia="en-GB"/>
        </w:rPr>
        <w:t xml:space="preserve"> and the </w:t>
      </w:r>
      <w:r w:rsidR="007D07C8">
        <w:rPr>
          <w:rFonts w:eastAsia="ヒラギノ角ゴ Pro W3"/>
          <w:u w:color="000000"/>
          <w:lang w:eastAsia="en-GB"/>
        </w:rPr>
        <w:t>g</w:t>
      </w:r>
      <w:r w:rsidR="00B64189" w:rsidRPr="009B4CC0">
        <w:rPr>
          <w:rFonts w:eastAsia="ヒラギノ角ゴ Pro W3"/>
          <w:u w:color="000000"/>
          <w:lang w:eastAsia="en-GB"/>
        </w:rPr>
        <w:t xml:space="preserve">reen </w:t>
      </w:r>
      <w:r w:rsidR="007D07C8">
        <w:rPr>
          <w:rFonts w:eastAsia="ヒラギノ角ゴ Pro W3"/>
          <w:u w:color="000000"/>
          <w:lang w:eastAsia="en-GB"/>
        </w:rPr>
        <w:t>e</w:t>
      </w:r>
      <w:r w:rsidR="00B64189" w:rsidRPr="009B4CC0">
        <w:rPr>
          <w:rFonts w:eastAsia="ヒラギノ角ゴ Pro W3"/>
          <w:u w:color="000000"/>
          <w:lang w:eastAsia="en-GB"/>
        </w:rPr>
        <w:t>conomy is inherently interlinked with the overall work being carried out by the Working Group to enable informed decision-making processes, both nationally and regionally, in the environmental sector. However, inputs provide</w:t>
      </w:r>
      <w:r w:rsidR="00EB0AF1" w:rsidRPr="009B4CC0">
        <w:rPr>
          <w:rFonts w:eastAsia="ヒラギノ角ゴ Pro W3"/>
          <w:u w:color="000000"/>
          <w:lang w:eastAsia="en-GB"/>
        </w:rPr>
        <w:t>d</w:t>
      </w:r>
      <w:r w:rsidR="00B64189" w:rsidRPr="009B4CC0">
        <w:rPr>
          <w:rFonts w:eastAsia="ヒラギノ角ゴ Pro W3"/>
          <w:u w:color="000000"/>
          <w:lang w:eastAsia="en-GB"/>
        </w:rPr>
        <w:t xml:space="preserve"> by </w:t>
      </w:r>
      <w:r w:rsidR="005D1A23" w:rsidRPr="009B4CC0">
        <w:rPr>
          <w:rFonts w:eastAsia="ヒラギノ角ゴ Pro W3"/>
          <w:u w:color="000000"/>
          <w:lang w:eastAsia="en-GB"/>
        </w:rPr>
        <w:t xml:space="preserve">its </w:t>
      </w:r>
      <w:r w:rsidR="00B64189" w:rsidRPr="009B4CC0">
        <w:rPr>
          <w:rFonts w:eastAsia="ヒラギノ角ゴ Pro W3"/>
          <w:u w:color="000000"/>
          <w:lang w:eastAsia="en-GB"/>
        </w:rPr>
        <w:t xml:space="preserve">members demonstrate </w:t>
      </w:r>
      <w:r w:rsidR="00EB0AF1" w:rsidRPr="009B4CC0">
        <w:rPr>
          <w:rFonts w:eastAsia="ヒラギノ角ゴ Pro W3"/>
          <w:u w:color="000000"/>
          <w:lang w:eastAsia="en-GB"/>
        </w:rPr>
        <w:t>that</w:t>
      </w:r>
      <w:r w:rsidR="00B64189" w:rsidRPr="009B4CC0">
        <w:rPr>
          <w:rFonts w:eastAsia="ヒラギノ角ゴ Pro W3"/>
          <w:u w:color="000000"/>
          <w:lang w:eastAsia="en-GB"/>
        </w:rPr>
        <w:t xml:space="preserve"> national operational expertise and capacities to monitor the environment</w:t>
      </w:r>
      <w:r w:rsidR="00EB0AF1" w:rsidRPr="009B4CC0">
        <w:rPr>
          <w:rFonts w:eastAsia="ヒラギノ角ゴ Pro W3"/>
          <w:u w:color="000000"/>
          <w:lang w:eastAsia="en-GB"/>
        </w:rPr>
        <w:t xml:space="preserve"> continue to be insufficient</w:t>
      </w:r>
      <w:r w:rsidR="00B64189" w:rsidRPr="009B4CC0">
        <w:rPr>
          <w:rFonts w:eastAsia="ヒラギノ角ゴ Pro W3"/>
          <w:u w:color="000000"/>
          <w:lang w:eastAsia="en-GB"/>
        </w:rPr>
        <w:t>, emphasi</w:t>
      </w:r>
      <w:r w:rsidR="00541F10">
        <w:rPr>
          <w:rFonts w:eastAsia="ヒラギノ角ゴ Pro W3"/>
          <w:u w:color="000000"/>
          <w:lang w:eastAsia="en-GB"/>
        </w:rPr>
        <w:t>z</w:t>
      </w:r>
      <w:r w:rsidR="00B64189" w:rsidRPr="009B4CC0">
        <w:rPr>
          <w:rFonts w:eastAsia="ヒラギノ角ゴ Pro W3"/>
          <w:u w:color="000000"/>
          <w:lang w:eastAsia="en-GB"/>
        </w:rPr>
        <w:t>ing the continu</w:t>
      </w:r>
      <w:r w:rsidR="00BA32D4">
        <w:rPr>
          <w:rFonts w:eastAsia="ヒラギノ角ゴ Pro W3"/>
          <w:u w:color="000000"/>
          <w:lang w:eastAsia="en-GB"/>
        </w:rPr>
        <w:t>ing</w:t>
      </w:r>
      <w:r w:rsidR="00B64189" w:rsidRPr="009B4CC0">
        <w:rPr>
          <w:rFonts w:eastAsia="ヒラギノ角ゴ Pro W3"/>
          <w:u w:color="000000"/>
          <w:lang w:eastAsia="en-GB"/>
        </w:rPr>
        <w:t xml:space="preserve"> demand for </w:t>
      </w:r>
      <w:r w:rsidR="00541F10">
        <w:rPr>
          <w:rFonts w:eastAsia="ヒラギノ角ゴ Pro W3"/>
          <w:u w:color="000000"/>
          <w:lang w:eastAsia="en-GB"/>
        </w:rPr>
        <w:t xml:space="preserve">the </w:t>
      </w:r>
      <w:r w:rsidR="00B64189" w:rsidRPr="009B4CC0">
        <w:rPr>
          <w:rFonts w:eastAsia="ヒラギノ角ゴ Pro W3"/>
          <w:u w:color="000000"/>
          <w:lang w:eastAsia="en-GB"/>
        </w:rPr>
        <w:t xml:space="preserve">Working Group on Environmental Monitoring and Assessment. </w:t>
      </w:r>
    </w:p>
    <w:p w14:paraId="2C56D56F" w14:textId="139761A6" w:rsidR="00B64189" w:rsidRPr="009B4CC0" w:rsidRDefault="00965BD8" w:rsidP="00B64189">
      <w:pPr>
        <w:pStyle w:val="SingleTxtG"/>
        <w:rPr>
          <w:rFonts w:eastAsia="ヒラギノ角ゴ Pro W3"/>
          <w:u w:color="000000"/>
          <w:lang w:eastAsia="en-GB"/>
        </w:rPr>
      </w:pPr>
      <w:r w:rsidRPr="009B4CC0">
        <w:rPr>
          <w:rFonts w:eastAsia="ヒラギノ角ゴ Pro W3"/>
          <w:lang w:eastAsia="en-GB"/>
        </w:rPr>
        <w:t>4</w:t>
      </w:r>
      <w:r w:rsidR="00EB0AF1" w:rsidRPr="009B4CC0">
        <w:rPr>
          <w:rFonts w:eastAsia="ヒラギノ角ゴ Pro W3"/>
          <w:lang w:eastAsia="en-GB"/>
        </w:rPr>
        <w:t>3</w:t>
      </w:r>
      <w:r w:rsidR="00A53FB4" w:rsidRPr="009B4CC0">
        <w:rPr>
          <w:rFonts w:eastAsia="ヒラギノ角ゴ Pro W3"/>
          <w:lang w:eastAsia="en-GB"/>
        </w:rPr>
        <w:t>.</w:t>
      </w:r>
      <w:r w:rsidR="00A53FB4" w:rsidRPr="009B4CC0">
        <w:rPr>
          <w:rFonts w:eastAsia="ヒラギノ角ゴ Pro W3"/>
          <w:lang w:eastAsia="en-GB"/>
        </w:rPr>
        <w:tab/>
      </w:r>
      <w:r w:rsidR="00B64189" w:rsidRPr="009B4CC0">
        <w:rPr>
          <w:rFonts w:eastAsia="ヒラギノ角ゴ Pro W3"/>
          <w:u w:color="000000"/>
          <w:lang w:eastAsia="en-GB"/>
        </w:rPr>
        <w:t xml:space="preserve">Even though much progress </w:t>
      </w:r>
      <w:proofErr w:type="gramStart"/>
      <w:r w:rsidR="00B64189" w:rsidRPr="009B4CC0">
        <w:rPr>
          <w:rFonts w:eastAsia="ヒラギノ角ゴ Pro W3"/>
          <w:u w:color="000000"/>
          <w:lang w:eastAsia="en-GB"/>
        </w:rPr>
        <w:t>ha</w:t>
      </w:r>
      <w:r w:rsidR="00BA32D4">
        <w:rPr>
          <w:rFonts w:eastAsia="ヒラギノ角ゴ Pro W3"/>
          <w:u w:color="000000"/>
          <w:lang w:eastAsia="en-GB"/>
        </w:rPr>
        <w:t>s</w:t>
      </w:r>
      <w:r w:rsidR="00B64189" w:rsidRPr="009B4CC0">
        <w:rPr>
          <w:rFonts w:eastAsia="ヒラギノ角ゴ Pro W3"/>
          <w:u w:color="000000"/>
          <w:lang w:eastAsia="en-GB"/>
        </w:rPr>
        <w:t xml:space="preserve"> been made</w:t>
      </w:r>
      <w:proofErr w:type="gramEnd"/>
      <w:r w:rsidR="00B64189" w:rsidRPr="009B4CC0">
        <w:rPr>
          <w:rFonts w:eastAsia="ヒラギノ角ゴ Pro W3"/>
          <w:u w:color="000000"/>
          <w:lang w:eastAsia="en-GB"/>
        </w:rPr>
        <w:t xml:space="preserve">, challenges emphasized by the Working Group include the </w:t>
      </w:r>
      <w:r w:rsidR="00EB0AF1" w:rsidRPr="009B4CC0">
        <w:rPr>
          <w:rFonts w:eastAsia="ヒラギノ角ゴ Pro W3"/>
          <w:u w:color="000000"/>
          <w:lang w:eastAsia="en-GB"/>
        </w:rPr>
        <w:t xml:space="preserve">absence </w:t>
      </w:r>
      <w:r w:rsidR="00B64189" w:rsidRPr="009B4CC0">
        <w:rPr>
          <w:rFonts w:eastAsia="ヒラギノ角ゴ Pro W3"/>
          <w:u w:color="000000"/>
          <w:lang w:eastAsia="en-GB"/>
        </w:rPr>
        <w:t xml:space="preserve">of integrated national monitoring programmes and methodologies </w:t>
      </w:r>
      <w:r w:rsidR="00BA32D4">
        <w:rPr>
          <w:rFonts w:eastAsia="ヒラギノ角ゴ Pro W3"/>
          <w:u w:color="000000"/>
          <w:lang w:eastAsia="en-GB"/>
        </w:rPr>
        <w:t xml:space="preserve">and </w:t>
      </w:r>
      <w:r w:rsidR="00B64189" w:rsidRPr="009B4CC0">
        <w:rPr>
          <w:rFonts w:eastAsia="ヒラギノ角ゴ Pro W3"/>
          <w:u w:color="000000"/>
          <w:lang w:eastAsia="en-GB"/>
        </w:rPr>
        <w:t xml:space="preserve">the </w:t>
      </w:r>
      <w:r w:rsidR="00EB0AF1" w:rsidRPr="009B4CC0">
        <w:rPr>
          <w:rFonts w:eastAsia="ヒラギノ角ゴ Pro W3"/>
          <w:u w:color="000000"/>
          <w:lang w:eastAsia="en-GB"/>
        </w:rPr>
        <w:t xml:space="preserve">absence </w:t>
      </w:r>
      <w:r w:rsidR="00B64189" w:rsidRPr="009B4CC0">
        <w:rPr>
          <w:rFonts w:eastAsia="ヒラギノ角ゴ Pro W3"/>
          <w:u w:color="000000"/>
          <w:lang w:eastAsia="en-GB"/>
        </w:rPr>
        <w:t xml:space="preserve">of cross-national and inter-agency mechanisms </w:t>
      </w:r>
      <w:r w:rsidR="00EB0AF1" w:rsidRPr="009B4CC0">
        <w:rPr>
          <w:rFonts w:eastAsia="ヒラギノ角ゴ Pro W3"/>
          <w:u w:color="000000"/>
          <w:lang w:eastAsia="en-GB"/>
        </w:rPr>
        <w:t xml:space="preserve">that would enable </w:t>
      </w:r>
      <w:r w:rsidR="00B64189" w:rsidRPr="009B4CC0">
        <w:rPr>
          <w:rFonts w:eastAsia="ヒラギノ角ゴ Pro W3"/>
          <w:u w:color="000000"/>
          <w:lang w:eastAsia="en-GB"/>
        </w:rPr>
        <w:t>knowledge</w:t>
      </w:r>
      <w:r w:rsidR="00EB0AF1" w:rsidRPr="009B4CC0">
        <w:rPr>
          <w:rFonts w:eastAsia="ヒラギノ角ゴ Pro W3"/>
          <w:u w:color="000000"/>
          <w:lang w:eastAsia="en-GB"/>
        </w:rPr>
        <w:t xml:space="preserve"> exchange</w:t>
      </w:r>
      <w:r w:rsidR="00B64189" w:rsidRPr="009B4CC0">
        <w:rPr>
          <w:rFonts w:eastAsia="ヒラギノ角ゴ Pro W3"/>
          <w:u w:color="000000"/>
          <w:lang w:eastAsia="en-GB"/>
        </w:rPr>
        <w:t xml:space="preserve">. It </w:t>
      </w:r>
      <w:proofErr w:type="gramStart"/>
      <w:r w:rsidR="00B64189" w:rsidRPr="009B4CC0">
        <w:rPr>
          <w:rFonts w:eastAsia="ヒラギノ角ゴ Pro W3"/>
          <w:u w:color="000000"/>
          <w:lang w:eastAsia="en-GB"/>
        </w:rPr>
        <w:t>was also noted</w:t>
      </w:r>
      <w:proofErr w:type="gramEnd"/>
      <w:r w:rsidR="00B64189" w:rsidRPr="009B4CC0">
        <w:rPr>
          <w:rFonts w:eastAsia="ヒラギノ角ゴ Pro W3"/>
          <w:u w:color="000000"/>
          <w:lang w:eastAsia="en-GB"/>
        </w:rPr>
        <w:t xml:space="preserve"> that the financial viability and sustainability of national monitoring systems needed to be improved and that there was a </w:t>
      </w:r>
      <w:r w:rsidR="00EB0AF1" w:rsidRPr="009B4CC0">
        <w:rPr>
          <w:rFonts w:eastAsia="ヒラギノ角ゴ Pro W3"/>
          <w:u w:color="000000"/>
          <w:lang w:eastAsia="en-GB"/>
        </w:rPr>
        <w:t xml:space="preserve">clear and continued </w:t>
      </w:r>
      <w:r w:rsidR="00B64189" w:rsidRPr="009B4CC0">
        <w:rPr>
          <w:rFonts w:eastAsia="ヒラギノ角ゴ Pro W3"/>
          <w:u w:color="000000"/>
          <w:lang w:eastAsia="en-GB"/>
        </w:rPr>
        <w:t>demand for capacity-building strategies and activities, both at the regional and national leve</w:t>
      </w:r>
      <w:r w:rsidR="00E269A3">
        <w:rPr>
          <w:rFonts w:eastAsia="ヒラギノ角ゴ Pro W3"/>
          <w:u w:color="000000"/>
          <w:lang w:eastAsia="en-GB"/>
        </w:rPr>
        <w:t>l.</w:t>
      </w:r>
    </w:p>
    <w:p w14:paraId="1A46C650" w14:textId="3B37562B" w:rsidR="00B64189" w:rsidRPr="009B4CC0" w:rsidRDefault="00BA0DC3" w:rsidP="00FB231A">
      <w:pPr>
        <w:pStyle w:val="SingleTxtG"/>
        <w:rPr>
          <w:rFonts w:eastAsia="ヒラギノ角ゴ Pro W3"/>
          <w:u w:color="000000"/>
          <w:lang w:eastAsia="en-GB"/>
        </w:rPr>
      </w:pPr>
      <w:r w:rsidRPr="009B4CC0">
        <w:rPr>
          <w:rFonts w:eastAsia="ヒラギノ角ゴ Pro W3"/>
          <w:lang w:eastAsia="en-GB"/>
        </w:rPr>
        <w:t>4</w:t>
      </w:r>
      <w:r w:rsidR="00EB0AF1" w:rsidRPr="009B4CC0">
        <w:rPr>
          <w:rFonts w:eastAsia="ヒラギノ角ゴ Pro W3"/>
          <w:lang w:eastAsia="en-GB"/>
        </w:rPr>
        <w:t>4</w:t>
      </w:r>
      <w:r w:rsidR="00A53FB4" w:rsidRPr="009B4CC0">
        <w:rPr>
          <w:rFonts w:eastAsia="ヒラギノ角ゴ Pro W3"/>
          <w:lang w:eastAsia="en-GB"/>
        </w:rPr>
        <w:t>.</w:t>
      </w:r>
      <w:r w:rsidR="00A53FB4" w:rsidRPr="009B4CC0">
        <w:rPr>
          <w:rFonts w:eastAsia="ヒラギノ角ゴ Pro W3"/>
          <w:lang w:eastAsia="en-GB"/>
        </w:rPr>
        <w:tab/>
      </w:r>
      <w:r w:rsidR="00B64189" w:rsidRPr="009B4CC0">
        <w:rPr>
          <w:rFonts w:eastAsia="ヒラギノ角ゴ Pro W3"/>
          <w:u w:color="000000"/>
          <w:lang w:eastAsia="en-GB"/>
        </w:rPr>
        <w:t xml:space="preserve">The overarching goal for support in the area of </w:t>
      </w:r>
      <w:r w:rsidR="00D5600A" w:rsidRPr="009B4CC0">
        <w:rPr>
          <w:rFonts w:eastAsia="ヒラギノ角ゴ Pro W3"/>
          <w:u w:color="000000"/>
          <w:lang w:eastAsia="en-GB"/>
        </w:rPr>
        <w:t xml:space="preserve">monitoring, assessment, and reporting </w:t>
      </w:r>
      <w:r w:rsidR="00BA32D4">
        <w:rPr>
          <w:rFonts w:eastAsia="ヒラギノ角ゴ Pro W3"/>
          <w:u w:color="000000"/>
          <w:lang w:eastAsia="en-GB"/>
        </w:rPr>
        <w:t xml:space="preserve">is </w:t>
      </w:r>
      <w:r w:rsidR="00B64189" w:rsidRPr="009B4CC0">
        <w:rPr>
          <w:rFonts w:eastAsia="ヒラギノ角ゴ Pro W3"/>
          <w:u w:color="000000"/>
          <w:lang w:eastAsia="en-GB"/>
        </w:rPr>
        <w:t>continued efforts to deliver guidance to help make national monitoring programmes an efficient and practical tool for environmental policy</w:t>
      </w:r>
      <w:r w:rsidR="006C5150" w:rsidRPr="009B4CC0">
        <w:rPr>
          <w:rFonts w:eastAsia="ヒラギノ角ゴ Pro W3"/>
          <w:u w:color="000000"/>
          <w:lang w:eastAsia="en-GB"/>
        </w:rPr>
        <w:t xml:space="preserve">, including assistance towards the development and improvement of national environmental monitoring systems, their technical specifications and modernization. </w:t>
      </w:r>
      <w:r w:rsidR="00B64189" w:rsidRPr="009B4CC0">
        <w:rPr>
          <w:rFonts w:eastAsia="ヒラギノ角ゴ Pro W3"/>
          <w:u w:color="000000"/>
          <w:lang w:eastAsia="en-GB"/>
        </w:rPr>
        <w:t>This include</w:t>
      </w:r>
      <w:r w:rsidR="00BA32D4">
        <w:rPr>
          <w:rFonts w:eastAsia="ヒラギノ角ゴ Pro W3"/>
          <w:u w:color="000000"/>
          <w:lang w:eastAsia="en-GB"/>
        </w:rPr>
        <w:t>s</w:t>
      </w:r>
      <w:r w:rsidR="00B64189" w:rsidRPr="009B4CC0">
        <w:rPr>
          <w:rFonts w:eastAsia="ヒラギノ角ゴ Pro W3"/>
          <w:u w:color="000000"/>
          <w:lang w:eastAsia="en-GB"/>
        </w:rPr>
        <w:t xml:space="preserve"> increased</w:t>
      </w:r>
      <w:r w:rsidR="00BA32D4">
        <w:rPr>
          <w:rFonts w:eastAsia="ヒラギノ角ゴ Pro W3"/>
          <w:u w:color="000000"/>
          <w:lang w:eastAsia="en-GB"/>
        </w:rPr>
        <w:t>,</w:t>
      </w:r>
      <w:r w:rsidR="00B64189" w:rsidRPr="009B4CC0">
        <w:rPr>
          <w:rFonts w:eastAsia="ヒラギノ角ゴ Pro W3"/>
          <w:u w:color="000000"/>
          <w:lang w:eastAsia="en-GB"/>
        </w:rPr>
        <w:t xml:space="preserve"> targeted efforts to provide </w:t>
      </w:r>
      <w:proofErr w:type="gramStart"/>
      <w:r w:rsidR="00B64189" w:rsidRPr="009B4CC0">
        <w:rPr>
          <w:rFonts w:eastAsia="ヒラギノ角ゴ Pro W3"/>
          <w:u w:color="000000"/>
          <w:lang w:eastAsia="en-GB"/>
        </w:rPr>
        <w:t>capacity-building</w:t>
      </w:r>
      <w:proofErr w:type="gramEnd"/>
      <w:r w:rsidR="00B64189" w:rsidRPr="009B4CC0">
        <w:rPr>
          <w:rFonts w:eastAsia="ヒラギノ角ゴ Pro W3"/>
          <w:u w:color="000000"/>
          <w:lang w:eastAsia="en-GB"/>
        </w:rPr>
        <w:t xml:space="preserve"> on how to use and harmonize indicator-related methodologies, data collection and quality assurance and quality control aspects of environmental data and indicators for national and international reporting obligation</w:t>
      </w:r>
      <w:r w:rsidR="00BA32D4">
        <w:rPr>
          <w:rFonts w:eastAsia="ヒラギノ角ゴ Pro W3"/>
          <w:u w:color="000000"/>
          <w:lang w:eastAsia="en-GB"/>
        </w:rPr>
        <w:t>s</w:t>
      </w:r>
      <w:r w:rsidR="00B64189" w:rsidRPr="009B4CC0">
        <w:rPr>
          <w:rFonts w:eastAsia="ヒラギノ角ゴ Pro W3"/>
          <w:u w:color="000000"/>
          <w:lang w:eastAsia="en-GB"/>
        </w:rPr>
        <w:t>, taking into account the call for increased cooperation and communication. The short</w:t>
      </w:r>
      <w:r w:rsidR="00BA32D4">
        <w:rPr>
          <w:rFonts w:eastAsia="ヒラギノ角ゴ Pro W3"/>
          <w:u w:color="000000"/>
          <w:lang w:eastAsia="en-GB"/>
        </w:rPr>
        <w:t>-</w:t>
      </w:r>
      <w:r w:rsidR="00B64189" w:rsidRPr="009B4CC0">
        <w:rPr>
          <w:rFonts w:eastAsia="ヒラギノ角ゴ Pro W3"/>
          <w:u w:color="000000"/>
          <w:lang w:eastAsia="en-GB"/>
        </w:rPr>
        <w:t xml:space="preserve"> to </w:t>
      </w:r>
      <w:r w:rsidR="00EB0AF1" w:rsidRPr="009B4CC0">
        <w:rPr>
          <w:rFonts w:eastAsia="ヒラギノ角ゴ Pro W3"/>
          <w:u w:color="000000"/>
          <w:lang w:eastAsia="en-GB"/>
        </w:rPr>
        <w:t>long-term</w:t>
      </w:r>
      <w:r w:rsidR="00B64189" w:rsidRPr="009B4CC0">
        <w:rPr>
          <w:rFonts w:eastAsia="ヒラギノ角ゴ Pro W3"/>
          <w:u w:color="000000"/>
          <w:lang w:eastAsia="en-GB"/>
        </w:rPr>
        <w:t xml:space="preserve"> objective </w:t>
      </w:r>
      <w:r w:rsidR="00BA32D4">
        <w:rPr>
          <w:rFonts w:eastAsia="ヒラギノ角ゴ Pro W3"/>
          <w:u w:color="000000"/>
          <w:lang w:eastAsia="en-GB"/>
        </w:rPr>
        <w:t xml:space="preserve">is </w:t>
      </w:r>
      <w:r w:rsidR="00B64189" w:rsidRPr="009B4CC0">
        <w:rPr>
          <w:rFonts w:eastAsia="ヒラギノ角ゴ Pro W3"/>
          <w:u w:color="000000"/>
          <w:lang w:eastAsia="en-GB"/>
        </w:rPr>
        <w:t>to facilitate the establishment of SEIS by 2021</w:t>
      </w:r>
      <w:r w:rsidR="008F202F">
        <w:rPr>
          <w:rFonts w:eastAsia="ヒラギノ角ゴ Pro W3"/>
          <w:u w:color="000000"/>
          <w:lang w:eastAsia="en-GB"/>
        </w:rPr>
        <w:t xml:space="preserve"> — </w:t>
      </w:r>
      <w:r w:rsidR="00B64189" w:rsidRPr="009B4CC0">
        <w:rPr>
          <w:rFonts w:eastAsia="ヒラギノ角ゴ Pro W3"/>
          <w:u w:color="000000"/>
          <w:lang w:eastAsia="en-GB"/>
        </w:rPr>
        <w:t xml:space="preserve">as called for </w:t>
      </w:r>
      <w:proofErr w:type="gramStart"/>
      <w:r w:rsidR="00BA32D4">
        <w:rPr>
          <w:rFonts w:eastAsia="ヒラギノ角ゴ Pro W3"/>
          <w:u w:color="000000"/>
          <w:lang w:eastAsia="en-GB"/>
        </w:rPr>
        <w:t xml:space="preserve">in </w:t>
      </w:r>
      <w:r w:rsidR="00B64189" w:rsidRPr="009B4CC0">
        <w:rPr>
          <w:rFonts w:eastAsia="ヒラギノ角ゴ Pro W3"/>
          <w:u w:color="000000"/>
          <w:lang w:eastAsia="en-GB"/>
        </w:rPr>
        <w:t xml:space="preserve">the Batumi </w:t>
      </w:r>
      <w:r w:rsidR="00D5600A" w:rsidRPr="009B4CC0">
        <w:rPr>
          <w:rFonts w:eastAsia="ヒラギノ角ゴ Pro W3"/>
          <w:u w:color="000000"/>
          <w:lang w:eastAsia="en-GB"/>
        </w:rPr>
        <w:t>Ministerial Declaration</w:t>
      </w:r>
      <w:r w:rsidR="00FB231A" w:rsidRPr="009B4CC0">
        <w:rPr>
          <w:rFonts w:eastAsia="ヒラギノ角ゴ Pro W3"/>
          <w:u w:color="000000"/>
          <w:lang w:eastAsia="en-GB"/>
        </w:rPr>
        <w:t xml:space="preserve"> </w:t>
      </w:r>
      <w:r w:rsidR="008F202F">
        <w:rPr>
          <w:rFonts w:eastAsia="ヒラギノ角ゴ Pro W3"/>
          <w:u w:color="000000"/>
          <w:lang w:eastAsia="en-GB"/>
        </w:rPr>
        <w:t xml:space="preserve">— </w:t>
      </w:r>
      <w:r w:rsidR="00B64189" w:rsidRPr="009B4CC0">
        <w:rPr>
          <w:rFonts w:eastAsia="ヒラギノ角ゴ Pro W3"/>
          <w:u w:color="000000"/>
          <w:lang w:eastAsia="en-GB"/>
        </w:rPr>
        <w:t xml:space="preserve">and to assist in the streamlining of regular </w:t>
      </w:r>
      <w:r w:rsidR="00482C1B" w:rsidRPr="009B4CC0">
        <w:rPr>
          <w:rFonts w:eastAsia="ヒラギノ角ゴ Pro W3"/>
          <w:u w:color="000000"/>
          <w:lang w:eastAsia="en-GB"/>
        </w:rPr>
        <w:t>state</w:t>
      </w:r>
      <w:r w:rsidR="00BA32D4">
        <w:rPr>
          <w:rFonts w:eastAsia="ヒラギノ角ゴ Pro W3"/>
          <w:u w:color="000000"/>
          <w:lang w:eastAsia="en-GB"/>
        </w:rPr>
        <w:t>-</w:t>
      </w:r>
      <w:r w:rsidR="00482C1B" w:rsidRPr="009B4CC0">
        <w:rPr>
          <w:rFonts w:eastAsia="ヒラギノ角ゴ Pro W3"/>
          <w:u w:color="000000"/>
          <w:lang w:eastAsia="en-GB"/>
        </w:rPr>
        <w:t>of</w:t>
      </w:r>
      <w:r w:rsidR="00BA32D4">
        <w:rPr>
          <w:rFonts w:eastAsia="ヒラギノ角ゴ Pro W3"/>
          <w:u w:color="000000"/>
          <w:lang w:eastAsia="en-GB"/>
        </w:rPr>
        <w:t>-</w:t>
      </w:r>
      <w:r w:rsidR="00482C1B" w:rsidRPr="009B4CC0">
        <w:rPr>
          <w:rFonts w:eastAsia="ヒラギノ角ゴ Pro W3"/>
          <w:u w:color="000000"/>
          <w:lang w:eastAsia="en-GB"/>
        </w:rPr>
        <w:t>the</w:t>
      </w:r>
      <w:r w:rsidR="00BA32D4">
        <w:rPr>
          <w:rFonts w:eastAsia="ヒラギノ角ゴ Pro W3"/>
          <w:u w:color="000000"/>
          <w:lang w:eastAsia="en-GB"/>
        </w:rPr>
        <w:t>-</w:t>
      </w:r>
      <w:r w:rsidR="00482C1B" w:rsidRPr="009B4CC0">
        <w:rPr>
          <w:rFonts w:eastAsia="ヒラギノ角ゴ Pro W3"/>
          <w:u w:color="000000"/>
          <w:lang w:eastAsia="en-GB"/>
        </w:rPr>
        <w:t xml:space="preserve">environment </w:t>
      </w:r>
      <w:r w:rsidR="00B64189" w:rsidRPr="009B4CC0">
        <w:rPr>
          <w:rFonts w:eastAsia="ヒラギノ角ゴ Pro W3"/>
          <w:u w:color="000000"/>
          <w:lang w:eastAsia="en-GB"/>
        </w:rPr>
        <w:t>reporting by 2020</w:t>
      </w:r>
      <w:proofErr w:type="gramEnd"/>
      <w:r w:rsidR="00B64189" w:rsidRPr="009B4CC0">
        <w:rPr>
          <w:rFonts w:eastAsia="ヒラギノ角ゴ Pro W3"/>
          <w:u w:color="000000"/>
          <w:lang w:eastAsia="en-GB"/>
        </w:rPr>
        <w:t>.</w:t>
      </w:r>
      <w:r w:rsidR="00551D7B" w:rsidRPr="009B4CC0">
        <w:rPr>
          <w:rFonts w:eastAsia="ヒラギノ角ゴ Pro W3"/>
          <w:u w:color="000000"/>
          <w:lang w:eastAsia="en-GB"/>
        </w:rPr>
        <w:t xml:space="preserve"> This also sets the </w:t>
      </w:r>
      <w:proofErr w:type="gramStart"/>
      <w:r w:rsidR="00551D7B" w:rsidRPr="009B4CC0">
        <w:rPr>
          <w:rFonts w:eastAsia="ヒラギノ角ゴ Pro W3"/>
          <w:u w:color="000000"/>
          <w:lang w:eastAsia="en-GB"/>
        </w:rPr>
        <w:t>time</w:t>
      </w:r>
      <w:r w:rsidR="00BA32D4">
        <w:rPr>
          <w:rFonts w:eastAsia="ヒラギノ角ゴ Pro W3"/>
          <w:u w:color="000000"/>
          <w:lang w:eastAsia="en-GB"/>
        </w:rPr>
        <w:t xml:space="preserve"> </w:t>
      </w:r>
      <w:r w:rsidR="00551D7B" w:rsidRPr="009B4CC0">
        <w:rPr>
          <w:rFonts w:eastAsia="ヒラギノ角ゴ Pro W3"/>
          <w:u w:color="000000"/>
          <w:lang w:eastAsia="en-GB"/>
        </w:rPr>
        <w:t>frame</w:t>
      </w:r>
      <w:proofErr w:type="gramEnd"/>
      <w:r w:rsidR="00551D7B" w:rsidRPr="009B4CC0">
        <w:rPr>
          <w:rFonts w:eastAsia="ヒラギノ角ゴ Pro W3"/>
          <w:u w:color="000000"/>
          <w:lang w:eastAsia="en-GB"/>
        </w:rPr>
        <w:t xml:space="preserve"> for the request of a five</w:t>
      </w:r>
      <w:r w:rsidR="00BA32D4">
        <w:rPr>
          <w:rFonts w:eastAsia="ヒラギノ角ゴ Pro W3"/>
          <w:u w:color="000000"/>
          <w:lang w:eastAsia="en-GB"/>
        </w:rPr>
        <w:t>-</w:t>
      </w:r>
      <w:r w:rsidR="00551D7B" w:rsidRPr="009B4CC0">
        <w:rPr>
          <w:rFonts w:eastAsia="ヒラギノ角ゴ Pro W3"/>
          <w:u w:color="000000"/>
          <w:lang w:eastAsia="en-GB"/>
        </w:rPr>
        <w:t>year mandate</w:t>
      </w:r>
      <w:r w:rsidR="00FB231A" w:rsidRPr="009B4CC0">
        <w:rPr>
          <w:rFonts w:eastAsia="ヒラギノ角ゴ Pro W3"/>
          <w:u w:color="000000"/>
          <w:lang w:eastAsia="en-GB"/>
        </w:rPr>
        <w:t xml:space="preserve"> for the Working Group</w:t>
      </w:r>
      <w:r w:rsidR="00551D7B" w:rsidRPr="009B4CC0">
        <w:rPr>
          <w:rFonts w:eastAsia="ヒラギノ角ゴ Pro W3"/>
          <w:u w:color="000000"/>
          <w:lang w:eastAsia="en-GB"/>
        </w:rPr>
        <w:t>.</w:t>
      </w:r>
    </w:p>
    <w:p w14:paraId="2832AD60" w14:textId="0AE98C4D" w:rsidR="00B64189" w:rsidRPr="009B4CC0" w:rsidRDefault="00BA0DC3" w:rsidP="00B64189">
      <w:pPr>
        <w:pStyle w:val="SingleTxtG"/>
        <w:rPr>
          <w:rFonts w:eastAsia="ヒラギノ角ゴ Pro W3"/>
          <w:u w:color="000000"/>
          <w:lang w:eastAsia="en-GB"/>
        </w:rPr>
      </w:pPr>
      <w:r w:rsidRPr="009B4CC0">
        <w:rPr>
          <w:rFonts w:eastAsia="ヒラギノ角ゴ Pro W3"/>
          <w:lang w:eastAsia="en-GB"/>
        </w:rPr>
        <w:t>4</w:t>
      </w:r>
      <w:r w:rsidR="00EB0AF1" w:rsidRPr="009B4CC0">
        <w:rPr>
          <w:rFonts w:eastAsia="ヒラギノ角ゴ Pro W3"/>
          <w:lang w:eastAsia="en-GB"/>
        </w:rPr>
        <w:t>5</w:t>
      </w:r>
      <w:r w:rsidR="00A53FB4" w:rsidRPr="009B4CC0">
        <w:rPr>
          <w:rFonts w:eastAsia="ヒラギノ角ゴ Pro W3"/>
          <w:lang w:eastAsia="en-GB"/>
        </w:rPr>
        <w:t>.</w:t>
      </w:r>
      <w:r w:rsidR="00A53FB4" w:rsidRPr="009B4CC0">
        <w:rPr>
          <w:rFonts w:eastAsia="ヒラギノ角ゴ Pro W3"/>
          <w:lang w:eastAsia="en-GB"/>
        </w:rPr>
        <w:tab/>
      </w:r>
      <w:r w:rsidR="00B64189" w:rsidRPr="009B4CC0">
        <w:rPr>
          <w:rFonts w:eastAsia="ヒラギノ角ゴ Pro W3"/>
          <w:u w:color="000000"/>
          <w:lang w:eastAsia="en-GB"/>
        </w:rPr>
        <w:t xml:space="preserve">The objective </w:t>
      </w:r>
      <w:r w:rsidR="007D07C8">
        <w:rPr>
          <w:rFonts w:eastAsia="ヒラギノ角ゴ Pro W3"/>
          <w:u w:color="000000"/>
          <w:lang w:eastAsia="en-GB"/>
        </w:rPr>
        <w:t xml:space="preserve">is </w:t>
      </w:r>
      <w:r w:rsidR="00B64189" w:rsidRPr="009B4CC0">
        <w:rPr>
          <w:rFonts w:eastAsia="ヒラギノ角ゴ Pro W3"/>
          <w:u w:color="000000"/>
          <w:lang w:eastAsia="en-GB"/>
        </w:rPr>
        <w:t xml:space="preserve">also to assist in common activities </w:t>
      </w:r>
      <w:proofErr w:type="gramStart"/>
      <w:r w:rsidR="00B64189" w:rsidRPr="009B4CC0">
        <w:rPr>
          <w:rFonts w:eastAsia="ヒラギノ角ゴ Pro W3"/>
          <w:u w:color="000000"/>
          <w:lang w:eastAsia="en-GB"/>
        </w:rPr>
        <w:t>being carried out</w:t>
      </w:r>
      <w:proofErr w:type="gramEnd"/>
      <w:r w:rsidR="00B64189" w:rsidRPr="009B4CC0">
        <w:rPr>
          <w:rFonts w:eastAsia="ヒラギノ角ゴ Pro W3"/>
          <w:u w:color="000000"/>
          <w:lang w:eastAsia="en-GB"/>
        </w:rPr>
        <w:t xml:space="preserve"> by </w:t>
      </w:r>
      <w:r w:rsidR="00A53FB4" w:rsidRPr="009B4CC0">
        <w:rPr>
          <w:rFonts w:eastAsia="ヒラギノ角ゴ Pro W3"/>
          <w:u w:color="000000"/>
          <w:lang w:eastAsia="en-GB"/>
        </w:rPr>
        <w:t xml:space="preserve">ECE, </w:t>
      </w:r>
      <w:r w:rsidR="00BA32D4">
        <w:rPr>
          <w:rFonts w:eastAsia="ヒラギノ角ゴ Pro W3"/>
          <w:u w:color="000000"/>
          <w:lang w:eastAsia="en-GB"/>
        </w:rPr>
        <w:t>the European Environment Agency</w:t>
      </w:r>
      <w:r w:rsidR="00A53FB4" w:rsidRPr="009B4CC0">
        <w:rPr>
          <w:rFonts w:eastAsia="ヒラギノ角ゴ Pro W3"/>
          <w:u w:color="000000"/>
          <w:lang w:eastAsia="en-GB"/>
        </w:rPr>
        <w:t xml:space="preserve"> and UNEP, </w:t>
      </w:r>
      <w:r w:rsidR="00B64189" w:rsidRPr="009B4CC0">
        <w:rPr>
          <w:rFonts w:eastAsia="ヒラギノ角ゴ Pro W3"/>
          <w:u w:color="000000"/>
          <w:lang w:eastAsia="en-GB"/>
        </w:rPr>
        <w:t>as characteri</w:t>
      </w:r>
      <w:r w:rsidR="00BA32D4">
        <w:rPr>
          <w:rFonts w:eastAsia="ヒラギノ角ゴ Pro W3"/>
          <w:u w:color="000000"/>
          <w:lang w:eastAsia="en-GB"/>
        </w:rPr>
        <w:t>z</w:t>
      </w:r>
      <w:r w:rsidR="00B64189" w:rsidRPr="009B4CC0">
        <w:rPr>
          <w:rFonts w:eastAsia="ヒラギノ角ゴ Pro W3"/>
          <w:u w:color="000000"/>
          <w:lang w:eastAsia="en-GB"/>
        </w:rPr>
        <w:t xml:space="preserve">ed by the common approach laid </w:t>
      </w:r>
      <w:r w:rsidR="00A53FB4" w:rsidRPr="009B4CC0">
        <w:rPr>
          <w:rFonts w:eastAsia="ヒラギノ角ゴ Pro W3"/>
          <w:u w:color="000000"/>
          <w:lang w:eastAsia="en-GB"/>
        </w:rPr>
        <w:t xml:space="preserve">out by the three </w:t>
      </w:r>
      <w:r w:rsidR="00551D7B" w:rsidRPr="009B4CC0">
        <w:rPr>
          <w:rFonts w:eastAsia="ヒラギノ角ゴ Pro W3"/>
          <w:u w:color="000000"/>
          <w:lang w:eastAsia="en-GB"/>
        </w:rPr>
        <w:t>organi</w:t>
      </w:r>
      <w:r w:rsidR="00BA32D4">
        <w:rPr>
          <w:rFonts w:eastAsia="ヒラギノ角ゴ Pro W3"/>
          <w:u w:color="000000"/>
          <w:lang w:eastAsia="en-GB"/>
        </w:rPr>
        <w:t>z</w:t>
      </w:r>
      <w:r w:rsidR="00551D7B" w:rsidRPr="009B4CC0">
        <w:rPr>
          <w:rFonts w:eastAsia="ヒラギノ角ゴ Pro W3"/>
          <w:u w:color="000000"/>
          <w:lang w:eastAsia="en-GB"/>
        </w:rPr>
        <w:t>ations</w:t>
      </w:r>
      <w:r w:rsidR="00A53FB4" w:rsidRPr="009B4CC0">
        <w:rPr>
          <w:rFonts w:eastAsia="ヒラギノ角ゴ Pro W3"/>
          <w:u w:color="000000"/>
          <w:lang w:eastAsia="en-GB"/>
        </w:rPr>
        <w:t xml:space="preserve">, </w:t>
      </w:r>
      <w:r w:rsidR="00B64189" w:rsidRPr="009B4CC0">
        <w:rPr>
          <w:rFonts w:eastAsia="ヒラギノ角ゴ Pro W3"/>
          <w:u w:color="000000"/>
          <w:lang w:eastAsia="en-GB"/>
        </w:rPr>
        <w:t>to achieve these goals and to support the countries in the pan-European region. Th</w:t>
      </w:r>
      <w:r w:rsidR="007D07C8">
        <w:rPr>
          <w:rFonts w:eastAsia="ヒラギノ角ゴ Pro W3"/>
          <w:u w:color="000000"/>
          <w:lang w:eastAsia="en-GB"/>
        </w:rPr>
        <w:t>is</w:t>
      </w:r>
      <w:r w:rsidR="00B64189" w:rsidRPr="009B4CC0">
        <w:rPr>
          <w:rFonts w:eastAsia="ヒラギノ角ゴ Pro W3"/>
          <w:u w:color="000000"/>
          <w:lang w:eastAsia="en-GB"/>
        </w:rPr>
        <w:t xml:space="preserve"> objective </w:t>
      </w:r>
      <w:proofErr w:type="gramStart"/>
      <w:r w:rsidR="00B64189" w:rsidRPr="009B4CC0">
        <w:rPr>
          <w:rFonts w:eastAsia="ヒラギノ角ゴ Pro W3"/>
          <w:u w:color="000000"/>
          <w:lang w:eastAsia="en-GB"/>
        </w:rPr>
        <w:t xml:space="preserve">should be </w:t>
      </w:r>
      <w:r w:rsidR="002E4650" w:rsidRPr="009B4CC0">
        <w:rPr>
          <w:rFonts w:eastAsia="ヒラギノ角ゴ Pro W3"/>
          <w:u w:color="000000"/>
          <w:lang w:eastAsia="en-GB"/>
        </w:rPr>
        <w:t>operationalized</w:t>
      </w:r>
      <w:proofErr w:type="gramEnd"/>
      <w:r w:rsidR="00B64189" w:rsidRPr="009B4CC0">
        <w:rPr>
          <w:rFonts w:eastAsia="ヒラギノ角ゴ Pro W3"/>
          <w:u w:color="000000"/>
          <w:lang w:eastAsia="en-GB"/>
        </w:rPr>
        <w:t xml:space="preserve"> in tandem with efforts to provide guidance on how to monitor progress towards the 2030 Agenda and the </w:t>
      </w:r>
      <w:r w:rsidR="00BA32D4">
        <w:rPr>
          <w:rFonts w:eastAsia="ヒラギノ角ゴ Pro W3"/>
          <w:u w:color="000000"/>
          <w:lang w:eastAsia="en-GB"/>
        </w:rPr>
        <w:t>g</w:t>
      </w:r>
      <w:r w:rsidR="00B64189" w:rsidRPr="009B4CC0">
        <w:rPr>
          <w:rFonts w:eastAsia="ヒラギノ角ゴ Pro W3"/>
          <w:u w:color="000000"/>
          <w:lang w:eastAsia="en-GB"/>
        </w:rPr>
        <w:t xml:space="preserve">reen </w:t>
      </w:r>
      <w:r w:rsidR="00BA32D4">
        <w:rPr>
          <w:rFonts w:eastAsia="ヒラギノ角ゴ Pro W3"/>
          <w:u w:color="000000"/>
          <w:lang w:eastAsia="en-GB"/>
        </w:rPr>
        <w:t>e</w:t>
      </w:r>
      <w:r w:rsidR="00B64189" w:rsidRPr="009B4CC0">
        <w:rPr>
          <w:rFonts w:eastAsia="ヒラギノ角ゴ Pro W3"/>
          <w:u w:color="000000"/>
          <w:lang w:eastAsia="en-GB"/>
        </w:rPr>
        <w:t>conomy.</w:t>
      </w:r>
    </w:p>
    <w:p w14:paraId="3B320C33" w14:textId="3CB827D6" w:rsidR="00B64189" w:rsidRPr="009B4CC0" w:rsidRDefault="00B64189" w:rsidP="00275C48">
      <w:pPr>
        <w:pStyle w:val="H1G"/>
        <w:spacing w:before="280" w:after="200"/>
      </w:pPr>
      <w:r w:rsidRPr="009B4CC0">
        <w:tab/>
        <w:t>E.</w:t>
      </w:r>
      <w:r w:rsidRPr="009B4CC0">
        <w:tab/>
        <w:t xml:space="preserve">Environmental </w:t>
      </w:r>
      <w:r w:rsidR="001C3845">
        <w:t>s</w:t>
      </w:r>
      <w:r w:rsidRPr="009B4CC0">
        <w:t>tatistics</w:t>
      </w:r>
    </w:p>
    <w:p w14:paraId="0A0ACF95" w14:textId="5DC6DA2C" w:rsidR="00B64189" w:rsidRPr="009B4CC0" w:rsidRDefault="00BA0DC3" w:rsidP="00B64189">
      <w:pPr>
        <w:pStyle w:val="SingleTxtG"/>
        <w:rPr>
          <w:rFonts w:eastAsia="ヒラギノ角ゴ Pro W3"/>
          <w:u w:color="000000"/>
          <w:lang w:eastAsia="en-GB"/>
        </w:rPr>
      </w:pPr>
      <w:r w:rsidRPr="009B4CC0">
        <w:rPr>
          <w:rFonts w:eastAsia="ヒラギノ角ゴ Pro W3"/>
          <w:lang w:eastAsia="en-GB"/>
        </w:rPr>
        <w:t>4</w:t>
      </w:r>
      <w:r w:rsidR="00EB0AF1" w:rsidRPr="009B4CC0">
        <w:rPr>
          <w:rFonts w:eastAsia="ヒラギノ角ゴ Pro W3"/>
          <w:lang w:eastAsia="en-GB"/>
        </w:rPr>
        <w:t>6</w:t>
      </w:r>
      <w:r w:rsidR="00A53FB4" w:rsidRPr="009B4CC0">
        <w:rPr>
          <w:rFonts w:eastAsia="ヒラギノ角ゴ Pro W3"/>
          <w:lang w:eastAsia="en-GB"/>
        </w:rPr>
        <w:t>.</w:t>
      </w:r>
      <w:r w:rsidR="00A53FB4" w:rsidRPr="009B4CC0">
        <w:rPr>
          <w:rFonts w:eastAsia="ヒラギノ角ゴ Pro W3"/>
          <w:lang w:eastAsia="en-GB"/>
        </w:rPr>
        <w:tab/>
      </w:r>
      <w:r w:rsidR="00A53FB4" w:rsidRPr="009B4CC0">
        <w:rPr>
          <w:rFonts w:eastAsia="ヒラギノ角ゴ Pro W3"/>
          <w:u w:color="000000"/>
          <w:lang w:eastAsia="en-GB"/>
        </w:rPr>
        <w:t>E</w:t>
      </w:r>
      <w:r w:rsidR="00B64189" w:rsidRPr="009B4CC0">
        <w:rPr>
          <w:rFonts w:eastAsia="ヒラギノ角ゴ Pro W3"/>
          <w:u w:color="000000"/>
          <w:lang w:eastAsia="en-GB"/>
        </w:rPr>
        <w:t xml:space="preserve">nvironmental statistics </w:t>
      </w:r>
      <w:proofErr w:type="gramStart"/>
      <w:r w:rsidR="00B64189" w:rsidRPr="009B4CC0">
        <w:rPr>
          <w:rFonts w:eastAsia="ヒラギノ角ゴ Pro W3"/>
          <w:u w:color="000000"/>
          <w:lang w:eastAsia="en-GB"/>
        </w:rPr>
        <w:t>was picked up</w:t>
      </w:r>
      <w:proofErr w:type="gramEnd"/>
      <w:r w:rsidR="00B64189" w:rsidRPr="009B4CC0">
        <w:rPr>
          <w:rFonts w:eastAsia="ヒラギノ角ゴ Pro W3"/>
          <w:u w:color="000000"/>
          <w:lang w:eastAsia="en-GB"/>
        </w:rPr>
        <w:t xml:space="preserve"> as a thematic topic for several reasons. </w:t>
      </w:r>
      <w:r w:rsidR="005446EA" w:rsidRPr="009B4CC0">
        <w:rPr>
          <w:rFonts w:eastAsia="ヒラギノ角ゴ Pro W3"/>
          <w:u w:color="000000"/>
          <w:lang w:eastAsia="en-GB"/>
        </w:rPr>
        <w:t>A</w:t>
      </w:r>
      <w:r w:rsidR="00B64189" w:rsidRPr="009B4CC0">
        <w:rPr>
          <w:rFonts w:eastAsia="ヒラギノ角ゴ Pro W3"/>
          <w:u w:color="000000"/>
          <w:lang w:eastAsia="en-GB"/>
        </w:rPr>
        <w:t xml:space="preserve">mong these are earlier calls by the Committee </w:t>
      </w:r>
      <w:r w:rsidR="001C3845">
        <w:rPr>
          <w:rFonts w:eastAsia="ヒラギノ角ゴ Pro W3"/>
          <w:u w:color="000000"/>
          <w:lang w:eastAsia="en-GB"/>
        </w:rPr>
        <w:t xml:space="preserve">on Environmental Policy </w:t>
      </w:r>
      <w:r w:rsidR="00B64189" w:rsidRPr="009B4CC0">
        <w:rPr>
          <w:rFonts w:eastAsia="ヒラギノ角ゴ Pro W3"/>
          <w:u w:color="000000"/>
          <w:lang w:eastAsia="en-GB"/>
        </w:rPr>
        <w:t xml:space="preserve">to streamline activities of the </w:t>
      </w:r>
      <w:r w:rsidR="00E5555F" w:rsidRPr="009B4CC0">
        <w:rPr>
          <w:rFonts w:eastAsia="ヒラギノ角ゴ Pro W3"/>
          <w:u w:color="000000"/>
          <w:lang w:eastAsia="en-GB"/>
        </w:rPr>
        <w:t>Working Group and the Joint Task Force</w:t>
      </w:r>
      <w:r w:rsidR="001C3845">
        <w:rPr>
          <w:rFonts w:eastAsia="ヒラギノ角ゴ Pro W3"/>
          <w:u w:color="000000"/>
          <w:lang w:eastAsia="en-GB"/>
        </w:rPr>
        <w:t>;</w:t>
      </w:r>
      <w:r w:rsidR="00B64189" w:rsidRPr="009B4CC0">
        <w:rPr>
          <w:rFonts w:eastAsia="ヒラギノ角ゴ Pro W3"/>
          <w:u w:color="000000"/>
          <w:lang w:eastAsia="en-GB"/>
        </w:rPr>
        <w:t xml:space="preserve"> in particular, it had been suggested that the two bodies should be merged. The main </w:t>
      </w:r>
      <w:r w:rsidR="00482C1B" w:rsidRPr="009B4CC0">
        <w:rPr>
          <w:rFonts w:eastAsia="ヒラギノ角ゴ Pro W3"/>
          <w:u w:color="000000"/>
          <w:lang w:eastAsia="en-GB"/>
        </w:rPr>
        <w:t xml:space="preserve">argument </w:t>
      </w:r>
      <w:r w:rsidR="00304A68" w:rsidRPr="009B4CC0">
        <w:rPr>
          <w:rFonts w:eastAsia="ヒラギノ角ゴ Pro W3"/>
          <w:u w:color="000000"/>
          <w:lang w:eastAsia="en-GB"/>
        </w:rPr>
        <w:t xml:space="preserve">against merging the two bodies </w:t>
      </w:r>
      <w:r w:rsidR="00482C1B" w:rsidRPr="009B4CC0">
        <w:rPr>
          <w:rFonts w:eastAsia="ヒラギノ角ゴ Pro W3"/>
          <w:u w:color="000000"/>
          <w:lang w:eastAsia="en-GB"/>
        </w:rPr>
        <w:t xml:space="preserve">in </w:t>
      </w:r>
      <w:r w:rsidR="00B64189" w:rsidRPr="009B4CC0">
        <w:rPr>
          <w:rFonts w:eastAsia="ヒラギノ角ゴ Pro W3"/>
          <w:u w:color="000000"/>
          <w:lang w:eastAsia="en-GB"/>
        </w:rPr>
        <w:t xml:space="preserve">this discussion was that the Working Group and the </w:t>
      </w:r>
      <w:r w:rsidR="00551D7B" w:rsidRPr="009B4CC0">
        <w:rPr>
          <w:rFonts w:eastAsia="ヒラギノ角ゴ Pro W3"/>
          <w:u w:color="000000"/>
          <w:lang w:eastAsia="en-GB"/>
        </w:rPr>
        <w:t>Joint Task Force</w:t>
      </w:r>
      <w:r w:rsidR="00B64189" w:rsidRPr="009B4CC0">
        <w:rPr>
          <w:rFonts w:eastAsia="ヒラギノ角ゴ Pro W3"/>
          <w:u w:color="000000"/>
          <w:lang w:eastAsia="en-GB"/>
        </w:rPr>
        <w:t xml:space="preserve"> have different geographical coverage and </w:t>
      </w:r>
      <w:r w:rsidR="005446EA" w:rsidRPr="009B4CC0">
        <w:rPr>
          <w:rFonts w:eastAsia="ヒラギノ角ゴ Pro W3"/>
          <w:u w:color="000000"/>
          <w:lang w:eastAsia="en-GB"/>
        </w:rPr>
        <w:t xml:space="preserve">principally </w:t>
      </w:r>
      <w:r w:rsidR="00B64189" w:rsidRPr="009B4CC0">
        <w:rPr>
          <w:rFonts w:eastAsia="ヒラギノ角ゴ Pro W3"/>
          <w:u w:color="000000"/>
          <w:lang w:eastAsia="en-GB"/>
        </w:rPr>
        <w:t xml:space="preserve">target different </w:t>
      </w:r>
      <w:r w:rsidR="00E5555F" w:rsidRPr="009B4CC0">
        <w:rPr>
          <w:rFonts w:eastAsia="ヒラギノ角ゴ Pro W3"/>
          <w:u w:color="000000"/>
          <w:lang w:eastAsia="en-GB"/>
        </w:rPr>
        <w:t xml:space="preserve">governmental institutions, </w:t>
      </w:r>
      <w:r w:rsidR="00B64189" w:rsidRPr="009B4CC0">
        <w:rPr>
          <w:rFonts w:eastAsia="ヒラギノ角ゴ Pro W3"/>
          <w:u w:color="000000"/>
          <w:lang w:eastAsia="en-GB"/>
        </w:rPr>
        <w:t xml:space="preserve">one servicing environmental authorities and the other </w:t>
      </w:r>
      <w:r w:rsidR="005446EA" w:rsidRPr="009B4CC0">
        <w:rPr>
          <w:rFonts w:eastAsia="ヒラギノ角ゴ Pro W3"/>
          <w:u w:color="000000"/>
          <w:lang w:eastAsia="en-GB"/>
        </w:rPr>
        <w:t xml:space="preserve">both environmental authorities and </w:t>
      </w:r>
      <w:r w:rsidR="00E5555F" w:rsidRPr="009B4CC0">
        <w:rPr>
          <w:rFonts w:eastAsia="ヒラギノ角ゴ Pro W3"/>
          <w:u w:color="000000"/>
          <w:lang w:eastAsia="en-GB"/>
        </w:rPr>
        <w:t>statistical agencies</w:t>
      </w:r>
      <w:r w:rsidR="00B64189" w:rsidRPr="009B4CC0">
        <w:rPr>
          <w:rFonts w:eastAsia="ヒラギノ角ゴ Pro W3"/>
          <w:u w:color="000000"/>
          <w:lang w:eastAsia="en-GB"/>
        </w:rPr>
        <w:t xml:space="preserve">. </w:t>
      </w:r>
      <w:r w:rsidR="006D0FC1" w:rsidRPr="009B4CC0">
        <w:rPr>
          <w:rFonts w:eastAsia="ヒラギノ角ゴ Pro W3"/>
          <w:u w:color="000000"/>
          <w:lang w:eastAsia="en-GB"/>
        </w:rPr>
        <w:t xml:space="preserve">The Joint Task Force’s members are countries of Eastern </w:t>
      </w:r>
      <w:r w:rsidR="001C3845">
        <w:rPr>
          <w:rFonts w:eastAsia="ヒラギノ角ゴ Pro W3"/>
          <w:u w:color="000000"/>
          <w:lang w:eastAsia="en-GB"/>
        </w:rPr>
        <w:t xml:space="preserve">and South-Eastern </w:t>
      </w:r>
      <w:r w:rsidR="006D0FC1" w:rsidRPr="009B4CC0">
        <w:rPr>
          <w:rFonts w:eastAsia="ヒラギノ角ゴ Pro W3"/>
          <w:u w:color="000000"/>
          <w:lang w:eastAsia="en-GB"/>
        </w:rPr>
        <w:t xml:space="preserve">Europe, </w:t>
      </w:r>
      <w:r w:rsidR="001C3845">
        <w:rPr>
          <w:rFonts w:eastAsia="ヒラギノ角ゴ Pro W3"/>
          <w:u w:color="000000"/>
          <w:lang w:eastAsia="en-GB"/>
        </w:rPr>
        <w:t xml:space="preserve">the </w:t>
      </w:r>
      <w:r w:rsidR="006D0FC1" w:rsidRPr="009B4CC0">
        <w:rPr>
          <w:rFonts w:eastAsia="ヒラギノ角ゴ Pro W3"/>
          <w:u w:color="000000"/>
          <w:lang w:eastAsia="en-GB"/>
        </w:rPr>
        <w:t>Caucasus and Central Asia</w:t>
      </w:r>
      <w:r w:rsidR="001C3845">
        <w:rPr>
          <w:rFonts w:eastAsia="ヒラギノ角ゴ Pro W3"/>
          <w:u w:color="000000"/>
          <w:lang w:eastAsia="en-GB"/>
        </w:rPr>
        <w:t>,</w:t>
      </w:r>
      <w:r w:rsidR="006D0FC1" w:rsidRPr="009B4CC0">
        <w:rPr>
          <w:rFonts w:eastAsia="ヒラギノ角ゴ Pro W3"/>
          <w:u w:color="000000"/>
          <w:lang w:eastAsia="en-GB"/>
        </w:rPr>
        <w:t xml:space="preserve"> while the Working Group has a wider membership. </w:t>
      </w:r>
      <w:r w:rsidR="00E5555F" w:rsidRPr="009B4CC0">
        <w:rPr>
          <w:rFonts w:eastAsia="ヒラギノ角ゴ Pro W3"/>
          <w:u w:color="000000"/>
          <w:lang w:eastAsia="en-GB"/>
        </w:rPr>
        <w:t>At the twenty-first session of the Committee, i</w:t>
      </w:r>
      <w:r w:rsidR="00B64189" w:rsidRPr="009B4CC0">
        <w:rPr>
          <w:rFonts w:eastAsia="ヒラギノ角ゴ Pro W3"/>
          <w:u w:color="000000"/>
          <w:lang w:eastAsia="en-GB"/>
        </w:rPr>
        <w:t xml:space="preserve">t </w:t>
      </w:r>
      <w:proofErr w:type="gramStart"/>
      <w:r w:rsidR="00B64189" w:rsidRPr="009B4CC0">
        <w:rPr>
          <w:rFonts w:eastAsia="ヒラギノ角ゴ Pro W3"/>
          <w:u w:color="000000"/>
          <w:lang w:eastAsia="en-GB"/>
        </w:rPr>
        <w:t xml:space="preserve">was </w:t>
      </w:r>
      <w:r w:rsidR="00304A68" w:rsidRPr="009B4CC0">
        <w:rPr>
          <w:rFonts w:eastAsia="ヒラギノ角ゴ Pro W3"/>
          <w:u w:color="000000"/>
          <w:lang w:eastAsia="en-GB"/>
        </w:rPr>
        <w:t>agreed</w:t>
      </w:r>
      <w:proofErr w:type="gramEnd"/>
      <w:r w:rsidR="00E5555F" w:rsidRPr="009B4CC0">
        <w:rPr>
          <w:rFonts w:eastAsia="ヒラギノ角ゴ Pro W3"/>
          <w:u w:color="000000"/>
          <w:lang w:eastAsia="en-GB"/>
        </w:rPr>
        <w:t xml:space="preserve"> </w:t>
      </w:r>
      <w:r w:rsidR="00B64189" w:rsidRPr="009B4CC0">
        <w:rPr>
          <w:rFonts w:eastAsia="ヒラギノ角ゴ Pro W3"/>
          <w:u w:color="000000"/>
          <w:lang w:eastAsia="en-GB"/>
        </w:rPr>
        <w:t>that while merging the two bodies would not be</w:t>
      </w:r>
      <w:r w:rsidR="00E5555F" w:rsidRPr="009B4CC0">
        <w:rPr>
          <w:rFonts w:eastAsia="ヒラギノ角ゴ Pro W3"/>
          <w:u w:color="000000"/>
          <w:lang w:eastAsia="en-GB"/>
        </w:rPr>
        <w:t xml:space="preserve"> efficient</w:t>
      </w:r>
      <w:r w:rsidR="00B64189" w:rsidRPr="009B4CC0">
        <w:rPr>
          <w:rFonts w:eastAsia="ヒラギノ角ゴ Pro W3"/>
          <w:u w:color="000000"/>
          <w:lang w:eastAsia="en-GB"/>
        </w:rPr>
        <w:t xml:space="preserve">, the Working Group and </w:t>
      </w:r>
      <w:r w:rsidR="00551D7B" w:rsidRPr="009B4CC0">
        <w:rPr>
          <w:rFonts w:eastAsia="ヒラギノ角ゴ Pro W3"/>
          <w:u w:color="000000"/>
          <w:lang w:eastAsia="en-GB"/>
        </w:rPr>
        <w:t xml:space="preserve">Joint Task Force </w:t>
      </w:r>
      <w:r w:rsidR="00B64189" w:rsidRPr="009B4CC0">
        <w:rPr>
          <w:rFonts w:eastAsia="ヒラギノ角ゴ Pro W3"/>
          <w:u w:color="000000"/>
          <w:lang w:eastAsia="en-GB"/>
        </w:rPr>
        <w:t xml:space="preserve">should ensure that </w:t>
      </w:r>
      <w:r w:rsidR="00E5555F" w:rsidRPr="009B4CC0">
        <w:rPr>
          <w:rFonts w:eastAsia="ヒラギノ角ゴ Pro W3"/>
          <w:u w:color="000000"/>
          <w:lang w:eastAsia="en-GB"/>
        </w:rPr>
        <w:t xml:space="preserve">their </w:t>
      </w:r>
      <w:r w:rsidR="00B64189" w:rsidRPr="009B4CC0">
        <w:rPr>
          <w:rFonts w:eastAsia="ヒラギノ角ゴ Pro W3"/>
          <w:u w:color="000000"/>
          <w:lang w:eastAsia="en-GB"/>
        </w:rPr>
        <w:t>activities were streamlined to reduce costs and increase their relevance.</w:t>
      </w:r>
    </w:p>
    <w:p w14:paraId="3E21F1A8" w14:textId="009E9067" w:rsidR="00F75238" w:rsidRPr="009B4CC0" w:rsidRDefault="00BA0DC3">
      <w:pPr>
        <w:pStyle w:val="SingleTxtG"/>
        <w:rPr>
          <w:rFonts w:eastAsia="ヒラギノ角ゴ Pro W3"/>
          <w:u w:color="000000"/>
          <w:lang w:eastAsia="en-GB"/>
        </w:rPr>
      </w:pPr>
      <w:r w:rsidRPr="009B4CC0">
        <w:rPr>
          <w:rFonts w:eastAsia="ヒラギノ角ゴ Pro W3"/>
          <w:u w:color="000000"/>
          <w:lang w:eastAsia="en-GB"/>
        </w:rPr>
        <w:t>4</w:t>
      </w:r>
      <w:r w:rsidR="00EB0AF1" w:rsidRPr="009B4CC0">
        <w:rPr>
          <w:rFonts w:eastAsia="ヒラギノ角ゴ Pro W3"/>
          <w:u w:color="000000"/>
          <w:lang w:eastAsia="en-GB"/>
        </w:rPr>
        <w:t>7</w:t>
      </w:r>
      <w:r w:rsidR="00A53FB4" w:rsidRPr="009B4CC0">
        <w:rPr>
          <w:rFonts w:eastAsia="ヒラギノ角ゴ Pro W3"/>
          <w:u w:color="000000"/>
          <w:lang w:eastAsia="en-GB"/>
        </w:rPr>
        <w:t>.</w:t>
      </w:r>
      <w:r w:rsidR="00A53FB4" w:rsidRPr="009B4CC0">
        <w:rPr>
          <w:rFonts w:eastAsia="ヒラギノ角ゴ Pro W3"/>
          <w:u w:color="000000"/>
          <w:lang w:eastAsia="en-GB"/>
        </w:rPr>
        <w:tab/>
      </w:r>
      <w:r w:rsidR="00B64189" w:rsidRPr="009B4CC0">
        <w:rPr>
          <w:rFonts w:eastAsia="ヒラギノ角ゴ Pro W3"/>
          <w:u w:color="000000"/>
          <w:lang w:eastAsia="en-GB"/>
        </w:rPr>
        <w:t xml:space="preserve">The </w:t>
      </w:r>
      <w:r w:rsidR="00F75238" w:rsidRPr="009B4CC0">
        <w:rPr>
          <w:rFonts w:eastAsia="ヒラギノ角ゴ Pro W3"/>
          <w:u w:color="000000"/>
          <w:lang w:eastAsia="en-GB"/>
        </w:rPr>
        <w:t>preparation</w:t>
      </w:r>
      <w:r w:rsidR="00B64189" w:rsidRPr="009B4CC0">
        <w:rPr>
          <w:rFonts w:eastAsia="ヒラギノ角ゴ Pro W3"/>
          <w:u w:color="000000"/>
          <w:lang w:eastAsia="en-GB"/>
        </w:rPr>
        <w:t xml:space="preserve"> of a vision for the Working Group </w:t>
      </w:r>
      <w:proofErr w:type="gramStart"/>
      <w:r w:rsidR="00B64189" w:rsidRPr="009B4CC0">
        <w:rPr>
          <w:rFonts w:eastAsia="ヒラギノ角ゴ Pro W3"/>
          <w:u w:color="000000"/>
          <w:lang w:eastAsia="en-GB"/>
        </w:rPr>
        <w:t>was seen</w:t>
      </w:r>
      <w:proofErr w:type="gramEnd"/>
      <w:r w:rsidR="00B64189" w:rsidRPr="009B4CC0">
        <w:rPr>
          <w:rFonts w:eastAsia="ヒラギノ角ゴ Pro W3"/>
          <w:u w:color="000000"/>
          <w:lang w:eastAsia="en-GB"/>
        </w:rPr>
        <w:t xml:space="preserve"> as an opportunity to </w:t>
      </w:r>
      <w:r w:rsidR="00304A68" w:rsidRPr="009B4CC0">
        <w:rPr>
          <w:rFonts w:eastAsia="ヒラギノ角ゴ Pro W3"/>
          <w:u w:color="000000"/>
          <w:lang w:eastAsia="en-GB"/>
        </w:rPr>
        <w:t xml:space="preserve">further </w:t>
      </w:r>
      <w:r w:rsidR="006D0FC1" w:rsidRPr="009B4CC0">
        <w:rPr>
          <w:rFonts w:eastAsia="ヒラギノ角ゴ Pro W3"/>
          <w:u w:color="000000"/>
          <w:lang w:eastAsia="en-GB"/>
        </w:rPr>
        <w:t xml:space="preserve">clarify the different objectives of the Working Group and the Joint Task Force </w:t>
      </w:r>
      <w:r w:rsidR="00B64189" w:rsidRPr="009B4CC0">
        <w:rPr>
          <w:rFonts w:eastAsia="ヒラギノ角ゴ Pro W3"/>
          <w:u w:color="000000"/>
          <w:lang w:eastAsia="en-GB"/>
        </w:rPr>
        <w:t xml:space="preserve">and to </w:t>
      </w:r>
      <w:r w:rsidR="00D53143" w:rsidRPr="009B4CC0">
        <w:rPr>
          <w:rFonts w:eastAsia="ヒラギノ角ゴ Pro W3"/>
          <w:u w:color="000000"/>
          <w:lang w:eastAsia="en-GB"/>
        </w:rPr>
        <w:t xml:space="preserve">consider </w:t>
      </w:r>
      <w:r w:rsidR="00B64189" w:rsidRPr="009B4CC0">
        <w:rPr>
          <w:rFonts w:eastAsia="ヒラギノ角ゴ Pro W3"/>
          <w:u w:color="000000"/>
          <w:lang w:eastAsia="en-GB"/>
        </w:rPr>
        <w:t>the</w:t>
      </w:r>
      <w:r w:rsidR="006D0FC1" w:rsidRPr="009B4CC0">
        <w:rPr>
          <w:rFonts w:eastAsia="ヒラギノ角ゴ Pro W3"/>
          <w:u w:color="000000"/>
          <w:lang w:eastAsia="en-GB"/>
        </w:rPr>
        <w:t>ir</w:t>
      </w:r>
      <w:r w:rsidR="00B64189" w:rsidRPr="009B4CC0">
        <w:rPr>
          <w:rFonts w:eastAsia="ヒラギノ角ゴ Pro W3"/>
          <w:u w:color="000000"/>
          <w:lang w:eastAsia="en-GB"/>
        </w:rPr>
        <w:t xml:space="preserve"> interlinkages. </w:t>
      </w:r>
      <w:r w:rsidR="00B25B3F" w:rsidRPr="009B4CC0">
        <w:rPr>
          <w:rFonts w:eastAsia="ヒラギノ角ゴ Pro W3"/>
          <w:u w:color="000000"/>
          <w:lang w:eastAsia="en-GB"/>
        </w:rPr>
        <w:t>In addition to earlier arguments, i</w:t>
      </w:r>
      <w:r w:rsidR="00D53143" w:rsidRPr="009B4CC0">
        <w:rPr>
          <w:rFonts w:eastAsia="ヒラギノ角ゴ Pro W3"/>
          <w:u w:color="000000"/>
          <w:lang w:eastAsia="en-GB"/>
        </w:rPr>
        <w:t xml:space="preserve">t </w:t>
      </w:r>
      <w:proofErr w:type="gramStart"/>
      <w:r w:rsidR="00D53143" w:rsidRPr="009B4CC0">
        <w:rPr>
          <w:rFonts w:eastAsia="ヒラギノ角ゴ Pro W3"/>
          <w:u w:color="000000"/>
          <w:lang w:eastAsia="en-GB"/>
        </w:rPr>
        <w:t>should be highlighted</w:t>
      </w:r>
      <w:proofErr w:type="gramEnd"/>
      <w:r w:rsidR="00D53143" w:rsidRPr="009B4CC0">
        <w:rPr>
          <w:rFonts w:eastAsia="ヒラギノ角ゴ Pro W3"/>
          <w:u w:color="000000"/>
          <w:lang w:eastAsia="en-GB"/>
        </w:rPr>
        <w:t xml:space="preserve"> that </w:t>
      </w:r>
      <w:r w:rsidR="00B64189" w:rsidRPr="009B4CC0">
        <w:rPr>
          <w:rFonts w:eastAsia="ヒラギノ角ゴ Pro W3"/>
          <w:u w:color="000000"/>
          <w:lang w:eastAsia="en-GB"/>
        </w:rPr>
        <w:t xml:space="preserve">the </w:t>
      </w:r>
      <w:r w:rsidR="00551D7B" w:rsidRPr="009B4CC0">
        <w:rPr>
          <w:rFonts w:eastAsia="ヒラギノ角ゴ Pro W3"/>
          <w:u w:color="000000"/>
          <w:lang w:eastAsia="en-GB"/>
        </w:rPr>
        <w:t xml:space="preserve">Joint Task Force </w:t>
      </w:r>
      <w:r w:rsidR="00755C0D" w:rsidRPr="009B4CC0">
        <w:rPr>
          <w:rFonts w:eastAsia="ヒラギノ角ゴ Pro W3"/>
          <w:u w:color="000000"/>
          <w:lang w:eastAsia="en-GB"/>
        </w:rPr>
        <w:t xml:space="preserve">principally </w:t>
      </w:r>
      <w:r w:rsidR="00B64189" w:rsidRPr="009B4CC0">
        <w:rPr>
          <w:rFonts w:eastAsia="ヒラギノ角ゴ Pro W3"/>
          <w:u w:color="000000"/>
          <w:lang w:eastAsia="en-GB"/>
        </w:rPr>
        <w:t xml:space="preserve">deals with the production of environmental statistics </w:t>
      </w:r>
      <w:r w:rsidR="003B0C52" w:rsidRPr="009B4CC0">
        <w:rPr>
          <w:rFonts w:eastAsia="ヒラギノ角ゴ Pro W3"/>
          <w:u w:color="000000"/>
          <w:lang w:eastAsia="en-GB"/>
        </w:rPr>
        <w:t xml:space="preserve">and indicators </w:t>
      </w:r>
      <w:r w:rsidR="00B64189" w:rsidRPr="009B4CC0">
        <w:rPr>
          <w:rFonts w:eastAsia="ヒラギノ角ゴ Pro W3"/>
          <w:u w:color="000000"/>
          <w:lang w:eastAsia="en-GB"/>
        </w:rPr>
        <w:t>while the Working Group</w:t>
      </w:r>
      <w:r w:rsidR="001C3845">
        <w:rPr>
          <w:rFonts w:eastAsia="ヒラギノ角ゴ Pro W3"/>
          <w:u w:color="000000"/>
          <w:lang w:eastAsia="en-GB"/>
        </w:rPr>
        <w:t>’s</w:t>
      </w:r>
      <w:r w:rsidR="00B64189" w:rsidRPr="009B4CC0">
        <w:rPr>
          <w:rFonts w:eastAsia="ヒラギノ角ゴ Pro W3"/>
          <w:u w:color="000000"/>
          <w:lang w:eastAsia="en-GB"/>
        </w:rPr>
        <w:t xml:space="preserve"> focus </w:t>
      </w:r>
      <w:r w:rsidR="00755C0D" w:rsidRPr="009B4CC0">
        <w:rPr>
          <w:rFonts w:eastAsia="ヒラギノ角ゴ Pro W3"/>
          <w:u w:color="000000"/>
          <w:lang w:eastAsia="en-GB"/>
        </w:rPr>
        <w:t xml:space="preserve">is </w:t>
      </w:r>
      <w:r w:rsidR="00B64189" w:rsidRPr="009B4CC0">
        <w:rPr>
          <w:rFonts w:eastAsia="ヒラギノ角ゴ Pro W3"/>
          <w:u w:color="000000"/>
          <w:lang w:eastAsia="en-GB"/>
        </w:rPr>
        <w:t xml:space="preserve">on </w:t>
      </w:r>
      <w:r w:rsidR="00F75238" w:rsidRPr="009B4CC0">
        <w:rPr>
          <w:rFonts w:eastAsia="ヒラギノ角ゴ Pro W3"/>
          <w:u w:color="000000"/>
          <w:lang w:eastAsia="en-GB"/>
        </w:rPr>
        <w:t xml:space="preserve">national, regional and international environmental monitoring, reporting and assessment. </w:t>
      </w:r>
      <w:r w:rsidR="00755C0D" w:rsidRPr="009B4CC0">
        <w:rPr>
          <w:rFonts w:eastAsia="ヒラギノ角ゴ Pro W3"/>
          <w:u w:color="000000"/>
          <w:lang w:eastAsia="en-GB"/>
        </w:rPr>
        <w:t>More specifically, t</w:t>
      </w:r>
      <w:r w:rsidR="00F75238" w:rsidRPr="009B4CC0">
        <w:rPr>
          <w:rFonts w:eastAsia="ヒラギノ角ゴ Pro W3"/>
          <w:u w:color="000000"/>
          <w:lang w:eastAsia="en-GB"/>
        </w:rPr>
        <w:t>he Joint Task Force focus</w:t>
      </w:r>
      <w:r w:rsidR="006D0FC1" w:rsidRPr="009B4CC0">
        <w:rPr>
          <w:rFonts w:eastAsia="ヒラギノ角ゴ Pro W3"/>
          <w:u w:color="000000"/>
          <w:lang w:eastAsia="en-GB"/>
        </w:rPr>
        <w:t xml:space="preserve">es </w:t>
      </w:r>
      <w:r w:rsidR="00F75238" w:rsidRPr="009B4CC0">
        <w:rPr>
          <w:rFonts w:eastAsia="ヒラギノ角ゴ Pro W3"/>
          <w:u w:color="000000"/>
          <w:lang w:eastAsia="en-GB"/>
        </w:rPr>
        <w:t xml:space="preserve">on the information and data that feeds into the environmental </w:t>
      </w:r>
      <w:r w:rsidR="00755C0D" w:rsidRPr="009B4CC0">
        <w:rPr>
          <w:rFonts w:eastAsia="ヒラギノ角ゴ Pro W3"/>
          <w:u w:color="000000"/>
          <w:lang w:eastAsia="en-GB"/>
        </w:rPr>
        <w:t xml:space="preserve">reports and assessment </w:t>
      </w:r>
      <w:r w:rsidR="006D0FC1" w:rsidRPr="009B4CC0">
        <w:rPr>
          <w:rFonts w:eastAsia="ヒラギノ角ゴ Pro W3"/>
          <w:u w:color="000000"/>
          <w:lang w:eastAsia="en-GB"/>
        </w:rPr>
        <w:t xml:space="preserve">covered by </w:t>
      </w:r>
      <w:r w:rsidR="00755C0D" w:rsidRPr="009B4CC0">
        <w:rPr>
          <w:rFonts w:eastAsia="ヒラギノ角ゴ Pro W3"/>
          <w:u w:color="000000"/>
          <w:lang w:eastAsia="en-GB"/>
        </w:rPr>
        <w:t xml:space="preserve">the Working Group. This explains the need for close cooperation between the two bodies but </w:t>
      </w:r>
      <w:r w:rsidR="001C3845">
        <w:rPr>
          <w:rFonts w:eastAsia="ヒラギノ角ゴ Pro W3"/>
          <w:u w:color="000000"/>
          <w:lang w:eastAsia="en-GB"/>
        </w:rPr>
        <w:t xml:space="preserve">is </w:t>
      </w:r>
      <w:r w:rsidR="00755C0D" w:rsidRPr="009B4CC0">
        <w:rPr>
          <w:rFonts w:eastAsia="ヒラギノ角ゴ Pro W3"/>
          <w:u w:color="000000"/>
          <w:lang w:eastAsia="en-GB"/>
        </w:rPr>
        <w:t xml:space="preserve">also an argument against merging the two groups. </w:t>
      </w:r>
    </w:p>
    <w:p w14:paraId="02E8A863" w14:textId="359FDF32" w:rsidR="00D53143" w:rsidRPr="009B4CC0" w:rsidRDefault="00755C0D">
      <w:pPr>
        <w:pStyle w:val="SingleTxtG"/>
        <w:rPr>
          <w:rFonts w:eastAsia="ヒラギノ角ゴ Pro W3"/>
          <w:u w:color="000000"/>
          <w:lang w:eastAsia="en-GB"/>
        </w:rPr>
      </w:pPr>
      <w:r w:rsidRPr="009B4CC0">
        <w:rPr>
          <w:rFonts w:eastAsia="ヒラギノ角ゴ Pro W3"/>
          <w:u w:color="000000"/>
          <w:lang w:eastAsia="en-GB"/>
        </w:rPr>
        <w:t>48</w:t>
      </w:r>
      <w:r w:rsidR="00482C1B" w:rsidRPr="009B4CC0">
        <w:rPr>
          <w:rFonts w:eastAsia="ヒラギノ角ゴ Pro W3"/>
          <w:u w:color="000000"/>
          <w:lang w:eastAsia="en-GB"/>
        </w:rPr>
        <w:t>.</w:t>
      </w:r>
      <w:r w:rsidR="00482C1B" w:rsidRPr="009B4CC0">
        <w:rPr>
          <w:rFonts w:eastAsia="ヒラギノ角ゴ Pro W3"/>
          <w:u w:color="000000"/>
          <w:lang w:eastAsia="en-GB"/>
        </w:rPr>
        <w:tab/>
      </w:r>
      <w:r w:rsidR="00B25B3F" w:rsidRPr="009B4CC0">
        <w:rPr>
          <w:rFonts w:eastAsia="ヒラギノ角ゴ Pro W3"/>
          <w:u w:color="000000"/>
          <w:lang w:eastAsia="en-GB"/>
        </w:rPr>
        <w:t xml:space="preserve">There are two additional </w:t>
      </w:r>
      <w:r w:rsidR="001B7FD1" w:rsidRPr="009B4CC0">
        <w:rPr>
          <w:rFonts w:eastAsia="ヒラギノ角ゴ Pro W3"/>
          <w:u w:color="000000"/>
          <w:lang w:eastAsia="en-GB"/>
        </w:rPr>
        <w:t>factor</w:t>
      </w:r>
      <w:r w:rsidR="00B25B3F" w:rsidRPr="009B4CC0">
        <w:rPr>
          <w:rFonts w:eastAsia="ヒラギノ角ゴ Pro W3"/>
          <w:u w:color="000000"/>
          <w:lang w:eastAsia="en-GB"/>
        </w:rPr>
        <w:t xml:space="preserve">s that </w:t>
      </w:r>
      <w:proofErr w:type="gramStart"/>
      <w:r w:rsidR="00B25B3F" w:rsidRPr="009B4CC0">
        <w:rPr>
          <w:rFonts w:eastAsia="ヒラギノ角ゴ Pro W3"/>
          <w:u w:color="000000"/>
          <w:lang w:eastAsia="en-GB"/>
        </w:rPr>
        <w:t>can be noted</w:t>
      </w:r>
      <w:proofErr w:type="gramEnd"/>
      <w:r w:rsidR="00B25B3F" w:rsidRPr="009B4CC0">
        <w:rPr>
          <w:rFonts w:eastAsia="ヒラギノ角ゴ Pro W3"/>
          <w:u w:color="000000"/>
          <w:lang w:eastAsia="en-GB"/>
        </w:rPr>
        <w:t>.</w:t>
      </w:r>
      <w:r w:rsidR="001B7FD1" w:rsidRPr="009B4CC0">
        <w:rPr>
          <w:rFonts w:eastAsia="ヒラギノ角ゴ Pro W3"/>
          <w:u w:color="000000"/>
          <w:lang w:eastAsia="en-GB"/>
        </w:rPr>
        <w:t xml:space="preserve"> </w:t>
      </w:r>
      <w:r w:rsidR="00B25B3F" w:rsidRPr="009B4CC0">
        <w:rPr>
          <w:rFonts w:eastAsia="ヒラギノ角ゴ Pro W3"/>
          <w:u w:color="000000"/>
          <w:lang w:eastAsia="en-GB"/>
        </w:rPr>
        <w:t>T</w:t>
      </w:r>
      <w:r w:rsidR="001B7FD1" w:rsidRPr="009B4CC0">
        <w:rPr>
          <w:rFonts w:eastAsia="ヒラギノ角ゴ Pro W3"/>
          <w:u w:color="000000"/>
          <w:lang w:eastAsia="en-GB"/>
        </w:rPr>
        <w:t xml:space="preserve">he </w:t>
      </w:r>
      <w:r w:rsidR="00361944" w:rsidRPr="009B4CC0">
        <w:rPr>
          <w:rFonts w:eastAsia="ヒラギノ角ゴ Pro W3"/>
          <w:u w:color="000000"/>
          <w:lang w:eastAsia="en-GB"/>
        </w:rPr>
        <w:t>Working Group</w:t>
      </w:r>
      <w:r w:rsidR="00ED3A89" w:rsidRPr="009B4CC0">
        <w:rPr>
          <w:rFonts w:eastAsia="ヒラギノ角ゴ Pro W3"/>
          <w:u w:color="000000"/>
          <w:lang w:eastAsia="en-GB"/>
        </w:rPr>
        <w:t xml:space="preserve">, in contrast to the Joint Task Force, </w:t>
      </w:r>
      <w:r w:rsidR="00361944" w:rsidRPr="009B4CC0">
        <w:rPr>
          <w:rFonts w:eastAsia="ヒラギノ角ゴ Pro W3"/>
          <w:u w:color="000000"/>
          <w:lang w:eastAsia="en-GB"/>
        </w:rPr>
        <w:t xml:space="preserve">plays a </w:t>
      </w:r>
      <w:r w:rsidR="001B7FD1" w:rsidRPr="009B4CC0">
        <w:rPr>
          <w:rFonts w:eastAsia="ヒラギノ角ゴ Pro W3"/>
          <w:u w:color="000000"/>
          <w:lang w:eastAsia="en-GB"/>
        </w:rPr>
        <w:t xml:space="preserve">more active </w:t>
      </w:r>
      <w:r w:rsidR="00361944" w:rsidRPr="009B4CC0">
        <w:rPr>
          <w:rFonts w:eastAsia="ヒラギノ角ゴ Pro W3"/>
          <w:u w:color="000000"/>
          <w:lang w:eastAsia="en-GB"/>
        </w:rPr>
        <w:t xml:space="preserve">role in </w:t>
      </w:r>
      <w:r w:rsidR="001B7FD1" w:rsidRPr="009B4CC0">
        <w:rPr>
          <w:rFonts w:eastAsia="ヒラギノ角ゴ Pro W3"/>
          <w:u w:color="000000"/>
          <w:lang w:eastAsia="en-GB"/>
        </w:rPr>
        <w:t xml:space="preserve">facilitating and </w:t>
      </w:r>
      <w:r w:rsidR="00361944" w:rsidRPr="009B4CC0">
        <w:rPr>
          <w:rFonts w:eastAsia="ヒラギノ角ゴ Pro W3"/>
          <w:u w:color="000000"/>
          <w:lang w:eastAsia="en-GB"/>
        </w:rPr>
        <w:t>coordinating activities</w:t>
      </w:r>
      <w:r w:rsidR="00D53143" w:rsidRPr="009B4CC0">
        <w:rPr>
          <w:rFonts w:eastAsia="ヒラギノ角ゴ Pro W3"/>
          <w:u w:color="000000"/>
          <w:lang w:eastAsia="en-GB"/>
        </w:rPr>
        <w:t xml:space="preserve"> between the member countries</w:t>
      </w:r>
      <w:r w:rsidR="00A662F5" w:rsidRPr="009B4CC0">
        <w:rPr>
          <w:rFonts w:eastAsia="ヒラギノ角ゴ Pro W3"/>
          <w:u w:color="000000"/>
          <w:lang w:eastAsia="en-GB"/>
        </w:rPr>
        <w:t xml:space="preserve"> and relevant </w:t>
      </w:r>
      <w:r w:rsidR="006C5150" w:rsidRPr="009B4CC0">
        <w:rPr>
          <w:rFonts w:eastAsia="ヒラギノ角ゴ Pro W3"/>
          <w:u w:color="000000"/>
          <w:lang w:eastAsia="en-GB"/>
        </w:rPr>
        <w:t>organi</w:t>
      </w:r>
      <w:r w:rsidR="001C3845">
        <w:rPr>
          <w:rFonts w:eastAsia="ヒラギノ角ゴ Pro W3"/>
          <w:u w:color="000000"/>
          <w:lang w:eastAsia="en-GB"/>
        </w:rPr>
        <w:t>z</w:t>
      </w:r>
      <w:r w:rsidR="006C5150" w:rsidRPr="009B4CC0">
        <w:rPr>
          <w:rFonts w:eastAsia="ヒラギノ角ゴ Pro W3"/>
          <w:u w:color="000000"/>
          <w:lang w:eastAsia="en-GB"/>
        </w:rPr>
        <w:t>ations</w:t>
      </w:r>
      <w:r w:rsidR="00B25B3F" w:rsidRPr="009B4CC0">
        <w:rPr>
          <w:rFonts w:eastAsia="ヒラギノ角ゴ Pro W3"/>
          <w:u w:color="000000"/>
          <w:lang w:eastAsia="en-GB"/>
        </w:rPr>
        <w:t>, such as</w:t>
      </w:r>
      <w:r w:rsidR="00ED3A89" w:rsidRPr="009B4CC0">
        <w:rPr>
          <w:rFonts w:eastAsia="ヒラギノ角ゴ Pro W3"/>
          <w:u w:color="000000"/>
          <w:lang w:eastAsia="en-GB"/>
        </w:rPr>
        <w:t xml:space="preserve"> through the establishment of a network</w:t>
      </w:r>
      <w:r w:rsidR="007D07C8">
        <w:rPr>
          <w:rFonts w:eastAsia="ヒラギノ角ゴ Pro W3"/>
          <w:u w:color="000000"/>
          <w:lang w:eastAsia="en-GB"/>
        </w:rPr>
        <w:t xml:space="preserve"> </w:t>
      </w:r>
      <w:r w:rsidR="00ED3A89" w:rsidRPr="009B4CC0">
        <w:rPr>
          <w:rFonts w:eastAsia="ヒラギノ角ゴ Pro W3"/>
          <w:u w:color="000000"/>
          <w:lang w:eastAsia="en-GB"/>
        </w:rPr>
        <w:t>of</w:t>
      </w:r>
      <w:r w:rsidR="007D07C8">
        <w:rPr>
          <w:rFonts w:eastAsia="ヒラギノ角ゴ Pro W3"/>
          <w:u w:color="000000"/>
          <w:lang w:eastAsia="en-GB"/>
        </w:rPr>
        <w:t xml:space="preserve"> </w:t>
      </w:r>
      <w:r w:rsidR="00ED3A89" w:rsidRPr="009B4CC0">
        <w:rPr>
          <w:rFonts w:eastAsia="ヒラギノ角ゴ Pro W3"/>
          <w:u w:color="000000"/>
          <w:lang w:eastAsia="en-GB"/>
        </w:rPr>
        <w:t>networks</w:t>
      </w:r>
      <w:r w:rsidR="00D53143" w:rsidRPr="009B4CC0">
        <w:rPr>
          <w:rFonts w:eastAsia="ヒラギノ角ゴ Pro W3"/>
          <w:u w:color="000000"/>
          <w:lang w:eastAsia="en-GB"/>
        </w:rPr>
        <w:t>.</w:t>
      </w:r>
      <w:r w:rsidR="00A662F5" w:rsidRPr="009B4CC0">
        <w:rPr>
          <w:rFonts w:eastAsia="ヒラギノ角ゴ Pro W3"/>
          <w:u w:color="000000"/>
          <w:lang w:eastAsia="en-GB"/>
        </w:rPr>
        <w:t xml:space="preserve"> </w:t>
      </w:r>
      <w:r w:rsidR="005446EA" w:rsidRPr="009B4CC0">
        <w:rPr>
          <w:rFonts w:eastAsia="ヒラギノ角ゴ Pro W3"/>
          <w:u w:color="000000"/>
          <w:lang w:eastAsia="en-GB"/>
        </w:rPr>
        <w:t xml:space="preserve">The Joint Task Force is </w:t>
      </w:r>
      <w:r w:rsidR="001B7FD1" w:rsidRPr="009B4CC0">
        <w:rPr>
          <w:rFonts w:eastAsia="ヒラギノ角ゴ Pro W3"/>
          <w:u w:color="000000"/>
          <w:lang w:eastAsia="en-GB"/>
        </w:rPr>
        <w:t>also</w:t>
      </w:r>
      <w:r w:rsidR="005446EA" w:rsidRPr="009B4CC0">
        <w:rPr>
          <w:rFonts w:eastAsia="ヒラギノ角ゴ Pro W3"/>
          <w:u w:color="000000"/>
          <w:lang w:eastAsia="en-GB"/>
        </w:rPr>
        <w:t xml:space="preserve"> unique in that it explicitly </w:t>
      </w:r>
      <w:r w:rsidR="00D53143" w:rsidRPr="009B4CC0">
        <w:rPr>
          <w:rFonts w:eastAsia="ヒラギノ角ゴ Pro W3"/>
          <w:u w:color="000000"/>
          <w:lang w:eastAsia="en-GB"/>
        </w:rPr>
        <w:t>offers</w:t>
      </w:r>
      <w:r w:rsidR="005446EA" w:rsidRPr="009B4CC0">
        <w:rPr>
          <w:rFonts w:eastAsia="ヒラギノ角ゴ Pro W3"/>
          <w:u w:color="000000"/>
          <w:lang w:eastAsia="en-GB"/>
        </w:rPr>
        <w:t xml:space="preserve"> </w:t>
      </w:r>
      <w:r w:rsidR="006D0FC1" w:rsidRPr="009B4CC0">
        <w:rPr>
          <w:rFonts w:eastAsia="ヒラギノ角ゴ Pro W3"/>
          <w:u w:color="000000"/>
          <w:lang w:eastAsia="en-GB"/>
        </w:rPr>
        <w:t xml:space="preserve">statistical </w:t>
      </w:r>
      <w:proofErr w:type="gramStart"/>
      <w:r w:rsidR="005446EA" w:rsidRPr="009B4CC0">
        <w:rPr>
          <w:rFonts w:eastAsia="ヒラギノ角ゴ Pro W3"/>
          <w:u w:color="000000"/>
          <w:lang w:eastAsia="en-GB"/>
        </w:rPr>
        <w:t>capacity</w:t>
      </w:r>
      <w:r w:rsidR="00D53143" w:rsidRPr="009B4CC0">
        <w:rPr>
          <w:rFonts w:eastAsia="ヒラギノ角ゴ Pro W3"/>
          <w:u w:color="000000"/>
          <w:lang w:eastAsia="en-GB"/>
        </w:rPr>
        <w:t>-</w:t>
      </w:r>
      <w:r w:rsidR="005446EA" w:rsidRPr="009B4CC0">
        <w:rPr>
          <w:rFonts w:eastAsia="ヒラギノ角ゴ Pro W3"/>
          <w:u w:color="000000"/>
          <w:lang w:eastAsia="en-GB"/>
        </w:rPr>
        <w:t>building</w:t>
      </w:r>
      <w:proofErr w:type="gramEnd"/>
      <w:r w:rsidR="005446EA" w:rsidRPr="009B4CC0">
        <w:rPr>
          <w:rFonts w:eastAsia="ヒラギノ角ゴ Pro W3"/>
          <w:u w:color="000000"/>
          <w:lang w:eastAsia="en-GB"/>
        </w:rPr>
        <w:t xml:space="preserve">, through </w:t>
      </w:r>
      <w:r w:rsidR="00A662F5" w:rsidRPr="009B4CC0">
        <w:rPr>
          <w:rFonts w:eastAsia="ヒラギノ角ゴ Pro W3"/>
          <w:u w:color="000000"/>
          <w:lang w:eastAsia="en-GB"/>
        </w:rPr>
        <w:t xml:space="preserve">the provision of </w:t>
      </w:r>
      <w:r w:rsidR="005446EA" w:rsidRPr="009B4CC0">
        <w:rPr>
          <w:rFonts w:eastAsia="ヒラギノ角ゴ Pro W3"/>
          <w:u w:color="000000"/>
          <w:lang w:eastAsia="en-GB"/>
        </w:rPr>
        <w:t>technical assistance and training</w:t>
      </w:r>
      <w:r w:rsidR="00A662F5" w:rsidRPr="009B4CC0">
        <w:rPr>
          <w:rFonts w:eastAsia="ヒラギノ角ゴ Pro W3"/>
          <w:u w:color="000000"/>
          <w:lang w:eastAsia="en-GB"/>
        </w:rPr>
        <w:t xml:space="preserve"> in the pan-European region. </w:t>
      </w:r>
      <w:r w:rsidR="00B64189" w:rsidRPr="009B4CC0">
        <w:rPr>
          <w:rFonts w:eastAsia="ヒラギノ角ゴ Pro W3"/>
          <w:u w:color="000000"/>
          <w:lang w:eastAsia="en-GB"/>
        </w:rPr>
        <w:t xml:space="preserve">Attempts to merge the two bodies would </w:t>
      </w:r>
      <w:r w:rsidR="001B7FD1" w:rsidRPr="009B4CC0">
        <w:rPr>
          <w:rFonts w:eastAsia="ヒラギノ角ゴ Pro W3"/>
          <w:u w:color="000000"/>
          <w:lang w:eastAsia="en-GB"/>
        </w:rPr>
        <w:t xml:space="preserve">thus </w:t>
      </w:r>
      <w:r w:rsidR="00D53143" w:rsidRPr="009B4CC0">
        <w:rPr>
          <w:rFonts w:eastAsia="ヒラギノ角ゴ Pro W3"/>
          <w:u w:color="000000"/>
          <w:lang w:eastAsia="en-GB"/>
        </w:rPr>
        <w:t xml:space="preserve">not only </w:t>
      </w:r>
      <w:r w:rsidR="00B64189" w:rsidRPr="009B4CC0">
        <w:rPr>
          <w:rFonts w:eastAsia="ヒラギノ角ゴ Pro W3"/>
          <w:u w:color="000000"/>
          <w:lang w:eastAsia="en-GB"/>
        </w:rPr>
        <w:t>risk making the</w:t>
      </w:r>
      <w:r w:rsidR="00F556E6" w:rsidRPr="009B4CC0">
        <w:rPr>
          <w:rFonts w:eastAsia="ヒラギノ角ゴ Pro W3"/>
          <w:u w:color="000000"/>
          <w:lang w:eastAsia="en-GB"/>
        </w:rPr>
        <w:t xml:space="preserve"> two bodies </w:t>
      </w:r>
      <w:r w:rsidR="00B64189" w:rsidRPr="009B4CC0">
        <w:rPr>
          <w:rFonts w:eastAsia="ヒラギノ角ゴ Pro W3"/>
          <w:u w:color="000000"/>
          <w:lang w:eastAsia="en-GB"/>
        </w:rPr>
        <w:t xml:space="preserve">less relevant for </w:t>
      </w:r>
      <w:r w:rsidR="00865DD4" w:rsidRPr="009B4CC0">
        <w:rPr>
          <w:rFonts w:eastAsia="ヒラギノ角ゴ Pro W3"/>
          <w:u w:color="000000"/>
          <w:lang w:eastAsia="en-GB"/>
        </w:rPr>
        <w:t xml:space="preserve">the respective types of agencies that the Working Group and Joint Task Force service, it would </w:t>
      </w:r>
      <w:r w:rsidR="006C5150" w:rsidRPr="009B4CC0">
        <w:rPr>
          <w:rFonts w:eastAsia="ヒラギノ角ゴ Pro W3"/>
          <w:u w:color="000000"/>
          <w:lang w:eastAsia="en-GB"/>
        </w:rPr>
        <w:t>reduce</w:t>
      </w:r>
      <w:r w:rsidR="00ED3A89" w:rsidRPr="009B4CC0">
        <w:rPr>
          <w:rFonts w:eastAsia="ヒラギノ角ゴ Pro W3"/>
          <w:u w:color="000000"/>
          <w:lang w:eastAsia="en-GB"/>
        </w:rPr>
        <w:t xml:space="preserve"> the ability to </w:t>
      </w:r>
      <w:r w:rsidR="006C5150" w:rsidRPr="009B4CC0">
        <w:rPr>
          <w:rFonts w:eastAsia="ヒラギノ角ゴ Pro W3"/>
          <w:u w:color="000000"/>
          <w:lang w:eastAsia="en-GB"/>
        </w:rPr>
        <w:t>perform</w:t>
      </w:r>
      <w:r w:rsidR="00D53143" w:rsidRPr="009B4CC0">
        <w:rPr>
          <w:rFonts w:eastAsia="ヒラギノ角ゴ Pro W3"/>
          <w:u w:color="000000"/>
          <w:lang w:eastAsia="en-GB"/>
        </w:rPr>
        <w:t xml:space="preserve"> the specific functions </w:t>
      </w:r>
      <w:r w:rsidR="00ED3A89" w:rsidRPr="009B4CC0">
        <w:rPr>
          <w:rFonts w:eastAsia="ヒラギノ角ゴ Pro W3"/>
          <w:u w:color="000000"/>
          <w:lang w:eastAsia="en-GB"/>
        </w:rPr>
        <w:t xml:space="preserve">being </w:t>
      </w:r>
      <w:r w:rsidR="006C5150" w:rsidRPr="009B4CC0">
        <w:rPr>
          <w:rFonts w:eastAsia="ヒラギノ角ゴ Pro W3"/>
          <w:u w:color="000000"/>
          <w:lang w:eastAsia="en-GB"/>
        </w:rPr>
        <w:t>carried out</w:t>
      </w:r>
      <w:r w:rsidR="001B7FD1" w:rsidRPr="009B4CC0">
        <w:rPr>
          <w:rFonts w:eastAsia="ヒラギノ角ゴ Pro W3"/>
          <w:u w:color="000000"/>
          <w:lang w:eastAsia="en-GB"/>
        </w:rPr>
        <w:t>.</w:t>
      </w:r>
    </w:p>
    <w:p w14:paraId="7617D66C" w14:textId="0762E277" w:rsidR="00B64189" w:rsidRPr="009B4CC0" w:rsidRDefault="00BA0DC3" w:rsidP="00B64189">
      <w:pPr>
        <w:pStyle w:val="SingleTxtG"/>
        <w:rPr>
          <w:rFonts w:eastAsia="ヒラギノ角ゴ Pro W3"/>
          <w:u w:color="000000"/>
          <w:lang w:eastAsia="en-GB"/>
        </w:rPr>
      </w:pPr>
      <w:r w:rsidRPr="009B4CC0">
        <w:rPr>
          <w:rFonts w:eastAsia="ヒラギノ角ゴ Pro W3"/>
          <w:u w:color="000000"/>
          <w:lang w:eastAsia="en-GB"/>
        </w:rPr>
        <w:t>4</w:t>
      </w:r>
      <w:r w:rsidR="007F017C">
        <w:rPr>
          <w:rFonts w:eastAsia="ヒラギノ角ゴ Pro W3"/>
          <w:u w:color="000000"/>
          <w:lang w:eastAsia="en-GB"/>
        </w:rPr>
        <w:t>9</w:t>
      </w:r>
      <w:r w:rsidR="00A53FB4" w:rsidRPr="009B4CC0">
        <w:rPr>
          <w:rFonts w:eastAsia="ヒラギノ角ゴ Pro W3"/>
          <w:u w:color="000000"/>
          <w:lang w:eastAsia="en-GB"/>
        </w:rPr>
        <w:t>.</w:t>
      </w:r>
      <w:r w:rsidR="00A53FB4" w:rsidRPr="009B4CC0">
        <w:rPr>
          <w:rFonts w:eastAsia="ヒラギノ角ゴ Pro W3"/>
          <w:u w:color="000000"/>
          <w:lang w:eastAsia="en-GB"/>
        </w:rPr>
        <w:tab/>
        <w:t>T</w:t>
      </w:r>
      <w:r w:rsidR="00B64189" w:rsidRPr="009B4CC0">
        <w:rPr>
          <w:rFonts w:eastAsia="ヒラギノ角ゴ Pro W3"/>
          <w:u w:color="000000"/>
          <w:lang w:eastAsia="en-GB"/>
        </w:rPr>
        <w:t xml:space="preserve">he overarching goal for support in the area of environmental statistics </w:t>
      </w:r>
      <w:r w:rsidR="001C3845">
        <w:rPr>
          <w:rFonts w:eastAsia="ヒラギノ角ゴ Pro W3"/>
          <w:u w:color="000000"/>
          <w:lang w:eastAsia="en-GB"/>
        </w:rPr>
        <w:t xml:space="preserve">is </w:t>
      </w:r>
      <w:r w:rsidR="00B64189" w:rsidRPr="009B4CC0">
        <w:rPr>
          <w:rFonts w:eastAsia="ヒラギノ角ゴ Pro W3"/>
          <w:u w:color="000000"/>
          <w:lang w:eastAsia="en-GB"/>
        </w:rPr>
        <w:t xml:space="preserve">to ensure that the Working Group and </w:t>
      </w:r>
      <w:r w:rsidR="00551D7B" w:rsidRPr="009B4CC0">
        <w:rPr>
          <w:rFonts w:eastAsia="ヒラギノ角ゴ Pro W3"/>
          <w:u w:color="000000"/>
          <w:lang w:eastAsia="en-GB"/>
        </w:rPr>
        <w:t xml:space="preserve">Joint Task Force </w:t>
      </w:r>
      <w:r w:rsidR="00B64189" w:rsidRPr="009B4CC0">
        <w:rPr>
          <w:rFonts w:eastAsia="ヒラギノ角ゴ Pro W3"/>
          <w:u w:color="000000"/>
          <w:lang w:eastAsia="en-GB"/>
        </w:rPr>
        <w:t xml:space="preserve">continue to work closely together in setting priority areas for action and that </w:t>
      </w:r>
      <w:r w:rsidR="001C3845">
        <w:rPr>
          <w:rFonts w:eastAsia="ヒラギノ角ゴ Pro W3"/>
          <w:u w:color="000000"/>
          <w:lang w:eastAsia="en-GB"/>
        </w:rPr>
        <w:t xml:space="preserve">the </w:t>
      </w:r>
      <w:r w:rsidR="00B64189" w:rsidRPr="009B4CC0">
        <w:rPr>
          <w:rFonts w:eastAsia="ヒラギノ角ゴ Pro W3"/>
          <w:u w:color="000000"/>
          <w:lang w:eastAsia="en-GB"/>
        </w:rPr>
        <w:t xml:space="preserve">activities carried out by the two bodies are done in </w:t>
      </w:r>
      <w:r w:rsidR="00755C0D" w:rsidRPr="009B4CC0">
        <w:rPr>
          <w:rFonts w:eastAsia="ヒラギノ角ゴ Pro W3"/>
          <w:u w:color="000000"/>
          <w:lang w:eastAsia="en-GB"/>
        </w:rPr>
        <w:t>synergy</w:t>
      </w:r>
      <w:r w:rsidR="00B64189" w:rsidRPr="009B4CC0">
        <w:rPr>
          <w:rFonts w:eastAsia="ヒラギノ角ゴ Pro W3"/>
          <w:u w:color="000000"/>
          <w:lang w:eastAsia="en-GB"/>
        </w:rPr>
        <w:t xml:space="preserve">. This </w:t>
      </w:r>
      <w:proofErr w:type="gramStart"/>
      <w:r w:rsidR="00B64189" w:rsidRPr="009B4CC0">
        <w:rPr>
          <w:rFonts w:eastAsia="ヒラギノ角ゴ Pro W3"/>
          <w:u w:color="000000"/>
          <w:lang w:eastAsia="en-GB"/>
        </w:rPr>
        <w:t>would</w:t>
      </w:r>
      <w:r w:rsidR="00755C0D" w:rsidRPr="009B4CC0">
        <w:rPr>
          <w:rFonts w:eastAsia="ヒラギノ角ゴ Pro W3"/>
          <w:u w:color="000000"/>
          <w:lang w:eastAsia="en-GB"/>
        </w:rPr>
        <w:t>, among other things,</w:t>
      </w:r>
      <w:r w:rsidR="00B64189" w:rsidRPr="009B4CC0">
        <w:rPr>
          <w:rFonts w:eastAsia="ヒラギノ角ゴ Pro W3"/>
          <w:u w:color="000000"/>
          <w:lang w:eastAsia="en-GB"/>
        </w:rPr>
        <w:t xml:space="preserve"> entail</w:t>
      </w:r>
      <w:proofErr w:type="gramEnd"/>
      <w:r w:rsidR="00B64189" w:rsidRPr="009B4CC0">
        <w:rPr>
          <w:rFonts w:eastAsia="ヒラギノ角ゴ Pro W3"/>
          <w:u w:color="000000"/>
          <w:lang w:eastAsia="en-GB"/>
        </w:rPr>
        <w:t xml:space="preserve"> </w:t>
      </w:r>
      <w:r w:rsidR="00755C0D" w:rsidRPr="009B4CC0">
        <w:rPr>
          <w:rFonts w:eastAsia="ヒラギノ角ゴ Pro W3"/>
          <w:u w:color="000000"/>
          <w:lang w:eastAsia="en-GB"/>
        </w:rPr>
        <w:t xml:space="preserve">the </w:t>
      </w:r>
      <w:r w:rsidR="00B64189" w:rsidRPr="009B4CC0">
        <w:rPr>
          <w:rFonts w:eastAsia="ヒラギノ角ゴ Pro W3"/>
          <w:u w:color="000000"/>
          <w:lang w:eastAsia="en-GB"/>
        </w:rPr>
        <w:t xml:space="preserve">continued </w:t>
      </w:r>
      <w:r w:rsidR="00755C0D" w:rsidRPr="009B4CC0">
        <w:rPr>
          <w:rFonts w:eastAsia="ヒラギノ角ゴ Pro W3"/>
          <w:u w:color="000000"/>
          <w:lang w:eastAsia="en-GB"/>
        </w:rPr>
        <w:t xml:space="preserve">and close </w:t>
      </w:r>
      <w:r w:rsidR="00B64189" w:rsidRPr="009B4CC0">
        <w:rPr>
          <w:rFonts w:eastAsia="ヒラギノ角ゴ Pro W3"/>
          <w:u w:color="000000"/>
          <w:lang w:eastAsia="en-GB"/>
        </w:rPr>
        <w:t xml:space="preserve">cooperation between the ECE Environment </w:t>
      </w:r>
      <w:r w:rsidR="001C3845">
        <w:rPr>
          <w:rFonts w:eastAsia="ヒラギノ角ゴ Pro W3"/>
          <w:u w:color="000000"/>
          <w:lang w:eastAsia="en-GB"/>
        </w:rPr>
        <w:t xml:space="preserve">and </w:t>
      </w:r>
      <w:r w:rsidR="00B64189" w:rsidRPr="009B4CC0">
        <w:rPr>
          <w:rFonts w:eastAsia="ヒラギノ角ゴ Pro W3"/>
          <w:u w:color="000000"/>
          <w:lang w:eastAsia="en-GB"/>
        </w:rPr>
        <w:t>Statistical Division</w:t>
      </w:r>
      <w:r w:rsidR="001C3845">
        <w:rPr>
          <w:rFonts w:eastAsia="ヒラギノ角ゴ Pro W3"/>
          <w:u w:color="000000"/>
          <w:lang w:eastAsia="en-GB"/>
        </w:rPr>
        <w:t>s</w:t>
      </w:r>
      <w:r w:rsidR="00B64189" w:rsidRPr="009B4CC0">
        <w:rPr>
          <w:rFonts w:eastAsia="ヒラギノ角ゴ Pro W3"/>
          <w:u w:color="000000"/>
          <w:lang w:eastAsia="en-GB"/>
        </w:rPr>
        <w:t xml:space="preserve">. The sessions of the Working Group and </w:t>
      </w:r>
      <w:r w:rsidR="00551D7B" w:rsidRPr="009B4CC0">
        <w:rPr>
          <w:rFonts w:eastAsia="ヒラギノ角ゴ Pro W3"/>
          <w:u w:color="000000"/>
          <w:lang w:eastAsia="en-GB"/>
        </w:rPr>
        <w:t xml:space="preserve">Joint Task Force </w:t>
      </w:r>
      <w:proofErr w:type="gramStart"/>
      <w:r w:rsidR="00755C0D" w:rsidRPr="009B4CC0">
        <w:rPr>
          <w:rFonts w:eastAsia="ヒラギノ角ゴ Pro W3"/>
          <w:u w:color="000000"/>
          <w:lang w:eastAsia="en-GB"/>
        </w:rPr>
        <w:t xml:space="preserve">are </w:t>
      </w:r>
      <w:r w:rsidR="00B25B3F" w:rsidRPr="009B4CC0">
        <w:rPr>
          <w:rFonts w:eastAsia="ヒラギノ角ゴ Pro W3"/>
          <w:u w:color="000000"/>
          <w:lang w:eastAsia="en-GB"/>
        </w:rPr>
        <w:t xml:space="preserve">furthermore </w:t>
      </w:r>
      <w:r w:rsidR="00755C0D" w:rsidRPr="009B4CC0">
        <w:rPr>
          <w:rFonts w:eastAsia="ヒラギノ角ゴ Pro W3"/>
          <w:u w:color="000000"/>
          <w:lang w:eastAsia="en-GB"/>
        </w:rPr>
        <w:t>held</w:t>
      </w:r>
      <w:proofErr w:type="gramEnd"/>
      <w:r w:rsidR="00755C0D" w:rsidRPr="009B4CC0">
        <w:rPr>
          <w:rFonts w:eastAsia="ヒラギノ角ゴ Pro W3"/>
          <w:u w:color="000000"/>
          <w:lang w:eastAsia="en-GB"/>
        </w:rPr>
        <w:t xml:space="preserve"> back</w:t>
      </w:r>
      <w:r w:rsidR="001C3845">
        <w:rPr>
          <w:rFonts w:eastAsia="ヒラギノ角ゴ Pro W3"/>
          <w:u w:color="000000"/>
          <w:lang w:eastAsia="en-GB"/>
        </w:rPr>
        <w:t xml:space="preserve"> </w:t>
      </w:r>
      <w:r w:rsidR="00755C0D" w:rsidRPr="009B4CC0">
        <w:rPr>
          <w:rFonts w:eastAsia="ヒラギノ角ゴ Pro W3"/>
          <w:u w:color="000000"/>
          <w:lang w:eastAsia="en-GB"/>
        </w:rPr>
        <w:t>to</w:t>
      </w:r>
      <w:r w:rsidR="001C3845">
        <w:rPr>
          <w:rFonts w:eastAsia="ヒラギノ角ゴ Pro W3"/>
          <w:u w:color="000000"/>
          <w:lang w:eastAsia="en-GB"/>
        </w:rPr>
        <w:t xml:space="preserve"> </w:t>
      </w:r>
      <w:r w:rsidR="00755C0D" w:rsidRPr="009B4CC0">
        <w:rPr>
          <w:rFonts w:eastAsia="ヒラギノ角ゴ Pro W3"/>
          <w:u w:color="000000"/>
          <w:lang w:eastAsia="en-GB"/>
        </w:rPr>
        <w:t xml:space="preserve">back and they </w:t>
      </w:r>
      <w:r w:rsidR="00B64189" w:rsidRPr="009B4CC0">
        <w:rPr>
          <w:rFonts w:eastAsia="ヒラギノ角ゴ Pro W3"/>
          <w:u w:color="000000"/>
          <w:lang w:eastAsia="en-GB"/>
        </w:rPr>
        <w:t xml:space="preserve">provide the perfect platform through which cross-national and </w:t>
      </w:r>
      <w:r w:rsidR="00B25B3F" w:rsidRPr="009B4CC0">
        <w:rPr>
          <w:rFonts w:eastAsia="ヒラギノ角ゴ Pro W3"/>
          <w:u w:color="000000"/>
          <w:lang w:eastAsia="en-GB"/>
        </w:rPr>
        <w:t>cross</w:t>
      </w:r>
      <w:r w:rsidR="00B64189" w:rsidRPr="009B4CC0">
        <w:rPr>
          <w:rFonts w:eastAsia="ヒラギノ角ゴ Pro W3"/>
          <w:u w:color="000000"/>
          <w:lang w:eastAsia="en-GB"/>
        </w:rPr>
        <w:t xml:space="preserve">-agency communication </w:t>
      </w:r>
      <w:r w:rsidR="00A53FB4" w:rsidRPr="009B4CC0">
        <w:rPr>
          <w:rFonts w:eastAsia="ヒラギノ角ゴ Pro W3"/>
          <w:u w:color="000000"/>
          <w:lang w:eastAsia="en-GB"/>
        </w:rPr>
        <w:t>on</w:t>
      </w:r>
      <w:r w:rsidR="00B64189" w:rsidRPr="009B4CC0">
        <w:rPr>
          <w:rFonts w:eastAsia="ヒラギノ角ゴ Pro W3"/>
          <w:u w:color="000000"/>
          <w:lang w:eastAsia="en-GB"/>
        </w:rPr>
        <w:t xml:space="preserve"> the production of environmental statistics can be stimulated. This should include addressing concerns about methodologies in the field of environment statistics and the </w:t>
      </w:r>
      <w:r w:rsidR="00EB0AF1" w:rsidRPr="009B4CC0">
        <w:rPr>
          <w:rFonts w:eastAsia="ヒラギノ角ゴ Pro W3"/>
          <w:u w:color="000000"/>
          <w:lang w:eastAsia="en-GB"/>
        </w:rPr>
        <w:t>comparability of</w:t>
      </w:r>
      <w:r w:rsidR="00B64189" w:rsidRPr="009B4CC0">
        <w:rPr>
          <w:rFonts w:eastAsia="ヒラギノ角ゴ Pro W3"/>
          <w:u w:color="000000"/>
          <w:lang w:eastAsia="en-GB"/>
        </w:rPr>
        <w:t xml:space="preserve"> environmental indicators and statistics across the pan-European region.</w:t>
      </w:r>
    </w:p>
    <w:p w14:paraId="0B89D23E" w14:textId="15FB3D36" w:rsidR="00D67494" w:rsidRPr="009B4CC0" w:rsidRDefault="007F017C" w:rsidP="00B64189">
      <w:pPr>
        <w:pStyle w:val="SingleTxtG"/>
        <w:rPr>
          <w:rFonts w:eastAsia="ヒラギノ角ゴ Pro W3"/>
          <w:u w:color="000000"/>
          <w:lang w:eastAsia="en-GB"/>
        </w:rPr>
      </w:pPr>
      <w:r>
        <w:rPr>
          <w:rFonts w:eastAsia="ヒラギノ角ゴ Pro W3"/>
          <w:lang w:eastAsia="en-GB"/>
        </w:rPr>
        <w:t>50</w:t>
      </w:r>
      <w:r w:rsidR="00A53FB4" w:rsidRPr="009B4CC0">
        <w:rPr>
          <w:rFonts w:eastAsia="ヒラギノ角ゴ Pro W3"/>
          <w:lang w:eastAsia="en-GB"/>
        </w:rPr>
        <w:t>.</w:t>
      </w:r>
      <w:r w:rsidR="00A53FB4" w:rsidRPr="009B4CC0">
        <w:rPr>
          <w:rFonts w:eastAsia="ヒラギノ角ゴ Pro W3"/>
          <w:lang w:eastAsia="en-GB"/>
        </w:rPr>
        <w:tab/>
      </w:r>
      <w:r w:rsidR="00B64189" w:rsidRPr="009B4CC0">
        <w:rPr>
          <w:rFonts w:eastAsia="ヒラギノ角ゴ Pro W3"/>
          <w:u w:color="000000"/>
          <w:lang w:eastAsia="en-GB"/>
        </w:rPr>
        <w:t xml:space="preserve">The Working Group </w:t>
      </w:r>
      <w:r w:rsidR="00755C0D" w:rsidRPr="009B4CC0">
        <w:rPr>
          <w:rFonts w:eastAsia="ヒラギノ角ゴ Pro W3"/>
          <w:u w:color="000000"/>
          <w:lang w:eastAsia="en-GB"/>
        </w:rPr>
        <w:t xml:space="preserve">will also </w:t>
      </w:r>
      <w:r w:rsidR="00B64189" w:rsidRPr="009B4CC0">
        <w:rPr>
          <w:rFonts w:eastAsia="ヒラギノ角ゴ Pro W3"/>
          <w:u w:color="000000"/>
          <w:lang w:eastAsia="en-GB"/>
        </w:rPr>
        <w:t xml:space="preserve">address the demand for integration of economic, social and environmental </w:t>
      </w:r>
      <w:r w:rsidR="00755C0D" w:rsidRPr="009B4CC0">
        <w:rPr>
          <w:rFonts w:eastAsia="ヒラギノ角ゴ Pro W3"/>
          <w:u w:color="000000"/>
          <w:lang w:eastAsia="en-GB"/>
        </w:rPr>
        <w:t>considerations</w:t>
      </w:r>
      <w:r w:rsidR="00B64189" w:rsidRPr="009B4CC0">
        <w:rPr>
          <w:rFonts w:eastAsia="ヒラギノ角ゴ Pro W3"/>
          <w:u w:color="000000"/>
          <w:lang w:eastAsia="en-GB"/>
        </w:rPr>
        <w:t xml:space="preserve"> and the call for capacity development in this regard. The work being carried out through </w:t>
      </w:r>
      <w:r w:rsidR="00AF4FD0">
        <w:rPr>
          <w:rFonts w:eastAsia="ヒラギノ角ゴ Pro W3"/>
          <w:u w:color="000000"/>
          <w:lang w:eastAsia="en-GB"/>
        </w:rPr>
        <w:t>System of Environmental-Economic Accounting</w:t>
      </w:r>
      <w:r w:rsidR="00B64189" w:rsidRPr="009B4CC0">
        <w:rPr>
          <w:rFonts w:eastAsia="ヒラギノ角ゴ Pro W3"/>
          <w:u w:color="000000"/>
          <w:lang w:eastAsia="en-GB"/>
        </w:rPr>
        <w:t xml:space="preserve"> should be considered by the Working Group more extensively in the years to come, and in </w:t>
      </w:r>
      <w:proofErr w:type="gramStart"/>
      <w:r w:rsidR="00B64189" w:rsidRPr="009B4CC0">
        <w:rPr>
          <w:rFonts w:eastAsia="ヒラギノ角ゴ Pro W3"/>
          <w:u w:color="000000"/>
          <w:lang w:eastAsia="en-GB"/>
        </w:rPr>
        <w:t>particular</w:t>
      </w:r>
      <w:proofErr w:type="gramEnd"/>
      <w:r w:rsidR="00B64189" w:rsidRPr="009B4CC0">
        <w:rPr>
          <w:rFonts w:eastAsia="ヒラギノ角ゴ Pro W3"/>
          <w:u w:color="000000"/>
          <w:lang w:eastAsia="en-GB"/>
        </w:rPr>
        <w:t xml:space="preserve"> the relevance this will have for monitoring </w:t>
      </w:r>
      <w:r w:rsidR="00755C0D" w:rsidRPr="009B4CC0">
        <w:rPr>
          <w:rFonts w:eastAsia="ヒラギノ角ゴ Pro W3"/>
          <w:u w:color="000000"/>
          <w:lang w:eastAsia="en-GB"/>
        </w:rPr>
        <w:t xml:space="preserve">and reporting on </w:t>
      </w:r>
      <w:r w:rsidR="00B64189" w:rsidRPr="009B4CC0">
        <w:rPr>
          <w:rFonts w:eastAsia="ヒラギノ角ゴ Pro W3"/>
          <w:u w:color="000000"/>
          <w:lang w:eastAsia="en-GB"/>
        </w:rPr>
        <w:t xml:space="preserve">progress towards the </w:t>
      </w:r>
      <w:r w:rsidR="00AF4FD0">
        <w:rPr>
          <w:rFonts w:eastAsia="ヒラギノ角ゴ Pro W3"/>
          <w:u w:color="000000"/>
          <w:lang w:eastAsia="en-GB"/>
        </w:rPr>
        <w:t>Sustainable Development Goals</w:t>
      </w:r>
      <w:r w:rsidR="00B64189" w:rsidRPr="009B4CC0">
        <w:rPr>
          <w:rFonts w:eastAsia="ヒラギノ角ゴ Pro W3"/>
          <w:u w:color="000000"/>
          <w:lang w:eastAsia="en-GB"/>
        </w:rPr>
        <w:t>. The Working Group recogni</w:t>
      </w:r>
      <w:r w:rsidR="00AF4FD0">
        <w:rPr>
          <w:rFonts w:eastAsia="ヒラギノ角ゴ Pro W3"/>
          <w:u w:color="000000"/>
          <w:lang w:eastAsia="en-GB"/>
        </w:rPr>
        <w:t>z</w:t>
      </w:r>
      <w:r w:rsidR="00B64189" w:rsidRPr="009B4CC0">
        <w:rPr>
          <w:rFonts w:eastAsia="ヒラギノ角ゴ Pro W3"/>
          <w:u w:color="000000"/>
          <w:lang w:eastAsia="en-GB"/>
        </w:rPr>
        <w:t>e</w:t>
      </w:r>
      <w:r w:rsidR="00AF4FD0">
        <w:rPr>
          <w:rFonts w:eastAsia="ヒラギノ角ゴ Pro W3"/>
          <w:u w:color="000000"/>
          <w:lang w:eastAsia="en-GB"/>
        </w:rPr>
        <w:t>s</w:t>
      </w:r>
      <w:r w:rsidR="00B64189" w:rsidRPr="009B4CC0">
        <w:rPr>
          <w:rFonts w:eastAsia="ヒラギノ角ゴ Pro W3"/>
          <w:u w:color="000000"/>
          <w:lang w:eastAsia="en-GB"/>
        </w:rPr>
        <w:t xml:space="preserve"> that sustainable development will not be possible without taking into account information and data from economic, social and environmental sources, and the formidable challenge that underlies this task. It would be of relevance to ensure that the sharing and increased accessibility of all environmental statistics is coherent with SEIS principles and to build linkages that help to facilitate integration</w:t>
      </w:r>
      <w:r w:rsidR="00755C0D" w:rsidRPr="009B4CC0">
        <w:rPr>
          <w:rFonts w:eastAsia="ヒラギノ角ゴ Pro W3"/>
          <w:u w:color="000000"/>
          <w:lang w:eastAsia="en-GB"/>
        </w:rPr>
        <w:t xml:space="preserve"> with the Joint Task Force</w:t>
      </w:r>
      <w:r w:rsidR="00B64189" w:rsidRPr="009B4CC0">
        <w:rPr>
          <w:rFonts w:eastAsia="ヒラギノ角ゴ Pro W3"/>
          <w:u w:color="000000"/>
          <w:lang w:eastAsia="en-GB"/>
        </w:rPr>
        <w:t>.</w:t>
      </w:r>
    </w:p>
    <w:p w14:paraId="4153424E" w14:textId="693F6D34" w:rsidR="005B67A4" w:rsidRPr="009B4CC0" w:rsidRDefault="005B67A4" w:rsidP="00275C48">
      <w:pPr>
        <w:pStyle w:val="HChG"/>
        <w:spacing w:before="320" w:after="200"/>
        <w:rPr>
          <w:rFonts w:eastAsia="ヒラギノ角ゴ Pro W3"/>
          <w:lang w:eastAsia="en-GB"/>
        </w:rPr>
      </w:pPr>
      <w:r w:rsidRPr="009B4CC0">
        <w:rPr>
          <w:rFonts w:eastAsia="ヒラギノ角ゴ Pro W3"/>
          <w:lang w:eastAsia="en-GB"/>
        </w:rPr>
        <w:tab/>
        <w:t>IV</w:t>
      </w:r>
      <w:r w:rsidR="0086321A" w:rsidRPr="009B4CC0">
        <w:rPr>
          <w:rFonts w:eastAsia="ヒラギノ角ゴ Pro W3"/>
          <w:lang w:eastAsia="en-GB"/>
        </w:rPr>
        <w:t>.</w:t>
      </w:r>
      <w:r w:rsidRPr="009B4CC0">
        <w:rPr>
          <w:rFonts w:eastAsia="ヒラギノ角ゴ Pro W3"/>
          <w:lang w:eastAsia="en-GB"/>
        </w:rPr>
        <w:tab/>
        <w:t xml:space="preserve">Working </w:t>
      </w:r>
      <w:r w:rsidR="00AF4FD0">
        <w:rPr>
          <w:rFonts w:eastAsia="ヒラギノ角ゴ Pro W3"/>
          <w:lang w:eastAsia="en-GB"/>
        </w:rPr>
        <w:t>m</w:t>
      </w:r>
      <w:r w:rsidRPr="009B4CC0">
        <w:rPr>
          <w:rFonts w:eastAsia="ヒラギノ角ゴ Pro W3"/>
          <w:lang w:eastAsia="en-GB"/>
        </w:rPr>
        <w:t>odalities of the network of networks</w:t>
      </w:r>
    </w:p>
    <w:p w14:paraId="32238380" w14:textId="2F462389" w:rsidR="005B67A4" w:rsidRPr="009B4CC0" w:rsidRDefault="007F017C" w:rsidP="00FA6CA9">
      <w:pPr>
        <w:pStyle w:val="SingleTxtG"/>
        <w:rPr>
          <w:rFonts w:eastAsia="ヒラギノ角ゴ Pro W3"/>
          <w:u w:color="000000"/>
          <w:lang w:eastAsia="en-GB"/>
        </w:rPr>
      </w:pPr>
      <w:proofErr w:type="gramStart"/>
      <w:r>
        <w:rPr>
          <w:rFonts w:eastAsia="ヒラギノ角ゴ Pro W3"/>
          <w:u w:color="000000"/>
          <w:lang w:eastAsia="en-GB"/>
        </w:rPr>
        <w:t>51</w:t>
      </w:r>
      <w:r w:rsidR="00167E89" w:rsidRPr="009B4CC0">
        <w:rPr>
          <w:rFonts w:eastAsia="ヒラギノ角ゴ Pro W3"/>
          <w:u w:color="000000"/>
          <w:lang w:eastAsia="en-GB"/>
        </w:rPr>
        <w:t>.</w:t>
      </w:r>
      <w:r w:rsidR="00167E89" w:rsidRPr="009B4CC0">
        <w:rPr>
          <w:rFonts w:eastAsia="ヒラギノ角ゴ Pro W3"/>
          <w:u w:color="000000"/>
          <w:lang w:eastAsia="en-GB"/>
        </w:rPr>
        <w:tab/>
      </w:r>
      <w:r w:rsidR="00BA0DC3" w:rsidRPr="009B4CC0">
        <w:rPr>
          <w:rFonts w:eastAsia="ヒラギノ角ゴ Pro W3"/>
          <w:u w:color="000000"/>
          <w:lang w:eastAsia="en-GB"/>
        </w:rPr>
        <w:t>T</w:t>
      </w:r>
      <w:r w:rsidR="00D56595" w:rsidRPr="009B4CC0">
        <w:rPr>
          <w:rFonts w:eastAsia="ヒラギノ角ゴ Pro W3"/>
          <w:u w:color="000000"/>
          <w:lang w:eastAsia="en-GB"/>
        </w:rPr>
        <w:t xml:space="preserve">he request </w:t>
      </w:r>
      <w:r w:rsidR="00E04907" w:rsidRPr="009B4CC0">
        <w:rPr>
          <w:rFonts w:eastAsia="ヒラギノ角ゴ Pro W3"/>
          <w:u w:color="000000"/>
          <w:lang w:eastAsia="en-GB"/>
        </w:rPr>
        <w:t xml:space="preserve">by the Working Group </w:t>
      </w:r>
      <w:r w:rsidR="00D56595" w:rsidRPr="009B4CC0">
        <w:rPr>
          <w:rFonts w:eastAsia="ヒラギノ角ゴ Pro W3"/>
          <w:u w:color="000000"/>
          <w:lang w:eastAsia="en-GB"/>
        </w:rPr>
        <w:t>to improve communication and cooperation</w:t>
      </w:r>
      <w:r w:rsidR="0086321A" w:rsidRPr="009B4CC0">
        <w:rPr>
          <w:rFonts w:eastAsia="ヒラギノ角ゴ Pro W3"/>
          <w:u w:color="000000"/>
          <w:lang w:eastAsia="en-GB"/>
        </w:rPr>
        <w:t xml:space="preserve"> (see </w:t>
      </w:r>
      <w:r w:rsidR="00AF4FD0">
        <w:rPr>
          <w:rFonts w:eastAsia="ヒラギノ角ゴ Pro W3"/>
          <w:u w:color="000000"/>
          <w:lang w:eastAsia="en-GB"/>
        </w:rPr>
        <w:t>sect</w:t>
      </w:r>
      <w:r w:rsidR="008F202F">
        <w:rPr>
          <w:rFonts w:eastAsia="ヒラギノ角ゴ Pro W3"/>
          <w:u w:color="000000"/>
          <w:lang w:eastAsia="en-GB"/>
        </w:rPr>
        <w:t>.</w:t>
      </w:r>
      <w:proofErr w:type="gramEnd"/>
      <w:r w:rsidR="0086321A" w:rsidRPr="009B4CC0">
        <w:rPr>
          <w:rFonts w:eastAsia="ヒラギノ角ゴ Pro W3"/>
          <w:u w:color="000000"/>
          <w:lang w:eastAsia="en-GB"/>
        </w:rPr>
        <w:t xml:space="preserve"> III</w:t>
      </w:r>
      <w:r w:rsidR="00AF4FD0">
        <w:rPr>
          <w:rFonts w:eastAsia="ヒラギノ角ゴ Pro W3"/>
          <w:u w:color="000000"/>
          <w:lang w:eastAsia="en-GB"/>
        </w:rPr>
        <w:t>.B</w:t>
      </w:r>
      <w:r w:rsidR="0086321A" w:rsidRPr="009B4CC0">
        <w:rPr>
          <w:rFonts w:eastAsia="ヒラギノ角ゴ Pro W3"/>
          <w:u w:color="000000"/>
          <w:lang w:eastAsia="en-GB"/>
        </w:rPr>
        <w:t>)</w:t>
      </w:r>
      <w:r w:rsidR="00BA0DC3" w:rsidRPr="009B4CC0">
        <w:rPr>
          <w:rFonts w:eastAsia="ヒラギノ角ゴ Pro W3"/>
          <w:u w:color="000000"/>
          <w:lang w:eastAsia="en-GB"/>
        </w:rPr>
        <w:t xml:space="preserve"> </w:t>
      </w:r>
      <w:r w:rsidR="006F1291" w:rsidRPr="009B4CC0">
        <w:rPr>
          <w:rFonts w:eastAsia="ヒラギノ角ゴ Pro W3"/>
          <w:u w:color="000000"/>
          <w:lang w:eastAsia="en-GB"/>
        </w:rPr>
        <w:t>builds</w:t>
      </w:r>
      <w:r w:rsidR="00BA0DC3" w:rsidRPr="009B4CC0">
        <w:rPr>
          <w:rFonts w:eastAsia="ヒラギノ角ゴ Pro W3"/>
          <w:u w:color="000000"/>
          <w:lang w:eastAsia="en-GB"/>
        </w:rPr>
        <w:t xml:space="preserve"> on t</w:t>
      </w:r>
      <w:r w:rsidR="00D56595" w:rsidRPr="009B4CC0">
        <w:rPr>
          <w:rFonts w:eastAsia="ヒラギノ角ゴ Pro W3"/>
          <w:u w:color="000000"/>
          <w:lang w:eastAsia="en-GB"/>
        </w:rPr>
        <w:t xml:space="preserve">he </w:t>
      </w:r>
      <w:r w:rsidR="00BA0DC3" w:rsidRPr="009B4CC0">
        <w:rPr>
          <w:rFonts w:eastAsia="ヒラギノ角ゴ Pro W3"/>
          <w:u w:color="000000"/>
          <w:lang w:eastAsia="en-GB"/>
        </w:rPr>
        <w:t xml:space="preserve">mandate to serve as </w:t>
      </w:r>
      <w:r w:rsidR="00E615CE" w:rsidRPr="009B4CC0">
        <w:rPr>
          <w:rFonts w:eastAsia="ヒラギノ角ゴ Pro W3"/>
          <w:u w:color="000000"/>
          <w:lang w:eastAsia="en-GB"/>
        </w:rPr>
        <w:t>a</w:t>
      </w:r>
      <w:r w:rsidR="00AF4FD0">
        <w:rPr>
          <w:rFonts w:eastAsia="ヒラギノ角ゴ Pro W3"/>
          <w:u w:color="000000"/>
          <w:lang w:eastAsia="en-GB"/>
        </w:rPr>
        <w:t>n</w:t>
      </w:r>
      <w:r w:rsidR="00BA0DC3" w:rsidRPr="009B4CC0">
        <w:rPr>
          <w:rFonts w:eastAsia="ヒラギノ角ゴ Pro W3"/>
          <w:u w:color="000000"/>
          <w:lang w:eastAsia="en-GB"/>
        </w:rPr>
        <w:t xml:space="preserve"> environmental knowledge and assessment networ</w:t>
      </w:r>
      <w:r w:rsidR="007D07C8">
        <w:rPr>
          <w:rFonts w:eastAsia="ヒラギノ角ゴ Pro W3"/>
          <w:u w:color="000000"/>
          <w:lang w:eastAsia="en-GB"/>
        </w:rPr>
        <w:t>k of n</w:t>
      </w:r>
      <w:r w:rsidR="00BA0DC3" w:rsidRPr="009B4CC0">
        <w:rPr>
          <w:rFonts w:eastAsia="ヒラギノ角ゴ Pro W3"/>
          <w:u w:color="000000"/>
          <w:lang w:eastAsia="en-GB"/>
        </w:rPr>
        <w:t>etwork</w:t>
      </w:r>
      <w:r w:rsidR="00AF4FD0">
        <w:rPr>
          <w:rFonts w:eastAsia="ヒラギノ角ゴ Pro W3"/>
          <w:u w:color="000000"/>
          <w:lang w:eastAsia="en-GB"/>
        </w:rPr>
        <w:t>s</w:t>
      </w:r>
      <w:r w:rsidR="00BA0DC3" w:rsidRPr="009B4CC0">
        <w:rPr>
          <w:rFonts w:eastAsia="ヒラギノ角ゴ Pro W3"/>
          <w:u w:color="000000"/>
          <w:lang w:eastAsia="en-GB"/>
        </w:rPr>
        <w:t xml:space="preserve"> for the ECE region, bring</w:t>
      </w:r>
      <w:r w:rsidR="00AF4FD0">
        <w:rPr>
          <w:rFonts w:eastAsia="ヒラギノ角ゴ Pro W3"/>
          <w:u w:color="000000"/>
          <w:lang w:eastAsia="en-GB"/>
        </w:rPr>
        <w:t>ing</w:t>
      </w:r>
      <w:r w:rsidR="00BA0DC3" w:rsidRPr="009B4CC0">
        <w:rPr>
          <w:rFonts w:eastAsia="ヒラギノ角ゴ Pro W3"/>
          <w:u w:color="000000"/>
          <w:lang w:eastAsia="en-GB"/>
        </w:rPr>
        <w:t xml:space="preserve"> together the European Environment Agency and its European Environment Information and Observation Network</w:t>
      </w:r>
      <w:r w:rsidR="0086321A" w:rsidRPr="009B4CC0">
        <w:rPr>
          <w:rFonts w:eastAsia="ヒラギノ角ゴ Pro W3"/>
          <w:u w:color="000000"/>
          <w:lang w:eastAsia="en-GB"/>
        </w:rPr>
        <w:t xml:space="preserve">, </w:t>
      </w:r>
      <w:r w:rsidR="00BA0DC3" w:rsidRPr="009B4CC0">
        <w:rPr>
          <w:rFonts w:eastAsia="ヒラギノ角ゴ Pro W3"/>
          <w:u w:color="000000"/>
          <w:lang w:eastAsia="en-GB"/>
        </w:rPr>
        <w:t xml:space="preserve">UNEP </w:t>
      </w:r>
      <w:r w:rsidR="0086321A" w:rsidRPr="009B4CC0">
        <w:rPr>
          <w:rFonts w:eastAsia="ヒラギノ角ゴ Pro W3"/>
          <w:u w:color="000000"/>
          <w:lang w:eastAsia="en-GB"/>
        </w:rPr>
        <w:t>and interested parties for</w:t>
      </w:r>
      <w:r w:rsidR="00BA0DC3" w:rsidRPr="009B4CC0">
        <w:rPr>
          <w:rFonts w:eastAsia="ヒラギノ角ゴ Pro W3"/>
          <w:u w:color="000000"/>
          <w:lang w:eastAsia="en-GB"/>
        </w:rPr>
        <w:t xml:space="preserve"> </w:t>
      </w:r>
      <w:r w:rsidR="0086321A" w:rsidRPr="009B4CC0">
        <w:rPr>
          <w:rFonts w:eastAsia="ヒラギノ角ゴ Pro W3"/>
          <w:u w:color="000000"/>
          <w:lang w:eastAsia="en-GB"/>
        </w:rPr>
        <w:t>a</w:t>
      </w:r>
      <w:r w:rsidR="00BA0DC3" w:rsidRPr="009B4CC0">
        <w:rPr>
          <w:rFonts w:eastAsia="ヒラギノ角ゴ Pro W3"/>
          <w:u w:color="000000"/>
          <w:lang w:eastAsia="en-GB"/>
        </w:rPr>
        <w:t xml:space="preserve"> regular process of consultation on </w:t>
      </w:r>
      <w:r w:rsidR="0086321A" w:rsidRPr="009B4CC0">
        <w:rPr>
          <w:rFonts w:eastAsia="ヒラギノ角ゴ Pro W3"/>
          <w:u w:color="000000"/>
          <w:lang w:eastAsia="en-GB"/>
        </w:rPr>
        <w:t xml:space="preserve">an </w:t>
      </w:r>
      <w:r w:rsidR="00BA0DC3" w:rsidRPr="009B4CC0">
        <w:rPr>
          <w:rFonts w:eastAsia="ヒラギノ角ゴ Pro W3"/>
          <w:u w:color="000000"/>
          <w:lang w:eastAsia="en-GB"/>
        </w:rPr>
        <w:t>environmental assessment to keep the pan-European environment under review.</w:t>
      </w:r>
    </w:p>
    <w:p w14:paraId="1778A530" w14:textId="2A493D61" w:rsidR="0086321A" w:rsidRPr="009B4CC0" w:rsidRDefault="007F017C" w:rsidP="0086321A">
      <w:pPr>
        <w:pStyle w:val="SingleTxtG"/>
        <w:rPr>
          <w:rFonts w:eastAsia="ヒラギノ角ゴ Pro W3"/>
          <w:u w:color="000000"/>
          <w:lang w:eastAsia="en-GB"/>
        </w:rPr>
      </w:pPr>
      <w:proofErr w:type="gramStart"/>
      <w:r>
        <w:rPr>
          <w:rFonts w:eastAsia="ヒラギノ角ゴ Pro W3"/>
          <w:u w:color="000000"/>
          <w:lang w:eastAsia="en-GB"/>
        </w:rPr>
        <w:t>52</w:t>
      </w:r>
      <w:r w:rsidR="00BA0DC3" w:rsidRPr="009B4CC0">
        <w:rPr>
          <w:rFonts w:eastAsia="ヒラギノ角ゴ Pro W3"/>
          <w:u w:color="000000"/>
          <w:lang w:eastAsia="en-GB"/>
        </w:rPr>
        <w:t>.</w:t>
      </w:r>
      <w:r w:rsidR="00BA0DC3" w:rsidRPr="009B4CC0">
        <w:rPr>
          <w:rFonts w:eastAsia="ヒラギノ角ゴ Pro W3"/>
          <w:u w:color="000000"/>
          <w:lang w:eastAsia="en-GB"/>
        </w:rPr>
        <w:tab/>
      </w:r>
      <w:r w:rsidR="0086321A" w:rsidRPr="009B4CC0">
        <w:rPr>
          <w:rFonts w:eastAsia="ヒラギノ角ゴ Pro W3"/>
          <w:u w:color="000000"/>
          <w:lang w:eastAsia="en-GB"/>
        </w:rPr>
        <w:t xml:space="preserve">Following the successful launch of the European regional assessment of the Sixth Global Environmental Outlook at the Batumi </w:t>
      </w:r>
      <w:r w:rsidR="00A04D5A" w:rsidRPr="009B4CC0">
        <w:rPr>
          <w:rFonts w:eastAsia="ヒラギノ角ゴ Pro W3"/>
          <w:u w:color="000000"/>
          <w:lang w:eastAsia="en-GB"/>
        </w:rPr>
        <w:t>Conference and the Ministerial Declaration to</w:t>
      </w:r>
      <w:r w:rsidR="0086321A" w:rsidRPr="009B4CC0">
        <w:rPr>
          <w:rFonts w:eastAsia="ヒラギノ角ゴ Pro W3"/>
          <w:u w:color="000000"/>
          <w:lang w:eastAsia="en-GB"/>
        </w:rPr>
        <w:t xml:space="preserve"> </w:t>
      </w:r>
      <w:proofErr w:type="spellStart"/>
      <w:r w:rsidR="0086321A" w:rsidRPr="009B4CC0">
        <w:rPr>
          <w:rFonts w:eastAsia="ヒラギノ角ゴ Pro W3"/>
          <w:u w:color="000000"/>
          <w:lang w:eastAsia="en-GB"/>
        </w:rPr>
        <w:t>to</w:t>
      </w:r>
      <w:proofErr w:type="spellEnd"/>
      <w:r w:rsidR="0086321A" w:rsidRPr="009B4CC0">
        <w:rPr>
          <w:rFonts w:eastAsia="ヒラギノ角ゴ Pro W3"/>
          <w:u w:color="000000"/>
          <w:lang w:eastAsia="en-GB"/>
        </w:rPr>
        <w:t xml:space="preserve"> </w:t>
      </w:r>
      <w:r w:rsidR="00E615CE" w:rsidRPr="009B4CC0">
        <w:rPr>
          <w:rFonts w:eastAsia="ヒラギノ角ゴ Pro W3"/>
          <w:u w:color="000000"/>
          <w:lang w:eastAsia="en-GB"/>
        </w:rPr>
        <w:t>support</w:t>
      </w:r>
      <w:r w:rsidR="0086321A" w:rsidRPr="009B4CC0">
        <w:rPr>
          <w:rFonts w:eastAsia="ヒラギノ角ゴ Pro W3"/>
          <w:u w:color="000000"/>
          <w:lang w:eastAsia="en-GB"/>
        </w:rPr>
        <w:t xml:space="preserve"> the regional assessment as the regular pan-</w:t>
      </w:r>
      <w:r w:rsidR="00E615CE" w:rsidRPr="009B4CC0">
        <w:rPr>
          <w:rFonts w:eastAsia="ヒラギノ角ゴ Pro W3"/>
          <w:u w:color="000000"/>
          <w:lang w:eastAsia="en-GB"/>
        </w:rPr>
        <w:t>European</w:t>
      </w:r>
      <w:r w:rsidR="0086321A" w:rsidRPr="009B4CC0">
        <w:rPr>
          <w:rFonts w:eastAsia="ヒラギノ角ゴ Pro W3"/>
          <w:u w:color="000000"/>
          <w:lang w:eastAsia="en-GB"/>
        </w:rPr>
        <w:t xml:space="preserve"> environmental assessment (ECE/BATUMI.CONF/2016/2/</w:t>
      </w:r>
      <w:r w:rsidR="00A04D5A" w:rsidRPr="009B4CC0">
        <w:rPr>
          <w:rFonts w:eastAsia="ヒラギノ角ゴ Pro W3"/>
          <w:u w:color="000000"/>
          <w:lang w:eastAsia="en-GB"/>
        </w:rPr>
        <w:t>Add</w:t>
      </w:r>
      <w:r w:rsidR="0086321A" w:rsidRPr="009B4CC0">
        <w:rPr>
          <w:rFonts w:eastAsia="ヒラギノ角ゴ Pro W3"/>
          <w:u w:color="000000"/>
          <w:lang w:eastAsia="en-GB"/>
        </w:rPr>
        <w:t>.1, para. 10) there is a continu</w:t>
      </w:r>
      <w:r w:rsidR="00AF4FD0">
        <w:rPr>
          <w:rFonts w:eastAsia="ヒラギノ角ゴ Pro W3"/>
          <w:u w:color="000000"/>
          <w:lang w:eastAsia="en-GB"/>
        </w:rPr>
        <w:t>ing</w:t>
      </w:r>
      <w:r w:rsidR="0086321A" w:rsidRPr="009B4CC0">
        <w:rPr>
          <w:rFonts w:eastAsia="ヒラギノ角ゴ Pro W3"/>
          <w:u w:color="000000"/>
          <w:lang w:eastAsia="en-GB"/>
        </w:rPr>
        <w:t xml:space="preserve"> </w:t>
      </w:r>
      <w:r w:rsidR="006F1291" w:rsidRPr="009B4CC0">
        <w:rPr>
          <w:rFonts w:eastAsia="ヒラギノ角ゴ Pro W3"/>
          <w:u w:color="000000"/>
          <w:lang w:eastAsia="en-GB"/>
        </w:rPr>
        <w:t xml:space="preserve">demand </w:t>
      </w:r>
      <w:r w:rsidR="00E615CE" w:rsidRPr="009B4CC0">
        <w:rPr>
          <w:rFonts w:eastAsia="ヒラギノ角ゴ Pro W3"/>
          <w:u w:color="000000"/>
          <w:lang w:eastAsia="en-GB"/>
        </w:rPr>
        <w:t>for a strong Working Group to serve</w:t>
      </w:r>
      <w:r w:rsidR="0002472D" w:rsidRPr="009B4CC0">
        <w:rPr>
          <w:rFonts w:eastAsia="ヒラギノ角ゴ Pro W3"/>
          <w:u w:color="000000"/>
          <w:lang w:eastAsia="en-GB"/>
        </w:rPr>
        <w:t xml:space="preserve"> as a </w:t>
      </w:r>
      <w:r w:rsidR="0086321A" w:rsidRPr="009B4CC0">
        <w:rPr>
          <w:rFonts w:eastAsia="ヒラギノ角ゴ Pro W3"/>
          <w:u w:color="000000"/>
          <w:lang w:eastAsia="en-GB"/>
        </w:rPr>
        <w:t>networ</w:t>
      </w:r>
      <w:r w:rsidR="007D07C8">
        <w:rPr>
          <w:rFonts w:eastAsia="ヒラギノ角ゴ Pro W3"/>
          <w:u w:color="000000"/>
          <w:lang w:eastAsia="en-GB"/>
        </w:rPr>
        <w:t>k of n</w:t>
      </w:r>
      <w:r w:rsidR="0086321A" w:rsidRPr="009B4CC0">
        <w:rPr>
          <w:rFonts w:eastAsia="ヒラギノ角ゴ Pro W3"/>
          <w:u w:color="000000"/>
          <w:lang w:eastAsia="en-GB"/>
        </w:rPr>
        <w:t>etwork</w:t>
      </w:r>
      <w:r w:rsidR="00AF4FD0">
        <w:rPr>
          <w:rFonts w:eastAsia="ヒラギノ角ゴ Pro W3"/>
          <w:u w:color="000000"/>
          <w:lang w:eastAsia="en-GB"/>
        </w:rPr>
        <w:t>s</w:t>
      </w:r>
      <w:r w:rsidR="0086321A" w:rsidRPr="009B4CC0">
        <w:rPr>
          <w:rFonts w:eastAsia="ヒラギノ角ゴ Pro W3"/>
          <w:u w:color="000000"/>
          <w:lang w:eastAsia="en-GB"/>
        </w:rPr>
        <w:t xml:space="preserve"> </w:t>
      </w:r>
      <w:r w:rsidR="00E615CE" w:rsidRPr="009B4CC0">
        <w:rPr>
          <w:rFonts w:eastAsia="ヒラギノ角ゴ Pro W3"/>
          <w:u w:color="000000"/>
          <w:lang w:eastAsia="en-GB"/>
        </w:rPr>
        <w:t xml:space="preserve">and </w:t>
      </w:r>
      <w:r w:rsidR="0086321A" w:rsidRPr="009B4CC0">
        <w:rPr>
          <w:rFonts w:eastAsia="ヒラギノ角ゴ Pro W3"/>
          <w:u w:color="000000"/>
          <w:lang w:eastAsia="en-GB"/>
        </w:rPr>
        <w:t>to facilitate the continued dialogue on the regional assessment.</w:t>
      </w:r>
      <w:proofErr w:type="gramEnd"/>
      <w:r w:rsidR="0086321A" w:rsidRPr="009B4CC0">
        <w:rPr>
          <w:rFonts w:eastAsia="ヒラギノ角ゴ Pro W3"/>
          <w:u w:color="000000"/>
          <w:lang w:eastAsia="en-GB"/>
        </w:rPr>
        <w:t xml:space="preserve"> </w:t>
      </w:r>
    </w:p>
    <w:p w14:paraId="0A65D432" w14:textId="49E053BC" w:rsidR="004C229D" w:rsidRPr="009B4CC0" w:rsidRDefault="00965BD8" w:rsidP="004C229D">
      <w:pPr>
        <w:pStyle w:val="SingleTxtG"/>
        <w:rPr>
          <w:rFonts w:eastAsia="ヒラギノ角ゴ Pro W3"/>
          <w:u w:color="000000"/>
          <w:lang w:eastAsia="en-GB"/>
        </w:rPr>
      </w:pPr>
      <w:r w:rsidRPr="009B4CC0">
        <w:rPr>
          <w:rFonts w:eastAsia="ヒラギノ角ゴ Pro W3"/>
          <w:u w:color="000000"/>
          <w:lang w:eastAsia="en-GB"/>
        </w:rPr>
        <w:t>5</w:t>
      </w:r>
      <w:r w:rsidR="007F017C">
        <w:rPr>
          <w:rFonts w:eastAsia="ヒラギノ角ゴ Pro W3"/>
          <w:u w:color="000000"/>
          <w:lang w:eastAsia="en-GB"/>
        </w:rPr>
        <w:t>3</w:t>
      </w:r>
      <w:r w:rsidR="00E615CE" w:rsidRPr="009B4CC0">
        <w:rPr>
          <w:rFonts w:eastAsia="ヒラギノ角ゴ Pro W3"/>
          <w:u w:color="000000"/>
          <w:lang w:eastAsia="en-GB"/>
        </w:rPr>
        <w:t>.</w:t>
      </w:r>
      <w:r w:rsidR="00E615CE" w:rsidRPr="009B4CC0">
        <w:rPr>
          <w:rFonts w:eastAsia="ヒラギノ角ゴ Pro W3"/>
          <w:u w:color="000000"/>
          <w:lang w:eastAsia="en-GB"/>
        </w:rPr>
        <w:tab/>
        <w:t xml:space="preserve">These developments </w:t>
      </w:r>
      <w:proofErr w:type="gramStart"/>
      <w:r w:rsidR="00E615CE" w:rsidRPr="009B4CC0">
        <w:rPr>
          <w:rFonts w:eastAsia="ヒラギノ角ゴ Pro W3"/>
          <w:u w:color="000000"/>
          <w:lang w:eastAsia="en-GB"/>
        </w:rPr>
        <w:t>have been followed up</w:t>
      </w:r>
      <w:proofErr w:type="gramEnd"/>
      <w:r w:rsidR="00E615CE" w:rsidRPr="009B4CC0">
        <w:rPr>
          <w:rFonts w:eastAsia="ヒラギノ角ゴ Pro W3"/>
          <w:u w:color="000000"/>
          <w:lang w:eastAsia="en-GB"/>
        </w:rPr>
        <w:t xml:space="preserve"> by the secretariat through informal consultations with interested parties</w:t>
      </w:r>
      <w:r w:rsidR="001C5F31" w:rsidRPr="009B4CC0">
        <w:rPr>
          <w:rFonts w:eastAsia="ヒラギノ角ゴ Pro W3"/>
          <w:u w:color="000000"/>
          <w:lang w:eastAsia="en-GB"/>
        </w:rPr>
        <w:t xml:space="preserve"> to explore </w:t>
      </w:r>
      <w:r w:rsidR="006F1291" w:rsidRPr="009B4CC0">
        <w:rPr>
          <w:rFonts w:eastAsia="ヒラギノ角ゴ Pro W3"/>
          <w:u w:color="000000"/>
          <w:lang w:eastAsia="en-GB"/>
        </w:rPr>
        <w:t>how it</w:t>
      </w:r>
      <w:r w:rsidR="001C5F31" w:rsidRPr="009B4CC0">
        <w:rPr>
          <w:rFonts w:eastAsia="ヒラギノ角ゴ Pro W3"/>
          <w:u w:color="000000"/>
          <w:lang w:eastAsia="en-GB"/>
        </w:rPr>
        <w:t xml:space="preserve"> would be possible to jointly elaborate the working modalities of the networ</w:t>
      </w:r>
      <w:r w:rsidR="007D07C8">
        <w:rPr>
          <w:rFonts w:eastAsia="ヒラギノ角ゴ Pro W3"/>
          <w:u w:color="000000"/>
          <w:lang w:eastAsia="en-GB"/>
        </w:rPr>
        <w:t>k of n</w:t>
      </w:r>
      <w:r w:rsidR="001C5F31" w:rsidRPr="009B4CC0">
        <w:rPr>
          <w:rFonts w:eastAsia="ヒラギノ角ゴ Pro W3"/>
          <w:u w:color="000000"/>
          <w:lang w:eastAsia="en-GB"/>
        </w:rPr>
        <w:t xml:space="preserve">etworks. From these </w:t>
      </w:r>
      <w:proofErr w:type="gramStart"/>
      <w:r w:rsidR="001C5F31" w:rsidRPr="009B4CC0">
        <w:rPr>
          <w:rFonts w:eastAsia="ヒラギノ角ゴ Pro W3"/>
          <w:u w:color="000000"/>
          <w:lang w:eastAsia="en-GB"/>
        </w:rPr>
        <w:t>discussions</w:t>
      </w:r>
      <w:proofErr w:type="gramEnd"/>
      <w:r w:rsidR="001C5F31" w:rsidRPr="009B4CC0">
        <w:rPr>
          <w:rFonts w:eastAsia="ヒラギノ角ゴ Pro W3"/>
          <w:u w:color="000000"/>
          <w:lang w:eastAsia="en-GB"/>
        </w:rPr>
        <w:t xml:space="preserve"> it has become clear that any final proposal by the Working Group would have to be based on additional consultations to explore how </w:t>
      </w:r>
      <w:r w:rsidR="006F1291" w:rsidRPr="009B4CC0">
        <w:rPr>
          <w:rFonts w:eastAsia="ヒラギノ角ゴ Pro W3"/>
          <w:u w:color="000000"/>
          <w:lang w:eastAsia="en-GB"/>
        </w:rPr>
        <w:t xml:space="preserve">a </w:t>
      </w:r>
      <w:r w:rsidR="001C5F31" w:rsidRPr="009B4CC0">
        <w:rPr>
          <w:rFonts w:eastAsia="ヒラギノ角ゴ Pro W3"/>
          <w:u w:color="000000"/>
          <w:lang w:eastAsia="en-GB"/>
        </w:rPr>
        <w:t>networ</w:t>
      </w:r>
      <w:r w:rsidR="007D07C8">
        <w:rPr>
          <w:rFonts w:eastAsia="ヒラギノ角ゴ Pro W3"/>
          <w:u w:color="000000"/>
          <w:lang w:eastAsia="en-GB"/>
        </w:rPr>
        <w:t>k of n</w:t>
      </w:r>
      <w:r w:rsidR="001C5F31" w:rsidRPr="009B4CC0">
        <w:rPr>
          <w:rFonts w:eastAsia="ヒラギノ角ゴ Pro W3"/>
          <w:u w:color="000000"/>
          <w:lang w:eastAsia="en-GB"/>
        </w:rPr>
        <w:t>etworks could be designed</w:t>
      </w:r>
      <w:r w:rsidR="006F1291" w:rsidRPr="009B4CC0">
        <w:rPr>
          <w:rFonts w:eastAsia="ヒラギノ角ゴ Pro W3"/>
          <w:u w:color="000000"/>
          <w:lang w:eastAsia="en-GB"/>
        </w:rPr>
        <w:t xml:space="preserve"> and operationalized</w:t>
      </w:r>
      <w:r w:rsidR="001C5F31" w:rsidRPr="009B4CC0">
        <w:rPr>
          <w:rFonts w:eastAsia="ヒラギノ角ゴ Pro W3"/>
          <w:u w:color="000000"/>
          <w:lang w:eastAsia="en-GB"/>
        </w:rPr>
        <w:t xml:space="preserve">. </w:t>
      </w:r>
      <w:r w:rsidR="004C229D" w:rsidRPr="009B4CC0">
        <w:rPr>
          <w:rFonts w:eastAsia="ヒラギノ角ゴ Pro W3"/>
          <w:u w:color="000000"/>
          <w:lang w:eastAsia="en-GB"/>
        </w:rPr>
        <w:t xml:space="preserve">This </w:t>
      </w:r>
      <w:r w:rsidR="00AF4FD0">
        <w:rPr>
          <w:rFonts w:eastAsia="ヒラギノ角ゴ Pro W3"/>
          <w:u w:color="000000"/>
          <w:lang w:eastAsia="en-GB"/>
        </w:rPr>
        <w:t xml:space="preserve">is </w:t>
      </w:r>
      <w:r w:rsidR="006F1291" w:rsidRPr="009B4CC0">
        <w:rPr>
          <w:rFonts w:eastAsia="ヒラギノ角ゴ Pro W3"/>
          <w:u w:color="000000"/>
          <w:lang w:eastAsia="en-GB"/>
        </w:rPr>
        <w:t xml:space="preserve">crucial </w:t>
      </w:r>
      <w:r w:rsidR="004C229D" w:rsidRPr="009B4CC0">
        <w:rPr>
          <w:rFonts w:eastAsia="ヒラギノ角ゴ Pro W3"/>
          <w:u w:color="000000"/>
          <w:lang w:eastAsia="en-GB"/>
        </w:rPr>
        <w:t>to ensure that there is sufficient interest and commitment from other networks to take part in the activities</w:t>
      </w:r>
      <w:r w:rsidR="00AF4FD0">
        <w:rPr>
          <w:rFonts w:eastAsia="ヒラギノ角ゴ Pro W3"/>
          <w:u w:color="000000"/>
          <w:lang w:eastAsia="en-GB"/>
        </w:rPr>
        <w:t xml:space="preserve"> foreseen</w:t>
      </w:r>
      <w:r w:rsidR="004C229D" w:rsidRPr="009B4CC0">
        <w:rPr>
          <w:rFonts w:eastAsia="ヒラギノ角ゴ Pro W3"/>
          <w:u w:color="000000"/>
          <w:lang w:eastAsia="en-GB"/>
        </w:rPr>
        <w:t xml:space="preserve">. </w:t>
      </w:r>
    </w:p>
    <w:p w14:paraId="7F8A26A7" w14:textId="1C819B2A" w:rsidR="001C5F31" w:rsidRPr="009B4CC0" w:rsidRDefault="00965BD8" w:rsidP="004C229D">
      <w:pPr>
        <w:pStyle w:val="SingleTxtG"/>
        <w:rPr>
          <w:rFonts w:eastAsia="ヒラギノ角ゴ Pro W3"/>
          <w:u w:color="000000"/>
          <w:lang w:eastAsia="en-GB"/>
        </w:rPr>
      </w:pPr>
      <w:r w:rsidRPr="009B4CC0">
        <w:rPr>
          <w:rFonts w:eastAsia="ヒラギノ角ゴ Pro W3"/>
          <w:u w:color="000000"/>
          <w:lang w:eastAsia="en-GB"/>
        </w:rPr>
        <w:t>5</w:t>
      </w:r>
      <w:r w:rsidR="007F017C">
        <w:rPr>
          <w:rFonts w:eastAsia="ヒラギノ角ゴ Pro W3"/>
          <w:u w:color="000000"/>
          <w:lang w:eastAsia="en-GB"/>
        </w:rPr>
        <w:t>4</w:t>
      </w:r>
      <w:r w:rsidR="004C229D" w:rsidRPr="009B4CC0">
        <w:rPr>
          <w:rFonts w:eastAsia="ヒラギノ角ゴ Pro W3"/>
          <w:u w:color="000000"/>
          <w:lang w:eastAsia="en-GB"/>
        </w:rPr>
        <w:t>.</w:t>
      </w:r>
      <w:r w:rsidR="004C229D" w:rsidRPr="009B4CC0">
        <w:rPr>
          <w:rFonts w:eastAsia="ヒラギノ角ゴ Pro W3"/>
          <w:u w:color="000000"/>
          <w:lang w:eastAsia="en-GB"/>
        </w:rPr>
        <w:tab/>
        <w:t>The formation of a networ</w:t>
      </w:r>
      <w:r w:rsidR="007D07C8">
        <w:rPr>
          <w:rFonts w:eastAsia="ヒラギノ角ゴ Pro W3"/>
          <w:u w:color="000000"/>
          <w:lang w:eastAsia="en-GB"/>
        </w:rPr>
        <w:t>k of n</w:t>
      </w:r>
      <w:r w:rsidR="004C229D" w:rsidRPr="009B4CC0">
        <w:rPr>
          <w:rFonts w:eastAsia="ヒラギノ角ゴ Pro W3"/>
          <w:u w:color="000000"/>
          <w:lang w:eastAsia="en-GB"/>
        </w:rPr>
        <w:t xml:space="preserve">etworks is made more complex </w:t>
      </w:r>
      <w:proofErr w:type="gramStart"/>
      <w:r w:rsidR="004C229D" w:rsidRPr="009B4CC0">
        <w:rPr>
          <w:rFonts w:eastAsia="ヒラギノ角ゴ Pro W3"/>
          <w:u w:color="000000"/>
          <w:lang w:eastAsia="en-GB"/>
        </w:rPr>
        <w:t>due to the</w:t>
      </w:r>
      <w:r w:rsidR="001C5F31" w:rsidRPr="009B4CC0">
        <w:rPr>
          <w:rFonts w:eastAsia="ヒラギノ角ゴ Pro W3"/>
          <w:u w:color="000000"/>
          <w:lang w:eastAsia="en-GB"/>
        </w:rPr>
        <w:t xml:space="preserve"> </w:t>
      </w:r>
      <w:r w:rsidR="004C229D" w:rsidRPr="009B4CC0">
        <w:rPr>
          <w:rFonts w:eastAsia="ヒラギノ角ゴ Pro W3"/>
          <w:u w:color="000000"/>
          <w:lang w:eastAsia="en-GB"/>
        </w:rPr>
        <w:t>fact that</w:t>
      </w:r>
      <w:proofErr w:type="gramEnd"/>
      <w:r w:rsidR="004C229D" w:rsidRPr="009B4CC0">
        <w:rPr>
          <w:rFonts w:eastAsia="ヒラギノ角ゴ Pro W3"/>
          <w:u w:color="000000"/>
          <w:lang w:eastAsia="en-GB"/>
        </w:rPr>
        <w:t xml:space="preserve"> the </w:t>
      </w:r>
      <w:r w:rsidR="00AF4FD0">
        <w:rPr>
          <w:rFonts w:eastAsia="ヒラギノ角ゴ Pro W3"/>
          <w:u w:color="000000"/>
          <w:lang w:eastAsia="en-GB"/>
        </w:rPr>
        <w:t>European Environment Agency</w:t>
      </w:r>
      <w:r w:rsidR="004C229D" w:rsidRPr="009B4CC0">
        <w:rPr>
          <w:rFonts w:eastAsia="ヒラギノ角ゴ Pro W3"/>
          <w:u w:color="000000"/>
          <w:lang w:eastAsia="en-GB"/>
        </w:rPr>
        <w:t xml:space="preserve"> and</w:t>
      </w:r>
      <w:r w:rsidR="00C364E7" w:rsidRPr="009B4CC0">
        <w:rPr>
          <w:rFonts w:eastAsia="ヒラギノ角ゴ Pro W3"/>
          <w:u w:color="000000"/>
          <w:lang w:eastAsia="en-GB"/>
        </w:rPr>
        <w:t xml:space="preserve"> its</w:t>
      </w:r>
      <w:r w:rsidR="004C229D" w:rsidRPr="009B4CC0">
        <w:rPr>
          <w:rFonts w:eastAsia="ヒラギノ角ゴ Pro W3"/>
          <w:u w:color="000000"/>
          <w:lang w:eastAsia="en-GB"/>
        </w:rPr>
        <w:t xml:space="preserve"> </w:t>
      </w:r>
      <w:proofErr w:type="spellStart"/>
      <w:r w:rsidR="004C229D" w:rsidRPr="009B4CC0">
        <w:rPr>
          <w:rFonts w:eastAsia="ヒラギノ角ゴ Pro W3"/>
          <w:u w:color="000000"/>
          <w:lang w:eastAsia="en-GB"/>
        </w:rPr>
        <w:t>Eionet</w:t>
      </w:r>
      <w:proofErr w:type="spellEnd"/>
      <w:r w:rsidR="004C229D" w:rsidRPr="009B4CC0">
        <w:rPr>
          <w:rFonts w:eastAsia="ヒラギノ角ゴ Pro W3"/>
          <w:u w:color="000000"/>
          <w:lang w:eastAsia="en-GB"/>
        </w:rPr>
        <w:t xml:space="preserve"> </w:t>
      </w:r>
      <w:r w:rsidR="00AF4FD0">
        <w:rPr>
          <w:rFonts w:eastAsia="ヒラギノ角ゴ Pro W3"/>
          <w:u w:color="000000"/>
          <w:lang w:eastAsia="en-GB"/>
        </w:rPr>
        <w:t xml:space="preserve">are </w:t>
      </w:r>
      <w:r w:rsidR="001C5F31" w:rsidRPr="009B4CC0">
        <w:rPr>
          <w:rFonts w:eastAsia="ヒラギノ角ゴ Pro W3"/>
          <w:u w:color="000000"/>
          <w:lang w:eastAsia="en-GB"/>
        </w:rPr>
        <w:t>presently undergoing an evaluation</w:t>
      </w:r>
      <w:r w:rsidR="006F1291" w:rsidRPr="009B4CC0">
        <w:rPr>
          <w:rFonts w:eastAsia="ヒラギノ角ゴ Pro W3"/>
          <w:u w:color="000000"/>
          <w:lang w:eastAsia="en-GB"/>
        </w:rPr>
        <w:t>. This is</w:t>
      </w:r>
      <w:r w:rsidR="004C229D" w:rsidRPr="009B4CC0">
        <w:rPr>
          <w:rFonts w:eastAsia="ヒラギノ角ゴ Pro W3"/>
          <w:u w:color="000000"/>
          <w:lang w:eastAsia="en-GB"/>
        </w:rPr>
        <w:t xml:space="preserve"> part of a regular</w:t>
      </w:r>
      <w:r w:rsidR="00616FF8">
        <w:rPr>
          <w:rFonts w:eastAsia="ヒラギノ角ゴ Pro W3"/>
          <w:u w:color="000000"/>
          <w:lang w:eastAsia="en-GB"/>
        </w:rPr>
        <w:t xml:space="preserve"> evaluation, every five year, </w:t>
      </w:r>
      <w:r w:rsidR="006F1291" w:rsidRPr="009B4CC0">
        <w:rPr>
          <w:rFonts w:eastAsia="ヒラギノ角ゴ Pro W3"/>
          <w:u w:color="000000"/>
          <w:lang w:eastAsia="en-GB"/>
        </w:rPr>
        <w:t xml:space="preserve">and </w:t>
      </w:r>
      <w:r w:rsidR="001C5F31" w:rsidRPr="009B4CC0">
        <w:rPr>
          <w:rFonts w:eastAsia="ヒラギノ角ゴ Pro W3"/>
          <w:u w:color="000000"/>
          <w:lang w:eastAsia="en-GB"/>
        </w:rPr>
        <w:t xml:space="preserve">may result in changes to </w:t>
      </w:r>
      <w:r w:rsidR="00AF4FD0">
        <w:rPr>
          <w:rFonts w:eastAsia="ヒラギノ角ゴ Pro W3"/>
          <w:u w:color="000000"/>
          <w:lang w:eastAsia="en-GB"/>
        </w:rPr>
        <w:t xml:space="preserve">the Agency’s </w:t>
      </w:r>
      <w:r w:rsidR="001C5F31" w:rsidRPr="009B4CC0">
        <w:rPr>
          <w:rFonts w:eastAsia="ヒラギノ角ゴ Pro W3"/>
          <w:u w:color="000000"/>
          <w:lang w:eastAsia="en-GB"/>
        </w:rPr>
        <w:t xml:space="preserve">mandate and functions. </w:t>
      </w:r>
      <w:r w:rsidR="00AF4FD0">
        <w:rPr>
          <w:rFonts w:eastAsia="ヒラギノ角ゴ Pro W3"/>
          <w:u w:color="000000"/>
          <w:lang w:eastAsia="en-GB"/>
        </w:rPr>
        <w:t>I</w:t>
      </w:r>
      <w:r w:rsidR="00C364E7" w:rsidRPr="009B4CC0">
        <w:rPr>
          <w:rFonts w:eastAsia="ヒラギノ角ゴ Pro W3"/>
          <w:u w:color="000000"/>
          <w:lang w:eastAsia="en-GB"/>
        </w:rPr>
        <w:t>t</w:t>
      </w:r>
      <w:r w:rsidR="004C229D" w:rsidRPr="009B4CC0">
        <w:rPr>
          <w:rFonts w:eastAsia="ヒラギノ角ゴ Pro W3"/>
          <w:u w:color="000000"/>
          <w:lang w:eastAsia="en-GB"/>
        </w:rPr>
        <w:t xml:space="preserve"> </w:t>
      </w:r>
      <w:r w:rsidR="00AF4FD0">
        <w:rPr>
          <w:rFonts w:eastAsia="ヒラギノ角ゴ Pro W3"/>
          <w:u w:color="000000"/>
          <w:lang w:eastAsia="en-GB"/>
        </w:rPr>
        <w:t xml:space="preserve">is </w:t>
      </w:r>
      <w:r w:rsidR="004C229D" w:rsidRPr="009B4CC0">
        <w:rPr>
          <w:rFonts w:eastAsia="ヒラギノ角ゴ Pro W3"/>
          <w:u w:color="000000"/>
          <w:lang w:eastAsia="en-GB"/>
        </w:rPr>
        <w:t>di</w:t>
      </w:r>
      <w:r w:rsidR="00C364E7" w:rsidRPr="009B4CC0">
        <w:rPr>
          <w:rFonts w:eastAsia="ヒラギノ角ゴ Pro W3"/>
          <w:u w:color="000000"/>
          <w:lang w:eastAsia="en-GB"/>
        </w:rPr>
        <w:t xml:space="preserve">fficult to </w:t>
      </w:r>
      <w:r w:rsidR="00AF4FD0">
        <w:rPr>
          <w:rFonts w:eastAsia="ヒラギノ角ゴ Pro W3"/>
          <w:u w:color="000000"/>
          <w:lang w:eastAsia="en-GB"/>
        </w:rPr>
        <w:t xml:space="preserve">obtain </w:t>
      </w:r>
      <w:r w:rsidR="00C364E7" w:rsidRPr="009B4CC0">
        <w:rPr>
          <w:rFonts w:eastAsia="ヒラギノ角ゴ Pro W3"/>
          <w:u w:color="000000"/>
          <w:lang w:eastAsia="en-GB"/>
        </w:rPr>
        <w:t>any significant commitments</w:t>
      </w:r>
      <w:r w:rsidR="004C229D" w:rsidRPr="009B4CC0">
        <w:rPr>
          <w:rFonts w:eastAsia="ヒラギノ角ゴ Pro W3"/>
          <w:u w:color="000000"/>
          <w:lang w:eastAsia="en-GB"/>
        </w:rPr>
        <w:t xml:space="preserve"> until this process </w:t>
      </w:r>
      <w:proofErr w:type="gramStart"/>
      <w:r w:rsidR="004C229D" w:rsidRPr="009B4CC0">
        <w:rPr>
          <w:rFonts w:eastAsia="ヒラギノ角ゴ Pro W3"/>
          <w:u w:color="000000"/>
          <w:lang w:eastAsia="en-GB"/>
        </w:rPr>
        <w:t>has been finali</w:t>
      </w:r>
      <w:r w:rsidR="00AF4FD0">
        <w:rPr>
          <w:rFonts w:eastAsia="ヒラギノ角ゴ Pro W3"/>
          <w:u w:color="000000"/>
          <w:lang w:eastAsia="en-GB"/>
        </w:rPr>
        <w:t>z</w:t>
      </w:r>
      <w:r w:rsidR="004C229D" w:rsidRPr="009B4CC0">
        <w:rPr>
          <w:rFonts w:eastAsia="ヒラギノ角ゴ Pro W3"/>
          <w:u w:color="000000"/>
          <w:lang w:eastAsia="en-GB"/>
        </w:rPr>
        <w:t>ed</w:t>
      </w:r>
      <w:proofErr w:type="gramEnd"/>
      <w:r w:rsidR="004C229D" w:rsidRPr="009B4CC0">
        <w:rPr>
          <w:rFonts w:eastAsia="ヒラギノ角ゴ Pro W3"/>
          <w:u w:color="000000"/>
          <w:lang w:eastAsia="en-GB"/>
        </w:rPr>
        <w:t xml:space="preserve">. </w:t>
      </w:r>
      <w:r w:rsidR="001C5F31" w:rsidRPr="009B4CC0">
        <w:rPr>
          <w:rFonts w:eastAsia="ヒラギノ角ゴ Pro W3"/>
          <w:lang w:eastAsia="en-GB"/>
        </w:rPr>
        <w:t xml:space="preserve">It would furthermore be relevant to include other organizations in the discussion </w:t>
      </w:r>
      <w:r w:rsidR="00AF4FD0">
        <w:rPr>
          <w:rFonts w:eastAsia="ヒラギノ角ゴ Pro W3"/>
          <w:lang w:eastAsia="en-GB"/>
        </w:rPr>
        <w:t xml:space="preserve">on </w:t>
      </w:r>
      <w:r w:rsidR="001C5F31" w:rsidRPr="009B4CC0">
        <w:rPr>
          <w:rFonts w:eastAsia="ヒラギノ角ゴ Pro W3"/>
          <w:lang w:eastAsia="en-GB"/>
        </w:rPr>
        <w:t>and preparation of the working modalities of the networ</w:t>
      </w:r>
      <w:r w:rsidR="007D07C8">
        <w:rPr>
          <w:rFonts w:eastAsia="ヒラギノ角ゴ Pro W3"/>
          <w:lang w:eastAsia="en-GB"/>
        </w:rPr>
        <w:t>k of n</w:t>
      </w:r>
      <w:r w:rsidR="004C229D" w:rsidRPr="009B4CC0">
        <w:rPr>
          <w:rFonts w:eastAsia="ヒラギノ角ゴ Pro W3"/>
          <w:lang w:eastAsia="en-GB"/>
        </w:rPr>
        <w:t>etworks. This could include, for example,</w:t>
      </w:r>
      <w:r w:rsidR="001C5F31" w:rsidRPr="009B4CC0">
        <w:rPr>
          <w:rFonts w:eastAsia="ヒラギノ角ゴ Pro W3"/>
          <w:lang w:eastAsia="en-GB"/>
        </w:rPr>
        <w:t xml:space="preserve"> the </w:t>
      </w:r>
      <w:r w:rsidR="001C5F31" w:rsidRPr="009B4CC0">
        <w:t>Group o</w:t>
      </w:r>
      <w:r w:rsidR="00AF4FD0">
        <w:t>n</w:t>
      </w:r>
      <w:r w:rsidR="001C5F31" w:rsidRPr="009B4CC0">
        <w:t xml:space="preserve"> Earth Observations, as part of </w:t>
      </w:r>
      <w:r w:rsidR="004C229D" w:rsidRPr="009B4CC0">
        <w:t xml:space="preserve">an effort to </w:t>
      </w:r>
      <w:r w:rsidR="00C364E7" w:rsidRPr="009B4CC0">
        <w:t xml:space="preserve">reach out and </w:t>
      </w:r>
      <w:r w:rsidR="004C229D" w:rsidRPr="009B4CC0">
        <w:t xml:space="preserve">involve other </w:t>
      </w:r>
      <w:r w:rsidR="00C364E7" w:rsidRPr="009B4CC0">
        <w:t xml:space="preserve">relevant </w:t>
      </w:r>
      <w:r w:rsidR="004C229D" w:rsidRPr="009B4CC0">
        <w:t xml:space="preserve">networks. </w:t>
      </w:r>
      <w:r w:rsidR="00114884" w:rsidRPr="009B4CC0">
        <w:t xml:space="preserve">Taking all of this into account means that more time and preparation </w:t>
      </w:r>
      <w:r w:rsidR="000E3AAA">
        <w:t xml:space="preserve">will </w:t>
      </w:r>
      <w:r w:rsidR="00114884" w:rsidRPr="009B4CC0">
        <w:t xml:space="preserve">be necessary before a final proposal </w:t>
      </w:r>
      <w:proofErr w:type="gramStart"/>
      <w:r w:rsidR="00114884" w:rsidRPr="009B4CC0">
        <w:t>is put</w:t>
      </w:r>
      <w:proofErr w:type="gramEnd"/>
      <w:r w:rsidR="00114884" w:rsidRPr="009B4CC0">
        <w:t xml:space="preserve"> forward to the </w:t>
      </w:r>
      <w:r w:rsidR="00AF4FD0">
        <w:t>C</w:t>
      </w:r>
      <w:r w:rsidR="00114884" w:rsidRPr="009B4CC0">
        <w:t>ommittee.</w:t>
      </w:r>
    </w:p>
    <w:p w14:paraId="6220C6FA" w14:textId="79F1EB96" w:rsidR="00D91516" w:rsidRPr="009B4CC0" w:rsidRDefault="004E5568" w:rsidP="00D91516">
      <w:pPr>
        <w:pStyle w:val="SingleTxtG"/>
        <w:rPr>
          <w:rFonts w:eastAsia="ヒラギノ角ゴ Pro W3"/>
          <w:u w:color="000000"/>
          <w:lang w:eastAsia="en-GB"/>
        </w:rPr>
      </w:pPr>
      <w:r w:rsidRPr="009B4CC0">
        <w:rPr>
          <w:rFonts w:eastAsia="ヒラギノ角ゴ Pro W3"/>
          <w:u w:color="000000"/>
          <w:lang w:eastAsia="en-GB"/>
        </w:rPr>
        <w:t>5</w:t>
      </w:r>
      <w:r w:rsidR="007F017C">
        <w:rPr>
          <w:rFonts w:eastAsia="ヒラギノ角ゴ Pro W3"/>
          <w:u w:color="000000"/>
          <w:lang w:eastAsia="en-GB"/>
        </w:rPr>
        <w:t>5</w:t>
      </w:r>
      <w:r w:rsidRPr="009B4CC0">
        <w:rPr>
          <w:rFonts w:eastAsia="ヒラギノ角ゴ Pro W3"/>
          <w:u w:color="000000"/>
          <w:lang w:eastAsia="en-GB"/>
        </w:rPr>
        <w:t>.</w:t>
      </w:r>
      <w:r w:rsidRPr="009B4CC0">
        <w:rPr>
          <w:rFonts w:eastAsia="ヒラギノ角ゴ Pro W3"/>
          <w:u w:color="000000"/>
          <w:lang w:eastAsia="en-GB"/>
        </w:rPr>
        <w:tab/>
      </w:r>
      <w:r w:rsidR="00D91516" w:rsidRPr="009B4CC0">
        <w:rPr>
          <w:rFonts w:eastAsia="ヒラギノ角ゴ Pro W3"/>
          <w:u w:color="000000"/>
          <w:lang w:eastAsia="en-GB"/>
        </w:rPr>
        <w:t xml:space="preserve">The intent </w:t>
      </w:r>
      <w:r w:rsidR="000E3AAA">
        <w:rPr>
          <w:rFonts w:eastAsia="ヒラギノ角ゴ Pro W3"/>
          <w:u w:color="000000"/>
          <w:lang w:eastAsia="en-GB"/>
        </w:rPr>
        <w:t xml:space="preserve">is </w:t>
      </w:r>
      <w:r w:rsidR="00D91516" w:rsidRPr="009B4CC0">
        <w:rPr>
          <w:rFonts w:eastAsia="ヒラギノ角ゴ Pro W3"/>
          <w:u w:color="000000"/>
          <w:lang w:eastAsia="en-GB"/>
        </w:rPr>
        <w:t>to organi</w:t>
      </w:r>
      <w:r w:rsidR="00AF4FD0">
        <w:rPr>
          <w:rFonts w:eastAsia="ヒラギノ角ゴ Pro W3"/>
          <w:u w:color="000000"/>
          <w:lang w:eastAsia="en-GB"/>
        </w:rPr>
        <w:t>z</w:t>
      </w:r>
      <w:r w:rsidR="00D91516" w:rsidRPr="009B4CC0">
        <w:rPr>
          <w:rFonts w:eastAsia="ヒラギノ角ゴ Pro W3"/>
          <w:u w:color="000000"/>
          <w:lang w:eastAsia="en-GB"/>
        </w:rPr>
        <w:t xml:space="preserve">e a foresight-oriented workshop that </w:t>
      </w:r>
      <w:r w:rsidR="000E3AAA">
        <w:rPr>
          <w:rFonts w:eastAsia="ヒラギノ角ゴ Pro W3"/>
          <w:u w:color="000000"/>
          <w:lang w:eastAsia="en-GB"/>
        </w:rPr>
        <w:t xml:space="preserve">will </w:t>
      </w:r>
      <w:r w:rsidR="00D91516" w:rsidRPr="009B4CC0">
        <w:rPr>
          <w:rFonts w:eastAsia="ヒラギノ角ゴ Pro W3"/>
          <w:u w:color="000000"/>
          <w:lang w:eastAsia="en-GB"/>
        </w:rPr>
        <w:t xml:space="preserve">address the feasibility of </w:t>
      </w:r>
      <w:r w:rsidRPr="009B4CC0">
        <w:rPr>
          <w:rFonts w:eastAsia="ヒラギノ角ゴ Pro W3"/>
          <w:u w:color="000000"/>
          <w:lang w:eastAsia="en-GB"/>
        </w:rPr>
        <w:t>operationalizing</w:t>
      </w:r>
      <w:r w:rsidR="00D91516" w:rsidRPr="009B4CC0">
        <w:rPr>
          <w:rFonts w:eastAsia="ヒラギノ角ゴ Pro W3"/>
          <w:u w:color="000000"/>
          <w:lang w:eastAsia="en-GB"/>
        </w:rPr>
        <w:t xml:space="preserve"> a networ</w:t>
      </w:r>
      <w:r w:rsidR="007D07C8">
        <w:rPr>
          <w:rFonts w:eastAsia="ヒラギノ角ゴ Pro W3"/>
          <w:u w:color="000000"/>
          <w:lang w:eastAsia="en-GB"/>
        </w:rPr>
        <w:t>k of n</w:t>
      </w:r>
      <w:r w:rsidR="00D91516" w:rsidRPr="009B4CC0">
        <w:rPr>
          <w:rFonts w:eastAsia="ヒラギノ角ゴ Pro W3"/>
          <w:u w:color="000000"/>
          <w:lang w:eastAsia="en-GB"/>
        </w:rPr>
        <w:t>etworks (e.g.</w:t>
      </w:r>
      <w:r w:rsidR="00AF4FD0">
        <w:rPr>
          <w:rFonts w:eastAsia="ヒラギノ角ゴ Pro W3"/>
          <w:u w:color="000000"/>
          <w:lang w:eastAsia="en-GB"/>
        </w:rPr>
        <w:t>,</w:t>
      </w:r>
      <w:r w:rsidR="00D91516" w:rsidRPr="009B4CC0">
        <w:rPr>
          <w:rFonts w:eastAsia="ヒラギノ角ゴ Pro W3"/>
          <w:u w:color="000000"/>
          <w:lang w:eastAsia="en-GB"/>
        </w:rPr>
        <w:t xml:space="preserve"> financially and practically) and to </w:t>
      </w:r>
      <w:r w:rsidR="00DC3B56">
        <w:rPr>
          <w:rFonts w:eastAsia="ヒラギノ角ゴ Pro W3"/>
          <w:u w:color="000000"/>
          <w:lang w:eastAsia="en-GB"/>
        </w:rPr>
        <w:t xml:space="preserve">determine </w:t>
      </w:r>
      <w:r w:rsidR="00D91516" w:rsidRPr="009B4CC0">
        <w:rPr>
          <w:rFonts w:eastAsia="ヒラギノ角ゴ Pro W3"/>
          <w:u w:color="000000"/>
          <w:lang w:eastAsia="en-GB"/>
        </w:rPr>
        <w:t xml:space="preserve">the appropriate way </w:t>
      </w:r>
      <w:r w:rsidR="00DC3B56">
        <w:rPr>
          <w:rFonts w:eastAsia="ヒラギノ角ゴ Pro W3"/>
          <w:u w:color="000000"/>
          <w:lang w:eastAsia="en-GB"/>
        </w:rPr>
        <w:t xml:space="preserve">for </w:t>
      </w:r>
      <w:r w:rsidR="00D91516" w:rsidRPr="009B4CC0">
        <w:rPr>
          <w:rFonts w:eastAsia="ヒラギノ角ゴ Pro W3"/>
          <w:u w:color="000000"/>
          <w:lang w:eastAsia="en-GB"/>
        </w:rPr>
        <w:t xml:space="preserve">this </w:t>
      </w:r>
      <w:r w:rsidR="00DC3B56">
        <w:rPr>
          <w:rFonts w:eastAsia="ヒラギノ角ゴ Pro W3"/>
          <w:u w:color="000000"/>
          <w:lang w:eastAsia="en-GB"/>
        </w:rPr>
        <w:t xml:space="preserve">to </w:t>
      </w:r>
      <w:r w:rsidR="00D91516" w:rsidRPr="009B4CC0">
        <w:rPr>
          <w:rFonts w:eastAsia="ヒラギノ角ゴ Pro W3"/>
          <w:u w:color="000000"/>
          <w:lang w:eastAsia="en-GB"/>
        </w:rPr>
        <w:t xml:space="preserve">be accomplished. </w:t>
      </w:r>
      <w:proofErr w:type="gramStart"/>
      <w:r w:rsidR="00DC3B56">
        <w:rPr>
          <w:rFonts w:eastAsia="ヒラギノ角ゴ Pro W3"/>
          <w:u w:color="000000"/>
          <w:lang w:eastAsia="en-GB"/>
        </w:rPr>
        <w:t xml:space="preserve">Recognizing </w:t>
      </w:r>
      <w:r w:rsidR="00D91516" w:rsidRPr="009B4CC0">
        <w:rPr>
          <w:rFonts w:eastAsia="ヒラギノ角ゴ Pro W3"/>
          <w:u w:color="000000"/>
          <w:lang w:eastAsia="en-GB"/>
        </w:rPr>
        <w:t>that any networ</w:t>
      </w:r>
      <w:r w:rsidR="007D07C8">
        <w:rPr>
          <w:rFonts w:eastAsia="ヒラギノ角ゴ Pro W3"/>
          <w:u w:color="000000"/>
          <w:lang w:eastAsia="en-GB"/>
        </w:rPr>
        <w:t>k of n</w:t>
      </w:r>
      <w:r w:rsidR="00D91516" w:rsidRPr="009B4CC0">
        <w:rPr>
          <w:rFonts w:eastAsia="ヒラギノ角ゴ Pro W3"/>
          <w:u w:color="000000"/>
          <w:lang w:eastAsia="en-GB"/>
        </w:rPr>
        <w:t>etwork</w:t>
      </w:r>
      <w:r w:rsidR="00DC3B56">
        <w:rPr>
          <w:rFonts w:eastAsia="ヒラギノ角ゴ Pro W3"/>
          <w:u w:color="000000"/>
          <w:lang w:eastAsia="en-GB"/>
        </w:rPr>
        <w:t>s</w:t>
      </w:r>
      <w:r w:rsidR="00D91516" w:rsidRPr="009B4CC0">
        <w:rPr>
          <w:rFonts w:eastAsia="ヒラギノ角ゴ Pro W3"/>
          <w:u w:color="000000"/>
          <w:lang w:eastAsia="en-GB"/>
        </w:rPr>
        <w:t xml:space="preserve"> would be dependent on the commitment and willingness of its members</w:t>
      </w:r>
      <w:r w:rsidR="00DC3B56">
        <w:rPr>
          <w:rFonts w:eastAsia="ヒラギノ角ゴ Pro W3"/>
          <w:u w:color="000000"/>
          <w:lang w:eastAsia="en-GB"/>
        </w:rPr>
        <w:t>,</w:t>
      </w:r>
      <w:proofErr w:type="gramEnd"/>
      <w:r w:rsidR="00D91516" w:rsidRPr="009B4CC0">
        <w:rPr>
          <w:rFonts w:eastAsia="ヒラギノ角ゴ Pro W3"/>
          <w:u w:color="000000"/>
          <w:lang w:eastAsia="en-GB"/>
        </w:rPr>
        <w:t xml:space="preserve"> </w:t>
      </w:r>
      <w:proofErr w:type="gramStart"/>
      <w:r w:rsidR="00DC3B56">
        <w:rPr>
          <w:rFonts w:eastAsia="ヒラギノ角ゴ Pro W3"/>
          <w:u w:color="000000"/>
          <w:lang w:eastAsia="en-GB"/>
        </w:rPr>
        <w:t>i</w:t>
      </w:r>
      <w:r w:rsidR="00D91516" w:rsidRPr="009B4CC0">
        <w:rPr>
          <w:rFonts w:eastAsia="ヒラギノ角ゴ Pro W3"/>
          <w:u w:color="000000"/>
          <w:lang w:eastAsia="en-GB"/>
        </w:rPr>
        <w:t>t</w:t>
      </w:r>
      <w:proofErr w:type="gramEnd"/>
      <w:r w:rsidR="00D91516" w:rsidRPr="009B4CC0">
        <w:rPr>
          <w:rFonts w:eastAsia="ヒラギノ角ゴ Pro W3"/>
          <w:u w:color="000000"/>
          <w:lang w:eastAsia="en-GB"/>
        </w:rPr>
        <w:t xml:space="preserve"> </w:t>
      </w:r>
      <w:r w:rsidR="00DC3B56">
        <w:rPr>
          <w:rFonts w:eastAsia="ヒラギノ角ゴ Pro W3"/>
          <w:u w:color="000000"/>
          <w:lang w:eastAsia="en-GB"/>
        </w:rPr>
        <w:t xml:space="preserve">will </w:t>
      </w:r>
      <w:r w:rsidR="00D91516" w:rsidRPr="009B4CC0">
        <w:rPr>
          <w:rFonts w:eastAsia="ヒラギノ角ゴ Pro W3"/>
          <w:u w:color="000000"/>
          <w:lang w:eastAsia="en-GB"/>
        </w:rPr>
        <w:t>be essential to engage all relevant actors in a collaborative effort to establish the working modalities of the networ</w:t>
      </w:r>
      <w:r w:rsidR="007D07C8">
        <w:rPr>
          <w:rFonts w:eastAsia="ヒラギノ角ゴ Pro W3"/>
          <w:u w:color="000000"/>
          <w:lang w:eastAsia="en-GB"/>
        </w:rPr>
        <w:t>k of n</w:t>
      </w:r>
      <w:r w:rsidR="00D91516" w:rsidRPr="009B4CC0">
        <w:rPr>
          <w:rFonts w:eastAsia="ヒラギノ角ゴ Pro W3"/>
          <w:u w:color="000000"/>
          <w:lang w:eastAsia="en-GB"/>
        </w:rPr>
        <w:t>etworks.</w:t>
      </w:r>
    </w:p>
    <w:p w14:paraId="2E9268FA" w14:textId="66EB3230" w:rsidR="00D91516" w:rsidRPr="009B4CC0" w:rsidRDefault="004E5568" w:rsidP="004E5568">
      <w:pPr>
        <w:pStyle w:val="SingleTxtG"/>
        <w:rPr>
          <w:rFonts w:eastAsia="ヒラギノ角ゴ Pro W3"/>
          <w:u w:color="000000"/>
          <w:lang w:eastAsia="en-GB"/>
        </w:rPr>
      </w:pPr>
      <w:r w:rsidRPr="009B4CC0">
        <w:rPr>
          <w:rFonts w:eastAsia="ヒラギノ角ゴ Pro W3"/>
          <w:u w:color="000000"/>
          <w:lang w:eastAsia="en-GB"/>
        </w:rPr>
        <w:t>5</w:t>
      </w:r>
      <w:r w:rsidR="007F017C">
        <w:rPr>
          <w:rFonts w:eastAsia="ヒラギノ角ゴ Pro W3"/>
          <w:u w:color="000000"/>
          <w:lang w:eastAsia="en-GB"/>
        </w:rPr>
        <w:t>6</w:t>
      </w:r>
      <w:r w:rsidRPr="009B4CC0">
        <w:rPr>
          <w:rFonts w:eastAsia="ヒラギノ角ゴ Pro W3"/>
          <w:u w:color="000000"/>
          <w:lang w:eastAsia="en-GB"/>
        </w:rPr>
        <w:t>.</w:t>
      </w:r>
      <w:r w:rsidRPr="009B4CC0">
        <w:rPr>
          <w:rFonts w:eastAsia="ヒラギノ角ゴ Pro W3"/>
          <w:u w:color="000000"/>
          <w:lang w:eastAsia="en-GB"/>
        </w:rPr>
        <w:tab/>
      </w:r>
      <w:r w:rsidR="00D91516" w:rsidRPr="009B4CC0">
        <w:rPr>
          <w:rFonts w:eastAsia="ヒラギノ角ゴ Pro W3"/>
          <w:u w:color="000000"/>
          <w:lang w:eastAsia="en-GB"/>
        </w:rPr>
        <w:t xml:space="preserve">It </w:t>
      </w:r>
      <w:proofErr w:type="gramStart"/>
      <w:r w:rsidR="00D91516" w:rsidRPr="009B4CC0">
        <w:rPr>
          <w:rFonts w:eastAsia="ヒラギノ角ゴ Pro W3"/>
          <w:u w:color="000000"/>
          <w:lang w:eastAsia="en-GB"/>
        </w:rPr>
        <w:t>is foreseen</w:t>
      </w:r>
      <w:proofErr w:type="gramEnd"/>
      <w:r w:rsidR="00D91516" w:rsidRPr="009B4CC0">
        <w:rPr>
          <w:rFonts w:eastAsia="ヒラギノ角ゴ Pro W3"/>
          <w:u w:color="000000"/>
          <w:lang w:eastAsia="en-GB"/>
        </w:rPr>
        <w:t xml:space="preserve"> that the foresight-oriented workshop </w:t>
      </w:r>
      <w:r w:rsidR="00DC3B56">
        <w:rPr>
          <w:rFonts w:eastAsia="ヒラギノ角ゴ Pro W3"/>
          <w:u w:color="000000"/>
          <w:lang w:eastAsia="en-GB"/>
        </w:rPr>
        <w:t xml:space="preserve">will </w:t>
      </w:r>
      <w:r w:rsidR="00D91516" w:rsidRPr="009B4CC0">
        <w:rPr>
          <w:rFonts w:eastAsia="ヒラギノ角ゴ Pro W3"/>
          <w:u w:color="000000"/>
          <w:lang w:eastAsia="en-GB"/>
        </w:rPr>
        <w:t>be organi</w:t>
      </w:r>
      <w:r w:rsidR="00DC3B56">
        <w:rPr>
          <w:rFonts w:eastAsia="ヒラギノ角ゴ Pro W3"/>
          <w:u w:color="000000"/>
          <w:lang w:eastAsia="en-GB"/>
        </w:rPr>
        <w:t>z</w:t>
      </w:r>
      <w:r w:rsidR="00D91516" w:rsidRPr="009B4CC0">
        <w:rPr>
          <w:rFonts w:eastAsia="ヒラギノ角ゴ Pro W3"/>
          <w:u w:color="000000"/>
          <w:lang w:eastAsia="en-GB"/>
        </w:rPr>
        <w:t xml:space="preserve">ed in connection with the nineteenth session of the Working Group in June 2017. The output from this work </w:t>
      </w:r>
      <w:r w:rsidR="00DC3B56">
        <w:rPr>
          <w:rFonts w:eastAsia="ヒラギノ角ゴ Pro W3"/>
          <w:u w:color="000000"/>
          <w:lang w:eastAsia="en-GB"/>
        </w:rPr>
        <w:t xml:space="preserve">will </w:t>
      </w:r>
      <w:r w:rsidR="00D91516" w:rsidRPr="009B4CC0">
        <w:rPr>
          <w:rFonts w:eastAsia="ヒラギノ角ゴ Pro W3"/>
          <w:u w:color="000000"/>
          <w:lang w:eastAsia="en-GB"/>
        </w:rPr>
        <w:t>be a</w:t>
      </w:r>
      <w:r w:rsidRPr="009B4CC0">
        <w:rPr>
          <w:rFonts w:eastAsia="ヒラギノ角ゴ Pro W3"/>
          <w:u w:color="000000"/>
          <w:lang w:eastAsia="en-GB"/>
        </w:rPr>
        <w:t xml:space="preserve"> strategic document on the establishment of a networ</w:t>
      </w:r>
      <w:r w:rsidR="007D07C8">
        <w:rPr>
          <w:rFonts w:eastAsia="ヒラギノ角ゴ Pro W3"/>
          <w:u w:color="000000"/>
          <w:lang w:eastAsia="en-GB"/>
        </w:rPr>
        <w:t>k of n</w:t>
      </w:r>
      <w:r w:rsidRPr="009B4CC0">
        <w:rPr>
          <w:rFonts w:eastAsia="ヒラギノ角ゴ Pro W3"/>
          <w:u w:color="000000"/>
          <w:lang w:eastAsia="en-GB"/>
        </w:rPr>
        <w:t>etwork</w:t>
      </w:r>
      <w:r w:rsidR="00DC3B56">
        <w:rPr>
          <w:rFonts w:eastAsia="ヒラギノ角ゴ Pro W3"/>
          <w:u w:color="000000"/>
          <w:lang w:eastAsia="en-GB"/>
        </w:rPr>
        <w:t>s</w:t>
      </w:r>
      <w:r w:rsidRPr="009B4CC0">
        <w:rPr>
          <w:rFonts w:eastAsia="ヒラギノ角ゴ Pro W3"/>
          <w:u w:color="000000"/>
          <w:lang w:eastAsia="en-GB"/>
        </w:rPr>
        <w:t xml:space="preserve"> to </w:t>
      </w:r>
      <w:proofErr w:type="gramStart"/>
      <w:r w:rsidRPr="009B4CC0">
        <w:rPr>
          <w:rFonts w:eastAsia="ヒラギノ角ゴ Pro W3"/>
          <w:u w:color="000000"/>
          <w:lang w:eastAsia="en-GB"/>
        </w:rPr>
        <w:t>be presented</w:t>
      </w:r>
      <w:proofErr w:type="gramEnd"/>
      <w:r w:rsidRPr="009B4CC0">
        <w:rPr>
          <w:rFonts w:eastAsia="ヒラギノ角ゴ Pro W3"/>
          <w:u w:color="000000"/>
          <w:lang w:eastAsia="en-GB"/>
        </w:rPr>
        <w:t xml:space="preserve"> at the next session of the Committee for its consideration. </w:t>
      </w:r>
    </w:p>
    <w:p w14:paraId="154C04A9" w14:textId="7B04B8F3" w:rsidR="00A80B0D" w:rsidRPr="009B4CC0" w:rsidRDefault="00A80B0D" w:rsidP="00E40513">
      <w:pPr>
        <w:pStyle w:val="HChG"/>
        <w:spacing w:after="120"/>
        <w:rPr>
          <w:rFonts w:eastAsia="ヒラギノ角ゴ Pro W3"/>
          <w:color w:val="000000"/>
          <w:lang w:eastAsia="en-GB"/>
        </w:rPr>
      </w:pPr>
      <w:r w:rsidRPr="009B4CC0">
        <w:br w:type="page"/>
      </w:r>
      <w:r w:rsidRPr="009B4CC0">
        <w:rPr>
          <w:rFonts w:eastAsia="ヒラギノ角ゴ Pro W3"/>
          <w:lang w:eastAsia="en-GB"/>
        </w:rPr>
        <w:t>Annex</w:t>
      </w:r>
    </w:p>
    <w:p w14:paraId="205B7F12" w14:textId="62C0B36D" w:rsidR="002C6F1C" w:rsidRPr="009B4CC0" w:rsidRDefault="003120D0" w:rsidP="002C6F1C">
      <w:pPr>
        <w:pStyle w:val="HChG"/>
        <w:spacing w:before="120"/>
        <w:rPr>
          <w:u w:color="000000"/>
          <w:lang w:eastAsia="en-GB"/>
        </w:rPr>
      </w:pPr>
      <w:r w:rsidRPr="009B4CC0">
        <w:rPr>
          <w:rFonts w:eastAsia="ヒラギノ角ゴ Pro W3"/>
          <w:lang w:eastAsia="en-GB"/>
        </w:rPr>
        <w:tab/>
      </w:r>
      <w:r w:rsidRPr="009B4CC0">
        <w:rPr>
          <w:rFonts w:eastAsia="ヒラギノ角ゴ Pro W3"/>
          <w:lang w:eastAsia="en-GB"/>
        </w:rPr>
        <w:tab/>
      </w:r>
      <w:r w:rsidR="00A80B0D" w:rsidRPr="009B4CC0">
        <w:rPr>
          <w:rFonts w:eastAsia="ヒラギノ角ゴ Pro W3"/>
          <w:lang w:eastAsia="en-GB"/>
        </w:rPr>
        <w:t xml:space="preserve">Proposal for the </w:t>
      </w:r>
      <w:r w:rsidR="000E3AAA">
        <w:rPr>
          <w:u w:color="000000"/>
          <w:lang w:eastAsia="en-GB"/>
        </w:rPr>
        <w:t>m</w:t>
      </w:r>
      <w:r w:rsidR="002C6F1C" w:rsidRPr="009B4CC0">
        <w:rPr>
          <w:u w:color="000000"/>
          <w:lang w:eastAsia="en-GB"/>
        </w:rPr>
        <w:t xml:space="preserve">andate and </w:t>
      </w:r>
      <w:r w:rsidR="000E3AAA">
        <w:rPr>
          <w:u w:color="000000"/>
          <w:lang w:eastAsia="en-GB"/>
        </w:rPr>
        <w:t>t</w:t>
      </w:r>
      <w:r w:rsidR="002C6F1C" w:rsidRPr="009B4CC0">
        <w:rPr>
          <w:u w:color="000000"/>
          <w:lang w:eastAsia="en-GB"/>
        </w:rPr>
        <w:t xml:space="preserve">erms of </w:t>
      </w:r>
      <w:r w:rsidR="000E3AAA">
        <w:rPr>
          <w:u w:color="000000"/>
          <w:lang w:eastAsia="en-GB"/>
        </w:rPr>
        <w:t>r</w:t>
      </w:r>
      <w:r w:rsidR="002C6F1C" w:rsidRPr="009B4CC0">
        <w:rPr>
          <w:u w:color="000000"/>
          <w:lang w:eastAsia="en-GB"/>
        </w:rPr>
        <w:t>eference of the</w:t>
      </w:r>
      <w:r w:rsidR="009B4CC0">
        <w:rPr>
          <w:u w:color="000000"/>
          <w:lang w:eastAsia="en-GB"/>
        </w:rPr>
        <w:t> </w:t>
      </w:r>
      <w:r w:rsidR="002C6F1C" w:rsidRPr="009B4CC0">
        <w:rPr>
          <w:u w:color="000000"/>
          <w:lang w:eastAsia="en-GB"/>
        </w:rPr>
        <w:t>Working Group on Environmental Monitoring and</w:t>
      </w:r>
      <w:r w:rsidR="009B4CC0">
        <w:rPr>
          <w:u w:color="000000"/>
          <w:lang w:eastAsia="en-GB"/>
        </w:rPr>
        <w:t> </w:t>
      </w:r>
      <w:r w:rsidR="002C6F1C" w:rsidRPr="009B4CC0">
        <w:rPr>
          <w:u w:color="000000"/>
          <w:lang w:eastAsia="en-GB"/>
        </w:rPr>
        <w:t>Assessment</w:t>
      </w:r>
    </w:p>
    <w:p w14:paraId="71268770" w14:textId="77777777" w:rsidR="002C6F1C" w:rsidRPr="009B4CC0" w:rsidRDefault="002C6F1C" w:rsidP="00CE73AF">
      <w:pPr>
        <w:pStyle w:val="HChG"/>
        <w:rPr>
          <w:rFonts w:eastAsia="ヒラギノ角ゴ Pro W3"/>
        </w:rPr>
      </w:pPr>
      <w:r w:rsidRPr="009B4CC0">
        <w:rPr>
          <w:rFonts w:eastAsia="ヒラギノ角ゴ Pro W3"/>
        </w:rPr>
        <w:tab/>
        <w:t>I.</w:t>
      </w:r>
      <w:r w:rsidRPr="009B4CC0">
        <w:rPr>
          <w:rFonts w:eastAsia="ヒラギノ角ゴ Pro W3"/>
        </w:rPr>
        <w:tab/>
        <w:t>Mandate</w:t>
      </w:r>
    </w:p>
    <w:p w14:paraId="6E26D2D7" w14:textId="5D1B9310" w:rsidR="002C6F1C" w:rsidRPr="009B4CC0" w:rsidRDefault="002C6F1C" w:rsidP="002C6F1C">
      <w:pPr>
        <w:pStyle w:val="SingleTxtG"/>
        <w:tabs>
          <w:tab w:val="left" w:pos="1701"/>
        </w:tabs>
        <w:rPr>
          <w:rFonts w:eastAsia="ヒラギノ角ゴ Pro W3"/>
          <w:lang w:eastAsia="en-GB"/>
        </w:rPr>
      </w:pPr>
      <w:r w:rsidRPr="009B4CC0">
        <w:rPr>
          <w:rFonts w:eastAsia="ヒラギノ角ゴ Pro W3"/>
          <w:lang w:eastAsia="en-GB"/>
        </w:rPr>
        <w:t>1.</w:t>
      </w:r>
      <w:r w:rsidRPr="009B4CC0">
        <w:rPr>
          <w:rFonts w:eastAsia="ヒラギノ角ゴ Pro W3"/>
          <w:lang w:eastAsia="en-GB"/>
        </w:rPr>
        <w:tab/>
        <w:t xml:space="preserve">The Working Group on Environmental Monitoring and Assessment shall serve as the environmental knowledge and assessment network for the United Nations Economic Commission for Europe (ECE) region, under the oversight of the Committee on Environmental Policy. It shall report </w:t>
      </w:r>
      <w:r w:rsidR="00425049" w:rsidRPr="009B4CC0">
        <w:rPr>
          <w:rFonts w:eastAsia="ヒラギノ角ゴ Pro W3"/>
          <w:lang w:eastAsia="en-GB"/>
        </w:rPr>
        <w:t xml:space="preserve">annually </w:t>
      </w:r>
      <w:r w:rsidRPr="009B4CC0">
        <w:rPr>
          <w:rFonts w:eastAsia="ヒラギノ角ゴ Pro W3"/>
          <w:lang w:eastAsia="en-GB"/>
        </w:rPr>
        <w:t xml:space="preserve">to the Committee on </w:t>
      </w:r>
      <w:r w:rsidR="00425049" w:rsidRPr="009B4CC0">
        <w:rPr>
          <w:rFonts w:eastAsia="ヒラギノ角ゴ Pro W3"/>
          <w:lang w:eastAsia="en-GB"/>
        </w:rPr>
        <w:t xml:space="preserve">its achievements and </w:t>
      </w:r>
      <w:r w:rsidRPr="009B4CC0">
        <w:rPr>
          <w:rFonts w:eastAsia="ヒラギノ角ゴ Pro W3"/>
          <w:lang w:eastAsia="en-GB"/>
        </w:rPr>
        <w:t xml:space="preserve">the implementation </w:t>
      </w:r>
      <w:r w:rsidR="00425049" w:rsidRPr="009B4CC0">
        <w:rPr>
          <w:rFonts w:eastAsia="ヒラギノ角ゴ Pro W3"/>
          <w:lang w:eastAsia="en-GB"/>
        </w:rPr>
        <w:t xml:space="preserve">or modification of </w:t>
      </w:r>
      <w:r w:rsidRPr="009B4CC0">
        <w:rPr>
          <w:rFonts w:eastAsia="ヒラギノ角ゴ Pro W3"/>
          <w:lang w:eastAsia="en-GB"/>
        </w:rPr>
        <w:t xml:space="preserve">the </w:t>
      </w:r>
      <w:r w:rsidR="00616FF8">
        <w:rPr>
          <w:rFonts w:eastAsia="ヒラギノ角ゴ Pro W3"/>
          <w:lang w:eastAsia="en-GB"/>
        </w:rPr>
        <w:t>objectives and activities</w:t>
      </w:r>
      <w:r w:rsidRPr="009B4CC0">
        <w:rPr>
          <w:rFonts w:eastAsia="ヒラギノ角ゴ Pro W3"/>
          <w:lang w:eastAsia="en-GB"/>
        </w:rPr>
        <w:t xml:space="preserve"> set out herein. These terms of reference are valid for a period of </w:t>
      </w:r>
      <w:r w:rsidRPr="009B4CC0">
        <w:t xml:space="preserve">five years, until the Committee’s </w:t>
      </w:r>
      <w:r w:rsidR="00A01AF7" w:rsidRPr="009B4CC0">
        <w:t>regular</w:t>
      </w:r>
      <w:r w:rsidRPr="009B4CC0">
        <w:t xml:space="preserve"> session in 2021</w:t>
      </w:r>
      <w:r w:rsidR="00E269A3">
        <w:rPr>
          <w:rFonts w:eastAsia="ヒラギノ角ゴ Pro W3"/>
          <w:lang w:eastAsia="en-GB"/>
        </w:rPr>
        <w:t>.</w:t>
      </w:r>
    </w:p>
    <w:p w14:paraId="62736562" w14:textId="77777777" w:rsidR="002C6F1C" w:rsidRPr="009B4CC0" w:rsidRDefault="002C6F1C" w:rsidP="00CE73AF">
      <w:pPr>
        <w:pStyle w:val="HChG"/>
        <w:rPr>
          <w:rFonts w:eastAsia="ヒラギノ角ゴ Pro W3"/>
        </w:rPr>
      </w:pPr>
      <w:r w:rsidRPr="009B4CC0">
        <w:rPr>
          <w:rFonts w:eastAsia="ヒラギノ角ゴ Pro W3"/>
        </w:rPr>
        <w:tab/>
        <w:t>II.</w:t>
      </w:r>
      <w:r w:rsidRPr="009B4CC0">
        <w:rPr>
          <w:rFonts w:eastAsia="ヒラギノ角ゴ Pro W3"/>
        </w:rPr>
        <w:tab/>
        <w:t>Objectives</w:t>
      </w:r>
    </w:p>
    <w:p w14:paraId="0005545F" w14:textId="77777777" w:rsidR="002C6F1C" w:rsidRPr="009B4CC0" w:rsidRDefault="002C6F1C" w:rsidP="002C6F1C">
      <w:pPr>
        <w:pStyle w:val="SingleTxtG"/>
        <w:rPr>
          <w:rFonts w:eastAsia="ヒラギノ角ゴ Pro W3"/>
          <w:lang w:eastAsia="en-GB"/>
        </w:rPr>
      </w:pPr>
      <w:r w:rsidRPr="009B4CC0">
        <w:rPr>
          <w:rFonts w:eastAsia="ヒラギノ角ゴ Pro W3"/>
          <w:lang w:eastAsia="en-GB"/>
        </w:rPr>
        <w:t>2.</w:t>
      </w:r>
      <w:r w:rsidRPr="009B4CC0">
        <w:rPr>
          <w:rFonts w:eastAsia="ヒラギノ角ゴ Pro W3"/>
          <w:lang w:eastAsia="en-GB"/>
        </w:rPr>
        <w:tab/>
        <w:t xml:space="preserve">The aim of the Working Group, under the oversight of the Committee, is to: </w:t>
      </w:r>
    </w:p>
    <w:p w14:paraId="678265F9" w14:textId="77777777" w:rsidR="002C6F1C" w:rsidRPr="009B4CC0" w:rsidRDefault="002C6F1C" w:rsidP="00C364E7">
      <w:pPr>
        <w:pStyle w:val="SingleTxtG"/>
        <w:ind w:firstLine="567"/>
      </w:pPr>
      <w:r w:rsidRPr="009B4CC0">
        <w:rPr>
          <w:rFonts w:eastAsia="ヒラギノ角ゴ Pro W3"/>
          <w:lang w:eastAsia="en-GB"/>
        </w:rPr>
        <w:t>(a)</w:t>
      </w:r>
      <w:r w:rsidRPr="009B4CC0">
        <w:rPr>
          <w:rFonts w:eastAsia="ヒラギノ角ゴ Pro W3"/>
          <w:lang w:eastAsia="en-GB"/>
        </w:rPr>
        <w:tab/>
        <w:t xml:space="preserve">Assist in the establishment and operation of the Shared Environmental Information </w:t>
      </w:r>
      <w:r w:rsidRPr="009B4CC0">
        <w:t xml:space="preserve">System (SEIS) in </w:t>
      </w:r>
      <w:r w:rsidR="00DB183F" w:rsidRPr="009B4CC0">
        <w:t>Europe and Central Asia by 2021</w:t>
      </w:r>
      <w:proofErr w:type="gramStart"/>
      <w:r w:rsidRPr="009B4CC0">
        <w:t>;</w:t>
      </w:r>
      <w:proofErr w:type="gramEnd"/>
    </w:p>
    <w:p w14:paraId="108EFAC5" w14:textId="0B21A5C8" w:rsidR="00DB183F" w:rsidRPr="009B4CC0" w:rsidRDefault="002C6F1C" w:rsidP="00C364E7">
      <w:pPr>
        <w:pStyle w:val="SingleTxtG"/>
        <w:ind w:firstLine="567"/>
      </w:pPr>
      <w:r w:rsidRPr="009B4CC0">
        <w:t>(b)</w:t>
      </w:r>
      <w:r w:rsidRPr="009B4CC0">
        <w:tab/>
        <w:t>Lead a process of consultation on the regular pan-European environmental assessment</w:t>
      </w:r>
      <w:r w:rsidR="00DB183F" w:rsidRPr="009B4CC0">
        <w:t xml:space="preserve"> and the streamlining of regular </w:t>
      </w:r>
      <w:r w:rsidR="00425049" w:rsidRPr="009B4CC0">
        <w:t>state</w:t>
      </w:r>
      <w:r w:rsidR="00CD6385">
        <w:t>-</w:t>
      </w:r>
      <w:r w:rsidR="00425049" w:rsidRPr="009B4CC0">
        <w:t>of</w:t>
      </w:r>
      <w:r w:rsidR="00CD6385">
        <w:t>-</w:t>
      </w:r>
      <w:r w:rsidR="00425049" w:rsidRPr="009B4CC0">
        <w:t>the</w:t>
      </w:r>
      <w:r w:rsidR="00CD6385">
        <w:t>-</w:t>
      </w:r>
      <w:r w:rsidR="00425049" w:rsidRPr="009B4CC0">
        <w:t xml:space="preserve">environment </w:t>
      </w:r>
      <w:r w:rsidR="00DB183F" w:rsidRPr="009B4CC0">
        <w:t>reporting by 2020</w:t>
      </w:r>
      <w:proofErr w:type="gramStart"/>
      <w:r w:rsidR="00DB183F" w:rsidRPr="009B4CC0">
        <w:t>;</w:t>
      </w:r>
      <w:proofErr w:type="gramEnd"/>
    </w:p>
    <w:p w14:paraId="58371BD3" w14:textId="051BDF4B" w:rsidR="002C6F1C" w:rsidRPr="009B4CC0" w:rsidRDefault="00DB183F" w:rsidP="00C364E7">
      <w:pPr>
        <w:pStyle w:val="SingleTxtG"/>
        <w:ind w:firstLine="567"/>
      </w:pPr>
      <w:r w:rsidRPr="009B4CC0">
        <w:t>(c)</w:t>
      </w:r>
      <w:r w:rsidRPr="009B4CC0">
        <w:tab/>
        <w:t>S</w:t>
      </w:r>
      <w:r w:rsidR="002C6F1C" w:rsidRPr="009B4CC0">
        <w:t>erve as a regional environmental information and assessment networ</w:t>
      </w:r>
      <w:r w:rsidR="007D07C8">
        <w:t>k of n</w:t>
      </w:r>
      <w:r w:rsidR="002C6F1C" w:rsidRPr="009B4CC0">
        <w:t>etworks</w:t>
      </w:r>
      <w:r w:rsidR="00357F8F" w:rsidRPr="009B4CC0">
        <w:t xml:space="preserve"> and, as part of this process, develop a</w:t>
      </w:r>
      <w:r w:rsidR="005347F1" w:rsidRPr="009B4CC0">
        <w:t>n inclusive</w:t>
      </w:r>
      <w:r w:rsidR="00357F8F" w:rsidRPr="009B4CC0">
        <w:t xml:space="preserve"> </w:t>
      </w:r>
      <w:r w:rsidRPr="009B4CC0">
        <w:t xml:space="preserve">platform through which countries can discuss interlinkages between environmental, economic and social considerations as regards </w:t>
      </w:r>
      <w:r w:rsidR="00DA2054" w:rsidRPr="009B4CC0">
        <w:t>the 2030 Sustainable D</w:t>
      </w:r>
      <w:r w:rsidRPr="009B4CC0">
        <w:t>evelopment</w:t>
      </w:r>
      <w:r w:rsidR="00DA2054" w:rsidRPr="009B4CC0">
        <w:t xml:space="preserve"> Agenda</w:t>
      </w:r>
      <w:r w:rsidRPr="009B4CC0">
        <w:t>, the green economy, and other related areas</w:t>
      </w:r>
      <w:r w:rsidR="00357F8F" w:rsidRPr="009B4CC0">
        <w:t xml:space="preserve"> of work</w:t>
      </w:r>
      <w:r w:rsidRPr="009B4CC0">
        <w:t>;</w:t>
      </w:r>
    </w:p>
    <w:p w14:paraId="553359B3" w14:textId="61D402AD" w:rsidR="00DB183F" w:rsidRPr="009B4CC0" w:rsidRDefault="002C6F1C" w:rsidP="00C364E7">
      <w:pPr>
        <w:pStyle w:val="SingleTxtG"/>
        <w:ind w:firstLine="567"/>
      </w:pPr>
      <w:r w:rsidRPr="009B4CC0">
        <w:t>(</w:t>
      </w:r>
      <w:r w:rsidR="00DB183F" w:rsidRPr="009B4CC0">
        <w:t>d</w:t>
      </w:r>
      <w:r w:rsidRPr="009B4CC0">
        <w:t>)</w:t>
      </w:r>
      <w:r w:rsidRPr="009B4CC0">
        <w:tab/>
        <w:t xml:space="preserve">Engage in capacity-building assistance </w:t>
      </w:r>
      <w:r w:rsidR="00CD6385">
        <w:t xml:space="preserve">with regard to </w:t>
      </w:r>
      <w:r w:rsidRPr="009B4CC0">
        <w:t xml:space="preserve">specific challenges </w:t>
      </w:r>
      <w:r w:rsidR="00CD6385">
        <w:t xml:space="preserve">in </w:t>
      </w:r>
      <w:r w:rsidRPr="009B4CC0">
        <w:t>environmental monitoring and assessment</w:t>
      </w:r>
      <w:r w:rsidR="00AA768C" w:rsidRPr="009B4CC0">
        <w:t>, including the development and improvement of national environmental monitoring systems, their technical specifications and modernization,</w:t>
      </w:r>
      <w:r w:rsidRPr="009B4CC0">
        <w:t xml:space="preserve"> </w:t>
      </w:r>
      <w:r w:rsidR="00CD6385">
        <w:t xml:space="preserve">and </w:t>
      </w:r>
      <w:r w:rsidRPr="009B4CC0">
        <w:t xml:space="preserve">the collection of </w:t>
      </w:r>
      <w:r w:rsidRPr="009B4CC0">
        <w:rPr>
          <w:rFonts w:eastAsia="ヒラギノ角ゴ Pro W3"/>
          <w:lang w:eastAsia="en-GB"/>
        </w:rPr>
        <w:t>environmental knowledge</w:t>
      </w:r>
      <w:r w:rsidRPr="009B4CC0">
        <w:t xml:space="preserve"> through national monitoring systems </w:t>
      </w:r>
      <w:r w:rsidRPr="009B4CC0">
        <w:rPr>
          <w:rFonts w:eastAsia="ヒラギノ角ゴ Pro W3"/>
          <w:lang w:eastAsia="en-GB"/>
        </w:rPr>
        <w:t>in the ECE countries</w:t>
      </w:r>
      <w:r w:rsidRPr="009B4CC0">
        <w:t>.</w:t>
      </w:r>
      <w:r w:rsidR="00425049" w:rsidRPr="009B4CC0">
        <w:t xml:space="preserve"> </w:t>
      </w:r>
      <w:r w:rsidR="006D0FC1" w:rsidRPr="009B4CC0">
        <w:t xml:space="preserve">The Joint Task Force on Environmental Statistics and Indicators </w:t>
      </w:r>
      <w:r w:rsidR="00FE258A">
        <w:t xml:space="preserve">(Joint Task Force) </w:t>
      </w:r>
      <w:r w:rsidR="006D0FC1" w:rsidRPr="009B4CC0">
        <w:t xml:space="preserve">will continue to carry out all activities relating to statistical </w:t>
      </w:r>
      <w:proofErr w:type="gramStart"/>
      <w:r w:rsidR="006D0FC1" w:rsidRPr="009B4CC0">
        <w:t>capacity</w:t>
      </w:r>
      <w:r w:rsidR="00CD6385">
        <w:t>-</w:t>
      </w:r>
      <w:r w:rsidR="006D0FC1" w:rsidRPr="009B4CC0">
        <w:t>building</w:t>
      </w:r>
      <w:proofErr w:type="gramEnd"/>
      <w:r w:rsidR="006D0FC1" w:rsidRPr="009B4CC0">
        <w:t xml:space="preserve"> for countries of Eastern </w:t>
      </w:r>
      <w:r w:rsidR="00CD6385">
        <w:t xml:space="preserve">and South-Eastern </w:t>
      </w:r>
      <w:r w:rsidR="006D0FC1" w:rsidRPr="009B4CC0">
        <w:t xml:space="preserve">Europe, </w:t>
      </w:r>
      <w:r w:rsidR="00CD6385">
        <w:t xml:space="preserve">the </w:t>
      </w:r>
      <w:r w:rsidR="006D0FC1" w:rsidRPr="009B4CC0">
        <w:t>Caucasus</w:t>
      </w:r>
      <w:r w:rsidR="00CD6385">
        <w:t xml:space="preserve"> and</w:t>
      </w:r>
      <w:r w:rsidR="006D0FC1" w:rsidRPr="009B4CC0">
        <w:t xml:space="preserve"> Central Asia. </w:t>
      </w:r>
    </w:p>
    <w:p w14:paraId="2E04FF05" w14:textId="77777777" w:rsidR="002C6F1C" w:rsidRPr="009B4CC0" w:rsidRDefault="002C6F1C" w:rsidP="00CE73AF">
      <w:pPr>
        <w:pStyle w:val="HChG"/>
        <w:rPr>
          <w:rFonts w:eastAsia="ヒラギノ角ゴ Pro W3"/>
        </w:rPr>
      </w:pPr>
      <w:r w:rsidRPr="009B4CC0">
        <w:rPr>
          <w:rFonts w:eastAsia="ヒラギノ角ゴ Pro W3"/>
        </w:rPr>
        <w:tab/>
        <w:t>III.</w:t>
      </w:r>
      <w:r w:rsidRPr="009B4CC0">
        <w:rPr>
          <w:rFonts w:eastAsia="ヒラギノ角ゴ Pro W3"/>
        </w:rPr>
        <w:tab/>
        <w:t>Planned activities and outputs</w:t>
      </w:r>
    </w:p>
    <w:p w14:paraId="10B8383D" w14:textId="77777777" w:rsidR="002C6F1C" w:rsidRPr="009B4CC0" w:rsidRDefault="002C6F1C" w:rsidP="002C6F1C">
      <w:pPr>
        <w:pStyle w:val="SingleTxtG"/>
        <w:rPr>
          <w:rFonts w:eastAsia="ヒラギノ角ゴ Pro W3"/>
          <w:lang w:eastAsia="en-GB"/>
        </w:rPr>
      </w:pPr>
      <w:r w:rsidRPr="009B4CC0">
        <w:rPr>
          <w:rFonts w:eastAsia="ヒラギノ角ゴ Pro W3"/>
          <w:lang w:eastAsia="en-GB"/>
        </w:rPr>
        <w:t>3.</w:t>
      </w:r>
      <w:r w:rsidRPr="009B4CC0">
        <w:rPr>
          <w:rFonts w:eastAsia="ヒラギノ角ゴ Pro W3"/>
          <w:lang w:eastAsia="en-GB"/>
        </w:rPr>
        <w:tab/>
        <w:t>The Working Group shall:</w:t>
      </w:r>
    </w:p>
    <w:p w14:paraId="06523256" w14:textId="1D779EF6" w:rsidR="002C6F1C" w:rsidRPr="009B4CC0" w:rsidRDefault="002C6F1C" w:rsidP="00C364E7">
      <w:pPr>
        <w:pStyle w:val="SingleTxtG"/>
        <w:ind w:firstLine="567"/>
      </w:pPr>
      <w:r w:rsidRPr="009B4CC0">
        <w:t>(a)</w:t>
      </w:r>
      <w:r w:rsidRPr="009B4CC0">
        <w:tab/>
      </w:r>
      <w:r w:rsidRPr="009B4CC0">
        <w:rPr>
          <w:rFonts w:eastAsia="ヒラギノ角ゴ Pro W3"/>
          <w:lang w:eastAsia="en-GB"/>
        </w:rPr>
        <w:t xml:space="preserve">Assist in the establishment and operation of SEIS in </w:t>
      </w:r>
      <w:r w:rsidR="00DA2054" w:rsidRPr="009B4CC0">
        <w:rPr>
          <w:rFonts w:eastAsia="ヒラギノ角ゴ Pro W3"/>
          <w:lang w:eastAsia="en-GB"/>
        </w:rPr>
        <w:t>Europe and Central Asia</w:t>
      </w:r>
      <w:r w:rsidRPr="009B4CC0">
        <w:t>, and in particular:</w:t>
      </w:r>
    </w:p>
    <w:p w14:paraId="73999BC7" w14:textId="1119FD5D" w:rsidR="00291079" w:rsidRPr="009B4CC0" w:rsidRDefault="002C6F1C" w:rsidP="00C364E7">
      <w:pPr>
        <w:pStyle w:val="SingleTxtG"/>
        <w:ind w:left="1701"/>
      </w:pPr>
      <w:r w:rsidRPr="009B4CC0">
        <w:t>(</w:t>
      </w:r>
      <w:proofErr w:type="spellStart"/>
      <w:proofErr w:type="gramStart"/>
      <w:r w:rsidRPr="009B4CC0">
        <w:t>i</w:t>
      </w:r>
      <w:proofErr w:type="spellEnd"/>
      <w:proofErr w:type="gramEnd"/>
      <w:r w:rsidRPr="009B4CC0">
        <w:t>)</w:t>
      </w:r>
      <w:r w:rsidRPr="009B4CC0">
        <w:tab/>
        <w:t>Continue supporting the establishment of</w:t>
      </w:r>
      <w:r w:rsidRPr="009B4CC0" w:rsidDel="00260D55">
        <w:t xml:space="preserve"> </w:t>
      </w:r>
      <w:r w:rsidRPr="009B4CC0">
        <w:t xml:space="preserve">SEIS with regard to its specific content and </w:t>
      </w:r>
      <w:r w:rsidR="00425049" w:rsidRPr="009B4CC0">
        <w:t>principles</w:t>
      </w:r>
      <w:r w:rsidR="00291079" w:rsidRPr="009B4CC0">
        <w:t xml:space="preserve"> in support of regular environmental assessment processes and reporting;</w:t>
      </w:r>
    </w:p>
    <w:p w14:paraId="1A61CD3C" w14:textId="2D19A2E4" w:rsidR="002C6F1C" w:rsidRPr="009B4CC0" w:rsidRDefault="00291079" w:rsidP="00C364E7">
      <w:pPr>
        <w:pStyle w:val="SingleTxtG"/>
        <w:ind w:left="1701"/>
      </w:pPr>
      <w:r w:rsidRPr="009B4CC0">
        <w:t>(ii)</w:t>
      </w:r>
      <w:r w:rsidRPr="009B4CC0">
        <w:tab/>
      </w:r>
      <w:r w:rsidR="00E56D14" w:rsidRPr="009B4CC0">
        <w:t xml:space="preserve">Continue </w:t>
      </w:r>
      <w:r w:rsidR="006D0FC1" w:rsidRPr="009B4CC0">
        <w:t xml:space="preserve">cooperating with the </w:t>
      </w:r>
      <w:r w:rsidRPr="009B4CC0">
        <w:t xml:space="preserve">Joint Task Force in its work on </w:t>
      </w:r>
      <w:r w:rsidR="00E56D14" w:rsidRPr="009B4CC0">
        <w:t>environmental</w:t>
      </w:r>
      <w:r w:rsidR="005347F1" w:rsidRPr="009B4CC0">
        <w:t xml:space="preserve"> statistics and</w:t>
      </w:r>
      <w:r w:rsidR="00E56D14" w:rsidRPr="009B4CC0">
        <w:t xml:space="preserve"> indicators, associated </w:t>
      </w:r>
      <w:r w:rsidR="002C6F1C" w:rsidRPr="009B4CC0">
        <w:t>data sets</w:t>
      </w:r>
      <w:r w:rsidR="00E56D14" w:rsidRPr="009B4CC0">
        <w:t>,</w:t>
      </w:r>
      <w:r w:rsidR="002C6F1C" w:rsidRPr="009B4CC0">
        <w:t xml:space="preserve"> and accompanying </w:t>
      </w:r>
      <w:r w:rsidR="00E56D14" w:rsidRPr="009B4CC0">
        <w:t xml:space="preserve">environmental </w:t>
      </w:r>
      <w:r w:rsidR="002C6F1C" w:rsidRPr="009B4CC0">
        <w:t xml:space="preserve">information </w:t>
      </w:r>
      <w:r w:rsidR="00E56D14" w:rsidRPr="009B4CC0">
        <w:t xml:space="preserve">and data </w:t>
      </w:r>
      <w:r w:rsidR="002C6F1C" w:rsidRPr="009B4CC0">
        <w:t xml:space="preserve">necessary </w:t>
      </w:r>
      <w:r w:rsidRPr="009B4CC0">
        <w:t>to establish SEIS</w:t>
      </w:r>
      <w:proofErr w:type="gramStart"/>
      <w:r w:rsidR="002C6F1C" w:rsidRPr="009B4CC0">
        <w:t>;</w:t>
      </w:r>
      <w:proofErr w:type="gramEnd"/>
    </w:p>
    <w:p w14:paraId="350B2EEB" w14:textId="4C793F89" w:rsidR="002C6F1C" w:rsidRPr="009B4CC0" w:rsidRDefault="002C6F1C" w:rsidP="00C364E7">
      <w:pPr>
        <w:pStyle w:val="SingleTxtG"/>
        <w:ind w:left="1701"/>
      </w:pPr>
      <w:r w:rsidRPr="009B4CC0">
        <w:t>(ii</w:t>
      </w:r>
      <w:r w:rsidR="00CD6385">
        <w:t>i</w:t>
      </w:r>
      <w:r w:rsidRPr="009B4CC0">
        <w:t>)</w:t>
      </w:r>
      <w:r w:rsidRPr="009B4CC0">
        <w:tab/>
      </w:r>
      <w:r w:rsidR="00E56D14" w:rsidRPr="009B4CC0">
        <w:t>Regularly e</w:t>
      </w:r>
      <w:r w:rsidRPr="009B4CC0">
        <w:t>valuate the performance of ECE countries in establishing and implementing SEIS against the SEIS targets and performance indicators adopted by the Committee</w:t>
      </w:r>
      <w:proofErr w:type="gramStart"/>
      <w:r w:rsidRPr="009B4CC0">
        <w:t>;</w:t>
      </w:r>
      <w:proofErr w:type="gramEnd"/>
    </w:p>
    <w:p w14:paraId="0913C916" w14:textId="4B8AD0F4" w:rsidR="002C6F1C" w:rsidRPr="009B4CC0" w:rsidRDefault="002C6F1C" w:rsidP="00C364E7">
      <w:pPr>
        <w:pStyle w:val="SingleTxtG"/>
        <w:ind w:left="1701"/>
      </w:pPr>
      <w:proofErr w:type="gramStart"/>
      <w:r w:rsidRPr="009B4CC0">
        <w:t>(i</w:t>
      </w:r>
      <w:r w:rsidR="00CD6385">
        <w:t>v</w:t>
      </w:r>
      <w:r w:rsidRPr="009B4CC0">
        <w:t>)</w:t>
      </w:r>
      <w:r w:rsidRPr="009B4CC0">
        <w:tab/>
        <w:t>Prepare</w:t>
      </w:r>
      <w:proofErr w:type="gramEnd"/>
      <w:r w:rsidRPr="009B4CC0">
        <w:t xml:space="preserve"> a mid-term and final report for the Committee on the establishment a</w:t>
      </w:r>
      <w:r w:rsidR="00DA2054" w:rsidRPr="009B4CC0">
        <w:t>nd implementation of SEIS leading up to 2021;</w:t>
      </w:r>
    </w:p>
    <w:p w14:paraId="5716110E" w14:textId="7D3CD7D5" w:rsidR="002C6F1C" w:rsidRPr="009B4CC0" w:rsidRDefault="002C6F1C" w:rsidP="00C364E7">
      <w:pPr>
        <w:pStyle w:val="SingleTxtG"/>
        <w:ind w:left="1701"/>
      </w:pPr>
      <w:r w:rsidRPr="009B4CC0">
        <w:t>(v)</w:t>
      </w:r>
      <w:r w:rsidRPr="009B4CC0">
        <w:tab/>
      </w:r>
      <w:r w:rsidR="00E56D14" w:rsidRPr="009B4CC0">
        <w:t xml:space="preserve">Provide </w:t>
      </w:r>
      <w:r w:rsidRPr="009B4CC0">
        <w:t xml:space="preserve">annual recommendations on how SEIS </w:t>
      </w:r>
      <w:proofErr w:type="gramStart"/>
      <w:r w:rsidR="00CD6385">
        <w:t>can be further strengthened</w:t>
      </w:r>
      <w:proofErr w:type="gramEnd"/>
      <w:r w:rsidR="00CD6385">
        <w:t xml:space="preserve"> </w:t>
      </w:r>
      <w:r w:rsidRPr="009B4CC0">
        <w:t xml:space="preserve">in </w:t>
      </w:r>
      <w:r w:rsidR="008811D5" w:rsidRPr="009B4CC0">
        <w:t xml:space="preserve">European and Central Asian </w:t>
      </w:r>
      <w:r w:rsidRPr="009B4CC0">
        <w:t>countries;</w:t>
      </w:r>
    </w:p>
    <w:p w14:paraId="04992B8B" w14:textId="584F5AAE" w:rsidR="002C6F1C" w:rsidRPr="009B4CC0" w:rsidRDefault="002C6F1C" w:rsidP="00C364E7">
      <w:pPr>
        <w:pStyle w:val="SingleTxtG"/>
        <w:ind w:firstLine="567"/>
      </w:pPr>
      <w:r w:rsidRPr="009B4CC0">
        <w:rPr>
          <w:rFonts w:eastAsia="ヒラギノ角ゴ Pro W3"/>
          <w:lang w:eastAsia="en-GB"/>
        </w:rPr>
        <w:t>(b)</w:t>
      </w:r>
      <w:r w:rsidRPr="009B4CC0">
        <w:rPr>
          <w:rFonts w:eastAsia="ヒラギノ角ゴ Pro W3"/>
          <w:lang w:eastAsia="en-GB"/>
        </w:rPr>
        <w:tab/>
      </w:r>
      <w:r w:rsidR="008811D5" w:rsidRPr="009B4CC0">
        <w:rPr>
          <w:rFonts w:eastAsia="ヒラギノ角ゴ Pro W3"/>
          <w:lang w:eastAsia="en-GB"/>
        </w:rPr>
        <w:t xml:space="preserve">Lead a process of consultation on the regular pan-European environmental assessment and the streamlining of regular </w:t>
      </w:r>
      <w:r w:rsidR="00E56D14" w:rsidRPr="009B4CC0">
        <w:rPr>
          <w:rFonts w:eastAsia="ヒラギノ角ゴ Pro W3"/>
          <w:lang w:eastAsia="en-GB"/>
        </w:rPr>
        <w:t>state</w:t>
      </w:r>
      <w:r w:rsidR="00D13C3E">
        <w:rPr>
          <w:rFonts w:eastAsia="ヒラギノ角ゴ Pro W3"/>
          <w:lang w:eastAsia="en-GB"/>
        </w:rPr>
        <w:t>-</w:t>
      </w:r>
      <w:r w:rsidR="00E56D14" w:rsidRPr="009B4CC0">
        <w:rPr>
          <w:rFonts w:eastAsia="ヒラギノ角ゴ Pro W3"/>
          <w:lang w:eastAsia="en-GB"/>
        </w:rPr>
        <w:t>of</w:t>
      </w:r>
      <w:r w:rsidR="00D13C3E">
        <w:rPr>
          <w:rFonts w:eastAsia="ヒラギノ角ゴ Pro W3"/>
          <w:lang w:eastAsia="en-GB"/>
        </w:rPr>
        <w:t>-</w:t>
      </w:r>
      <w:r w:rsidR="00E56D14" w:rsidRPr="009B4CC0">
        <w:rPr>
          <w:rFonts w:eastAsia="ヒラギノ角ゴ Pro W3"/>
          <w:lang w:eastAsia="en-GB"/>
        </w:rPr>
        <w:t>the</w:t>
      </w:r>
      <w:r w:rsidR="00D13C3E">
        <w:rPr>
          <w:rFonts w:eastAsia="ヒラギノ角ゴ Pro W3"/>
          <w:lang w:eastAsia="en-GB"/>
        </w:rPr>
        <w:t>-</w:t>
      </w:r>
      <w:r w:rsidR="008811D5" w:rsidRPr="009B4CC0">
        <w:rPr>
          <w:rFonts w:eastAsia="ヒラギノ角ゴ Pro W3"/>
          <w:lang w:eastAsia="en-GB"/>
        </w:rPr>
        <w:t>environment reporting by 2020</w:t>
      </w:r>
      <w:r w:rsidRPr="009B4CC0">
        <w:t xml:space="preserve">, and in particular: </w:t>
      </w:r>
    </w:p>
    <w:p w14:paraId="032824BA" w14:textId="77569981" w:rsidR="00BD4C21" w:rsidRPr="009B4CC0" w:rsidRDefault="00BD4C21" w:rsidP="00C364E7">
      <w:pPr>
        <w:pStyle w:val="SingleTxtG"/>
        <w:ind w:left="1701"/>
      </w:pPr>
      <w:r w:rsidRPr="009B4CC0">
        <w:t>(</w:t>
      </w:r>
      <w:proofErr w:type="spellStart"/>
      <w:r w:rsidRPr="009B4CC0">
        <w:t>i</w:t>
      </w:r>
      <w:proofErr w:type="spellEnd"/>
      <w:r w:rsidR="002C6F1C" w:rsidRPr="009B4CC0">
        <w:t>)</w:t>
      </w:r>
      <w:r w:rsidR="002C6F1C" w:rsidRPr="009B4CC0">
        <w:tab/>
      </w:r>
      <w:r w:rsidR="0043344A" w:rsidRPr="009B4CC0">
        <w:t>B</w:t>
      </w:r>
      <w:r w:rsidR="002C6F1C" w:rsidRPr="009B4CC0">
        <w:t xml:space="preserve">ring together </w:t>
      </w:r>
      <w:r w:rsidR="00357F8F" w:rsidRPr="009B4CC0">
        <w:t xml:space="preserve">experts involved in the </w:t>
      </w:r>
      <w:r w:rsidR="002C6F1C" w:rsidRPr="009B4CC0">
        <w:rPr>
          <w:rFonts w:eastAsia="ヒラギノ角ゴ Pro W3"/>
          <w:lang w:eastAsia="en-GB"/>
        </w:rPr>
        <w:t>United Nations Environment Programme</w:t>
      </w:r>
      <w:r w:rsidR="00D13C3E">
        <w:rPr>
          <w:rFonts w:eastAsia="ヒラギノ角ゴ Pro W3"/>
          <w:lang w:eastAsia="en-GB"/>
        </w:rPr>
        <w:t xml:space="preserve"> (UNEP)</w:t>
      </w:r>
      <w:r w:rsidR="002C6F1C" w:rsidRPr="009B4CC0">
        <w:t xml:space="preserve"> Global Environment Outlook</w:t>
      </w:r>
      <w:r w:rsidR="005347F1" w:rsidRPr="009B4CC0">
        <w:t xml:space="preserve"> process</w:t>
      </w:r>
      <w:r w:rsidR="002C6F1C" w:rsidRPr="009B4CC0">
        <w:t xml:space="preserve"> and the European Environment Agency’s European Environment Information and Observation Network (</w:t>
      </w:r>
      <w:proofErr w:type="spellStart"/>
      <w:r w:rsidR="002C6F1C" w:rsidRPr="009B4CC0">
        <w:t>Eionet</w:t>
      </w:r>
      <w:proofErr w:type="spellEnd"/>
      <w:r w:rsidR="002C6F1C" w:rsidRPr="009B4CC0">
        <w:t>)</w:t>
      </w:r>
      <w:r w:rsidRPr="009B4CC0">
        <w:t xml:space="preserve">, including </w:t>
      </w:r>
      <w:r w:rsidR="00402606" w:rsidRPr="009B4CC0">
        <w:t>interested parties</w:t>
      </w:r>
      <w:r w:rsidRPr="009B4CC0">
        <w:t>,</w:t>
      </w:r>
      <w:r w:rsidR="002C6F1C" w:rsidRPr="009B4CC0">
        <w:t xml:space="preserve"> to discuss and oversee the regular pan-European environmental assessment</w:t>
      </w:r>
      <w:proofErr w:type="gramStart"/>
      <w:r w:rsidRPr="009B4CC0">
        <w:t>;</w:t>
      </w:r>
      <w:proofErr w:type="gramEnd"/>
    </w:p>
    <w:p w14:paraId="3615B402" w14:textId="4818403D" w:rsidR="00BD4C21" w:rsidRPr="009B4CC0" w:rsidRDefault="00BD4C21" w:rsidP="00C364E7">
      <w:pPr>
        <w:pStyle w:val="SingleTxtG"/>
        <w:ind w:left="1701"/>
      </w:pPr>
      <w:r w:rsidRPr="009B4CC0">
        <w:t>(ii)</w:t>
      </w:r>
      <w:r w:rsidRPr="009B4CC0">
        <w:tab/>
        <w:t xml:space="preserve">Discuss and detail regional priorities </w:t>
      </w:r>
      <w:r w:rsidR="005347F1" w:rsidRPr="009B4CC0">
        <w:t>concerning</w:t>
      </w:r>
      <w:r w:rsidR="00402606" w:rsidRPr="009B4CC0">
        <w:t xml:space="preserve"> the streamlining of regular </w:t>
      </w:r>
      <w:r w:rsidR="00357F8F" w:rsidRPr="009B4CC0">
        <w:t>state</w:t>
      </w:r>
      <w:r w:rsidR="00D13C3E">
        <w:t>-</w:t>
      </w:r>
      <w:r w:rsidR="00357F8F" w:rsidRPr="009B4CC0">
        <w:t>of</w:t>
      </w:r>
      <w:r w:rsidR="00D13C3E">
        <w:t>-</w:t>
      </w:r>
      <w:r w:rsidR="00357F8F" w:rsidRPr="009B4CC0">
        <w:t>the</w:t>
      </w:r>
      <w:r w:rsidR="00D13C3E">
        <w:t>-</w:t>
      </w:r>
      <w:r w:rsidR="00357F8F" w:rsidRPr="009B4CC0">
        <w:t xml:space="preserve">environment </w:t>
      </w:r>
      <w:r w:rsidR="00402606" w:rsidRPr="009B4CC0">
        <w:t>reporting</w:t>
      </w:r>
      <w:r w:rsidR="00D13C3E">
        <w:t>,</w:t>
      </w:r>
      <w:r w:rsidRPr="009B4CC0">
        <w:t xml:space="preserve"> involv</w:t>
      </w:r>
      <w:r w:rsidR="00D13C3E">
        <w:t>ing also</w:t>
      </w:r>
      <w:r w:rsidRPr="009B4CC0">
        <w:t xml:space="preserve"> other thematic networks, including those under the multilateral environmental agreements, in th</w:t>
      </w:r>
      <w:r w:rsidR="00D13C3E">
        <w:t>e</w:t>
      </w:r>
      <w:r w:rsidRPr="009B4CC0">
        <w:t xml:space="preserve"> discussion;</w:t>
      </w:r>
    </w:p>
    <w:p w14:paraId="79A792A8" w14:textId="367BCD1F" w:rsidR="00BD4C21" w:rsidRPr="009B4CC0" w:rsidRDefault="0043344A" w:rsidP="00C364E7">
      <w:pPr>
        <w:pStyle w:val="SingleTxtG"/>
        <w:ind w:left="1701"/>
      </w:pPr>
      <w:r w:rsidRPr="009B4CC0">
        <w:t>(iii)</w:t>
      </w:r>
      <w:r w:rsidRPr="009B4CC0">
        <w:tab/>
      </w:r>
      <w:r w:rsidR="00BD4C21" w:rsidRPr="009B4CC0">
        <w:t xml:space="preserve">Oversee the implementation of </w:t>
      </w:r>
      <w:r w:rsidRPr="009B4CC0">
        <w:t xml:space="preserve">proposed recommendations and guidance provided through </w:t>
      </w:r>
      <w:r w:rsidR="005347F1" w:rsidRPr="009B4CC0">
        <w:t xml:space="preserve">the consultation process </w:t>
      </w:r>
      <w:r w:rsidR="00BD4C21" w:rsidRPr="009B4CC0">
        <w:t xml:space="preserve">on </w:t>
      </w:r>
      <w:r w:rsidR="00BD4C21" w:rsidRPr="009B4CC0">
        <w:rPr>
          <w:rFonts w:eastAsia="ヒラギノ角ゴ Pro W3"/>
          <w:lang w:eastAsia="en-GB"/>
        </w:rPr>
        <w:t xml:space="preserve">the regular pan-European environmental assessment and the streamlining of regular </w:t>
      </w:r>
      <w:r w:rsidR="00357F8F" w:rsidRPr="009B4CC0">
        <w:rPr>
          <w:rFonts w:eastAsia="ヒラギノ角ゴ Pro W3"/>
          <w:lang w:eastAsia="en-GB"/>
        </w:rPr>
        <w:t>state</w:t>
      </w:r>
      <w:r w:rsidR="00D13C3E">
        <w:rPr>
          <w:rFonts w:eastAsia="ヒラギノ角ゴ Pro W3"/>
          <w:lang w:eastAsia="en-GB"/>
        </w:rPr>
        <w:t>-</w:t>
      </w:r>
      <w:r w:rsidR="00357F8F" w:rsidRPr="009B4CC0">
        <w:rPr>
          <w:rFonts w:eastAsia="ヒラギノ角ゴ Pro W3"/>
          <w:lang w:eastAsia="en-GB"/>
        </w:rPr>
        <w:t>of</w:t>
      </w:r>
      <w:r w:rsidR="00D13C3E">
        <w:rPr>
          <w:rFonts w:eastAsia="ヒラギノ角ゴ Pro W3"/>
          <w:lang w:eastAsia="en-GB"/>
        </w:rPr>
        <w:t>-</w:t>
      </w:r>
      <w:r w:rsidR="00357F8F" w:rsidRPr="009B4CC0">
        <w:rPr>
          <w:rFonts w:eastAsia="ヒラギノ角ゴ Pro W3"/>
          <w:lang w:eastAsia="en-GB"/>
        </w:rPr>
        <w:t>the</w:t>
      </w:r>
      <w:r w:rsidR="00D13C3E">
        <w:rPr>
          <w:rFonts w:eastAsia="ヒラギノ角ゴ Pro W3"/>
          <w:lang w:eastAsia="en-GB"/>
        </w:rPr>
        <w:t>-</w:t>
      </w:r>
      <w:r w:rsidR="00357F8F" w:rsidRPr="009B4CC0">
        <w:rPr>
          <w:rFonts w:eastAsia="ヒラギノ角ゴ Pro W3"/>
          <w:lang w:eastAsia="en-GB"/>
        </w:rPr>
        <w:t xml:space="preserve">environment </w:t>
      </w:r>
      <w:r w:rsidR="00BD4C21" w:rsidRPr="009B4CC0">
        <w:rPr>
          <w:rFonts w:eastAsia="ヒラギノ角ゴ Pro W3"/>
          <w:lang w:eastAsia="en-GB"/>
        </w:rPr>
        <w:t>reporting</w:t>
      </w:r>
      <w:proofErr w:type="gramStart"/>
      <w:r w:rsidR="00D13C3E">
        <w:rPr>
          <w:rFonts w:eastAsia="ヒラギノ角ゴ Pro W3"/>
          <w:lang w:eastAsia="en-GB"/>
        </w:rPr>
        <w:t>;</w:t>
      </w:r>
      <w:proofErr w:type="gramEnd"/>
    </w:p>
    <w:p w14:paraId="2CB23763" w14:textId="4F7D5A60" w:rsidR="008811D5" w:rsidRPr="009B4CC0" w:rsidRDefault="008811D5">
      <w:pPr>
        <w:pStyle w:val="SingleTxtG"/>
        <w:ind w:firstLine="567"/>
        <w:rPr>
          <w:rFonts w:eastAsia="ヒラギノ角ゴ Pro W3"/>
          <w:lang w:eastAsia="en-GB"/>
        </w:rPr>
      </w:pPr>
      <w:r w:rsidRPr="009B4CC0">
        <w:rPr>
          <w:rFonts w:eastAsia="ヒラギノ角ゴ Pro W3"/>
          <w:lang w:eastAsia="en-GB"/>
        </w:rPr>
        <w:t>(c)</w:t>
      </w:r>
      <w:r w:rsidRPr="009B4CC0">
        <w:rPr>
          <w:rFonts w:eastAsia="ヒラギノ角ゴ Pro W3"/>
          <w:lang w:eastAsia="en-GB"/>
        </w:rPr>
        <w:tab/>
      </w:r>
      <w:r w:rsidR="00357F8F" w:rsidRPr="009B4CC0">
        <w:t>Serve as a regional environmental information and assessment networ</w:t>
      </w:r>
      <w:r w:rsidR="007D07C8">
        <w:t>k of n</w:t>
      </w:r>
      <w:r w:rsidR="00357F8F" w:rsidRPr="009B4CC0">
        <w:t xml:space="preserve">etworks and, as part of this process, develop </w:t>
      </w:r>
      <w:r w:rsidR="00E56D14" w:rsidRPr="009B4CC0">
        <w:rPr>
          <w:rFonts w:eastAsia="ヒラギノ角ゴ Pro W3"/>
          <w:lang w:eastAsia="en-GB"/>
        </w:rPr>
        <w:t>a</w:t>
      </w:r>
      <w:r w:rsidR="005347F1" w:rsidRPr="009B4CC0">
        <w:rPr>
          <w:rFonts w:eastAsia="ヒラギノ角ゴ Pro W3"/>
          <w:lang w:eastAsia="en-GB"/>
        </w:rPr>
        <w:t>n inclusive</w:t>
      </w:r>
      <w:r w:rsidR="00E56D14" w:rsidRPr="009B4CC0">
        <w:rPr>
          <w:rFonts w:eastAsia="ヒラギノ角ゴ Pro W3"/>
          <w:lang w:eastAsia="en-GB"/>
        </w:rPr>
        <w:t xml:space="preserve"> </w:t>
      </w:r>
      <w:r w:rsidRPr="009B4CC0">
        <w:rPr>
          <w:rFonts w:eastAsia="ヒラギノ角ゴ Pro W3"/>
          <w:lang w:eastAsia="en-GB"/>
        </w:rPr>
        <w:t xml:space="preserve">platform </w:t>
      </w:r>
      <w:r w:rsidR="00BD4C21" w:rsidRPr="009B4CC0">
        <w:rPr>
          <w:rFonts w:eastAsia="ヒラギノ角ゴ Pro W3"/>
          <w:lang w:eastAsia="en-GB"/>
        </w:rPr>
        <w:t>to</w:t>
      </w:r>
      <w:r w:rsidRPr="009B4CC0">
        <w:rPr>
          <w:rFonts w:eastAsia="ヒラギノ角ゴ Pro W3"/>
          <w:lang w:eastAsia="en-GB"/>
        </w:rPr>
        <w:t xml:space="preserve"> discuss interlinkages between environmental, economic and social considerations regard</w:t>
      </w:r>
      <w:r w:rsidR="00B86DE4">
        <w:rPr>
          <w:rFonts w:eastAsia="ヒラギノ角ゴ Pro W3"/>
          <w:lang w:eastAsia="en-GB"/>
        </w:rPr>
        <w:t>ing</w:t>
      </w:r>
      <w:r w:rsidRPr="009B4CC0">
        <w:rPr>
          <w:rFonts w:eastAsia="ヒラギノ角ゴ Pro W3"/>
          <w:lang w:eastAsia="en-GB"/>
        </w:rPr>
        <w:t xml:space="preserve"> the 2030 Sustainable Development Agenda, the green economy, and other related areas</w:t>
      </w:r>
      <w:r w:rsidR="00650D2C" w:rsidRPr="009B4CC0">
        <w:rPr>
          <w:rFonts w:eastAsia="ヒラギノ角ゴ Pro W3"/>
          <w:lang w:eastAsia="en-GB"/>
        </w:rPr>
        <w:t xml:space="preserve"> of work</w:t>
      </w:r>
      <w:r w:rsidRPr="009B4CC0">
        <w:rPr>
          <w:rFonts w:eastAsia="ヒラギノ角ゴ Pro W3"/>
          <w:lang w:eastAsia="en-GB"/>
        </w:rPr>
        <w:t xml:space="preserve">, </w:t>
      </w:r>
      <w:r w:rsidRPr="009B4CC0">
        <w:t>and in particular:</w:t>
      </w:r>
    </w:p>
    <w:p w14:paraId="4C038A49" w14:textId="37E6928D" w:rsidR="0043344A" w:rsidRPr="009B4CC0" w:rsidRDefault="0043344A" w:rsidP="00C364E7">
      <w:pPr>
        <w:pStyle w:val="SingleTxtG"/>
        <w:ind w:left="1701"/>
      </w:pPr>
      <w:r w:rsidRPr="009B4CC0">
        <w:t>(</w:t>
      </w:r>
      <w:proofErr w:type="spellStart"/>
      <w:r w:rsidRPr="009B4CC0">
        <w:t>i</w:t>
      </w:r>
      <w:proofErr w:type="spellEnd"/>
      <w:r w:rsidRPr="009B4CC0">
        <w:t>)</w:t>
      </w:r>
      <w:r w:rsidRPr="009B4CC0">
        <w:tab/>
      </w:r>
      <w:r w:rsidR="002F3780" w:rsidRPr="009B4CC0">
        <w:t xml:space="preserve">Coordinate </w:t>
      </w:r>
      <w:r w:rsidRPr="009B4CC0">
        <w:t xml:space="preserve">a consultative process, involving all relevant thematic networks and interested parties, including </w:t>
      </w:r>
      <w:r w:rsidR="009F58F6" w:rsidRPr="009B4CC0">
        <w:t>secretariats of conventions and other institutions</w:t>
      </w:r>
      <w:r w:rsidR="005236E6" w:rsidRPr="009B4CC0">
        <w:t>,</w:t>
      </w:r>
      <w:r w:rsidR="009F58F6" w:rsidRPr="009B4CC0">
        <w:t xml:space="preserve"> at </w:t>
      </w:r>
      <w:r w:rsidR="00B86DE4">
        <w:t xml:space="preserve">both the </w:t>
      </w:r>
      <w:r w:rsidR="009F58F6" w:rsidRPr="009B4CC0">
        <w:t>regional and national level</w:t>
      </w:r>
      <w:r w:rsidR="00B86DE4">
        <w:t>s</w:t>
      </w:r>
      <w:r w:rsidR="009F58F6" w:rsidRPr="009B4CC0">
        <w:t xml:space="preserve">, </w:t>
      </w:r>
      <w:r w:rsidRPr="009B4CC0">
        <w:t xml:space="preserve">to </w:t>
      </w:r>
      <w:r w:rsidR="005347F1" w:rsidRPr="009B4CC0">
        <w:t xml:space="preserve">elaborate </w:t>
      </w:r>
      <w:r w:rsidRPr="009B4CC0">
        <w:t xml:space="preserve">the working modalities of </w:t>
      </w:r>
      <w:r w:rsidR="003E5686" w:rsidRPr="009B4CC0">
        <w:t>a</w:t>
      </w:r>
      <w:r w:rsidRPr="009B4CC0">
        <w:t xml:space="preserve"> regional networ</w:t>
      </w:r>
      <w:r w:rsidR="007D07C8">
        <w:t>k of n</w:t>
      </w:r>
      <w:r w:rsidRPr="009B4CC0">
        <w:t>etworks;</w:t>
      </w:r>
    </w:p>
    <w:p w14:paraId="3EDCEAA3" w14:textId="286AEB7D" w:rsidR="002C6F1C" w:rsidRPr="009B4CC0" w:rsidRDefault="002C6F1C" w:rsidP="00B77B82">
      <w:pPr>
        <w:pStyle w:val="SingleTxtG"/>
        <w:ind w:left="1701"/>
      </w:pPr>
      <w:r w:rsidRPr="009B4CC0">
        <w:t>(</w:t>
      </w:r>
      <w:r w:rsidR="003E5686" w:rsidRPr="009B4CC0">
        <w:t>ii</w:t>
      </w:r>
      <w:r w:rsidRPr="009B4CC0">
        <w:t>)</w:t>
      </w:r>
      <w:r w:rsidRPr="009B4CC0">
        <w:tab/>
      </w:r>
      <w:r w:rsidR="002F3780" w:rsidRPr="009B4CC0">
        <w:t>Cooperate</w:t>
      </w:r>
      <w:r w:rsidRPr="009B4CC0">
        <w:t xml:space="preserve"> with the Joint Task Force </w:t>
      </w:r>
      <w:r w:rsidR="002F3780" w:rsidRPr="009B4CC0">
        <w:t xml:space="preserve">to ensure that all planned and future activities are </w:t>
      </w:r>
      <w:r w:rsidR="00544B67" w:rsidRPr="009B4CC0">
        <w:t>synergetic</w:t>
      </w:r>
      <w:r w:rsidR="005347F1" w:rsidRPr="009B4CC0">
        <w:t xml:space="preserve"> and streamlined</w:t>
      </w:r>
      <w:proofErr w:type="gramStart"/>
      <w:r w:rsidRPr="009B4CC0">
        <w:t>;</w:t>
      </w:r>
      <w:proofErr w:type="gramEnd"/>
    </w:p>
    <w:p w14:paraId="3C223A12" w14:textId="0139220D" w:rsidR="002C6F1C" w:rsidRPr="009B4CC0" w:rsidRDefault="003E5686" w:rsidP="00C364E7">
      <w:pPr>
        <w:pStyle w:val="SingleTxtG"/>
        <w:ind w:left="1701"/>
      </w:pPr>
      <w:r w:rsidRPr="009B4CC0">
        <w:t>(iii</w:t>
      </w:r>
      <w:r w:rsidR="002C6F1C" w:rsidRPr="009B4CC0">
        <w:t>)</w:t>
      </w:r>
      <w:r w:rsidR="002C6F1C" w:rsidRPr="009B4CC0">
        <w:tab/>
      </w:r>
      <w:r w:rsidR="004500DE" w:rsidRPr="009B4CC0">
        <w:t>Develop capacities to e</w:t>
      </w:r>
      <w:r w:rsidR="00402606" w:rsidRPr="009B4CC0">
        <w:t>ngage</w:t>
      </w:r>
      <w:r w:rsidR="002C6F1C" w:rsidRPr="009B4CC0">
        <w:t xml:space="preserve"> other communities and networks, such as the Group o</w:t>
      </w:r>
      <w:r w:rsidR="00B86DE4">
        <w:t>n</w:t>
      </w:r>
      <w:r w:rsidR="002C6F1C" w:rsidRPr="009B4CC0">
        <w:t xml:space="preserve"> Earth Observations, to discuss how environmental</w:t>
      </w:r>
      <w:r w:rsidRPr="009B4CC0">
        <w:t>, social</w:t>
      </w:r>
      <w:r w:rsidR="002C6F1C" w:rsidRPr="009B4CC0">
        <w:t xml:space="preserve"> and economic </w:t>
      </w:r>
      <w:r w:rsidR="004500DE" w:rsidRPr="009B4CC0">
        <w:t xml:space="preserve">information and </w:t>
      </w:r>
      <w:r w:rsidR="002C6F1C" w:rsidRPr="009B4CC0">
        <w:t xml:space="preserve">data </w:t>
      </w:r>
      <w:proofErr w:type="gramStart"/>
      <w:r w:rsidR="002C6F1C" w:rsidRPr="009B4CC0">
        <w:t>can be integrated and utili</w:t>
      </w:r>
      <w:r w:rsidR="00B86DE4">
        <w:t>z</w:t>
      </w:r>
      <w:r w:rsidR="002C6F1C" w:rsidRPr="009B4CC0">
        <w:t>ed in decision-making;</w:t>
      </w:r>
      <w:proofErr w:type="gramEnd"/>
    </w:p>
    <w:p w14:paraId="081A89A0" w14:textId="6069D047" w:rsidR="003E5686" w:rsidRPr="009B4CC0" w:rsidRDefault="003E5686" w:rsidP="00C364E7">
      <w:pPr>
        <w:pStyle w:val="SingleTxtG"/>
        <w:ind w:left="1701"/>
      </w:pPr>
      <w:proofErr w:type="gramStart"/>
      <w:r w:rsidRPr="009B4CC0">
        <w:t>(iv)</w:t>
      </w:r>
      <w:r w:rsidRPr="009B4CC0">
        <w:tab/>
        <w:t>Operationali</w:t>
      </w:r>
      <w:r w:rsidR="00B86DE4">
        <w:t>z</w:t>
      </w:r>
      <w:r w:rsidRPr="009B4CC0">
        <w:t>e</w:t>
      </w:r>
      <w:proofErr w:type="gramEnd"/>
      <w:r w:rsidRPr="009B4CC0">
        <w:t xml:space="preserve"> proposed recommendations and guidance provided through the consultative process to ensure the sustainable implementation of a regional networ</w:t>
      </w:r>
      <w:r w:rsidR="007D07C8">
        <w:t>k of n</w:t>
      </w:r>
      <w:r w:rsidRPr="009B4CC0">
        <w:t>etworks;</w:t>
      </w:r>
    </w:p>
    <w:p w14:paraId="7D1E84BB" w14:textId="02049C07" w:rsidR="0043344A" w:rsidRPr="009B4CC0" w:rsidRDefault="003E5686" w:rsidP="00C364E7">
      <w:pPr>
        <w:pStyle w:val="SingleTxtG"/>
        <w:ind w:left="1701"/>
      </w:pPr>
      <w:r w:rsidRPr="009B4CC0">
        <w:t>(v</w:t>
      </w:r>
      <w:r w:rsidR="002C6F1C" w:rsidRPr="009B4CC0">
        <w:t>)</w:t>
      </w:r>
      <w:r w:rsidR="002C6F1C" w:rsidRPr="009B4CC0">
        <w:tab/>
        <w:t xml:space="preserve">Publish outcomes from </w:t>
      </w:r>
      <w:r w:rsidR="00402606" w:rsidRPr="009B4CC0">
        <w:t>the Working Group</w:t>
      </w:r>
      <w:r w:rsidR="00B86DE4">
        <w:t>’</w:t>
      </w:r>
      <w:r w:rsidR="00402606" w:rsidRPr="009B4CC0">
        <w:t xml:space="preserve">s </w:t>
      </w:r>
      <w:r w:rsidR="002C6F1C" w:rsidRPr="009B4CC0">
        <w:t>collaborative activities (e.g.</w:t>
      </w:r>
      <w:r w:rsidR="00B86DE4">
        <w:t>,</w:t>
      </w:r>
      <w:r w:rsidR="002C6F1C" w:rsidRPr="009B4CC0">
        <w:t xml:space="preserve"> best practices, </w:t>
      </w:r>
      <w:r w:rsidR="00402606" w:rsidRPr="009B4CC0">
        <w:t>guidelines</w:t>
      </w:r>
      <w:r w:rsidR="00B86DE4">
        <w:t xml:space="preserve"> and</w:t>
      </w:r>
      <w:r w:rsidR="002C6F1C" w:rsidRPr="009B4CC0">
        <w:t xml:space="preserve"> lessons learn</w:t>
      </w:r>
      <w:r w:rsidR="00B86DE4">
        <w:t>ed</w:t>
      </w:r>
      <w:r w:rsidR="002C6F1C" w:rsidRPr="009B4CC0">
        <w:t>) to share outputs and guide future activities in the area</w:t>
      </w:r>
      <w:r w:rsidR="00B86DE4">
        <w:t>;</w:t>
      </w:r>
    </w:p>
    <w:p w14:paraId="4ECE5354" w14:textId="06E09761" w:rsidR="00740D72" w:rsidRPr="009B4CC0" w:rsidRDefault="002C6F1C" w:rsidP="00CE73AF">
      <w:pPr>
        <w:pStyle w:val="SingleTxtG"/>
        <w:ind w:firstLine="567"/>
      </w:pPr>
      <w:r w:rsidRPr="009B4CC0">
        <w:rPr>
          <w:rFonts w:eastAsia="ヒラギノ角ゴ Pro W3"/>
          <w:lang w:eastAsia="en-GB"/>
        </w:rPr>
        <w:t>(</w:t>
      </w:r>
      <w:r w:rsidR="00740D72" w:rsidRPr="009B4CC0">
        <w:rPr>
          <w:rFonts w:eastAsia="ヒラギノ角ゴ Pro W3"/>
          <w:lang w:eastAsia="en-GB"/>
        </w:rPr>
        <w:t>d</w:t>
      </w:r>
      <w:r w:rsidRPr="009B4CC0">
        <w:rPr>
          <w:rFonts w:eastAsia="ヒラギノ角ゴ Pro W3"/>
          <w:lang w:eastAsia="en-GB"/>
        </w:rPr>
        <w:t>)</w:t>
      </w:r>
      <w:r w:rsidRPr="009B4CC0">
        <w:rPr>
          <w:rFonts w:eastAsia="ヒラギノ角ゴ Pro W3"/>
          <w:lang w:eastAsia="en-GB"/>
        </w:rPr>
        <w:tab/>
      </w:r>
      <w:r w:rsidR="008811D5" w:rsidRPr="009B4CC0">
        <w:rPr>
          <w:rFonts w:eastAsia="ヒラギノ角ゴ Pro W3"/>
          <w:lang w:eastAsia="en-GB"/>
        </w:rPr>
        <w:t xml:space="preserve">Engage in </w:t>
      </w:r>
      <w:r w:rsidR="008811D5" w:rsidRPr="009B4CC0">
        <w:rPr>
          <w:u w:color="000000"/>
          <w:bdr w:val="nil"/>
          <w:lang w:eastAsia="en-GB"/>
        </w:rPr>
        <w:t>capacity-building assistance</w:t>
      </w:r>
      <w:r w:rsidR="008811D5" w:rsidRPr="009B4CC0">
        <w:t xml:space="preserve"> </w:t>
      </w:r>
      <w:r w:rsidR="00D82B56" w:rsidRPr="009B4CC0">
        <w:t xml:space="preserve">addressing </w:t>
      </w:r>
      <w:r w:rsidR="008811D5" w:rsidRPr="009B4CC0">
        <w:rPr>
          <w:rFonts w:eastAsia="ヒラギノ角ゴ Pro W3"/>
          <w:lang w:eastAsia="en-GB"/>
        </w:rPr>
        <w:t>specific challenges related</w:t>
      </w:r>
      <w:r w:rsidR="008811D5" w:rsidRPr="009B4CC0">
        <w:t xml:space="preserve"> to environmental monitoring and assessment </w:t>
      </w:r>
      <w:r w:rsidR="00211030">
        <w:t xml:space="preserve">and </w:t>
      </w:r>
      <w:r w:rsidR="008811D5" w:rsidRPr="009B4CC0">
        <w:rPr>
          <w:rFonts w:eastAsia="ヒラギノ角ゴ Pro W3"/>
          <w:lang w:eastAsia="en-GB"/>
        </w:rPr>
        <w:t>environmental knowledge</w:t>
      </w:r>
      <w:r w:rsidR="008811D5" w:rsidRPr="009B4CC0">
        <w:t xml:space="preserve"> </w:t>
      </w:r>
      <w:r w:rsidR="00D82B56" w:rsidRPr="009B4CC0">
        <w:t>maintained</w:t>
      </w:r>
      <w:r w:rsidR="00157B36" w:rsidRPr="009B4CC0">
        <w:t xml:space="preserve"> through </w:t>
      </w:r>
      <w:r w:rsidR="008811D5" w:rsidRPr="009B4CC0">
        <w:t xml:space="preserve">national monitoring systems </w:t>
      </w:r>
      <w:r w:rsidR="008811D5" w:rsidRPr="009B4CC0">
        <w:rPr>
          <w:rFonts w:eastAsia="ヒラギノ角ゴ Pro W3"/>
          <w:lang w:eastAsia="en-GB"/>
        </w:rPr>
        <w:t xml:space="preserve">in the </w:t>
      </w:r>
      <w:r w:rsidR="009F3C8E" w:rsidRPr="009B4CC0">
        <w:t>European and Central Asian countries</w:t>
      </w:r>
      <w:r w:rsidR="00157B36" w:rsidRPr="009B4CC0">
        <w:t xml:space="preserve">. The </w:t>
      </w:r>
      <w:r w:rsidR="00D82B56" w:rsidRPr="009B4CC0">
        <w:t xml:space="preserve">identification of </w:t>
      </w:r>
      <w:r w:rsidR="00157B36" w:rsidRPr="009B4CC0">
        <w:t xml:space="preserve">specific challenges </w:t>
      </w:r>
      <w:r w:rsidR="00D82B56" w:rsidRPr="009B4CC0">
        <w:t>(e.g.</w:t>
      </w:r>
      <w:r w:rsidR="00211030">
        <w:t>,</w:t>
      </w:r>
      <w:r w:rsidR="00D82B56" w:rsidRPr="009B4CC0">
        <w:t xml:space="preserve"> air quality, water and waste monitoring) </w:t>
      </w:r>
      <w:r w:rsidR="00157B36" w:rsidRPr="009B4CC0">
        <w:t xml:space="preserve">will depend on regional and national capacity gaps </w:t>
      </w:r>
      <w:r w:rsidR="00D82B56" w:rsidRPr="009B4CC0">
        <w:t xml:space="preserve">and the identification of priority areas </w:t>
      </w:r>
      <w:r w:rsidR="00211030">
        <w:t xml:space="preserve">for </w:t>
      </w:r>
      <w:r w:rsidR="00D82B56" w:rsidRPr="009B4CC0">
        <w:t xml:space="preserve">action </w:t>
      </w:r>
      <w:r w:rsidR="00544B67" w:rsidRPr="009B4CC0">
        <w:t xml:space="preserve">to </w:t>
      </w:r>
      <w:proofErr w:type="gramStart"/>
      <w:r w:rsidR="00544B67" w:rsidRPr="009B4CC0">
        <w:t xml:space="preserve">be </w:t>
      </w:r>
      <w:r w:rsidR="00D82B56" w:rsidRPr="009B4CC0">
        <w:t>defined</w:t>
      </w:r>
      <w:proofErr w:type="gramEnd"/>
      <w:r w:rsidR="00D82B56" w:rsidRPr="009B4CC0">
        <w:t xml:space="preserve"> by the Working Group members</w:t>
      </w:r>
      <w:r w:rsidR="00386CBF">
        <w:t>.</w:t>
      </w:r>
      <w:r w:rsidR="0098000A" w:rsidRPr="009B4CC0">
        <w:t xml:space="preserve"> </w:t>
      </w:r>
      <w:r w:rsidR="00386CBF">
        <w:t>I</w:t>
      </w:r>
      <w:r w:rsidR="0098000A" w:rsidRPr="009B4CC0">
        <w:t>n particular</w:t>
      </w:r>
      <w:r w:rsidR="00386CBF">
        <w:t>, the implementation of al</w:t>
      </w:r>
      <w:r w:rsidR="0098000A" w:rsidRPr="009B4CC0">
        <w:t xml:space="preserve">l subsequent activities </w:t>
      </w:r>
      <w:r w:rsidR="00211030">
        <w:t xml:space="preserve">will </w:t>
      </w:r>
      <w:r w:rsidR="0098000A" w:rsidRPr="009B4CC0">
        <w:t>depend on the m</w:t>
      </w:r>
      <w:r w:rsidR="00740D72" w:rsidRPr="009B4CC0">
        <w:t>obili</w:t>
      </w:r>
      <w:r w:rsidR="00211030">
        <w:t>z</w:t>
      </w:r>
      <w:r w:rsidR="00D82B56" w:rsidRPr="009B4CC0">
        <w:t>ation of</w:t>
      </w:r>
      <w:r w:rsidR="00740D72" w:rsidRPr="009B4CC0">
        <w:t xml:space="preserve"> resources </w:t>
      </w:r>
      <w:r w:rsidR="0098000A" w:rsidRPr="009B4CC0">
        <w:t>to</w:t>
      </w:r>
      <w:r w:rsidR="00EB0AF1" w:rsidRPr="009B4CC0">
        <w:t xml:space="preserve"> </w:t>
      </w:r>
      <w:r w:rsidR="00740D72" w:rsidRPr="009B4CC0">
        <w:t xml:space="preserve">enable the Working Group to </w:t>
      </w:r>
      <w:r w:rsidR="0098000A" w:rsidRPr="009B4CC0">
        <w:t>organi</w:t>
      </w:r>
      <w:r w:rsidR="00211030">
        <w:t>z</w:t>
      </w:r>
      <w:r w:rsidR="0098000A" w:rsidRPr="009B4CC0">
        <w:t xml:space="preserve">e and </w:t>
      </w:r>
      <w:r w:rsidR="00740D72" w:rsidRPr="009B4CC0">
        <w:t xml:space="preserve">offer </w:t>
      </w:r>
      <w:r w:rsidR="005236E6" w:rsidRPr="009B4CC0">
        <w:t xml:space="preserve">additional </w:t>
      </w:r>
      <w:r w:rsidR="00740D72" w:rsidRPr="009B4CC0">
        <w:t xml:space="preserve">capacity-building assistance </w:t>
      </w:r>
      <w:r w:rsidR="00544B67" w:rsidRPr="009B4CC0">
        <w:t>to</w:t>
      </w:r>
      <w:r w:rsidR="00740D72" w:rsidRPr="009B4CC0">
        <w:t xml:space="preserve"> </w:t>
      </w:r>
      <w:r w:rsidR="0098000A" w:rsidRPr="009B4CC0">
        <w:t>enhance</w:t>
      </w:r>
      <w:r w:rsidR="00740D72" w:rsidRPr="009B4CC0">
        <w:t xml:space="preserve"> environmental monitoring and assessment</w:t>
      </w:r>
      <w:r w:rsidR="00EB0AF1" w:rsidRPr="009B4CC0">
        <w:t xml:space="preserve"> capabilities</w:t>
      </w:r>
      <w:r w:rsidR="00386CBF">
        <w:t>. Such activities include:</w:t>
      </w:r>
    </w:p>
    <w:p w14:paraId="5C5F99AD" w14:textId="65F01849" w:rsidR="00402606" w:rsidRPr="009B4CC0" w:rsidRDefault="00402606" w:rsidP="00C364E7">
      <w:pPr>
        <w:pStyle w:val="SingleTxtG"/>
        <w:ind w:left="1701"/>
      </w:pPr>
      <w:r w:rsidRPr="009B4CC0">
        <w:t>(</w:t>
      </w:r>
      <w:proofErr w:type="spellStart"/>
      <w:r w:rsidRPr="009B4CC0">
        <w:t>i</w:t>
      </w:r>
      <w:proofErr w:type="spellEnd"/>
      <w:r w:rsidRPr="009B4CC0">
        <w:t>)</w:t>
      </w:r>
      <w:r w:rsidRPr="009B4CC0">
        <w:tab/>
      </w:r>
      <w:r w:rsidR="00EB0AF1" w:rsidRPr="009B4CC0">
        <w:t>De</w:t>
      </w:r>
      <w:r w:rsidRPr="009B4CC0">
        <w:t>tail</w:t>
      </w:r>
      <w:r w:rsidR="00D82B56" w:rsidRPr="009B4CC0">
        <w:t>ing</w:t>
      </w:r>
      <w:r w:rsidRPr="009B4CC0">
        <w:t xml:space="preserve"> regional </w:t>
      </w:r>
      <w:r w:rsidR="00157B36" w:rsidRPr="009B4CC0">
        <w:t xml:space="preserve">and national </w:t>
      </w:r>
      <w:r w:rsidR="00865DD4" w:rsidRPr="009B4CC0">
        <w:t>capacity gaps</w:t>
      </w:r>
      <w:r w:rsidR="00157B36" w:rsidRPr="009B4CC0">
        <w:t xml:space="preserve">, in collaboration with the </w:t>
      </w:r>
      <w:r w:rsidR="00502DB4" w:rsidRPr="009B4CC0">
        <w:t>Joint Task Force</w:t>
      </w:r>
      <w:r w:rsidR="00157B36" w:rsidRPr="009B4CC0">
        <w:t>,</w:t>
      </w:r>
      <w:r w:rsidR="00865DD4" w:rsidRPr="009B4CC0">
        <w:t xml:space="preserve"> </w:t>
      </w:r>
      <w:r w:rsidR="00211030">
        <w:t xml:space="preserve">in </w:t>
      </w:r>
      <w:r w:rsidR="00965BD8" w:rsidRPr="009B4CC0">
        <w:t xml:space="preserve">information and data </w:t>
      </w:r>
      <w:r w:rsidR="00865DD4" w:rsidRPr="009B4CC0">
        <w:t>needed for producing</w:t>
      </w:r>
      <w:r w:rsidR="00965BD8" w:rsidRPr="009B4CC0">
        <w:t xml:space="preserve"> </w:t>
      </w:r>
      <w:r w:rsidR="00740D72" w:rsidRPr="009B4CC0">
        <w:t xml:space="preserve">the ECE set of environmental indicators, </w:t>
      </w:r>
      <w:r w:rsidR="00211030">
        <w:t>the European Environment Agency</w:t>
      </w:r>
      <w:r w:rsidR="00740D72" w:rsidRPr="009B4CC0">
        <w:t xml:space="preserve"> core set of indicators, OECD green growth indicators </w:t>
      </w:r>
      <w:r w:rsidR="00157B36" w:rsidRPr="009B4CC0">
        <w:t>and</w:t>
      </w:r>
      <w:r w:rsidR="00EB0AF1" w:rsidRPr="009B4CC0">
        <w:t xml:space="preserve"> </w:t>
      </w:r>
      <w:r w:rsidR="00211030">
        <w:t>Sustainable Development Goal</w:t>
      </w:r>
      <w:r w:rsidR="00157B36" w:rsidRPr="009B4CC0">
        <w:t xml:space="preserve"> </w:t>
      </w:r>
      <w:r w:rsidR="00740D72" w:rsidRPr="009B4CC0">
        <w:t>indicators</w:t>
      </w:r>
      <w:r w:rsidR="00AD5422" w:rsidRPr="009B4CC0">
        <w:t xml:space="preserve">. This will include </w:t>
      </w:r>
      <w:r w:rsidR="00157B36" w:rsidRPr="009B4CC0">
        <w:t>identifying</w:t>
      </w:r>
      <w:r w:rsidR="00AD5422" w:rsidRPr="009B4CC0">
        <w:t xml:space="preserve"> data and information gaps in the target countries</w:t>
      </w:r>
      <w:proofErr w:type="gramStart"/>
      <w:r w:rsidRPr="009B4CC0">
        <w:t>;</w:t>
      </w:r>
      <w:proofErr w:type="gramEnd"/>
    </w:p>
    <w:p w14:paraId="5A976BB8" w14:textId="621C4F1E" w:rsidR="00402606" w:rsidRPr="009B4CC0" w:rsidRDefault="00402606" w:rsidP="001E2B13">
      <w:pPr>
        <w:pStyle w:val="SingleTxtG"/>
        <w:ind w:left="1701"/>
      </w:pPr>
      <w:r w:rsidRPr="009B4CC0">
        <w:t>(i</w:t>
      </w:r>
      <w:r w:rsidR="00740D72" w:rsidRPr="009B4CC0">
        <w:t>i</w:t>
      </w:r>
      <w:r w:rsidRPr="009B4CC0">
        <w:t>)</w:t>
      </w:r>
      <w:r w:rsidRPr="009B4CC0">
        <w:tab/>
      </w:r>
      <w:r w:rsidR="0098000A" w:rsidRPr="009B4CC0">
        <w:t>Support</w:t>
      </w:r>
      <w:r w:rsidR="00211030">
        <w:t>ing</w:t>
      </w:r>
      <w:r w:rsidR="0098000A" w:rsidRPr="009B4CC0">
        <w:t xml:space="preserve"> countries in the</w:t>
      </w:r>
      <w:r w:rsidR="00AD5422" w:rsidRPr="009B4CC0">
        <w:t xml:space="preserve"> </w:t>
      </w:r>
      <w:r w:rsidRPr="009B4CC0">
        <w:t>develop</w:t>
      </w:r>
      <w:r w:rsidR="00AD5422" w:rsidRPr="009B4CC0">
        <w:t>ment of</w:t>
      </w:r>
      <w:r w:rsidRPr="009B4CC0">
        <w:t xml:space="preserve"> </w:t>
      </w:r>
      <w:r w:rsidR="0098000A" w:rsidRPr="009B4CC0">
        <w:t xml:space="preserve">regional and national </w:t>
      </w:r>
      <w:r w:rsidRPr="009B4CC0">
        <w:t xml:space="preserve">indicator frameworks </w:t>
      </w:r>
      <w:r w:rsidR="001E2B13" w:rsidRPr="009B4CC0">
        <w:t xml:space="preserve">to </w:t>
      </w:r>
      <w:r w:rsidRPr="009B4CC0">
        <w:t xml:space="preserve">monitor the </w:t>
      </w:r>
      <w:r w:rsidR="00211030">
        <w:t>G</w:t>
      </w:r>
      <w:r w:rsidRPr="009B4CC0">
        <w:t xml:space="preserve">oals and targets of the 2030 Agenda, and activities to support its implementation, including the </w:t>
      </w:r>
      <w:r w:rsidR="0098000A" w:rsidRPr="009B4CC0">
        <w:t xml:space="preserve">review and </w:t>
      </w:r>
      <w:r w:rsidRPr="009B4CC0">
        <w:t xml:space="preserve">establishment of </w:t>
      </w:r>
      <w:r w:rsidR="0098000A" w:rsidRPr="009B4CC0">
        <w:t>national</w:t>
      </w:r>
      <w:r w:rsidR="00AD5422" w:rsidRPr="009B4CC0">
        <w:t xml:space="preserve"> </w:t>
      </w:r>
      <w:r w:rsidRPr="009B4CC0">
        <w:t>reporting mechanism</w:t>
      </w:r>
      <w:r w:rsidR="0098000A" w:rsidRPr="009B4CC0">
        <w:t xml:space="preserve">s, </w:t>
      </w:r>
      <w:r w:rsidRPr="009B4CC0">
        <w:t xml:space="preserve">procedures </w:t>
      </w:r>
      <w:r w:rsidR="0098000A" w:rsidRPr="009B4CC0">
        <w:t>and</w:t>
      </w:r>
      <w:r w:rsidR="001E2B13" w:rsidRPr="009B4CC0">
        <w:t xml:space="preserve"> methodological approache</w:t>
      </w:r>
      <w:r w:rsidR="00AD5422" w:rsidRPr="009B4CC0">
        <w:t>s</w:t>
      </w:r>
      <w:r w:rsidR="001E2B13" w:rsidRPr="009B4CC0">
        <w:t xml:space="preserve"> associated with </w:t>
      </w:r>
      <w:r w:rsidR="0098000A" w:rsidRPr="009B4CC0">
        <w:t xml:space="preserve">the </w:t>
      </w:r>
      <w:r w:rsidR="00211030">
        <w:t>Sustainable Development Goal</w:t>
      </w:r>
      <w:r w:rsidR="001E2B13" w:rsidRPr="009B4CC0">
        <w:t xml:space="preserve"> indicators </w:t>
      </w:r>
      <w:r w:rsidR="00ED3A89" w:rsidRPr="009B4CC0">
        <w:t xml:space="preserve">in </w:t>
      </w:r>
      <w:r w:rsidR="001E2B13" w:rsidRPr="009B4CC0">
        <w:t>all ECE countries</w:t>
      </w:r>
      <w:r w:rsidRPr="009B4CC0">
        <w:t>;</w:t>
      </w:r>
    </w:p>
    <w:p w14:paraId="7E0C64EE" w14:textId="58D95F6C" w:rsidR="002C6F1C" w:rsidRPr="009B4CC0" w:rsidRDefault="002C6F1C" w:rsidP="00C364E7">
      <w:pPr>
        <w:pStyle w:val="SingleTxtG"/>
        <w:ind w:left="1701"/>
      </w:pPr>
      <w:r w:rsidRPr="009B4CC0">
        <w:t>(i</w:t>
      </w:r>
      <w:r w:rsidR="00386CBF">
        <w:t>ii</w:t>
      </w:r>
      <w:r w:rsidRPr="009B4CC0">
        <w:t>)</w:t>
      </w:r>
      <w:r w:rsidRPr="009B4CC0">
        <w:tab/>
      </w:r>
      <w:r w:rsidR="0098000A" w:rsidRPr="009B4CC0">
        <w:t>Engag</w:t>
      </w:r>
      <w:r w:rsidR="00211030">
        <w:t>ing</w:t>
      </w:r>
      <w:r w:rsidR="0098000A" w:rsidRPr="009B4CC0">
        <w:t xml:space="preserve"> and liais</w:t>
      </w:r>
      <w:r w:rsidR="00211030">
        <w:t>ing</w:t>
      </w:r>
      <w:r w:rsidR="0098000A" w:rsidRPr="009B4CC0">
        <w:t xml:space="preserve"> </w:t>
      </w:r>
      <w:r w:rsidR="00E25CF9" w:rsidRPr="009B4CC0">
        <w:t xml:space="preserve">directly </w:t>
      </w:r>
      <w:r w:rsidR="0098000A" w:rsidRPr="009B4CC0">
        <w:t xml:space="preserve">with </w:t>
      </w:r>
      <w:r w:rsidRPr="009B4CC0">
        <w:t xml:space="preserve">other </w:t>
      </w:r>
      <w:r w:rsidR="0098000A" w:rsidRPr="009B4CC0">
        <w:t xml:space="preserve">relevant </w:t>
      </w:r>
      <w:r w:rsidRPr="009B4CC0">
        <w:t xml:space="preserve">actors working on </w:t>
      </w:r>
      <w:proofErr w:type="gramStart"/>
      <w:r w:rsidRPr="009B4CC0">
        <w:t>capacity</w:t>
      </w:r>
      <w:r w:rsidR="00211030">
        <w:t>-</w:t>
      </w:r>
      <w:r w:rsidRPr="009B4CC0">
        <w:t>building</w:t>
      </w:r>
      <w:proofErr w:type="gramEnd"/>
      <w:r w:rsidR="00740D72" w:rsidRPr="009B4CC0">
        <w:t xml:space="preserve"> in related areas of work</w:t>
      </w:r>
      <w:r w:rsidRPr="009B4CC0">
        <w:t xml:space="preserve">, such as </w:t>
      </w:r>
      <w:r w:rsidR="00211030">
        <w:t>Global Environment Facility-funded</w:t>
      </w:r>
      <w:r w:rsidRPr="009B4CC0">
        <w:t xml:space="preserve"> Cross-Cutting Capacity Development projects, </w:t>
      </w:r>
      <w:r w:rsidR="0098000A" w:rsidRPr="009B4CC0">
        <w:t xml:space="preserve">throughout </w:t>
      </w:r>
      <w:r w:rsidRPr="009B4CC0">
        <w:t>the pan-European region;</w:t>
      </w:r>
    </w:p>
    <w:p w14:paraId="4321F99C" w14:textId="262E9BA9" w:rsidR="00F556E6" w:rsidRPr="009B4CC0" w:rsidRDefault="00740D72" w:rsidP="00275C48">
      <w:pPr>
        <w:pStyle w:val="SingleTxtG"/>
        <w:ind w:left="1701"/>
      </w:pPr>
      <w:proofErr w:type="gramStart"/>
      <w:r w:rsidRPr="009B4CC0">
        <w:t>(</w:t>
      </w:r>
      <w:r w:rsidR="00386CBF">
        <w:t>i</w:t>
      </w:r>
      <w:r w:rsidR="002C6F1C" w:rsidRPr="009B4CC0">
        <w:t>v)</w:t>
      </w:r>
      <w:r w:rsidR="002C6F1C" w:rsidRPr="009B4CC0">
        <w:tab/>
      </w:r>
      <w:r w:rsidR="00386CBF">
        <w:t>I</w:t>
      </w:r>
      <w:r w:rsidR="002C6F1C" w:rsidRPr="009B4CC0">
        <w:t>mplement</w:t>
      </w:r>
      <w:r w:rsidR="006D242B">
        <w:t>ing</w:t>
      </w:r>
      <w:proofErr w:type="gramEnd"/>
      <w:r w:rsidR="002C6F1C" w:rsidRPr="009B4CC0">
        <w:t xml:space="preserve"> capacity-building activities</w:t>
      </w:r>
      <w:r w:rsidR="00E25CF9" w:rsidRPr="009B4CC0">
        <w:t xml:space="preserve"> </w:t>
      </w:r>
      <w:r w:rsidR="002C6F1C" w:rsidRPr="009B4CC0">
        <w:t xml:space="preserve">to provide assistance in accordance with </w:t>
      </w:r>
      <w:r w:rsidR="00E25CF9" w:rsidRPr="009B4CC0">
        <w:t xml:space="preserve">priority areas of action </w:t>
      </w:r>
      <w:r w:rsidR="002C6F1C" w:rsidRPr="009B4CC0">
        <w:t>identified for targeted ECE countries.</w:t>
      </w:r>
      <w:r w:rsidR="00AD6D2C" w:rsidRPr="009B4CC0">
        <w:t xml:space="preserve"> </w:t>
      </w:r>
    </w:p>
    <w:p w14:paraId="6E9E9181" w14:textId="00E95BCF" w:rsidR="002C6F1C" w:rsidRPr="009B4CC0" w:rsidRDefault="002C6F1C" w:rsidP="002C6F1C">
      <w:pPr>
        <w:pStyle w:val="SingleTxtG"/>
        <w:rPr>
          <w:rFonts w:eastAsia="ヒラギノ角ゴ Pro W3"/>
          <w:lang w:eastAsia="en-GB"/>
        </w:rPr>
      </w:pPr>
      <w:r w:rsidRPr="009B4CC0">
        <w:rPr>
          <w:rFonts w:eastAsia="ヒラギノ角ゴ Pro W3"/>
          <w:lang w:eastAsia="en-GB"/>
        </w:rPr>
        <w:t>4.</w:t>
      </w:r>
      <w:r w:rsidRPr="009B4CC0">
        <w:rPr>
          <w:rFonts w:eastAsia="ヒラギノ角ゴ Pro W3"/>
          <w:lang w:eastAsia="en-GB"/>
        </w:rPr>
        <w:tab/>
        <w:t xml:space="preserve">The following outputs </w:t>
      </w:r>
      <w:proofErr w:type="gramStart"/>
      <w:r w:rsidRPr="009B4CC0">
        <w:rPr>
          <w:rFonts w:eastAsia="ヒラギノ角ゴ Pro W3"/>
          <w:lang w:eastAsia="en-GB"/>
        </w:rPr>
        <w:t>will be achieved</w:t>
      </w:r>
      <w:proofErr w:type="gramEnd"/>
      <w:r w:rsidR="00D35044" w:rsidRPr="009B4CC0">
        <w:rPr>
          <w:rFonts w:eastAsia="ヒラギノ角ゴ Pro W3"/>
          <w:lang w:eastAsia="en-GB"/>
        </w:rPr>
        <w:t xml:space="preserve"> leading up to 2021</w:t>
      </w:r>
      <w:r w:rsidRPr="009B4CC0">
        <w:rPr>
          <w:rFonts w:eastAsia="ヒラギノ角ゴ Pro W3"/>
          <w:lang w:eastAsia="en-GB"/>
        </w:rPr>
        <w:t>:</w:t>
      </w:r>
    </w:p>
    <w:p w14:paraId="5440E238" w14:textId="65166BAC" w:rsidR="002C6F1C" w:rsidRPr="009B4CC0" w:rsidRDefault="002C6F1C" w:rsidP="00EB0AF1">
      <w:pPr>
        <w:pStyle w:val="SingleTxtG"/>
        <w:ind w:firstLine="567"/>
        <w:rPr>
          <w:rFonts w:eastAsia="ヒラギノ角ゴ Pro W3"/>
          <w:lang w:eastAsia="en-GB"/>
        </w:rPr>
      </w:pPr>
      <w:r w:rsidRPr="009B4CC0">
        <w:t>(a)</w:t>
      </w:r>
      <w:r w:rsidRPr="009B4CC0">
        <w:tab/>
      </w:r>
      <w:r w:rsidRPr="009B4CC0">
        <w:rPr>
          <w:rFonts w:eastAsia="ヒラギノ角ゴ Pro W3"/>
          <w:lang w:eastAsia="en-GB"/>
        </w:rPr>
        <w:t>SEIS data sets</w:t>
      </w:r>
      <w:r w:rsidR="00EB0AF1" w:rsidRPr="009B4CC0">
        <w:rPr>
          <w:rFonts w:eastAsia="ヒラギノ角ゴ Pro W3"/>
          <w:lang w:eastAsia="en-GB"/>
        </w:rPr>
        <w:t>, as contained in the ECE Online Guidelines for the Application of Environmental Indicators, will be gradually reviewed and extended</w:t>
      </w:r>
      <w:r w:rsidR="00502DB4" w:rsidRPr="009B4CC0">
        <w:rPr>
          <w:rFonts w:eastAsia="ヒラギノ角ゴ Pro W3"/>
          <w:lang w:eastAsia="en-GB"/>
        </w:rPr>
        <w:t xml:space="preserve"> in collaboration with the </w:t>
      </w:r>
      <w:r w:rsidR="00502DB4" w:rsidRPr="009B4CC0">
        <w:t>Joint Task Force and as part of refining the SEIS progress reporting</w:t>
      </w:r>
      <w:r w:rsidR="00EB0AF1" w:rsidRPr="009B4CC0">
        <w:rPr>
          <w:rFonts w:eastAsia="ヒラギノ角ゴ Pro W3"/>
          <w:lang w:eastAsia="en-GB"/>
        </w:rPr>
        <w:t>;</w:t>
      </w:r>
    </w:p>
    <w:p w14:paraId="58336EF6" w14:textId="282D980D" w:rsidR="002C6F1C" w:rsidRPr="009B4CC0" w:rsidRDefault="002C6F1C" w:rsidP="00C364E7">
      <w:pPr>
        <w:pStyle w:val="SingleTxtG"/>
        <w:ind w:firstLine="567"/>
        <w:rPr>
          <w:rFonts w:eastAsia="ヒラギノ角ゴ Pro W3"/>
          <w:lang w:eastAsia="en-GB"/>
        </w:rPr>
      </w:pPr>
      <w:r w:rsidRPr="009B4CC0">
        <w:rPr>
          <w:rFonts w:eastAsia="ヒラギノ角ゴ Pro W3"/>
          <w:lang w:eastAsia="en-GB"/>
        </w:rPr>
        <w:t>(b)</w:t>
      </w:r>
      <w:r w:rsidRPr="009B4CC0">
        <w:rPr>
          <w:rFonts w:eastAsia="ヒラギノ角ゴ Pro W3"/>
          <w:lang w:eastAsia="en-GB"/>
        </w:rPr>
        <w:tab/>
      </w:r>
      <w:r w:rsidR="009F58F6" w:rsidRPr="009B4CC0">
        <w:rPr>
          <w:rFonts w:eastAsia="ヒラギノ角ゴ Pro W3"/>
          <w:lang w:eastAsia="en-GB"/>
        </w:rPr>
        <w:t>Assist</w:t>
      </w:r>
      <w:r w:rsidR="006D242B">
        <w:rPr>
          <w:rFonts w:eastAsia="ヒラギノ角ゴ Pro W3"/>
          <w:lang w:eastAsia="en-GB"/>
        </w:rPr>
        <w:t xml:space="preserve">ance </w:t>
      </w:r>
      <w:proofErr w:type="gramStart"/>
      <w:r w:rsidR="006D242B">
        <w:rPr>
          <w:rFonts w:eastAsia="ヒラギノ角ゴ Pro W3"/>
          <w:lang w:eastAsia="en-GB"/>
        </w:rPr>
        <w:t>will be provided</w:t>
      </w:r>
      <w:proofErr w:type="gramEnd"/>
      <w:r w:rsidR="006D242B">
        <w:rPr>
          <w:rFonts w:eastAsia="ヒラギノ角ゴ Pro W3"/>
          <w:lang w:eastAsia="en-GB"/>
        </w:rPr>
        <w:t xml:space="preserve"> to</w:t>
      </w:r>
      <w:r w:rsidR="009F58F6" w:rsidRPr="009B4CC0">
        <w:rPr>
          <w:rFonts w:eastAsia="ヒラギノ角ゴ Pro W3"/>
          <w:lang w:eastAsia="en-GB"/>
        </w:rPr>
        <w:t xml:space="preserve"> target countries </w:t>
      </w:r>
      <w:r w:rsidR="006D242B">
        <w:rPr>
          <w:rFonts w:eastAsia="ヒラギノ角ゴ Pro W3"/>
          <w:lang w:eastAsia="en-GB"/>
        </w:rPr>
        <w:t xml:space="preserve">for </w:t>
      </w:r>
      <w:r w:rsidR="009F58F6" w:rsidRPr="009B4CC0">
        <w:rPr>
          <w:rFonts w:eastAsia="ヒラギノ角ゴ Pro W3"/>
          <w:lang w:eastAsia="en-GB"/>
        </w:rPr>
        <w:t>report</w:t>
      </w:r>
      <w:r w:rsidR="006D242B">
        <w:rPr>
          <w:rFonts w:eastAsia="ヒラギノ角ゴ Pro W3"/>
          <w:lang w:eastAsia="en-GB"/>
        </w:rPr>
        <w:t>ing</w:t>
      </w:r>
      <w:r w:rsidR="009F58F6" w:rsidRPr="009B4CC0">
        <w:rPr>
          <w:rFonts w:eastAsia="ヒラギノ角ゴ Pro W3"/>
          <w:lang w:eastAsia="en-GB"/>
        </w:rPr>
        <w:t xml:space="preserve"> on SEIS establishment and start</w:t>
      </w:r>
      <w:r w:rsidR="006D242B">
        <w:rPr>
          <w:rFonts w:eastAsia="ヒラギノ角ゴ Pro W3"/>
          <w:lang w:eastAsia="en-GB"/>
        </w:rPr>
        <w:t>ing</w:t>
      </w:r>
      <w:r w:rsidRPr="009B4CC0">
        <w:rPr>
          <w:rFonts w:eastAsia="ヒラギノ角ゴ Pro W3"/>
          <w:lang w:eastAsia="en-GB"/>
        </w:rPr>
        <w:t xml:space="preserve"> preparation</w:t>
      </w:r>
      <w:r w:rsidR="009F58F6" w:rsidRPr="009B4CC0">
        <w:rPr>
          <w:rFonts w:eastAsia="ヒラギノ角ゴ Pro W3"/>
          <w:lang w:eastAsia="en-GB"/>
        </w:rPr>
        <w:t xml:space="preserve">s for </w:t>
      </w:r>
      <w:r w:rsidR="00812EC4" w:rsidRPr="009B4CC0">
        <w:rPr>
          <w:rFonts w:eastAsia="ヒラギノ角ゴ Pro W3"/>
          <w:lang w:eastAsia="en-GB"/>
        </w:rPr>
        <w:t xml:space="preserve">the mid-term and final </w:t>
      </w:r>
      <w:r w:rsidRPr="009B4CC0">
        <w:rPr>
          <w:rFonts w:eastAsia="ヒラギノ角ゴ Pro W3"/>
          <w:lang w:eastAsia="en-GB"/>
        </w:rPr>
        <w:t>SEIS performance report</w:t>
      </w:r>
      <w:r w:rsidR="00812EC4" w:rsidRPr="009B4CC0">
        <w:rPr>
          <w:rFonts w:eastAsia="ヒラギノ角ゴ Pro W3"/>
          <w:lang w:eastAsia="en-GB"/>
        </w:rPr>
        <w:t>s</w:t>
      </w:r>
      <w:r w:rsidR="00502DB4" w:rsidRPr="009B4CC0">
        <w:rPr>
          <w:rFonts w:eastAsia="ヒラギノ角ゴ Pro W3"/>
          <w:lang w:eastAsia="en-GB"/>
        </w:rPr>
        <w:t xml:space="preserve"> in 2018 and 2021, respectively</w:t>
      </w:r>
      <w:r w:rsidRPr="009B4CC0">
        <w:rPr>
          <w:rFonts w:eastAsia="ヒラギノ角ゴ Pro W3"/>
          <w:lang w:eastAsia="en-GB"/>
        </w:rPr>
        <w:t>;</w:t>
      </w:r>
    </w:p>
    <w:p w14:paraId="4834AD6E" w14:textId="77777777" w:rsidR="002C6F1C" w:rsidRPr="009B4CC0" w:rsidRDefault="002C6F1C" w:rsidP="00C364E7">
      <w:pPr>
        <w:pStyle w:val="SingleTxtG"/>
        <w:ind w:firstLine="567"/>
        <w:rPr>
          <w:rFonts w:eastAsia="ヒラギノ角ゴ Pro W3"/>
          <w:lang w:eastAsia="en-GB"/>
        </w:rPr>
      </w:pPr>
      <w:r w:rsidRPr="009B4CC0">
        <w:rPr>
          <w:rFonts w:eastAsia="ヒラギノ角ゴ Pro W3"/>
          <w:lang w:eastAsia="en-GB"/>
        </w:rPr>
        <w:t>(c)</w:t>
      </w:r>
      <w:r w:rsidRPr="009B4CC0">
        <w:rPr>
          <w:rFonts w:eastAsia="ヒラギノ角ゴ Pro W3"/>
          <w:lang w:eastAsia="en-GB"/>
        </w:rPr>
        <w:tab/>
        <w:t xml:space="preserve">Recommendations and advice </w:t>
      </w:r>
      <w:proofErr w:type="gramStart"/>
      <w:r w:rsidRPr="009B4CC0">
        <w:rPr>
          <w:rFonts w:eastAsia="ヒラギノ角ゴ Pro W3"/>
          <w:lang w:eastAsia="en-GB"/>
        </w:rPr>
        <w:t>will be provided</w:t>
      </w:r>
      <w:proofErr w:type="gramEnd"/>
      <w:r w:rsidRPr="009B4CC0">
        <w:rPr>
          <w:rFonts w:eastAsia="ヒラギノ角ゴ Pro W3"/>
          <w:lang w:eastAsia="en-GB"/>
        </w:rPr>
        <w:t xml:space="preserve"> to ECE countries to improve their SEIS performance;</w:t>
      </w:r>
    </w:p>
    <w:p w14:paraId="27EE3B8A" w14:textId="05E2EA87" w:rsidR="002C6F1C" w:rsidRPr="009B4CC0" w:rsidRDefault="002C6F1C" w:rsidP="00C364E7">
      <w:pPr>
        <w:pStyle w:val="SingleTxtG"/>
        <w:ind w:firstLine="567"/>
        <w:rPr>
          <w:rFonts w:eastAsia="ヒラギノ角ゴ Pro W3"/>
          <w:lang w:eastAsia="en-GB"/>
        </w:rPr>
      </w:pPr>
      <w:r w:rsidRPr="009B4CC0">
        <w:rPr>
          <w:rFonts w:eastAsia="ヒラギノ角ゴ Pro W3"/>
          <w:lang w:eastAsia="en-GB"/>
        </w:rPr>
        <w:t>(d)</w:t>
      </w:r>
      <w:r w:rsidRPr="009B4CC0">
        <w:rPr>
          <w:rFonts w:eastAsia="ヒラギノ角ゴ Pro W3"/>
          <w:lang w:eastAsia="en-GB"/>
        </w:rPr>
        <w:tab/>
        <w:t>Working modalities of the regional networ</w:t>
      </w:r>
      <w:r w:rsidR="007D07C8">
        <w:rPr>
          <w:rFonts w:eastAsia="ヒラギノ角ゴ Pro W3"/>
          <w:lang w:eastAsia="en-GB"/>
        </w:rPr>
        <w:t>k of n</w:t>
      </w:r>
      <w:r w:rsidRPr="009B4CC0">
        <w:rPr>
          <w:rFonts w:eastAsia="ヒラギノ角ゴ Pro W3"/>
          <w:lang w:eastAsia="en-GB"/>
        </w:rPr>
        <w:t>etworks will be defined and operationali</w:t>
      </w:r>
      <w:r w:rsidR="006D242B">
        <w:rPr>
          <w:rFonts w:eastAsia="ヒラギノ角ゴ Pro W3"/>
          <w:lang w:eastAsia="en-GB"/>
        </w:rPr>
        <w:t>z</w:t>
      </w:r>
      <w:r w:rsidRPr="009B4CC0">
        <w:rPr>
          <w:rFonts w:eastAsia="ヒラギノ角ゴ Pro W3"/>
          <w:lang w:eastAsia="en-GB"/>
        </w:rPr>
        <w:t>ed</w:t>
      </w:r>
      <w:proofErr w:type="gramStart"/>
      <w:r w:rsidRPr="009B4CC0">
        <w:rPr>
          <w:rFonts w:eastAsia="ヒラギノ角ゴ Pro W3"/>
          <w:lang w:eastAsia="en-GB"/>
        </w:rPr>
        <w:t>;</w:t>
      </w:r>
      <w:proofErr w:type="gramEnd"/>
    </w:p>
    <w:p w14:paraId="796EEA28" w14:textId="53320F8A" w:rsidR="002C6F1C" w:rsidRPr="009B4CC0" w:rsidRDefault="002C6F1C" w:rsidP="00C364E7">
      <w:pPr>
        <w:pStyle w:val="SingleTxtG"/>
        <w:ind w:firstLine="567"/>
        <w:rPr>
          <w:rFonts w:eastAsia="ヒラギノ角ゴ Pro W3"/>
          <w:lang w:eastAsia="en-GB"/>
        </w:rPr>
      </w:pPr>
      <w:r w:rsidRPr="009B4CC0">
        <w:rPr>
          <w:rFonts w:eastAsia="ヒラギノ角ゴ Pro W3"/>
          <w:lang w:eastAsia="en-GB"/>
        </w:rPr>
        <w:t>(e)</w:t>
      </w:r>
      <w:r w:rsidRPr="009B4CC0">
        <w:rPr>
          <w:rFonts w:eastAsia="ヒラギノ角ゴ Pro W3"/>
          <w:lang w:eastAsia="en-GB"/>
        </w:rPr>
        <w:tab/>
        <w:t>Assist</w:t>
      </w:r>
      <w:r w:rsidR="00B60EFE" w:rsidRPr="009B4CC0">
        <w:rPr>
          <w:rFonts w:eastAsia="ヒラギノ角ゴ Pro W3"/>
          <w:lang w:eastAsia="en-GB"/>
        </w:rPr>
        <w:t>ance</w:t>
      </w:r>
      <w:r w:rsidRPr="009B4CC0">
        <w:rPr>
          <w:rFonts w:eastAsia="ヒラギノ角ゴ Pro W3"/>
          <w:lang w:eastAsia="en-GB"/>
        </w:rPr>
        <w:t xml:space="preserve"> </w:t>
      </w:r>
      <w:proofErr w:type="gramStart"/>
      <w:r w:rsidR="006D242B">
        <w:rPr>
          <w:rFonts w:eastAsia="ヒラギノ角ゴ Pro W3"/>
          <w:lang w:eastAsia="en-GB"/>
        </w:rPr>
        <w:t>will be provided</w:t>
      </w:r>
      <w:proofErr w:type="gramEnd"/>
      <w:r w:rsidR="006D242B">
        <w:rPr>
          <w:rFonts w:eastAsia="ヒラギノ角ゴ Pro W3"/>
          <w:lang w:eastAsia="en-GB"/>
        </w:rPr>
        <w:t xml:space="preserve"> </w:t>
      </w:r>
      <w:r w:rsidRPr="009B4CC0">
        <w:rPr>
          <w:rFonts w:eastAsia="ヒラギノ角ゴ Pro W3"/>
          <w:lang w:eastAsia="en-GB"/>
        </w:rPr>
        <w:t>in the p</w:t>
      </w:r>
      <w:r w:rsidR="00305F11" w:rsidRPr="009B4CC0">
        <w:rPr>
          <w:rFonts w:eastAsia="ヒラギノ角ゴ Pro W3"/>
          <w:lang w:eastAsia="en-GB"/>
        </w:rPr>
        <w:t xml:space="preserve">reparation </w:t>
      </w:r>
      <w:r w:rsidRPr="009B4CC0">
        <w:rPr>
          <w:rFonts w:eastAsia="ヒラギノ角ゴ Pro W3"/>
          <w:lang w:eastAsia="en-GB"/>
        </w:rPr>
        <w:t>of the regular pan-European environmental assessment and other relevant state</w:t>
      </w:r>
      <w:r w:rsidR="006D242B">
        <w:rPr>
          <w:rFonts w:eastAsia="ヒラギノ角ゴ Pro W3"/>
          <w:lang w:eastAsia="en-GB"/>
        </w:rPr>
        <w:t>-</w:t>
      </w:r>
      <w:r w:rsidRPr="009B4CC0">
        <w:rPr>
          <w:rFonts w:eastAsia="ヒラギノ角ゴ Pro W3"/>
          <w:lang w:eastAsia="en-GB"/>
        </w:rPr>
        <w:t>of</w:t>
      </w:r>
      <w:r w:rsidR="006D242B">
        <w:rPr>
          <w:rFonts w:eastAsia="ヒラギノ角ゴ Pro W3"/>
          <w:lang w:eastAsia="en-GB"/>
        </w:rPr>
        <w:t>-</w:t>
      </w:r>
      <w:r w:rsidRPr="009B4CC0">
        <w:rPr>
          <w:rFonts w:eastAsia="ヒラギノ角ゴ Pro W3"/>
          <w:lang w:eastAsia="en-GB"/>
        </w:rPr>
        <w:t>the</w:t>
      </w:r>
      <w:r w:rsidR="006D242B">
        <w:rPr>
          <w:rFonts w:eastAsia="ヒラギノ角ゴ Pro W3"/>
          <w:lang w:eastAsia="en-GB"/>
        </w:rPr>
        <w:t>-</w:t>
      </w:r>
      <w:r w:rsidRPr="009B4CC0">
        <w:rPr>
          <w:rFonts w:eastAsia="ヒラギノ角ゴ Pro W3"/>
          <w:lang w:eastAsia="en-GB"/>
        </w:rPr>
        <w:t>environment reports;</w:t>
      </w:r>
    </w:p>
    <w:p w14:paraId="12089027" w14:textId="35A071B0" w:rsidR="002C6F1C" w:rsidRPr="009B4CC0" w:rsidRDefault="002C6F1C">
      <w:pPr>
        <w:pStyle w:val="SingleTxtG"/>
        <w:ind w:firstLine="567"/>
        <w:rPr>
          <w:rFonts w:eastAsia="ヒラギノ角ゴ Pro W3"/>
          <w:lang w:eastAsia="en-GB"/>
        </w:rPr>
      </w:pPr>
      <w:r w:rsidRPr="009B4CC0">
        <w:rPr>
          <w:rFonts w:eastAsia="ヒラギノ角ゴ Pro W3"/>
          <w:lang w:eastAsia="en-GB"/>
        </w:rPr>
        <w:t>(f)</w:t>
      </w:r>
      <w:r w:rsidRPr="009B4CC0">
        <w:rPr>
          <w:rFonts w:eastAsia="ヒラギノ角ゴ Pro W3"/>
          <w:lang w:eastAsia="en-GB"/>
        </w:rPr>
        <w:tab/>
      </w:r>
      <w:r w:rsidR="00502DB4" w:rsidRPr="009B4CC0">
        <w:rPr>
          <w:rFonts w:eastAsia="ヒラギノ角ゴ Pro W3"/>
          <w:lang w:eastAsia="en-GB"/>
        </w:rPr>
        <w:t xml:space="preserve">Support </w:t>
      </w:r>
      <w:r w:rsidR="006D242B">
        <w:rPr>
          <w:rFonts w:eastAsia="ヒラギノ角ゴ Pro W3"/>
          <w:lang w:eastAsia="en-GB"/>
        </w:rPr>
        <w:t xml:space="preserve">will be given for </w:t>
      </w:r>
      <w:r w:rsidR="003018CE" w:rsidRPr="009B4CC0">
        <w:rPr>
          <w:rFonts w:eastAsia="ヒラギノ角ゴ Pro W3"/>
          <w:lang w:eastAsia="en-GB"/>
        </w:rPr>
        <w:t xml:space="preserve">the preparation of </w:t>
      </w:r>
      <w:r w:rsidR="00502DB4" w:rsidRPr="009B4CC0">
        <w:rPr>
          <w:rFonts w:eastAsia="ヒラギノ角ゴ Pro W3"/>
          <w:lang w:eastAsia="en-GB"/>
        </w:rPr>
        <w:t xml:space="preserve">regional and national </w:t>
      </w:r>
      <w:r w:rsidR="003018CE" w:rsidRPr="009B4CC0">
        <w:rPr>
          <w:rFonts w:eastAsia="ヒラギノ角ゴ Pro W3"/>
          <w:lang w:eastAsia="en-GB"/>
        </w:rPr>
        <w:t>i</w:t>
      </w:r>
      <w:r w:rsidRPr="009B4CC0">
        <w:rPr>
          <w:rFonts w:eastAsia="ヒラギノ角ゴ Pro W3"/>
          <w:lang w:eastAsia="en-GB"/>
        </w:rPr>
        <w:t xml:space="preserve">ndicator frameworks </w:t>
      </w:r>
      <w:r w:rsidR="003018CE" w:rsidRPr="009B4CC0">
        <w:rPr>
          <w:rFonts w:eastAsia="ヒラギノ角ゴ Pro W3"/>
          <w:lang w:eastAsia="en-GB"/>
        </w:rPr>
        <w:t>to</w:t>
      </w:r>
      <w:r w:rsidRPr="009B4CC0">
        <w:rPr>
          <w:rFonts w:eastAsia="ヒラギノ角ゴ Pro W3"/>
          <w:lang w:eastAsia="en-GB"/>
        </w:rPr>
        <w:t xml:space="preserve"> monitor the </w:t>
      </w:r>
      <w:r w:rsidR="006D242B">
        <w:rPr>
          <w:rFonts w:eastAsia="ヒラギノ角ゴ Pro W3"/>
          <w:lang w:eastAsia="en-GB"/>
        </w:rPr>
        <w:t>G</w:t>
      </w:r>
      <w:r w:rsidRPr="009B4CC0">
        <w:rPr>
          <w:rFonts w:eastAsia="ヒラギノ角ゴ Pro W3"/>
          <w:lang w:eastAsia="en-GB"/>
        </w:rPr>
        <w:t>oals and targets of the 2030 Agenda</w:t>
      </w:r>
      <w:r w:rsidR="00502DB4" w:rsidRPr="009B4CC0">
        <w:rPr>
          <w:rFonts w:eastAsia="ヒラギノ角ゴ Pro W3"/>
          <w:lang w:eastAsia="en-GB"/>
        </w:rPr>
        <w:t xml:space="preserve"> and the establishment of national</w:t>
      </w:r>
      <w:r w:rsidR="00B60EFE" w:rsidRPr="009B4CC0">
        <w:rPr>
          <w:rFonts w:eastAsia="ヒラギノ角ゴ Pro W3"/>
          <w:lang w:eastAsia="en-GB"/>
        </w:rPr>
        <w:t xml:space="preserve"> </w:t>
      </w:r>
      <w:r w:rsidRPr="009B4CC0">
        <w:rPr>
          <w:rFonts w:eastAsia="ヒラギノ角ゴ Pro W3"/>
          <w:lang w:eastAsia="en-GB"/>
        </w:rPr>
        <w:t>reporting mechanism</w:t>
      </w:r>
      <w:r w:rsidR="00502DB4" w:rsidRPr="009B4CC0">
        <w:rPr>
          <w:rFonts w:eastAsia="ヒラギノ角ゴ Pro W3"/>
          <w:lang w:eastAsia="en-GB"/>
        </w:rPr>
        <w:t xml:space="preserve">s, </w:t>
      </w:r>
      <w:r w:rsidRPr="009B4CC0">
        <w:rPr>
          <w:rFonts w:eastAsia="ヒラギノ角ゴ Pro W3"/>
          <w:lang w:eastAsia="en-GB"/>
        </w:rPr>
        <w:t xml:space="preserve">procedures </w:t>
      </w:r>
      <w:r w:rsidR="00502DB4" w:rsidRPr="009B4CC0">
        <w:t xml:space="preserve">and methodological approaches </w:t>
      </w:r>
      <w:r w:rsidR="001E2B13" w:rsidRPr="009B4CC0">
        <w:rPr>
          <w:rFonts w:eastAsia="ヒラギノ角ゴ Pro W3"/>
          <w:lang w:eastAsia="en-GB"/>
        </w:rPr>
        <w:t xml:space="preserve">associated with </w:t>
      </w:r>
      <w:r w:rsidR="006D242B">
        <w:rPr>
          <w:rFonts w:eastAsia="ヒラギノ角ゴ Pro W3"/>
          <w:lang w:eastAsia="en-GB"/>
        </w:rPr>
        <w:t>Sustainable Development Goal</w:t>
      </w:r>
      <w:r w:rsidRPr="009B4CC0">
        <w:rPr>
          <w:rFonts w:eastAsia="ヒラギノ角ゴ Pro W3"/>
          <w:lang w:eastAsia="en-GB"/>
        </w:rPr>
        <w:t xml:space="preserve"> indicators;</w:t>
      </w:r>
    </w:p>
    <w:p w14:paraId="6D8EE3A9" w14:textId="24D6798A" w:rsidR="002C6F1C" w:rsidRPr="009B4CC0" w:rsidRDefault="002C6F1C" w:rsidP="00C364E7">
      <w:pPr>
        <w:pStyle w:val="SingleTxtG"/>
        <w:ind w:firstLine="567"/>
        <w:rPr>
          <w:rFonts w:eastAsia="ヒラギノ角ゴ Pro W3"/>
          <w:lang w:eastAsia="en-GB"/>
        </w:rPr>
      </w:pPr>
      <w:r w:rsidRPr="009B4CC0">
        <w:rPr>
          <w:rFonts w:eastAsia="ヒラギノ角ゴ Pro W3"/>
          <w:lang w:eastAsia="en-GB"/>
        </w:rPr>
        <w:t>(h)</w:t>
      </w:r>
      <w:r w:rsidRPr="009B4CC0">
        <w:rPr>
          <w:rFonts w:eastAsia="ヒラギノ角ゴ Pro W3"/>
          <w:lang w:eastAsia="en-GB"/>
        </w:rPr>
        <w:tab/>
      </w:r>
      <w:r w:rsidR="00B60EFE" w:rsidRPr="009B4CC0">
        <w:rPr>
          <w:rFonts w:eastAsia="ヒラギノ角ゴ Pro W3"/>
          <w:lang w:eastAsia="en-GB"/>
        </w:rPr>
        <w:t>T</w:t>
      </w:r>
      <w:r w:rsidRPr="009B4CC0">
        <w:rPr>
          <w:rFonts w:eastAsia="ヒラギノ角ゴ Pro W3"/>
          <w:lang w:eastAsia="en-GB"/>
        </w:rPr>
        <w:t>hematic conferences, meetings</w:t>
      </w:r>
      <w:r w:rsidR="006D242B">
        <w:rPr>
          <w:rFonts w:eastAsia="ヒラギノ角ゴ Pro W3"/>
          <w:lang w:eastAsia="en-GB"/>
        </w:rPr>
        <w:t xml:space="preserve"> and</w:t>
      </w:r>
      <w:r w:rsidRPr="009B4CC0">
        <w:rPr>
          <w:rFonts w:eastAsia="ヒラギノ角ゴ Pro W3"/>
          <w:lang w:eastAsia="en-GB"/>
        </w:rPr>
        <w:t xml:space="preserve"> workshops to prepare publications that address the integration of environmental and economic data</w:t>
      </w:r>
      <w:r w:rsidR="00B60EFE" w:rsidRPr="009B4CC0">
        <w:rPr>
          <w:rFonts w:eastAsia="ヒラギノ角ゴ Pro W3"/>
          <w:lang w:eastAsia="en-GB"/>
        </w:rPr>
        <w:t xml:space="preserve"> </w:t>
      </w:r>
      <w:proofErr w:type="gramStart"/>
      <w:r w:rsidR="00B60EFE" w:rsidRPr="009B4CC0">
        <w:rPr>
          <w:rFonts w:eastAsia="ヒラギノ角ゴ Pro W3"/>
          <w:lang w:eastAsia="en-GB"/>
        </w:rPr>
        <w:t>will be organi</w:t>
      </w:r>
      <w:r w:rsidR="006D242B">
        <w:rPr>
          <w:rFonts w:eastAsia="ヒラギノ角ゴ Pro W3"/>
          <w:lang w:eastAsia="en-GB"/>
        </w:rPr>
        <w:t>z</w:t>
      </w:r>
      <w:r w:rsidR="00B60EFE" w:rsidRPr="009B4CC0">
        <w:rPr>
          <w:rFonts w:eastAsia="ヒラギノ角ゴ Pro W3"/>
          <w:lang w:eastAsia="en-GB"/>
        </w:rPr>
        <w:t>ed</w:t>
      </w:r>
      <w:proofErr w:type="gramEnd"/>
      <w:r w:rsidR="00502DB4" w:rsidRPr="009B4CC0">
        <w:rPr>
          <w:rFonts w:eastAsia="ヒラギノ角ゴ Pro W3"/>
          <w:lang w:eastAsia="en-GB"/>
        </w:rPr>
        <w:t>, subject to the availability of funding</w:t>
      </w:r>
      <w:r w:rsidRPr="009B4CC0">
        <w:rPr>
          <w:rFonts w:eastAsia="ヒラギノ角ゴ Pro W3"/>
          <w:lang w:eastAsia="en-GB"/>
        </w:rPr>
        <w:t>;</w:t>
      </w:r>
    </w:p>
    <w:p w14:paraId="1DC0ACC7" w14:textId="504FF42E" w:rsidR="002C6F1C" w:rsidRPr="009B4CC0" w:rsidRDefault="002C6F1C" w:rsidP="00C364E7">
      <w:pPr>
        <w:pStyle w:val="SingleTxtG"/>
        <w:ind w:firstLine="567"/>
        <w:rPr>
          <w:rFonts w:eastAsia="ヒラギノ角ゴ Pro W3"/>
          <w:lang w:eastAsia="en-GB"/>
        </w:rPr>
      </w:pPr>
      <w:r w:rsidRPr="009B4CC0">
        <w:rPr>
          <w:rFonts w:eastAsia="ヒラギノ角ゴ Pro W3"/>
          <w:lang w:eastAsia="en-GB"/>
        </w:rPr>
        <w:t>(</w:t>
      </w:r>
      <w:proofErr w:type="spellStart"/>
      <w:r w:rsidRPr="009B4CC0">
        <w:rPr>
          <w:rFonts w:eastAsia="ヒラギノ角ゴ Pro W3"/>
          <w:lang w:eastAsia="en-GB"/>
        </w:rPr>
        <w:t>i</w:t>
      </w:r>
      <w:proofErr w:type="spellEnd"/>
      <w:r w:rsidRPr="009B4CC0">
        <w:rPr>
          <w:rFonts w:eastAsia="ヒラギノ角ゴ Pro W3"/>
          <w:lang w:eastAsia="en-GB"/>
        </w:rPr>
        <w:t>)</w:t>
      </w:r>
      <w:r w:rsidRPr="009B4CC0">
        <w:rPr>
          <w:rFonts w:eastAsia="ヒラギノ角ゴ Pro W3"/>
          <w:lang w:eastAsia="en-GB"/>
        </w:rPr>
        <w:tab/>
        <w:t xml:space="preserve">Focused capacity-building activities </w:t>
      </w:r>
      <w:proofErr w:type="gramStart"/>
      <w:r w:rsidR="00B60EFE" w:rsidRPr="009B4CC0">
        <w:rPr>
          <w:rFonts w:eastAsia="ヒラギノ角ゴ Pro W3"/>
          <w:lang w:eastAsia="en-GB"/>
        </w:rPr>
        <w:t xml:space="preserve">will be </w:t>
      </w:r>
      <w:r w:rsidRPr="009B4CC0">
        <w:rPr>
          <w:rFonts w:eastAsia="ヒラギノ角ゴ Pro W3"/>
          <w:lang w:eastAsia="en-GB"/>
        </w:rPr>
        <w:t>carried out</w:t>
      </w:r>
      <w:proofErr w:type="gramEnd"/>
      <w:r w:rsidRPr="009B4CC0">
        <w:rPr>
          <w:rFonts w:eastAsia="ヒラギノ角ゴ Pro W3"/>
          <w:lang w:eastAsia="en-GB"/>
        </w:rPr>
        <w:t xml:space="preserve"> to address specific national </w:t>
      </w:r>
      <w:r w:rsidR="00812EC4" w:rsidRPr="009B4CC0">
        <w:rPr>
          <w:rFonts w:eastAsia="ヒラギノ角ゴ Pro W3"/>
          <w:lang w:eastAsia="en-GB"/>
        </w:rPr>
        <w:t>priorities</w:t>
      </w:r>
      <w:r w:rsidRPr="009B4CC0">
        <w:rPr>
          <w:rFonts w:eastAsia="ヒラギノ角ゴ Pro W3"/>
          <w:lang w:eastAsia="en-GB"/>
        </w:rPr>
        <w:t>, including</w:t>
      </w:r>
      <w:r w:rsidRPr="009B4CC0">
        <w:t xml:space="preserve"> the preparation of training materials and </w:t>
      </w:r>
      <w:r w:rsidR="006D242B">
        <w:t xml:space="preserve">the </w:t>
      </w:r>
      <w:r w:rsidRPr="009B4CC0">
        <w:t>provision of advisory services</w:t>
      </w:r>
      <w:r w:rsidR="00502DB4" w:rsidRPr="009B4CC0">
        <w:t xml:space="preserve">, </w:t>
      </w:r>
      <w:r w:rsidR="00502DB4" w:rsidRPr="009B4CC0">
        <w:rPr>
          <w:rFonts w:eastAsia="ヒラギノ角ゴ Pro W3"/>
          <w:lang w:eastAsia="en-GB"/>
        </w:rPr>
        <w:t>subject to the availability of funding</w:t>
      </w:r>
      <w:r w:rsidRPr="009B4CC0">
        <w:t>.</w:t>
      </w:r>
      <w:r w:rsidR="003018CE" w:rsidRPr="009B4CC0">
        <w:t xml:space="preserve"> </w:t>
      </w:r>
    </w:p>
    <w:p w14:paraId="03B114CE" w14:textId="77777777" w:rsidR="002C6F1C" w:rsidRPr="009B4CC0" w:rsidRDefault="002C6F1C" w:rsidP="00CE73AF">
      <w:pPr>
        <w:pStyle w:val="HChG"/>
        <w:rPr>
          <w:rFonts w:eastAsia="ヒラギノ角ゴ Pro W3"/>
        </w:rPr>
      </w:pPr>
      <w:r w:rsidRPr="009B4CC0">
        <w:rPr>
          <w:rFonts w:eastAsia="ヒラギノ角ゴ Pro W3"/>
        </w:rPr>
        <w:tab/>
        <w:t>IV.</w:t>
      </w:r>
      <w:r w:rsidRPr="009B4CC0">
        <w:rPr>
          <w:rFonts w:eastAsia="ヒラギノ角ゴ Pro W3"/>
        </w:rPr>
        <w:tab/>
        <w:t>Timetable</w:t>
      </w:r>
    </w:p>
    <w:p w14:paraId="3B77D364" w14:textId="7A553770" w:rsidR="002C6F1C" w:rsidRPr="009B4CC0" w:rsidRDefault="002C6F1C" w:rsidP="002C6F1C">
      <w:pPr>
        <w:pStyle w:val="SingleTxtG"/>
        <w:rPr>
          <w:rFonts w:eastAsia="ヒラギノ角ゴ Pro W3"/>
        </w:rPr>
      </w:pPr>
      <w:r w:rsidRPr="009B4CC0">
        <w:rPr>
          <w:rFonts w:eastAsia="ヒラギノ角ゴ Pro W3"/>
        </w:rPr>
        <w:t>5.</w:t>
      </w:r>
      <w:r w:rsidRPr="009B4CC0">
        <w:rPr>
          <w:rFonts w:eastAsia="ヒラギノ角ゴ Pro W3"/>
        </w:rPr>
        <w:tab/>
        <w:t xml:space="preserve">The Working Group </w:t>
      </w:r>
      <w:r w:rsidR="00386CBF">
        <w:rPr>
          <w:rFonts w:eastAsia="ヒラギノ角ゴ Pro W3"/>
        </w:rPr>
        <w:t xml:space="preserve">shall </w:t>
      </w:r>
      <w:r w:rsidRPr="009B4CC0">
        <w:rPr>
          <w:rFonts w:eastAsia="ヒラギノ角ゴ Pro W3"/>
        </w:rPr>
        <w:t xml:space="preserve">prepare an annual </w:t>
      </w:r>
      <w:r w:rsidR="00DF5BB7" w:rsidRPr="009B4CC0">
        <w:rPr>
          <w:rFonts w:eastAsia="ヒラギノ角ゴ Pro W3"/>
        </w:rPr>
        <w:t>timetable</w:t>
      </w:r>
      <w:r w:rsidRPr="009B4CC0">
        <w:rPr>
          <w:rFonts w:eastAsia="ヒラギノ角ゴ Pro W3"/>
        </w:rPr>
        <w:t xml:space="preserve"> of activities</w:t>
      </w:r>
      <w:r w:rsidR="00DF5BB7" w:rsidRPr="009B4CC0">
        <w:rPr>
          <w:rFonts w:eastAsia="ヒラギノ角ゴ Pro W3"/>
        </w:rPr>
        <w:t xml:space="preserve"> and achievements</w:t>
      </w:r>
      <w:r w:rsidR="00305F11" w:rsidRPr="009B4CC0">
        <w:rPr>
          <w:rFonts w:eastAsia="ヒラギノ角ゴ Pro W3"/>
        </w:rPr>
        <w:t xml:space="preserve">, as an official document, </w:t>
      </w:r>
      <w:r w:rsidRPr="009B4CC0">
        <w:rPr>
          <w:rFonts w:eastAsia="ヒラギノ角ゴ Pro W3"/>
        </w:rPr>
        <w:t>and regularly report to the Committee.</w:t>
      </w:r>
      <w:r w:rsidR="00305F11" w:rsidRPr="009B4CC0">
        <w:rPr>
          <w:rFonts w:eastAsia="ヒラギノ角ゴ Pro W3"/>
        </w:rPr>
        <w:t xml:space="preserve"> This will ensure that the Working Group can accommodate new demands </w:t>
      </w:r>
      <w:r w:rsidR="008268DA" w:rsidRPr="009B4CC0">
        <w:rPr>
          <w:rFonts w:eastAsia="ヒラギノ角ゴ Pro W3"/>
        </w:rPr>
        <w:t xml:space="preserve">over time </w:t>
      </w:r>
      <w:r w:rsidR="00305F11" w:rsidRPr="009B4CC0">
        <w:rPr>
          <w:rFonts w:eastAsia="ヒラギノ角ゴ Pro W3"/>
        </w:rPr>
        <w:t>and allow the Committee to comment and monitor ongoing and future activities.</w:t>
      </w:r>
      <w:r w:rsidR="007A03B3" w:rsidRPr="009B4CC0">
        <w:rPr>
          <w:rFonts w:eastAsia="ヒラギノ角ゴ Pro W3"/>
        </w:rPr>
        <w:t xml:space="preserve"> The Working Group </w:t>
      </w:r>
      <w:r w:rsidR="00386CBF">
        <w:rPr>
          <w:rFonts w:eastAsia="ヒラギノ角ゴ Pro W3"/>
        </w:rPr>
        <w:t xml:space="preserve">shall </w:t>
      </w:r>
      <w:r w:rsidR="007A03B3" w:rsidRPr="009B4CC0">
        <w:rPr>
          <w:rFonts w:eastAsia="ヒラギノ角ゴ Pro W3"/>
        </w:rPr>
        <w:t xml:space="preserve">also </w:t>
      </w:r>
      <w:r w:rsidR="00691C46" w:rsidRPr="009B4CC0">
        <w:rPr>
          <w:rFonts w:eastAsia="ヒラギノ角ゴ Pro W3"/>
        </w:rPr>
        <w:t xml:space="preserve">endeavour to </w:t>
      </w:r>
      <w:r w:rsidR="007A03B3" w:rsidRPr="009B4CC0">
        <w:rPr>
          <w:rFonts w:eastAsia="ヒラギノ角ゴ Pro W3"/>
        </w:rPr>
        <w:t>submit a mid-term review to the Committee as a stocktaking exercise.</w:t>
      </w:r>
    </w:p>
    <w:p w14:paraId="7EF571C6" w14:textId="323CB940" w:rsidR="002C6F1C" w:rsidRPr="009B4CC0" w:rsidRDefault="002C6F1C" w:rsidP="002C6F1C">
      <w:pPr>
        <w:pStyle w:val="SingleTxtG"/>
        <w:rPr>
          <w:rFonts w:eastAsia="ヒラギノ角ゴ Pro W3"/>
        </w:rPr>
      </w:pPr>
      <w:proofErr w:type="gramStart"/>
      <w:r w:rsidRPr="009B4CC0">
        <w:rPr>
          <w:rFonts w:eastAsia="ヒラギノ角ゴ Pro W3"/>
        </w:rPr>
        <w:t>6.</w:t>
      </w:r>
      <w:r w:rsidRPr="009B4CC0">
        <w:rPr>
          <w:rFonts w:eastAsia="ヒラギノ角ゴ Pro W3"/>
        </w:rPr>
        <w:tab/>
      </w:r>
      <w:r w:rsidRPr="009B4CC0">
        <w:rPr>
          <w:rFonts w:eastAsia="ヒラギノ角ゴ Pro W3"/>
          <w:lang w:eastAsia="en-GB"/>
        </w:rPr>
        <w:t>During 2017</w:t>
      </w:r>
      <w:proofErr w:type="gramEnd"/>
      <w:r w:rsidRPr="009B4CC0">
        <w:rPr>
          <w:rFonts w:eastAsia="ヒラギノ角ゴ Pro W3"/>
          <w:lang w:eastAsia="en-GB"/>
        </w:rPr>
        <w:t xml:space="preserve"> the Working Group </w:t>
      </w:r>
      <w:r w:rsidR="00386CBF">
        <w:rPr>
          <w:rFonts w:eastAsia="ヒラギノ角ゴ Pro W3"/>
          <w:lang w:eastAsia="en-GB"/>
        </w:rPr>
        <w:t>shall</w:t>
      </w:r>
      <w:r w:rsidRPr="009B4CC0">
        <w:rPr>
          <w:rFonts w:eastAsia="ヒラギノ角ゴ Pro W3"/>
          <w:lang w:eastAsia="en-GB"/>
        </w:rPr>
        <w:t>:</w:t>
      </w:r>
    </w:p>
    <w:p w14:paraId="291ABFF4" w14:textId="70FC8BEE" w:rsidR="002C6F1C" w:rsidRPr="009B4CC0" w:rsidRDefault="002C6F1C" w:rsidP="00C364E7">
      <w:pPr>
        <w:pStyle w:val="SingleTxtG"/>
        <w:ind w:firstLine="567"/>
        <w:rPr>
          <w:rFonts w:eastAsia="ヒラギノ角ゴ Pro W3"/>
          <w:lang w:eastAsia="en-GB"/>
        </w:rPr>
      </w:pPr>
      <w:r w:rsidRPr="009B4CC0">
        <w:t>(a)</w:t>
      </w:r>
      <w:r w:rsidRPr="009B4CC0">
        <w:tab/>
      </w:r>
      <w:r w:rsidR="006D0FC1" w:rsidRPr="009B4CC0">
        <w:rPr>
          <w:rFonts w:eastAsia="ヒラギノ角ゴ Pro W3"/>
          <w:lang w:eastAsia="en-GB"/>
        </w:rPr>
        <w:t xml:space="preserve">Review </w:t>
      </w:r>
      <w:r w:rsidRPr="009B4CC0">
        <w:rPr>
          <w:rFonts w:eastAsia="ヒラギノ角ゴ Pro W3"/>
          <w:lang w:eastAsia="en-GB"/>
        </w:rPr>
        <w:t xml:space="preserve">the SEIS content to see if it </w:t>
      </w:r>
      <w:proofErr w:type="gramStart"/>
      <w:r w:rsidRPr="009B4CC0">
        <w:rPr>
          <w:rFonts w:eastAsia="ヒラギノ角ゴ Pro W3"/>
          <w:lang w:eastAsia="en-GB"/>
        </w:rPr>
        <w:t>can be extended</w:t>
      </w:r>
      <w:proofErr w:type="gramEnd"/>
      <w:r w:rsidRPr="009B4CC0">
        <w:rPr>
          <w:rFonts w:eastAsia="ヒラギノ角ゴ Pro W3"/>
          <w:lang w:eastAsia="en-GB"/>
        </w:rPr>
        <w:t xml:space="preserve"> with additional data sets;</w:t>
      </w:r>
    </w:p>
    <w:p w14:paraId="0242B369" w14:textId="6B43167B" w:rsidR="002C6F1C" w:rsidRPr="009B4CC0" w:rsidRDefault="002C6F1C" w:rsidP="00C364E7">
      <w:pPr>
        <w:pStyle w:val="SingleTxtG"/>
        <w:ind w:firstLine="567"/>
        <w:rPr>
          <w:rFonts w:eastAsia="ヒラギノ角ゴ Pro W3"/>
          <w:lang w:eastAsia="en-GB"/>
        </w:rPr>
      </w:pPr>
      <w:r w:rsidRPr="009B4CC0">
        <w:rPr>
          <w:rFonts w:eastAsia="ヒラギノ角ゴ Pro W3"/>
          <w:lang w:eastAsia="en-GB"/>
        </w:rPr>
        <w:t>(b)</w:t>
      </w:r>
      <w:r w:rsidRPr="009B4CC0">
        <w:rPr>
          <w:rFonts w:eastAsia="ヒラギノ角ゴ Pro W3"/>
          <w:lang w:eastAsia="en-GB"/>
        </w:rPr>
        <w:tab/>
        <w:t>Operationali</w:t>
      </w:r>
      <w:r w:rsidR="00334106">
        <w:rPr>
          <w:rFonts w:eastAsia="ヒラギノ角ゴ Pro W3"/>
          <w:lang w:eastAsia="en-GB"/>
        </w:rPr>
        <w:t>z</w:t>
      </w:r>
      <w:r w:rsidRPr="009B4CC0">
        <w:rPr>
          <w:rFonts w:eastAsia="ヒラギノ角ゴ Pro W3"/>
          <w:lang w:eastAsia="en-GB"/>
        </w:rPr>
        <w:t xml:space="preserve">e the online SEIS reporting application through UNEP </w:t>
      </w:r>
      <w:r w:rsidR="00334106">
        <w:rPr>
          <w:rFonts w:eastAsia="ヒラギノ角ゴ Pro W3"/>
          <w:lang w:eastAsia="en-GB"/>
        </w:rPr>
        <w:t>L</w:t>
      </w:r>
      <w:r w:rsidRPr="009B4CC0">
        <w:rPr>
          <w:rFonts w:eastAsia="ヒラギノ角ゴ Pro W3"/>
          <w:lang w:eastAsia="en-GB"/>
        </w:rPr>
        <w:t xml:space="preserve">ive, in collaboration with UNEP, and present the outcomes </w:t>
      </w:r>
      <w:r w:rsidR="00334106">
        <w:rPr>
          <w:rFonts w:eastAsia="ヒラギノ角ゴ Pro W3"/>
          <w:lang w:eastAsia="en-GB"/>
        </w:rPr>
        <w:t xml:space="preserve">to </w:t>
      </w:r>
      <w:r w:rsidRPr="009B4CC0">
        <w:rPr>
          <w:rFonts w:eastAsia="ヒラギノ角ゴ Pro W3"/>
          <w:lang w:eastAsia="en-GB"/>
        </w:rPr>
        <w:t xml:space="preserve">the </w:t>
      </w:r>
      <w:r w:rsidR="00334106">
        <w:rPr>
          <w:rFonts w:eastAsia="ヒラギノ角ゴ Pro W3"/>
          <w:lang w:eastAsia="en-GB"/>
        </w:rPr>
        <w:t xml:space="preserve">Committee at its </w:t>
      </w:r>
      <w:r w:rsidRPr="009B4CC0">
        <w:rPr>
          <w:rFonts w:eastAsia="ヒラギノ角ゴ Pro W3"/>
          <w:lang w:eastAsia="en-GB"/>
        </w:rPr>
        <w:t>twenty-third session</w:t>
      </w:r>
      <w:proofErr w:type="gramStart"/>
      <w:r w:rsidRPr="009B4CC0">
        <w:rPr>
          <w:rFonts w:eastAsia="ヒラギノ角ゴ Pro W3"/>
          <w:lang w:eastAsia="en-GB"/>
        </w:rPr>
        <w:t>;</w:t>
      </w:r>
      <w:proofErr w:type="gramEnd"/>
    </w:p>
    <w:p w14:paraId="53E9665C" w14:textId="4C2E641E" w:rsidR="002C6F1C" w:rsidRPr="009B4CC0" w:rsidRDefault="002C6F1C" w:rsidP="00C364E7">
      <w:pPr>
        <w:pStyle w:val="SingleTxtG"/>
        <w:ind w:firstLine="567"/>
        <w:rPr>
          <w:rFonts w:eastAsia="ヒラギノ角ゴ Pro W3"/>
          <w:lang w:eastAsia="en-GB"/>
        </w:rPr>
      </w:pPr>
      <w:r w:rsidRPr="009B4CC0">
        <w:rPr>
          <w:rFonts w:eastAsia="ヒラギノ角ゴ Pro W3"/>
          <w:lang w:eastAsia="en-GB"/>
        </w:rPr>
        <w:t>(c)</w:t>
      </w:r>
      <w:r w:rsidRPr="009B4CC0">
        <w:rPr>
          <w:rFonts w:eastAsia="ヒラギノ角ゴ Pro W3"/>
          <w:lang w:eastAsia="en-GB"/>
        </w:rPr>
        <w:tab/>
        <w:t>Present the working modalities of the regional networ</w:t>
      </w:r>
      <w:r w:rsidR="007D07C8">
        <w:rPr>
          <w:rFonts w:eastAsia="ヒラギノ角ゴ Pro W3"/>
          <w:lang w:eastAsia="en-GB"/>
        </w:rPr>
        <w:t>k of n</w:t>
      </w:r>
      <w:r w:rsidRPr="009B4CC0">
        <w:rPr>
          <w:rFonts w:eastAsia="ヒラギノ角ゴ Pro W3"/>
          <w:lang w:eastAsia="en-GB"/>
        </w:rPr>
        <w:t xml:space="preserve">etworks to the Committee at </w:t>
      </w:r>
      <w:r w:rsidR="00334106">
        <w:rPr>
          <w:rFonts w:eastAsia="ヒラギノ角ゴ Pro W3"/>
          <w:lang w:eastAsia="en-GB"/>
        </w:rPr>
        <w:t xml:space="preserve">its </w:t>
      </w:r>
      <w:r w:rsidRPr="009B4CC0">
        <w:rPr>
          <w:rFonts w:eastAsia="ヒラギノ角ゴ Pro W3"/>
          <w:lang w:eastAsia="en-GB"/>
        </w:rPr>
        <w:t>twenty-third session</w:t>
      </w:r>
      <w:proofErr w:type="gramStart"/>
      <w:r w:rsidRPr="009B4CC0">
        <w:rPr>
          <w:rFonts w:eastAsia="ヒラギノ角ゴ Pro W3"/>
          <w:lang w:eastAsia="en-GB"/>
        </w:rPr>
        <w:t>;</w:t>
      </w:r>
      <w:proofErr w:type="gramEnd"/>
    </w:p>
    <w:p w14:paraId="3C08BF80" w14:textId="534E0986" w:rsidR="002C6F1C" w:rsidRPr="009B4CC0" w:rsidRDefault="002C6F1C" w:rsidP="00C364E7">
      <w:pPr>
        <w:pStyle w:val="SingleTxtG"/>
        <w:ind w:firstLine="567"/>
        <w:rPr>
          <w:rFonts w:eastAsia="ヒラギノ角ゴ Pro W3"/>
          <w:lang w:eastAsia="en-GB"/>
        </w:rPr>
      </w:pPr>
      <w:r w:rsidRPr="009B4CC0">
        <w:rPr>
          <w:rFonts w:eastAsia="ヒラギノ角ゴ Pro W3"/>
          <w:lang w:eastAsia="en-GB"/>
        </w:rPr>
        <w:t>(d)</w:t>
      </w:r>
      <w:r w:rsidRPr="009B4CC0">
        <w:rPr>
          <w:rFonts w:eastAsia="ヒラギノ角ゴ Pro W3"/>
          <w:lang w:eastAsia="en-GB"/>
        </w:rPr>
        <w:tab/>
      </w:r>
      <w:r w:rsidR="00C6285D" w:rsidRPr="009B4CC0">
        <w:rPr>
          <w:rFonts w:eastAsia="ヒラギノ角ゴ Pro W3"/>
          <w:lang w:eastAsia="en-GB"/>
        </w:rPr>
        <w:t>Organi</w:t>
      </w:r>
      <w:r w:rsidR="00334106">
        <w:rPr>
          <w:rFonts w:eastAsia="ヒラギノ角ゴ Pro W3"/>
          <w:lang w:eastAsia="en-GB"/>
        </w:rPr>
        <w:t>z</w:t>
      </w:r>
      <w:r w:rsidR="00C6285D" w:rsidRPr="009B4CC0">
        <w:rPr>
          <w:rFonts w:eastAsia="ヒラギノ角ゴ Pro W3"/>
          <w:lang w:eastAsia="en-GB"/>
        </w:rPr>
        <w:t>e a consultation and workshop to d</w:t>
      </w:r>
      <w:r w:rsidRPr="009B4CC0">
        <w:rPr>
          <w:rFonts w:eastAsia="ヒラギノ角ゴ Pro W3"/>
          <w:lang w:eastAsia="en-GB"/>
        </w:rPr>
        <w:t xml:space="preserve">etail regional </w:t>
      </w:r>
      <w:r w:rsidR="00C6285D" w:rsidRPr="009B4CC0">
        <w:rPr>
          <w:rFonts w:eastAsia="ヒラギノ角ゴ Pro W3"/>
          <w:lang w:eastAsia="en-GB"/>
        </w:rPr>
        <w:t xml:space="preserve">and national </w:t>
      </w:r>
      <w:r w:rsidRPr="009B4CC0">
        <w:rPr>
          <w:rFonts w:eastAsia="ヒラギノ角ゴ Pro W3"/>
          <w:lang w:eastAsia="en-GB"/>
        </w:rPr>
        <w:t>priorities regard</w:t>
      </w:r>
      <w:r w:rsidR="00334106">
        <w:rPr>
          <w:rFonts w:eastAsia="ヒラギノ角ゴ Pro W3"/>
          <w:lang w:eastAsia="en-GB"/>
        </w:rPr>
        <w:t>ing</w:t>
      </w:r>
      <w:r w:rsidRPr="009B4CC0">
        <w:rPr>
          <w:rFonts w:eastAsia="ヒラギノ角ゴ Pro W3"/>
          <w:lang w:eastAsia="en-GB"/>
        </w:rPr>
        <w:t xml:space="preserve"> monitoring and assessment capabilities needed for compiling environmentally</w:t>
      </w:r>
      <w:r w:rsidR="00334106">
        <w:rPr>
          <w:rFonts w:eastAsia="ヒラギノ角ゴ Pro W3"/>
          <w:lang w:eastAsia="en-GB"/>
        </w:rPr>
        <w:t xml:space="preserve"> </w:t>
      </w:r>
      <w:r w:rsidRPr="009B4CC0">
        <w:rPr>
          <w:rFonts w:eastAsia="ヒラギノ角ゴ Pro W3"/>
          <w:lang w:eastAsia="en-GB"/>
        </w:rPr>
        <w:t xml:space="preserve">related </w:t>
      </w:r>
      <w:r w:rsidR="00334106">
        <w:rPr>
          <w:rFonts w:eastAsia="ヒラギノ角ゴ Pro W3"/>
          <w:lang w:eastAsia="en-GB"/>
        </w:rPr>
        <w:t>Sustainable Development Goal</w:t>
      </w:r>
      <w:r w:rsidRPr="009B4CC0">
        <w:rPr>
          <w:rFonts w:eastAsia="ヒラギノ角ゴ Pro W3"/>
          <w:lang w:eastAsia="en-GB"/>
        </w:rPr>
        <w:t xml:space="preserve"> indicators </w:t>
      </w:r>
      <w:r w:rsidR="00C6285D" w:rsidRPr="009B4CC0">
        <w:rPr>
          <w:rFonts w:eastAsia="ヒラギノ角ゴ Pro W3"/>
          <w:lang w:eastAsia="en-GB"/>
        </w:rPr>
        <w:t xml:space="preserve">as part of defining </w:t>
      </w:r>
      <w:r w:rsidR="00C6285D" w:rsidRPr="009B4CC0">
        <w:t>priority areas of action</w:t>
      </w:r>
      <w:r w:rsidR="00C6285D" w:rsidRPr="009B4CC0">
        <w:rPr>
          <w:rFonts w:eastAsia="ヒラギノ角ゴ Pro W3"/>
          <w:lang w:eastAsia="en-GB"/>
        </w:rPr>
        <w:t xml:space="preserve"> </w:t>
      </w:r>
      <w:r w:rsidRPr="009B4CC0">
        <w:rPr>
          <w:rFonts w:eastAsia="ヒラギノ角ゴ Pro W3"/>
          <w:lang w:eastAsia="en-GB"/>
        </w:rPr>
        <w:t>for the Working Group</w:t>
      </w:r>
      <w:r w:rsidR="00C6285D" w:rsidRPr="009B4CC0">
        <w:rPr>
          <w:rFonts w:eastAsia="ヒラギノ角ゴ Pro W3"/>
          <w:lang w:eastAsia="en-GB"/>
        </w:rPr>
        <w:t xml:space="preserve"> for 2018</w:t>
      </w:r>
      <w:proofErr w:type="gramStart"/>
      <w:r w:rsidRPr="009B4CC0">
        <w:rPr>
          <w:rFonts w:eastAsia="ヒラギノ角ゴ Pro W3"/>
          <w:lang w:eastAsia="en-GB"/>
        </w:rPr>
        <w:t>;</w:t>
      </w:r>
      <w:proofErr w:type="gramEnd"/>
    </w:p>
    <w:p w14:paraId="36A76772" w14:textId="2C99ECAE" w:rsidR="002C6F1C" w:rsidRPr="009B4CC0" w:rsidRDefault="002C6F1C" w:rsidP="00C364E7">
      <w:pPr>
        <w:pStyle w:val="SingleTxtG"/>
        <w:ind w:firstLine="567"/>
        <w:rPr>
          <w:rFonts w:eastAsia="ヒラギノ角ゴ Pro W3"/>
          <w:lang w:eastAsia="en-GB"/>
        </w:rPr>
      </w:pPr>
      <w:r w:rsidRPr="009B4CC0">
        <w:rPr>
          <w:rFonts w:eastAsia="ヒラギノ角ゴ Pro W3"/>
          <w:lang w:eastAsia="en-GB"/>
        </w:rPr>
        <w:t>(e)</w:t>
      </w:r>
      <w:r w:rsidRPr="009B4CC0">
        <w:rPr>
          <w:rFonts w:eastAsia="ヒラギノ角ゴ Pro W3"/>
          <w:lang w:eastAsia="en-GB"/>
        </w:rPr>
        <w:tab/>
        <w:t>Organi</w:t>
      </w:r>
      <w:r w:rsidR="00334106">
        <w:rPr>
          <w:rFonts w:eastAsia="ヒラギノ角ゴ Pro W3"/>
          <w:lang w:eastAsia="en-GB"/>
        </w:rPr>
        <w:t>z</w:t>
      </w:r>
      <w:r w:rsidRPr="009B4CC0">
        <w:rPr>
          <w:rFonts w:eastAsia="ヒラギノ角ゴ Pro W3"/>
          <w:lang w:eastAsia="en-GB"/>
        </w:rPr>
        <w:t>e a thematic workshop that address</w:t>
      </w:r>
      <w:r w:rsidR="00334106">
        <w:rPr>
          <w:rFonts w:eastAsia="ヒラギノ角ゴ Pro W3"/>
          <w:lang w:eastAsia="en-GB"/>
        </w:rPr>
        <w:t>es</w:t>
      </w:r>
      <w:r w:rsidRPr="009B4CC0">
        <w:rPr>
          <w:rFonts w:eastAsia="ヒラギノ角ゴ Pro W3"/>
          <w:lang w:eastAsia="en-GB"/>
        </w:rPr>
        <w:t xml:space="preserve"> how environmental and economic data </w:t>
      </w:r>
      <w:proofErr w:type="gramStart"/>
      <w:r w:rsidRPr="009B4CC0">
        <w:rPr>
          <w:rFonts w:eastAsia="ヒラギノ角ゴ Pro W3"/>
          <w:lang w:eastAsia="en-GB"/>
        </w:rPr>
        <w:t>can be integrated</w:t>
      </w:r>
      <w:proofErr w:type="gramEnd"/>
      <w:r w:rsidRPr="009B4CC0">
        <w:rPr>
          <w:rFonts w:eastAsia="ヒラギノ角ゴ Pro W3"/>
          <w:lang w:eastAsia="en-GB"/>
        </w:rPr>
        <w:t xml:space="preserve"> and engage other communities and networks, such as the Group o</w:t>
      </w:r>
      <w:r w:rsidR="00334106">
        <w:rPr>
          <w:rFonts w:eastAsia="ヒラギノ角ゴ Pro W3"/>
          <w:lang w:eastAsia="en-GB"/>
        </w:rPr>
        <w:t>n</w:t>
      </w:r>
      <w:r w:rsidRPr="009B4CC0">
        <w:rPr>
          <w:rFonts w:eastAsia="ヒラギノ角ゴ Pro W3"/>
          <w:lang w:eastAsia="en-GB"/>
        </w:rPr>
        <w:t xml:space="preserve"> Earth Observations, in these activities;</w:t>
      </w:r>
    </w:p>
    <w:p w14:paraId="4F384100" w14:textId="78DF2744" w:rsidR="002C6F1C" w:rsidRPr="009B4CC0" w:rsidRDefault="002C6F1C" w:rsidP="00C364E7">
      <w:pPr>
        <w:pStyle w:val="SingleTxtG"/>
        <w:ind w:firstLine="567"/>
      </w:pPr>
      <w:r w:rsidRPr="009B4CC0">
        <w:rPr>
          <w:rFonts w:eastAsia="ヒラギノ角ゴ Pro W3"/>
          <w:lang w:eastAsia="en-GB"/>
        </w:rPr>
        <w:t>(f)</w:t>
      </w:r>
      <w:r w:rsidRPr="009B4CC0">
        <w:rPr>
          <w:rFonts w:eastAsia="ヒラギノ角ゴ Pro W3"/>
          <w:lang w:eastAsia="en-GB"/>
        </w:rPr>
        <w:tab/>
        <w:t>Continue efforts to mobili</w:t>
      </w:r>
      <w:r w:rsidR="00334106">
        <w:rPr>
          <w:rFonts w:eastAsia="ヒラギノ角ゴ Pro W3"/>
          <w:lang w:eastAsia="en-GB"/>
        </w:rPr>
        <w:t>z</w:t>
      </w:r>
      <w:r w:rsidRPr="009B4CC0">
        <w:rPr>
          <w:rFonts w:eastAsia="ヒラギノ角ゴ Pro W3"/>
          <w:lang w:eastAsia="en-GB"/>
        </w:rPr>
        <w:t xml:space="preserve">e resources </w:t>
      </w:r>
      <w:r w:rsidR="00A35AF1" w:rsidRPr="009B4CC0">
        <w:rPr>
          <w:rFonts w:eastAsia="ヒラギノ角ゴ Pro W3"/>
          <w:lang w:eastAsia="en-GB"/>
        </w:rPr>
        <w:t>and support from regional and international organi</w:t>
      </w:r>
      <w:r w:rsidR="00334106">
        <w:rPr>
          <w:rFonts w:eastAsia="ヒラギノ角ゴ Pro W3"/>
          <w:lang w:eastAsia="en-GB"/>
        </w:rPr>
        <w:t>z</w:t>
      </w:r>
      <w:r w:rsidR="00A35AF1" w:rsidRPr="009B4CC0">
        <w:rPr>
          <w:rFonts w:eastAsia="ヒラギノ角ゴ Pro W3"/>
          <w:lang w:eastAsia="en-GB"/>
        </w:rPr>
        <w:t>ation</w:t>
      </w:r>
      <w:r w:rsidR="00334106">
        <w:rPr>
          <w:rFonts w:eastAsia="ヒラギノ角ゴ Pro W3"/>
          <w:lang w:eastAsia="en-GB"/>
        </w:rPr>
        <w:t>s</w:t>
      </w:r>
      <w:r w:rsidR="00A35AF1" w:rsidRPr="009B4CC0">
        <w:rPr>
          <w:rFonts w:eastAsia="ヒラギノ角ゴ Pro W3"/>
          <w:lang w:eastAsia="en-GB"/>
        </w:rPr>
        <w:t xml:space="preserve"> </w:t>
      </w:r>
      <w:r w:rsidRPr="009B4CC0">
        <w:rPr>
          <w:rFonts w:eastAsia="ヒラギノ角ゴ Pro W3"/>
          <w:lang w:eastAsia="en-GB"/>
        </w:rPr>
        <w:t xml:space="preserve">to enable the Working Group to </w:t>
      </w:r>
      <w:r w:rsidR="00A35AF1" w:rsidRPr="009B4CC0">
        <w:rPr>
          <w:rFonts w:eastAsia="ヒラギノ角ゴ Pro W3"/>
          <w:lang w:eastAsia="en-GB"/>
        </w:rPr>
        <w:t xml:space="preserve">increase its </w:t>
      </w:r>
      <w:r w:rsidRPr="009B4CC0">
        <w:rPr>
          <w:rFonts w:eastAsia="ヒラギノ角ゴ Pro W3"/>
          <w:lang w:eastAsia="en-GB"/>
        </w:rPr>
        <w:t>capacity-bui</w:t>
      </w:r>
      <w:r w:rsidRPr="009B4CC0">
        <w:rPr>
          <w:u w:color="000000"/>
          <w:bdr w:val="nil"/>
          <w:lang w:eastAsia="en-GB"/>
        </w:rPr>
        <w:t xml:space="preserve">lding </w:t>
      </w:r>
      <w:r w:rsidRPr="009B4CC0">
        <w:t>assistance.</w:t>
      </w:r>
    </w:p>
    <w:p w14:paraId="3C228CDE" w14:textId="77777777" w:rsidR="002C6F1C" w:rsidRPr="009B4CC0" w:rsidRDefault="002C6F1C" w:rsidP="00CE73AF">
      <w:pPr>
        <w:pStyle w:val="HChG"/>
        <w:rPr>
          <w:rFonts w:eastAsia="ヒラギノ角ゴ Pro W3"/>
        </w:rPr>
      </w:pPr>
      <w:r w:rsidRPr="009B4CC0">
        <w:rPr>
          <w:rFonts w:eastAsia="ヒラギノ角ゴ Pro W3"/>
        </w:rPr>
        <w:tab/>
        <w:t>V.</w:t>
      </w:r>
      <w:r w:rsidRPr="009B4CC0">
        <w:rPr>
          <w:rFonts w:eastAsia="ヒラギノ角ゴ Pro W3"/>
        </w:rPr>
        <w:tab/>
        <w:t>Methods of work</w:t>
      </w:r>
    </w:p>
    <w:p w14:paraId="0D4A7934" w14:textId="154EF6D1" w:rsidR="002F3780" w:rsidRPr="009B4CC0" w:rsidRDefault="005E131F" w:rsidP="002C6F1C">
      <w:pPr>
        <w:pStyle w:val="SingleTxtG"/>
        <w:rPr>
          <w:rFonts w:eastAsia="ヒラギノ角ゴ Pro W3"/>
          <w:lang w:eastAsia="en-GB"/>
        </w:rPr>
      </w:pPr>
      <w:r w:rsidRPr="009B4CC0">
        <w:rPr>
          <w:rFonts w:eastAsia="ヒラギノ角ゴ Pro W3"/>
          <w:lang w:eastAsia="en-GB"/>
        </w:rPr>
        <w:t>7</w:t>
      </w:r>
      <w:r w:rsidR="002C6F1C" w:rsidRPr="009B4CC0">
        <w:rPr>
          <w:rFonts w:eastAsia="ヒラギノ角ゴ Pro W3"/>
          <w:lang w:eastAsia="en-GB"/>
        </w:rPr>
        <w:t>.</w:t>
      </w:r>
      <w:r w:rsidR="002C6F1C" w:rsidRPr="009B4CC0">
        <w:rPr>
          <w:rFonts w:eastAsia="ヒラギノ角ゴ Pro W3"/>
          <w:lang w:eastAsia="en-GB"/>
        </w:rPr>
        <w:tab/>
        <w:t xml:space="preserve">The Working Group shall meet at least once annually. It </w:t>
      </w:r>
      <w:r w:rsidR="00386CBF">
        <w:rPr>
          <w:rFonts w:eastAsia="ヒラギノ角ゴ Pro W3"/>
          <w:lang w:eastAsia="en-GB"/>
        </w:rPr>
        <w:t xml:space="preserve">shall </w:t>
      </w:r>
      <w:r w:rsidR="002C6F1C" w:rsidRPr="009B4CC0">
        <w:rPr>
          <w:rFonts w:eastAsia="ヒラギノ角ゴ Pro W3"/>
          <w:lang w:eastAsia="en-GB"/>
        </w:rPr>
        <w:t>also communicate through e-mail and other electronic collaborati</w:t>
      </w:r>
      <w:r w:rsidR="00EB0AF1" w:rsidRPr="009B4CC0">
        <w:rPr>
          <w:rFonts w:eastAsia="ヒラギノ角ゴ Pro W3"/>
          <w:lang w:eastAsia="en-GB"/>
        </w:rPr>
        <w:t>ve</w:t>
      </w:r>
      <w:r w:rsidR="002C6F1C" w:rsidRPr="009B4CC0">
        <w:rPr>
          <w:rFonts w:eastAsia="ヒラギノ角ゴ Pro W3"/>
          <w:lang w:eastAsia="en-GB"/>
        </w:rPr>
        <w:t xml:space="preserve"> platforms, such as its newsletter and social networks, </w:t>
      </w:r>
      <w:r w:rsidR="00334106">
        <w:rPr>
          <w:rFonts w:eastAsia="ヒラギノ角ゴ Pro W3"/>
          <w:lang w:eastAsia="en-GB"/>
        </w:rPr>
        <w:t xml:space="preserve">in </w:t>
      </w:r>
      <w:r w:rsidR="002C6F1C" w:rsidRPr="009B4CC0">
        <w:rPr>
          <w:rFonts w:eastAsia="ヒラギノ角ゴ Pro W3"/>
          <w:lang w:eastAsia="en-GB"/>
        </w:rPr>
        <w:t>the period between meetings.</w:t>
      </w:r>
      <w:r w:rsidR="00EB0AF1" w:rsidRPr="009B4CC0">
        <w:rPr>
          <w:rFonts w:eastAsia="ヒラギノ角ゴ Pro W3"/>
          <w:lang w:eastAsia="en-GB"/>
        </w:rPr>
        <w:t xml:space="preserve"> </w:t>
      </w:r>
    </w:p>
    <w:p w14:paraId="148301C2" w14:textId="115F7670" w:rsidR="002C6F1C" w:rsidRPr="009B4CC0" w:rsidRDefault="002F3780" w:rsidP="002C6F1C">
      <w:pPr>
        <w:pStyle w:val="SingleTxtG"/>
        <w:rPr>
          <w:rFonts w:eastAsia="ヒラギノ角ゴ Pro W3"/>
          <w:lang w:eastAsia="en-GB"/>
        </w:rPr>
      </w:pPr>
      <w:r w:rsidRPr="009B4CC0">
        <w:rPr>
          <w:rFonts w:eastAsia="ヒラギノ角ゴ Pro W3"/>
          <w:lang w:eastAsia="en-GB"/>
        </w:rPr>
        <w:t>8.</w:t>
      </w:r>
      <w:r w:rsidRPr="009B4CC0">
        <w:rPr>
          <w:rFonts w:eastAsia="ヒラギノ角ゴ Pro W3"/>
          <w:lang w:eastAsia="en-GB"/>
        </w:rPr>
        <w:tab/>
        <w:t>Additional meetings, w</w:t>
      </w:r>
      <w:r w:rsidR="00EB0AF1" w:rsidRPr="009B4CC0">
        <w:rPr>
          <w:rFonts w:eastAsia="ヒラギノ角ゴ Pro W3"/>
          <w:lang w:eastAsia="en-GB"/>
        </w:rPr>
        <w:t xml:space="preserve">orkshops and capacity-building activities </w:t>
      </w:r>
      <w:proofErr w:type="gramStart"/>
      <w:r w:rsidR="00EB0AF1" w:rsidRPr="009B4CC0">
        <w:rPr>
          <w:rFonts w:eastAsia="ヒラギノ角ゴ Pro W3"/>
          <w:lang w:eastAsia="en-GB"/>
        </w:rPr>
        <w:t>will be organi</w:t>
      </w:r>
      <w:r w:rsidR="00334106">
        <w:rPr>
          <w:rFonts w:eastAsia="ヒラギノ角ゴ Pro W3"/>
          <w:lang w:eastAsia="en-GB"/>
        </w:rPr>
        <w:t>z</w:t>
      </w:r>
      <w:r w:rsidR="00EB0AF1" w:rsidRPr="009B4CC0">
        <w:rPr>
          <w:rFonts w:eastAsia="ヒラギノ角ゴ Pro W3"/>
          <w:lang w:eastAsia="en-GB"/>
        </w:rPr>
        <w:t>ed</w:t>
      </w:r>
      <w:proofErr w:type="gramEnd"/>
      <w:r w:rsidR="00EB0AF1" w:rsidRPr="009B4CC0">
        <w:rPr>
          <w:rFonts w:eastAsia="ヒラギノ角ゴ Pro W3"/>
          <w:lang w:eastAsia="en-GB"/>
        </w:rPr>
        <w:t xml:space="preserve"> subject to the availability of funding. </w:t>
      </w:r>
    </w:p>
    <w:p w14:paraId="00E7328B" w14:textId="77777777" w:rsidR="002C6F1C" w:rsidRPr="009B4CC0" w:rsidRDefault="002C6F1C" w:rsidP="00CE73AF">
      <w:pPr>
        <w:pStyle w:val="HChG"/>
        <w:rPr>
          <w:rFonts w:eastAsia="ヒラギノ角ゴ Pro W3"/>
        </w:rPr>
      </w:pPr>
      <w:r w:rsidRPr="009B4CC0">
        <w:rPr>
          <w:rFonts w:eastAsia="ヒラギノ角ゴ Pro W3"/>
        </w:rPr>
        <w:tab/>
        <w:t>VI.</w:t>
      </w:r>
      <w:r w:rsidRPr="009B4CC0">
        <w:rPr>
          <w:rFonts w:eastAsia="ヒラギノ角ゴ Pro W3"/>
        </w:rPr>
        <w:tab/>
        <w:t>Membership</w:t>
      </w:r>
    </w:p>
    <w:p w14:paraId="408AA16A" w14:textId="164F573E" w:rsidR="002C6F1C" w:rsidRPr="009B4CC0" w:rsidRDefault="00EB36D6" w:rsidP="002C6F1C">
      <w:pPr>
        <w:pStyle w:val="SingleTxtG"/>
        <w:rPr>
          <w:rFonts w:eastAsia="ヒラギノ角ゴ Pro W3"/>
          <w:lang w:eastAsia="en-GB"/>
        </w:rPr>
      </w:pPr>
      <w:r>
        <w:rPr>
          <w:rFonts w:eastAsia="ヒラギノ角ゴ Pro W3"/>
          <w:lang w:eastAsia="en-GB"/>
        </w:rPr>
        <w:t>9</w:t>
      </w:r>
      <w:r w:rsidR="002C6F1C" w:rsidRPr="009B4CC0">
        <w:rPr>
          <w:rFonts w:eastAsia="ヒラギノ角ゴ Pro W3"/>
          <w:lang w:eastAsia="en-GB"/>
        </w:rPr>
        <w:t>.</w:t>
      </w:r>
      <w:r w:rsidR="002C6F1C" w:rsidRPr="009B4CC0">
        <w:rPr>
          <w:rFonts w:eastAsia="ヒラギノ角ゴ Pro W3"/>
          <w:lang w:eastAsia="en-GB"/>
        </w:rPr>
        <w:tab/>
        <w:t xml:space="preserve">The Working Group shall be composed of members from all of the ECE member </w:t>
      </w:r>
      <w:r w:rsidR="00D33D5B" w:rsidRPr="009B4CC0">
        <w:rPr>
          <w:rFonts w:eastAsia="ヒラギノ角ゴ Pro W3"/>
          <w:lang w:eastAsia="en-GB"/>
        </w:rPr>
        <w:t>States</w:t>
      </w:r>
      <w:r w:rsidR="002C6F1C" w:rsidRPr="009B4CC0">
        <w:rPr>
          <w:rFonts w:eastAsia="ヒラギノ角ゴ Pro W3"/>
          <w:lang w:eastAsia="en-GB"/>
        </w:rPr>
        <w:t>. They should represent the national institutions dealing with environmental knowledge and assessments.</w:t>
      </w:r>
    </w:p>
    <w:p w14:paraId="215F2BB7" w14:textId="0C2896AA" w:rsidR="002C6F1C" w:rsidRPr="009B4CC0" w:rsidRDefault="00EB36D6" w:rsidP="002C6F1C">
      <w:pPr>
        <w:pStyle w:val="SingleTxtG"/>
        <w:rPr>
          <w:rFonts w:eastAsia="ヒラギノ角ゴ Pro W3"/>
          <w:lang w:eastAsia="en-GB"/>
        </w:rPr>
      </w:pPr>
      <w:r>
        <w:rPr>
          <w:rFonts w:eastAsia="ヒラギノ角ゴ Pro W3"/>
          <w:lang w:eastAsia="en-GB"/>
        </w:rPr>
        <w:t>10</w:t>
      </w:r>
      <w:r w:rsidR="002C6F1C" w:rsidRPr="009B4CC0">
        <w:rPr>
          <w:rFonts w:eastAsia="ヒラギノ角ゴ Pro W3"/>
          <w:lang w:eastAsia="en-GB"/>
        </w:rPr>
        <w:t>.</w:t>
      </w:r>
      <w:r w:rsidR="002C6F1C" w:rsidRPr="009B4CC0">
        <w:rPr>
          <w:rFonts w:eastAsia="ヒラギノ角ゴ Pro W3"/>
          <w:lang w:eastAsia="en-GB"/>
        </w:rPr>
        <w:tab/>
        <w:t>The Working Group shall also involve representatives of programmes and policies and multilateral environmental agreements dealing with the collection of environmental data and information and the generation of environmental assessments</w:t>
      </w:r>
      <w:r w:rsidR="008F202F">
        <w:rPr>
          <w:rFonts w:eastAsia="ヒラギノ角ゴ Pro W3"/>
          <w:lang w:eastAsia="en-GB"/>
        </w:rPr>
        <w:t xml:space="preserve"> — </w:t>
      </w:r>
      <w:r w:rsidR="002C6F1C" w:rsidRPr="009B4CC0">
        <w:rPr>
          <w:rFonts w:eastAsia="ヒラギノ角ゴ Pro W3"/>
          <w:lang w:eastAsia="en-GB"/>
        </w:rPr>
        <w:t>whether covering the environment as a whole, or only certain themes</w:t>
      </w:r>
      <w:r w:rsidR="008F202F">
        <w:rPr>
          <w:rFonts w:eastAsia="ヒラギノ角ゴ Pro W3"/>
          <w:lang w:eastAsia="en-GB"/>
        </w:rPr>
        <w:t xml:space="preserve"> — </w:t>
      </w:r>
      <w:r w:rsidR="002C6F1C" w:rsidRPr="009B4CC0">
        <w:rPr>
          <w:rFonts w:eastAsia="ヒラギノ角ゴ Pro W3"/>
          <w:lang w:eastAsia="en-GB"/>
        </w:rPr>
        <w:t>as well as expert teams.</w:t>
      </w:r>
    </w:p>
    <w:p w14:paraId="5B1CC001" w14:textId="122A6ED4" w:rsidR="002C6F1C" w:rsidRPr="009B4CC0" w:rsidRDefault="005E131F" w:rsidP="002C6F1C">
      <w:pPr>
        <w:pStyle w:val="SingleTxtG"/>
        <w:rPr>
          <w:rFonts w:eastAsia="ヒラギノ角ゴ Pro W3"/>
          <w:lang w:eastAsia="en-GB"/>
        </w:rPr>
      </w:pPr>
      <w:r w:rsidRPr="009B4CC0">
        <w:rPr>
          <w:rFonts w:eastAsia="ヒラギノ角ゴ Pro W3"/>
          <w:lang w:eastAsia="en-GB"/>
        </w:rPr>
        <w:t>1</w:t>
      </w:r>
      <w:r w:rsidR="00EB36D6">
        <w:rPr>
          <w:rFonts w:eastAsia="ヒラギノ角ゴ Pro W3"/>
          <w:lang w:eastAsia="en-GB"/>
        </w:rPr>
        <w:t>1</w:t>
      </w:r>
      <w:r w:rsidR="002C6F1C" w:rsidRPr="009B4CC0">
        <w:rPr>
          <w:rFonts w:eastAsia="ヒラギノ角ゴ Pro W3"/>
          <w:lang w:eastAsia="en-GB"/>
        </w:rPr>
        <w:t>.</w:t>
      </w:r>
      <w:r w:rsidR="002C6F1C" w:rsidRPr="009B4CC0">
        <w:rPr>
          <w:rFonts w:eastAsia="ヒラギノ角ゴ Pro W3"/>
          <w:lang w:eastAsia="en-GB"/>
        </w:rPr>
        <w:tab/>
        <w:t xml:space="preserve">The Working Group shall elect </w:t>
      </w:r>
      <w:r w:rsidR="00334106">
        <w:rPr>
          <w:rFonts w:eastAsia="ヒラギノ角ゴ Pro W3"/>
          <w:lang w:eastAsia="en-GB"/>
        </w:rPr>
        <w:t>a c</w:t>
      </w:r>
      <w:r w:rsidR="002C6F1C" w:rsidRPr="009B4CC0">
        <w:rPr>
          <w:rFonts w:eastAsia="ヒラギノ角ゴ Pro W3"/>
          <w:lang w:eastAsia="en-GB"/>
        </w:rPr>
        <w:t xml:space="preserve">hair and two </w:t>
      </w:r>
      <w:r w:rsidR="00334106">
        <w:rPr>
          <w:rFonts w:eastAsia="ヒラギノ角ゴ Pro W3"/>
          <w:lang w:eastAsia="en-GB"/>
        </w:rPr>
        <w:t>v</w:t>
      </w:r>
      <w:r w:rsidR="002C6F1C" w:rsidRPr="009B4CC0">
        <w:rPr>
          <w:rFonts w:eastAsia="ヒラギノ角ゴ Pro W3"/>
          <w:lang w:eastAsia="en-GB"/>
        </w:rPr>
        <w:t>ice-</w:t>
      </w:r>
      <w:r w:rsidR="00334106">
        <w:rPr>
          <w:rFonts w:eastAsia="ヒラギノ角ゴ Pro W3"/>
          <w:lang w:eastAsia="en-GB"/>
        </w:rPr>
        <w:t>c</w:t>
      </w:r>
      <w:r w:rsidR="002C6F1C" w:rsidRPr="009B4CC0">
        <w:rPr>
          <w:rFonts w:eastAsia="ヒラギノ角ゴ Pro W3"/>
          <w:lang w:eastAsia="en-GB"/>
        </w:rPr>
        <w:t xml:space="preserve">hairs for a term of </w:t>
      </w:r>
      <w:r w:rsidR="00425049" w:rsidRPr="009B4CC0">
        <w:rPr>
          <w:rFonts w:eastAsia="ヒラギノ角ゴ Pro W3"/>
          <w:lang w:eastAsia="en-GB"/>
        </w:rPr>
        <w:t xml:space="preserve">up to </w:t>
      </w:r>
      <w:r w:rsidR="002C6F1C" w:rsidRPr="009B4CC0">
        <w:rPr>
          <w:rFonts w:eastAsia="ヒラギノ角ゴ Pro W3"/>
          <w:lang w:eastAsia="en-GB"/>
        </w:rPr>
        <w:t>two years</w:t>
      </w:r>
      <w:r w:rsidR="00334106">
        <w:rPr>
          <w:rFonts w:eastAsia="ヒラギノ角ゴ Pro W3"/>
          <w:lang w:eastAsia="en-GB"/>
        </w:rPr>
        <w:t>,</w:t>
      </w:r>
      <w:r w:rsidR="009F58F6" w:rsidRPr="009B4CC0">
        <w:rPr>
          <w:rFonts w:eastAsia="ヒラギノ角ゴ Pro W3"/>
          <w:lang w:eastAsia="en-GB"/>
        </w:rPr>
        <w:t xml:space="preserve"> ensur</w:t>
      </w:r>
      <w:r w:rsidR="00334106">
        <w:rPr>
          <w:rFonts w:eastAsia="ヒラギノ角ゴ Pro W3"/>
          <w:lang w:eastAsia="en-GB"/>
        </w:rPr>
        <w:t>ing</w:t>
      </w:r>
      <w:r w:rsidR="009F58F6" w:rsidRPr="009B4CC0">
        <w:rPr>
          <w:rFonts w:eastAsia="ヒラギノ角ゴ Pro W3"/>
          <w:lang w:eastAsia="en-GB"/>
        </w:rPr>
        <w:t xml:space="preserve"> a regional balance in the nomination</w:t>
      </w:r>
      <w:r w:rsidR="00334106">
        <w:rPr>
          <w:rFonts w:eastAsia="ヒラギノ角ゴ Pro W3"/>
          <w:lang w:eastAsia="en-GB"/>
        </w:rPr>
        <w:t>s</w:t>
      </w:r>
      <w:r w:rsidR="002C6F1C" w:rsidRPr="009B4CC0">
        <w:rPr>
          <w:rFonts w:eastAsia="ヒラギノ角ゴ Pro W3"/>
          <w:lang w:eastAsia="en-GB"/>
        </w:rPr>
        <w:t xml:space="preserve">. The </w:t>
      </w:r>
      <w:r w:rsidR="00334106">
        <w:rPr>
          <w:rFonts w:eastAsia="ヒラギノ角ゴ Pro W3"/>
          <w:lang w:eastAsia="en-GB"/>
        </w:rPr>
        <w:t>c</w:t>
      </w:r>
      <w:r w:rsidR="002C6F1C" w:rsidRPr="009B4CC0">
        <w:rPr>
          <w:rFonts w:eastAsia="ヒラギノ角ゴ Pro W3"/>
          <w:lang w:eastAsia="en-GB"/>
        </w:rPr>
        <w:t xml:space="preserve">hair and </w:t>
      </w:r>
      <w:r w:rsidR="00334106">
        <w:rPr>
          <w:rFonts w:eastAsia="ヒラギノ角ゴ Pro W3"/>
          <w:lang w:eastAsia="en-GB"/>
        </w:rPr>
        <w:t>v</w:t>
      </w:r>
      <w:r w:rsidR="002C6F1C" w:rsidRPr="009B4CC0">
        <w:rPr>
          <w:rFonts w:eastAsia="ヒラギノ角ゴ Pro W3"/>
          <w:lang w:eastAsia="en-GB"/>
        </w:rPr>
        <w:t>ice-</w:t>
      </w:r>
      <w:r w:rsidR="00334106">
        <w:rPr>
          <w:rFonts w:eastAsia="ヒラギノ角ゴ Pro W3"/>
          <w:lang w:eastAsia="en-GB"/>
        </w:rPr>
        <w:t>c</w:t>
      </w:r>
      <w:r w:rsidR="002C6F1C" w:rsidRPr="009B4CC0">
        <w:rPr>
          <w:rFonts w:eastAsia="ヒラギノ角ゴ Pro W3"/>
          <w:lang w:eastAsia="en-GB"/>
        </w:rPr>
        <w:t>hairs shall be eligible for re-election for one additional term</w:t>
      </w:r>
      <w:proofErr w:type="gramStart"/>
      <w:r w:rsidR="00CE73AF">
        <w:rPr>
          <w:rFonts w:eastAsia="ヒラギノ角ゴ Pro W3"/>
          <w:lang w:eastAsia="en-GB"/>
        </w:rPr>
        <w:t>.</w:t>
      </w:r>
      <w:r w:rsidR="00425049" w:rsidRPr="009B4CC0">
        <w:rPr>
          <w:rFonts w:eastAsia="ヒラギノ角ゴ Pro W3"/>
          <w:lang w:eastAsia="en-GB"/>
        </w:rPr>
        <w:t>.</w:t>
      </w:r>
      <w:proofErr w:type="gramEnd"/>
    </w:p>
    <w:p w14:paraId="78FECCDD" w14:textId="77777777" w:rsidR="002C6F1C" w:rsidRPr="009B4CC0" w:rsidRDefault="002C6F1C" w:rsidP="00CE73AF">
      <w:pPr>
        <w:pStyle w:val="HChG"/>
      </w:pPr>
      <w:r w:rsidRPr="009B4CC0">
        <w:tab/>
        <w:t>VII.</w:t>
      </w:r>
      <w:r w:rsidRPr="009B4CC0">
        <w:tab/>
        <w:t>Secretariat support and resources</w:t>
      </w:r>
    </w:p>
    <w:p w14:paraId="620626B4" w14:textId="4004A243" w:rsidR="002C6F1C" w:rsidRPr="009B4CC0" w:rsidRDefault="00EB36D6" w:rsidP="002C6F1C">
      <w:pPr>
        <w:pStyle w:val="SingleTxtG"/>
        <w:rPr>
          <w:rFonts w:eastAsia="ヒラギノ角ゴ Pro W3"/>
          <w:lang w:eastAsia="en-GB"/>
        </w:rPr>
      </w:pPr>
      <w:r>
        <w:rPr>
          <w:rFonts w:eastAsia="ヒラギノ角ゴ Pro W3"/>
          <w:lang w:eastAsia="en-GB"/>
        </w:rPr>
        <w:t>12</w:t>
      </w:r>
      <w:r w:rsidR="002C6F1C" w:rsidRPr="009B4CC0">
        <w:rPr>
          <w:rFonts w:eastAsia="ヒラギノ角ゴ Pro W3"/>
          <w:lang w:eastAsia="en-GB"/>
        </w:rPr>
        <w:t>.</w:t>
      </w:r>
      <w:r w:rsidR="002C6F1C" w:rsidRPr="009B4CC0">
        <w:rPr>
          <w:rFonts w:eastAsia="ヒラギノ角ゴ Pro W3"/>
          <w:lang w:eastAsia="en-GB"/>
        </w:rPr>
        <w:tab/>
        <w:t xml:space="preserve">In its operation, the Working Group </w:t>
      </w:r>
      <w:proofErr w:type="gramStart"/>
      <w:r w:rsidR="002C6F1C" w:rsidRPr="009B4CC0">
        <w:rPr>
          <w:rFonts w:eastAsia="ヒラギノ角ゴ Pro W3"/>
          <w:lang w:eastAsia="en-GB"/>
        </w:rPr>
        <w:t xml:space="preserve">shall be serviced by the ECE secretariat, supported by </w:t>
      </w:r>
      <w:r w:rsidR="00334106">
        <w:rPr>
          <w:rFonts w:eastAsia="ヒラギノ角ゴ Pro W3"/>
          <w:lang w:eastAsia="en-GB"/>
        </w:rPr>
        <w:t xml:space="preserve">UNEP </w:t>
      </w:r>
      <w:r w:rsidR="002C6F1C" w:rsidRPr="009B4CC0">
        <w:rPr>
          <w:rFonts w:eastAsia="ヒラギノ角ゴ Pro W3"/>
          <w:lang w:eastAsia="en-GB"/>
        </w:rPr>
        <w:t xml:space="preserve">and the European Environment Agency, and guided by the relevant procedures established by the </w:t>
      </w:r>
      <w:r w:rsidR="00334106">
        <w:rPr>
          <w:rFonts w:eastAsia="ヒラギノ角ゴ Pro W3"/>
          <w:lang w:eastAsia="en-GB"/>
        </w:rPr>
        <w:t xml:space="preserve">ECE </w:t>
      </w:r>
      <w:r w:rsidR="002C6F1C" w:rsidRPr="009B4CC0">
        <w:rPr>
          <w:rFonts w:eastAsia="ヒラギノ角ゴ Pro W3"/>
          <w:lang w:eastAsia="en-GB"/>
        </w:rPr>
        <w:t>Committee</w:t>
      </w:r>
      <w:r w:rsidR="00334106">
        <w:rPr>
          <w:rFonts w:eastAsia="ヒラギノ角ゴ Pro W3"/>
          <w:lang w:eastAsia="en-GB"/>
        </w:rPr>
        <w:t xml:space="preserve"> on Environmental Policy</w:t>
      </w:r>
      <w:proofErr w:type="gramEnd"/>
      <w:r w:rsidR="002C6F1C" w:rsidRPr="009B4CC0">
        <w:rPr>
          <w:rFonts w:eastAsia="ヒラギノ角ゴ Pro W3"/>
          <w:lang w:eastAsia="en-GB"/>
        </w:rPr>
        <w:t>.</w:t>
      </w:r>
    </w:p>
    <w:p w14:paraId="2107C14D" w14:textId="6240CCF6" w:rsidR="002C6F1C" w:rsidRPr="009B4CC0" w:rsidRDefault="00EB36D6" w:rsidP="002C6F1C">
      <w:pPr>
        <w:pStyle w:val="SingleTxtG"/>
        <w:rPr>
          <w:rFonts w:eastAsia="ヒラギノ角ゴ Pro W3"/>
          <w:lang w:eastAsia="en-GB"/>
        </w:rPr>
      </w:pPr>
      <w:r>
        <w:rPr>
          <w:u w:color="000000"/>
          <w:bdr w:val="nil"/>
          <w:lang w:eastAsia="en-GB"/>
        </w:rPr>
        <w:t>13</w:t>
      </w:r>
      <w:r w:rsidR="002C6F1C" w:rsidRPr="009B4CC0">
        <w:rPr>
          <w:u w:color="000000"/>
          <w:bdr w:val="nil"/>
          <w:lang w:eastAsia="en-GB"/>
        </w:rPr>
        <w:t>.</w:t>
      </w:r>
      <w:r w:rsidR="002C6F1C" w:rsidRPr="009B4CC0">
        <w:rPr>
          <w:u w:color="000000"/>
          <w:bdr w:val="nil"/>
          <w:lang w:eastAsia="en-GB"/>
        </w:rPr>
        <w:tab/>
        <w:t xml:space="preserve">Donors </w:t>
      </w:r>
      <w:proofErr w:type="gramStart"/>
      <w:r w:rsidR="002C6F1C" w:rsidRPr="009B4CC0">
        <w:rPr>
          <w:u w:color="000000"/>
          <w:bdr w:val="nil"/>
          <w:lang w:eastAsia="en-GB"/>
        </w:rPr>
        <w:t>will be invited</w:t>
      </w:r>
      <w:proofErr w:type="gramEnd"/>
      <w:r w:rsidR="002C6F1C" w:rsidRPr="009B4CC0">
        <w:rPr>
          <w:u w:color="000000"/>
          <w:bdr w:val="nil"/>
          <w:lang w:eastAsia="en-GB"/>
        </w:rPr>
        <w:t xml:space="preserve"> to provide support for the Working Group’s activities.</w:t>
      </w:r>
    </w:p>
    <w:p w14:paraId="418F6EC1" w14:textId="77777777" w:rsidR="00ED36D8" w:rsidRPr="009B4CC0" w:rsidRDefault="00ED36D8" w:rsidP="00ED36D8">
      <w:pPr>
        <w:pStyle w:val="SingleTxtG"/>
        <w:spacing w:before="240" w:after="0"/>
        <w:jc w:val="center"/>
        <w:rPr>
          <w:rFonts w:eastAsia="ヒラギノ角ゴ Pro W3"/>
          <w:u w:val="single"/>
          <w:lang w:eastAsia="en-GB"/>
        </w:rPr>
      </w:pPr>
      <w:r w:rsidRPr="009B4CC0">
        <w:rPr>
          <w:u w:val="single" w:color="000000"/>
          <w:bdr w:val="nil"/>
          <w:lang w:eastAsia="en-GB"/>
        </w:rPr>
        <w:tab/>
      </w:r>
      <w:r w:rsidRPr="009B4CC0">
        <w:rPr>
          <w:u w:val="single" w:color="000000"/>
          <w:bdr w:val="nil"/>
          <w:lang w:eastAsia="en-GB"/>
        </w:rPr>
        <w:tab/>
      </w:r>
      <w:r w:rsidRPr="009B4CC0">
        <w:rPr>
          <w:u w:val="single" w:color="000000"/>
          <w:bdr w:val="nil"/>
          <w:lang w:eastAsia="en-GB"/>
        </w:rPr>
        <w:tab/>
      </w:r>
    </w:p>
    <w:p w14:paraId="3698BC67" w14:textId="77777777" w:rsidR="00F507EC" w:rsidRPr="009B4CC0" w:rsidRDefault="00F507EC" w:rsidP="00A80B0D">
      <w:pPr>
        <w:suppressAutoHyphens w:val="0"/>
        <w:spacing w:line="240" w:lineRule="auto"/>
      </w:pPr>
    </w:p>
    <w:sectPr w:rsidR="00F507EC" w:rsidRPr="009B4CC0" w:rsidSect="006E0088">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9A69E8" w14:textId="77777777" w:rsidR="005854B4" w:rsidRDefault="005854B4"/>
  </w:endnote>
  <w:endnote w:type="continuationSeparator" w:id="0">
    <w:p w14:paraId="65D28B16" w14:textId="77777777" w:rsidR="005854B4" w:rsidRDefault="005854B4"/>
  </w:endnote>
  <w:endnote w:type="continuationNotice" w:id="1">
    <w:p w14:paraId="710E27AA" w14:textId="77777777" w:rsidR="005854B4" w:rsidRDefault="005854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E00002FF" w:usb1="7AC7FFFF" w:usb2="00000012" w:usb3="00000000" w:csb0="0002000D"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306BF" w14:textId="3348E900" w:rsidR="0069448A" w:rsidRPr="00A80B0D" w:rsidRDefault="0069448A" w:rsidP="00A80B0D">
    <w:pPr>
      <w:pStyle w:val="Footer"/>
      <w:tabs>
        <w:tab w:val="right" w:pos="9638"/>
      </w:tabs>
      <w:rPr>
        <w:sz w:val="18"/>
      </w:rPr>
    </w:pPr>
    <w:r w:rsidRPr="00A80B0D">
      <w:rPr>
        <w:b/>
        <w:sz w:val="18"/>
      </w:rPr>
      <w:fldChar w:fldCharType="begin"/>
    </w:r>
    <w:r w:rsidRPr="00A80B0D">
      <w:rPr>
        <w:b/>
        <w:sz w:val="18"/>
      </w:rPr>
      <w:instrText xml:space="preserve"> PAGE  \* MERGEFORMAT </w:instrText>
    </w:r>
    <w:r w:rsidRPr="00A80B0D">
      <w:rPr>
        <w:b/>
        <w:sz w:val="18"/>
      </w:rPr>
      <w:fldChar w:fldCharType="separate"/>
    </w:r>
    <w:r w:rsidR="002D3151">
      <w:rPr>
        <w:b/>
        <w:noProof/>
        <w:sz w:val="18"/>
      </w:rPr>
      <w:t>2</w:t>
    </w:r>
    <w:r w:rsidRPr="00A80B0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6AC23" w14:textId="46015366" w:rsidR="0069448A" w:rsidRPr="00A80B0D" w:rsidRDefault="0069448A" w:rsidP="00A80B0D">
    <w:pPr>
      <w:pStyle w:val="Footer"/>
      <w:tabs>
        <w:tab w:val="right" w:pos="9638"/>
      </w:tabs>
      <w:rPr>
        <w:b/>
        <w:sz w:val="18"/>
      </w:rPr>
    </w:pPr>
    <w:r>
      <w:tab/>
    </w:r>
    <w:r w:rsidRPr="00A80B0D">
      <w:rPr>
        <w:b/>
        <w:sz w:val="18"/>
      </w:rPr>
      <w:fldChar w:fldCharType="begin"/>
    </w:r>
    <w:r w:rsidRPr="00A80B0D">
      <w:rPr>
        <w:b/>
        <w:sz w:val="18"/>
      </w:rPr>
      <w:instrText xml:space="preserve"> PAGE  \* MERGEFORMAT </w:instrText>
    </w:r>
    <w:r w:rsidRPr="00A80B0D">
      <w:rPr>
        <w:b/>
        <w:sz w:val="18"/>
      </w:rPr>
      <w:fldChar w:fldCharType="separate"/>
    </w:r>
    <w:r w:rsidR="002D3151">
      <w:rPr>
        <w:b/>
        <w:noProof/>
        <w:sz w:val="18"/>
      </w:rPr>
      <w:t>3</w:t>
    </w:r>
    <w:r w:rsidRPr="00A80B0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987ED" w14:textId="61C12AFA" w:rsidR="002D3151" w:rsidRDefault="002D3151" w:rsidP="002D3151">
    <w:pPr>
      <w:pStyle w:val="Footer"/>
    </w:pPr>
    <w:r w:rsidRPr="00DA43F5">
      <w:rPr>
        <w:rFonts w:ascii="C39T30Lfz" w:hAnsi="C39T30Lfz"/>
        <w:noProof/>
        <w:sz w:val="56"/>
        <w:u w:val="single"/>
      </w:rPr>
      <w:drawing>
        <wp:anchor distT="0" distB="0" distL="114300" distR="114300" simplePos="0" relativeHeight="251659264" behindDoc="0" locked="0" layoutInCell="1" allowOverlap="1" wp14:anchorId="05D620C9" wp14:editId="02B480E3">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14:paraId="4A9AA099" w14:textId="1736BA58" w:rsidR="002D3151" w:rsidRDefault="002D3151" w:rsidP="002D3151">
    <w:pPr>
      <w:pStyle w:val="Footer"/>
      <w:ind w:right="1134"/>
      <w:rPr>
        <w:sz w:val="20"/>
      </w:rPr>
    </w:pPr>
    <w:r>
      <w:rPr>
        <w:sz w:val="20"/>
      </w:rPr>
      <w:t>GE.16-20253(E)</w:t>
    </w:r>
  </w:p>
  <w:p w14:paraId="299783C2" w14:textId="2BFDCFAB" w:rsidR="002D3151" w:rsidRPr="002D3151" w:rsidRDefault="002D3151" w:rsidP="002D315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5C0B05E1" wp14:editId="02BC7F60">
          <wp:simplePos x="0" y="0"/>
          <wp:positionH relativeFrom="margin">
            <wp:posOffset>5489575</wp:posOffset>
          </wp:positionH>
          <wp:positionV relativeFrom="margin">
            <wp:posOffset>7919720</wp:posOffset>
          </wp:positionV>
          <wp:extent cx="643944" cy="643944"/>
          <wp:effectExtent l="0" t="0" r="3810" b="3810"/>
          <wp:wrapNone/>
          <wp:docPr id="2" name="Picture 1" descr="http://undocs.org/m2/QRCode.ashx?DS=ECE/CEP/2017/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CEP/2017/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3944" cy="64394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B4610" w14:textId="77777777" w:rsidR="005854B4" w:rsidRPr="000B175B" w:rsidRDefault="005854B4" w:rsidP="000B175B">
      <w:pPr>
        <w:tabs>
          <w:tab w:val="right" w:pos="2155"/>
        </w:tabs>
        <w:spacing w:after="80"/>
        <w:ind w:left="680"/>
        <w:rPr>
          <w:u w:val="single"/>
        </w:rPr>
      </w:pPr>
      <w:r>
        <w:rPr>
          <w:u w:val="single"/>
        </w:rPr>
        <w:tab/>
      </w:r>
    </w:p>
  </w:footnote>
  <w:footnote w:type="continuationSeparator" w:id="0">
    <w:p w14:paraId="4F8ED178" w14:textId="77777777" w:rsidR="005854B4" w:rsidRPr="00FC68B7" w:rsidRDefault="005854B4" w:rsidP="00FC68B7">
      <w:pPr>
        <w:tabs>
          <w:tab w:val="left" w:pos="2155"/>
        </w:tabs>
        <w:spacing w:after="80"/>
        <w:ind w:left="680"/>
        <w:rPr>
          <w:u w:val="single"/>
        </w:rPr>
      </w:pPr>
      <w:r>
        <w:rPr>
          <w:u w:val="single"/>
        </w:rPr>
        <w:tab/>
      </w:r>
    </w:p>
  </w:footnote>
  <w:footnote w:type="continuationNotice" w:id="1">
    <w:p w14:paraId="5FEDA787" w14:textId="77777777" w:rsidR="005854B4" w:rsidRDefault="005854B4"/>
  </w:footnote>
  <w:footnote w:id="2">
    <w:p w14:paraId="4452D7CD" w14:textId="7C0323A5" w:rsidR="0069448A" w:rsidRDefault="0069448A" w:rsidP="00F14B6D">
      <w:pPr>
        <w:pStyle w:val="FootnoteText"/>
        <w:widowControl w:val="0"/>
        <w:tabs>
          <w:tab w:val="clear" w:pos="1021"/>
          <w:tab w:val="right" w:pos="1020"/>
        </w:tabs>
      </w:pPr>
      <w:r>
        <w:tab/>
      </w:r>
      <w:r>
        <w:rPr>
          <w:rStyle w:val="FootnoteReference"/>
        </w:rPr>
        <w:footnoteRef/>
      </w:r>
      <w:r>
        <w:tab/>
      </w:r>
      <w:proofErr w:type="gramStart"/>
      <w:r>
        <w:t xml:space="preserve">Available from </w:t>
      </w:r>
      <w:r w:rsidRPr="0064047D">
        <w:t>www.unece.org/index.</w:t>
      </w:r>
      <w:r>
        <w:t>php?id=42166.</w:t>
      </w:r>
      <w:proofErr w:type="gramEnd"/>
    </w:p>
  </w:footnote>
  <w:footnote w:id="3">
    <w:p w14:paraId="08E895CD" w14:textId="4ECF2514" w:rsidR="0069448A" w:rsidRPr="00D56595" w:rsidRDefault="0069448A">
      <w:pPr>
        <w:pStyle w:val="FootnoteText"/>
        <w:rPr>
          <w:lang w:val="en-US"/>
        </w:rPr>
      </w:pPr>
      <w:r>
        <w:tab/>
      </w:r>
      <w:r>
        <w:rPr>
          <w:rStyle w:val="FootnoteReference"/>
        </w:rPr>
        <w:footnoteRef/>
      </w:r>
      <w:r>
        <w:t xml:space="preserve"> </w:t>
      </w:r>
      <w:r>
        <w:tab/>
      </w:r>
      <w:r w:rsidRPr="00D56595">
        <w:t xml:space="preserve">The pan-European region under the </w:t>
      </w:r>
      <w:r>
        <w:t>Environment for Europe</w:t>
      </w:r>
      <w:r w:rsidRPr="00D56595">
        <w:t xml:space="preserve"> process covers the full membership of ECE, i.e.</w:t>
      </w:r>
      <w:r>
        <w:t>,</w:t>
      </w:r>
      <w:r w:rsidRPr="00D56595">
        <w:t xml:space="preserve"> the 56 ECE member States.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7B35E" w14:textId="77777777" w:rsidR="0069448A" w:rsidRPr="00A80B0D" w:rsidRDefault="0069448A">
    <w:pPr>
      <w:pStyle w:val="Header"/>
    </w:pPr>
    <w:r>
      <w:t>ECE/CEP/2017/3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AF974" w14:textId="77777777" w:rsidR="0069448A" w:rsidRPr="00A80B0D" w:rsidRDefault="0069448A" w:rsidP="00A80B0D">
    <w:pPr>
      <w:pStyle w:val="Header"/>
      <w:jc w:val="right"/>
    </w:pPr>
    <w:r>
      <w:t>ECE/CEP/2017/3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894EE873"/>
    <w:lvl w:ilvl="0">
      <w:start w:val="1"/>
      <w:numFmt w:val="lowerRoman"/>
      <w:lvlText w:val="%1."/>
      <w:lvlJc w:val="left"/>
      <w:pPr>
        <w:tabs>
          <w:tab w:val="num" w:pos="555"/>
        </w:tabs>
        <w:ind w:left="555" w:firstLine="244"/>
      </w:pPr>
      <w:rPr>
        <w:rFonts w:hint="default"/>
        <w:color w:val="000000"/>
        <w:position w:val="0"/>
        <w:sz w:val="28"/>
      </w:rPr>
    </w:lvl>
    <w:lvl w:ilvl="1">
      <w:start w:val="1"/>
      <w:numFmt w:val="lowerRoman"/>
      <w:lvlText w:val="%2."/>
      <w:lvlJc w:val="left"/>
      <w:pPr>
        <w:tabs>
          <w:tab w:val="num" w:pos="555"/>
        </w:tabs>
        <w:ind w:left="555" w:firstLine="964"/>
      </w:pPr>
      <w:rPr>
        <w:rFonts w:hint="default"/>
        <w:color w:val="000000"/>
        <w:position w:val="0"/>
        <w:sz w:val="28"/>
      </w:rPr>
    </w:lvl>
    <w:lvl w:ilvl="2">
      <w:start w:val="1"/>
      <w:numFmt w:val="upperRoman"/>
      <w:lvlText w:val="%3."/>
      <w:lvlJc w:val="left"/>
      <w:pPr>
        <w:tabs>
          <w:tab w:val="num" w:pos="709"/>
        </w:tabs>
        <w:ind w:left="709" w:firstLine="1134"/>
      </w:pPr>
      <w:rPr>
        <w:rFonts w:hint="default"/>
        <w:color w:val="000000"/>
        <w:position w:val="0"/>
        <w:sz w:val="28"/>
      </w:rPr>
    </w:lvl>
    <w:lvl w:ilvl="3">
      <w:start w:val="1"/>
      <w:numFmt w:val="decimal"/>
      <w:isLgl/>
      <w:lvlText w:val="%4."/>
      <w:lvlJc w:val="left"/>
      <w:pPr>
        <w:tabs>
          <w:tab w:val="num" w:pos="420"/>
        </w:tabs>
        <w:ind w:left="420" w:firstLine="2520"/>
      </w:pPr>
      <w:rPr>
        <w:rFonts w:hint="default"/>
        <w:color w:val="000000"/>
        <w:position w:val="0"/>
        <w:sz w:val="28"/>
      </w:rPr>
    </w:lvl>
    <w:lvl w:ilvl="4">
      <w:start w:val="1"/>
      <w:numFmt w:val="lowerLetter"/>
      <w:lvlText w:val="%5."/>
      <w:lvlJc w:val="left"/>
      <w:pPr>
        <w:tabs>
          <w:tab w:val="num" w:pos="420"/>
        </w:tabs>
        <w:ind w:left="420" w:firstLine="3240"/>
      </w:pPr>
      <w:rPr>
        <w:rFonts w:hint="default"/>
        <w:color w:val="000000"/>
        <w:position w:val="0"/>
        <w:sz w:val="28"/>
      </w:rPr>
    </w:lvl>
    <w:lvl w:ilvl="5">
      <w:start w:val="1"/>
      <w:numFmt w:val="lowerRoman"/>
      <w:lvlText w:val="%6."/>
      <w:lvlJc w:val="left"/>
      <w:pPr>
        <w:tabs>
          <w:tab w:val="num" w:pos="345"/>
        </w:tabs>
        <w:ind w:left="345" w:firstLine="4024"/>
      </w:pPr>
      <w:rPr>
        <w:rFonts w:hint="default"/>
        <w:color w:val="000000"/>
        <w:position w:val="0"/>
        <w:sz w:val="28"/>
      </w:rPr>
    </w:lvl>
    <w:lvl w:ilvl="6">
      <w:start w:val="1"/>
      <w:numFmt w:val="decimal"/>
      <w:isLgl/>
      <w:lvlText w:val="%7."/>
      <w:lvlJc w:val="left"/>
      <w:pPr>
        <w:tabs>
          <w:tab w:val="num" w:pos="420"/>
        </w:tabs>
        <w:ind w:left="420" w:firstLine="4680"/>
      </w:pPr>
      <w:rPr>
        <w:rFonts w:hint="default"/>
        <w:color w:val="000000"/>
        <w:position w:val="0"/>
        <w:sz w:val="28"/>
      </w:rPr>
    </w:lvl>
    <w:lvl w:ilvl="7">
      <w:start w:val="1"/>
      <w:numFmt w:val="lowerLetter"/>
      <w:lvlText w:val="%8."/>
      <w:lvlJc w:val="left"/>
      <w:pPr>
        <w:tabs>
          <w:tab w:val="num" w:pos="420"/>
        </w:tabs>
        <w:ind w:left="420" w:firstLine="5400"/>
      </w:pPr>
      <w:rPr>
        <w:rFonts w:hint="default"/>
        <w:color w:val="000000"/>
        <w:position w:val="0"/>
        <w:sz w:val="28"/>
      </w:rPr>
    </w:lvl>
    <w:lvl w:ilvl="8">
      <w:start w:val="1"/>
      <w:numFmt w:val="lowerRoman"/>
      <w:lvlText w:val="%9."/>
      <w:lvlJc w:val="left"/>
      <w:pPr>
        <w:tabs>
          <w:tab w:val="num" w:pos="345"/>
        </w:tabs>
        <w:ind w:left="345" w:firstLine="6184"/>
      </w:pPr>
      <w:rPr>
        <w:rFonts w:hint="default"/>
        <w:color w:val="000000"/>
        <w:position w:val="0"/>
        <w:sz w:val="28"/>
      </w:rPr>
    </w:lvl>
  </w:abstractNum>
  <w:abstractNum w:abstractNumId="11">
    <w:nsid w:val="00000002"/>
    <w:multiLevelType w:val="multilevel"/>
    <w:tmpl w:val="894EE874"/>
    <w:lvl w:ilvl="0">
      <w:start w:val="1"/>
      <w:numFmt w:val="decimal"/>
      <w:isLgl/>
      <w:suff w:val="nothing"/>
      <w:lvlText w:val="%1."/>
      <w:lvlJc w:val="left"/>
      <w:pPr>
        <w:ind w:left="0" w:firstLine="1134"/>
      </w:pPr>
      <w:rPr>
        <w:rFonts w:hint="default"/>
        <w:color w:val="000000"/>
        <w:position w:val="0"/>
        <w:sz w:val="20"/>
      </w:rPr>
    </w:lvl>
    <w:lvl w:ilvl="1">
      <w:start w:val="1"/>
      <w:numFmt w:val="lowerLetter"/>
      <w:lvlText w:val="%2."/>
      <w:lvlJc w:val="left"/>
      <w:pPr>
        <w:tabs>
          <w:tab w:val="num" w:pos="360"/>
        </w:tabs>
        <w:ind w:left="360" w:firstLine="1854"/>
      </w:pPr>
      <w:rPr>
        <w:rFonts w:hint="default"/>
        <w:color w:val="000000"/>
        <w:position w:val="0"/>
        <w:sz w:val="20"/>
      </w:rPr>
    </w:lvl>
    <w:lvl w:ilvl="2">
      <w:start w:val="1"/>
      <w:numFmt w:val="lowerRoman"/>
      <w:lvlText w:val="%3."/>
      <w:lvlJc w:val="left"/>
      <w:pPr>
        <w:tabs>
          <w:tab w:val="num" w:pos="340"/>
        </w:tabs>
        <w:ind w:left="340" w:firstLine="2594"/>
      </w:pPr>
      <w:rPr>
        <w:rFonts w:hint="default"/>
        <w:color w:val="000000"/>
        <w:position w:val="0"/>
        <w:sz w:val="20"/>
      </w:rPr>
    </w:lvl>
    <w:lvl w:ilvl="3">
      <w:start w:val="1"/>
      <w:numFmt w:val="decimal"/>
      <w:isLgl/>
      <w:lvlText w:val="%4."/>
      <w:lvlJc w:val="left"/>
      <w:pPr>
        <w:tabs>
          <w:tab w:val="num" w:pos="360"/>
        </w:tabs>
        <w:ind w:left="360" w:firstLine="3294"/>
      </w:pPr>
      <w:rPr>
        <w:rFonts w:hint="default"/>
        <w:color w:val="000000"/>
        <w:position w:val="0"/>
        <w:sz w:val="20"/>
      </w:rPr>
    </w:lvl>
    <w:lvl w:ilvl="4">
      <w:start w:val="1"/>
      <w:numFmt w:val="lowerLetter"/>
      <w:lvlText w:val="%5."/>
      <w:lvlJc w:val="left"/>
      <w:pPr>
        <w:tabs>
          <w:tab w:val="num" w:pos="360"/>
        </w:tabs>
        <w:ind w:left="360" w:firstLine="4014"/>
      </w:pPr>
      <w:rPr>
        <w:rFonts w:hint="default"/>
        <w:color w:val="000000"/>
        <w:position w:val="0"/>
        <w:sz w:val="20"/>
      </w:rPr>
    </w:lvl>
    <w:lvl w:ilvl="5">
      <w:start w:val="1"/>
      <w:numFmt w:val="lowerRoman"/>
      <w:lvlText w:val="%6."/>
      <w:lvlJc w:val="left"/>
      <w:pPr>
        <w:tabs>
          <w:tab w:val="num" w:pos="340"/>
        </w:tabs>
        <w:ind w:left="340" w:firstLine="4754"/>
      </w:pPr>
      <w:rPr>
        <w:rFonts w:hint="default"/>
        <w:color w:val="000000"/>
        <w:position w:val="0"/>
        <w:sz w:val="20"/>
      </w:rPr>
    </w:lvl>
    <w:lvl w:ilvl="6">
      <w:start w:val="1"/>
      <w:numFmt w:val="decimal"/>
      <w:isLgl/>
      <w:lvlText w:val="%7."/>
      <w:lvlJc w:val="left"/>
      <w:pPr>
        <w:tabs>
          <w:tab w:val="num" w:pos="360"/>
        </w:tabs>
        <w:ind w:left="360" w:firstLine="5454"/>
      </w:pPr>
      <w:rPr>
        <w:rFonts w:hint="default"/>
        <w:color w:val="000000"/>
        <w:position w:val="0"/>
        <w:sz w:val="20"/>
      </w:rPr>
    </w:lvl>
    <w:lvl w:ilvl="7">
      <w:start w:val="1"/>
      <w:numFmt w:val="lowerLetter"/>
      <w:lvlText w:val="%8."/>
      <w:lvlJc w:val="left"/>
      <w:pPr>
        <w:tabs>
          <w:tab w:val="num" w:pos="360"/>
        </w:tabs>
        <w:ind w:left="360" w:firstLine="6174"/>
      </w:pPr>
      <w:rPr>
        <w:rFonts w:hint="default"/>
        <w:color w:val="000000"/>
        <w:position w:val="0"/>
        <w:sz w:val="20"/>
      </w:rPr>
    </w:lvl>
    <w:lvl w:ilvl="8">
      <w:start w:val="1"/>
      <w:numFmt w:val="lowerRoman"/>
      <w:lvlText w:val="%9."/>
      <w:lvlJc w:val="left"/>
      <w:pPr>
        <w:tabs>
          <w:tab w:val="num" w:pos="340"/>
        </w:tabs>
        <w:ind w:left="340" w:firstLine="6914"/>
      </w:pPr>
      <w:rPr>
        <w:rFonts w:hint="default"/>
        <w:color w:val="000000"/>
        <w:position w:val="0"/>
        <w:sz w:val="20"/>
      </w:rPr>
    </w:lvl>
  </w:abstractNum>
  <w:abstractNum w:abstractNumId="12">
    <w:nsid w:val="00000003"/>
    <w:multiLevelType w:val="multilevel"/>
    <w:tmpl w:val="894EE875"/>
    <w:lvl w:ilvl="0">
      <w:start w:val="2"/>
      <w:numFmt w:val="decimal"/>
      <w:isLgl/>
      <w:lvlText w:val="%1."/>
      <w:lvlJc w:val="left"/>
      <w:pPr>
        <w:tabs>
          <w:tab w:val="num" w:pos="567"/>
        </w:tabs>
        <w:ind w:left="567" w:firstLine="1134"/>
      </w:pPr>
      <w:rPr>
        <w:rFonts w:hint="default"/>
        <w:color w:val="000000"/>
        <w:position w:val="0"/>
        <w:sz w:val="20"/>
      </w:rPr>
    </w:lvl>
    <w:lvl w:ilvl="1">
      <w:start w:val="1"/>
      <w:numFmt w:val="lowerLetter"/>
      <w:lvlText w:val="%2."/>
      <w:lvlJc w:val="left"/>
      <w:pPr>
        <w:tabs>
          <w:tab w:val="num" w:pos="360"/>
        </w:tabs>
        <w:ind w:left="360" w:firstLine="1854"/>
      </w:pPr>
      <w:rPr>
        <w:rFonts w:hint="default"/>
        <w:color w:val="000000"/>
        <w:position w:val="0"/>
        <w:sz w:val="20"/>
      </w:rPr>
    </w:lvl>
    <w:lvl w:ilvl="2">
      <w:start w:val="1"/>
      <w:numFmt w:val="lowerRoman"/>
      <w:lvlText w:val="%3."/>
      <w:lvlJc w:val="left"/>
      <w:pPr>
        <w:tabs>
          <w:tab w:val="num" w:pos="340"/>
        </w:tabs>
        <w:ind w:left="340" w:firstLine="2594"/>
      </w:pPr>
      <w:rPr>
        <w:rFonts w:hint="default"/>
        <w:color w:val="000000"/>
        <w:position w:val="0"/>
        <w:sz w:val="20"/>
      </w:rPr>
    </w:lvl>
    <w:lvl w:ilvl="3">
      <w:start w:val="1"/>
      <w:numFmt w:val="decimal"/>
      <w:isLgl/>
      <w:lvlText w:val="%4."/>
      <w:lvlJc w:val="left"/>
      <w:pPr>
        <w:tabs>
          <w:tab w:val="num" w:pos="360"/>
        </w:tabs>
        <w:ind w:left="360" w:firstLine="3294"/>
      </w:pPr>
      <w:rPr>
        <w:rFonts w:hint="default"/>
        <w:color w:val="000000"/>
        <w:position w:val="0"/>
        <w:sz w:val="20"/>
      </w:rPr>
    </w:lvl>
    <w:lvl w:ilvl="4">
      <w:start w:val="1"/>
      <w:numFmt w:val="lowerLetter"/>
      <w:lvlText w:val="%5."/>
      <w:lvlJc w:val="left"/>
      <w:pPr>
        <w:tabs>
          <w:tab w:val="num" w:pos="360"/>
        </w:tabs>
        <w:ind w:left="360" w:firstLine="4014"/>
      </w:pPr>
      <w:rPr>
        <w:rFonts w:hint="default"/>
        <w:color w:val="000000"/>
        <w:position w:val="0"/>
        <w:sz w:val="20"/>
      </w:rPr>
    </w:lvl>
    <w:lvl w:ilvl="5">
      <w:start w:val="1"/>
      <w:numFmt w:val="lowerRoman"/>
      <w:lvlText w:val="%6."/>
      <w:lvlJc w:val="left"/>
      <w:pPr>
        <w:tabs>
          <w:tab w:val="num" w:pos="340"/>
        </w:tabs>
        <w:ind w:left="340" w:firstLine="4754"/>
      </w:pPr>
      <w:rPr>
        <w:rFonts w:hint="default"/>
        <w:color w:val="000000"/>
        <w:position w:val="0"/>
        <w:sz w:val="20"/>
      </w:rPr>
    </w:lvl>
    <w:lvl w:ilvl="6">
      <w:start w:val="1"/>
      <w:numFmt w:val="decimal"/>
      <w:isLgl/>
      <w:lvlText w:val="%7."/>
      <w:lvlJc w:val="left"/>
      <w:pPr>
        <w:tabs>
          <w:tab w:val="num" w:pos="360"/>
        </w:tabs>
        <w:ind w:left="360" w:firstLine="5454"/>
      </w:pPr>
      <w:rPr>
        <w:rFonts w:hint="default"/>
        <w:color w:val="000000"/>
        <w:position w:val="0"/>
        <w:sz w:val="20"/>
      </w:rPr>
    </w:lvl>
    <w:lvl w:ilvl="7">
      <w:start w:val="1"/>
      <w:numFmt w:val="lowerLetter"/>
      <w:lvlText w:val="%8."/>
      <w:lvlJc w:val="left"/>
      <w:pPr>
        <w:tabs>
          <w:tab w:val="num" w:pos="360"/>
        </w:tabs>
        <w:ind w:left="360" w:firstLine="6174"/>
      </w:pPr>
      <w:rPr>
        <w:rFonts w:hint="default"/>
        <w:color w:val="000000"/>
        <w:position w:val="0"/>
        <w:sz w:val="20"/>
      </w:rPr>
    </w:lvl>
    <w:lvl w:ilvl="8">
      <w:start w:val="1"/>
      <w:numFmt w:val="lowerRoman"/>
      <w:lvlText w:val="%9."/>
      <w:lvlJc w:val="left"/>
      <w:pPr>
        <w:tabs>
          <w:tab w:val="num" w:pos="340"/>
        </w:tabs>
        <w:ind w:left="340" w:firstLine="6914"/>
      </w:pPr>
      <w:rPr>
        <w:rFonts w:hint="default"/>
        <w:color w:val="000000"/>
        <w:position w:val="0"/>
        <w:sz w:val="20"/>
      </w:rPr>
    </w:lvl>
  </w:abstractNum>
  <w:abstractNum w:abstractNumId="13">
    <w:nsid w:val="00000004"/>
    <w:multiLevelType w:val="multilevel"/>
    <w:tmpl w:val="894EE876"/>
    <w:lvl w:ilvl="0">
      <w:start w:val="1"/>
      <w:numFmt w:val="lowerLetter"/>
      <w:lvlText w:val="(%1)"/>
      <w:lvlJc w:val="left"/>
      <w:pPr>
        <w:tabs>
          <w:tab w:val="num" w:pos="567"/>
        </w:tabs>
        <w:ind w:left="567" w:firstLine="1134"/>
      </w:pPr>
      <w:rPr>
        <w:rFonts w:hint="default"/>
        <w:color w:val="000000"/>
        <w:position w:val="0"/>
        <w:sz w:val="20"/>
      </w:rPr>
    </w:lvl>
    <w:lvl w:ilvl="1">
      <w:start w:val="1"/>
      <w:numFmt w:val="lowerLetter"/>
      <w:lvlText w:val="%2."/>
      <w:lvlJc w:val="left"/>
      <w:pPr>
        <w:tabs>
          <w:tab w:val="num" w:pos="360"/>
        </w:tabs>
        <w:ind w:left="360" w:firstLine="2574"/>
      </w:pPr>
      <w:rPr>
        <w:rFonts w:hint="default"/>
        <w:color w:val="000000"/>
        <w:position w:val="0"/>
        <w:sz w:val="20"/>
      </w:rPr>
    </w:lvl>
    <w:lvl w:ilvl="2">
      <w:start w:val="1"/>
      <w:numFmt w:val="decimal"/>
      <w:isLgl/>
      <w:lvlText w:val="%3."/>
      <w:lvlJc w:val="left"/>
      <w:pPr>
        <w:tabs>
          <w:tab w:val="num" w:pos="360"/>
        </w:tabs>
        <w:ind w:left="360" w:firstLine="3474"/>
      </w:pPr>
      <w:rPr>
        <w:rFonts w:hint="default"/>
        <w:color w:val="000000"/>
        <w:position w:val="0"/>
        <w:sz w:val="20"/>
      </w:rPr>
    </w:lvl>
    <w:lvl w:ilvl="3">
      <w:start w:val="1"/>
      <w:numFmt w:val="decimal"/>
      <w:isLgl/>
      <w:lvlText w:val="%4."/>
      <w:lvlJc w:val="left"/>
      <w:pPr>
        <w:tabs>
          <w:tab w:val="num" w:pos="360"/>
        </w:tabs>
        <w:ind w:left="360" w:firstLine="4014"/>
      </w:pPr>
      <w:rPr>
        <w:rFonts w:hint="default"/>
        <w:color w:val="000000"/>
        <w:position w:val="0"/>
        <w:sz w:val="20"/>
      </w:rPr>
    </w:lvl>
    <w:lvl w:ilvl="4">
      <w:start w:val="1"/>
      <w:numFmt w:val="lowerLetter"/>
      <w:lvlText w:val="%5."/>
      <w:lvlJc w:val="left"/>
      <w:pPr>
        <w:tabs>
          <w:tab w:val="num" w:pos="360"/>
        </w:tabs>
        <w:ind w:left="360" w:firstLine="4734"/>
      </w:pPr>
      <w:rPr>
        <w:rFonts w:hint="default"/>
        <w:color w:val="000000"/>
        <w:position w:val="0"/>
        <w:sz w:val="20"/>
      </w:rPr>
    </w:lvl>
    <w:lvl w:ilvl="5">
      <w:start w:val="1"/>
      <w:numFmt w:val="lowerRoman"/>
      <w:lvlText w:val="%6."/>
      <w:lvlJc w:val="left"/>
      <w:pPr>
        <w:tabs>
          <w:tab w:val="num" w:pos="340"/>
        </w:tabs>
        <w:ind w:left="340" w:firstLine="5474"/>
      </w:pPr>
      <w:rPr>
        <w:rFonts w:hint="default"/>
        <w:color w:val="000000"/>
        <w:position w:val="0"/>
        <w:sz w:val="20"/>
      </w:rPr>
    </w:lvl>
    <w:lvl w:ilvl="6">
      <w:start w:val="1"/>
      <w:numFmt w:val="decimal"/>
      <w:isLgl/>
      <w:lvlText w:val="%7."/>
      <w:lvlJc w:val="left"/>
      <w:pPr>
        <w:tabs>
          <w:tab w:val="num" w:pos="360"/>
        </w:tabs>
        <w:ind w:left="360" w:firstLine="6174"/>
      </w:pPr>
      <w:rPr>
        <w:rFonts w:hint="default"/>
        <w:color w:val="000000"/>
        <w:position w:val="0"/>
        <w:sz w:val="20"/>
      </w:rPr>
    </w:lvl>
    <w:lvl w:ilvl="7">
      <w:start w:val="1"/>
      <w:numFmt w:val="lowerLetter"/>
      <w:lvlText w:val="%8."/>
      <w:lvlJc w:val="left"/>
      <w:pPr>
        <w:tabs>
          <w:tab w:val="num" w:pos="360"/>
        </w:tabs>
        <w:ind w:left="360" w:firstLine="6894"/>
      </w:pPr>
      <w:rPr>
        <w:rFonts w:hint="default"/>
        <w:color w:val="000000"/>
        <w:position w:val="0"/>
        <w:sz w:val="20"/>
      </w:rPr>
    </w:lvl>
    <w:lvl w:ilvl="8">
      <w:start w:val="1"/>
      <w:numFmt w:val="lowerRoman"/>
      <w:lvlText w:val="%9."/>
      <w:lvlJc w:val="left"/>
      <w:pPr>
        <w:tabs>
          <w:tab w:val="num" w:pos="340"/>
        </w:tabs>
        <w:ind w:left="340" w:firstLine="7634"/>
      </w:pPr>
      <w:rPr>
        <w:rFonts w:hint="default"/>
        <w:color w:val="000000"/>
        <w:position w:val="0"/>
        <w:sz w:val="20"/>
      </w:rPr>
    </w:lvl>
  </w:abstractNum>
  <w:abstractNum w:abstractNumId="14">
    <w:nsid w:val="00000005"/>
    <w:multiLevelType w:val="multilevel"/>
    <w:tmpl w:val="894EE877"/>
    <w:lvl w:ilvl="0">
      <w:start w:val="1"/>
      <w:numFmt w:val="lowerLetter"/>
      <w:lvlText w:val="(%1)"/>
      <w:lvlJc w:val="left"/>
      <w:pPr>
        <w:tabs>
          <w:tab w:val="num" w:pos="360"/>
        </w:tabs>
        <w:ind w:left="360" w:firstLine="1854"/>
      </w:pPr>
      <w:rPr>
        <w:rFonts w:hint="default"/>
        <w:color w:val="000000"/>
        <w:position w:val="0"/>
        <w:sz w:val="20"/>
      </w:rPr>
    </w:lvl>
    <w:lvl w:ilvl="1">
      <w:start w:val="1"/>
      <w:numFmt w:val="lowerRoman"/>
      <w:lvlText w:val="%2."/>
      <w:lvlJc w:val="left"/>
      <w:pPr>
        <w:tabs>
          <w:tab w:val="num" w:pos="444"/>
        </w:tabs>
        <w:ind w:left="444" w:firstLine="2108"/>
      </w:pPr>
      <w:rPr>
        <w:rFonts w:hint="default"/>
        <w:color w:val="000000"/>
        <w:position w:val="0"/>
        <w:sz w:val="20"/>
      </w:rPr>
    </w:lvl>
    <w:lvl w:ilvl="2">
      <w:start w:val="1"/>
      <w:numFmt w:val="decimal"/>
      <w:isLgl/>
      <w:lvlText w:val="%3."/>
      <w:lvlJc w:val="left"/>
      <w:pPr>
        <w:tabs>
          <w:tab w:val="num" w:pos="360"/>
        </w:tabs>
        <w:ind w:left="360" w:firstLine="3474"/>
      </w:pPr>
      <w:rPr>
        <w:rFonts w:hint="default"/>
        <w:color w:val="000000"/>
        <w:position w:val="0"/>
        <w:sz w:val="20"/>
      </w:rPr>
    </w:lvl>
    <w:lvl w:ilvl="3">
      <w:start w:val="1"/>
      <w:numFmt w:val="decimal"/>
      <w:isLgl/>
      <w:lvlText w:val="%4."/>
      <w:lvlJc w:val="left"/>
      <w:pPr>
        <w:tabs>
          <w:tab w:val="num" w:pos="360"/>
        </w:tabs>
        <w:ind w:left="360" w:firstLine="4014"/>
      </w:pPr>
      <w:rPr>
        <w:rFonts w:hint="default"/>
        <w:color w:val="000000"/>
        <w:position w:val="0"/>
        <w:sz w:val="20"/>
      </w:rPr>
    </w:lvl>
    <w:lvl w:ilvl="4">
      <w:start w:val="1"/>
      <w:numFmt w:val="lowerLetter"/>
      <w:lvlText w:val="%5."/>
      <w:lvlJc w:val="left"/>
      <w:pPr>
        <w:tabs>
          <w:tab w:val="num" w:pos="360"/>
        </w:tabs>
        <w:ind w:left="360" w:firstLine="4734"/>
      </w:pPr>
      <w:rPr>
        <w:rFonts w:hint="default"/>
        <w:color w:val="000000"/>
        <w:position w:val="0"/>
        <w:sz w:val="20"/>
      </w:rPr>
    </w:lvl>
    <w:lvl w:ilvl="5">
      <w:start w:val="1"/>
      <w:numFmt w:val="lowerRoman"/>
      <w:lvlText w:val="%6."/>
      <w:lvlJc w:val="left"/>
      <w:pPr>
        <w:tabs>
          <w:tab w:val="num" w:pos="340"/>
        </w:tabs>
        <w:ind w:left="340" w:firstLine="5474"/>
      </w:pPr>
      <w:rPr>
        <w:rFonts w:hint="default"/>
        <w:color w:val="000000"/>
        <w:position w:val="0"/>
        <w:sz w:val="20"/>
      </w:rPr>
    </w:lvl>
    <w:lvl w:ilvl="6">
      <w:start w:val="1"/>
      <w:numFmt w:val="decimal"/>
      <w:isLgl/>
      <w:lvlText w:val="%7."/>
      <w:lvlJc w:val="left"/>
      <w:pPr>
        <w:tabs>
          <w:tab w:val="num" w:pos="360"/>
        </w:tabs>
        <w:ind w:left="360" w:firstLine="6174"/>
      </w:pPr>
      <w:rPr>
        <w:rFonts w:hint="default"/>
        <w:color w:val="000000"/>
        <w:position w:val="0"/>
        <w:sz w:val="20"/>
      </w:rPr>
    </w:lvl>
    <w:lvl w:ilvl="7">
      <w:start w:val="1"/>
      <w:numFmt w:val="lowerLetter"/>
      <w:lvlText w:val="%8."/>
      <w:lvlJc w:val="left"/>
      <w:pPr>
        <w:tabs>
          <w:tab w:val="num" w:pos="360"/>
        </w:tabs>
        <w:ind w:left="360" w:firstLine="6894"/>
      </w:pPr>
      <w:rPr>
        <w:rFonts w:hint="default"/>
        <w:color w:val="000000"/>
        <w:position w:val="0"/>
        <w:sz w:val="20"/>
      </w:rPr>
    </w:lvl>
    <w:lvl w:ilvl="8">
      <w:start w:val="1"/>
      <w:numFmt w:val="lowerRoman"/>
      <w:lvlText w:val="%9."/>
      <w:lvlJc w:val="left"/>
      <w:pPr>
        <w:tabs>
          <w:tab w:val="num" w:pos="340"/>
        </w:tabs>
        <w:ind w:left="340" w:firstLine="7634"/>
      </w:pPr>
      <w:rPr>
        <w:rFonts w:hint="default"/>
        <w:color w:val="000000"/>
        <w:position w:val="0"/>
        <w:sz w:val="20"/>
      </w:rPr>
    </w:lvl>
  </w:abstractNum>
  <w:abstractNum w:abstractNumId="15">
    <w:nsid w:val="00000006"/>
    <w:multiLevelType w:val="multilevel"/>
    <w:tmpl w:val="894EE878"/>
    <w:lvl w:ilvl="0">
      <w:start w:val="1"/>
      <w:numFmt w:val="lowerRoman"/>
      <w:lvlText w:val="%1."/>
      <w:lvlJc w:val="left"/>
      <w:pPr>
        <w:tabs>
          <w:tab w:val="num" w:pos="520"/>
        </w:tabs>
        <w:ind w:left="520" w:firstLine="200"/>
      </w:pPr>
      <w:rPr>
        <w:rFonts w:hint="default"/>
        <w:color w:val="000000"/>
        <w:position w:val="0"/>
        <w:sz w:val="20"/>
      </w:rPr>
    </w:lvl>
    <w:lvl w:ilvl="1">
      <w:start w:val="1"/>
      <w:numFmt w:val="lowerRoman"/>
      <w:lvlText w:val="%2."/>
      <w:lvlJc w:val="left"/>
      <w:pPr>
        <w:tabs>
          <w:tab w:val="num" w:pos="444"/>
        </w:tabs>
        <w:ind w:left="444" w:firstLine="2108"/>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lowerLetter"/>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16">
    <w:nsid w:val="00000007"/>
    <w:multiLevelType w:val="multilevel"/>
    <w:tmpl w:val="894EE879"/>
    <w:lvl w:ilvl="0">
      <w:start w:val="1"/>
      <w:numFmt w:val="lowerRoman"/>
      <w:lvlText w:val="%1."/>
      <w:lvlJc w:val="left"/>
      <w:pPr>
        <w:tabs>
          <w:tab w:val="num" w:pos="520"/>
        </w:tabs>
        <w:ind w:left="520" w:firstLine="200"/>
      </w:pPr>
      <w:rPr>
        <w:rFonts w:hint="default"/>
        <w:color w:val="000000"/>
        <w:position w:val="0"/>
        <w:sz w:val="20"/>
      </w:rPr>
    </w:lvl>
    <w:lvl w:ilvl="1">
      <w:start w:val="3"/>
      <w:numFmt w:val="lowerRoman"/>
      <w:lvlText w:val="%2."/>
      <w:lvlJc w:val="left"/>
      <w:pPr>
        <w:tabs>
          <w:tab w:val="num" w:pos="520"/>
        </w:tabs>
        <w:ind w:left="520" w:firstLine="92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lowerLetter"/>
      <w:suff w:val="nothing"/>
      <w:lvlText w:val="(%4)"/>
      <w:lvlJc w:val="left"/>
      <w:pPr>
        <w:ind w:left="0" w:firstLine="156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17">
    <w:nsid w:val="00000008"/>
    <w:multiLevelType w:val="multilevel"/>
    <w:tmpl w:val="894EE87A"/>
    <w:lvl w:ilvl="0">
      <w:start w:val="5"/>
      <w:numFmt w:val="decimal"/>
      <w:isLgl/>
      <w:suff w:val="nothing"/>
      <w:lvlText w:val="%1."/>
      <w:lvlJc w:val="left"/>
      <w:pPr>
        <w:ind w:left="0" w:firstLine="1134"/>
      </w:pPr>
      <w:rPr>
        <w:rFonts w:hint="default"/>
        <w:color w:val="000000"/>
        <w:position w:val="0"/>
        <w:sz w:val="20"/>
      </w:rPr>
    </w:lvl>
    <w:lvl w:ilvl="1">
      <w:start w:val="1"/>
      <w:numFmt w:val="lowerLetter"/>
      <w:lvlText w:val="%2."/>
      <w:lvlJc w:val="left"/>
      <w:pPr>
        <w:tabs>
          <w:tab w:val="num" w:pos="360"/>
        </w:tabs>
        <w:ind w:left="360" w:firstLine="1854"/>
      </w:pPr>
      <w:rPr>
        <w:rFonts w:hint="default"/>
        <w:color w:val="000000"/>
        <w:position w:val="0"/>
        <w:sz w:val="20"/>
      </w:rPr>
    </w:lvl>
    <w:lvl w:ilvl="2">
      <w:start w:val="1"/>
      <w:numFmt w:val="lowerRoman"/>
      <w:lvlText w:val="%3."/>
      <w:lvlJc w:val="left"/>
      <w:pPr>
        <w:tabs>
          <w:tab w:val="num" w:pos="340"/>
        </w:tabs>
        <w:ind w:left="340" w:firstLine="2594"/>
      </w:pPr>
      <w:rPr>
        <w:rFonts w:hint="default"/>
        <w:color w:val="000000"/>
        <w:position w:val="0"/>
        <w:sz w:val="20"/>
      </w:rPr>
    </w:lvl>
    <w:lvl w:ilvl="3">
      <w:start w:val="1"/>
      <w:numFmt w:val="decimal"/>
      <w:isLgl/>
      <w:lvlText w:val="%4."/>
      <w:lvlJc w:val="left"/>
      <w:pPr>
        <w:tabs>
          <w:tab w:val="num" w:pos="360"/>
        </w:tabs>
        <w:ind w:left="360" w:firstLine="3294"/>
      </w:pPr>
      <w:rPr>
        <w:rFonts w:hint="default"/>
        <w:color w:val="000000"/>
        <w:position w:val="0"/>
        <w:sz w:val="20"/>
      </w:rPr>
    </w:lvl>
    <w:lvl w:ilvl="4">
      <w:start w:val="1"/>
      <w:numFmt w:val="lowerLetter"/>
      <w:lvlText w:val="%5."/>
      <w:lvlJc w:val="left"/>
      <w:pPr>
        <w:tabs>
          <w:tab w:val="num" w:pos="360"/>
        </w:tabs>
        <w:ind w:left="360" w:firstLine="4014"/>
      </w:pPr>
      <w:rPr>
        <w:rFonts w:hint="default"/>
        <w:color w:val="000000"/>
        <w:position w:val="0"/>
        <w:sz w:val="20"/>
      </w:rPr>
    </w:lvl>
    <w:lvl w:ilvl="5">
      <w:start w:val="1"/>
      <w:numFmt w:val="lowerRoman"/>
      <w:lvlText w:val="%6."/>
      <w:lvlJc w:val="left"/>
      <w:pPr>
        <w:tabs>
          <w:tab w:val="num" w:pos="340"/>
        </w:tabs>
        <w:ind w:left="340" w:firstLine="4754"/>
      </w:pPr>
      <w:rPr>
        <w:rFonts w:hint="default"/>
        <w:color w:val="000000"/>
        <w:position w:val="0"/>
        <w:sz w:val="20"/>
      </w:rPr>
    </w:lvl>
    <w:lvl w:ilvl="6">
      <w:start w:val="1"/>
      <w:numFmt w:val="decimal"/>
      <w:isLgl/>
      <w:lvlText w:val="%7."/>
      <w:lvlJc w:val="left"/>
      <w:pPr>
        <w:tabs>
          <w:tab w:val="num" w:pos="360"/>
        </w:tabs>
        <w:ind w:left="360" w:firstLine="5454"/>
      </w:pPr>
      <w:rPr>
        <w:rFonts w:hint="default"/>
        <w:color w:val="000000"/>
        <w:position w:val="0"/>
        <w:sz w:val="20"/>
      </w:rPr>
    </w:lvl>
    <w:lvl w:ilvl="7">
      <w:start w:val="1"/>
      <w:numFmt w:val="lowerLetter"/>
      <w:lvlText w:val="%8."/>
      <w:lvlJc w:val="left"/>
      <w:pPr>
        <w:tabs>
          <w:tab w:val="num" w:pos="360"/>
        </w:tabs>
        <w:ind w:left="360" w:firstLine="6174"/>
      </w:pPr>
      <w:rPr>
        <w:rFonts w:hint="default"/>
        <w:color w:val="000000"/>
        <w:position w:val="0"/>
        <w:sz w:val="20"/>
      </w:rPr>
    </w:lvl>
    <w:lvl w:ilvl="8">
      <w:start w:val="1"/>
      <w:numFmt w:val="lowerRoman"/>
      <w:lvlText w:val="%9."/>
      <w:lvlJc w:val="left"/>
      <w:pPr>
        <w:tabs>
          <w:tab w:val="num" w:pos="340"/>
        </w:tabs>
        <w:ind w:left="340" w:firstLine="6914"/>
      </w:pPr>
      <w:rPr>
        <w:rFonts w:hint="default"/>
        <w:color w:val="000000"/>
        <w:position w:val="0"/>
        <w:sz w:val="20"/>
      </w:rPr>
    </w:lvl>
  </w:abstractNum>
  <w:abstractNum w:abstractNumId="18">
    <w:nsid w:val="00000009"/>
    <w:multiLevelType w:val="multilevel"/>
    <w:tmpl w:val="894EE87B"/>
    <w:lvl w:ilvl="0">
      <w:start w:val="1"/>
      <w:numFmt w:val="lowerLetter"/>
      <w:lvlText w:val="(%1)"/>
      <w:lvlJc w:val="left"/>
      <w:pPr>
        <w:tabs>
          <w:tab w:val="num" w:pos="567"/>
        </w:tabs>
        <w:ind w:left="567" w:firstLine="1134"/>
      </w:pPr>
      <w:rPr>
        <w:rFonts w:hint="default"/>
        <w:color w:val="000000"/>
        <w:position w:val="0"/>
        <w:sz w:val="20"/>
      </w:rPr>
    </w:lvl>
    <w:lvl w:ilvl="1">
      <w:start w:val="1"/>
      <w:numFmt w:val="lowerLetter"/>
      <w:lvlText w:val="%2."/>
      <w:lvlJc w:val="left"/>
      <w:pPr>
        <w:tabs>
          <w:tab w:val="num" w:pos="360"/>
        </w:tabs>
        <w:ind w:left="360" w:firstLine="1854"/>
      </w:pPr>
      <w:rPr>
        <w:rFonts w:hint="default"/>
        <w:color w:val="000000"/>
        <w:position w:val="0"/>
        <w:sz w:val="20"/>
      </w:rPr>
    </w:lvl>
    <w:lvl w:ilvl="2">
      <w:start w:val="1"/>
      <w:numFmt w:val="lowerRoman"/>
      <w:lvlText w:val="%3."/>
      <w:lvlJc w:val="left"/>
      <w:pPr>
        <w:tabs>
          <w:tab w:val="num" w:pos="340"/>
        </w:tabs>
        <w:ind w:left="340" w:firstLine="2594"/>
      </w:pPr>
      <w:rPr>
        <w:rFonts w:hint="default"/>
        <w:color w:val="000000"/>
        <w:position w:val="0"/>
        <w:sz w:val="20"/>
      </w:rPr>
    </w:lvl>
    <w:lvl w:ilvl="3">
      <w:start w:val="1"/>
      <w:numFmt w:val="decimal"/>
      <w:isLgl/>
      <w:lvlText w:val="%4."/>
      <w:lvlJc w:val="left"/>
      <w:pPr>
        <w:tabs>
          <w:tab w:val="num" w:pos="360"/>
        </w:tabs>
        <w:ind w:left="360" w:firstLine="3294"/>
      </w:pPr>
      <w:rPr>
        <w:rFonts w:hint="default"/>
        <w:color w:val="000000"/>
        <w:position w:val="0"/>
        <w:sz w:val="20"/>
      </w:rPr>
    </w:lvl>
    <w:lvl w:ilvl="4">
      <w:start w:val="1"/>
      <w:numFmt w:val="lowerLetter"/>
      <w:lvlText w:val="%5."/>
      <w:lvlJc w:val="left"/>
      <w:pPr>
        <w:tabs>
          <w:tab w:val="num" w:pos="360"/>
        </w:tabs>
        <w:ind w:left="360" w:firstLine="4014"/>
      </w:pPr>
      <w:rPr>
        <w:rFonts w:hint="default"/>
        <w:color w:val="000000"/>
        <w:position w:val="0"/>
        <w:sz w:val="20"/>
      </w:rPr>
    </w:lvl>
    <w:lvl w:ilvl="5">
      <w:start w:val="1"/>
      <w:numFmt w:val="lowerRoman"/>
      <w:lvlText w:val="%6."/>
      <w:lvlJc w:val="left"/>
      <w:pPr>
        <w:tabs>
          <w:tab w:val="num" w:pos="340"/>
        </w:tabs>
        <w:ind w:left="340" w:firstLine="4754"/>
      </w:pPr>
      <w:rPr>
        <w:rFonts w:hint="default"/>
        <w:color w:val="000000"/>
        <w:position w:val="0"/>
        <w:sz w:val="20"/>
      </w:rPr>
    </w:lvl>
    <w:lvl w:ilvl="6">
      <w:start w:val="1"/>
      <w:numFmt w:val="decimal"/>
      <w:isLgl/>
      <w:lvlText w:val="%7."/>
      <w:lvlJc w:val="left"/>
      <w:pPr>
        <w:tabs>
          <w:tab w:val="num" w:pos="360"/>
        </w:tabs>
        <w:ind w:left="360" w:firstLine="5454"/>
      </w:pPr>
      <w:rPr>
        <w:rFonts w:hint="default"/>
        <w:color w:val="000000"/>
        <w:position w:val="0"/>
        <w:sz w:val="20"/>
      </w:rPr>
    </w:lvl>
    <w:lvl w:ilvl="7">
      <w:start w:val="1"/>
      <w:numFmt w:val="lowerLetter"/>
      <w:lvlText w:val="%8."/>
      <w:lvlJc w:val="left"/>
      <w:pPr>
        <w:tabs>
          <w:tab w:val="num" w:pos="360"/>
        </w:tabs>
        <w:ind w:left="360" w:firstLine="6174"/>
      </w:pPr>
      <w:rPr>
        <w:rFonts w:hint="default"/>
        <w:color w:val="000000"/>
        <w:position w:val="0"/>
        <w:sz w:val="20"/>
      </w:rPr>
    </w:lvl>
    <w:lvl w:ilvl="8">
      <w:start w:val="1"/>
      <w:numFmt w:val="lowerRoman"/>
      <w:lvlText w:val="%9."/>
      <w:lvlJc w:val="left"/>
      <w:pPr>
        <w:tabs>
          <w:tab w:val="num" w:pos="340"/>
        </w:tabs>
        <w:ind w:left="340" w:firstLine="6914"/>
      </w:pPr>
      <w:rPr>
        <w:rFonts w:hint="default"/>
        <w:color w:val="000000"/>
        <w:position w:val="0"/>
        <w:sz w:val="20"/>
      </w:rPr>
    </w:lvl>
  </w:abstractNum>
  <w:abstractNum w:abstractNumId="19">
    <w:nsid w:val="0000000A"/>
    <w:multiLevelType w:val="multilevel"/>
    <w:tmpl w:val="894EE87C"/>
    <w:lvl w:ilvl="0">
      <w:start w:val="6"/>
      <w:numFmt w:val="decimal"/>
      <w:isLgl/>
      <w:lvlText w:val="%1."/>
      <w:lvlJc w:val="left"/>
      <w:pPr>
        <w:tabs>
          <w:tab w:val="num" w:pos="567"/>
        </w:tabs>
        <w:ind w:left="567" w:firstLine="1134"/>
      </w:pPr>
      <w:rPr>
        <w:rFonts w:hint="default"/>
        <w:color w:val="000000"/>
        <w:position w:val="0"/>
        <w:sz w:val="20"/>
      </w:rPr>
    </w:lvl>
    <w:lvl w:ilvl="1">
      <w:start w:val="1"/>
      <w:numFmt w:val="lowerLetter"/>
      <w:lvlText w:val="%2."/>
      <w:lvlJc w:val="left"/>
      <w:pPr>
        <w:tabs>
          <w:tab w:val="num" w:pos="360"/>
        </w:tabs>
        <w:ind w:left="360" w:firstLine="1854"/>
      </w:pPr>
      <w:rPr>
        <w:rFonts w:hint="default"/>
        <w:color w:val="000000"/>
        <w:position w:val="0"/>
        <w:sz w:val="20"/>
      </w:rPr>
    </w:lvl>
    <w:lvl w:ilvl="2">
      <w:start w:val="1"/>
      <w:numFmt w:val="lowerRoman"/>
      <w:lvlText w:val="%3."/>
      <w:lvlJc w:val="left"/>
      <w:pPr>
        <w:tabs>
          <w:tab w:val="num" w:pos="340"/>
        </w:tabs>
        <w:ind w:left="340" w:firstLine="2594"/>
      </w:pPr>
      <w:rPr>
        <w:rFonts w:hint="default"/>
        <w:color w:val="000000"/>
        <w:position w:val="0"/>
        <w:sz w:val="20"/>
      </w:rPr>
    </w:lvl>
    <w:lvl w:ilvl="3">
      <w:start w:val="1"/>
      <w:numFmt w:val="decimal"/>
      <w:isLgl/>
      <w:lvlText w:val="%4."/>
      <w:lvlJc w:val="left"/>
      <w:pPr>
        <w:tabs>
          <w:tab w:val="num" w:pos="360"/>
        </w:tabs>
        <w:ind w:left="360" w:firstLine="3294"/>
      </w:pPr>
      <w:rPr>
        <w:rFonts w:hint="default"/>
        <w:color w:val="000000"/>
        <w:position w:val="0"/>
        <w:sz w:val="20"/>
      </w:rPr>
    </w:lvl>
    <w:lvl w:ilvl="4">
      <w:start w:val="1"/>
      <w:numFmt w:val="lowerLetter"/>
      <w:lvlText w:val="%5."/>
      <w:lvlJc w:val="left"/>
      <w:pPr>
        <w:tabs>
          <w:tab w:val="num" w:pos="360"/>
        </w:tabs>
        <w:ind w:left="360" w:firstLine="4014"/>
      </w:pPr>
      <w:rPr>
        <w:rFonts w:hint="default"/>
        <w:color w:val="000000"/>
        <w:position w:val="0"/>
        <w:sz w:val="20"/>
      </w:rPr>
    </w:lvl>
    <w:lvl w:ilvl="5">
      <w:start w:val="1"/>
      <w:numFmt w:val="lowerRoman"/>
      <w:lvlText w:val="%6."/>
      <w:lvlJc w:val="left"/>
      <w:pPr>
        <w:tabs>
          <w:tab w:val="num" w:pos="340"/>
        </w:tabs>
        <w:ind w:left="340" w:firstLine="4754"/>
      </w:pPr>
      <w:rPr>
        <w:rFonts w:hint="default"/>
        <w:color w:val="000000"/>
        <w:position w:val="0"/>
        <w:sz w:val="20"/>
      </w:rPr>
    </w:lvl>
    <w:lvl w:ilvl="6">
      <w:start w:val="1"/>
      <w:numFmt w:val="decimal"/>
      <w:isLgl/>
      <w:lvlText w:val="%7."/>
      <w:lvlJc w:val="left"/>
      <w:pPr>
        <w:tabs>
          <w:tab w:val="num" w:pos="360"/>
        </w:tabs>
        <w:ind w:left="360" w:firstLine="5454"/>
      </w:pPr>
      <w:rPr>
        <w:rFonts w:hint="default"/>
        <w:color w:val="000000"/>
        <w:position w:val="0"/>
        <w:sz w:val="20"/>
      </w:rPr>
    </w:lvl>
    <w:lvl w:ilvl="7">
      <w:start w:val="1"/>
      <w:numFmt w:val="lowerLetter"/>
      <w:lvlText w:val="%8."/>
      <w:lvlJc w:val="left"/>
      <w:pPr>
        <w:tabs>
          <w:tab w:val="num" w:pos="360"/>
        </w:tabs>
        <w:ind w:left="360" w:firstLine="6174"/>
      </w:pPr>
      <w:rPr>
        <w:rFonts w:hint="default"/>
        <w:color w:val="000000"/>
        <w:position w:val="0"/>
        <w:sz w:val="20"/>
      </w:rPr>
    </w:lvl>
    <w:lvl w:ilvl="8">
      <w:start w:val="1"/>
      <w:numFmt w:val="lowerRoman"/>
      <w:lvlText w:val="%9."/>
      <w:lvlJc w:val="left"/>
      <w:pPr>
        <w:tabs>
          <w:tab w:val="num" w:pos="340"/>
        </w:tabs>
        <w:ind w:left="340" w:firstLine="6914"/>
      </w:pPr>
      <w:rPr>
        <w:rFonts w:hint="default"/>
        <w:color w:val="000000"/>
        <w:position w:val="0"/>
        <w:sz w:val="20"/>
      </w:rPr>
    </w:lvl>
  </w:abstractNum>
  <w:abstractNum w:abstractNumId="20">
    <w:nsid w:val="0000000B"/>
    <w:multiLevelType w:val="multilevel"/>
    <w:tmpl w:val="894EE87D"/>
    <w:lvl w:ilvl="0">
      <w:start w:val="7"/>
      <w:numFmt w:val="decimal"/>
      <w:isLgl/>
      <w:suff w:val="nothing"/>
      <w:lvlText w:val="%1."/>
      <w:lvlJc w:val="left"/>
      <w:pPr>
        <w:ind w:left="0" w:firstLine="1134"/>
      </w:pPr>
      <w:rPr>
        <w:rFonts w:hint="default"/>
        <w:color w:val="000000"/>
        <w:position w:val="0"/>
        <w:sz w:val="20"/>
      </w:rPr>
    </w:lvl>
    <w:lvl w:ilvl="1">
      <w:start w:val="1"/>
      <w:numFmt w:val="lowerLetter"/>
      <w:lvlText w:val="%2."/>
      <w:lvlJc w:val="left"/>
      <w:pPr>
        <w:tabs>
          <w:tab w:val="num" w:pos="360"/>
        </w:tabs>
        <w:ind w:left="360" w:firstLine="1854"/>
      </w:pPr>
      <w:rPr>
        <w:rFonts w:hint="default"/>
        <w:color w:val="000000"/>
        <w:position w:val="0"/>
        <w:sz w:val="20"/>
      </w:rPr>
    </w:lvl>
    <w:lvl w:ilvl="2">
      <w:start w:val="1"/>
      <w:numFmt w:val="lowerRoman"/>
      <w:lvlText w:val="%3."/>
      <w:lvlJc w:val="left"/>
      <w:pPr>
        <w:tabs>
          <w:tab w:val="num" w:pos="340"/>
        </w:tabs>
        <w:ind w:left="340" w:firstLine="2594"/>
      </w:pPr>
      <w:rPr>
        <w:rFonts w:hint="default"/>
        <w:color w:val="000000"/>
        <w:position w:val="0"/>
        <w:sz w:val="20"/>
      </w:rPr>
    </w:lvl>
    <w:lvl w:ilvl="3">
      <w:start w:val="1"/>
      <w:numFmt w:val="decimal"/>
      <w:isLgl/>
      <w:lvlText w:val="%4."/>
      <w:lvlJc w:val="left"/>
      <w:pPr>
        <w:tabs>
          <w:tab w:val="num" w:pos="360"/>
        </w:tabs>
        <w:ind w:left="360" w:firstLine="3294"/>
      </w:pPr>
      <w:rPr>
        <w:rFonts w:hint="default"/>
        <w:color w:val="000000"/>
        <w:position w:val="0"/>
        <w:sz w:val="20"/>
      </w:rPr>
    </w:lvl>
    <w:lvl w:ilvl="4">
      <w:start w:val="1"/>
      <w:numFmt w:val="lowerLetter"/>
      <w:lvlText w:val="%5."/>
      <w:lvlJc w:val="left"/>
      <w:pPr>
        <w:tabs>
          <w:tab w:val="num" w:pos="360"/>
        </w:tabs>
        <w:ind w:left="360" w:firstLine="4014"/>
      </w:pPr>
      <w:rPr>
        <w:rFonts w:hint="default"/>
        <w:color w:val="000000"/>
        <w:position w:val="0"/>
        <w:sz w:val="20"/>
      </w:rPr>
    </w:lvl>
    <w:lvl w:ilvl="5">
      <w:start w:val="1"/>
      <w:numFmt w:val="lowerRoman"/>
      <w:lvlText w:val="%6."/>
      <w:lvlJc w:val="left"/>
      <w:pPr>
        <w:tabs>
          <w:tab w:val="num" w:pos="340"/>
        </w:tabs>
        <w:ind w:left="340" w:firstLine="4754"/>
      </w:pPr>
      <w:rPr>
        <w:rFonts w:hint="default"/>
        <w:color w:val="000000"/>
        <w:position w:val="0"/>
        <w:sz w:val="20"/>
      </w:rPr>
    </w:lvl>
    <w:lvl w:ilvl="6">
      <w:start w:val="1"/>
      <w:numFmt w:val="decimal"/>
      <w:isLgl/>
      <w:lvlText w:val="%7."/>
      <w:lvlJc w:val="left"/>
      <w:pPr>
        <w:tabs>
          <w:tab w:val="num" w:pos="360"/>
        </w:tabs>
        <w:ind w:left="360" w:firstLine="5454"/>
      </w:pPr>
      <w:rPr>
        <w:rFonts w:hint="default"/>
        <w:color w:val="000000"/>
        <w:position w:val="0"/>
        <w:sz w:val="20"/>
      </w:rPr>
    </w:lvl>
    <w:lvl w:ilvl="7">
      <w:start w:val="1"/>
      <w:numFmt w:val="lowerLetter"/>
      <w:lvlText w:val="%8."/>
      <w:lvlJc w:val="left"/>
      <w:pPr>
        <w:tabs>
          <w:tab w:val="num" w:pos="360"/>
        </w:tabs>
        <w:ind w:left="360" w:firstLine="6174"/>
      </w:pPr>
      <w:rPr>
        <w:rFonts w:hint="default"/>
        <w:color w:val="000000"/>
        <w:position w:val="0"/>
        <w:sz w:val="20"/>
      </w:rPr>
    </w:lvl>
    <w:lvl w:ilvl="8">
      <w:start w:val="1"/>
      <w:numFmt w:val="lowerRoman"/>
      <w:lvlText w:val="%9."/>
      <w:lvlJc w:val="left"/>
      <w:pPr>
        <w:tabs>
          <w:tab w:val="num" w:pos="340"/>
        </w:tabs>
        <w:ind w:left="340" w:firstLine="6914"/>
      </w:pPr>
      <w:rPr>
        <w:rFonts w:hint="default"/>
        <w:color w:val="000000"/>
        <w:position w:val="0"/>
        <w:sz w:val="20"/>
      </w:rPr>
    </w:lvl>
  </w:abstractNum>
  <w:abstractNum w:abstractNumId="21">
    <w:nsid w:val="0000000C"/>
    <w:multiLevelType w:val="multilevel"/>
    <w:tmpl w:val="894EE87E"/>
    <w:lvl w:ilvl="0">
      <w:start w:val="9"/>
      <w:numFmt w:val="decimal"/>
      <w:isLgl/>
      <w:lvlText w:val="%1."/>
      <w:lvlJc w:val="left"/>
      <w:pPr>
        <w:tabs>
          <w:tab w:val="num" w:pos="567"/>
        </w:tabs>
        <w:ind w:left="567" w:firstLine="1134"/>
      </w:pPr>
      <w:rPr>
        <w:rFonts w:hint="default"/>
        <w:color w:val="000000"/>
        <w:position w:val="0"/>
        <w:sz w:val="20"/>
      </w:rPr>
    </w:lvl>
    <w:lvl w:ilvl="1">
      <w:start w:val="1"/>
      <w:numFmt w:val="lowerLetter"/>
      <w:lvlText w:val="%2."/>
      <w:lvlJc w:val="left"/>
      <w:pPr>
        <w:tabs>
          <w:tab w:val="num" w:pos="360"/>
        </w:tabs>
        <w:ind w:left="360" w:firstLine="1854"/>
      </w:pPr>
      <w:rPr>
        <w:rFonts w:hint="default"/>
        <w:color w:val="000000"/>
        <w:position w:val="0"/>
        <w:sz w:val="20"/>
      </w:rPr>
    </w:lvl>
    <w:lvl w:ilvl="2">
      <w:start w:val="1"/>
      <w:numFmt w:val="lowerRoman"/>
      <w:lvlText w:val="%3."/>
      <w:lvlJc w:val="left"/>
      <w:pPr>
        <w:tabs>
          <w:tab w:val="num" w:pos="340"/>
        </w:tabs>
        <w:ind w:left="340" w:firstLine="2594"/>
      </w:pPr>
      <w:rPr>
        <w:rFonts w:hint="default"/>
        <w:color w:val="000000"/>
        <w:position w:val="0"/>
        <w:sz w:val="20"/>
      </w:rPr>
    </w:lvl>
    <w:lvl w:ilvl="3">
      <w:start w:val="1"/>
      <w:numFmt w:val="decimal"/>
      <w:isLgl/>
      <w:lvlText w:val="%4."/>
      <w:lvlJc w:val="left"/>
      <w:pPr>
        <w:tabs>
          <w:tab w:val="num" w:pos="360"/>
        </w:tabs>
        <w:ind w:left="360" w:firstLine="3294"/>
      </w:pPr>
      <w:rPr>
        <w:rFonts w:hint="default"/>
        <w:color w:val="000000"/>
        <w:position w:val="0"/>
        <w:sz w:val="20"/>
      </w:rPr>
    </w:lvl>
    <w:lvl w:ilvl="4">
      <w:start w:val="1"/>
      <w:numFmt w:val="lowerLetter"/>
      <w:lvlText w:val="%5."/>
      <w:lvlJc w:val="left"/>
      <w:pPr>
        <w:tabs>
          <w:tab w:val="num" w:pos="360"/>
        </w:tabs>
        <w:ind w:left="360" w:firstLine="4014"/>
      </w:pPr>
      <w:rPr>
        <w:rFonts w:hint="default"/>
        <w:color w:val="000000"/>
        <w:position w:val="0"/>
        <w:sz w:val="20"/>
      </w:rPr>
    </w:lvl>
    <w:lvl w:ilvl="5">
      <w:start w:val="1"/>
      <w:numFmt w:val="lowerRoman"/>
      <w:lvlText w:val="%6."/>
      <w:lvlJc w:val="left"/>
      <w:pPr>
        <w:tabs>
          <w:tab w:val="num" w:pos="340"/>
        </w:tabs>
        <w:ind w:left="340" w:firstLine="4754"/>
      </w:pPr>
      <w:rPr>
        <w:rFonts w:hint="default"/>
        <w:color w:val="000000"/>
        <w:position w:val="0"/>
        <w:sz w:val="20"/>
      </w:rPr>
    </w:lvl>
    <w:lvl w:ilvl="6">
      <w:start w:val="1"/>
      <w:numFmt w:val="decimal"/>
      <w:isLgl/>
      <w:lvlText w:val="%7."/>
      <w:lvlJc w:val="left"/>
      <w:pPr>
        <w:tabs>
          <w:tab w:val="num" w:pos="360"/>
        </w:tabs>
        <w:ind w:left="360" w:firstLine="5454"/>
      </w:pPr>
      <w:rPr>
        <w:rFonts w:hint="default"/>
        <w:color w:val="000000"/>
        <w:position w:val="0"/>
        <w:sz w:val="20"/>
      </w:rPr>
    </w:lvl>
    <w:lvl w:ilvl="7">
      <w:start w:val="1"/>
      <w:numFmt w:val="lowerLetter"/>
      <w:lvlText w:val="%8."/>
      <w:lvlJc w:val="left"/>
      <w:pPr>
        <w:tabs>
          <w:tab w:val="num" w:pos="360"/>
        </w:tabs>
        <w:ind w:left="360" w:firstLine="6174"/>
      </w:pPr>
      <w:rPr>
        <w:rFonts w:hint="default"/>
        <w:color w:val="000000"/>
        <w:position w:val="0"/>
        <w:sz w:val="20"/>
      </w:rPr>
    </w:lvl>
    <w:lvl w:ilvl="8">
      <w:start w:val="1"/>
      <w:numFmt w:val="lowerRoman"/>
      <w:lvlText w:val="%9."/>
      <w:lvlJc w:val="left"/>
      <w:pPr>
        <w:tabs>
          <w:tab w:val="num" w:pos="340"/>
        </w:tabs>
        <w:ind w:left="340" w:firstLine="6914"/>
      </w:pPr>
      <w:rPr>
        <w:rFonts w:hint="default"/>
        <w:color w:val="000000"/>
        <w:position w:val="0"/>
        <w:sz w:val="20"/>
      </w:rPr>
    </w:lvl>
  </w:abstractNum>
  <w:abstractNum w:abstractNumId="22">
    <w:nsid w:val="0000000D"/>
    <w:multiLevelType w:val="multilevel"/>
    <w:tmpl w:val="894EE87F"/>
    <w:lvl w:ilvl="0">
      <w:start w:val="1"/>
      <w:numFmt w:val="lowerRoman"/>
      <w:lvlText w:val="%1."/>
      <w:lvlJc w:val="left"/>
      <w:pPr>
        <w:tabs>
          <w:tab w:val="num" w:pos="555"/>
        </w:tabs>
        <w:ind w:left="555" w:firstLine="244"/>
      </w:pPr>
      <w:rPr>
        <w:rFonts w:hint="default"/>
        <w:color w:val="000000"/>
        <w:position w:val="0"/>
        <w:sz w:val="28"/>
      </w:rPr>
    </w:lvl>
    <w:lvl w:ilvl="1">
      <w:start w:val="1"/>
      <w:numFmt w:val="lowerRoman"/>
      <w:lvlText w:val="%2."/>
      <w:lvlJc w:val="left"/>
      <w:pPr>
        <w:tabs>
          <w:tab w:val="num" w:pos="555"/>
        </w:tabs>
        <w:ind w:left="555" w:firstLine="964"/>
      </w:pPr>
      <w:rPr>
        <w:rFonts w:hint="default"/>
        <w:color w:val="000000"/>
        <w:position w:val="0"/>
        <w:sz w:val="28"/>
      </w:rPr>
    </w:lvl>
    <w:lvl w:ilvl="2">
      <w:start w:val="1"/>
      <w:numFmt w:val="upperRoman"/>
      <w:lvlText w:val="%3."/>
      <w:lvlJc w:val="left"/>
      <w:pPr>
        <w:tabs>
          <w:tab w:val="num" w:pos="567"/>
        </w:tabs>
        <w:ind w:left="567" w:firstLine="1134"/>
      </w:pPr>
      <w:rPr>
        <w:rFonts w:hint="default"/>
        <w:color w:val="000000"/>
        <w:position w:val="0"/>
        <w:sz w:val="28"/>
      </w:rPr>
    </w:lvl>
    <w:lvl w:ilvl="3">
      <w:start w:val="1"/>
      <w:numFmt w:val="decimal"/>
      <w:isLgl/>
      <w:lvlText w:val="%4."/>
      <w:lvlJc w:val="left"/>
      <w:pPr>
        <w:tabs>
          <w:tab w:val="num" w:pos="420"/>
        </w:tabs>
        <w:ind w:left="420" w:firstLine="2520"/>
      </w:pPr>
      <w:rPr>
        <w:rFonts w:hint="default"/>
        <w:color w:val="000000"/>
        <w:position w:val="0"/>
        <w:sz w:val="28"/>
      </w:rPr>
    </w:lvl>
    <w:lvl w:ilvl="4">
      <w:start w:val="1"/>
      <w:numFmt w:val="lowerLetter"/>
      <w:lvlText w:val="%5."/>
      <w:lvlJc w:val="left"/>
      <w:pPr>
        <w:tabs>
          <w:tab w:val="num" w:pos="420"/>
        </w:tabs>
        <w:ind w:left="420" w:firstLine="3240"/>
      </w:pPr>
      <w:rPr>
        <w:rFonts w:hint="default"/>
        <w:color w:val="000000"/>
        <w:position w:val="0"/>
        <w:sz w:val="28"/>
      </w:rPr>
    </w:lvl>
    <w:lvl w:ilvl="5">
      <w:start w:val="1"/>
      <w:numFmt w:val="lowerRoman"/>
      <w:lvlText w:val="%6."/>
      <w:lvlJc w:val="left"/>
      <w:pPr>
        <w:tabs>
          <w:tab w:val="num" w:pos="345"/>
        </w:tabs>
        <w:ind w:left="345" w:firstLine="4024"/>
      </w:pPr>
      <w:rPr>
        <w:rFonts w:hint="default"/>
        <w:color w:val="000000"/>
        <w:position w:val="0"/>
        <w:sz w:val="28"/>
      </w:rPr>
    </w:lvl>
    <w:lvl w:ilvl="6">
      <w:start w:val="1"/>
      <w:numFmt w:val="decimal"/>
      <w:isLgl/>
      <w:lvlText w:val="%7."/>
      <w:lvlJc w:val="left"/>
      <w:pPr>
        <w:tabs>
          <w:tab w:val="num" w:pos="420"/>
        </w:tabs>
        <w:ind w:left="420" w:firstLine="4680"/>
      </w:pPr>
      <w:rPr>
        <w:rFonts w:hint="default"/>
        <w:color w:val="000000"/>
        <w:position w:val="0"/>
        <w:sz w:val="28"/>
      </w:rPr>
    </w:lvl>
    <w:lvl w:ilvl="7">
      <w:start w:val="1"/>
      <w:numFmt w:val="lowerLetter"/>
      <w:lvlText w:val="%8."/>
      <w:lvlJc w:val="left"/>
      <w:pPr>
        <w:tabs>
          <w:tab w:val="num" w:pos="420"/>
        </w:tabs>
        <w:ind w:left="420" w:firstLine="5400"/>
      </w:pPr>
      <w:rPr>
        <w:rFonts w:hint="default"/>
        <w:color w:val="000000"/>
        <w:position w:val="0"/>
        <w:sz w:val="28"/>
      </w:rPr>
    </w:lvl>
    <w:lvl w:ilvl="8">
      <w:start w:val="1"/>
      <w:numFmt w:val="lowerRoman"/>
      <w:lvlText w:val="%9."/>
      <w:lvlJc w:val="left"/>
      <w:pPr>
        <w:tabs>
          <w:tab w:val="num" w:pos="345"/>
        </w:tabs>
        <w:ind w:left="345" w:firstLine="6184"/>
      </w:pPr>
      <w:rPr>
        <w:rFonts w:hint="default"/>
        <w:color w:val="000000"/>
        <w:position w:val="0"/>
        <w:sz w:val="28"/>
      </w:rPr>
    </w:lvl>
  </w:abstractNum>
  <w:abstractNum w:abstractNumId="23">
    <w:nsid w:val="0000000E"/>
    <w:multiLevelType w:val="multilevel"/>
    <w:tmpl w:val="894EE880"/>
    <w:lvl w:ilvl="0">
      <w:start w:val="1"/>
      <w:numFmt w:val="lowerLetter"/>
      <w:suff w:val="nothing"/>
      <w:lvlText w:val="(%1)"/>
      <w:lvlJc w:val="left"/>
      <w:pPr>
        <w:ind w:left="0" w:firstLine="0"/>
      </w:pPr>
      <w:rPr>
        <w:rFonts w:hint="default"/>
        <w:color w:val="000000"/>
        <w:position w:val="0"/>
        <w:sz w:val="20"/>
      </w:rPr>
    </w:lvl>
    <w:lvl w:ilvl="1">
      <w:start w:val="1"/>
      <w:numFmt w:val="lowerLetter"/>
      <w:suff w:val="nothing"/>
      <w:lvlText w:val="%2."/>
      <w:lvlJc w:val="left"/>
      <w:pPr>
        <w:ind w:left="0" w:firstLine="0"/>
      </w:pPr>
      <w:rPr>
        <w:rFonts w:hint="default"/>
        <w:color w:val="000000"/>
        <w:position w:val="0"/>
        <w:sz w:val="20"/>
      </w:rPr>
    </w:lvl>
    <w:lvl w:ilvl="2">
      <w:start w:val="1"/>
      <w:numFmt w:val="decimal"/>
      <w:isLgl/>
      <w:suff w:val="nothing"/>
      <w:lvlText w:val="%3."/>
      <w:lvlJc w:val="left"/>
      <w:pPr>
        <w:ind w:left="0" w:firstLine="1134"/>
      </w:pPr>
      <w:rPr>
        <w:rFonts w:hint="default"/>
        <w:color w:val="000000"/>
        <w:position w:val="0"/>
        <w:sz w:val="20"/>
      </w:rPr>
    </w:lvl>
    <w:lvl w:ilvl="3">
      <w:start w:val="1"/>
      <w:numFmt w:val="decimal"/>
      <w:isLgl/>
      <w:suff w:val="nothing"/>
      <w:lvlText w:val="%4."/>
      <w:lvlJc w:val="left"/>
      <w:pPr>
        <w:ind w:left="0" w:firstLine="0"/>
      </w:pPr>
      <w:rPr>
        <w:rFonts w:hint="default"/>
        <w:color w:val="000000"/>
        <w:position w:val="0"/>
        <w:sz w:val="20"/>
      </w:rPr>
    </w:lvl>
    <w:lvl w:ilvl="4">
      <w:start w:val="1"/>
      <w:numFmt w:val="lowerLetter"/>
      <w:suff w:val="nothing"/>
      <w:lvlText w:val="%5."/>
      <w:lvlJc w:val="left"/>
      <w:pPr>
        <w:ind w:left="0" w:firstLine="0"/>
      </w:pPr>
      <w:rPr>
        <w:rFonts w:hint="default"/>
        <w:color w:val="000000"/>
        <w:position w:val="0"/>
        <w:sz w:val="20"/>
      </w:rPr>
    </w:lvl>
    <w:lvl w:ilvl="5">
      <w:start w:val="1"/>
      <w:numFmt w:val="lowerRoman"/>
      <w:suff w:val="nothing"/>
      <w:lvlText w:val="%6."/>
      <w:lvlJc w:val="left"/>
      <w:pPr>
        <w:ind w:left="0" w:firstLine="0"/>
      </w:pPr>
      <w:rPr>
        <w:rFonts w:hint="default"/>
        <w:color w:val="000000"/>
        <w:position w:val="0"/>
        <w:sz w:val="20"/>
      </w:rPr>
    </w:lvl>
    <w:lvl w:ilvl="6">
      <w:start w:val="1"/>
      <w:numFmt w:val="decimal"/>
      <w:isLgl/>
      <w:suff w:val="nothing"/>
      <w:lvlText w:val="%7."/>
      <w:lvlJc w:val="left"/>
      <w:pPr>
        <w:ind w:left="0" w:firstLine="0"/>
      </w:pPr>
      <w:rPr>
        <w:rFonts w:hint="default"/>
        <w:color w:val="000000"/>
        <w:position w:val="0"/>
        <w:sz w:val="20"/>
      </w:rPr>
    </w:lvl>
    <w:lvl w:ilvl="7">
      <w:start w:val="1"/>
      <w:numFmt w:val="lowerLetter"/>
      <w:suff w:val="nothing"/>
      <w:lvlText w:val="%8."/>
      <w:lvlJc w:val="left"/>
      <w:pPr>
        <w:ind w:left="0" w:firstLine="0"/>
      </w:pPr>
      <w:rPr>
        <w:rFonts w:hint="default"/>
        <w:color w:val="000000"/>
        <w:position w:val="0"/>
        <w:sz w:val="20"/>
      </w:rPr>
    </w:lvl>
    <w:lvl w:ilvl="8">
      <w:start w:val="1"/>
      <w:numFmt w:val="lowerRoman"/>
      <w:suff w:val="nothing"/>
      <w:lvlText w:val="%9."/>
      <w:lvlJc w:val="left"/>
      <w:pPr>
        <w:ind w:left="0" w:firstLine="0"/>
      </w:pPr>
      <w:rPr>
        <w:rFonts w:hint="default"/>
        <w:color w:val="000000"/>
        <w:position w:val="0"/>
        <w:sz w:val="20"/>
      </w:rPr>
    </w:lvl>
  </w:abstractNum>
  <w:abstractNum w:abstractNumId="24">
    <w:nsid w:val="0000000F"/>
    <w:multiLevelType w:val="multilevel"/>
    <w:tmpl w:val="894EE881"/>
    <w:lvl w:ilvl="0">
      <w:start w:val="1"/>
      <w:numFmt w:val="lowerLetter"/>
      <w:lvlText w:val="(%1)"/>
      <w:lvlJc w:val="left"/>
      <w:pPr>
        <w:tabs>
          <w:tab w:val="num" w:pos="567"/>
        </w:tabs>
        <w:ind w:left="567" w:firstLine="1134"/>
      </w:pPr>
      <w:rPr>
        <w:rFonts w:hint="default"/>
        <w:color w:val="000000"/>
        <w:position w:val="0"/>
        <w:sz w:val="20"/>
      </w:rPr>
    </w:lvl>
    <w:lvl w:ilvl="1">
      <w:start w:val="1"/>
      <w:numFmt w:val="lowerLetter"/>
      <w:suff w:val="nothing"/>
      <w:lvlText w:val="%2."/>
      <w:lvlJc w:val="left"/>
      <w:pPr>
        <w:ind w:left="0" w:firstLine="0"/>
      </w:pPr>
      <w:rPr>
        <w:rFonts w:hint="default"/>
        <w:color w:val="000000"/>
        <w:position w:val="0"/>
        <w:sz w:val="20"/>
      </w:rPr>
    </w:lvl>
    <w:lvl w:ilvl="2">
      <w:start w:val="1"/>
      <w:numFmt w:val="decimal"/>
      <w:isLgl/>
      <w:suff w:val="nothing"/>
      <w:lvlText w:val="%3."/>
      <w:lvlJc w:val="left"/>
      <w:pPr>
        <w:ind w:left="0" w:firstLine="0"/>
      </w:pPr>
      <w:rPr>
        <w:rFonts w:hint="default"/>
        <w:color w:val="000000"/>
        <w:position w:val="0"/>
        <w:sz w:val="20"/>
      </w:rPr>
    </w:lvl>
    <w:lvl w:ilvl="3">
      <w:start w:val="1"/>
      <w:numFmt w:val="decimal"/>
      <w:isLgl/>
      <w:suff w:val="nothing"/>
      <w:lvlText w:val="%4."/>
      <w:lvlJc w:val="left"/>
      <w:pPr>
        <w:ind w:left="0" w:firstLine="0"/>
      </w:pPr>
      <w:rPr>
        <w:rFonts w:hint="default"/>
        <w:color w:val="000000"/>
        <w:position w:val="0"/>
        <w:sz w:val="20"/>
      </w:rPr>
    </w:lvl>
    <w:lvl w:ilvl="4">
      <w:start w:val="1"/>
      <w:numFmt w:val="lowerLetter"/>
      <w:suff w:val="nothing"/>
      <w:lvlText w:val="%5."/>
      <w:lvlJc w:val="left"/>
      <w:pPr>
        <w:ind w:left="0" w:firstLine="0"/>
      </w:pPr>
      <w:rPr>
        <w:rFonts w:hint="default"/>
        <w:color w:val="000000"/>
        <w:position w:val="0"/>
        <w:sz w:val="20"/>
      </w:rPr>
    </w:lvl>
    <w:lvl w:ilvl="5">
      <w:start w:val="1"/>
      <w:numFmt w:val="lowerRoman"/>
      <w:suff w:val="nothing"/>
      <w:lvlText w:val="%6."/>
      <w:lvlJc w:val="left"/>
      <w:pPr>
        <w:ind w:left="0" w:firstLine="0"/>
      </w:pPr>
      <w:rPr>
        <w:rFonts w:hint="default"/>
        <w:color w:val="000000"/>
        <w:position w:val="0"/>
        <w:sz w:val="20"/>
      </w:rPr>
    </w:lvl>
    <w:lvl w:ilvl="6">
      <w:start w:val="1"/>
      <w:numFmt w:val="decimal"/>
      <w:isLgl/>
      <w:suff w:val="nothing"/>
      <w:lvlText w:val="%7."/>
      <w:lvlJc w:val="left"/>
      <w:pPr>
        <w:ind w:left="0" w:firstLine="0"/>
      </w:pPr>
      <w:rPr>
        <w:rFonts w:hint="default"/>
        <w:color w:val="000000"/>
        <w:position w:val="0"/>
        <w:sz w:val="20"/>
      </w:rPr>
    </w:lvl>
    <w:lvl w:ilvl="7">
      <w:start w:val="1"/>
      <w:numFmt w:val="lowerLetter"/>
      <w:suff w:val="nothing"/>
      <w:lvlText w:val="%8."/>
      <w:lvlJc w:val="left"/>
      <w:pPr>
        <w:ind w:left="0" w:firstLine="0"/>
      </w:pPr>
      <w:rPr>
        <w:rFonts w:hint="default"/>
        <w:color w:val="000000"/>
        <w:position w:val="0"/>
        <w:sz w:val="20"/>
      </w:rPr>
    </w:lvl>
    <w:lvl w:ilvl="8">
      <w:start w:val="1"/>
      <w:numFmt w:val="lowerRoman"/>
      <w:suff w:val="nothing"/>
      <w:lvlText w:val="%9."/>
      <w:lvlJc w:val="left"/>
      <w:pPr>
        <w:ind w:left="0" w:firstLine="0"/>
      </w:pPr>
      <w:rPr>
        <w:rFonts w:hint="default"/>
        <w:color w:val="000000"/>
        <w:position w:val="0"/>
        <w:sz w:val="20"/>
      </w:rPr>
    </w:lvl>
  </w:abstractNum>
  <w:abstractNum w:abstractNumId="25">
    <w:nsid w:val="00000010"/>
    <w:multiLevelType w:val="multilevel"/>
    <w:tmpl w:val="894EE882"/>
    <w:lvl w:ilvl="0">
      <w:start w:val="1"/>
      <w:numFmt w:val="lowerLetter"/>
      <w:lvlText w:val="(%1)"/>
      <w:lvlJc w:val="left"/>
      <w:pPr>
        <w:tabs>
          <w:tab w:val="num" w:pos="567"/>
        </w:tabs>
        <w:ind w:left="567" w:firstLine="1134"/>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26">
    <w:nsid w:val="00000011"/>
    <w:multiLevelType w:val="multilevel"/>
    <w:tmpl w:val="894EE883"/>
    <w:lvl w:ilvl="0">
      <w:start w:val="1"/>
      <w:numFmt w:val="lowerLetter"/>
      <w:suff w:val="nothing"/>
      <w:lvlText w:val="(%1)"/>
      <w:lvlJc w:val="left"/>
      <w:pPr>
        <w:ind w:left="0" w:firstLine="0"/>
      </w:pPr>
      <w:rPr>
        <w:rFonts w:hint="default"/>
        <w:color w:val="000000"/>
        <w:position w:val="0"/>
        <w:sz w:val="20"/>
      </w:rPr>
    </w:lvl>
    <w:lvl w:ilvl="1">
      <w:start w:val="1"/>
      <w:numFmt w:val="lowerLetter"/>
      <w:suff w:val="nothing"/>
      <w:lvlText w:val="%2."/>
      <w:lvlJc w:val="left"/>
      <w:pPr>
        <w:ind w:left="0" w:firstLine="0"/>
      </w:pPr>
      <w:rPr>
        <w:rFonts w:hint="default"/>
        <w:color w:val="000000"/>
        <w:position w:val="0"/>
        <w:sz w:val="20"/>
      </w:rPr>
    </w:lvl>
    <w:lvl w:ilvl="2">
      <w:start w:val="5"/>
      <w:numFmt w:val="decimal"/>
      <w:isLgl/>
      <w:lvlText w:val="%3."/>
      <w:lvlJc w:val="left"/>
      <w:pPr>
        <w:tabs>
          <w:tab w:val="num" w:pos="567"/>
        </w:tabs>
        <w:ind w:left="567" w:firstLine="1134"/>
      </w:pPr>
      <w:rPr>
        <w:rFonts w:hint="default"/>
        <w:color w:val="000000"/>
        <w:position w:val="0"/>
        <w:sz w:val="20"/>
      </w:rPr>
    </w:lvl>
    <w:lvl w:ilvl="3">
      <w:start w:val="1"/>
      <w:numFmt w:val="decimal"/>
      <w:isLgl/>
      <w:suff w:val="nothing"/>
      <w:lvlText w:val="%4."/>
      <w:lvlJc w:val="left"/>
      <w:pPr>
        <w:ind w:left="0" w:firstLine="0"/>
      </w:pPr>
      <w:rPr>
        <w:rFonts w:hint="default"/>
        <w:color w:val="000000"/>
        <w:position w:val="0"/>
        <w:sz w:val="20"/>
      </w:rPr>
    </w:lvl>
    <w:lvl w:ilvl="4">
      <w:start w:val="1"/>
      <w:numFmt w:val="lowerLetter"/>
      <w:suff w:val="nothing"/>
      <w:lvlText w:val="%5."/>
      <w:lvlJc w:val="left"/>
      <w:pPr>
        <w:ind w:left="0" w:firstLine="0"/>
      </w:pPr>
      <w:rPr>
        <w:rFonts w:hint="default"/>
        <w:color w:val="000000"/>
        <w:position w:val="0"/>
        <w:sz w:val="20"/>
      </w:rPr>
    </w:lvl>
    <w:lvl w:ilvl="5">
      <w:start w:val="1"/>
      <w:numFmt w:val="lowerRoman"/>
      <w:suff w:val="nothing"/>
      <w:lvlText w:val="%6."/>
      <w:lvlJc w:val="left"/>
      <w:pPr>
        <w:ind w:left="0" w:firstLine="0"/>
      </w:pPr>
      <w:rPr>
        <w:rFonts w:hint="default"/>
        <w:color w:val="000000"/>
        <w:position w:val="0"/>
        <w:sz w:val="20"/>
      </w:rPr>
    </w:lvl>
    <w:lvl w:ilvl="6">
      <w:start w:val="1"/>
      <w:numFmt w:val="decimal"/>
      <w:isLgl/>
      <w:suff w:val="nothing"/>
      <w:lvlText w:val="%7."/>
      <w:lvlJc w:val="left"/>
      <w:pPr>
        <w:ind w:left="0" w:firstLine="0"/>
      </w:pPr>
      <w:rPr>
        <w:rFonts w:hint="default"/>
        <w:color w:val="000000"/>
        <w:position w:val="0"/>
        <w:sz w:val="20"/>
      </w:rPr>
    </w:lvl>
    <w:lvl w:ilvl="7">
      <w:start w:val="1"/>
      <w:numFmt w:val="lowerLetter"/>
      <w:suff w:val="nothing"/>
      <w:lvlText w:val="%8."/>
      <w:lvlJc w:val="left"/>
      <w:pPr>
        <w:ind w:left="0" w:firstLine="0"/>
      </w:pPr>
      <w:rPr>
        <w:rFonts w:hint="default"/>
        <w:color w:val="000000"/>
        <w:position w:val="0"/>
        <w:sz w:val="20"/>
      </w:rPr>
    </w:lvl>
    <w:lvl w:ilvl="8">
      <w:start w:val="1"/>
      <w:numFmt w:val="lowerRoman"/>
      <w:suff w:val="nothing"/>
      <w:lvlText w:val="%9."/>
      <w:lvlJc w:val="left"/>
      <w:pPr>
        <w:ind w:left="0" w:firstLine="0"/>
      </w:pPr>
      <w:rPr>
        <w:rFonts w:hint="default"/>
        <w:color w:val="000000"/>
        <w:position w:val="0"/>
        <w:sz w:val="20"/>
      </w:rPr>
    </w:lvl>
  </w:abstractNum>
  <w:abstractNum w:abstractNumId="27">
    <w:nsid w:val="00000012"/>
    <w:multiLevelType w:val="multilevel"/>
    <w:tmpl w:val="894EE884"/>
    <w:lvl w:ilvl="0">
      <w:start w:val="1"/>
      <w:numFmt w:val="lowerLetter"/>
      <w:lvlText w:val="(%1)"/>
      <w:lvlJc w:val="left"/>
      <w:pPr>
        <w:tabs>
          <w:tab w:val="num" w:pos="567"/>
        </w:tabs>
        <w:ind w:left="567" w:firstLine="1134"/>
      </w:pPr>
      <w:rPr>
        <w:rFonts w:hint="default"/>
        <w:color w:val="000000"/>
        <w:position w:val="0"/>
        <w:sz w:val="20"/>
      </w:rPr>
    </w:lvl>
    <w:lvl w:ilvl="1">
      <w:start w:val="1"/>
      <w:numFmt w:val="lowerLetter"/>
      <w:suff w:val="nothing"/>
      <w:lvlText w:val="%2."/>
      <w:lvlJc w:val="left"/>
      <w:pPr>
        <w:ind w:left="0" w:firstLine="0"/>
      </w:pPr>
      <w:rPr>
        <w:rFonts w:hint="default"/>
        <w:color w:val="000000"/>
        <w:position w:val="0"/>
        <w:sz w:val="20"/>
      </w:rPr>
    </w:lvl>
    <w:lvl w:ilvl="2">
      <w:start w:val="1"/>
      <w:numFmt w:val="decimal"/>
      <w:isLgl/>
      <w:suff w:val="nothing"/>
      <w:lvlText w:val="%3."/>
      <w:lvlJc w:val="left"/>
      <w:pPr>
        <w:ind w:left="0" w:firstLine="0"/>
      </w:pPr>
      <w:rPr>
        <w:rFonts w:hint="default"/>
        <w:color w:val="000000"/>
        <w:position w:val="0"/>
        <w:sz w:val="20"/>
      </w:rPr>
    </w:lvl>
    <w:lvl w:ilvl="3">
      <w:start w:val="1"/>
      <w:numFmt w:val="decimal"/>
      <w:isLgl/>
      <w:suff w:val="nothing"/>
      <w:lvlText w:val="%4."/>
      <w:lvlJc w:val="left"/>
      <w:pPr>
        <w:ind w:left="0" w:firstLine="0"/>
      </w:pPr>
      <w:rPr>
        <w:rFonts w:hint="default"/>
        <w:color w:val="000000"/>
        <w:position w:val="0"/>
        <w:sz w:val="20"/>
      </w:rPr>
    </w:lvl>
    <w:lvl w:ilvl="4">
      <w:start w:val="1"/>
      <w:numFmt w:val="lowerLetter"/>
      <w:suff w:val="nothing"/>
      <w:lvlText w:val="%5."/>
      <w:lvlJc w:val="left"/>
      <w:pPr>
        <w:ind w:left="0" w:firstLine="0"/>
      </w:pPr>
      <w:rPr>
        <w:rFonts w:hint="default"/>
        <w:color w:val="000000"/>
        <w:position w:val="0"/>
        <w:sz w:val="20"/>
      </w:rPr>
    </w:lvl>
    <w:lvl w:ilvl="5">
      <w:start w:val="1"/>
      <w:numFmt w:val="lowerRoman"/>
      <w:suff w:val="nothing"/>
      <w:lvlText w:val="%6."/>
      <w:lvlJc w:val="left"/>
      <w:pPr>
        <w:ind w:left="0" w:firstLine="0"/>
      </w:pPr>
      <w:rPr>
        <w:rFonts w:hint="default"/>
        <w:color w:val="000000"/>
        <w:position w:val="0"/>
        <w:sz w:val="20"/>
      </w:rPr>
    </w:lvl>
    <w:lvl w:ilvl="6">
      <w:start w:val="1"/>
      <w:numFmt w:val="decimal"/>
      <w:isLgl/>
      <w:suff w:val="nothing"/>
      <w:lvlText w:val="%7."/>
      <w:lvlJc w:val="left"/>
      <w:pPr>
        <w:ind w:left="0" w:firstLine="0"/>
      </w:pPr>
      <w:rPr>
        <w:rFonts w:hint="default"/>
        <w:color w:val="000000"/>
        <w:position w:val="0"/>
        <w:sz w:val="20"/>
      </w:rPr>
    </w:lvl>
    <w:lvl w:ilvl="7">
      <w:start w:val="1"/>
      <w:numFmt w:val="lowerLetter"/>
      <w:suff w:val="nothing"/>
      <w:lvlText w:val="%8."/>
      <w:lvlJc w:val="left"/>
      <w:pPr>
        <w:ind w:left="0" w:firstLine="0"/>
      </w:pPr>
      <w:rPr>
        <w:rFonts w:hint="default"/>
        <w:color w:val="000000"/>
        <w:position w:val="0"/>
        <w:sz w:val="20"/>
      </w:rPr>
    </w:lvl>
    <w:lvl w:ilvl="8">
      <w:start w:val="1"/>
      <w:numFmt w:val="lowerRoman"/>
      <w:suff w:val="nothing"/>
      <w:lvlText w:val="%9."/>
      <w:lvlJc w:val="left"/>
      <w:pPr>
        <w:ind w:left="0" w:firstLine="0"/>
      </w:pPr>
      <w:rPr>
        <w:rFonts w:hint="default"/>
        <w:color w:val="000000"/>
        <w:position w:val="0"/>
        <w:sz w:val="20"/>
      </w:rPr>
    </w:lvl>
  </w:abstractNum>
  <w:abstractNum w:abstractNumId="28">
    <w:nsid w:val="00000013"/>
    <w:multiLevelType w:val="multilevel"/>
    <w:tmpl w:val="894EE885"/>
    <w:lvl w:ilvl="0">
      <w:start w:val="1"/>
      <w:numFmt w:val="lowerLetter"/>
      <w:suff w:val="nothing"/>
      <w:lvlText w:val="(%1)"/>
      <w:lvlJc w:val="left"/>
      <w:pPr>
        <w:ind w:left="0" w:firstLine="0"/>
      </w:pPr>
      <w:rPr>
        <w:rFonts w:hint="default"/>
        <w:color w:val="000000"/>
        <w:position w:val="0"/>
        <w:sz w:val="20"/>
      </w:rPr>
    </w:lvl>
    <w:lvl w:ilvl="1">
      <w:start w:val="1"/>
      <w:numFmt w:val="lowerLetter"/>
      <w:suff w:val="nothing"/>
      <w:lvlText w:val="%2."/>
      <w:lvlJc w:val="left"/>
      <w:pPr>
        <w:ind w:left="0" w:firstLine="0"/>
      </w:pPr>
      <w:rPr>
        <w:rFonts w:hint="default"/>
        <w:color w:val="000000"/>
        <w:position w:val="0"/>
        <w:sz w:val="20"/>
      </w:rPr>
    </w:lvl>
    <w:lvl w:ilvl="2">
      <w:start w:val="7"/>
      <w:numFmt w:val="decimal"/>
      <w:isLgl/>
      <w:suff w:val="nothing"/>
      <w:lvlText w:val="%3."/>
      <w:lvlJc w:val="left"/>
      <w:pPr>
        <w:ind w:left="0" w:firstLine="1134"/>
      </w:pPr>
      <w:rPr>
        <w:rFonts w:hint="default"/>
        <w:color w:val="000000"/>
        <w:position w:val="0"/>
        <w:sz w:val="20"/>
      </w:rPr>
    </w:lvl>
    <w:lvl w:ilvl="3">
      <w:start w:val="1"/>
      <w:numFmt w:val="decimal"/>
      <w:isLgl/>
      <w:suff w:val="nothing"/>
      <w:lvlText w:val="%4."/>
      <w:lvlJc w:val="left"/>
      <w:pPr>
        <w:ind w:left="0" w:firstLine="0"/>
      </w:pPr>
      <w:rPr>
        <w:rFonts w:hint="default"/>
        <w:color w:val="000000"/>
        <w:position w:val="0"/>
        <w:sz w:val="20"/>
      </w:rPr>
    </w:lvl>
    <w:lvl w:ilvl="4">
      <w:start w:val="1"/>
      <w:numFmt w:val="lowerLetter"/>
      <w:suff w:val="nothing"/>
      <w:lvlText w:val="%5."/>
      <w:lvlJc w:val="left"/>
      <w:pPr>
        <w:ind w:left="0" w:firstLine="0"/>
      </w:pPr>
      <w:rPr>
        <w:rFonts w:hint="default"/>
        <w:color w:val="000000"/>
        <w:position w:val="0"/>
        <w:sz w:val="20"/>
      </w:rPr>
    </w:lvl>
    <w:lvl w:ilvl="5">
      <w:start w:val="1"/>
      <w:numFmt w:val="lowerRoman"/>
      <w:suff w:val="nothing"/>
      <w:lvlText w:val="%6."/>
      <w:lvlJc w:val="left"/>
      <w:pPr>
        <w:ind w:left="0" w:firstLine="0"/>
      </w:pPr>
      <w:rPr>
        <w:rFonts w:hint="default"/>
        <w:color w:val="000000"/>
        <w:position w:val="0"/>
        <w:sz w:val="20"/>
      </w:rPr>
    </w:lvl>
    <w:lvl w:ilvl="6">
      <w:start w:val="1"/>
      <w:numFmt w:val="decimal"/>
      <w:isLgl/>
      <w:suff w:val="nothing"/>
      <w:lvlText w:val="%7."/>
      <w:lvlJc w:val="left"/>
      <w:pPr>
        <w:ind w:left="0" w:firstLine="0"/>
      </w:pPr>
      <w:rPr>
        <w:rFonts w:hint="default"/>
        <w:color w:val="000000"/>
        <w:position w:val="0"/>
        <w:sz w:val="20"/>
      </w:rPr>
    </w:lvl>
    <w:lvl w:ilvl="7">
      <w:start w:val="1"/>
      <w:numFmt w:val="lowerLetter"/>
      <w:suff w:val="nothing"/>
      <w:lvlText w:val="%8."/>
      <w:lvlJc w:val="left"/>
      <w:pPr>
        <w:ind w:left="0" w:firstLine="0"/>
      </w:pPr>
      <w:rPr>
        <w:rFonts w:hint="default"/>
        <w:color w:val="000000"/>
        <w:position w:val="0"/>
        <w:sz w:val="20"/>
      </w:rPr>
    </w:lvl>
    <w:lvl w:ilvl="8">
      <w:start w:val="1"/>
      <w:numFmt w:val="lowerRoman"/>
      <w:suff w:val="nothing"/>
      <w:lvlText w:val="%9."/>
      <w:lvlJc w:val="left"/>
      <w:pPr>
        <w:ind w:left="0" w:firstLine="0"/>
      </w:pPr>
      <w:rPr>
        <w:rFonts w:hint="default"/>
        <w:color w:val="000000"/>
        <w:position w:val="0"/>
        <w:sz w:val="20"/>
      </w:rPr>
    </w:lvl>
  </w:abstractNum>
  <w:abstractNum w:abstractNumId="29">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1B7A44A9"/>
    <w:multiLevelType w:val="multilevel"/>
    <w:tmpl w:val="8286D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4"/>
  </w:num>
  <w:num w:numId="12">
    <w:abstractNumId w:val="33"/>
  </w:num>
  <w:num w:numId="13">
    <w:abstractNumId w:val="29"/>
  </w:num>
  <w:num w:numId="14">
    <w:abstractNumId w:val="31"/>
  </w:num>
  <w:num w:numId="15">
    <w:abstractNumId w:val="35"/>
  </w:num>
  <w:num w:numId="16">
    <w:abstractNumId w:val="32"/>
  </w:num>
  <w:num w:numId="17">
    <w:abstractNumId w:val="36"/>
  </w:num>
  <w:num w:numId="18">
    <w:abstractNumId w:val="37"/>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6"/>
  </w:num>
  <w:num w:numId="26">
    <w:abstractNumId w:val="17"/>
  </w:num>
  <w:num w:numId="27">
    <w:abstractNumId w:val="18"/>
  </w:num>
  <w:num w:numId="28">
    <w:abstractNumId w:val="19"/>
  </w:num>
  <w:num w:numId="29">
    <w:abstractNumId w:val="20"/>
  </w:num>
  <w:num w:numId="30">
    <w:abstractNumId w:val="21"/>
  </w:num>
  <w:num w:numId="31">
    <w:abstractNumId w:val="22"/>
  </w:num>
  <w:num w:numId="32">
    <w:abstractNumId w:val="23"/>
  </w:num>
  <w:num w:numId="33">
    <w:abstractNumId w:val="24"/>
  </w:num>
  <w:num w:numId="34">
    <w:abstractNumId w:val="25"/>
  </w:num>
  <w:num w:numId="35">
    <w:abstractNumId w:val="26"/>
  </w:num>
  <w:num w:numId="36">
    <w:abstractNumId w:val="27"/>
  </w:num>
  <w:num w:numId="37">
    <w:abstractNumId w:val="28"/>
  </w:num>
  <w:num w:numId="38">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B0D"/>
    <w:rsid w:val="000005F6"/>
    <w:rsid w:val="00002A7D"/>
    <w:rsid w:val="000035C3"/>
    <w:rsid w:val="000038A8"/>
    <w:rsid w:val="00003C80"/>
    <w:rsid w:val="00006790"/>
    <w:rsid w:val="00006AD0"/>
    <w:rsid w:val="000120F6"/>
    <w:rsid w:val="0001504B"/>
    <w:rsid w:val="0002472D"/>
    <w:rsid w:val="00027624"/>
    <w:rsid w:val="000332EA"/>
    <w:rsid w:val="000338D9"/>
    <w:rsid w:val="00037BF9"/>
    <w:rsid w:val="00045218"/>
    <w:rsid w:val="0004723C"/>
    <w:rsid w:val="00050F6B"/>
    <w:rsid w:val="00063611"/>
    <w:rsid w:val="000650FF"/>
    <w:rsid w:val="000678CD"/>
    <w:rsid w:val="00070C81"/>
    <w:rsid w:val="00071ADA"/>
    <w:rsid w:val="00072C8C"/>
    <w:rsid w:val="00074D6C"/>
    <w:rsid w:val="000766F4"/>
    <w:rsid w:val="00081CE0"/>
    <w:rsid w:val="00084D30"/>
    <w:rsid w:val="00087F3F"/>
    <w:rsid w:val="00090320"/>
    <w:rsid w:val="000931C0"/>
    <w:rsid w:val="00097CC7"/>
    <w:rsid w:val="000A1D50"/>
    <w:rsid w:val="000A2E09"/>
    <w:rsid w:val="000A3ED4"/>
    <w:rsid w:val="000A6ECA"/>
    <w:rsid w:val="000B175B"/>
    <w:rsid w:val="000B31B1"/>
    <w:rsid w:val="000B3A0F"/>
    <w:rsid w:val="000C1268"/>
    <w:rsid w:val="000D0D8D"/>
    <w:rsid w:val="000D5B56"/>
    <w:rsid w:val="000E0415"/>
    <w:rsid w:val="000E3AAA"/>
    <w:rsid w:val="000E43B3"/>
    <w:rsid w:val="000E4805"/>
    <w:rsid w:val="000E75E7"/>
    <w:rsid w:val="000E7E61"/>
    <w:rsid w:val="000E7F5F"/>
    <w:rsid w:val="000F7715"/>
    <w:rsid w:val="00114884"/>
    <w:rsid w:val="00117B95"/>
    <w:rsid w:val="001202C4"/>
    <w:rsid w:val="00124F9E"/>
    <w:rsid w:val="00132DB5"/>
    <w:rsid w:val="00134E24"/>
    <w:rsid w:val="001401E1"/>
    <w:rsid w:val="0015220B"/>
    <w:rsid w:val="00156B99"/>
    <w:rsid w:val="00157B36"/>
    <w:rsid w:val="00160ADD"/>
    <w:rsid w:val="00163CC2"/>
    <w:rsid w:val="00166124"/>
    <w:rsid w:val="00167E89"/>
    <w:rsid w:val="00170290"/>
    <w:rsid w:val="00177519"/>
    <w:rsid w:val="00184DDA"/>
    <w:rsid w:val="00186750"/>
    <w:rsid w:val="001900CD"/>
    <w:rsid w:val="00191B9D"/>
    <w:rsid w:val="00194148"/>
    <w:rsid w:val="00197266"/>
    <w:rsid w:val="001A0452"/>
    <w:rsid w:val="001A4ED8"/>
    <w:rsid w:val="001A6245"/>
    <w:rsid w:val="001B24C8"/>
    <w:rsid w:val="001B451E"/>
    <w:rsid w:val="001B4B04"/>
    <w:rsid w:val="001B4E15"/>
    <w:rsid w:val="001B5875"/>
    <w:rsid w:val="001B7FD1"/>
    <w:rsid w:val="001C0632"/>
    <w:rsid w:val="001C2356"/>
    <w:rsid w:val="001C2B25"/>
    <w:rsid w:val="001C3845"/>
    <w:rsid w:val="001C4B9C"/>
    <w:rsid w:val="001C4E63"/>
    <w:rsid w:val="001C5F31"/>
    <w:rsid w:val="001C6663"/>
    <w:rsid w:val="001C7895"/>
    <w:rsid w:val="001D22D5"/>
    <w:rsid w:val="001D26DF"/>
    <w:rsid w:val="001D4041"/>
    <w:rsid w:val="001D4629"/>
    <w:rsid w:val="001E1822"/>
    <w:rsid w:val="001E1E76"/>
    <w:rsid w:val="001E260C"/>
    <w:rsid w:val="001E2B13"/>
    <w:rsid w:val="001E485A"/>
    <w:rsid w:val="001E748F"/>
    <w:rsid w:val="001F1599"/>
    <w:rsid w:val="001F19C4"/>
    <w:rsid w:val="001F784D"/>
    <w:rsid w:val="001F7DAB"/>
    <w:rsid w:val="00200395"/>
    <w:rsid w:val="00201CDA"/>
    <w:rsid w:val="002043F0"/>
    <w:rsid w:val="002057DA"/>
    <w:rsid w:val="00211030"/>
    <w:rsid w:val="002113B1"/>
    <w:rsid w:val="00211E0B"/>
    <w:rsid w:val="0021270C"/>
    <w:rsid w:val="0022146D"/>
    <w:rsid w:val="002238CA"/>
    <w:rsid w:val="0022391C"/>
    <w:rsid w:val="00224C59"/>
    <w:rsid w:val="002317D9"/>
    <w:rsid w:val="00232575"/>
    <w:rsid w:val="00236D98"/>
    <w:rsid w:val="00240378"/>
    <w:rsid w:val="0024566F"/>
    <w:rsid w:val="00246449"/>
    <w:rsid w:val="00247258"/>
    <w:rsid w:val="002564C2"/>
    <w:rsid w:val="002576AE"/>
    <w:rsid w:val="00257CAC"/>
    <w:rsid w:val="00260D55"/>
    <w:rsid w:val="00262F38"/>
    <w:rsid w:val="002636E6"/>
    <w:rsid w:val="00264322"/>
    <w:rsid w:val="0027237A"/>
    <w:rsid w:val="00272BB9"/>
    <w:rsid w:val="00273B86"/>
    <w:rsid w:val="002754C1"/>
    <w:rsid w:val="00275C48"/>
    <w:rsid w:val="0028044A"/>
    <w:rsid w:val="00291079"/>
    <w:rsid w:val="0029677D"/>
    <w:rsid w:val="002974E9"/>
    <w:rsid w:val="002A7F94"/>
    <w:rsid w:val="002B109A"/>
    <w:rsid w:val="002B16AF"/>
    <w:rsid w:val="002B734C"/>
    <w:rsid w:val="002C3F18"/>
    <w:rsid w:val="002C6D45"/>
    <w:rsid w:val="002C6F1C"/>
    <w:rsid w:val="002D3151"/>
    <w:rsid w:val="002D359C"/>
    <w:rsid w:val="002D3E8E"/>
    <w:rsid w:val="002D4AAD"/>
    <w:rsid w:val="002D4C86"/>
    <w:rsid w:val="002D6E53"/>
    <w:rsid w:val="002D7435"/>
    <w:rsid w:val="002E3D62"/>
    <w:rsid w:val="002E4538"/>
    <w:rsid w:val="002E4650"/>
    <w:rsid w:val="002F046D"/>
    <w:rsid w:val="002F269F"/>
    <w:rsid w:val="002F3780"/>
    <w:rsid w:val="00301764"/>
    <w:rsid w:val="003018CE"/>
    <w:rsid w:val="00304810"/>
    <w:rsid w:val="00304A68"/>
    <w:rsid w:val="00305F11"/>
    <w:rsid w:val="0030785F"/>
    <w:rsid w:val="003120D0"/>
    <w:rsid w:val="00313810"/>
    <w:rsid w:val="003229D8"/>
    <w:rsid w:val="003237BE"/>
    <w:rsid w:val="00323B03"/>
    <w:rsid w:val="00327119"/>
    <w:rsid w:val="00331040"/>
    <w:rsid w:val="00334106"/>
    <w:rsid w:val="00336C97"/>
    <w:rsid w:val="00337F88"/>
    <w:rsid w:val="00342432"/>
    <w:rsid w:val="00345A07"/>
    <w:rsid w:val="00350950"/>
    <w:rsid w:val="0035223F"/>
    <w:rsid w:val="00352D4B"/>
    <w:rsid w:val="0035638C"/>
    <w:rsid w:val="00356C54"/>
    <w:rsid w:val="00357700"/>
    <w:rsid w:val="00357F8F"/>
    <w:rsid w:val="00361944"/>
    <w:rsid w:val="00364F96"/>
    <w:rsid w:val="003672C4"/>
    <w:rsid w:val="00381312"/>
    <w:rsid w:val="00384167"/>
    <w:rsid w:val="00384821"/>
    <w:rsid w:val="00386CBF"/>
    <w:rsid w:val="00390B30"/>
    <w:rsid w:val="00392AC9"/>
    <w:rsid w:val="003970A6"/>
    <w:rsid w:val="003A1ECC"/>
    <w:rsid w:val="003A422F"/>
    <w:rsid w:val="003A46BB"/>
    <w:rsid w:val="003A4EC7"/>
    <w:rsid w:val="003A7295"/>
    <w:rsid w:val="003B0C52"/>
    <w:rsid w:val="003B15B1"/>
    <w:rsid w:val="003B1F60"/>
    <w:rsid w:val="003B330B"/>
    <w:rsid w:val="003B7A1A"/>
    <w:rsid w:val="003C1026"/>
    <w:rsid w:val="003C27A7"/>
    <w:rsid w:val="003C2CC4"/>
    <w:rsid w:val="003D073D"/>
    <w:rsid w:val="003D193A"/>
    <w:rsid w:val="003D4B23"/>
    <w:rsid w:val="003D53EE"/>
    <w:rsid w:val="003D6BA2"/>
    <w:rsid w:val="003E278A"/>
    <w:rsid w:val="003E34C2"/>
    <w:rsid w:val="003E5686"/>
    <w:rsid w:val="003F0A6E"/>
    <w:rsid w:val="00402606"/>
    <w:rsid w:val="004112D6"/>
    <w:rsid w:val="00413520"/>
    <w:rsid w:val="00423972"/>
    <w:rsid w:val="00424076"/>
    <w:rsid w:val="00424256"/>
    <w:rsid w:val="00425049"/>
    <w:rsid w:val="00425FAF"/>
    <w:rsid w:val="004325CB"/>
    <w:rsid w:val="0043344A"/>
    <w:rsid w:val="00434405"/>
    <w:rsid w:val="00440483"/>
    <w:rsid w:val="00440A07"/>
    <w:rsid w:val="0044252D"/>
    <w:rsid w:val="004500DE"/>
    <w:rsid w:val="00452181"/>
    <w:rsid w:val="00452C64"/>
    <w:rsid w:val="004610BD"/>
    <w:rsid w:val="00462880"/>
    <w:rsid w:val="0046670A"/>
    <w:rsid w:val="0047182B"/>
    <w:rsid w:val="00472A92"/>
    <w:rsid w:val="00474221"/>
    <w:rsid w:val="0047518B"/>
    <w:rsid w:val="00476F24"/>
    <w:rsid w:val="00482C1B"/>
    <w:rsid w:val="0048374C"/>
    <w:rsid w:val="00485F51"/>
    <w:rsid w:val="00494E03"/>
    <w:rsid w:val="004975A7"/>
    <w:rsid w:val="004A02BE"/>
    <w:rsid w:val="004A1FFC"/>
    <w:rsid w:val="004A27CE"/>
    <w:rsid w:val="004A5FE1"/>
    <w:rsid w:val="004B115C"/>
    <w:rsid w:val="004B3225"/>
    <w:rsid w:val="004C229D"/>
    <w:rsid w:val="004C55B0"/>
    <w:rsid w:val="004D42DD"/>
    <w:rsid w:val="004E5568"/>
    <w:rsid w:val="004F3A58"/>
    <w:rsid w:val="004F6BA0"/>
    <w:rsid w:val="00502579"/>
    <w:rsid w:val="00502DB4"/>
    <w:rsid w:val="00503BEA"/>
    <w:rsid w:val="005048E1"/>
    <w:rsid w:val="00511975"/>
    <w:rsid w:val="00512339"/>
    <w:rsid w:val="00513D96"/>
    <w:rsid w:val="00520C16"/>
    <w:rsid w:val="005228B5"/>
    <w:rsid w:val="005236E6"/>
    <w:rsid w:val="00523F70"/>
    <w:rsid w:val="00533616"/>
    <w:rsid w:val="005347F1"/>
    <w:rsid w:val="005357EE"/>
    <w:rsid w:val="00535ABA"/>
    <w:rsid w:val="00535CDE"/>
    <w:rsid w:val="0053768B"/>
    <w:rsid w:val="00541F10"/>
    <w:rsid w:val="005420F2"/>
    <w:rsid w:val="0054285C"/>
    <w:rsid w:val="005446EA"/>
    <w:rsid w:val="00544B67"/>
    <w:rsid w:val="00551D7B"/>
    <w:rsid w:val="00555515"/>
    <w:rsid w:val="00555614"/>
    <w:rsid w:val="00557AC6"/>
    <w:rsid w:val="00564439"/>
    <w:rsid w:val="00565A9A"/>
    <w:rsid w:val="00571D44"/>
    <w:rsid w:val="00584173"/>
    <w:rsid w:val="00584AD5"/>
    <w:rsid w:val="00585126"/>
    <w:rsid w:val="005854B4"/>
    <w:rsid w:val="005858A2"/>
    <w:rsid w:val="00586F49"/>
    <w:rsid w:val="00594D56"/>
    <w:rsid w:val="00595520"/>
    <w:rsid w:val="005A2B92"/>
    <w:rsid w:val="005A44B9"/>
    <w:rsid w:val="005A5249"/>
    <w:rsid w:val="005B0B65"/>
    <w:rsid w:val="005B1BA0"/>
    <w:rsid w:val="005B3DB3"/>
    <w:rsid w:val="005B67A4"/>
    <w:rsid w:val="005C0244"/>
    <w:rsid w:val="005C1B7E"/>
    <w:rsid w:val="005C3345"/>
    <w:rsid w:val="005C42C5"/>
    <w:rsid w:val="005D15CA"/>
    <w:rsid w:val="005D1A23"/>
    <w:rsid w:val="005E131F"/>
    <w:rsid w:val="005E63B0"/>
    <w:rsid w:val="005F1CDE"/>
    <w:rsid w:val="005F3066"/>
    <w:rsid w:val="005F3E61"/>
    <w:rsid w:val="0060289E"/>
    <w:rsid w:val="00604DDD"/>
    <w:rsid w:val="006101C0"/>
    <w:rsid w:val="006115CC"/>
    <w:rsid w:val="00611FC4"/>
    <w:rsid w:val="006152CE"/>
    <w:rsid w:val="00616565"/>
    <w:rsid w:val="00616FF8"/>
    <w:rsid w:val="006176FB"/>
    <w:rsid w:val="00617A1A"/>
    <w:rsid w:val="0062595E"/>
    <w:rsid w:val="00625990"/>
    <w:rsid w:val="00627FFC"/>
    <w:rsid w:val="00630D58"/>
    <w:rsid w:val="00630FCB"/>
    <w:rsid w:val="00631D5E"/>
    <w:rsid w:val="00634578"/>
    <w:rsid w:val="00636324"/>
    <w:rsid w:val="00640B26"/>
    <w:rsid w:val="00642C67"/>
    <w:rsid w:val="0064429D"/>
    <w:rsid w:val="00650D2C"/>
    <w:rsid w:val="006656E4"/>
    <w:rsid w:val="00673894"/>
    <w:rsid w:val="006770B2"/>
    <w:rsid w:val="00680903"/>
    <w:rsid w:val="00683518"/>
    <w:rsid w:val="00685B0A"/>
    <w:rsid w:val="00685CEB"/>
    <w:rsid w:val="00691C46"/>
    <w:rsid w:val="006940E1"/>
    <w:rsid w:val="0069448A"/>
    <w:rsid w:val="00697CF1"/>
    <w:rsid w:val="006A3C72"/>
    <w:rsid w:val="006A7392"/>
    <w:rsid w:val="006B03A1"/>
    <w:rsid w:val="006B0CE5"/>
    <w:rsid w:val="006B470B"/>
    <w:rsid w:val="006B6310"/>
    <w:rsid w:val="006B6766"/>
    <w:rsid w:val="006B67D9"/>
    <w:rsid w:val="006B69D3"/>
    <w:rsid w:val="006C5150"/>
    <w:rsid w:val="006C5535"/>
    <w:rsid w:val="006D0589"/>
    <w:rsid w:val="006D0FC1"/>
    <w:rsid w:val="006D1CFE"/>
    <w:rsid w:val="006D242B"/>
    <w:rsid w:val="006D430C"/>
    <w:rsid w:val="006D464E"/>
    <w:rsid w:val="006D4E45"/>
    <w:rsid w:val="006D4E49"/>
    <w:rsid w:val="006E0088"/>
    <w:rsid w:val="006E564B"/>
    <w:rsid w:val="006E7154"/>
    <w:rsid w:val="006E789F"/>
    <w:rsid w:val="006F1291"/>
    <w:rsid w:val="007003CD"/>
    <w:rsid w:val="00701028"/>
    <w:rsid w:val="0070701E"/>
    <w:rsid w:val="00712F78"/>
    <w:rsid w:val="0072632A"/>
    <w:rsid w:val="00733038"/>
    <w:rsid w:val="00734113"/>
    <w:rsid w:val="007358E8"/>
    <w:rsid w:val="00735EED"/>
    <w:rsid w:val="00736438"/>
    <w:rsid w:val="00736ECE"/>
    <w:rsid w:val="00740D72"/>
    <w:rsid w:val="00740DC4"/>
    <w:rsid w:val="0074533B"/>
    <w:rsid w:val="00753169"/>
    <w:rsid w:val="00755C0D"/>
    <w:rsid w:val="007612EC"/>
    <w:rsid w:val="00763135"/>
    <w:rsid w:val="007633B3"/>
    <w:rsid w:val="007634B7"/>
    <w:rsid w:val="007643BC"/>
    <w:rsid w:val="00765FFC"/>
    <w:rsid w:val="00766D87"/>
    <w:rsid w:val="00772E8E"/>
    <w:rsid w:val="00773B17"/>
    <w:rsid w:val="00773D5D"/>
    <w:rsid w:val="00786DEB"/>
    <w:rsid w:val="00790844"/>
    <w:rsid w:val="00792B70"/>
    <w:rsid w:val="007959FE"/>
    <w:rsid w:val="00796732"/>
    <w:rsid w:val="007976D2"/>
    <w:rsid w:val="007A03B3"/>
    <w:rsid w:val="007A0CF1"/>
    <w:rsid w:val="007A1715"/>
    <w:rsid w:val="007A2B26"/>
    <w:rsid w:val="007A3C6A"/>
    <w:rsid w:val="007A440E"/>
    <w:rsid w:val="007A6FB4"/>
    <w:rsid w:val="007B2053"/>
    <w:rsid w:val="007B4E35"/>
    <w:rsid w:val="007B6369"/>
    <w:rsid w:val="007B6BA5"/>
    <w:rsid w:val="007C298D"/>
    <w:rsid w:val="007C3390"/>
    <w:rsid w:val="007C42D8"/>
    <w:rsid w:val="007C4F4B"/>
    <w:rsid w:val="007C66FD"/>
    <w:rsid w:val="007D04BB"/>
    <w:rsid w:val="007D0592"/>
    <w:rsid w:val="007D07C8"/>
    <w:rsid w:val="007D5B71"/>
    <w:rsid w:val="007D7362"/>
    <w:rsid w:val="007D7C39"/>
    <w:rsid w:val="007E2A6D"/>
    <w:rsid w:val="007E4B8C"/>
    <w:rsid w:val="007E4EB9"/>
    <w:rsid w:val="007F017C"/>
    <w:rsid w:val="007F0820"/>
    <w:rsid w:val="007F5426"/>
    <w:rsid w:val="007F5CE2"/>
    <w:rsid w:val="007F6611"/>
    <w:rsid w:val="0080127C"/>
    <w:rsid w:val="00801CC0"/>
    <w:rsid w:val="0081072A"/>
    <w:rsid w:val="00810BAC"/>
    <w:rsid w:val="00812EC4"/>
    <w:rsid w:val="00816E27"/>
    <w:rsid w:val="008175E9"/>
    <w:rsid w:val="008230FA"/>
    <w:rsid w:val="008242D7"/>
    <w:rsid w:val="0082577B"/>
    <w:rsid w:val="008268DA"/>
    <w:rsid w:val="00827278"/>
    <w:rsid w:val="0083614D"/>
    <w:rsid w:val="00855A4D"/>
    <w:rsid w:val="0086321A"/>
    <w:rsid w:val="00865DD4"/>
    <w:rsid w:val="00866893"/>
    <w:rsid w:val="00866F02"/>
    <w:rsid w:val="00867D18"/>
    <w:rsid w:val="00867ED5"/>
    <w:rsid w:val="00870077"/>
    <w:rsid w:val="00871B72"/>
    <w:rsid w:val="00871F9A"/>
    <w:rsid w:val="00871FD5"/>
    <w:rsid w:val="00872AFA"/>
    <w:rsid w:val="008731F6"/>
    <w:rsid w:val="008811D5"/>
    <w:rsid w:val="0088172E"/>
    <w:rsid w:val="00881EFA"/>
    <w:rsid w:val="00883C22"/>
    <w:rsid w:val="0088477B"/>
    <w:rsid w:val="008879CB"/>
    <w:rsid w:val="008979B1"/>
    <w:rsid w:val="008A3E4E"/>
    <w:rsid w:val="008A6B25"/>
    <w:rsid w:val="008A6C4F"/>
    <w:rsid w:val="008B389E"/>
    <w:rsid w:val="008C138C"/>
    <w:rsid w:val="008C17B5"/>
    <w:rsid w:val="008C3E14"/>
    <w:rsid w:val="008C6047"/>
    <w:rsid w:val="008D045E"/>
    <w:rsid w:val="008D3F25"/>
    <w:rsid w:val="008D4D82"/>
    <w:rsid w:val="008E0E46"/>
    <w:rsid w:val="008E202B"/>
    <w:rsid w:val="008E7116"/>
    <w:rsid w:val="008F1121"/>
    <w:rsid w:val="008F143B"/>
    <w:rsid w:val="008F1F76"/>
    <w:rsid w:val="008F202F"/>
    <w:rsid w:val="008F2093"/>
    <w:rsid w:val="008F3882"/>
    <w:rsid w:val="008F3C77"/>
    <w:rsid w:val="008F4824"/>
    <w:rsid w:val="008F4840"/>
    <w:rsid w:val="008F4B7C"/>
    <w:rsid w:val="008F6770"/>
    <w:rsid w:val="00900252"/>
    <w:rsid w:val="00925901"/>
    <w:rsid w:val="00926E47"/>
    <w:rsid w:val="00930598"/>
    <w:rsid w:val="00932B51"/>
    <w:rsid w:val="00947162"/>
    <w:rsid w:val="00952853"/>
    <w:rsid w:val="00960353"/>
    <w:rsid w:val="009610D0"/>
    <w:rsid w:val="009618AB"/>
    <w:rsid w:val="0096375C"/>
    <w:rsid w:val="00965BD8"/>
    <w:rsid w:val="009662E6"/>
    <w:rsid w:val="0097095E"/>
    <w:rsid w:val="009711D3"/>
    <w:rsid w:val="00972681"/>
    <w:rsid w:val="009742E4"/>
    <w:rsid w:val="00976069"/>
    <w:rsid w:val="0098000A"/>
    <w:rsid w:val="009813D8"/>
    <w:rsid w:val="00983C11"/>
    <w:rsid w:val="009840C7"/>
    <w:rsid w:val="0098592B"/>
    <w:rsid w:val="00985FC4"/>
    <w:rsid w:val="00987018"/>
    <w:rsid w:val="00990766"/>
    <w:rsid w:val="00991261"/>
    <w:rsid w:val="00993EC7"/>
    <w:rsid w:val="009964C4"/>
    <w:rsid w:val="00997F55"/>
    <w:rsid w:val="009A2A1E"/>
    <w:rsid w:val="009A7A8F"/>
    <w:rsid w:val="009A7B81"/>
    <w:rsid w:val="009B08D5"/>
    <w:rsid w:val="009B491E"/>
    <w:rsid w:val="009B4CC0"/>
    <w:rsid w:val="009C3071"/>
    <w:rsid w:val="009D01C0"/>
    <w:rsid w:val="009D685E"/>
    <w:rsid w:val="009D6A08"/>
    <w:rsid w:val="009E0A16"/>
    <w:rsid w:val="009E2CAB"/>
    <w:rsid w:val="009E6CB7"/>
    <w:rsid w:val="009E7970"/>
    <w:rsid w:val="009F1402"/>
    <w:rsid w:val="009F2EAC"/>
    <w:rsid w:val="009F3C8E"/>
    <w:rsid w:val="009F57E3"/>
    <w:rsid w:val="009F58F6"/>
    <w:rsid w:val="00A01AF7"/>
    <w:rsid w:val="00A037C0"/>
    <w:rsid w:val="00A04D5A"/>
    <w:rsid w:val="00A05EEB"/>
    <w:rsid w:val="00A10F4F"/>
    <w:rsid w:val="00A11067"/>
    <w:rsid w:val="00A1704A"/>
    <w:rsid w:val="00A177F7"/>
    <w:rsid w:val="00A234E1"/>
    <w:rsid w:val="00A2506F"/>
    <w:rsid w:val="00A33DAB"/>
    <w:rsid w:val="00A35AF1"/>
    <w:rsid w:val="00A374DE"/>
    <w:rsid w:val="00A401AC"/>
    <w:rsid w:val="00A425EB"/>
    <w:rsid w:val="00A439A7"/>
    <w:rsid w:val="00A44BB9"/>
    <w:rsid w:val="00A471A4"/>
    <w:rsid w:val="00A52EA1"/>
    <w:rsid w:val="00A53FB4"/>
    <w:rsid w:val="00A57BAB"/>
    <w:rsid w:val="00A60C6E"/>
    <w:rsid w:val="00A662F5"/>
    <w:rsid w:val="00A72F22"/>
    <w:rsid w:val="00A733BC"/>
    <w:rsid w:val="00A748A6"/>
    <w:rsid w:val="00A74BA9"/>
    <w:rsid w:val="00A76A69"/>
    <w:rsid w:val="00A76FB4"/>
    <w:rsid w:val="00A80B0D"/>
    <w:rsid w:val="00A80FCA"/>
    <w:rsid w:val="00A84484"/>
    <w:rsid w:val="00A84B49"/>
    <w:rsid w:val="00A879A4"/>
    <w:rsid w:val="00A90F78"/>
    <w:rsid w:val="00A920F5"/>
    <w:rsid w:val="00AA0FF8"/>
    <w:rsid w:val="00AA3928"/>
    <w:rsid w:val="00AA5180"/>
    <w:rsid w:val="00AA748C"/>
    <w:rsid w:val="00AA768C"/>
    <w:rsid w:val="00AA7EFF"/>
    <w:rsid w:val="00AB28C7"/>
    <w:rsid w:val="00AC0F2C"/>
    <w:rsid w:val="00AC502A"/>
    <w:rsid w:val="00AC57C6"/>
    <w:rsid w:val="00AD4B28"/>
    <w:rsid w:val="00AD5422"/>
    <w:rsid w:val="00AD6D2C"/>
    <w:rsid w:val="00AD71B2"/>
    <w:rsid w:val="00AD73C1"/>
    <w:rsid w:val="00AD781A"/>
    <w:rsid w:val="00AE2B28"/>
    <w:rsid w:val="00AE5219"/>
    <w:rsid w:val="00AE69FD"/>
    <w:rsid w:val="00AF1407"/>
    <w:rsid w:val="00AF3817"/>
    <w:rsid w:val="00AF4FD0"/>
    <w:rsid w:val="00AF58C1"/>
    <w:rsid w:val="00B04A3F"/>
    <w:rsid w:val="00B06643"/>
    <w:rsid w:val="00B11941"/>
    <w:rsid w:val="00B15055"/>
    <w:rsid w:val="00B165B8"/>
    <w:rsid w:val="00B20DE3"/>
    <w:rsid w:val="00B23AF1"/>
    <w:rsid w:val="00B23C8B"/>
    <w:rsid w:val="00B256A2"/>
    <w:rsid w:val="00B25B3F"/>
    <w:rsid w:val="00B25D68"/>
    <w:rsid w:val="00B30179"/>
    <w:rsid w:val="00B30544"/>
    <w:rsid w:val="00B37B15"/>
    <w:rsid w:val="00B37DE9"/>
    <w:rsid w:val="00B44885"/>
    <w:rsid w:val="00B45C02"/>
    <w:rsid w:val="00B53725"/>
    <w:rsid w:val="00B54EFF"/>
    <w:rsid w:val="00B56638"/>
    <w:rsid w:val="00B573DD"/>
    <w:rsid w:val="00B57601"/>
    <w:rsid w:val="00B577EB"/>
    <w:rsid w:val="00B57E77"/>
    <w:rsid w:val="00B60917"/>
    <w:rsid w:val="00B60EFE"/>
    <w:rsid w:val="00B61FD3"/>
    <w:rsid w:val="00B64189"/>
    <w:rsid w:val="00B648D5"/>
    <w:rsid w:val="00B67E33"/>
    <w:rsid w:val="00B72A1E"/>
    <w:rsid w:val="00B732E0"/>
    <w:rsid w:val="00B74B73"/>
    <w:rsid w:val="00B77B82"/>
    <w:rsid w:val="00B81E12"/>
    <w:rsid w:val="00B82356"/>
    <w:rsid w:val="00B86DE4"/>
    <w:rsid w:val="00B87308"/>
    <w:rsid w:val="00B9067C"/>
    <w:rsid w:val="00B940D4"/>
    <w:rsid w:val="00B968E3"/>
    <w:rsid w:val="00BA0DC3"/>
    <w:rsid w:val="00BA1C29"/>
    <w:rsid w:val="00BA32D4"/>
    <w:rsid w:val="00BA339B"/>
    <w:rsid w:val="00BA703B"/>
    <w:rsid w:val="00BB5128"/>
    <w:rsid w:val="00BB7119"/>
    <w:rsid w:val="00BC1CAE"/>
    <w:rsid w:val="00BC1E7E"/>
    <w:rsid w:val="00BC721B"/>
    <w:rsid w:val="00BC74E9"/>
    <w:rsid w:val="00BC7F91"/>
    <w:rsid w:val="00BD33F6"/>
    <w:rsid w:val="00BD4468"/>
    <w:rsid w:val="00BD4C21"/>
    <w:rsid w:val="00BE36A9"/>
    <w:rsid w:val="00BE3CC1"/>
    <w:rsid w:val="00BE618E"/>
    <w:rsid w:val="00BE7BEC"/>
    <w:rsid w:val="00BF0A5A"/>
    <w:rsid w:val="00BF0E63"/>
    <w:rsid w:val="00BF12A3"/>
    <w:rsid w:val="00BF16D7"/>
    <w:rsid w:val="00BF2373"/>
    <w:rsid w:val="00C04005"/>
    <w:rsid w:val="00C044E2"/>
    <w:rsid w:val="00C048CB"/>
    <w:rsid w:val="00C066F3"/>
    <w:rsid w:val="00C06712"/>
    <w:rsid w:val="00C11E7C"/>
    <w:rsid w:val="00C159B7"/>
    <w:rsid w:val="00C20798"/>
    <w:rsid w:val="00C21082"/>
    <w:rsid w:val="00C32DAE"/>
    <w:rsid w:val="00C346B8"/>
    <w:rsid w:val="00C3578F"/>
    <w:rsid w:val="00C364E7"/>
    <w:rsid w:val="00C378FA"/>
    <w:rsid w:val="00C4024F"/>
    <w:rsid w:val="00C45DD9"/>
    <w:rsid w:val="00C463DD"/>
    <w:rsid w:val="00C510C0"/>
    <w:rsid w:val="00C611AD"/>
    <w:rsid w:val="00C6285D"/>
    <w:rsid w:val="00C6374C"/>
    <w:rsid w:val="00C70F1F"/>
    <w:rsid w:val="00C745C3"/>
    <w:rsid w:val="00C8413D"/>
    <w:rsid w:val="00C911FD"/>
    <w:rsid w:val="00CA24A4"/>
    <w:rsid w:val="00CB348D"/>
    <w:rsid w:val="00CB608A"/>
    <w:rsid w:val="00CC4C7D"/>
    <w:rsid w:val="00CC557F"/>
    <w:rsid w:val="00CD46F5"/>
    <w:rsid w:val="00CD6385"/>
    <w:rsid w:val="00CE1510"/>
    <w:rsid w:val="00CE36F9"/>
    <w:rsid w:val="00CE3CF4"/>
    <w:rsid w:val="00CE4A8F"/>
    <w:rsid w:val="00CE73AF"/>
    <w:rsid w:val="00CE7802"/>
    <w:rsid w:val="00CF071D"/>
    <w:rsid w:val="00D04906"/>
    <w:rsid w:val="00D05667"/>
    <w:rsid w:val="00D13C3E"/>
    <w:rsid w:val="00D15B04"/>
    <w:rsid w:val="00D17BF0"/>
    <w:rsid w:val="00D2031B"/>
    <w:rsid w:val="00D23505"/>
    <w:rsid w:val="00D241DA"/>
    <w:rsid w:val="00D25FE2"/>
    <w:rsid w:val="00D30803"/>
    <w:rsid w:val="00D311DD"/>
    <w:rsid w:val="00D33D5B"/>
    <w:rsid w:val="00D34904"/>
    <w:rsid w:val="00D35044"/>
    <w:rsid w:val="00D364A6"/>
    <w:rsid w:val="00D37DA9"/>
    <w:rsid w:val="00D406A7"/>
    <w:rsid w:val="00D43252"/>
    <w:rsid w:val="00D44D86"/>
    <w:rsid w:val="00D50B7D"/>
    <w:rsid w:val="00D52012"/>
    <w:rsid w:val="00D53143"/>
    <w:rsid w:val="00D538C2"/>
    <w:rsid w:val="00D55C34"/>
    <w:rsid w:val="00D5600A"/>
    <w:rsid w:val="00D56595"/>
    <w:rsid w:val="00D607FA"/>
    <w:rsid w:val="00D61E64"/>
    <w:rsid w:val="00D67494"/>
    <w:rsid w:val="00D7022B"/>
    <w:rsid w:val="00D704E5"/>
    <w:rsid w:val="00D716DD"/>
    <w:rsid w:val="00D72727"/>
    <w:rsid w:val="00D763D5"/>
    <w:rsid w:val="00D770B6"/>
    <w:rsid w:val="00D77AEA"/>
    <w:rsid w:val="00D82B56"/>
    <w:rsid w:val="00D86D9F"/>
    <w:rsid w:val="00D87111"/>
    <w:rsid w:val="00D9042C"/>
    <w:rsid w:val="00D90985"/>
    <w:rsid w:val="00D91516"/>
    <w:rsid w:val="00D91624"/>
    <w:rsid w:val="00D9406B"/>
    <w:rsid w:val="00D96A61"/>
    <w:rsid w:val="00D978C6"/>
    <w:rsid w:val="00DA0956"/>
    <w:rsid w:val="00DA2054"/>
    <w:rsid w:val="00DA357F"/>
    <w:rsid w:val="00DA3E12"/>
    <w:rsid w:val="00DA5ADA"/>
    <w:rsid w:val="00DA6B05"/>
    <w:rsid w:val="00DB183F"/>
    <w:rsid w:val="00DB3F3D"/>
    <w:rsid w:val="00DC18AD"/>
    <w:rsid w:val="00DC3B56"/>
    <w:rsid w:val="00DD0D77"/>
    <w:rsid w:val="00DF05B7"/>
    <w:rsid w:val="00DF5BB7"/>
    <w:rsid w:val="00DF7CAE"/>
    <w:rsid w:val="00E029BE"/>
    <w:rsid w:val="00E04907"/>
    <w:rsid w:val="00E0494E"/>
    <w:rsid w:val="00E04AA0"/>
    <w:rsid w:val="00E06817"/>
    <w:rsid w:val="00E12152"/>
    <w:rsid w:val="00E13ABD"/>
    <w:rsid w:val="00E209AB"/>
    <w:rsid w:val="00E23602"/>
    <w:rsid w:val="00E23EE7"/>
    <w:rsid w:val="00E25CF9"/>
    <w:rsid w:val="00E269A3"/>
    <w:rsid w:val="00E27707"/>
    <w:rsid w:val="00E33DE9"/>
    <w:rsid w:val="00E40513"/>
    <w:rsid w:val="00E423C0"/>
    <w:rsid w:val="00E456B4"/>
    <w:rsid w:val="00E45E73"/>
    <w:rsid w:val="00E46CD4"/>
    <w:rsid w:val="00E51245"/>
    <w:rsid w:val="00E52089"/>
    <w:rsid w:val="00E54DCF"/>
    <w:rsid w:val="00E5555F"/>
    <w:rsid w:val="00E558D5"/>
    <w:rsid w:val="00E56D14"/>
    <w:rsid w:val="00E600DF"/>
    <w:rsid w:val="00E615CE"/>
    <w:rsid w:val="00E6414C"/>
    <w:rsid w:val="00E72128"/>
    <w:rsid w:val="00E7260F"/>
    <w:rsid w:val="00E7409C"/>
    <w:rsid w:val="00E7521E"/>
    <w:rsid w:val="00E8490C"/>
    <w:rsid w:val="00E8702D"/>
    <w:rsid w:val="00E916A9"/>
    <w:rsid w:val="00E916DE"/>
    <w:rsid w:val="00E925AD"/>
    <w:rsid w:val="00E96630"/>
    <w:rsid w:val="00EA34FF"/>
    <w:rsid w:val="00EA52DA"/>
    <w:rsid w:val="00EB0804"/>
    <w:rsid w:val="00EB0AF1"/>
    <w:rsid w:val="00EB36D6"/>
    <w:rsid w:val="00EB5AFA"/>
    <w:rsid w:val="00EB7396"/>
    <w:rsid w:val="00EC1089"/>
    <w:rsid w:val="00EC5FA0"/>
    <w:rsid w:val="00ED18DC"/>
    <w:rsid w:val="00ED36D8"/>
    <w:rsid w:val="00ED3A89"/>
    <w:rsid w:val="00ED56B4"/>
    <w:rsid w:val="00ED6201"/>
    <w:rsid w:val="00ED7A2A"/>
    <w:rsid w:val="00EE3A1D"/>
    <w:rsid w:val="00EE3EA2"/>
    <w:rsid w:val="00EF1D7F"/>
    <w:rsid w:val="00EF1ED9"/>
    <w:rsid w:val="00EF4A85"/>
    <w:rsid w:val="00EF6CFE"/>
    <w:rsid w:val="00F00461"/>
    <w:rsid w:val="00F0137E"/>
    <w:rsid w:val="00F05CFA"/>
    <w:rsid w:val="00F127DF"/>
    <w:rsid w:val="00F13278"/>
    <w:rsid w:val="00F14B6D"/>
    <w:rsid w:val="00F202CF"/>
    <w:rsid w:val="00F21786"/>
    <w:rsid w:val="00F245EA"/>
    <w:rsid w:val="00F31491"/>
    <w:rsid w:val="00F3742B"/>
    <w:rsid w:val="00F37D35"/>
    <w:rsid w:val="00F41FDB"/>
    <w:rsid w:val="00F42552"/>
    <w:rsid w:val="00F44D12"/>
    <w:rsid w:val="00F44DAC"/>
    <w:rsid w:val="00F45670"/>
    <w:rsid w:val="00F46624"/>
    <w:rsid w:val="00F507EC"/>
    <w:rsid w:val="00F544FF"/>
    <w:rsid w:val="00F556E6"/>
    <w:rsid w:val="00F56D63"/>
    <w:rsid w:val="00F609A9"/>
    <w:rsid w:val="00F67C3E"/>
    <w:rsid w:val="00F67EFC"/>
    <w:rsid w:val="00F707D4"/>
    <w:rsid w:val="00F73EA4"/>
    <w:rsid w:val="00F75238"/>
    <w:rsid w:val="00F80C99"/>
    <w:rsid w:val="00F867EC"/>
    <w:rsid w:val="00F91B2B"/>
    <w:rsid w:val="00FA1ABB"/>
    <w:rsid w:val="00FA2903"/>
    <w:rsid w:val="00FA6CA9"/>
    <w:rsid w:val="00FB231A"/>
    <w:rsid w:val="00FB501E"/>
    <w:rsid w:val="00FB5B96"/>
    <w:rsid w:val="00FC03CD"/>
    <w:rsid w:val="00FC0646"/>
    <w:rsid w:val="00FC35D0"/>
    <w:rsid w:val="00FC68B7"/>
    <w:rsid w:val="00FD0E8A"/>
    <w:rsid w:val="00FE258A"/>
    <w:rsid w:val="00FE288F"/>
    <w:rsid w:val="00FE6985"/>
    <w:rsid w:val="00FE6A8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14:docId w14:val="54A92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link w:val="Heading2Char"/>
    <w:uiPriority w:val="9"/>
    <w:qFormat/>
    <w:rsid w:val="00E925AD"/>
    <w:pPr>
      <w:spacing w:line="240" w:lineRule="auto"/>
      <w:outlineLvl w:val="1"/>
    </w:pPr>
  </w:style>
  <w:style w:type="paragraph" w:styleId="Heading3">
    <w:name w:val="heading 3"/>
    <w:basedOn w:val="Normal"/>
    <w:next w:val="Normal"/>
    <w:link w:val="Heading3Char"/>
    <w:uiPriority w:val="9"/>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Fußnote,Footnote Text Char Char,single space,footnote text"/>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A80B0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80B0D"/>
    <w:rPr>
      <w:rFonts w:ascii="Tahoma" w:hAnsi="Tahoma" w:cs="Tahoma"/>
      <w:sz w:val="16"/>
      <w:szCs w:val="16"/>
      <w:lang w:eastAsia="en-US"/>
    </w:rPr>
  </w:style>
  <w:style w:type="character" w:customStyle="1" w:styleId="SingleTxtGChar">
    <w:name w:val="_ Single Txt_G Char"/>
    <w:link w:val="SingleTxtG"/>
    <w:rsid w:val="00FA6CA9"/>
    <w:rPr>
      <w:lang w:eastAsia="en-US"/>
    </w:rPr>
  </w:style>
  <w:style w:type="character" w:styleId="CommentReference">
    <w:name w:val="annotation reference"/>
    <w:basedOn w:val="DefaultParagraphFont"/>
    <w:rsid w:val="004A1FFC"/>
    <w:rPr>
      <w:sz w:val="16"/>
      <w:szCs w:val="16"/>
    </w:rPr>
  </w:style>
  <w:style w:type="paragraph" w:styleId="CommentText">
    <w:name w:val="annotation text"/>
    <w:basedOn w:val="Normal"/>
    <w:link w:val="CommentTextChar"/>
    <w:rsid w:val="004A1FFC"/>
    <w:pPr>
      <w:spacing w:line="240" w:lineRule="auto"/>
    </w:pPr>
  </w:style>
  <w:style w:type="character" w:customStyle="1" w:styleId="CommentTextChar">
    <w:name w:val="Comment Text Char"/>
    <w:basedOn w:val="DefaultParagraphFont"/>
    <w:link w:val="CommentText"/>
    <w:rsid w:val="004A1FFC"/>
    <w:rPr>
      <w:lang w:eastAsia="en-US"/>
    </w:rPr>
  </w:style>
  <w:style w:type="paragraph" w:styleId="CommentSubject">
    <w:name w:val="annotation subject"/>
    <w:basedOn w:val="CommentText"/>
    <w:next w:val="CommentText"/>
    <w:link w:val="CommentSubjectChar"/>
    <w:rsid w:val="004A1FFC"/>
    <w:rPr>
      <w:b/>
      <w:bCs/>
    </w:rPr>
  </w:style>
  <w:style w:type="character" w:customStyle="1" w:styleId="CommentSubjectChar">
    <w:name w:val="Comment Subject Char"/>
    <w:basedOn w:val="CommentTextChar"/>
    <w:link w:val="CommentSubject"/>
    <w:rsid w:val="004A1FFC"/>
    <w:rPr>
      <w:b/>
      <w:bCs/>
      <w:lang w:eastAsia="en-US"/>
    </w:rPr>
  </w:style>
  <w:style w:type="paragraph" w:styleId="Revision">
    <w:name w:val="Revision"/>
    <w:hidden/>
    <w:uiPriority w:val="99"/>
    <w:semiHidden/>
    <w:rsid w:val="00513D96"/>
    <w:rPr>
      <w:lang w:eastAsia="en-US"/>
    </w:rPr>
  </w:style>
  <w:style w:type="character" w:customStyle="1" w:styleId="H1GChar">
    <w:name w:val="_ H_1_G Char"/>
    <w:link w:val="H1G"/>
    <w:rsid w:val="00D30803"/>
    <w:rPr>
      <w:b/>
      <w:sz w:val="24"/>
      <w:lang w:eastAsia="en-US"/>
    </w:rPr>
  </w:style>
  <w:style w:type="character" w:customStyle="1" w:styleId="FootnoteTextChar">
    <w:name w:val="Footnote Text Char"/>
    <w:aliases w:val="5_G Char,Fußnote Char,Footnote Text Char Char Char,single space Char,footnote text Char"/>
    <w:link w:val="FootnoteText"/>
    <w:rsid w:val="00AE2B28"/>
    <w:rPr>
      <w:sz w:val="18"/>
      <w:lang w:eastAsia="en-US"/>
    </w:rPr>
  </w:style>
  <w:style w:type="character" w:customStyle="1" w:styleId="Heading2Char">
    <w:name w:val="Heading 2 Char"/>
    <w:basedOn w:val="DefaultParagraphFont"/>
    <w:link w:val="Heading2"/>
    <w:uiPriority w:val="9"/>
    <w:rsid w:val="00DC3B56"/>
    <w:rPr>
      <w:lang w:eastAsia="en-US"/>
    </w:rPr>
  </w:style>
  <w:style w:type="character" w:customStyle="1" w:styleId="Heading3Char">
    <w:name w:val="Heading 3 Char"/>
    <w:basedOn w:val="DefaultParagraphFont"/>
    <w:link w:val="Heading3"/>
    <w:uiPriority w:val="9"/>
    <w:rsid w:val="00DC3B56"/>
    <w:rPr>
      <w:lang w:eastAsia="en-US"/>
    </w:rPr>
  </w:style>
  <w:style w:type="character" w:customStyle="1" w:styleId="hw">
    <w:name w:val="hw"/>
    <w:basedOn w:val="DefaultParagraphFont"/>
    <w:rsid w:val="00DC3B56"/>
  </w:style>
  <w:style w:type="character" w:customStyle="1" w:styleId="pos">
    <w:name w:val="pos"/>
    <w:basedOn w:val="DefaultParagraphFont"/>
    <w:rsid w:val="00DC3B56"/>
  </w:style>
  <w:style w:type="paragraph" w:styleId="NormalWeb">
    <w:name w:val="Normal (Web)"/>
    <w:basedOn w:val="Normal"/>
    <w:uiPriority w:val="99"/>
    <w:semiHidden/>
    <w:unhideWhenUsed/>
    <w:rsid w:val="00DC3B56"/>
    <w:pPr>
      <w:suppressAutoHyphens w:val="0"/>
      <w:spacing w:before="100" w:beforeAutospacing="1" w:after="100" w:afterAutospacing="1" w:line="240" w:lineRule="auto"/>
    </w:pPr>
    <w:rPr>
      <w:sz w:val="24"/>
      <w:szCs w:val="24"/>
      <w:lang w:eastAsia="en-GB"/>
    </w:rPr>
  </w:style>
  <w:style w:type="character" w:customStyle="1" w:styleId="ind">
    <w:name w:val="ind"/>
    <w:basedOn w:val="DefaultParagraphFont"/>
    <w:rsid w:val="00DC3B56"/>
  </w:style>
  <w:style w:type="character" w:styleId="Emphasis">
    <w:name w:val="Emphasis"/>
    <w:basedOn w:val="DefaultParagraphFont"/>
    <w:uiPriority w:val="20"/>
    <w:qFormat/>
    <w:rsid w:val="00DC3B56"/>
    <w:rPr>
      <w:i/>
      <w:iCs/>
    </w:rPr>
  </w:style>
  <w:style w:type="character" w:styleId="Strong">
    <w:name w:val="Strong"/>
    <w:basedOn w:val="DefaultParagraphFont"/>
    <w:uiPriority w:val="22"/>
    <w:qFormat/>
    <w:rsid w:val="00DC3B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link w:val="Heading2Char"/>
    <w:uiPriority w:val="9"/>
    <w:qFormat/>
    <w:rsid w:val="00E925AD"/>
    <w:pPr>
      <w:spacing w:line="240" w:lineRule="auto"/>
      <w:outlineLvl w:val="1"/>
    </w:pPr>
  </w:style>
  <w:style w:type="paragraph" w:styleId="Heading3">
    <w:name w:val="heading 3"/>
    <w:basedOn w:val="Normal"/>
    <w:next w:val="Normal"/>
    <w:link w:val="Heading3Char"/>
    <w:uiPriority w:val="9"/>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Fußnote,Footnote Text Char Char,single space,footnote text"/>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A80B0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80B0D"/>
    <w:rPr>
      <w:rFonts w:ascii="Tahoma" w:hAnsi="Tahoma" w:cs="Tahoma"/>
      <w:sz w:val="16"/>
      <w:szCs w:val="16"/>
      <w:lang w:eastAsia="en-US"/>
    </w:rPr>
  </w:style>
  <w:style w:type="character" w:customStyle="1" w:styleId="SingleTxtGChar">
    <w:name w:val="_ Single Txt_G Char"/>
    <w:link w:val="SingleTxtG"/>
    <w:rsid w:val="00FA6CA9"/>
    <w:rPr>
      <w:lang w:eastAsia="en-US"/>
    </w:rPr>
  </w:style>
  <w:style w:type="character" w:styleId="CommentReference">
    <w:name w:val="annotation reference"/>
    <w:basedOn w:val="DefaultParagraphFont"/>
    <w:rsid w:val="004A1FFC"/>
    <w:rPr>
      <w:sz w:val="16"/>
      <w:szCs w:val="16"/>
    </w:rPr>
  </w:style>
  <w:style w:type="paragraph" w:styleId="CommentText">
    <w:name w:val="annotation text"/>
    <w:basedOn w:val="Normal"/>
    <w:link w:val="CommentTextChar"/>
    <w:rsid w:val="004A1FFC"/>
    <w:pPr>
      <w:spacing w:line="240" w:lineRule="auto"/>
    </w:pPr>
  </w:style>
  <w:style w:type="character" w:customStyle="1" w:styleId="CommentTextChar">
    <w:name w:val="Comment Text Char"/>
    <w:basedOn w:val="DefaultParagraphFont"/>
    <w:link w:val="CommentText"/>
    <w:rsid w:val="004A1FFC"/>
    <w:rPr>
      <w:lang w:eastAsia="en-US"/>
    </w:rPr>
  </w:style>
  <w:style w:type="paragraph" w:styleId="CommentSubject">
    <w:name w:val="annotation subject"/>
    <w:basedOn w:val="CommentText"/>
    <w:next w:val="CommentText"/>
    <w:link w:val="CommentSubjectChar"/>
    <w:rsid w:val="004A1FFC"/>
    <w:rPr>
      <w:b/>
      <w:bCs/>
    </w:rPr>
  </w:style>
  <w:style w:type="character" w:customStyle="1" w:styleId="CommentSubjectChar">
    <w:name w:val="Comment Subject Char"/>
    <w:basedOn w:val="CommentTextChar"/>
    <w:link w:val="CommentSubject"/>
    <w:rsid w:val="004A1FFC"/>
    <w:rPr>
      <w:b/>
      <w:bCs/>
      <w:lang w:eastAsia="en-US"/>
    </w:rPr>
  </w:style>
  <w:style w:type="paragraph" w:styleId="Revision">
    <w:name w:val="Revision"/>
    <w:hidden/>
    <w:uiPriority w:val="99"/>
    <w:semiHidden/>
    <w:rsid w:val="00513D96"/>
    <w:rPr>
      <w:lang w:eastAsia="en-US"/>
    </w:rPr>
  </w:style>
  <w:style w:type="character" w:customStyle="1" w:styleId="H1GChar">
    <w:name w:val="_ H_1_G Char"/>
    <w:link w:val="H1G"/>
    <w:rsid w:val="00D30803"/>
    <w:rPr>
      <w:b/>
      <w:sz w:val="24"/>
      <w:lang w:eastAsia="en-US"/>
    </w:rPr>
  </w:style>
  <w:style w:type="character" w:customStyle="1" w:styleId="FootnoteTextChar">
    <w:name w:val="Footnote Text Char"/>
    <w:aliases w:val="5_G Char,Fußnote Char,Footnote Text Char Char Char,single space Char,footnote text Char"/>
    <w:link w:val="FootnoteText"/>
    <w:rsid w:val="00AE2B28"/>
    <w:rPr>
      <w:sz w:val="18"/>
      <w:lang w:eastAsia="en-US"/>
    </w:rPr>
  </w:style>
  <w:style w:type="character" w:customStyle="1" w:styleId="Heading2Char">
    <w:name w:val="Heading 2 Char"/>
    <w:basedOn w:val="DefaultParagraphFont"/>
    <w:link w:val="Heading2"/>
    <w:uiPriority w:val="9"/>
    <w:rsid w:val="00DC3B56"/>
    <w:rPr>
      <w:lang w:eastAsia="en-US"/>
    </w:rPr>
  </w:style>
  <w:style w:type="character" w:customStyle="1" w:styleId="Heading3Char">
    <w:name w:val="Heading 3 Char"/>
    <w:basedOn w:val="DefaultParagraphFont"/>
    <w:link w:val="Heading3"/>
    <w:uiPriority w:val="9"/>
    <w:rsid w:val="00DC3B56"/>
    <w:rPr>
      <w:lang w:eastAsia="en-US"/>
    </w:rPr>
  </w:style>
  <w:style w:type="character" w:customStyle="1" w:styleId="hw">
    <w:name w:val="hw"/>
    <w:basedOn w:val="DefaultParagraphFont"/>
    <w:rsid w:val="00DC3B56"/>
  </w:style>
  <w:style w:type="character" w:customStyle="1" w:styleId="pos">
    <w:name w:val="pos"/>
    <w:basedOn w:val="DefaultParagraphFont"/>
    <w:rsid w:val="00DC3B56"/>
  </w:style>
  <w:style w:type="paragraph" w:styleId="NormalWeb">
    <w:name w:val="Normal (Web)"/>
    <w:basedOn w:val="Normal"/>
    <w:uiPriority w:val="99"/>
    <w:semiHidden/>
    <w:unhideWhenUsed/>
    <w:rsid w:val="00DC3B56"/>
    <w:pPr>
      <w:suppressAutoHyphens w:val="0"/>
      <w:spacing w:before="100" w:beforeAutospacing="1" w:after="100" w:afterAutospacing="1" w:line="240" w:lineRule="auto"/>
    </w:pPr>
    <w:rPr>
      <w:sz w:val="24"/>
      <w:szCs w:val="24"/>
      <w:lang w:eastAsia="en-GB"/>
    </w:rPr>
  </w:style>
  <w:style w:type="character" w:customStyle="1" w:styleId="ind">
    <w:name w:val="ind"/>
    <w:basedOn w:val="DefaultParagraphFont"/>
    <w:rsid w:val="00DC3B56"/>
  </w:style>
  <w:style w:type="character" w:styleId="Emphasis">
    <w:name w:val="Emphasis"/>
    <w:basedOn w:val="DefaultParagraphFont"/>
    <w:uiPriority w:val="20"/>
    <w:qFormat/>
    <w:rsid w:val="00DC3B56"/>
    <w:rPr>
      <w:i/>
      <w:iCs/>
    </w:rPr>
  </w:style>
  <w:style w:type="character" w:styleId="Strong">
    <w:name w:val="Strong"/>
    <w:basedOn w:val="DefaultParagraphFont"/>
    <w:uiPriority w:val="22"/>
    <w:qFormat/>
    <w:rsid w:val="00DC3B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808037">
      <w:bodyDiv w:val="1"/>
      <w:marLeft w:val="0"/>
      <w:marRight w:val="0"/>
      <w:marTop w:val="0"/>
      <w:marBottom w:val="0"/>
      <w:divBdr>
        <w:top w:val="none" w:sz="0" w:space="0" w:color="auto"/>
        <w:left w:val="none" w:sz="0" w:space="0" w:color="auto"/>
        <w:bottom w:val="none" w:sz="0" w:space="0" w:color="auto"/>
        <w:right w:val="none" w:sz="0" w:space="0" w:color="auto"/>
      </w:divBdr>
      <w:divsChild>
        <w:div w:id="1555585131">
          <w:marLeft w:val="300"/>
          <w:marRight w:val="300"/>
          <w:marTop w:val="0"/>
          <w:marBottom w:val="135"/>
          <w:divBdr>
            <w:top w:val="single" w:sz="6" w:space="14" w:color="0164A7"/>
            <w:left w:val="none" w:sz="0" w:space="0" w:color="auto"/>
            <w:bottom w:val="none" w:sz="0" w:space="0" w:color="auto"/>
            <w:right w:val="none" w:sz="0" w:space="0" w:color="auto"/>
          </w:divBdr>
        </w:div>
        <w:div w:id="1087767035">
          <w:marLeft w:val="0"/>
          <w:marRight w:val="0"/>
          <w:marTop w:val="0"/>
          <w:marBottom w:val="120"/>
          <w:divBdr>
            <w:top w:val="none" w:sz="0" w:space="0" w:color="auto"/>
            <w:left w:val="none" w:sz="0" w:space="0" w:color="auto"/>
            <w:bottom w:val="none" w:sz="0" w:space="0" w:color="auto"/>
            <w:right w:val="none" w:sz="0" w:space="0" w:color="auto"/>
          </w:divBdr>
          <w:divsChild>
            <w:div w:id="1673986667">
              <w:marLeft w:val="0"/>
              <w:marRight w:val="0"/>
              <w:marTop w:val="90"/>
              <w:marBottom w:val="105"/>
              <w:divBdr>
                <w:top w:val="none" w:sz="0" w:space="0" w:color="auto"/>
                <w:left w:val="none" w:sz="0" w:space="0" w:color="auto"/>
                <w:bottom w:val="none" w:sz="0" w:space="0" w:color="auto"/>
                <w:right w:val="none" w:sz="0" w:space="0" w:color="auto"/>
              </w:divBdr>
              <w:divsChild>
                <w:div w:id="1504859648">
                  <w:marLeft w:val="0"/>
                  <w:marRight w:val="0"/>
                  <w:marTop w:val="0"/>
                  <w:marBottom w:val="0"/>
                  <w:divBdr>
                    <w:top w:val="none" w:sz="0" w:space="0" w:color="auto"/>
                    <w:left w:val="none" w:sz="0" w:space="0" w:color="auto"/>
                    <w:bottom w:val="none" w:sz="0" w:space="0" w:color="auto"/>
                    <w:right w:val="none" w:sz="0" w:space="0" w:color="auto"/>
                  </w:divBdr>
                </w:div>
              </w:divsChild>
            </w:div>
            <w:div w:id="1150026422">
              <w:marLeft w:val="0"/>
              <w:marRight w:val="0"/>
              <w:marTop w:val="0"/>
              <w:marBottom w:val="0"/>
              <w:divBdr>
                <w:top w:val="none" w:sz="0" w:space="0" w:color="auto"/>
                <w:left w:val="none" w:sz="0" w:space="0" w:color="auto"/>
                <w:bottom w:val="none" w:sz="0" w:space="0" w:color="auto"/>
                <w:right w:val="none" w:sz="0" w:space="0" w:color="auto"/>
              </w:divBdr>
              <w:divsChild>
                <w:div w:id="1045907022">
                  <w:marLeft w:val="0"/>
                  <w:marRight w:val="120"/>
                  <w:marTop w:val="105"/>
                  <w:marBottom w:val="105"/>
                  <w:divBdr>
                    <w:top w:val="none" w:sz="0" w:space="0" w:color="auto"/>
                    <w:left w:val="none" w:sz="0" w:space="0" w:color="auto"/>
                    <w:bottom w:val="none" w:sz="0" w:space="0" w:color="auto"/>
                    <w:right w:val="none" w:sz="0" w:space="0" w:color="auto"/>
                  </w:divBdr>
                </w:div>
              </w:divsChild>
            </w:div>
            <w:div w:id="288440479">
              <w:marLeft w:val="0"/>
              <w:marRight w:val="0"/>
              <w:marTop w:val="0"/>
              <w:marBottom w:val="0"/>
              <w:divBdr>
                <w:top w:val="none" w:sz="0" w:space="0" w:color="auto"/>
                <w:left w:val="none" w:sz="0" w:space="0" w:color="auto"/>
                <w:bottom w:val="none" w:sz="0" w:space="0" w:color="auto"/>
                <w:right w:val="none" w:sz="0" w:space="0" w:color="auto"/>
              </w:divBdr>
              <w:divsChild>
                <w:div w:id="142892632">
                  <w:marLeft w:val="0"/>
                  <w:marRight w:val="120"/>
                  <w:marTop w:val="105"/>
                  <w:marBottom w:val="105"/>
                  <w:divBdr>
                    <w:top w:val="none" w:sz="0" w:space="0" w:color="auto"/>
                    <w:left w:val="none" w:sz="0" w:space="0" w:color="auto"/>
                    <w:bottom w:val="none" w:sz="0" w:space="0" w:color="auto"/>
                    <w:right w:val="none" w:sz="0" w:space="0" w:color="auto"/>
                  </w:divBdr>
                </w:div>
                <w:div w:id="1462502934">
                  <w:marLeft w:val="0"/>
                  <w:marRight w:val="0"/>
                  <w:marTop w:val="90"/>
                  <w:marBottom w:val="105"/>
                  <w:divBdr>
                    <w:top w:val="none" w:sz="0" w:space="0" w:color="auto"/>
                    <w:left w:val="none" w:sz="0" w:space="0" w:color="auto"/>
                    <w:bottom w:val="none" w:sz="0" w:space="0" w:color="auto"/>
                    <w:right w:val="none" w:sz="0" w:space="0" w:color="auto"/>
                  </w:divBdr>
                  <w:divsChild>
                    <w:div w:id="1732267223">
                      <w:marLeft w:val="0"/>
                      <w:marRight w:val="0"/>
                      <w:marTop w:val="0"/>
                      <w:marBottom w:val="120"/>
                      <w:divBdr>
                        <w:top w:val="none" w:sz="0" w:space="0" w:color="auto"/>
                        <w:left w:val="none" w:sz="0" w:space="0" w:color="auto"/>
                        <w:bottom w:val="none" w:sz="0" w:space="0" w:color="auto"/>
                        <w:right w:val="none" w:sz="0" w:space="0" w:color="auto"/>
                      </w:divBdr>
                    </w:div>
                    <w:div w:id="899303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ichuk\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F0B22-4AB9-406C-903A-6E3D1A09D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ECE_E.dotm</Template>
  <TotalTime>0</TotalTime>
  <Pages>17</Pages>
  <Words>7486</Words>
  <Characters>43260</Characters>
  <Application>Microsoft Office Word</Application>
  <DocSecurity>0</DocSecurity>
  <Lines>697</Lines>
  <Paragraphs>174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50674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1620253</dc:title>
  <dc:subject>ECE/CEP/2017/3</dc:subject>
  <dc:creator>Ludmila Boichuk</dc:creator>
  <cp:keywords/>
  <dc:description/>
  <cp:lastModifiedBy>Tpseng</cp:lastModifiedBy>
  <cp:revision>2</cp:revision>
  <cp:lastPrinted>2016-11-15T11:03:00Z</cp:lastPrinted>
  <dcterms:created xsi:type="dcterms:W3CDTF">2016-11-16T13:59:00Z</dcterms:created>
  <dcterms:modified xsi:type="dcterms:W3CDTF">2016-11-16T13:59:00Z</dcterms:modified>
</cp:coreProperties>
</file>