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78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78E6" w:rsidP="002778E6">
            <w:pPr>
              <w:jc w:val="right"/>
            </w:pPr>
            <w:r w:rsidRPr="002778E6">
              <w:rPr>
                <w:sz w:val="40"/>
              </w:rPr>
              <w:t>ECE</w:t>
            </w:r>
            <w:r>
              <w:t>/CEP/2017/2</w:t>
            </w:r>
          </w:p>
        </w:tc>
      </w:tr>
      <w:tr w:rsidR="002D5AAC" w:rsidRPr="00ED294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78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78E6" w:rsidRDefault="002778E6" w:rsidP="00277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April 2017</w:t>
            </w:r>
          </w:p>
          <w:p w:rsidR="002778E6" w:rsidRDefault="002778E6" w:rsidP="00277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78E6" w:rsidRPr="008D53B6" w:rsidRDefault="002778E6" w:rsidP="002778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778E6" w:rsidRPr="0069374B" w:rsidRDefault="002778E6" w:rsidP="0069374B">
      <w:pPr>
        <w:spacing w:before="120" w:after="120"/>
        <w:rPr>
          <w:sz w:val="28"/>
          <w:szCs w:val="28"/>
        </w:rPr>
      </w:pPr>
      <w:r w:rsidRPr="0069374B">
        <w:rPr>
          <w:sz w:val="28"/>
          <w:szCs w:val="28"/>
        </w:rPr>
        <w:t>Комитет по экологической политике</w:t>
      </w:r>
    </w:p>
    <w:p w:rsidR="002778E6" w:rsidRPr="002778E6" w:rsidRDefault="002778E6" w:rsidP="002778E6">
      <w:pPr>
        <w:rPr>
          <w:b/>
        </w:rPr>
      </w:pPr>
      <w:r w:rsidRPr="002778E6">
        <w:rPr>
          <w:b/>
        </w:rPr>
        <w:t>Двадцать вторая сессия</w:t>
      </w:r>
    </w:p>
    <w:p w:rsidR="002778E6" w:rsidRPr="002778E6" w:rsidRDefault="002778E6" w:rsidP="002778E6">
      <w:r w:rsidRPr="002778E6">
        <w:t>Женева, 2</w:t>
      </w:r>
      <w:r w:rsidR="0069374B">
        <w:t>–</w:t>
      </w:r>
      <w:r w:rsidRPr="002778E6">
        <w:t>27 января 2017 года</w:t>
      </w:r>
    </w:p>
    <w:p w:rsidR="002778E6" w:rsidRPr="002778E6" w:rsidRDefault="008D7A1C" w:rsidP="008D7A1C">
      <w:pPr>
        <w:pStyle w:val="HChGR"/>
      </w:pPr>
      <w:r>
        <w:tab/>
      </w:r>
      <w:r>
        <w:tab/>
      </w:r>
      <w:r w:rsidR="002778E6" w:rsidRPr="002778E6">
        <w:t>Доклад Комитета по экологической политике о работе его двадцать второй сессии</w:t>
      </w:r>
    </w:p>
    <w:p w:rsidR="008D7A1C" w:rsidRPr="00ED2945" w:rsidRDefault="008D7A1C" w:rsidP="008D7A1C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8D7A1C" w:rsidRPr="00ED2945" w:rsidRDefault="008D7A1C" w:rsidP="008D7A1C">
      <w:pPr>
        <w:tabs>
          <w:tab w:val="right" w:pos="9638"/>
        </w:tabs>
        <w:spacing w:after="120"/>
        <w:ind w:left="283"/>
        <w:rPr>
          <w:sz w:val="18"/>
        </w:rPr>
      </w:pPr>
      <w:r w:rsidRPr="00ED2945">
        <w:rPr>
          <w:i/>
          <w:sz w:val="18"/>
        </w:rPr>
        <w:tab/>
      </w:r>
      <w:r>
        <w:rPr>
          <w:i/>
          <w:sz w:val="18"/>
        </w:rPr>
        <w:t>Стр</w:t>
      </w:r>
      <w:r w:rsidRPr="00ED2945">
        <w:rPr>
          <w:i/>
          <w:sz w:val="18"/>
        </w:rPr>
        <w:t>.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ED2945">
        <w:tab/>
      </w:r>
      <w:r w:rsidRPr="00B166E7">
        <w:rPr>
          <w:lang w:val="en-GB"/>
        </w:rPr>
        <w:t>I</w:t>
      </w:r>
      <w:r w:rsidRPr="00CA31CE">
        <w:t>.</w:t>
      </w:r>
      <w:r w:rsidRPr="00CA31CE">
        <w:tab/>
      </w:r>
      <w:r w:rsidRPr="008D7A1C">
        <w:t>Введение</w:t>
      </w:r>
      <w:r w:rsidRPr="00CA31CE">
        <w:tab/>
      </w:r>
      <w:r w:rsidRPr="00CA31CE">
        <w:tab/>
        <w:t>3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CA31CE">
        <w:tab/>
      </w:r>
      <w:r w:rsidRPr="00B166E7">
        <w:rPr>
          <w:lang w:val="en-GB"/>
        </w:rPr>
        <w:t>A</w:t>
      </w:r>
      <w:r w:rsidRPr="00CA31CE">
        <w:t>.</w:t>
      </w:r>
      <w:r w:rsidRPr="00CA31CE">
        <w:tab/>
      </w:r>
      <w:r w:rsidRPr="008D7A1C">
        <w:t>Участники</w:t>
      </w:r>
      <w:r w:rsidRPr="00CA31CE">
        <w:tab/>
      </w:r>
      <w:r w:rsidRPr="00CA31CE">
        <w:tab/>
        <w:t>3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CA31CE">
        <w:tab/>
      </w:r>
      <w:r w:rsidRPr="00B166E7">
        <w:rPr>
          <w:lang w:val="en-GB"/>
        </w:rPr>
        <w:t>B</w:t>
      </w:r>
      <w:r w:rsidRPr="00CA31CE">
        <w:t>.</w:t>
      </w:r>
      <w:r w:rsidRPr="00CA31CE">
        <w:tab/>
      </w:r>
      <w:r w:rsidRPr="000C54E5">
        <w:t>Открытие сессии и организационные вопросы</w:t>
      </w:r>
      <w:r w:rsidRPr="00CA31CE">
        <w:tab/>
      </w:r>
      <w:r w:rsidRPr="00CA31CE">
        <w:tab/>
        <w:t>3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B166E7">
        <w:rPr>
          <w:lang w:val="en-GB"/>
        </w:rPr>
        <w:t>II</w:t>
      </w:r>
      <w:r w:rsidRPr="00CA31CE">
        <w:t>.</w:t>
      </w:r>
      <w:r w:rsidRPr="00CA31CE">
        <w:tab/>
      </w:r>
      <w:r w:rsidRPr="000C54E5">
        <w:t>Итоги работы Бюро</w:t>
      </w:r>
      <w:r w:rsidRPr="00CA31CE">
        <w:tab/>
      </w:r>
      <w:r w:rsidRPr="00CA31CE">
        <w:tab/>
        <w:t>4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B166E7">
        <w:rPr>
          <w:lang w:val="en-GB"/>
        </w:rPr>
        <w:t>III</w:t>
      </w:r>
      <w:r w:rsidRPr="00CA31CE">
        <w:t>.</w:t>
      </w:r>
      <w:r w:rsidRPr="00CA31CE">
        <w:tab/>
      </w:r>
      <w:r w:rsidRPr="000C54E5">
        <w:t>Устойчивое развитие в регионе</w:t>
      </w:r>
      <w:r w:rsidRPr="00CA31CE">
        <w:tab/>
      </w:r>
      <w:r w:rsidRPr="00CA31CE">
        <w:tab/>
        <w:t>4</w:t>
      </w:r>
    </w:p>
    <w:p w:rsidR="002534D5" w:rsidRPr="00ED2945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B166E7">
        <w:rPr>
          <w:lang w:val="en-GB"/>
        </w:rPr>
        <w:t>IV</w:t>
      </w:r>
      <w:r w:rsidRPr="00CA31CE">
        <w:t>.</w:t>
      </w:r>
      <w:r w:rsidRPr="00CA31CE">
        <w:tab/>
      </w:r>
      <w:r w:rsidRPr="000C54E5">
        <w:t>Многосторонние природоохранные соглашения</w:t>
      </w:r>
      <w:r w:rsidR="00ED2945">
        <w:tab/>
      </w:r>
      <w:r w:rsidR="00ED2945">
        <w:tab/>
      </w:r>
      <w:r w:rsidR="00ED2945">
        <w:rPr>
          <w:lang w:val="en-US"/>
        </w:rPr>
        <w:t>6</w:t>
      </w:r>
    </w:p>
    <w:p w:rsidR="002534D5" w:rsidRPr="00CA31CE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B166E7">
        <w:rPr>
          <w:lang w:val="en-GB"/>
        </w:rPr>
        <w:t>V</w:t>
      </w:r>
      <w:r w:rsidRPr="00CA31CE">
        <w:t>.</w:t>
      </w:r>
      <w:r w:rsidRPr="00CA31CE">
        <w:tab/>
      </w:r>
      <w:r w:rsidRPr="000C54E5">
        <w:t xml:space="preserve">Последующие меры в связи с восьмой Конференцией министров </w:t>
      </w:r>
      <w:r>
        <w:br/>
      </w:r>
      <w:r>
        <w:tab/>
      </w:r>
      <w:r>
        <w:tab/>
        <w:t>«</w:t>
      </w:r>
      <w:r w:rsidRPr="000C54E5">
        <w:t>Окружающая среда для Европы</w:t>
      </w:r>
      <w:r>
        <w:t>»</w:t>
      </w:r>
      <w:r w:rsidRPr="000C54E5">
        <w:t xml:space="preserve"> и</w:t>
      </w:r>
      <w:r>
        <w:rPr>
          <w:lang w:val="en-US"/>
        </w:rPr>
        <w:t> </w:t>
      </w:r>
      <w:r w:rsidRPr="000C54E5">
        <w:t xml:space="preserve">подготовка среднесрочного </w:t>
      </w:r>
      <w:r>
        <w:br/>
      </w:r>
      <w:r>
        <w:tab/>
      </w:r>
      <w:r>
        <w:tab/>
      </w:r>
      <w:r w:rsidRPr="000C54E5">
        <w:t>обзора основных итогов</w:t>
      </w:r>
      <w:r>
        <w:t> </w:t>
      </w:r>
      <w:r w:rsidRPr="000C54E5">
        <w:t>Конференции</w:t>
      </w:r>
      <w:r w:rsidRPr="00CA31CE">
        <w:tab/>
      </w:r>
      <w:r w:rsidRPr="00CA31CE">
        <w:tab/>
      </w:r>
      <w:r>
        <w:t>7</w:t>
      </w:r>
    </w:p>
    <w:p w:rsidR="002534D5" w:rsidRPr="000C0EDF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CA31CE">
        <w:tab/>
      </w:r>
      <w:r w:rsidRPr="00B166E7">
        <w:rPr>
          <w:lang w:val="en-GB"/>
        </w:rPr>
        <w:t>VI</w:t>
      </w:r>
      <w:r w:rsidRPr="000C0EDF">
        <w:t>.</w:t>
      </w:r>
      <w:r w:rsidRPr="000C0EDF">
        <w:tab/>
      </w:r>
      <w:r w:rsidRPr="000C54E5">
        <w:t>Экологические мониторинг, оценка и отчетность</w:t>
      </w:r>
      <w:r w:rsidRPr="000C0EDF">
        <w:tab/>
      </w:r>
      <w:r w:rsidRPr="000C0EDF">
        <w:tab/>
      </w:r>
      <w:r>
        <w:t>9</w:t>
      </w:r>
    </w:p>
    <w:p w:rsidR="002534D5" w:rsidRPr="000C0EDF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C0EDF">
        <w:tab/>
      </w:r>
      <w:r w:rsidRPr="00B166E7">
        <w:rPr>
          <w:lang w:val="en-GB"/>
        </w:rPr>
        <w:t>VII</w:t>
      </w:r>
      <w:r w:rsidRPr="000C0EDF">
        <w:t>.</w:t>
      </w:r>
      <w:r w:rsidRPr="000C0EDF">
        <w:tab/>
      </w:r>
      <w:r w:rsidRPr="000C54E5">
        <w:t>Обзоры результативности экологической деятельности</w:t>
      </w:r>
      <w:r w:rsidRPr="000C0EDF">
        <w:tab/>
      </w:r>
      <w:r w:rsidRPr="000C0EDF">
        <w:tab/>
      </w:r>
      <w:r>
        <w:t>10</w:t>
      </w:r>
    </w:p>
    <w:p w:rsidR="002534D5" w:rsidRPr="000C0EDF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C0EDF">
        <w:tab/>
      </w:r>
      <w:r w:rsidRPr="00B166E7">
        <w:rPr>
          <w:lang w:val="en-GB"/>
        </w:rPr>
        <w:t>VIII</w:t>
      </w:r>
      <w:r w:rsidRPr="002534D5">
        <w:t>.</w:t>
      </w:r>
      <w:r w:rsidRPr="002534D5">
        <w:tab/>
      </w:r>
      <w:r w:rsidRPr="000C54E5">
        <w:t>Межсекторальная деятельность</w:t>
      </w:r>
      <w:r w:rsidRPr="000C0EDF">
        <w:tab/>
      </w:r>
      <w:r w:rsidRPr="000C0EDF">
        <w:tab/>
        <w:t>1</w:t>
      </w:r>
      <w:r>
        <w:t>3</w:t>
      </w:r>
    </w:p>
    <w:p w:rsidR="002534D5" w:rsidRPr="000C0EDF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0C0EDF">
        <w:tab/>
      </w:r>
      <w:r w:rsidRPr="000C0EDF">
        <w:tab/>
      </w:r>
      <w:r w:rsidRPr="00B166E7">
        <w:rPr>
          <w:lang w:val="en-GB"/>
        </w:rPr>
        <w:t>A</w:t>
      </w:r>
      <w:r w:rsidRPr="000C0EDF">
        <w:t>.</w:t>
      </w:r>
      <w:r w:rsidRPr="000C0EDF">
        <w:tab/>
      </w:r>
      <w:r w:rsidRPr="000C54E5">
        <w:t>Образование в интересах устойчивого развития</w:t>
      </w:r>
      <w:r w:rsidRPr="000C0EDF">
        <w:tab/>
      </w:r>
      <w:r w:rsidRPr="000C0EDF">
        <w:tab/>
        <w:t>13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D3504">
        <w:tab/>
      </w:r>
      <w:r w:rsidRPr="001D3504">
        <w:tab/>
      </w:r>
      <w:r w:rsidRPr="001D3504">
        <w:rPr>
          <w:lang w:val="en-GB"/>
        </w:rPr>
        <w:t>B</w:t>
      </w:r>
      <w:r w:rsidRPr="001D3504">
        <w:t>.</w:t>
      </w:r>
      <w:r w:rsidRPr="001D3504">
        <w:tab/>
        <w:t xml:space="preserve">Общеевропейская программа по транспорту, окружающей среде </w:t>
      </w:r>
      <w:r>
        <w:br/>
      </w:r>
      <w:r>
        <w:tab/>
      </w:r>
      <w:r>
        <w:tab/>
      </w:r>
      <w:r>
        <w:tab/>
      </w:r>
      <w:r w:rsidRPr="001D3504">
        <w:t>и охране здоровья</w:t>
      </w:r>
      <w:r w:rsidRPr="001D3504">
        <w:tab/>
      </w:r>
      <w:r w:rsidRPr="001D3504">
        <w:tab/>
        <w:t>1</w:t>
      </w:r>
      <w:r>
        <w:t>4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D3504">
        <w:tab/>
      </w:r>
      <w:r w:rsidRPr="001D3504">
        <w:tab/>
      </w:r>
      <w:r w:rsidRPr="001D3504">
        <w:rPr>
          <w:lang w:val="en-GB"/>
        </w:rPr>
        <w:t>C</w:t>
      </w:r>
      <w:r w:rsidRPr="001D3504">
        <w:t>.</w:t>
      </w:r>
      <w:r w:rsidRPr="001D3504">
        <w:tab/>
        <w:t>Окружающая среда и безопасность</w:t>
      </w:r>
      <w:r w:rsidRPr="001D3504">
        <w:tab/>
      </w:r>
      <w:r w:rsidRPr="001D3504">
        <w:tab/>
        <w:t>14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D3504">
        <w:tab/>
      </w:r>
      <w:r w:rsidRPr="001D3504">
        <w:tab/>
      </w:r>
      <w:r w:rsidRPr="00B166E7">
        <w:rPr>
          <w:lang w:val="en-GB"/>
        </w:rPr>
        <w:t>D</w:t>
      </w:r>
      <w:r w:rsidRPr="001D3504">
        <w:t>.</w:t>
      </w:r>
      <w:r w:rsidRPr="001D3504">
        <w:tab/>
      </w:r>
      <w:r w:rsidRPr="000C54E5">
        <w:t xml:space="preserve">Европейский процесс </w:t>
      </w:r>
      <w:r>
        <w:t>«</w:t>
      </w:r>
      <w:r w:rsidRPr="000C54E5">
        <w:t>Окружающая среда и здоровье</w:t>
      </w:r>
      <w:r>
        <w:t>»</w:t>
      </w:r>
      <w:r>
        <w:tab/>
      </w:r>
      <w:r>
        <w:tab/>
        <w:t>15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D3504">
        <w:tab/>
      </w:r>
      <w:r w:rsidRPr="001D3504">
        <w:tab/>
      </w:r>
      <w:r w:rsidRPr="00B166E7">
        <w:rPr>
          <w:lang w:val="en-GB"/>
        </w:rPr>
        <w:t>E</w:t>
      </w:r>
      <w:r w:rsidRPr="001D3504">
        <w:t>.</w:t>
      </w:r>
      <w:r w:rsidRPr="001D3504">
        <w:tab/>
      </w:r>
      <w:r w:rsidRPr="000C54E5">
        <w:t xml:space="preserve">Строительство </w:t>
      </w:r>
      <w:r>
        <w:t>«</w:t>
      </w:r>
      <w:r w:rsidRPr="000C54E5">
        <w:t>зеленых</w:t>
      </w:r>
      <w:r>
        <w:t>»</w:t>
      </w:r>
      <w:r w:rsidRPr="000C54E5">
        <w:t xml:space="preserve"> зданий</w:t>
      </w:r>
      <w:r w:rsidRPr="001D3504">
        <w:tab/>
      </w:r>
      <w:r w:rsidRPr="001D3504">
        <w:tab/>
        <w:t>16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D3504">
        <w:tab/>
      </w:r>
      <w:r w:rsidRPr="00B166E7">
        <w:rPr>
          <w:lang w:val="en-GB"/>
        </w:rPr>
        <w:t>IX</w:t>
      </w:r>
      <w:r w:rsidRPr="001D3504">
        <w:t>.</w:t>
      </w:r>
      <w:r w:rsidRPr="001D3504">
        <w:tab/>
      </w:r>
      <w:r w:rsidRPr="000C54E5">
        <w:t>Программа работы Подпрограммы по окружающей среде</w:t>
      </w:r>
      <w:r>
        <w:tab/>
      </w:r>
      <w:r>
        <w:tab/>
        <w:t>16</w:t>
      </w:r>
    </w:p>
    <w:p w:rsidR="002534D5" w:rsidRPr="001D3504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534D5">
        <w:tab/>
      </w:r>
      <w:r w:rsidR="005A71B5">
        <w:tab/>
      </w:r>
      <w:r w:rsidRPr="00B166E7">
        <w:rPr>
          <w:lang w:val="en-GB"/>
        </w:rPr>
        <w:t>A</w:t>
      </w:r>
      <w:r w:rsidRPr="001D3504">
        <w:t>.</w:t>
      </w:r>
      <w:r w:rsidRPr="001D3504">
        <w:tab/>
      </w:r>
      <w:r w:rsidRPr="000C54E5">
        <w:t>Учет гендерной проблематики в природоохранной деятельности</w:t>
      </w:r>
      <w:r>
        <w:tab/>
      </w:r>
      <w:r>
        <w:tab/>
        <w:t>16</w:t>
      </w:r>
    </w:p>
    <w:p w:rsidR="002534D5" w:rsidRPr="00711249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1249">
        <w:tab/>
      </w:r>
      <w:r w:rsidR="005A71B5">
        <w:tab/>
      </w:r>
      <w:r w:rsidRPr="00B166E7">
        <w:rPr>
          <w:lang w:val="en-GB"/>
        </w:rPr>
        <w:t>B</w:t>
      </w:r>
      <w:r w:rsidRPr="00711249">
        <w:t>.</w:t>
      </w:r>
      <w:r w:rsidRPr="00711249">
        <w:tab/>
      </w:r>
      <w:r w:rsidRPr="000C54E5">
        <w:t xml:space="preserve">Обзор ресурсов для осуществления природоохранной деятельности </w:t>
      </w:r>
      <w:r>
        <w:br/>
      </w:r>
      <w:r>
        <w:tab/>
      </w:r>
      <w:r>
        <w:tab/>
      </w:r>
      <w:r w:rsidR="005A71B5">
        <w:tab/>
      </w:r>
      <w:r w:rsidRPr="000C54E5">
        <w:t>и критерии оказания финансовой поддержки для</w:t>
      </w:r>
      <w:r>
        <w:t> </w:t>
      </w:r>
      <w:r w:rsidRPr="000C54E5">
        <w:t xml:space="preserve">участия в совещаниях </w:t>
      </w:r>
      <w:r>
        <w:br/>
      </w:r>
      <w:r>
        <w:tab/>
      </w:r>
      <w:r>
        <w:tab/>
      </w:r>
      <w:r w:rsidR="005A71B5">
        <w:tab/>
      </w:r>
      <w:r w:rsidRPr="000C54E5">
        <w:t>и мероприятиях</w:t>
      </w:r>
      <w:r>
        <w:tab/>
      </w:r>
      <w:r>
        <w:tab/>
        <w:t>17</w:t>
      </w:r>
    </w:p>
    <w:p w:rsidR="002534D5" w:rsidRPr="00711249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1249">
        <w:lastRenderedPageBreak/>
        <w:tab/>
      </w:r>
      <w:r w:rsidRPr="00B166E7">
        <w:rPr>
          <w:lang w:val="en-GB"/>
        </w:rPr>
        <w:t>X</w:t>
      </w:r>
      <w:r w:rsidRPr="00711249">
        <w:t>.</w:t>
      </w:r>
      <w:r w:rsidRPr="00711249">
        <w:tab/>
      </w:r>
      <w:r w:rsidRPr="000C54E5">
        <w:t>Представление мнений и обмен мнениями об</w:t>
      </w:r>
      <w:r>
        <w:t> </w:t>
      </w:r>
      <w:r w:rsidRPr="000C54E5">
        <w:t xml:space="preserve">Ассамблее Организации </w:t>
      </w:r>
      <w:r>
        <w:br/>
      </w:r>
      <w:r>
        <w:tab/>
      </w:r>
      <w:r>
        <w:tab/>
      </w:r>
      <w:r w:rsidRPr="000C54E5">
        <w:t>Объединенных Наций по</w:t>
      </w:r>
      <w:r>
        <w:t> </w:t>
      </w:r>
      <w:r w:rsidRPr="000C54E5">
        <w:t>окружающей среде</w:t>
      </w:r>
      <w:r>
        <w:tab/>
      </w:r>
      <w:r>
        <w:tab/>
        <w:t>18</w:t>
      </w:r>
    </w:p>
    <w:p w:rsidR="002534D5" w:rsidRPr="00711249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1249">
        <w:tab/>
      </w:r>
      <w:r w:rsidRPr="00B166E7">
        <w:rPr>
          <w:lang w:val="en-GB"/>
        </w:rPr>
        <w:t>XI</w:t>
      </w:r>
      <w:r w:rsidRPr="00711249">
        <w:t>.</w:t>
      </w:r>
      <w:r w:rsidRPr="00711249">
        <w:tab/>
      </w:r>
      <w:r w:rsidRPr="000C54E5">
        <w:t>Круг ведения</w:t>
      </w:r>
      <w:r w:rsidRPr="00711249">
        <w:tab/>
      </w:r>
      <w:r w:rsidRPr="00711249">
        <w:tab/>
        <w:t>18</w:t>
      </w:r>
    </w:p>
    <w:p w:rsidR="002534D5" w:rsidRPr="00711249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1249">
        <w:tab/>
      </w:r>
      <w:r w:rsidRPr="00B166E7">
        <w:rPr>
          <w:lang w:val="en-GB"/>
        </w:rPr>
        <w:t>XII</w:t>
      </w:r>
      <w:r w:rsidRPr="00711249">
        <w:t>.</w:t>
      </w:r>
      <w:r w:rsidRPr="00711249">
        <w:tab/>
      </w:r>
      <w:r w:rsidRPr="000C54E5">
        <w:t>Правила процедуры</w:t>
      </w:r>
      <w:r>
        <w:tab/>
      </w:r>
      <w:r>
        <w:tab/>
        <w:t>19</w:t>
      </w:r>
    </w:p>
    <w:p w:rsidR="002534D5" w:rsidRPr="002534D5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11249">
        <w:tab/>
      </w:r>
      <w:r w:rsidRPr="00B166E7">
        <w:rPr>
          <w:lang w:val="en-GB"/>
        </w:rPr>
        <w:t>XIII</w:t>
      </w:r>
      <w:r w:rsidRPr="002534D5">
        <w:t>.</w:t>
      </w:r>
      <w:r w:rsidRPr="002534D5">
        <w:tab/>
      </w:r>
      <w:r w:rsidRPr="000C54E5">
        <w:t>Выборы должностных лиц</w:t>
      </w:r>
      <w:r w:rsidRPr="002534D5">
        <w:tab/>
      </w:r>
      <w:r w:rsidRPr="002534D5">
        <w:tab/>
        <w:t>19</w:t>
      </w:r>
    </w:p>
    <w:p w:rsidR="002534D5" w:rsidRPr="00F22648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534D5">
        <w:tab/>
      </w:r>
      <w:r w:rsidRPr="00B166E7">
        <w:rPr>
          <w:lang w:val="en-GB"/>
        </w:rPr>
        <w:t>X</w:t>
      </w:r>
      <w:r>
        <w:t>I</w:t>
      </w:r>
      <w:r w:rsidRPr="00B166E7">
        <w:rPr>
          <w:lang w:val="en-GB"/>
        </w:rPr>
        <w:t>V</w:t>
      </w:r>
      <w:r w:rsidR="00C82B5E">
        <w:rPr>
          <w:lang w:val="en-GB"/>
        </w:rPr>
        <w:t>.</w:t>
      </w:r>
      <w:r w:rsidRPr="00F22648">
        <w:tab/>
      </w:r>
      <w:r w:rsidRPr="000C54E5">
        <w:t>Расписание совещаний</w:t>
      </w:r>
      <w:r w:rsidR="00ED2945">
        <w:tab/>
      </w:r>
      <w:r w:rsidR="00ED2945">
        <w:tab/>
        <w:t>19</w:t>
      </w:r>
    </w:p>
    <w:p w:rsidR="002534D5" w:rsidRPr="00F22648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F22648">
        <w:tab/>
      </w:r>
      <w:r w:rsidRPr="00B166E7">
        <w:rPr>
          <w:lang w:val="en-GB"/>
        </w:rPr>
        <w:t>XV</w:t>
      </w:r>
      <w:r w:rsidRPr="00F22648">
        <w:t>.</w:t>
      </w:r>
      <w:r w:rsidRPr="00F22648">
        <w:tab/>
      </w:r>
      <w:r w:rsidRPr="000C54E5">
        <w:t>Закрытие совещания</w:t>
      </w:r>
      <w:r>
        <w:tab/>
      </w:r>
      <w:r>
        <w:tab/>
        <w:t>19</w:t>
      </w:r>
    </w:p>
    <w:p w:rsidR="002534D5" w:rsidRPr="00F22648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Приложения</w:t>
      </w:r>
    </w:p>
    <w:p w:rsidR="002534D5" w:rsidRPr="00F22648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534D5">
        <w:tab/>
      </w:r>
      <w:r w:rsidRPr="00B166E7">
        <w:rPr>
          <w:lang w:val="en-GB"/>
        </w:rPr>
        <w:t>I</w:t>
      </w:r>
      <w:r w:rsidRPr="00F22648">
        <w:t>.</w:t>
      </w:r>
      <w:r w:rsidRPr="00F22648">
        <w:tab/>
      </w:r>
      <w:r w:rsidRPr="00643063">
        <w:t xml:space="preserve">Страны, имеющие право на финансовую поддержку для участия в совещаниях </w:t>
      </w:r>
      <w:r>
        <w:br/>
      </w:r>
      <w:r>
        <w:tab/>
      </w:r>
      <w:r>
        <w:tab/>
      </w:r>
      <w:r w:rsidRPr="00643063">
        <w:t>и мероприятиях</w:t>
      </w:r>
      <w:r>
        <w:tab/>
      </w:r>
      <w:r>
        <w:tab/>
        <w:t>20</w:t>
      </w:r>
    </w:p>
    <w:p w:rsidR="002534D5" w:rsidRPr="00F22648" w:rsidRDefault="002534D5" w:rsidP="002534D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F22648">
        <w:tab/>
      </w:r>
      <w:r w:rsidRPr="00B166E7">
        <w:rPr>
          <w:lang w:val="en-GB"/>
        </w:rPr>
        <w:t>II</w:t>
      </w:r>
      <w:r w:rsidRPr="00F22648">
        <w:t>.</w:t>
      </w:r>
      <w:r w:rsidRPr="00F22648">
        <w:tab/>
      </w:r>
      <w:r w:rsidRPr="00B166E7">
        <w:t>Мандат и круг ведения Рабочей группы по</w:t>
      </w:r>
      <w:r w:rsidR="00126356">
        <w:t xml:space="preserve"> </w:t>
      </w:r>
      <w:r w:rsidRPr="00B166E7">
        <w:t xml:space="preserve">мониторингу и оценке </w:t>
      </w:r>
      <w:r>
        <w:br/>
      </w:r>
      <w:r>
        <w:tab/>
      </w:r>
      <w:r>
        <w:tab/>
      </w:r>
      <w:r w:rsidRPr="00B166E7">
        <w:t>окружающей среды</w:t>
      </w:r>
      <w:r>
        <w:tab/>
      </w:r>
      <w:r>
        <w:tab/>
        <w:t>21</w:t>
      </w:r>
    </w:p>
    <w:p w:rsidR="008D7A1C" w:rsidRPr="008D7A1C" w:rsidRDefault="008D7A1C" w:rsidP="00B166E7">
      <w:pPr>
        <w:pStyle w:val="HChGR"/>
      </w:pPr>
      <w:r w:rsidRPr="00051A2B">
        <w:br w:type="page"/>
      </w:r>
      <w:r w:rsidR="00B166E7" w:rsidRPr="00051A2B">
        <w:tab/>
      </w:r>
      <w:r w:rsidRPr="008D7A1C">
        <w:t>I.</w:t>
      </w:r>
      <w:r w:rsidR="00B166E7">
        <w:tab/>
      </w:r>
      <w:r w:rsidRPr="008D7A1C">
        <w:t>Введение</w:t>
      </w:r>
    </w:p>
    <w:p w:rsidR="008D7A1C" w:rsidRPr="008D7A1C" w:rsidRDefault="0069374B" w:rsidP="008D7A1C">
      <w:pPr>
        <w:pStyle w:val="SingleTxtGR"/>
      </w:pPr>
      <w:r>
        <w:t>1.</w:t>
      </w:r>
      <w:r w:rsidR="008D7A1C" w:rsidRPr="008D7A1C">
        <w:tab/>
        <w:t>Комитет по экологической политике провел свою двадцать вторую сессию 25</w:t>
      </w:r>
      <w:r>
        <w:t>–</w:t>
      </w:r>
      <w:r w:rsidR="008D7A1C" w:rsidRPr="008D7A1C">
        <w:t>27 января 2017 года в Женеве, Швейцария. Настоящий доклад подготовлен на основе резюме итогов сессии и принятых решений, которые Комитет утвердил 27 января 2017 года</w:t>
      </w:r>
      <w:r w:rsidR="008D7A1C" w:rsidRPr="0069374B">
        <w:rPr>
          <w:sz w:val="18"/>
          <w:vertAlign w:val="superscript"/>
        </w:rPr>
        <w:footnoteReference w:id="1"/>
      </w:r>
      <w:r w:rsidR="008D7A1C" w:rsidRPr="008D7A1C">
        <w:t>.</w:t>
      </w:r>
      <w:r>
        <w:t xml:space="preserve"> </w:t>
      </w:r>
    </w:p>
    <w:p w:rsidR="008D7A1C" w:rsidRPr="008D7A1C" w:rsidRDefault="00B166E7" w:rsidP="00B166E7">
      <w:pPr>
        <w:pStyle w:val="H1GR"/>
      </w:pPr>
      <w:r>
        <w:tab/>
      </w:r>
      <w:r w:rsidR="008D7A1C" w:rsidRPr="008D7A1C">
        <w:t>A.</w:t>
      </w:r>
      <w:r>
        <w:tab/>
      </w:r>
      <w:r w:rsidR="008D7A1C" w:rsidRPr="008D7A1C">
        <w:t>Участники</w:t>
      </w:r>
    </w:p>
    <w:p w:rsidR="008D7A1C" w:rsidRPr="008D7A1C" w:rsidRDefault="004147DC" w:rsidP="008D7A1C">
      <w:pPr>
        <w:pStyle w:val="SingleTxtGR"/>
      </w:pPr>
      <w:r>
        <w:t>2.</w:t>
      </w:r>
      <w:r w:rsidR="008D7A1C" w:rsidRPr="008D7A1C">
        <w:tab/>
        <w:t>На совещании присутствовали делегации следующих 36 государств</w:t>
      </w:r>
      <w:r w:rsidR="00126356">
        <w:t xml:space="preserve"> – </w:t>
      </w:r>
      <w:r w:rsidR="008D7A1C" w:rsidRPr="008D7A1C">
        <w:t>членов Европейской экономической комиссии Организации Объединенных Наций (ЕЭК): Австрии,</w:t>
      </w:r>
      <w:r w:rsidR="0069374B">
        <w:t xml:space="preserve"> </w:t>
      </w:r>
      <w:r w:rsidR="008D7A1C" w:rsidRPr="008D7A1C">
        <w:t>Армении,</w:t>
      </w:r>
      <w:r w:rsidR="0069374B">
        <w:t xml:space="preserve"> </w:t>
      </w:r>
      <w:r w:rsidR="008D7A1C" w:rsidRPr="008D7A1C">
        <w:t>Беларуси, Бельгии, Болгарии, Венгрии, Германии, Греции, Грузии,</w:t>
      </w:r>
      <w:r w:rsidR="0069374B">
        <w:t xml:space="preserve"> </w:t>
      </w:r>
      <w:r w:rsidR="008D7A1C" w:rsidRPr="008D7A1C">
        <w:t>Италии, Казахстана, Латвии, Люксембурга, Мальты, Монако,</w:t>
      </w:r>
      <w:r w:rsidR="0069374B">
        <w:t xml:space="preserve"> </w:t>
      </w:r>
      <w:r w:rsidR="008D7A1C" w:rsidRPr="008D7A1C">
        <w:t>Нидерландов, Норвегии, Польши, Португалии, Республики Молдова, Российской Федерации, Румынии,</w:t>
      </w:r>
      <w:r w:rsidR="0069374B">
        <w:t xml:space="preserve"> </w:t>
      </w:r>
      <w:r w:rsidR="008D7A1C" w:rsidRPr="008D7A1C">
        <w:t>Словакии, Словении, Соединенных Штатов Америки, Таджикистана, Узбекистана, Украины,</w:t>
      </w:r>
      <w:r w:rsidR="0069374B">
        <w:t xml:space="preserve"> </w:t>
      </w:r>
      <w:r w:rsidR="008D7A1C" w:rsidRPr="008D7A1C">
        <w:t>Финляндии, Франции, Хорватии, Черногории, Чехии, Швейцарии, Швеции и</w:t>
      </w:r>
      <w:r w:rsidR="0069374B">
        <w:t xml:space="preserve"> </w:t>
      </w:r>
      <w:r w:rsidR="008D7A1C" w:rsidRPr="008D7A1C">
        <w:t>Эстонии.</w:t>
      </w:r>
    </w:p>
    <w:p w:rsidR="008D7A1C" w:rsidRPr="008D7A1C" w:rsidRDefault="004147DC" w:rsidP="008D7A1C">
      <w:pPr>
        <w:pStyle w:val="SingleTxtGR"/>
      </w:pPr>
      <w:r>
        <w:t>3.</w:t>
      </w:r>
      <w:r w:rsidR="008D7A1C" w:rsidRPr="008D7A1C">
        <w:tab/>
        <w:t>В работе сессии участвовали</w:t>
      </w:r>
      <w:r w:rsidR="0069374B">
        <w:t xml:space="preserve"> </w:t>
      </w:r>
      <w:r w:rsidR="008D7A1C" w:rsidRPr="008D7A1C">
        <w:t>председатели и другие представители органов</w:t>
      </w:r>
      <w:r w:rsidR="0069374B">
        <w:t xml:space="preserve"> </w:t>
      </w:r>
      <w:r w:rsidR="008D7A1C" w:rsidRPr="008D7A1C">
        <w:t>следующих многосторонних природоохранных соглашений ЕЭК:</w:t>
      </w:r>
      <w:r w:rsidR="0069374B">
        <w:t xml:space="preserve"> </w:t>
      </w:r>
      <w:r w:rsidR="008D7A1C" w:rsidRPr="008D7A1C">
        <w:t>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Конвенции об оценке воздействия на окружающую среду в трансграничном контексте (Конвенция Эспо), Конвенции о трансграничном загрязнении воздуха на большие расстояния (Конвенция по воздуху), Конвенции по охране и использованию трансграничных водотоков и международных озер (Конвенция по водам), Протокола</w:t>
      </w:r>
      <w:r w:rsidR="0069374B">
        <w:t xml:space="preserve"> </w:t>
      </w:r>
      <w:r w:rsidR="008D7A1C" w:rsidRPr="008D7A1C">
        <w:t>о регистрах выбросов и переноса загрязнителей, Протокола по стратегической экологической оценке и Протокола по проблемам воды и здоровья.</w:t>
      </w:r>
    </w:p>
    <w:p w:rsidR="008D7A1C" w:rsidRPr="008D7A1C" w:rsidRDefault="004147DC" w:rsidP="008D7A1C">
      <w:pPr>
        <w:pStyle w:val="SingleTxtGR"/>
      </w:pPr>
      <w:r>
        <w:t>4.</w:t>
      </w:r>
      <w:r w:rsidR="008D7A1C" w:rsidRPr="008D7A1C">
        <w:tab/>
        <w:t>От системы Организации Объединенных Наций на сессии присутствовали представители Регионального бюро по Европе</w:t>
      </w:r>
      <w:r w:rsidR="0069374B">
        <w:t xml:space="preserve"> </w:t>
      </w:r>
      <w:r w:rsidR="008D7A1C" w:rsidRPr="008D7A1C">
        <w:t>Программы Организации Объединенных Наций по окружающей среде (ЮНЕП), Европейского регионального бюро Всемирной организации здравоохранения (ВОЗ) и Группы по наблюдениям за Землей Всемирной метеорологической организации (ВМО).</w:t>
      </w:r>
    </w:p>
    <w:p w:rsidR="008D7A1C" w:rsidRPr="008D7A1C" w:rsidRDefault="004147DC" w:rsidP="008D7A1C">
      <w:pPr>
        <w:pStyle w:val="SingleTxtGR"/>
      </w:pPr>
      <w:r>
        <w:t>5.</w:t>
      </w:r>
      <w:r w:rsidR="008D7A1C" w:rsidRPr="008D7A1C">
        <w:tab/>
        <w:t xml:space="preserve">На сессии были представлены другие национальные, региональные и международные организации и органы, включая Европейский союз, представленный Советом Европейского союза, Европейской комиссией, Европейским агентством по окружающей среде и Европейским инвестиционным банком; </w:t>
      </w:r>
      <w:r w:rsidR="009D12E6">
        <w:br/>
      </w:r>
      <w:r w:rsidR="008D7A1C" w:rsidRPr="008D7A1C">
        <w:t>Организацию экономического сотрудничества и развития (ОЭСР); Организацию по безопасности и сотрудничеству в Европе; Региональный экологический центр для Кавказа; и Региональный экологический центр для Центральной Азии.</w:t>
      </w:r>
    </w:p>
    <w:p w:rsidR="008D7A1C" w:rsidRDefault="004147DC" w:rsidP="006C17CF">
      <w:pPr>
        <w:pStyle w:val="SingleTxtGR"/>
      </w:pPr>
      <w:r>
        <w:t>6.</w:t>
      </w:r>
      <w:r w:rsidR="008D7A1C" w:rsidRPr="008D7A1C">
        <w:tab/>
        <w:t>Кроме того, в ней приняли участие представители следующих экологических</w:t>
      </w:r>
      <w:r w:rsidR="0069374B">
        <w:t xml:space="preserve"> </w:t>
      </w:r>
      <w:r w:rsidR="008D7A1C" w:rsidRPr="008D7A1C">
        <w:t>ассоциаций</w:t>
      </w:r>
      <w:r w:rsidR="0069374B">
        <w:t xml:space="preserve"> </w:t>
      </w:r>
      <w:r w:rsidR="008D7A1C" w:rsidRPr="008D7A1C">
        <w:t xml:space="preserve">гражданского общества: </w:t>
      </w:r>
      <w:r w:rsidR="00613717">
        <w:t>«</w:t>
      </w:r>
      <w:r w:rsidR="008D7A1C" w:rsidRPr="008D7A1C">
        <w:t>ЭКО-Согласия</w:t>
      </w:r>
      <w:r w:rsidR="00613717">
        <w:t>»</w:t>
      </w:r>
      <w:r w:rsidR="008D7A1C" w:rsidRPr="008D7A1C">
        <w:t>, Европейского ЭКО</w:t>
      </w:r>
      <w:r w:rsidR="00AD7450">
        <w:noBreakHyphen/>
      </w:r>
      <w:r w:rsidR="008D7A1C" w:rsidRPr="008D7A1C">
        <w:t xml:space="preserve">форума, организации </w:t>
      </w:r>
      <w:r w:rsidR="00613717">
        <w:t>«</w:t>
      </w:r>
      <w:r w:rsidR="008D7A1C" w:rsidRPr="008D7A1C">
        <w:t>Зеленая свобода</w:t>
      </w:r>
      <w:r w:rsidR="00613717">
        <w:t>»</w:t>
      </w:r>
      <w:r w:rsidR="008D7A1C" w:rsidRPr="008D7A1C">
        <w:t xml:space="preserve"> и экологической сети </w:t>
      </w:r>
      <w:r w:rsidR="00613717">
        <w:t>«</w:t>
      </w:r>
      <w:r w:rsidR="008D7A1C" w:rsidRPr="008D7A1C">
        <w:t>Зои</w:t>
      </w:r>
      <w:r w:rsidR="00613717">
        <w:t>»</w:t>
      </w:r>
      <w:r w:rsidR="008D7A1C" w:rsidRPr="008D7A1C">
        <w:t>.</w:t>
      </w:r>
    </w:p>
    <w:p w:rsidR="000C54E5" w:rsidRPr="000C54E5" w:rsidRDefault="00B166E7" w:rsidP="00B166E7">
      <w:pPr>
        <w:pStyle w:val="H1GR"/>
      </w:pPr>
      <w:r>
        <w:tab/>
      </w:r>
      <w:r w:rsidR="000C54E5" w:rsidRPr="000C54E5">
        <w:t>B.</w:t>
      </w:r>
      <w:r>
        <w:tab/>
      </w:r>
      <w:r w:rsidR="000C54E5" w:rsidRPr="000C54E5">
        <w:t>Открытие сессии и организационные вопросы</w:t>
      </w:r>
    </w:p>
    <w:p w:rsidR="000C54E5" w:rsidRPr="000C54E5" w:rsidRDefault="00613717" w:rsidP="000C54E5">
      <w:pPr>
        <w:pStyle w:val="SingleTxtGR"/>
      </w:pPr>
      <w:r>
        <w:t>7.</w:t>
      </w:r>
      <w:r w:rsidR="000C54E5" w:rsidRPr="000C54E5">
        <w:tab/>
        <w:t>В своем вступительном слове Исполнительный секретарь ЕЭК поздравил Комитет</w:t>
      </w:r>
      <w:r w:rsidR="0069374B">
        <w:t xml:space="preserve"> </w:t>
      </w:r>
      <w:r w:rsidR="000C54E5" w:rsidRPr="000C54E5">
        <w:t xml:space="preserve">с успешной организацией восьмой Конференции министров </w:t>
      </w:r>
      <w:r>
        <w:t>«</w:t>
      </w:r>
      <w:r w:rsidR="000C54E5" w:rsidRPr="000C54E5">
        <w:t>Окружающая среда для Европы</w:t>
      </w:r>
      <w:r>
        <w:t>»</w:t>
      </w:r>
      <w:r w:rsidR="000C54E5" w:rsidRPr="000C54E5">
        <w:t xml:space="preserve"> (Батуми, Грузия, 8</w:t>
      </w:r>
      <w:r w:rsidR="00AD7450">
        <w:t>–</w:t>
      </w:r>
      <w:r w:rsidR="000C54E5" w:rsidRPr="000C54E5">
        <w:t xml:space="preserve">10 июня 2016 года). Процесс </w:t>
      </w:r>
      <w:r>
        <w:t>«</w:t>
      </w:r>
      <w:r w:rsidR="000C54E5" w:rsidRPr="000C54E5">
        <w:t>Окружающая среда для Европы</w:t>
      </w:r>
      <w:r>
        <w:t>»</w:t>
      </w:r>
      <w:r w:rsidR="000C54E5" w:rsidRPr="000C54E5">
        <w:t xml:space="preserve"> играет ценную роль в укреплении экологического руководства и формировании межсекторального сотрудничества, и две батумские инициативы будут иметь большую практическую ценность в деле</w:t>
      </w:r>
      <w:r w:rsidR="0069374B">
        <w:t xml:space="preserve"> </w:t>
      </w:r>
      <w:r w:rsidR="000C54E5" w:rsidRPr="000C54E5">
        <w:t>поддержки усилий стран</w:t>
      </w:r>
      <w:r w:rsidR="0069374B">
        <w:t xml:space="preserve"> </w:t>
      </w:r>
      <w:r w:rsidR="000C54E5" w:rsidRPr="000C54E5">
        <w:t>по улучшению качества воздуха и экологизации экономики, одновременно</w:t>
      </w:r>
      <w:r w:rsidR="0069374B">
        <w:t xml:space="preserve"> </w:t>
      </w:r>
      <w:r w:rsidR="000C54E5" w:rsidRPr="000C54E5">
        <w:t>способствуя достижению целей устойчивого развития. Размышляя о достижениях Комиссии, он отметил, что семидесятая годовщина ЕЭК будет отмечаться в ходе шестьдесят седьмой сессии Европейской экономической комиссии (Женева, 26</w:t>
      </w:r>
      <w:r w:rsidR="00AD7450">
        <w:t>–</w:t>
      </w:r>
      <w:r w:rsidR="000C54E5" w:rsidRPr="000C54E5">
        <w:t xml:space="preserve">27 апреля 2017 года), знаменующей собой семь десятилетий выдающейся работы, которая сделала жизнь людей лучше, в том числе за счет улучшения состояния окружающей среды. </w:t>
      </w:r>
    </w:p>
    <w:p w:rsidR="000C54E5" w:rsidRPr="000C54E5" w:rsidRDefault="00AD7450" w:rsidP="000C54E5">
      <w:pPr>
        <w:pStyle w:val="SingleTxtGR"/>
      </w:pPr>
      <w:r>
        <w:t>8.</w:t>
      </w:r>
      <w:r w:rsidR="000C54E5" w:rsidRPr="000C54E5">
        <w:tab/>
        <w:t>Председатель Комитета приветствовала участников, напомнила основные цели сессии и отметила, что</w:t>
      </w:r>
      <w:r w:rsidR="0069374B">
        <w:t xml:space="preserve"> </w:t>
      </w:r>
      <w:r w:rsidR="000C54E5" w:rsidRPr="000C54E5">
        <w:t>на совещании не будут использоваться бумажные документы.</w:t>
      </w:r>
    </w:p>
    <w:p w:rsidR="000C54E5" w:rsidRPr="000C54E5" w:rsidRDefault="00AD7450" w:rsidP="000C54E5">
      <w:pPr>
        <w:pStyle w:val="SingleTxtGR"/>
      </w:pPr>
      <w:r>
        <w:t>9.</w:t>
      </w:r>
      <w:r w:rsidR="000C54E5" w:rsidRPr="000C54E5">
        <w:tab/>
        <w:t xml:space="preserve">25 января Швейцарией, ЕЭК, ЮНЕП и Платформой знаний о </w:t>
      </w:r>
      <w:r w:rsidR="00613717">
        <w:t>«</w:t>
      </w:r>
      <w:r w:rsidR="000C54E5" w:rsidRPr="000C54E5">
        <w:t>зеленом</w:t>
      </w:r>
      <w:r w:rsidR="00613717">
        <w:t>»</w:t>
      </w:r>
      <w:r w:rsidR="000C54E5" w:rsidRPr="000C54E5">
        <w:t xml:space="preserve"> росте</w:t>
      </w:r>
      <w:r w:rsidR="0069374B">
        <w:t xml:space="preserve"> </w:t>
      </w:r>
      <w:r w:rsidR="000C54E5" w:rsidRPr="000C54E5">
        <w:t>было совместно организовано</w:t>
      </w:r>
      <w:r w:rsidR="0069374B">
        <w:t xml:space="preserve"> </w:t>
      </w:r>
      <w:r w:rsidR="000C54E5" w:rsidRPr="000C54E5">
        <w:t xml:space="preserve">побочное мероприятие на тему </w:t>
      </w:r>
      <w:r w:rsidR="00613717">
        <w:t>«</w:t>
      </w:r>
      <w:r w:rsidR="000C54E5" w:rsidRPr="000C54E5">
        <w:t xml:space="preserve">Последующие действия в связи с Батумской инициативой по </w:t>
      </w:r>
      <w:r w:rsidR="00126356">
        <w:t>"</w:t>
      </w:r>
      <w:r w:rsidR="000C54E5" w:rsidRPr="000C54E5">
        <w:t>зеленой</w:t>
      </w:r>
      <w:r w:rsidR="00126356">
        <w:t>"</w:t>
      </w:r>
      <w:r w:rsidR="000C54E5" w:rsidRPr="000C54E5">
        <w:t xml:space="preserve"> экономике (БИЗ</w:t>
      </w:r>
      <w:r>
        <w:noBreakHyphen/>
      </w:r>
      <w:r w:rsidR="000C54E5" w:rsidRPr="000C54E5">
        <w:t>Э): обмен знаниями и информацией о надлежащей практике</w:t>
      </w:r>
      <w:r w:rsidR="00613717">
        <w:t>»</w:t>
      </w:r>
      <w:r w:rsidR="000C54E5" w:rsidRPr="000C54E5">
        <w:t xml:space="preserve">. </w:t>
      </w:r>
    </w:p>
    <w:p w:rsidR="000C54E5" w:rsidRPr="000C54E5" w:rsidRDefault="00AD7450" w:rsidP="000C54E5">
      <w:pPr>
        <w:pStyle w:val="SingleTxtGR"/>
      </w:pPr>
      <w:r>
        <w:t>10.</w:t>
      </w:r>
      <w:r w:rsidR="000C54E5" w:rsidRPr="000C54E5">
        <w:tab/>
        <w:t>Комитет утвердил повестку дня своей двадцать второй сессии (ECE/CEP/2017/1) вместе с предложенным графиком работы (информационный документ № 1).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II.</w:t>
      </w:r>
      <w:r>
        <w:tab/>
      </w:r>
      <w:r w:rsidR="000C54E5" w:rsidRPr="000C54E5">
        <w:t xml:space="preserve">Итоги работы Бюро </w:t>
      </w:r>
    </w:p>
    <w:p w:rsidR="000C54E5" w:rsidRPr="000C54E5" w:rsidRDefault="00AD7450" w:rsidP="000C54E5">
      <w:pPr>
        <w:pStyle w:val="SingleTxtGR"/>
      </w:pPr>
      <w:r>
        <w:t>11.</w:t>
      </w:r>
      <w:r w:rsidR="000C54E5" w:rsidRPr="000C54E5">
        <w:tab/>
        <w:t>Председатель сообщила, что Бюро вело работу по подготовке текущей сессии Комитета с помощью средств электронных консультаций и 24 января 2017 года провело</w:t>
      </w:r>
      <w:r w:rsidR="0069374B">
        <w:t xml:space="preserve"> </w:t>
      </w:r>
      <w:r w:rsidR="000C54E5" w:rsidRPr="000C54E5">
        <w:t xml:space="preserve">полудневное совещание для урегулирования нерешенных вопросов. Председатель предложила Комитету рассмотреть итоги работы Бюро в рамках соответствующих пунктов повестки дня. </w:t>
      </w:r>
    </w:p>
    <w:p w:rsidR="000C54E5" w:rsidRPr="000C54E5" w:rsidRDefault="000C54E5" w:rsidP="000C54E5">
      <w:pPr>
        <w:pStyle w:val="SingleTxtGR"/>
      </w:pPr>
      <w:r w:rsidRPr="000C54E5">
        <w:t>12.</w:t>
      </w:r>
      <w:r w:rsidRPr="000C54E5">
        <w:tab/>
        <w:t>Комитет выразил признательность Бюро за его хорошую работу по выполнению полномочий, возложенных на него Комитетом, а</w:t>
      </w:r>
      <w:r w:rsidR="0069374B">
        <w:t xml:space="preserve"> </w:t>
      </w:r>
      <w:r w:rsidRPr="000C54E5">
        <w:t>секретариат ЕЭК</w:t>
      </w:r>
      <w:r w:rsidR="00AD7450">
        <w:t> –</w:t>
      </w:r>
      <w:r w:rsidRPr="000C54E5">
        <w:t xml:space="preserve"> за поддержку, оказанную Бюро. 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III.</w:t>
      </w:r>
      <w:r>
        <w:tab/>
      </w:r>
      <w:r w:rsidR="000C54E5" w:rsidRPr="000C54E5">
        <w:t>Устойчивое развитие в регионе</w:t>
      </w:r>
    </w:p>
    <w:p w:rsidR="000C54E5" w:rsidRPr="000C54E5" w:rsidRDefault="000C54E5" w:rsidP="000C54E5">
      <w:pPr>
        <w:pStyle w:val="SingleTxtGR"/>
      </w:pPr>
      <w:r w:rsidRPr="000C54E5">
        <w:t>13.</w:t>
      </w:r>
      <w:r w:rsidRPr="000C54E5">
        <w:tab/>
        <w:t>Главный советник Исполнительного секретаря ЕЭК представила в своем качестве координатора ЕЭК по Повестке дня в области устойчивого развития на период до 2030 года (Повестка дня 2030) информацию о недавних изменениях в регионе ЕЭК, связанных с ее мандатом. Продолжается подготовка Регионального форума ЕЭК по устойчивому развитию (Женева, 25 апреля 2017 года)</w:t>
      </w:r>
      <w:r w:rsidRPr="0069374B">
        <w:rPr>
          <w:sz w:val="18"/>
          <w:vertAlign w:val="superscript"/>
        </w:rPr>
        <w:footnoteReference w:id="2"/>
      </w:r>
      <w:r w:rsidRPr="000C54E5">
        <w:t>. Региональный форум будет состоять из политического сегмента, включающего</w:t>
      </w:r>
      <w:r w:rsidR="0069374B">
        <w:t xml:space="preserve"> </w:t>
      </w:r>
      <w:r w:rsidRPr="000C54E5">
        <w:t>межсекторальную групповую дискуссию с упором на вопросы процветания, здоровья и благополучия и гендерные аспекты,</w:t>
      </w:r>
      <w:r w:rsidR="0069374B">
        <w:t xml:space="preserve"> </w:t>
      </w:r>
      <w:r w:rsidRPr="000C54E5">
        <w:t>и сегмента взаимного обучения коллег в формате трех параллельных круглых столов, посвященных главным образом темам</w:t>
      </w:r>
      <w:r w:rsidR="00AD7450">
        <w:t>:</w:t>
      </w:r>
      <w:r w:rsidRPr="000C54E5">
        <w:t xml:space="preserve"> а) адаптации</w:t>
      </w:r>
      <w:r w:rsidR="0069374B">
        <w:t xml:space="preserve"> </w:t>
      </w:r>
      <w:r w:rsidRPr="000C54E5">
        <w:t>целей устойчивого развития к национальным и местным условиям</w:t>
      </w:r>
      <w:r w:rsidR="00AD7450">
        <w:t>;</w:t>
      </w:r>
      <w:r w:rsidRPr="000C54E5">
        <w:t xml:space="preserve"> b) субрегионального сотрудничества</w:t>
      </w:r>
      <w:r w:rsidR="00AD7450">
        <w:t>;</w:t>
      </w:r>
      <w:r w:rsidRPr="000C54E5">
        <w:t xml:space="preserve"> и</w:t>
      </w:r>
      <w:r w:rsidR="0069374B">
        <w:t xml:space="preserve"> </w:t>
      </w:r>
      <w:r w:rsidRPr="000C54E5">
        <w:t>c) данных и мониторинга. Итоги регионального форума явятся вкладом региона ЕЭК в пятое совещание политического форума высокого уровня по устойчивому развитию (Нью</w:t>
      </w:r>
      <w:r w:rsidR="00AD7450">
        <w:noBreakHyphen/>
      </w:r>
      <w:r w:rsidRPr="000C54E5">
        <w:t>Йорк, 10</w:t>
      </w:r>
      <w:r w:rsidR="00AD7450">
        <w:t>–</w:t>
      </w:r>
      <w:r w:rsidRPr="000C54E5">
        <w:t xml:space="preserve">19 июля 2017 года). </w:t>
      </w:r>
    </w:p>
    <w:p w:rsidR="000C54E5" w:rsidRPr="000C54E5" w:rsidRDefault="000C54E5" w:rsidP="000C54E5">
      <w:pPr>
        <w:pStyle w:val="SingleTxtGR"/>
      </w:pPr>
      <w:r w:rsidRPr="000C54E5">
        <w:t xml:space="preserve">14. </w:t>
      </w:r>
      <w:r w:rsidRPr="000C54E5">
        <w:tab/>
        <w:t>Делегаты из</w:t>
      </w:r>
      <w:r w:rsidR="0069374B">
        <w:t xml:space="preserve"> </w:t>
      </w:r>
      <w:r w:rsidRPr="000C54E5">
        <w:t>Беларуси, Казахстана</w:t>
      </w:r>
      <w:r w:rsidR="0069374B">
        <w:t xml:space="preserve"> </w:t>
      </w:r>
      <w:r w:rsidRPr="000C54E5">
        <w:t>и Чехии поделились своим опытом и информацией о практических путях осуществления Повестки дня 2030 и целей</w:t>
      </w:r>
      <w:r w:rsidR="0069374B">
        <w:t xml:space="preserve"> </w:t>
      </w:r>
      <w:r w:rsidRPr="000C54E5">
        <w:t>устойчивого развития, уделив особое внимание целям 3, 9 и 17.</w:t>
      </w:r>
      <w:r w:rsidR="0069374B">
        <w:t xml:space="preserve"> </w:t>
      </w:r>
      <w:r w:rsidRPr="000C54E5">
        <w:t>В 2016 году Беларусь приняла свою Национальную стратегию устойчивого социально-экономического развития на период до 2030 года, которая опирается на Программу социально-экономического развития на 2016</w:t>
      </w:r>
      <w:r w:rsidR="00AD7450">
        <w:t>–</w:t>
      </w:r>
      <w:r w:rsidRPr="000C54E5">
        <w:t>2020 годы. В декабре 2016</w:t>
      </w:r>
      <w:r w:rsidR="00AD7450">
        <w:t> </w:t>
      </w:r>
      <w:r w:rsidRPr="000C54E5">
        <w:t xml:space="preserve">года был утвержден Национальный план действий по развитию </w:t>
      </w:r>
      <w:r w:rsidR="00613717">
        <w:t>«</w:t>
      </w:r>
      <w:r w:rsidRPr="000C54E5">
        <w:t>зеленой</w:t>
      </w:r>
      <w:r w:rsidR="00613717">
        <w:t>»</w:t>
      </w:r>
      <w:r w:rsidRPr="000C54E5">
        <w:t xml:space="preserve"> экономики в Беларуси до 2020 года, цель которого заключается в повышении благосостояния населения на основе повышения конкурентоспособности экономики, привлечения инвестиций и инновационного развития. Кроме того, в</w:t>
      </w:r>
      <w:r w:rsidR="009D12E6">
        <w:rPr>
          <w:lang w:val="en-US"/>
        </w:rPr>
        <w:t> </w:t>
      </w:r>
      <w:r w:rsidRPr="000C54E5">
        <w:t>Беларуси ведется работа</w:t>
      </w:r>
      <w:r w:rsidR="0069374B">
        <w:t xml:space="preserve"> </w:t>
      </w:r>
      <w:r w:rsidRPr="000C54E5">
        <w:t>по пересмотру и адаптации ее национальных показателей к новым глобальным показателям для измерения прогресса в достижении целей устойчивого развития.</w:t>
      </w:r>
      <w:r w:rsidR="0069374B">
        <w:t xml:space="preserve"> </w:t>
      </w:r>
    </w:p>
    <w:p w:rsidR="000C54E5" w:rsidRPr="000C54E5" w:rsidRDefault="00144D1A" w:rsidP="000C54E5">
      <w:pPr>
        <w:pStyle w:val="SingleTxtGR"/>
      </w:pPr>
      <w:r>
        <w:t>15.</w:t>
      </w:r>
      <w:r w:rsidR="000C54E5" w:rsidRPr="000C54E5">
        <w:tab/>
        <w:t>Чехия применяет комплексный подход к осуществлению Повестки дня 2030, в рамках которого был, в частности, создан</w:t>
      </w:r>
      <w:r w:rsidR="0069374B">
        <w:t xml:space="preserve"> </w:t>
      </w:r>
      <w:r w:rsidR="000C54E5" w:rsidRPr="000C54E5">
        <w:t>широкопрофильный Правительственный совет по устойчивому развитию при канцелярии премьер-министра с участием всех соответствующих заинтересованных сторон. Для</w:t>
      </w:r>
      <w:r w:rsidR="00AD7450">
        <w:t> </w:t>
      </w:r>
      <w:r w:rsidR="000C54E5" w:rsidRPr="000C54E5">
        <w:t>разработки этого комплексного подхода</w:t>
      </w:r>
      <w:r w:rsidR="0069374B">
        <w:t xml:space="preserve"> </w:t>
      </w:r>
      <w:r w:rsidR="000C54E5" w:rsidRPr="000C54E5">
        <w:t xml:space="preserve">в 2015 году были организованы широкие консультации, в результате которых были определены шесть национальных тематических блоков, охватывающих все 17 целей, а именно </w:t>
      </w:r>
      <w:r w:rsidR="00613717">
        <w:t>«</w:t>
      </w:r>
      <w:r w:rsidR="000C54E5" w:rsidRPr="000C54E5">
        <w:t>Люди и общество</w:t>
      </w:r>
      <w:r w:rsidR="00613717">
        <w:t>»</w:t>
      </w:r>
      <w:r w:rsidR="000C54E5" w:rsidRPr="000C54E5">
        <w:t xml:space="preserve">, </w:t>
      </w:r>
      <w:r w:rsidR="00613717">
        <w:t>«</w:t>
      </w:r>
      <w:r w:rsidR="000C54E5" w:rsidRPr="000C54E5">
        <w:t>Экономическая модель</w:t>
      </w:r>
      <w:r w:rsidR="00613717">
        <w:t>»</w:t>
      </w:r>
      <w:r w:rsidR="000C54E5" w:rsidRPr="000C54E5">
        <w:t xml:space="preserve">, </w:t>
      </w:r>
      <w:r w:rsidR="00613717">
        <w:t>«</w:t>
      </w:r>
      <w:r w:rsidR="000C54E5" w:rsidRPr="000C54E5">
        <w:t>Устойчивые экосистемы</w:t>
      </w:r>
      <w:r w:rsidR="00613717">
        <w:t>»</w:t>
      </w:r>
      <w:r w:rsidR="000C54E5" w:rsidRPr="000C54E5">
        <w:t xml:space="preserve">, </w:t>
      </w:r>
      <w:r w:rsidR="00613717">
        <w:t>«</w:t>
      </w:r>
      <w:r w:rsidR="000C54E5" w:rsidRPr="000C54E5">
        <w:t>Муниципалитеты и районы</w:t>
      </w:r>
      <w:r w:rsidR="00613717">
        <w:t>»</w:t>
      </w:r>
      <w:r w:rsidR="000C54E5" w:rsidRPr="000C54E5">
        <w:t xml:space="preserve">, </w:t>
      </w:r>
      <w:r w:rsidR="00613717">
        <w:t>«</w:t>
      </w:r>
      <w:r w:rsidR="000C54E5" w:rsidRPr="000C54E5">
        <w:t>Глобальное развитие</w:t>
      </w:r>
      <w:r w:rsidR="00613717">
        <w:t>»</w:t>
      </w:r>
      <w:r w:rsidR="0069374B">
        <w:t xml:space="preserve"> </w:t>
      </w:r>
      <w:r w:rsidR="000C54E5" w:rsidRPr="000C54E5">
        <w:t xml:space="preserve">и </w:t>
      </w:r>
      <w:r w:rsidR="00613717">
        <w:t>«</w:t>
      </w:r>
      <w:r w:rsidR="000C54E5" w:rsidRPr="000C54E5">
        <w:t>Надлежащее руководство</w:t>
      </w:r>
      <w:r w:rsidR="00613717">
        <w:t>»</w:t>
      </w:r>
      <w:r w:rsidR="000C54E5" w:rsidRPr="000C54E5">
        <w:t>. Для</w:t>
      </w:r>
      <w:r w:rsidR="00AD7450">
        <w:t> </w:t>
      </w:r>
      <w:r w:rsidR="000C54E5" w:rsidRPr="000C54E5">
        <w:t>успешности этого подхода потребуются тесная координация и лидерство, повышение уровня осведомленности во всех министерствах и ведомствах, новый стиль работы, позволяющий</w:t>
      </w:r>
      <w:r w:rsidR="0069374B">
        <w:t xml:space="preserve"> </w:t>
      </w:r>
      <w:r w:rsidR="000C54E5" w:rsidRPr="000C54E5">
        <w:t>обеспечить вертикальную координацию (от</w:t>
      </w:r>
      <w:r>
        <w:t> </w:t>
      </w:r>
      <w:r w:rsidR="000C54E5" w:rsidRPr="000C54E5">
        <w:t>местного уровня до глобального), и создание сети для вовлечения всех соответствующих заинтересованных сторон.</w:t>
      </w:r>
    </w:p>
    <w:p w:rsidR="000C54E5" w:rsidRPr="000C54E5" w:rsidRDefault="009B1E1F" w:rsidP="000C54E5">
      <w:pPr>
        <w:pStyle w:val="SingleTxtGR"/>
      </w:pPr>
      <w:r>
        <w:t>16.</w:t>
      </w:r>
      <w:r w:rsidR="000C54E5" w:rsidRPr="000C54E5">
        <w:tab/>
        <w:t>Казахстан осуществляет свою Долгосрочную стратегию</w:t>
      </w:r>
      <w:r w:rsidR="0069374B">
        <w:t xml:space="preserve"> </w:t>
      </w:r>
      <w:r w:rsidR="000C54E5" w:rsidRPr="000C54E5">
        <w:t xml:space="preserve">развития на период до 2050 года, предусматривающую, в частности, создание в течение первого десятилетия ее реализации новой модели развития страны. По цели 3 </w:t>
      </w:r>
      <w:r w:rsidR="00AD7450">
        <w:br/>
      </w:r>
      <w:r w:rsidR="000C54E5" w:rsidRPr="000C54E5">
        <w:t>(хорошее здоровье</w:t>
      </w:r>
      <w:r w:rsidR="0069374B">
        <w:t xml:space="preserve"> </w:t>
      </w:r>
      <w:r w:rsidR="000C54E5" w:rsidRPr="000C54E5">
        <w:t>и благополучие) за последние 10 лет Казахстан достиг неплохого прогресса в деле улучшения качества воздуха за сч</w:t>
      </w:r>
      <w:r w:rsidR="00AD7450">
        <w:t>е</w:t>
      </w:r>
      <w:r w:rsidR="000C54E5" w:rsidRPr="000C54E5">
        <w:t>т внедрения экологически чистых технологий в промышленности. Кроме того, в 2015</w:t>
      </w:r>
      <w:r w:rsidR="0069374B">
        <w:t xml:space="preserve"> </w:t>
      </w:r>
      <w:r w:rsidR="000C54E5" w:rsidRPr="000C54E5">
        <w:t>году был принят новый закон о производстве органической продукции с целью обеспечения рационального использования земель, здорового рациона питания и охраны окружающей среды. П</w:t>
      </w:r>
      <w:r w:rsidR="000C54E5" w:rsidRPr="00663346">
        <w:t>о цели 9 (промышленность, инновации и инфраструктура) Казахстан разрабатывает с</w:t>
      </w:r>
      <w:r w:rsidR="000C54E5" w:rsidRPr="00AD7450">
        <w:rPr>
          <w:spacing w:val="2"/>
        </w:rPr>
        <w:t>тратегию участия страны в четв</w:t>
      </w:r>
      <w:r w:rsidR="00AD7450">
        <w:rPr>
          <w:spacing w:val="2"/>
        </w:rPr>
        <w:t>е</w:t>
      </w:r>
      <w:r w:rsidR="000C54E5" w:rsidRPr="00AD7450">
        <w:rPr>
          <w:spacing w:val="2"/>
        </w:rPr>
        <w:t xml:space="preserve">ртой промышленной революции </w:t>
      </w:r>
      <w:r w:rsidR="00613717" w:rsidRPr="00AD7450">
        <w:rPr>
          <w:spacing w:val="2"/>
        </w:rPr>
        <w:t>«</w:t>
      </w:r>
      <w:r w:rsidR="000C54E5" w:rsidRPr="00AD7450">
        <w:rPr>
          <w:spacing w:val="2"/>
        </w:rPr>
        <w:t>Индустрия 4.0</w:t>
      </w:r>
      <w:r w:rsidR="00613717" w:rsidRPr="00AD7450">
        <w:rPr>
          <w:spacing w:val="2"/>
        </w:rPr>
        <w:t>»</w:t>
      </w:r>
      <w:r w:rsidR="000C54E5" w:rsidRPr="00AD7450">
        <w:rPr>
          <w:spacing w:val="2"/>
        </w:rPr>
        <w:t xml:space="preserve">. </w:t>
      </w:r>
      <w:r w:rsidR="000C54E5" w:rsidRPr="000C54E5">
        <w:t>Уже выполняется правительственная программа по инновационному развитию промышленности на период 2015</w:t>
      </w:r>
      <w:r w:rsidR="00AD7450">
        <w:t>–</w:t>
      </w:r>
      <w:r w:rsidR="000C54E5" w:rsidRPr="000C54E5">
        <w:t>2019 годов. Достижению цели 17 (партн</w:t>
      </w:r>
      <w:r w:rsidR="00AD7450">
        <w:t>е</w:t>
      </w:r>
      <w:r w:rsidR="000C54E5" w:rsidRPr="000C54E5">
        <w:t>рство во имя достижения целей) способствует Программа партн</w:t>
      </w:r>
      <w:r w:rsidR="00AD7450">
        <w:t>е</w:t>
      </w:r>
      <w:r w:rsidR="000C54E5" w:rsidRPr="000C54E5">
        <w:t xml:space="preserve">рства </w:t>
      </w:r>
      <w:r w:rsidR="00613717">
        <w:t>«</w:t>
      </w:r>
      <w:r w:rsidR="000C54E5" w:rsidRPr="000C54E5">
        <w:t>Зел</w:t>
      </w:r>
      <w:r w:rsidR="00AD7450">
        <w:t>е</w:t>
      </w:r>
      <w:r w:rsidR="000C54E5" w:rsidRPr="000C54E5">
        <w:t>ный мост</w:t>
      </w:r>
      <w:r w:rsidR="00613717">
        <w:t>»</w:t>
      </w:r>
      <w:r w:rsidR="000C54E5" w:rsidRPr="000C54E5">
        <w:t>, и в соответствии с этой программой созда</w:t>
      </w:r>
      <w:r w:rsidR="00AD7450">
        <w:t>е</w:t>
      </w:r>
      <w:r w:rsidR="000C54E5" w:rsidRPr="000C54E5">
        <w:t>тся международный центр зел</w:t>
      </w:r>
      <w:r w:rsidR="00AD7450">
        <w:t>е</w:t>
      </w:r>
      <w:r w:rsidR="000C54E5" w:rsidRPr="000C54E5">
        <w:t xml:space="preserve">ных технологий. </w:t>
      </w:r>
    </w:p>
    <w:p w:rsidR="000C54E5" w:rsidRPr="000C54E5" w:rsidRDefault="00AD7450" w:rsidP="000C54E5">
      <w:pPr>
        <w:pStyle w:val="SingleTxtGR"/>
      </w:pPr>
      <w:r>
        <w:t>17.</w:t>
      </w:r>
      <w:r w:rsidR="000C54E5" w:rsidRPr="000C54E5">
        <w:tab/>
        <w:t xml:space="preserve">В ходе последовавшего за этим обсуждения делегации задавали вопросы и рассмотрели предоставленную информацию. </w:t>
      </w:r>
    </w:p>
    <w:p w:rsidR="000C54E5" w:rsidRPr="000C54E5" w:rsidRDefault="009B1E1F" w:rsidP="000C54E5">
      <w:pPr>
        <w:pStyle w:val="SingleTxtGR"/>
      </w:pPr>
      <w:r>
        <w:t>18.</w:t>
      </w:r>
      <w:r w:rsidR="000C54E5" w:rsidRPr="000C54E5">
        <w:tab/>
        <w:t>Комитет принял к сведению изменения в деятельности ЕЭК, связанные с Повесткой дня 2030. Он приветствовал предоставленную Беларусью, Казахстаном и Чехией информацию об их опыте определения практических путей и средств формирования подхода к осуществлению на национальном уровне Повестки дня 2030 и соответствующих целей устойчивого развития с экологических позиций и предложил членам Комитета продолжать такой обмен опытом и информацией о надлежащей практике по этой теме на своих будущих совещаниях. Кроме того, Комитет предложил соответствующим партн</w:t>
      </w:r>
      <w:r w:rsidR="00AD7450">
        <w:t>е</w:t>
      </w:r>
      <w:r w:rsidR="000C54E5" w:rsidRPr="000C54E5">
        <w:t>ром поделиться информацией о своей деятельности в поддержку Повестки дня 2030, уделив особое внимание целям устойчивого развития, которые будут рассматриваться на политическом форуме высокого уровня по устойчивому развитию в течение этого года.</w:t>
      </w:r>
    </w:p>
    <w:p w:rsidR="000C54E5" w:rsidRPr="000C54E5" w:rsidRDefault="00663346" w:rsidP="000C54E5">
      <w:pPr>
        <w:pStyle w:val="SingleTxtGR"/>
      </w:pPr>
      <w:r>
        <w:t>19.</w:t>
      </w:r>
      <w:r w:rsidR="000C54E5" w:rsidRPr="000C54E5">
        <w:tab/>
        <w:t>Наряду с этим Комитет предложил странам рассмотреть вопрос о роли Комитета в осуществлении Повестки дня 2030 и продолжить обсуждение этого вопроса на будущих совещаниях. В этой связи Комитет просил Бюро подготовить при поддержке секретариата</w:t>
      </w:r>
      <w:r w:rsidR="0069374B">
        <w:t xml:space="preserve"> </w:t>
      </w:r>
      <w:r w:rsidR="000C54E5" w:rsidRPr="000C54E5">
        <w:t>краткий справочный документ для облегчения дальнейшего обсуждения данной темы на двадцать третьей сессии Комитета в ноябре 2017 года.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IV.</w:t>
      </w:r>
      <w:r>
        <w:tab/>
      </w:r>
      <w:r w:rsidR="000C54E5" w:rsidRPr="000C54E5">
        <w:t>Многосторонние природоохранные соглашения</w:t>
      </w:r>
    </w:p>
    <w:p w:rsidR="000C54E5" w:rsidRPr="000C54E5" w:rsidRDefault="00663346" w:rsidP="000C54E5">
      <w:pPr>
        <w:pStyle w:val="SingleTxtGR"/>
      </w:pPr>
      <w:r>
        <w:t>20.</w:t>
      </w:r>
      <w:r w:rsidR="000C54E5" w:rsidRPr="000C54E5">
        <w:tab/>
        <w:t>Открывая обсуждение вопроса о многосторонних природоохранных соглашениях, Председатель Конвенции по воздуху подытожила обсуждения, состоявшиеся на самом последнем</w:t>
      </w:r>
      <w:r w:rsidR="0069374B">
        <w:t xml:space="preserve"> </w:t>
      </w:r>
      <w:r w:rsidR="000C54E5" w:rsidRPr="000C54E5">
        <w:t>совещании представителей руководящих органов многосторонних природоохранных соглашений ЕЭК и Комитета по экологической политике, которое проходило 24 января 2017 года в Женеве. Участники обсудили последующие шаги в развитие</w:t>
      </w:r>
      <w:r w:rsidR="0069374B">
        <w:t xml:space="preserve"> </w:t>
      </w:r>
      <w:r w:rsidR="000C54E5" w:rsidRPr="000C54E5">
        <w:t>итогов Батумской конференции, роль многосторонних природоохранных соглашений ЕЭК в осуществлении Повестки дня 2030, совместно осуществляемую</w:t>
      </w:r>
      <w:r w:rsidR="0069374B">
        <w:t xml:space="preserve"> </w:t>
      </w:r>
      <w:r w:rsidR="000C54E5" w:rsidRPr="000C54E5">
        <w:t xml:space="preserve">деятельность по линии двух или более договоров и деятельность по расширению сферы действия договоров за пределами региона ЕЭК. </w:t>
      </w:r>
    </w:p>
    <w:p w:rsidR="000C54E5" w:rsidRPr="000C54E5" w:rsidRDefault="000C54E5" w:rsidP="000C54E5">
      <w:pPr>
        <w:pStyle w:val="SingleTxtGR"/>
      </w:pPr>
      <w:r w:rsidRPr="000C54E5">
        <w:t>21.</w:t>
      </w:r>
      <w:r w:rsidRPr="000C54E5">
        <w:tab/>
        <w:t>В ходе интерактивной дискуссии с председателями и другими представителями органов многосторонних соглашений ЕЭК участники рассмотрели</w:t>
      </w:r>
      <w:r w:rsidR="0069374B">
        <w:t xml:space="preserve"> </w:t>
      </w:r>
      <w:r w:rsidRPr="000C54E5">
        <w:t>предпринятые к настоящему времени в рамках каждого договора усилия по определению роли соответствующего договора в осуществлении Повестки дня 2030 и вопрос о важности обеспечения прозрачности, в частности л</w:t>
      </w:r>
      <w:r w:rsidR="00AD7450">
        <w:t>е</w:t>
      </w:r>
      <w:r w:rsidRPr="000C54E5">
        <w:t>гкого доступа к информации, в связи с осуществлением целей в области устойчивого развития. Выступавшие подчеркнули, что ключевое значение для согласованного осуществления Повестки дня 2030 имеет сотрудничество между соответствующими секторами на национальном и международном уровнях, в частности эффективное вовлечение заинтересованных сторон.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22.</w:t>
      </w:r>
      <w:r w:rsidRPr="000C54E5">
        <w:tab/>
        <w:t>Комитет приветствовал интерактивное обсуждение вопроса о многосторонних природоохранных соглашениях ЕЭК и, в частности:</w:t>
      </w:r>
    </w:p>
    <w:p w:rsidR="000C54E5" w:rsidRPr="000C54E5" w:rsidRDefault="000C54E5" w:rsidP="000C54E5">
      <w:pPr>
        <w:pStyle w:val="SingleTxtGR"/>
      </w:pPr>
      <w:r w:rsidRPr="000C54E5">
        <w:tab/>
        <w:t>а)</w:t>
      </w:r>
      <w:r w:rsidR="00663346">
        <w:tab/>
      </w:r>
      <w:r w:rsidRPr="000C54E5">
        <w:t>высоко оценил представившуюся возможность провести</w:t>
      </w:r>
      <w:r w:rsidR="0069374B">
        <w:t xml:space="preserve"> </w:t>
      </w:r>
      <w:r w:rsidRPr="000C54E5">
        <w:t>в ходе сессии Комитета открытый обмен мнениями с участием председателей и других представителей органов многосторонних природоохранных соглашений ЕЭК;</w:t>
      </w:r>
    </w:p>
    <w:p w:rsidR="000C54E5" w:rsidRPr="000C54E5" w:rsidRDefault="000C54E5" w:rsidP="000C54E5">
      <w:pPr>
        <w:pStyle w:val="SingleTxtGR"/>
      </w:pPr>
      <w:r w:rsidRPr="000C54E5">
        <w:tab/>
      </w:r>
      <w:r w:rsidR="00A95FD6">
        <w:t>b</w:t>
      </w:r>
      <w:r w:rsidRPr="000C54E5">
        <w:t>)</w:t>
      </w:r>
      <w:r w:rsidR="00663346">
        <w:tab/>
      </w:r>
      <w:r w:rsidRPr="000C54E5">
        <w:t>приветствовал предпринимаемые в соответствии с многосторонними природоохранными соглашениями шаги по приведению в надлежащих случаях своих</w:t>
      </w:r>
      <w:r w:rsidR="0069374B">
        <w:t xml:space="preserve"> </w:t>
      </w:r>
      <w:r w:rsidRPr="000C54E5">
        <w:t>деятельности, стратегий, программ работы и планов работы в соответствие с Повесткой дня 2030;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663346">
        <w:tab/>
      </w:r>
      <w:r w:rsidRPr="000C54E5">
        <w:t>предложил секретариатам многосторонних природоохранных соглашений добиваться синергизма и стремиться координировать свою деятельность с соответствующей деятельностью других международных организаций, том числе организаций, действующих в рамках системы Организации Объедин</w:t>
      </w:r>
      <w:r w:rsidR="00AD7450">
        <w:t>е</w:t>
      </w:r>
      <w:r w:rsidRPr="000C54E5">
        <w:t>нных Наций;</w:t>
      </w:r>
    </w:p>
    <w:p w:rsidR="000C54E5" w:rsidRPr="000C54E5" w:rsidRDefault="000C54E5" w:rsidP="000C54E5">
      <w:pPr>
        <w:pStyle w:val="SingleTxtGR"/>
      </w:pPr>
      <w:r w:rsidRPr="000C54E5">
        <w:tab/>
        <w:t>d)</w:t>
      </w:r>
      <w:r w:rsidR="00663346">
        <w:tab/>
      </w:r>
      <w:r w:rsidRPr="000C54E5">
        <w:t>признал важность обеспечения прозрачности, в частности л</w:t>
      </w:r>
      <w:r w:rsidR="00AD7450">
        <w:t>е</w:t>
      </w:r>
      <w:r w:rsidRPr="000C54E5">
        <w:t xml:space="preserve">гкого доступа к информации, для осуществления Повестки дня 2030; </w:t>
      </w:r>
    </w:p>
    <w:p w:rsidR="000C54E5" w:rsidRPr="000C54E5" w:rsidRDefault="000C54E5" w:rsidP="000C54E5">
      <w:pPr>
        <w:pStyle w:val="SingleTxtGR"/>
      </w:pPr>
      <w:r w:rsidRPr="000C54E5">
        <w:tab/>
        <w:t>е)</w:t>
      </w:r>
      <w:r w:rsidR="00663346">
        <w:tab/>
      </w:r>
      <w:r w:rsidRPr="000C54E5">
        <w:t>подчеркнул, что ключом к согласованному осуществлению Повестки дня 2030 является сотрудничество</w:t>
      </w:r>
      <w:r w:rsidR="0069374B">
        <w:t xml:space="preserve"> </w:t>
      </w:r>
      <w:r w:rsidRPr="000C54E5">
        <w:t xml:space="preserve">между соответствующими секторами на национальном и международном уровнях (например, применение </w:t>
      </w:r>
      <w:r w:rsidR="00613717">
        <w:t>«</w:t>
      </w:r>
      <w:r w:rsidRPr="000C54E5">
        <w:t>нексусного</w:t>
      </w:r>
      <w:r w:rsidR="00613717">
        <w:t>»</w:t>
      </w:r>
      <w:r w:rsidRPr="000C54E5">
        <w:t xml:space="preserve"> подхода), в частности эффективное вовлечение заинтересованных сторон;</w:t>
      </w:r>
    </w:p>
    <w:p w:rsidR="000C54E5" w:rsidRPr="000C54E5" w:rsidRDefault="000C54E5" w:rsidP="000C54E5">
      <w:pPr>
        <w:pStyle w:val="SingleTxtGR"/>
      </w:pPr>
      <w:r w:rsidRPr="000C54E5">
        <w:tab/>
        <w:t>f)</w:t>
      </w:r>
      <w:r w:rsidR="00663346">
        <w:tab/>
      </w:r>
      <w:r w:rsidRPr="000C54E5">
        <w:t>принял к сведению недавние изменения, происшедшие в ходе неофициальных совместных совещаний представителей руководящих органов многосторонних природоохранных соглашений ЕЭК и Комитета, и призвал продолжать такую координацию, в том числе по вопросам достижения возможного дополнительного синергизма и решения горизонтальных проблем, особенно проблемы обеспечения доступности информации;</w:t>
      </w:r>
    </w:p>
    <w:p w:rsidR="000C54E5" w:rsidRPr="000C54E5" w:rsidRDefault="000C54E5" w:rsidP="000C54E5">
      <w:pPr>
        <w:pStyle w:val="SingleTxtGR"/>
      </w:pPr>
      <w:r w:rsidRPr="000C54E5">
        <w:tab/>
        <w:t>g)</w:t>
      </w:r>
      <w:r w:rsidR="00663346">
        <w:tab/>
      </w:r>
      <w:r w:rsidRPr="000C54E5">
        <w:t>рекомендовал странам в надлежащем порядке ратифицировать многосторонние природоохранные соглашения ЕЭК или присоединиться к ним и осуществлять эти соглашения и подчеркнул, что для более полного выполнения данных соглашений</w:t>
      </w:r>
      <w:r w:rsidR="0069374B">
        <w:t xml:space="preserve"> </w:t>
      </w:r>
      <w:r w:rsidRPr="000C54E5">
        <w:t>требуется дальнейшая работа, особенно на национальном уровне.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V.</w:t>
      </w:r>
      <w:r>
        <w:tab/>
      </w:r>
      <w:r w:rsidR="000C54E5" w:rsidRPr="000C54E5">
        <w:t xml:space="preserve">Последующие меры в связи с восьмой Конференцией министров </w:t>
      </w:r>
      <w:r w:rsidR="00613717">
        <w:t>«</w:t>
      </w:r>
      <w:r w:rsidR="000C54E5" w:rsidRPr="000C54E5">
        <w:t>Окружающая среда для Европы</w:t>
      </w:r>
      <w:r w:rsidR="00613717">
        <w:t>»</w:t>
      </w:r>
      <w:r w:rsidR="000C54E5" w:rsidRPr="000C54E5">
        <w:t xml:space="preserve"> и</w:t>
      </w:r>
      <w:r w:rsidR="00985783">
        <w:rPr>
          <w:lang w:val="en-US"/>
        </w:rPr>
        <w:t> </w:t>
      </w:r>
      <w:r w:rsidR="000C54E5" w:rsidRPr="000C54E5">
        <w:t>подготовка среднесрочного обзора основных итогов</w:t>
      </w:r>
      <w:r w:rsidR="00663346">
        <w:t> </w:t>
      </w:r>
      <w:r w:rsidR="000C54E5" w:rsidRPr="000C54E5">
        <w:t>Конференции</w:t>
      </w:r>
    </w:p>
    <w:p w:rsidR="000C54E5" w:rsidRPr="000C54E5" w:rsidRDefault="000C54E5" w:rsidP="000C54E5">
      <w:pPr>
        <w:pStyle w:val="SingleTxtGR"/>
      </w:pPr>
      <w:r w:rsidRPr="000C54E5">
        <w:t>23.</w:t>
      </w:r>
      <w:r w:rsidRPr="000C54E5">
        <w:tab/>
        <w:t xml:space="preserve">Председатель напомнила, что на конференции в Батуми были рассмотрена две темы </w:t>
      </w:r>
      <w:r w:rsidR="00663346">
        <w:t>–</w:t>
      </w:r>
      <w:r w:rsidRPr="000C54E5">
        <w:t xml:space="preserve"> </w:t>
      </w:r>
      <w:r w:rsidR="00613717">
        <w:t>«</w:t>
      </w:r>
      <w:r w:rsidRPr="000C54E5">
        <w:t>Экологизация экономики в панъевропейском регионе</w:t>
      </w:r>
      <w:r w:rsidR="00613717">
        <w:t>»</w:t>
      </w:r>
      <w:r w:rsidRPr="000C54E5">
        <w:t xml:space="preserve"> и </w:t>
      </w:r>
      <w:r w:rsidR="00051A2B">
        <w:br/>
      </w:r>
      <w:r w:rsidR="00613717">
        <w:t>«</w:t>
      </w:r>
      <w:r w:rsidRPr="000C54E5">
        <w:t>Повышение качества воздуха в интересах улучшения состояния окружающей среды и здоровья человека</w:t>
      </w:r>
      <w:r w:rsidR="00613717">
        <w:t>»</w:t>
      </w:r>
      <w:r w:rsidRPr="000C54E5">
        <w:t xml:space="preserve">. Кроме того, в рамках конференции было проведено совещание высокого уровня на тему </w:t>
      </w:r>
      <w:r w:rsidR="00613717">
        <w:t>«</w:t>
      </w:r>
      <w:r w:rsidRPr="000C54E5">
        <w:t>Образование в интересах устойчивого развития</w:t>
      </w:r>
      <w:r w:rsidR="00613717">
        <w:t>»</w:t>
      </w:r>
      <w:r w:rsidRPr="000C54E5">
        <w:t xml:space="preserve"> (см. пункт 59 ниже). К числу основных итогов конференции относятся Батумская декларация министров, Панъевропейские стратегические рамки экологизации экономики и ее Батумская инициатива по </w:t>
      </w:r>
      <w:r w:rsidR="00613717">
        <w:t>«</w:t>
      </w:r>
      <w:r w:rsidRPr="000C54E5">
        <w:t>зеленой</w:t>
      </w:r>
      <w:r w:rsidR="00613717">
        <w:t>»</w:t>
      </w:r>
      <w:r w:rsidRPr="000C54E5">
        <w:t xml:space="preserve"> экономике (БИЗ</w:t>
      </w:r>
      <w:r w:rsidR="00663346">
        <w:noBreakHyphen/>
      </w:r>
      <w:r w:rsidRPr="000C54E5">
        <w:t xml:space="preserve">Э), Батумская инициатива по борьбе за чистый воздух (БАКА), Батумское заявление министров по образованию в интересах устойчивого развития и Основы будущего осуществления Стратегии ЕЭК для образования в интересах устойчивого развития. </w:t>
      </w:r>
    </w:p>
    <w:p w:rsidR="000C54E5" w:rsidRPr="000C54E5" w:rsidRDefault="008D78FD" w:rsidP="000C54E5">
      <w:pPr>
        <w:pStyle w:val="SingleTxtGR"/>
      </w:pPr>
      <w:r>
        <w:t>24.</w:t>
      </w:r>
      <w:r w:rsidR="000C54E5" w:rsidRPr="000C54E5">
        <w:tab/>
        <w:t>Делегаты обсудили деятельность по реализации итогов Батумской конференции. Обратив особое внимание на надлежащую практику осуществления двух батумских инициатив – БАКА и</w:t>
      </w:r>
      <w:r w:rsidR="0069374B">
        <w:t xml:space="preserve"> </w:t>
      </w:r>
      <w:r w:rsidR="000C54E5" w:rsidRPr="000C54E5">
        <w:t>БИЗ-Э, страны поделились своим опытом, в частности на специальном побочном мероприятии (см. пункт 9 выше). Германия, Республика Молдова, Узбекистан и Швейцария поделились ценным опытом выполнения своих обязательств по БИЗ-Э. На этом побочном мероприятии информацией о надлежащей практике выполнения своих обязательств по БИЗ-Э также поделились Беларусь, Венгрия, Грузия, Нидерланды, Швеция и Фонд Пистолетто. Франция объявила, что обязуется</w:t>
      </w:r>
      <w:r w:rsidR="0069374B">
        <w:t xml:space="preserve"> </w:t>
      </w:r>
      <w:r w:rsidR="000C54E5" w:rsidRPr="000C54E5">
        <w:t>присоединиться к БИЗ-Э. Председатель отметил, что во время сессии Комитета 25 странами и 12 организациями были приняты 115 добровольных обязательств по поводу</w:t>
      </w:r>
      <w:r w:rsidR="0069374B">
        <w:t xml:space="preserve"> </w:t>
      </w:r>
      <w:r w:rsidR="000C54E5" w:rsidRPr="000C54E5">
        <w:t>БИЗ-Э, а в отношении БАКА</w:t>
      </w:r>
      <w:r w:rsidR="00663346">
        <w:t> </w:t>
      </w:r>
      <w:r w:rsidR="000C54E5" w:rsidRPr="000C54E5">
        <w:t xml:space="preserve">29 странами и </w:t>
      </w:r>
      <w:r w:rsidR="00A95FD6">
        <w:t>3</w:t>
      </w:r>
      <w:r w:rsidR="000C54E5" w:rsidRPr="000C54E5">
        <w:t xml:space="preserve"> организациями было принято 88 добровольных обязательств. Эти инициативы остаются открытыми для присоединения</w:t>
      </w:r>
      <w:r w:rsidR="0069374B">
        <w:t xml:space="preserve"> </w:t>
      </w:r>
      <w:r w:rsidR="000C54E5" w:rsidRPr="000C54E5">
        <w:t xml:space="preserve">новых заинтересованных субъектов, либо их нынешние участники могут взять на себя обязательства по осуществлению дополнительных действий в целях улучшения качества воздуха и экологизации экономики. </w:t>
      </w:r>
    </w:p>
    <w:p w:rsidR="0069374B" w:rsidRDefault="008D78FD" w:rsidP="000C54E5">
      <w:pPr>
        <w:pStyle w:val="SingleTxtGR"/>
      </w:pPr>
      <w:r>
        <w:t>25.</w:t>
      </w:r>
      <w:r w:rsidR="000C54E5" w:rsidRPr="000C54E5">
        <w:tab/>
        <w:t>Председатель Конвенции по воздуху проинформировала участников совещания о деятельности по пропаганде БАКА, в частности об обмене опытом</w:t>
      </w:r>
      <w:r w:rsidR="0069374B">
        <w:t xml:space="preserve"> </w:t>
      </w:r>
      <w:r w:rsidR="000C54E5" w:rsidRPr="000C54E5">
        <w:t>выполнения обязательств по этой инициативе в ходе тридцать шестой сессии Исполнительного органа по Конвенции в декабре 2016 года.</w:t>
      </w:r>
    </w:p>
    <w:p w:rsidR="000C54E5" w:rsidRPr="000C54E5" w:rsidRDefault="00D01E39" w:rsidP="000C54E5">
      <w:pPr>
        <w:pStyle w:val="SingleTxtGR"/>
      </w:pPr>
      <w:r>
        <w:t>26.</w:t>
      </w:r>
      <w:r w:rsidR="000C54E5" w:rsidRPr="000C54E5">
        <w:tab/>
        <w:t xml:space="preserve">Представитель Целевой группы по осуществлению Программы действий по </w:t>
      </w:r>
      <w:r w:rsidR="00613717">
        <w:t>«</w:t>
      </w:r>
      <w:r w:rsidR="000C54E5" w:rsidRPr="000C54E5">
        <w:t>зеленой</w:t>
      </w:r>
      <w:r w:rsidR="00613717">
        <w:t>»</w:t>
      </w:r>
      <w:r w:rsidR="000C54E5" w:rsidRPr="000C54E5">
        <w:t xml:space="preserve"> экономике и охране окружающей среды (GREEN) ОЭСР проинформировал Комитет об изменениях в работе Целевой группы, сосредоточившись на деятельности в области </w:t>
      </w:r>
      <w:r w:rsidR="00613717">
        <w:t>«</w:t>
      </w:r>
      <w:r w:rsidR="000C54E5" w:rsidRPr="000C54E5">
        <w:t>зеленой</w:t>
      </w:r>
      <w:r w:rsidR="00613717">
        <w:t>»</w:t>
      </w:r>
      <w:r w:rsidR="000C54E5" w:rsidRPr="000C54E5">
        <w:t xml:space="preserve"> экономики. </w:t>
      </w:r>
    </w:p>
    <w:p w:rsidR="000C54E5" w:rsidRPr="000C54E5" w:rsidRDefault="00D01E39" w:rsidP="000C54E5">
      <w:pPr>
        <w:pStyle w:val="SingleTxtGR"/>
      </w:pPr>
      <w:r>
        <w:t>27.</w:t>
      </w:r>
      <w:r w:rsidR="000C54E5" w:rsidRPr="000C54E5">
        <w:tab/>
        <w:t>Делегаты обсудили подготовку к проведению</w:t>
      </w:r>
      <w:r w:rsidR="0069374B">
        <w:t xml:space="preserve"> </w:t>
      </w:r>
      <w:r w:rsidR="000C54E5" w:rsidRPr="000C54E5">
        <w:t>среднесрочного обзора основных итогов Батумской</w:t>
      </w:r>
      <w:r w:rsidR="0069374B">
        <w:t xml:space="preserve"> </w:t>
      </w:r>
      <w:r w:rsidR="000C54E5" w:rsidRPr="000C54E5">
        <w:t>конференции</w:t>
      </w:r>
      <w:r w:rsidR="0069374B">
        <w:t xml:space="preserve"> </w:t>
      </w:r>
      <w:r w:rsidR="000C54E5" w:rsidRPr="000C54E5">
        <w:t xml:space="preserve">в рамках процесса </w:t>
      </w:r>
      <w:r w:rsidR="00613717">
        <w:t>«</w:t>
      </w:r>
      <w:r w:rsidR="000C54E5" w:rsidRPr="000C54E5">
        <w:t>Окружающая среда для Европы</w:t>
      </w:r>
      <w:r w:rsidR="00663346">
        <w:t>»</w:t>
      </w:r>
      <w:r w:rsidR="0069374B">
        <w:t xml:space="preserve"> </w:t>
      </w:r>
      <w:r w:rsidR="000C54E5" w:rsidRPr="000C54E5">
        <w:t>в 2018 году. Кроме того, участники рассмотрели целесообразность выполнения</w:t>
      </w:r>
      <w:r w:rsidR="0069374B">
        <w:t xml:space="preserve"> </w:t>
      </w:r>
      <w:r w:rsidR="000C54E5" w:rsidRPr="000C54E5">
        <w:t>обследования для оценки уроков, извлеченных из процесса подготовки, организации и проведения Батумской</w:t>
      </w:r>
      <w:r w:rsidR="0069374B">
        <w:t xml:space="preserve"> </w:t>
      </w:r>
      <w:r w:rsidR="000C54E5" w:rsidRPr="000C54E5">
        <w:t>конференции, с целью улучшения подготовки следующей конференции.</w:t>
      </w:r>
    </w:p>
    <w:p w:rsidR="000C54E5" w:rsidRPr="000C54E5" w:rsidRDefault="000C54E5" w:rsidP="000C54E5">
      <w:pPr>
        <w:pStyle w:val="SingleTxtGR"/>
      </w:pPr>
      <w:r w:rsidRPr="000C54E5">
        <w:t>28.</w:t>
      </w:r>
      <w:r w:rsidRPr="000C54E5">
        <w:tab/>
        <w:t>Комитет высоко оценил прекрасную организацию и успешные результаты Батумской</w:t>
      </w:r>
      <w:r w:rsidR="0069374B">
        <w:t xml:space="preserve"> </w:t>
      </w:r>
      <w:r w:rsidRPr="000C54E5">
        <w:t>конференции и в этой связи: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AB714F">
        <w:tab/>
      </w:r>
      <w:r w:rsidRPr="000C54E5">
        <w:t>выразил свою признательность Грузии за ее теплое гостеприимство и эффективную подготовку конференции;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AB714F">
        <w:tab/>
      </w:r>
      <w:r w:rsidRPr="000C54E5">
        <w:t xml:space="preserve">поздравил участников и наблюдателей этой успешной и памятной конференции, которая продемонстрировала сохраняющуюся актуальность процесса </w:t>
      </w:r>
      <w:r w:rsidR="00613717">
        <w:t>«</w:t>
      </w:r>
      <w:r w:rsidRPr="000C54E5">
        <w:t>Окружающая среда для Европы</w:t>
      </w:r>
      <w:r w:rsidR="00663346">
        <w:t>»</w:t>
      </w:r>
      <w:r w:rsidRPr="000C54E5">
        <w:t>;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663346">
        <w:tab/>
      </w:r>
      <w:r w:rsidRPr="000C54E5">
        <w:t>высоко оценил</w:t>
      </w:r>
      <w:r w:rsidR="0069374B">
        <w:t xml:space="preserve"> </w:t>
      </w:r>
      <w:r w:rsidRPr="000C54E5">
        <w:t>работу секретариата ЕЭК по организации конференции;</w:t>
      </w:r>
    </w:p>
    <w:p w:rsidR="000C54E5" w:rsidRPr="000C54E5" w:rsidRDefault="000C54E5" w:rsidP="000C54E5">
      <w:pPr>
        <w:pStyle w:val="SingleTxtGR"/>
      </w:pPr>
      <w:r w:rsidRPr="000C54E5">
        <w:tab/>
        <w:t>d)</w:t>
      </w:r>
      <w:r w:rsidR="00663346">
        <w:tab/>
      </w:r>
      <w:r w:rsidRPr="000C54E5">
        <w:t>позитивно оценил</w:t>
      </w:r>
      <w:r w:rsidR="0069374B">
        <w:t xml:space="preserve"> </w:t>
      </w:r>
      <w:r w:rsidRPr="000C54E5">
        <w:t>роль организаций-партнеров в организации конференции, в частности Программы развития Организации Объединенных Наций (ПРООН), ЮНЕП, Всемирного</w:t>
      </w:r>
      <w:r w:rsidR="0069374B">
        <w:t xml:space="preserve"> </w:t>
      </w:r>
      <w:r w:rsidRPr="000C54E5">
        <w:t xml:space="preserve">банка и ВОЗ, представлявших систему Организации Объединенных Наций, а также Европейского агентства по окружающей среде, ОЭСР, региональных экологических центров и неправительственной организации </w:t>
      </w:r>
      <w:r w:rsidR="00613717">
        <w:t>«</w:t>
      </w:r>
      <w:r w:rsidRPr="000C54E5">
        <w:t>Европейский ЭКО-Форум</w:t>
      </w:r>
      <w:r w:rsidR="00613717">
        <w:t>»</w:t>
      </w:r>
      <w:r w:rsidRPr="000C54E5">
        <w:t>;</w:t>
      </w:r>
    </w:p>
    <w:p w:rsidR="000C54E5" w:rsidRPr="000C54E5" w:rsidRDefault="000C54E5" w:rsidP="000C54E5">
      <w:pPr>
        <w:pStyle w:val="SingleTxtGR"/>
      </w:pPr>
      <w:r w:rsidRPr="000C54E5">
        <w:tab/>
        <w:t>e)</w:t>
      </w:r>
      <w:r w:rsidR="00663346">
        <w:tab/>
      </w:r>
      <w:r w:rsidRPr="000C54E5">
        <w:t>решил провести обследование по вопроснику, содержащемуся в документе ECE/CEP/2017/L.3, для оценки уроков, извлеченных из процесса подготовки, организации и проведения Батумской</w:t>
      </w:r>
      <w:r w:rsidR="0069374B">
        <w:t xml:space="preserve"> </w:t>
      </w:r>
      <w:r w:rsidRPr="000C54E5">
        <w:t>конференции, с целью улучшения подготовки следующей конференции и просил</w:t>
      </w:r>
      <w:r w:rsidR="0069374B">
        <w:t xml:space="preserve"> </w:t>
      </w:r>
      <w:r w:rsidRPr="000C54E5">
        <w:t>секретариат начать обследование в феврал</w:t>
      </w:r>
      <w:r w:rsidR="00663346">
        <w:t>е</w:t>
      </w:r>
      <w:r w:rsidRPr="000C54E5">
        <w:t xml:space="preserve"> 2017 года, определив предельный</w:t>
      </w:r>
      <w:r w:rsidR="0069374B">
        <w:t xml:space="preserve"> </w:t>
      </w:r>
      <w:r w:rsidRPr="000C54E5">
        <w:t>срок представления ответов равным одному месяцу, и подготовить анализ полученных ответов для рассмотрения Комитетом на его следующей сессии;</w:t>
      </w:r>
    </w:p>
    <w:p w:rsidR="000C54E5" w:rsidRPr="000C54E5" w:rsidRDefault="000C54E5" w:rsidP="000C54E5">
      <w:pPr>
        <w:pStyle w:val="SingleTxtGR"/>
      </w:pPr>
      <w:r w:rsidRPr="000C54E5">
        <w:tab/>
        <w:t>f)</w:t>
      </w:r>
      <w:r w:rsidR="00663346">
        <w:tab/>
      </w:r>
      <w:r w:rsidRPr="000C54E5">
        <w:t>просил</w:t>
      </w:r>
      <w:r w:rsidR="0069374B">
        <w:t xml:space="preserve"> </w:t>
      </w:r>
      <w:r w:rsidRPr="000C54E5">
        <w:t>Бюро подготовить при поддержке секретариата</w:t>
      </w:r>
      <w:r w:rsidR="0069374B">
        <w:t xml:space="preserve"> </w:t>
      </w:r>
      <w:r w:rsidRPr="000C54E5">
        <w:t>документ с предложением о сфере охвата, формате и условиях организации среднесрочного обзора основных итогов Батумской конференции для рассмотрения Комитетом на его следующей сессии;</w:t>
      </w:r>
    </w:p>
    <w:p w:rsidR="000C54E5" w:rsidRPr="000C54E5" w:rsidRDefault="000C54E5" w:rsidP="000C54E5">
      <w:pPr>
        <w:pStyle w:val="SingleTxtGR"/>
      </w:pPr>
      <w:r w:rsidRPr="000C54E5">
        <w:tab/>
        <w:t>g)</w:t>
      </w:r>
      <w:r w:rsidR="00F97B4C">
        <w:tab/>
      </w:r>
      <w:r w:rsidRPr="000C54E5">
        <w:t>приветствовал представленную Председателем Конвенции по воздуху информацию о деятельности по пропаганде БАКА и вновь обратился к странам и организациям с предложением присоединиться к этой инициативе, представив информацию о действиях по</w:t>
      </w:r>
      <w:r w:rsidR="0069374B">
        <w:t xml:space="preserve"> </w:t>
      </w:r>
      <w:r w:rsidRPr="000C54E5">
        <w:t xml:space="preserve">улучшению качества воздуха; </w:t>
      </w:r>
    </w:p>
    <w:p w:rsidR="000C54E5" w:rsidRPr="000C54E5" w:rsidRDefault="00F97B4C" w:rsidP="000C54E5">
      <w:pPr>
        <w:pStyle w:val="SingleTxtGR"/>
      </w:pPr>
      <w:r>
        <w:tab/>
      </w:r>
      <w:r w:rsidR="000C54E5" w:rsidRPr="000C54E5">
        <w:t>h)</w:t>
      </w:r>
      <w:r>
        <w:tab/>
      </w:r>
      <w:r w:rsidR="000C54E5" w:rsidRPr="000C54E5">
        <w:t>выразил признательность Германии, Республике Молдова, Узбекистану и Швейцарии за то, что они поделились информацией об их опыте и прогрессе в осуществлении своих обязательств</w:t>
      </w:r>
      <w:r w:rsidR="0069374B">
        <w:t xml:space="preserve"> </w:t>
      </w:r>
      <w:r w:rsidR="000C54E5" w:rsidRPr="000C54E5">
        <w:t>по</w:t>
      </w:r>
      <w:r w:rsidR="0069374B">
        <w:t xml:space="preserve"> </w:t>
      </w:r>
      <w:r w:rsidR="000C54E5" w:rsidRPr="000C54E5">
        <w:t>БИЗ-Э, и предложил странам и организациям продолжать выполнять свои обязательства по</w:t>
      </w:r>
      <w:r w:rsidR="0069374B">
        <w:t xml:space="preserve"> </w:t>
      </w:r>
      <w:r w:rsidR="000C54E5" w:rsidRPr="000C54E5">
        <w:t>БИЗ-Э и делиться информацией о своем опыте и надлежащей практике на совещаниях Комитета;</w:t>
      </w:r>
    </w:p>
    <w:p w:rsidR="000C54E5" w:rsidRPr="000C54E5" w:rsidRDefault="000C54E5" w:rsidP="000C54E5">
      <w:pPr>
        <w:pStyle w:val="SingleTxtGR"/>
      </w:pPr>
      <w:r w:rsidRPr="000C54E5">
        <w:tab/>
        <w:t>i)</w:t>
      </w:r>
      <w:r w:rsidR="00F97B4C">
        <w:tab/>
      </w:r>
      <w:r w:rsidRPr="000C54E5">
        <w:t>приветствовал увеличение числа субъектов, заинтересованных в БИЗ-Э,</w:t>
      </w:r>
      <w:r w:rsidR="0069374B">
        <w:t xml:space="preserve"> </w:t>
      </w:r>
      <w:r w:rsidRPr="000C54E5">
        <w:t>с удовлетворением</w:t>
      </w:r>
      <w:r w:rsidR="0069374B">
        <w:t xml:space="preserve"> </w:t>
      </w:r>
      <w:r w:rsidRPr="000C54E5">
        <w:t>отметив, что</w:t>
      </w:r>
      <w:r w:rsidR="0069374B">
        <w:t xml:space="preserve"> </w:t>
      </w:r>
      <w:r w:rsidRPr="000C54E5">
        <w:t>к БИЗ-Э присоединилась Франция, и</w:t>
      </w:r>
      <w:r w:rsidR="00051A2B">
        <w:rPr>
          <w:lang w:val="en-US"/>
        </w:rPr>
        <w:t> </w:t>
      </w:r>
      <w:r w:rsidRPr="000C54E5">
        <w:t xml:space="preserve">предложил странам и организациям рассмотреть возможность присоединения к </w:t>
      </w:r>
      <w:bookmarkStart w:id="0" w:name="_Hlk483142164"/>
      <w:r w:rsidRPr="000C54E5">
        <w:t>БИЗ-</w:t>
      </w:r>
      <w:bookmarkEnd w:id="0"/>
      <w:r w:rsidRPr="000C54E5">
        <w:t xml:space="preserve">Э или представить информацию о дополнительных действиях по вопросам </w:t>
      </w:r>
      <w:r w:rsidR="00613717">
        <w:t>«</w:t>
      </w:r>
      <w:r w:rsidRPr="000C54E5">
        <w:t>зеленой</w:t>
      </w:r>
      <w:r w:rsidR="00613717">
        <w:t>»</w:t>
      </w:r>
      <w:r w:rsidRPr="000C54E5">
        <w:t xml:space="preserve"> экономики; </w:t>
      </w:r>
    </w:p>
    <w:p w:rsidR="000C54E5" w:rsidRPr="000C54E5" w:rsidRDefault="000C54E5" w:rsidP="000C54E5">
      <w:pPr>
        <w:pStyle w:val="SingleTxtGR"/>
      </w:pPr>
      <w:r w:rsidRPr="000C54E5">
        <w:tab/>
        <w:t>j)</w:t>
      </w:r>
      <w:r w:rsidR="00D01E39">
        <w:tab/>
      </w:r>
      <w:r w:rsidRPr="000C54E5">
        <w:t>в связи с экологизацией экономики подчеркнул важность активного вовлечения</w:t>
      </w:r>
      <w:r w:rsidR="0069374B">
        <w:t xml:space="preserve"> </w:t>
      </w:r>
      <w:r w:rsidRPr="000C54E5">
        <w:t xml:space="preserve">в нее частного сектора и других заинтересованных сторон в масштабах всего панъевропейского региона и на глобальном уровне; </w:t>
      </w:r>
    </w:p>
    <w:p w:rsidR="000C54E5" w:rsidRPr="000C54E5" w:rsidRDefault="000C54E5" w:rsidP="000C54E5">
      <w:pPr>
        <w:pStyle w:val="SingleTxtGR"/>
      </w:pPr>
      <w:r w:rsidRPr="000C54E5">
        <w:tab/>
        <w:t>k)</w:t>
      </w:r>
      <w:r w:rsidR="00F97B4C">
        <w:tab/>
      </w:r>
      <w:r w:rsidRPr="000C54E5">
        <w:t>приветствовал информацию, предоставленную базирующимся в ОЭСР секретариатом Целевой группы по осуществлению Программы действий GREEN, и предложил секретариату Целевой группы регулярно информировать Комитет о деятельности этой группы;</w:t>
      </w:r>
    </w:p>
    <w:p w:rsidR="000C54E5" w:rsidRPr="000C54E5" w:rsidRDefault="000C54E5" w:rsidP="000C54E5">
      <w:pPr>
        <w:pStyle w:val="SingleTxtGR"/>
      </w:pPr>
      <w:r w:rsidRPr="000C54E5">
        <w:tab/>
        <w:t>l)</w:t>
      </w:r>
      <w:r w:rsidR="00F97B4C">
        <w:tab/>
      </w:r>
      <w:r w:rsidRPr="000C54E5">
        <w:t>предложил ЕЭК и ЮНЕП представить в сотрудничестве с ОЭСР и другими соответствующими партнерами и в консультации с заинтересованными странами и организациями</w:t>
      </w:r>
      <w:r w:rsidR="0069374B">
        <w:t xml:space="preserve"> </w:t>
      </w:r>
      <w:r w:rsidRPr="000C54E5">
        <w:t xml:space="preserve">доклады о деятельности по продвижению и осуществлению Панъевропейских стратегических рамок экологизации экономики и БИЗ-Э на следующей сессии Комитета; </w:t>
      </w:r>
    </w:p>
    <w:p w:rsidR="000C54E5" w:rsidRPr="000C54E5" w:rsidRDefault="000C54E5" w:rsidP="000C54E5">
      <w:pPr>
        <w:pStyle w:val="SingleTxtGR"/>
      </w:pPr>
      <w:r w:rsidRPr="000C54E5">
        <w:tab/>
        <w:t>m)</w:t>
      </w:r>
      <w:r w:rsidR="00F97B4C">
        <w:tab/>
      </w:r>
      <w:r w:rsidRPr="000C54E5">
        <w:t xml:space="preserve">выразил признательность Швейцарии, ЕЭК, ЮНЕП и Платформе знаний о </w:t>
      </w:r>
      <w:r w:rsidR="00613717">
        <w:t>«</w:t>
      </w:r>
      <w:r w:rsidRPr="000C54E5">
        <w:t>зеленом</w:t>
      </w:r>
      <w:r w:rsidR="00613717">
        <w:t>»</w:t>
      </w:r>
      <w:r w:rsidRPr="000C54E5">
        <w:t xml:space="preserve"> росте за организацию побочного мероприятия по обмену знаниями и информацией о надлежащей практике осуществления БИЗ-Э; </w:t>
      </w:r>
    </w:p>
    <w:p w:rsidR="000C54E5" w:rsidRPr="000C54E5" w:rsidRDefault="000C54E5" w:rsidP="000C54E5">
      <w:pPr>
        <w:pStyle w:val="SingleTxtGR"/>
      </w:pPr>
      <w:r w:rsidRPr="000C54E5">
        <w:tab/>
        <w:t>n)</w:t>
      </w:r>
      <w:r w:rsidR="00F97B4C">
        <w:tab/>
      </w:r>
      <w:r w:rsidRPr="000C54E5">
        <w:t>предложил</w:t>
      </w:r>
      <w:r w:rsidR="0069374B">
        <w:t xml:space="preserve"> </w:t>
      </w:r>
      <w:r w:rsidRPr="000C54E5">
        <w:t>странам и организациям пропагандировать</w:t>
      </w:r>
      <w:r w:rsidR="0069374B">
        <w:t xml:space="preserve"> </w:t>
      </w:r>
      <w:r w:rsidRPr="000C54E5">
        <w:t>в надлежащих случаях БАКА и БИЗ-Э на соответствующих национальных и международных совещаниях и мероприятиях с целью усиления потенциала этих инициатив и эффекта от них, в частности потому, что они обеспечили практическую поддержку деятельности по</w:t>
      </w:r>
      <w:r w:rsidR="0069374B">
        <w:t xml:space="preserve"> </w:t>
      </w:r>
      <w:r w:rsidRPr="000C54E5">
        <w:t>достижению соответствующих целей в области устойчивого развития.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VI.</w:t>
      </w:r>
      <w:r>
        <w:tab/>
      </w:r>
      <w:r w:rsidR="000C54E5" w:rsidRPr="000C54E5">
        <w:t>Экологические мониторинг, оценка и отчетность</w:t>
      </w:r>
    </w:p>
    <w:p w:rsidR="000C54E5" w:rsidRPr="000C54E5" w:rsidRDefault="00F97B4C" w:rsidP="000C54E5">
      <w:pPr>
        <w:pStyle w:val="SingleTxtGR"/>
      </w:pPr>
      <w:r>
        <w:t>29.</w:t>
      </w:r>
      <w:r>
        <w:tab/>
        <w:t xml:space="preserve">Представитель Отдела </w:t>
      </w:r>
      <w:r w:rsidR="000C54E5" w:rsidRPr="000C54E5">
        <w:t>окружающей</w:t>
      </w:r>
      <w:r w:rsidR="00E26411">
        <w:t xml:space="preserve"> </w:t>
      </w:r>
      <w:r w:rsidR="000C54E5" w:rsidRPr="000C54E5">
        <w:t>среды</w:t>
      </w:r>
      <w:r w:rsidR="00E26411">
        <w:t xml:space="preserve"> </w:t>
      </w:r>
      <w:r w:rsidR="000C54E5" w:rsidRPr="000C54E5">
        <w:t>представил</w:t>
      </w:r>
      <w:r w:rsidR="00E26411">
        <w:t xml:space="preserve"> </w:t>
      </w:r>
      <w:r w:rsidR="000C54E5" w:rsidRPr="000C54E5">
        <w:t>информацию</w:t>
      </w:r>
      <w:r w:rsidR="00E26411">
        <w:t xml:space="preserve"> </w:t>
      </w:r>
      <w:r w:rsidR="000C54E5" w:rsidRPr="000C54E5">
        <w:t>о</w:t>
      </w:r>
      <w:r w:rsidR="00E26411">
        <w:t xml:space="preserve"> </w:t>
      </w:r>
      <w:r w:rsidR="000C54E5" w:rsidRPr="000C54E5">
        <w:t>прогрессе,</w:t>
      </w:r>
      <w:r w:rsidR="00E26411">
        <w:t xml:space="preserve"> </w:t>
      </w:r>
      <w:r w:rsidR="000C54E5" w:rsidRPr="000C54E5">
        <w:t>достигнутом</w:t>
      </w:r>
      <w:r w:rsidR="00E26411">
        <w:t xml:space="preserve"> </w:t>
      </w:r>
      <w:r w:rsidR="000C54E5" w:rsidRPr="000C54E5">
        <w:t>Рабочей</w:t>
      </w:r>
      <w:r w:rsidR="00E26411">
        <w:t xml:space="preserve"> </w:t>
      </w:r>
      <w:r w:rsidR="000C54E5" w:rsidRPr="000C54E5">
        <w:t>группой</w:t>
      </w:r>
      <w:r w:rsidR="00E26411">
        <w:t xml:space="preserve"> </w:t>
      </w:r>
      <w:r w:rsidR="000C54E5" w:rsidRPr="000C54E5">
        <w:t>по</w:t>
      </w:r>
      <w:r w:rsidR="00E26411">
        <w:t xml:space="preserve"> </w:t>
      </w:r>
      <w:r w:rsidR="000C54E5" w:rsidRPr="000C54E5">
        <w:t>мониторингу</w:t>
      </w:r>
      <w:r w:rsidR="00E26411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оценке</w:t>
      </w:r>
      <w:r w:rsidR="00E26411">
        <w:t xml:space="preserve"> </w:t>
      </w:r>
      <w:r w:rsidR="000C54E5" w:rsidRPr="000C54E5">
        <w:t>окружающей</w:t>
      </w:r>
      <w:r w:rsidR="00E26411">
        <w:t xml:space="preserve"> </w:t>
      </w:r>
      <w:r w:rsidR="000C54E5" w:rsidRPr="000C54E5">
        <w:t>среды</w:t>
      </w:r>
      <w:r w:rsidR="00E26411">
        <w:t xml:space="preserve"> </w:t>
      </w:r>
      <w:r w:rsidR="000C54E5" w:rsidRPr="000C54E5">
        <w:t>в</w:t>
      </w:r>
      <w:r w:rsidR="00E26411">
        <w:t xml:space="preserve"> </w:t>
      </w:r>
      <w:r w:rsidR="000C54E5" w:rsidRPr="000C54E5">
        <w:t>период</w:t>
      </w:r>
      <w:r w:rsidR="00E26411">
        <w:t xml:space="preserve"> </w:t>
      </w:r>
      <w:r w:rsidR="000C54E5" w:rsidRPr="000C54E5">
        <w:t>после</w:t>
      </w:r>
      <w:r w:rsidR="0069374B">
        <w:t xml:space="preserve"> </w:t>
      </w:r>
      <w:r w:rsidR="000C54E5" w:rsidRPr="000C54E5">
        <w:t>последней ежегодной</w:t>
      </w:r>
      <w:r w:rsidR="00E26411">
        <w:t xml:space="preserve"> </w:t>
      </w:r>
      <w:r w:rsidR="000C54E5" w:rsidRPr="000C54E5">
        <w:t>сессии</w:t>
      </w:r>
      <w:r w:rsidR="00E26411">
        <w:t xml:space="preserve"> </w:t>
      </w:r>
      <w:r w:rsidR="000C54E5" w:rsidRPr="000C54E5">
        <w:t>Комитета</w:t>
      </w:r>
      <w:r w:rsidR="00E26411">
        <w:t xml:space="preserve"> </w:t>
      </w:r>
      <w:r w:rsidR="000C54E5" w:rsidRPr="000C54E5">
        <w:t>в</w:t>
      </w:r>
      <w:r w:rsidR="00E26411">
        <w:t xml:space="preserve"> </w:t>
      </w:r>
      <w:r w:rsidR="000C54E5" w:rsidRPr="000C54E5">
        <w:t>октябре</w:t>
      </w:r>
      <w:r w:rsidR="00E26411">
        <w:t xml:space="preserve"> </w:t>
      </w:r>
      <w:r w:rsidR="000C54E5" w:rsidRPr="000C54E5">
        <w:t>2015 года</w:t>
      </w:r>
      <w:r w:rsidR="0069374B">
        <w:t xml:space="preserve"> </w:t>
      </w:r>
      <w:r w:rsidR="000C54E5" w:rsidRPr="000C54E5">
        <w:t>(см. ЕСЕ/СЕР/2017/3).</w:t>
      </w:r>
      <w:r w:rsidR="00E26411">
        <w:t xml:space="preserve"> </w:t>
      </w:r>
      <w:r w:rsidR="000C54E5" w:rsidRPr="000C54E5">
        <w:t>Заместитель</w:t>
      </w:r>
      <w:r w:rsidR="00E26411">
        <w:t xml:space="preserve"> </w:t>
      </w:r>
      <w:r w:rsidR="000C54E5" w:rsidRPr="000C54E5">
        <w:t>Председателя</w:t>
      </w:r>
      <w:r w:rsidR="00E26411">
        <w:t xml:space="preserve"> </w:t>
      </w:r>
      <w:r w:rsidR="000C54E5" w:rsidRPr="000C54E5">
        <w:t>Рабочей</w:t>
      </w:r>
      <w:r w:rsidR="00E26411">
        <w:t xml:space="preserve"> </w:t>
      </w:r>
      <w:r w:rsidR="000C54E5" w:rsidRPr="000C54E5">
        <w:t>группы</w:t>
      </w:r>
      <w:r w:rsidR="00E26411">
        <w:t xml:space="preserve"> </w:t>
      </w:r>
      <w:r w:rsidR="000C54E5" w:rsidRPr="000C54E5">
        <w:t>представил</w:t>
      </w:r>
      <w:r w:rsidR="00E26411">
        <w:t xml:space="preserve"> </w:t>
      </w:r>
      <w:r w:rsidR="000C54E5" w:rsidRPr="000C54E5">
        <w:t>обновл</w:t>
      </w:r>
      <w:r w:rsidR="00AD7450">
        <w:t>е</w:t>
      </w:r>
      <w:r w:rsidR="000C54E5" w:rsidRPr="000C54E5">
        <w:t>нный</w:t>
      </w:r>
      <w:r w:rsidR="00E26411">
        <w:t xml:space="preserve"> </w:t>
      </w:r>
      <w:r w:rsidR="000C54E5" w:rsidRPr="000C54E5">
        <w:t>круг</w:t>
      </w:r>
      <w:r w:rsidR="00E26411">
        <w:t xml:space="preserve"> </w:t>
      </w:r>
      <w:r w:rsidR="000C54E5" w:rsidRPr="000C54E5">
        <w:t>ведения</w:t>
      </w:r>
      <w:r w:rsidR="00E26411">
        <w:t xml:space="preserve"> </w:t>
      </w:r>
      <w:r w:rsidR="000C54E5" w:rsidRPr="000C54E5">
        <w:t>Рабочей</w:t>
      </w:r>
      <w:r w:rsidR="00E26411">
        <w:t xml:space="preserve"> </w:t>
      </w:r>
      <w:r w:rsidR="000C54E5" w:rsidRPr="000C54E5">
        <w:t>группы</w:t>
      </w:r>
      <w:r w:rsidR="00E26411">
        <w:t xml:space="preserve"> </w:t>
      </w:r>
      <w:r w:rsidR="000C54E5" w:rsidRPr="000C54E5">
        <w:t>(там же, приложение),</w:t>
      </w:r>
      <w:r w:rsidR="00E26411">
        <w:t xml:space="preserve"> </w:t>
      </w:r>
      <w:r w:rsidR="000C54E5" w:rsidRPr="000C54E5">
        <w:t>который</w:t>
      </w:r>
      <w:r w:rsidR="00E26411" w:rsidRPr="00E26411">
        <w:t xml:space="preserve"> </w:t>
      </w:r>
      <w:r w:rsidR="000C54E5" w:rsidRPr="000C54E5">
        <w:t>был</w:t>
      </w:r>
      <w:r w:rsidR="00E26411">
        <w:t xml:space="preserve"> </w:t>
      </w:r>
      <w:r w:rsidR="000C54E5" w:rsidRPr="000C54E5">
        <w:t>подготовлен</w:t>
      </w:r>
      <w:r w:rsidR="00E26411">
        <w:t xml:space="preserve"> </w:t>
      </w:r>
      <w:r w:rsidR="000C54E5" w:rsidRPr="000C54E5">
        <w:t>с</w:t>
      </w:r>
      <w:r w:rsidR="00E26411">
        <w:t xml:space="preserve"> </w:t>
      </w:r>
      <w:r w:rsidR="000C54E5" w:rsidRPr="000C54E5">
        <w:t>уч</w:t>
      </w:r>
      <w:r w:rsidR="00AD7450">
        <w:t>е</w:t>
      </w:r>
      <w:r w:rsidR="000C54E5" w:rsidRPr="000C54E5">
        <w:t>том</w:t>
      </w:r>
      <w:r w:rsidR="00E26411">
        <w:t xml:space="preserve"> </w:t>
      </w:r>
      <w:r w:rsidR="000C54E5" w:rsidRPr="000C54E5">
        <w:t>замечаний,</w:t>
      </w:r>
      <w:r w:rsidR="00E26411">
        <w:t xml:space="preserve"> </w:t>
      </w:r>
      <w:r w:rsidR="000C54E5" w:rsidRPr="000C54E5">
        <w:t>высказанных</w:t>
      </w:r>
      <w:r w:rsidR="00E26411">
        <w:t xml:space="preserve"> </w:t>
      </w:r>
      <w:r w:rsidR="000C54E5" w:rsidRPr="000C54E5">
        <w:t>Комитетом</w:t>
      </w:r>
      <w:r w:rsidR="00E26411">
        <w:t xml:space="preserve"> </w:t>
      </w:r>
      <w:r w:rsidR="000C54E5" w:rsidRPr="000C54E5">
        <w:t>на</w:t>
      </w:r>
      <w:r w:rsidR="00E26411">
        <w:t xml:space="preserve"> </w:t>
      </w:r>
      <w:r w:rsidR="000C54E5" w:rsidRPr="000C54E5">
        <w:t>его</w:t>
      </w:r>
      <w:r w:rsidR="00E26411">
        <w:t xml:space="preserve"> </w:t>
      </w:r>
      <w:r w:rsidR="000C54E5" w:rsidRPr="000C54E5">
        <w:t>сессии</w:t>
      </w:r>
      <w:r w:rsidR="00E26411">
        <w:t xml:space="preserve"> </w:t>
      </w:r>
      <w:r w:rsidR="000C54E5" w:rsidRPr="000C54E5">
        <w:t>в</w:t>
      </w:r>
      <w:r w:rsidR="00E26411">
        <w:t xml:space="preserve"> </w:t>
      </w:r>
      <w:r w:rsidR="000C54E5" w:rsidRPr="000C54E5">
        <w:t>2015 году,</w:t>
      </w:r>
      <w:r w:rsidR="00E26411">
        <w:t xml:space="preserve"> </w:t>
      </w:r>
      <w:r w:rsidR="000C54E5" w:rsidRPr="000C54E5">
        <w:t>последующих</w:t>
      </w:r>
      <w:r w:rsidR="00E26411">
        <w:t xml:space="preserve"> </w:t>
      </w:r>
      <w:r w:rsidR="000C54E5" w:rsidRPr="000C54E5">
        <w:t>консультаций</w:t>
      </w:r>
      <w:r w:rsidR="00E26411">
        <w:t xml:space="preserve"> </w:t>
      </w:r>
      <w:r w:rsidR="000C54E5" w:rsidRPr="000C54E5">
        <w:t>с</w:t>
      </w:r>
      <w:r w:rsidR="00E26411">
        <w:t xml:space="preserve"> </w:t>
      </w:r>
      <w:r w:rsidR="000C54E5" w:rsidRPr="000C54E5">
        <w:t>государствами-членами</w:t>
      </w:r>
      <w:r w:rsidR="00E26411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организациями</w:t>
      </w:r>
      <w:r w:rsidR="00E26411">
        <w:t xml:space="preserve"> </w:t>
      </w:r>
      <w:r w:rsidR="000C54E5" w:rsidRPr="000C54E5">
        <w:t>и соответствующих</w:t>
      </w:r>
      <w:r w:rsidR="00E26411">
        <w:t xml:space="preserve"> </w:t>
      </w:r>
      <w:r w:rsidR="000C54E5" w:rsidRPr="000C54E5">
        <w:t>итогов</w:t>
      </w:r>
      <w:r w:rsidR="00E26411">
        <w:t xml:space="preserve"> </w:t>
      </w:r>
      <w:r w:rsidR="000C54E5" w:rsidRPr="000C54E5">
        <w:t>Батумской</w:t>
      </w:r>
      <w:r w:rsidR="00E26411">
        <w:t xml:space="preserve"> </w:t>
      </w:r>
      <w:r w:rsidR="000C54E5" w:rsidRPr="000C54E5">
        <w:t>конференции.</w:t>
      </w:r>
      <w:r w:rsidR="00E26411">
        <w:t xml:space="preserve"> </w:t>
      </w:r>
      <w:r w:rsidR="000C54E5" w:rsidRPr="000C54E5">
        <w:t>Далее</w:t>
      </w:r>
      <w:r w:rsidR="00E26411">
        <w:t xml:space="preserve"> </w:t>
      </w:r>
      <w:r w:rsidR="000C54E5" w:rsidRPr="000C54E5">
        <w:t>секретариат</w:t>
      </w:r>
      <w:r w:rsidR="00E26411">
        <w:t xml:space="preserve"> </w:t>
      </w:r>
      <w:r w:rsidR="000C54E5" w:rsidRPr="000C54E5">
        <w:t>проинформировал</w:t>
      </w:r>
      <w:r w:rsidR="00E26411">
        <w:t xml:space="preserve"> </w:t>
      </w:r>
      <w:r w:rsidR="000C54E5" w:rsidRPr="000C54E5">
        <w:t>Комитет</w:t>
      </w:r>
      <w:r w:rsidR="00E26411">
        <w:t xml:space="preserve"> </w:t>
      </w:r>
      <w:r w:rsidR="000C54E5" w:rsidRPr="000C54E5">
        <w:t>об</w:t>
      </w:r>
      <w:r w:rsidR="00E26411">
        <w:t xml:space="preserve"> </w:t>
      </w:r>
      <w:r w:rsidR="000C54E5" w:rsidRPr="000C54E5">
        <w:t>основных</w:t>
      </w:r>
      <w:r w:rsidR="00E26411">
        <w:t xml:space="preserve"> </w:t>
      </w:r>
      <w:r w:rsidR="000C54E5" w:rsidRPr="000C54E5">
        <w:t>итогах</w:t>
      </w:r>
      <w:r w:rsidR="00E26411">
        <w:t xml:space="preserve"> </w:t>
      </w:r>
      <w:r w:rsidR="000C54E5" w:rsidRPr="000C54E5">
        <w:t>работы</w:t>
      </w:r>
      <w:r w:rsidR="00E26411">
        <w:t xml:space="preserve"> </w:t>
      </w:r>
      <w:r w:rsidR="000C54E5" w:rsidRPr="000C54E5">
        <w:t>Совместной</w:t>
      </w:r>
      <w:r w:rsidR="00E26411">
        <w:t xml:space="preserve"> </w:t>
      </w:r>
      <w:r w:rsidR="000C54E5" w:rsidRPr="000C54E5">
        <w:t>целевой</w:t>
      </w:r>
      <w:r w:rsidR="00E26411">
        <w:t xml:space="preserve"> </w:t>
      </w:r>
      <w:r w:rsidR="000C54E5" w:rsidRPr="000C54E5">
        <w:t>группы</w:t>
      </w:r>
      <w:r w:rsidR="00E26411">
        <w:t xml:space="preserve"> </w:t>
      </w:r>
      <w:r w:rsidR="000C54E5" w:rsidRPr="000C54E5">
        <w:t>по</w:t>
      </w:r>
      <w:r w:rsidR="00E26411">
        <w:t xml:space="preserve"> </w:t>
      </w:r>
      <w:r w:rsidR="000C54E5" w:rsidRPr="000C54E5">
        <w:t>экологической</w:t>
      </w:r>
      <w:r w:rsidR="00E26411">
        <w:t xml:space="preserve"> </w:t>
      </w:r>
      <w:r w:rsidR="000C54E5" w:rsidRPr="000C54E5">
        <w:t>статистике</w:t>
      </w:r>
      <w:r w:rsidR="00E26411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показателям</w:t>
      </w:r>
      <w:r w:rsidR="000C54E5" w:rsidRPr="0069374B">
        <w:rPr>
          <w:sz w:val="18"/>
          <w:vertAlign w:val="superscript"/>
        </w:rPr>
        <w:footnoteReference w:id="3"/>
      </w:r>
      <w:r w:rsidR="000C54E5" w:rsidRPr="000C54E5">
        <w:t>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30.</w:t>
      </w:r>
      <w:r w:rsidRPr="000C54E5">
        <w:tab/>
        <w:t>Представитель</w:t>
      </w:r>
      <w:r w:rsidR="0069374B">
        <w:t xml:space="preserve"> </w:t>
      </w:r>
      <w:r w:rsidRPr="000C54E5">
        <w:t>Группы по наблюдениям за Землей при ВМО представил</w:t>
      </w:r>
      <w:r w:rsidR="00E26411">
        <w:t xml:space="preserve"> </w:t>
      </w:r>
      <w:r w:rsidRPr="000C54E5">
        <w:t>информации</w:t>
      </w:r>
      <w:r w:rsidR="00E26411">
        <w:t xml:space="preserve"> </w:t>
      </w:r>
      <w:r w:rsidRPr="000C54E5">
        <w:t>об</w:t>
      </w:r>
      <w:r w:rsidR="00E26411">
        <w:t xml:space="preserve"> </w:t>
      </w:r>
      <w:r w:rsidRPr="000C54E5">
        <w:t>основных</w:t>
      </w:r>
      <w:r w:rsidR="00E26411">
        <w:t xml:space="preserve"> </w:t>
      </w:r>
      <w:r w:rsidRPr="000C54E5">
        <w:t>направлениях</w:t>
      </w:r>
      <w:r w:rsidR="00E26411">
        <w:t xml:space="preserve"> </w:t>
      </w:r>
      <w:r w:rsidRPr="000C54E5">
        <w:t>деятельности</w:t>
      </w:r>
      <w:r w:rsidR="00E26411">
        <w:t xml:space="preserve"> </w:t>
      </w:r>
      <w:r w:rsidRPr="000C54E5">
        <w:t>Группы,</w:t>
      </w:r>
      <w:r w:rsidR="00E26411">
        <w:t xml:space="preserve"> </w:t>
      </w:r>
      <w:r w:rsidRPr="000C54E5">
        <w:t>которая</w:t>
      </w:r>
      <w:r w:rsidR="00E26411">
        <w:t xml:space="preserve"> </w:t>
      </w:r>
      <w:r w:rsidRPr="000C54E5">
        <w:t>направлена на поддержку</w:t>
      </w:r>
      <w:r w:rsidR="00E26411">
        <w:t xml:space="preserve"> </w:t>
      </w:r>
      <w:r w:rsidRPr="000C54E5">
        <w:t>решений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действий</w:t>
      </w:r>
      <w:r w:rsidR="00E26411">
        <w:t xml:space="preserve"> </w:t>
      </w:r>
      <w:r w:rsidRPr="000C54E5">
        <w:t>с</w:t>
      </w:r>
      <w:r w:rsidR="00E26411">
        <w:t xml:space="preserve"> </w:t>
      </w:r>
      <w:r w:rsidRPr="000C54E5">
        <w:t>помощью</w:t>
      </w:r>
      <w:r w:rsidR="00E26411">
        <w:t xml:space="preserve"> </w:t>
      </w:r>
      <w:r w:rsidRPr="000C54E5">
        <w:t>информации,</w:t>
      </w:r>
      <w:r w:rsidR="00E26411">
        <w:t xml:space="preserve"> </w:t>
      </w:r>
      <w:r w:rsidRPr="000C54E5">
        <w:t>полученной</w:t>
      </w:r>
      <w:r w:rsidR="00E26411">
        <w:t xml:space="preserve"> </w:t>
      </w:r>
      <w:r w:rsidRPr="000C54E5">
        <w:t>в</w:t>
      </w:r>
      <w:r w:rsidR="00E26411">
        <w:t xml:space="preserve"> </w:t>
      </w:r>
      <w:r w:rsidRPr="000C54E5">
        <w:t>результате</w:t>
      </w:r>
      <w:r w:rsidR="00E26411">
        <w:t xml:space="preserve"> </w:t>
      </w:r>
      <w:r w:rsidRPr="000C54E5">
        <w:t>согласованных,</w:t>
      </w:r>
      <w:r w:rsidR="00E26411">
        <w:t xml:space="preserve"> </w:t>
      </w:r>
      <w:r w:rsidRPr="000C54E5">
        <w:t>всеобъемлющих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постоянных</w:t>
      </w:r>
      <w:r w:rsidR="00E26411">
        <w:t xml:space="preserve"> </w:t>
      </w:r>
      <w:r w:rsidRPr="000C54E5">
        <w:t>наблюдений</w:t>
      </w:r>
      <w:r w:rsidR="00E26411">
        <w:t xml:space="preserve"> </w:t>
      </w:r>
      <w:r w:rsidRPr="000C54E5">
        <w:t>за</w:t>
      </w:r>
      <w:r w:rsidR="00E26411">
        <w:t xml:space="preserve"> </w:t>
      </w:r>
      <w:r w:rsidRPr="000C54E5">
        <w:t>Земл</w:t>
      </w:r>
      <w:r w:rsidR="00AD7450">
        <w:t>е</w:t>
      </w:r>
      <w:r w:rsidRPr="000C54E5">
        <w:t>й</w:t>
      </w:r>
      <w:r w:rsidRPr="0069374B">
        <w:rPr>
          <w:sz w:val="18"/>
          <w:vertAlign w:val="superscript"/>
        </w:rPr>
        <w:footnoteReference w:id="4"/>
      </w:r>
      <w:r w:rsidRPr="000C54E5">
        <w:t>.</w:t>
      </w:r>
      <w:r w:rsidR="00E26411">
        <w:t xml:space="preserve"> </w:t>
      </w:r>
    </w:p>
    <w:p w:rsidR="000C54E5" w:rsidRPr="000C54E5" w:rsidRDefault="000C54E5" w:rsidP="000C54E5">
      <w:pPr>
        <w:pStyle w:val="SingleTxtGR"/>
      </w:pPr>
      <w:r w:rsidRPr="000C54E5">
        <w:t>31.</w:t>
      </w:r>
      <w:r w:rsidRPr="000C54E5">
        <w:tab/>
        <w:t>Представитель Отдела статистики ЕЭК сообщил о деятельности этого отдела, связанной с окружающей средой, и представил информацию</w:t>
      </w:r>
      <w:r w:rsidR="0069374B">
        <w:t xml:space="preserve"> </w:t>
      </w:r>
      <w:r w:rsidRPr="000C54E5">
        <w:t>об изменениях, касающихся Системы эколого-экономического учета, в частности</w:t>
      </w:r>
      <w:r w:rsidR="0069374B">
        <w:t xml:space="preserve"> </w:t>
      </w:r>
      <w:r w:rsidRPr="000C54E5">
        <w:t>о совместном семинаре ОЭСР и ЕЭК по вопросу внедрения этой системы, который был</w:t>
      </w:r>
      <w:r w:rsidR="0069374B">
        <w:t xml:space="preserve"> </w:t>
      </w:r>
      <w:r w:rsidRPr="000C54E5">
        <w:t>организован</w:t>
      </w:r>
      <w:r w:rsidR="0069374B">
        <w:t xml:space="preserve"> </w:t>
      </w:r>
      <w:r w:rsidRPr="000C54E5">
        <w:t>в октябре 2016 года.</w:t>
      </w:r>
    </w:p>
    <w:p w:rsidR="000C54E5" w:rsidRPr="000C54E5" w:rsidRDefault="009B1E1F" w:rsidP="000C54E5">
      <w:pPr>
        <w:pStyle w:val="SingleTxtGR"/>
      </w:pPr>
      <w:r>
        <w:t>32.</w:t>
      </w:r>
      <w:r w:rsidR="000C54E5" w:rsidRPr="000C54E5">
        <w:tab/>
        <w:t xml:space="preserve">Комитет высоко оценил работу </w:t>
      </w:r>
      <w:bookmarkStart w:id="1" w:name="_Hlk483144881"/>
      <w:r w:rsidR="000C54E5" w:rsidRPr="000C54E5">
        <w:t>Рабочей группы по мониторингу и оценке окружающей сред</w:t>
      </w:r>
      <w:bookmarkEnd w:id="1"/>
      <w:r w:rsidR="000C54E5" w:rsidRPr="000C54E5">
        <w:t>ы. Он принял пересмотренный мандат и круг ведения Рабочей группы на 2017</w:t>
      </w:r>
      <w:r w:rsidR="00E26411" w:rsidRPr="00E26411">
        <w:t>–</w:t>
      </w:r>
      <w:r w:rsidR="000C54E5" w:rsidRPr="000C54E5">
        <w:t>2021 годы и просил</w:t>
      </w:r>
      <w:r w:rsidR="0069374B">
        <w:t xml:space="preserve"> </w:t>
      </w:r>
      <w:r w:rsidR="000C54E5" w:rsidRPr="000C54E5">
        <w:t>секретариат представить обновленный мандат на утверждение Исполнительного комитета ЕЭК. Кроме того, Комитет: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E26411">
        <w:tab/>
      </w:r>
      <w:r w:rsidRPr="000C54E5">
        <w:t>предложил государствам</w:t>
      </w:r>
      <w:r w:rsidR="00E26411" w:rsidRPr="00E26411">
        <w:t xml:space="preserve"> – </w:t>
      </w:r>
      <w:r w:rsidRPr="000C54E5">
        <w:t>членам ЕЭК и соответствующим организациям принять активное участие в мероприятиях и совещаниях Рабочей группы и приветствовал</w:t>
      </w:r>
      <w:r w:rsidR="0069374B">
        <w:t xml:space="preserve"> </w:t>
      </w:r>
      <w:r w:rsidRPr="000C54E5">
        <w:t>идею организации рабочего совещания в середине 2017 года с участием соответствующих субъектов из региона;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E26411">
        <w:tab/>
      </w:r>
      <w:r w:rsidRPr="000C54E5">
        <w:t>просил</w:t>
      </w:r>
      <w:r w:rsidR="0069374B">
        <w:t xml:space="preserve"> </w:t>
      </w:r>
      <w:r w:rsidRPr="000C54E5">
        <w:t>Рабочую группу принимать во внимание имеющиеся финансовые и людские ресурс</w:t>
      </w:r>
      <w:r w:rsidR="00937737">
        <w:t>ы</w:t>
      </w:r>
      <w:r w:rsidRPr="000C54E5">
        <w:t xml:space="preserve"> при разработке его</w:t>
      </w:r>
      <w:r w:rsidR="0069374B">
        <w:t xml:space="preserve"> </w:t>
      </w:r>
      <w:r w:rsidRPr="000C54E5">
        <w:t>подробных годовых планов деятельности, а также подготовить более подробное общее описание деятельности в период до 2021 года;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E26411">
        <w:tab/>
      </w:r>
      <w:r w:rsidRPr="000C54E5">
        <w:t xml:space="preserve">просил включить новый круг ведения </w:t>
      </w:r>
      <w:bookmarkStart w:id="2" w:name="_Hlk483145267"/>
      <w:r w:rsidRPr="000C54E5">
        <w:t xml:space="preserve">Рабочей группы по мониторингу и оценке окружающей среды </w:t>
      </w:r>
      <w:bookmarkEnd w:id="2"/>
      <w:r w:rsidRPr="000C54E5">
        <w:t>в приложение к докладу о работе двадцать второй сессии Комитета (см. приложение II).</w:t>
      </w:r>
    </w:p>
    <w:p w:rsidR="000C54E5" w:rsidRPr="000C54E5" w:rsidRDefault="000C54E5" w:rsidP="000C54E5">
      <w:pPr>
        <w:pStyle w:val="SingleTxtGR"/>
      </w:pPr>
      <w:r w:rsidRPr="000C54E5">
        <w:t>33.</w:t>
      </w:r>
      <w:r w:rsidRPr="000C54E5">
        <w:tab/>
        <w:t xml:space="preserve"> Кроме того, Комитет высоко оценил работу Совместной целевой группы по экологической статистике и показателям. Он приветствовал предоставленную информацию о работе Группы по наблюдениям за Землей и использовании геопространственной экологической информации, а также информацию об изменениях в</w:t>
      </w:r>
      <w:r w:rsidR="0069374B">
        <w:t xml:space="preserve"> </w:t>
      </w:r>
      <w:r w:rsidRPr="000C54E5">
        <w:t>рамках Системы эколого-экономического учета. Кроме того, Комитет позитивно оценил тесное сотрудничество с</w:t>
      </w:r>
      <w:r w:rsidR="0069374B">
        <w:t xml:space="preserve"> </w:t>
      </w:r>
      <w:r w:rsidRPr="000C54E5">
        <w:t>Отделом статистики ЕЭК и его вклад в деятельность Рабочей группы по мониторингу и оценке окружающей среды и Совместной целевой группы по экологической статистике и показателям.</w:t>
      </w:r>
    </w:p>
    <w:p w:rsidR="000C54E5" w:rsidRPr="000C54E5" w:rsidRDefault="000C54E5" w:rsidP="000C54E5">
      <w:pPr>
        <w:pStyle w:val="SingleTxtGR"/>
      </w:pPr>
      <w:r w:rsidRPr="000C54E5">
        <w:t>34.</w:t>
      </w:r>
      <w:r w:rsidRPr="000C54E5">
        <w:tab/>
        <w:t xml:space="preserve"> Комитет далее высоко оценил лидерство Российской Федерации в Программе ЕЭК по мониторингу и оценке окружающей среды. Он предложил государствам-членам и организациям предоставлять для Программы по мониторингу и оценке окружающей среды поддержку в натуральной и финансовой форме. Комитет поблагодарил Европейский союз, Норвегию, Российскую Федерацию и Швейцарию за их финансовую поддержку, а</w:t>
      </w:r>
      <w:r w:rsidR="0069374B">
        <w:t xml:space="preserve"> </w:t>
      </w:r>
      <w:r w:rsidRPr="000C54E5">
        <w:t xml:space="preserve">ЮНЕП, Европейское агентство по окружающей среде и ОЭСР </w:t>
      </w:r>
      <w:r w:rsidR="00091A7B">
        <w:t>–</w:t>
      </w:r>
      <w:r w:rsidRPr="000C54E5">
        <w:t xml:space="preserve"> за</w:t>
      </w:r>
      <w:r w:rsidR="0069374B">
        <w:t xml:space="preserve"> </w:t>
      </w:r>
      <w:r w:rsidRPr="000C54E5">
        <w:t>поддержку Программы в вопросах существа.</w:t>
      </w:r>
    </w:p>
    <w:p w:rsidR="000C54E5" w:rsidRPr="000C54E5" w:rsidRDefault="00B166E7" w:rsidP="00B166E7">
      <w:pPr>
        <w:pStyle w:val="HChGR"/>
      </w:pPr>
      <w:r>
        <w:tab/>
      </w:r>
      <w:r w:rsidR="000C54E5" w:rsidRPr="000C54E5">
        <w:t>VII.</w:t>
      </w:r>
      <w:r>
        <w:tab/>
      </w:r>
      <w:r w:rsidR="000C54E5" w:rsidRPr="000C54E5">
        <w:t>Обзоры результативности экологической деятельности</w:t>
      </w:r>
    </w:p>
    <w:p w:rsidR="000C54E5" w:rsidRPr="000C54E5" w:rsidRDefault="00051A2B" w:rsidP="000C54E5">
      <w:pPr>
        <w:pStyle w:val="SingleTxtGR"/>
      </w:pPr>
      <w:r>
        <w:t>35.</w:t>
      </w:r>
      <w:r w:rsidR="000C54E5" w:rsidRPr="000C54E5">
        <w:tab/>
        <w:t xml:space="preserve">Секретарь Группы экспертов по обзорам результативности экологической деятельности представил обзор деятельности, осуществлявшейся в 2016 </w:t>
      </w:r>
      <w:bookmarkStart w:id="3" w:name="_Hlk483152531"/>
      <w:r w:rsidR="000C54E5" w:rsidRPr="000C54E5">
        <w:t>году</w:t>
      </w:r>
      <w:bookmarkEnd w:id="3"/>
      <w:r w:rsidR="000C54E5" w:rsidRPr="000C54E5">
        <w:t>. В</w:t>
      </w:r>
      <w:r w:rsidR="00E26411">
        <w:rPr>
          <w:lang w:val="en-US"/>
        </w:rPr>
        <w:t> </w:t>
      </w:r>
      <w:r w:rsidR="000C54E5" w:rsidRPr="000C54E5">
        <w:t>июне</w:t>
      </w:r>
      <w:r w:rsidR="00E26411">
        <w:t xml:space="preserve"> </w:t>
      </w:r>
      <w:r w:rsidR="000C54E5" w:rsidRPr="000C54E5">
        <w:t>2016 года в</w:t>
      </w:r>
      <w:r w:rsidR="00E26411">
        <w:t xml:space="preserve"> </w:t>
      </w:r>
      <w:r w:rsidR="000C54E5" w:rsidRPr="000C54E5">
        <w:t>Минске</w:t>
      </w:r>
      <w:r w:rsidR="00E26411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Батуми соответственно</w:t>
      </w:r>
      <w:r w:rsidR="00E26411">
        <w:t xml:space="preserve"> </w:t>
      </w:r>
      <w:r w:rsidR="000C54E5" w:rsidRPr="000C54E5">
        <w:t>были</w:t>
      </w:r>
      <w:r w:rsidR="00E26411">
        <w:t xml:space="preserve"> </w:t>
      </w:r>
      <w:r w:rsidR="000C54E5" w:rsidRPr="000C54E5">
        <w:t>опубликованы</w:t>
      </w:r>
      <w:r w:rsidR="00E26411">
        <w:t xml:space="preserve"> </w:t>
      </w:r>
      <w:r w:rsidR="000C54E5" w:rsidRPr="000C54E5">
        <w:t>и презентованы</w:t>
      </w:r>
      <w:r w:rsidR="00E26411">
        <w:t xml:space="preserve"> </w:t>
      </w:r>
      <w:r w:rsidR="000C54E5" w:rsidRPr="000C54E5">
        <w:t>третьи</w:t>
      </w:r>
      <w:r w:rsidR="00E26411">
        <w:t xml:space="preserve"> </w:t>
      </w:r>
      <w:r w:rsidR="000C54E5" w:rsidRPr="000C54E5">
        <w:t>обзоры</w:t>
      </w:r>
      <w:r w:rsidR="00E26411">
        <w:t xml:space="preserve"> </w:t>
      </w:r>
      <w:r w:rsidR="000C54E5" w:rsidRPr="000C54E5">
        <w:t>результативности</w:t>
      </w:r>
      <w:r w:rsidR="00E26411">
        <w:t xml:space="preserve"> </w:t>
      </w:r>
      <w:r w:rsidR="000C54E5" w:rsidRPr="000C54E5">
        <w:t>экологической</w:t>
      </w:r>
      <w:r w:rsidR="00E26411">
        <w:t xml:space="preserve"> </w:t>
      </w:r>
      <w:r w:rsidR="000C54E5" w:rsidRPr="000C54E5">
        <w:t>деятельности</w:t>
      </w:r>
      <w:r w:rsidR="0069374B">
        <w:t xml:space="preserve"> </w:t>
      </w:r>
      <w:r w:rsidR="000C54E5" w:rsidRPr="000C54E5">
        <w:t>Беларуси</w:t>
      </w:r>
      <w:r w:rsidR="00E26411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Грузии. В ноябре 2015 года и</w:t>
      </w:r>
      <w:r w:rsidR="0069374B">
        <w:t xml:space="preserve"> </w:t>
      </w:r>
      <w:r w:rsidR="000C54E5" w:rsidRPr="000C54E5">
        <w:t>апреле 2016 года</w:t>
      </w:r>
      <w:r w:rsidR="0069374B">
        <w:t xml:space="preserve"> </w:t>
      </w:r>
      <w:r w:rsidR="000C54E5" w:rsidRPr="000C54E5">
        <w:t>соответственно были проведены обзорные миссии для подготовки третьих обзоров по</w:t>
      </w:r>
      <w:r w:rsidR="0069374B">
        <w:t xml:space="preserve"> </w:t>
      </w:r>
      <w:r w:rsidR="000C54E5" w:rsidRPr="000C54E5">
        <w:t>Таджикистану и Болгарии. В</w:t>
      </w:r>
      <w:r w:rsidR="00E26411">
        <w:t xml:space="preserve"> </w:t>
      </w:r>
      <w:r w:rsidR="000C54E5" w:rsidRPr="000C54E5">
        <w:t>ходе</w:t>
      </w:r>
      <w:r w:rsidR="00E26411">
        <w:t xml:space="preserve"> </w:t>
      </w:r>
      <w:r w:rsidR="000C54E5" w:rsidRPr="000C54E5">
        <w:t>Батумской</w:t>
      </w:r>
      <w:r w:rsidR="00E26411" w:rsidRPr="00E26411">
        <w:t xml:space="preserve"> </w:t>
      </w:r>
      <w:r w:rsidR="000C54E5" w:rsidRPr="000C54E5">
        <w:t>конференции</w:t>
      </w:r>
      <w:r w:rsidR="00E26411">
        <w:t xml:space="preserve"> </w:t>
      </w:r>
      <w:r w:rsidR="000C54E5" w:rsidRPr="000C54E5">
        <w:t>было</w:t>
      </w:r>
      <w:r w:rsidR="00E26411">
        <w:t xml:space="preserve"> </w:t>
      </w:r>
      <w:r w:rsidR="000C54E5" w:rsidRPr="000C54E5">
        <w:t>отпраздновано</w:t>
      </w:r>
      <w:r w:rsidR="00E26411">
        <w:t xml:space="preserve"> </w:t>
      </w:r>
      <w:r w:rsidR="00091A7B">
        <w:t>20-</w:t>
      </w:r>
      <w:r w:rsidR="000C54E5" w:rsidRPr="000C54E5">
        <w:t>летие</w:t>
      </w:r>
      <w:r w:rsidR="00E26411">
        <w:t xml:space="preserve"> </w:t>
      </w:r>
      <w:r w:rsidR="000C54E5" w:rsidRPr="000C54E5">
        <w:t>успешной</w:t>
      </w:r>
      <w:r w:rsidR="00E26411">
        <w:t xml:space="preserve"> </w:t>
      </w:r>
      <w:r w:rsidR="000C54E5" w:rsidRPr="000C54E5">
        <w:t>работы</w:t>
      </w:r>
      <w:r w:rsidR="00E26411">
        <w:t xml:space="preserve"> </w:t>
      </w:r>
      <w:r w:rsidR="000C54E5" w:rsidRPr="000C54E5">
        <w:t>Программы обзоров</w:t>
      </w:r>
      <w:r w:rsidR="00E26411">
        <w:t xml:space="preserve"> </w:t>
      </w:r>
      <w:r w:rsidR="000C54E5" w:rsidRPr="000C54E5">
        <w:t>результативности</w:t>
      </w:r>
      <w:r w:rsidR="00E26411">
        <w:t xml:space="preserve"> </w:t>
      </w:r>
      <w:r w:rsidR="000C54E5" w:rsidRPr="000C54E5">
        <w:t>экологической деятельности. К</w:t>
      </w:r>
      <w:r w:rsidR="00E26411">
        <w:t xml:space="preserve"> </w:t>
      </w:r>
      <w:r w:rsidR="000C54E5" w:rsidRPr="000C54E5">
        <w:t>Батумской</w:t>
      </w:r>
      <w:r w:rsidR="00E26411">
        <w:t xml:space="preserve"> </w:t>
      </w:r>
      <w:r w:rsidR="000C54E5" w:rsidRPr="000C54E5">
        <w:t>конференции</w:t>
      </w:r>
      <w:r w:rsidR="00E26411">
        <w:t xml:space="preserve"> </w:t>
      </w:r>
      <w:r w:rsidR="000C54E5" w:rsidRPr="000C54E5">
        <w:t>ЕЭК совместно с ЮНЕП подготовила</w:t>
      </w:r>
      <w:r w:rsidR="0069374B">
        <w:t xml:space="preserve"> </w:t>
      </w:r>
      <w:r w:rsidR="000C54E5" w:rsidRPr="000C54E5">
        <w:t>и</w:t>
      </w:r>
      <w:r w:rsidR="00E26411">
        <w:t xml:space="preserve"> </w:t>
      </w:r>
      <w:r w:rsidR="000C54E5" w:rsidRPr="000C54E5">
        <w:t>представила</w:t>
      </w:r>
      <w:r w:rsidR="0069374B">
        <w:t xml:space="preserve"> </w:t>
      </w:r>
      <w:r w:rsidR="000C54E5" w:rsidRPr="000C54E5">
        <w:t>на</w:t>
      </w:r>
      <w:r w:rsidR="00E26411">
        <w:t xml:space="preserve"> </w:t>
      </w:r>
      <w:r w:rsidR="000C54E5" w:rsidRPr="000C54E5">
        <w:t>одном</w:t>
      </w:r>
      <w:r w:rsidR="00E26411">
        <w:t xml:space="preserve"> </w:t>
      </w:r>
      <w:r w:rsidR="000C54E5" w:rsidRPr="000C54E5">
        <w:t>из</w:t>
      </w:r>
      <w:r w:rsidR="00E26411">
        <w:t xml:space="preserve"> </w:t>
      </w:r>
      <w:r w:rsidR="000C54E5" w:rsidRPr="000C54E5">
        <w:t>побочных</w:t>
      </w:r>
      <w:r w:rsidR="00E26411">
        <w:t xml:space="preserve"> </w:t>
      </w:r>
      <w:r w:rsidR="000C54E5" w:rsidRPr="000C54E5">
        <w:t>мероприятий</w:t>
      </w:r>
      <w:r w:rsidR="00E26411">
        <w:t xml:space="preserve"> </w:t>
      </w:r>
      <w:r w:rsidR="000C54E5" w:rsidRPr="000C54E5">
        <w:t>доклад</w:t>
      </w:r>
      <w:r w:rsidR="00E26411">
        <w:t xml:space="preserve"> </w:t>
      </w:r>
      <w:r w:rsidR="000C54E5" w:rsidRPr="000C54E5">
        <w:t>об</w:t>
      </w:r>
      <w:r w:rsidR="00E26411">
        <w:t xml:space="preserve"> </w:t>
      </w:r>
      <w:r w:rsidR="000C54E5" w:rsidRPr="000C54E5">
        <w:t>уроках,</w:t>
      </w:r>
      <w:r w:rsidR="00E26411">
        <w:t xml:space="preserve"> </w:t>
      </w:r>
      <w:r w:rsidR="000C54E5" w:rsidRPr="000C54E5">
        <w:t>извлеч</w:t>
      </w:r>
      <w:r w:rsidR="00AD7450">
        <w:t>е</w:t>
      </w:r>
      <w:r w:rsidR="000C54E5" w:rsidRPr="000C54E5">
        <w:t>нных</w:t>
      </w:r>
      <w:r w:rsidR="00E26411">
        <w:t xml:space="preserve"> </w:t>
      </w:r>
      <w:r w:rsidR="000C54E5" w:rsidRPr="000C54E5">
        <w:t>в</w:t>
      </w:r>
      <w:r w:rsidR="00E26411">
        <w:t xml:space="preserve"> </w:t>
      </w:r>
      <w:r w:rsidR="000C54E5" w:rsidRPr="000C54E5">
        <w:t>интересах</w:t>
      </w:r>
      <w:r w:rsidR="00E26411">
        <w:t xml:space="preserve"> </w:t>
      </w:r>
      <w:r w:rsidR="000C54E5" w:rsidRPr="000C54E5">
        <w:t>достижения</w:t>
      </w:r>
      <w:r w:rsidR="00E26411">
        <w:t xml:space="preserve"> </w:t>
      </w:r>
      <w:r w:rsidR="000C54E5" w:rsidRPr="000C54E5">
        <w:t>целей</w:t>
      </w:r>
      <w:r w:rsidR="00E26411">
        <w:t xml:space="preserve"> </w:t>
      </w:r>
      <w:r w:rsidR="000C54E5" w:rsidRPr="000C54E5">
        <w:t>устойчивого</w:t>
      </w:r>
      <w:r w:rsidR="00E26411">
        <w:t xml:space="preserve"> </w:t>
      </w:r>
      <w:r w:rsidR="000C54E5" w:rsidRPr="000C54E5">
        <w:t>развития,</w:t>
      </w:r>
      <w:r w:rsidR="00E26411">
        <w:t xml:space="preserve"> </w:t>
      </w:r>
      <w:r w:rsidR="000C54E5" w:rsidRPr="000C54E5">
        <w:t>в</w:t>
      </w:r>
      <w:r w:rsidR="00E26411">
        <w:t xml:space="preserve"> </w:t>
      </w:r>
      <w:r w:rsidR="000C54E5" w:rsidRPr="000C54E5">
        <w:t>основе</w:t>
      </w:r>
      <w:r w:rsidR="000C54E5" w:rsidRPr="000C54E5">
        <w:br/>
        <w:t>которого</w:t>
      </w:r>
      <w:r w:rsidR="00E26411">
        <w:t xml:space="preserve"> </w:t>
      </w:r>
      <w:r w:rsidR="000C54E5" w:rsidRPr="000C54E5">
        <w:t>лежал</w:t>
      </w:r>
      <w:r w:rsidR="00E26411">
        <w:t xml:space="preserve"> </w:t>
      </w:r>
      <w:r w:rsidR="00091A7B">
        <w:t>20-</w:t>
      </w:r>
      <w:r w:rsidR="000C54E5" w:rsidRPr="000C54E5">
        <w:t>летний</w:t>
      </w:r>
      <w:r w:rsidR="00E26411">
        <w:t xml:space="preserve"> </w:t>
      </w:r>
      <w:r w:rsidR="000C54E5" w:rsidRPr="000C54E5">
        <w:t>опыт</w:t>
      </w:r>
      <w:r w:rsidR="00E26411">
        <w:t xml:space="preserve"> </w:t>
      </w:r>
      <w:r w:rsidR="000C54E5" w:rsidRPr="000C54E5">
        <w:t>проведения</w:t>
      </w:r>
      <w:r w:rsidR="00E26411">
        <w:t xml:space="preserve"> </w:t>
      </w:r>
      <w:r w:rsidR="000C54E5" w:rsidRPr="000C54E5">
        <w:t>обзоров</w:t>
      </w:r>
      <w:r w:rsidR="00E26411">
        <w:t xml:space="preserve"> </w:t>
      </w:r>
      <w:r w:rsidR="000C54E5" w:rsidRPr="000C54E5">
        <w:t>результативности</w:t>
      </w:r>
      <w:r w:rsidR="00E26411">
        <w:t xml:space="preserve"> </w:t>
      </w:r>
      <w:r w:rsidR="000C54E5" w:rsidRPr="000C54E5">
        <w:t>экологической деятельности.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36.</w:t>
      </w:r>
      <w:r w:rsidRPr="000C54E5">
        <w:tab/>
        <w:t xml:space="preserve"> Представляя деятельность,</w:t>
      </w:r>
      <w:r w:rsidR="00E26411">
        <w:t xml:space="preserve"> </w:t>
      </w:r>
      <w:r w:rsidRPr="000C54E5">
        <w:t>запланированную</w:t>
      </w:r>
      <w:r w:rsidR="00E26411">
        <w:t xml:space="preserve"> </w:t>
      </w:r>
      <w:r w:rsidRPr="000C54E5">
        <w:t>на</w:t>
      </w:r>
      <w:r w:rsidR="00E26411">
        <w:t xml:space="preserve"> </w:t>
      </w:r>
      <w:r w:rsidRPr="000C54E5">
        <w:t>2017 год,</w:t>
      </w:r>
      <w:r w:rsidR="00E26411">
        <w:t xml:space="preserve"> </w:t>
      </w:r>
      <w:r w:rsidRPr="000C54E5">
        <w:t>секретарь</w:t>
      </w:r>
      <w:r w:rsidR="00E26411">
        <w:t xml:space="preserve"> </w:t>
      </w:r>
      <w:r w:rsidRPr="000C54E5">
        <w:t>Группы</w:t>
      </w:r>
      <w:r w:rsidR="00E26411">
        <w:t xml:space="preserve"> </w:t>
      </w:r>
      <w:r w:rsidRPr="000C54E5">
        <w:t>экспертов</w:t>
      </w:r>
      <w:r w:rsidR="00E26411">
        <w:t xml:space="preserve"> </w:t>
      </w:r>
      <w:r w:rsidRPr="000C54E5">
        <w:t>сказал,</w:t>
      </w:r>
      <w:r w:rsidR="00E26411">
        <w:t xml:space="preserve"> </w:t>
      </w:r>
      <w:r w:rsidRPr="000C54E5">
        <w:t>что</w:t>
      </w:r>
      <w:r w:rsidR="00E26411">
        <w:t xml:space="preserve"> </w:t>
      </w:r>
      <w:r w:rsidRPr="000C54E5">
        <w:t>будет</w:t>
      </w:r>
      <w:r w:rsidR="00E26411">
        <w:t xml:space="preserve"> </w:t>
      </w:r>
      <w:r w:rsidRPr="000C54E5">
        <w:t>продолжена</w:t>
      </w:r>
      <w:r w:rsidR="00E26411">
        <w:t xml:space="preserve"> </w:t>
      </w:r>
      <w:r w:rsidRPr="000C54E5">
        <w:t>работа</w:t>
      </w:r>
      <w:r w:rsidR="00E26411">
        <w:t xml:space="preserve"> </w:t>
      </w:r>
      <w:r w:rsidRPr="000C54E5">
        <w:t>над</w:t>
      </w:r>
      <w:r w:rsidR="00E26411">
        <w:t xml:space="preserve"> </w:t>
      </w:r>
      <w:r w:rsidRPr="000C54E5">
        <w:t>третьими</w:t>
      </w:r>
      <w:r w:rsidR="00E26411">
        <w:t xml:space="preserve"> </w:t>
      </w:r>
      <w:r w:rsidRPr="000C54E5">
        <w:t>обзорами</w:t>
      </w:r>
      <w:r w:rsidR="00E26411">
        <w:t xml:space="preserve"> </w:t>
      </w:r>
      <w:r w:rsidRPr="000C54E5">
        <w:t>по</w:t>
      </w:r>
      <w:r w:rsidR="00E26411">
        <w:t xml:space="preserve"> </w:t>
      </w:r>
      <w:r w:rsidRPr="000C54E5">
        <w:t>Албании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Боснии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Герцеговине, при</w:t>
      </w:r>
      <w:r w:rsidR="00E26411">
        <w:t xml:space="preserve"> </w:t>
      </w:r>
      <w:r w:rsidRPr="000C54E5">
        <w:t>этом</w:t>
      </w:r>
      <w:r w:rsidR="00E26411">
        <w:t xml:space="preserve"> </w:t>
      </w:r>
      <w:r w:rsidRPr="000C54E5">
        <w:t>миссии в них</w:t>
      </w:r>
      <w:r w:rsidR="00E26411">
        <w:t xml:space="preserve"> </w:t>
      </w:r>
      <w:r w:rsidRPr="000C54E5">
        <w:t>состоятся</w:t>
      </w:r>
      <w:r w:rsidR="00E26411">
        <w:t xml:space="preserve"> </w:t>
      </w:r>
      <w:r w:rsidRPr="000C54E5">
        <w:t>31</w:t>
      </w:r>
      <w:r w:rsidR="00E26411">
        <w:t xml:space="preserve"> </w:t>
      </w:r>
      <w:r w:rsidRPr="000C54E5">
        <w:t>января</w:t>
      </w:r>
      <w:r w:rsidR="00E26411">
        <w:t xml:space="preserve"> </w:t>
      </w:r>
      <w:r w:rsidRPr="000C54E5">
        <w:t>–</w:t>
      </w:r>
      <w:r w:rsidR="00E26411">
        <w:t xml:space="preserve"> </w:t>
      </w:r>
      <w:r w:rsidRPr="000C54E5">
        <w:t>8</w:t>
      </w:r>
      <w:r w:rsidR="00E26411">
        <w:t xml:space="preserve"> </w:t>
      </w:r>
      <w:r w:rsidRPr="000C54E5">
        <w:t>февраля</w:t>
      </w:r>
      <w:r w:rsidR="0069374B">
        <w:t xml:space="preserve"> </w:t>
      </w:r>
      <w:r w:rsidRPr="000C54E5">
        <w:t>и 28</w:t>
      </w:r>
      <w:r w:rsidR="00E26411">
        <w:t xml:space="preserve"> </w:t>
      </w:r>
      <w:r w:rsidRPr="000C54E5">
        <w:t>марта</w:t>
      </w:r>
      <w:r w:rsidR="00E26411">
        <w:t xml:space="preserve"> </w:t>
      </w:r>
      <w:r w:rsidRPr="000C54E5">
        <w:t>–</w:t>
      </w:r>
      <w:r w:rsidR="00E26411">
        <w:t xml:space="preserve"> </w:t>
      </w:r>
      <w:r w:rsidRPr="000C54E5">
        <w:t>5</w:t>
      </w:r>
      <w:r w:rsidR="00E26411">
        <w:t xml:space="preserve"> </w:t>
      </w:r>
      <w:r w:rsidRPr="000C54E5">
        <w:t>апреля</w:t>
      </w:r>
      <w:r w:rsidR="00E26411">
        <w:t xml:space="preserve"> </w:t>
      </w:r>
      <w:r w:rsidRPr="000C54E5">
        <w:t>2017 года</w:t>
      </w:r>
      <w:r w:rsidR="0069374B">
        <w:t xml:space="preserve"> </w:t>
      </w:r>
      <w:r w:rsidRPr="000C54E5">
        <w:t>соответственно, а</w:t>
      </w:r>
      <w:r w:rsidR="0069374B">
        <w:t xml:space="preserve"> </w:t>
      </w:r>
      <w:r w:rsidRPr="000C54E5">
        <w:t>коллегиальное рецензирование будет проведено</w:t>
      </w:r>
      <w:r w:rsidR="00E26411">
        <w:t xml:space="preserve"> </w:t>
      </w:r>
      <w:r w:rsidRPr="000C54E5">
        <w:t>в</w:t>
      </w:r>
      <w:r w:rsidR="00E26411">
        <w:t xml:space="preserve"> </w:t>
      </w:r>
      <w:r w:rsidRPr="000C54E5">
        <w:t>ноябре</w:t>
      </w:r>
      <w:r w:rsidR="00E26411">
        <w:t xml:space="preserve"> </w:t>
      </w:r>
      <w:r w:rsidRPr="000C54E5">
        <w:t>2017 года.</w:t>
      </w:r>
      <w:r w:rsidR="00E26411">
        <w:t xml:space="preserve"> </w:t>
      </w:r>
      <w:r w:rsidRPr="000C54E5">
        <w:t>Миссия</w:t>
      </w:r>
      <w:r w:rsidR="00E26411">
        <w:t xml:space="preserve"> </w:t>
      </w:r>
      <w:r w:rsidRPr="000C54E5">
        <w:t>по</w:t>
      </w:r>
      <w:r w:rsidR="00E26411">
        <w:t xml:space="preserve"> </w:t>
      </w:r>
      <w:r w:rsidRPr="000C54E5">
        <w:t>подготовке</w:t>
      </w:r>
      <w:r w:rsidR="00E26411">
        <w:t xml:space="preserve"> </w:t>
      </w:r>
      <w:r w:rsidRPr="000C54E5">
        <w:t>к</w:t>
      </w:r>
      <w:r w:rsidR="00E26411">
        <w:t xml:space="preserve"> </w:t>
      </w:r>
      <w:r w:rsidRPr="000C54E5">
        <w:t>третьему обзору</w:t>
      </w:r>
      <w:r w:rsidR="00E26411">
        <w:t xml:space="preserve"> </w:t>
      </w:r>
      <w:r w:rsidRPr="000C54E5">
        <w:t>результативности</w:t>
      </w:r>
      <w:r w:rsidR="00E26411">
        <w:t xml:space="preserve"> </w:t>
      </w:r>
      <w:r w:rsidRPr="000C54E5">
        <w:t>экологической</w:t>
      </w:r>
      <w:r w:rsidR="00E26411">
        <w:t xml:space="preserve"> </w:t>
      </w:r>
      <w:r w:rsidRPr="000C54E5">
        <w:t>деятельности</w:t>
      </w:r>
      <w:r w:rsidR="00E26411">
        <w:t xml:space="preserve"> </w:t>
      </w:r>
      <w:r w:rsidRPr="000C54E5">
        <w:t>Казахстана</w:t>
      </w:r>
      <w:r w:rsidR="00E26411">
        <w:t xml:space="preserve"> </w:t>
      </w:r>
      <w:r w:rsidRPr="000C54E5">
        <w:t>состоится</w:t>
      </w:r>
      <w:r w:rsidR="0069374B">
        <w:t xml:space="preserve"> </w:t>
      </w:r>
      <w:r w:rsidRPr="000C54E5">
        <w:t>в</w:t>
      </w:r>
      <w:r w:rsidR="00E26411">
        <w:t xml:space="preserve"> </w:t>
      </w:r>
      <w:r w:rsidRPr="000C54E5">
        <w:t>сентябре</w:t>
      </w:r>
      <w:r w:rsidR="00E26411">
        <w:t xml:space="preserve"> </w:t>
      </w:r>
      <w:r w:rsidRPr="000C54E5">
        <w:t>2017 года.</w:t>
      </w:r>
      <w:r w:rsidR="00E26411">
        <w:t xml:space="preserve"> </w:t>
      </w:r>
      <w:r w:rsidRPr="000C54E5">
        <w:t>Третий</w:t>
      </w:r>
      <w:r w:rsidR="00E26411">
        <w:t xml:space="preserve"> </w:t>
      </w:r>
      <w:r w:rsidRPr="000C54E5">
        <w:t>обзор запросила Румыния,</w:t>
      </w:r>
      <w:r w:rsidR="00E26411">
        <w:t xml:space="preserve"> </w:t>
      </w:r>
      <w:r w:rsidRPr="000C54E5">
        <w:t>а</w:t>
      </w:r>
      <w:r w:rsidR="00E26411">
        <w:t xml:space="preserve"> </w:t>
      </w:r>
      <w:r w:rsidRPr="000C54E5">
        <w:t>Монголия,</w:t>
      </w:r>
      <w:r w:rsidR="00E26411">
        <w:t xml:space="preserve"> </w:t>
      </w:r>
      <w:r w:rsidRPr="000C54E5">
        <w:t>не</w:t>
      </w:r>
      <w:r w:rsidR="00D81F74">
        <w:t> </w:t>
      </w:r>
      <w:r w:rsidRPr="000C54E5">
        <w:t>являющаяся</w:t>
      </w:r>
      <w:r w:rsidR="00E26411">
        <w:t xml:space="preserve"> </w:t>
      </w:r>
      <w:r w:rsidRPr="000C54E5">
        <w:t>государством-членом,</w:t>
      </w:r>
      <w:r w:rsidR="00E26411">
        <w:t xml:space="preserve"> </w:t>
      </w:r>
      <w:r w:rsidRPr="000C54E5">
        <w:t>просила</w:t>
      </w:r>
      <w:r w:rsidR="0069374B">
        <w:t xml:space="preserve"> </w:t>
      </w:r>
      <w:r w:rsidRPr="000C54E5">
        <w:t>ЕЭК</w:t>
      </w:r>
      <w:r w:rsidR="00E26411">
        <w:t xml:space="preserve"> </w:t>
      </w:r>
      <w:r w:rsidRPr="000C54E5">
        <w:t>провести</w:t>
      </w:r>
      <w:r w:rsidR="00E26411">
        <w:t xml:space="preserve"> </w:t>
      </w:r>
      <w:r w:rsidRPr="000C54E5">
        <w:t>обзор</w:t>
      </w:r>
      <w:r w:rsidR="00E26411">
        <w:t xml:space="preserve"> </w:t>
      </w:r>
      <w:r w:rsidRPr="000C54E5">
        <w:t>результативности</w:t>
      </w:r>
      <w:r w:rsidR="00E26411">
        <w:t xml:space="preserve"> </w:t>
      </w:r>
      <w:r w:rsidRPr="000C54E5">
        <w:t>экологической</w:t>
      </w:r>
      <w:r w:rsidR="00E26411">
        <w:t xml:space="preserve"> </w:t>
      </w:r>
      <w:r w:rsidRPr="000C54E5">
        <w:t>деятельности</w:t>
      </w:r>
      <w:r w:rsidR="00E26411">
        <w:t xml:space="preserve"> </w:t>
      </w:r>
      <w:r w:rsidRPr="000C54E5">
        <w:t>этой страны,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это</w:t>
      </w:r>
      <w:r w:rsidR="00E26411">
        <w:t xml:space="preserve"> </w:t>
      </w:r>
      <w:r w:rsidRPr="000C54E5">
        <w:t>второй</w:t>
      </w:r>
      <w:r w:rsidR="00E26411">
        <w:t xml:space="preserve"> </w:t>
      </w:r>
      <w:r w:rsidRPr="000C54E5">
        <w:t>случай,</w:t>
      </w:r>
      <w:r w:rsidR="00E26411">
        <w:t xml:space="preserve"> </w:t>
      </w:r>
      <w:r w:rsidRPr="000C54E5">
        <w:t>когда</w:t>
      </w:r>
      <w:r w:rsidR="00E26411">
        <w:t xml:space="preserve"> </w:t>
      </w:r>
      <w:r w:rsidRPr="000C54E5">
        <w:t>ЕЭК</w:t>
      </w:r>
      <w:r w:rsidR="00E26411">
        <w:t xml:space="preserve"> </w:t>
      </w:r>
      <w:r w:rsidRPr="000C54E5">
        <w:t>получает</w:t>
      </w:r>
      <w:r w:rsidR="00E26411">
        <w:t xml:space="preserve"> </w:t>
      </w:r>
      <w:r w:rsidRPr="000C54E5">
        <w:t>предложение</w:t>
      </w:r>
      <w:r w:rsidR="00E26411">
        <w:t xml:space="preserve"> </w:t>
      </w:r>
      <w:r w:rsidRPr="000C54E5">
        <w:t>о</w:t>
      </w:r>
      <w:r w:rsidR="00E26411">
        <w:t xml:space="preserve"> </w:t>
      </w:r>
      <w:r w:rsidRPr="000C54E5">
        <w:t>проведении</w:t>
      </w:r>
      <w:r w:rsidR="0093286C" w:rsidRPr="0093286C">
        <w:t xml:space="preserve"> </w:t>
      </w:r>
      <w:r w:rsidRPr="000C54E5">
        <w:t>обзора</w:t>
      </w:r>
      <w:r w:rsidR="00E26411">
        <w:t xml:space="preserve"> </w:t>
      </w:r>
      <w:r w:rsidRPr="000C54E5">
        <w:t>от</w:t>
      </w:r>
      <w:r w:rsidR="00E26411">
        <w:t xml:space="preserve"> </w:t>
      </w:r>
      <w:r w:rsidRPr="000C54E5">
        <w:t>страны,</w:t>
      </w:r>
      <w:r w:rsidR="0069374B">
        <w:t xml:space="preserve"> </w:t>
      </w:r>
      <w:r w:rsidRPr="000C54E5">
        <w:t>находящейся</w:t>
      </w:r>
      <w:r w:rsidR="00E26411">
        <w:t xml:space="preserve"> </w:t>
      </w:r>
      <w:r w:rsidRPr="000C54E5">
        <w:t>за</w:t>
      </w:r>
      <w:r w:rsidR="00E26411">
        <w:t xml:space="preserve"> </w:t>
      </w:r>
      <w:r w:rsidRPr="000C54E5">
        <w:t>пределами</w:t>
      </w:r>
      <w:r w:rsidR="00E26411">
        <w:t xml:space="preserve"> </w:t>
      </w:r>
      <w:r w:rsidRPr="000C54E5">
        <w:t>региона.</w:t>
      </w:r>
      <w:r w:rsidR="00E26411">
        <w:t xml:space="preserve"> </w:t>
      </w:r>
      <w:r w:rsidRPr="000C54E5">
        <w:t>Обзор</w:t>
      </w:r>
      <w:r w:rsidR="00E26411">
        <w:t xml:space="preserve"> </w:t>
      </w:r>
      <w:r w:rsidRPr="000C54E5">
        <w:t>по</w:t>
      </w:r>
      <w:r w:rsidR="00E26411">
        <w:t xml:space="preserve"> </w:t>
      </w:r>
      <w:r w:rsidRPr="000C54E5">
        <w:t>Монголии</w:t>
      </w:r>
      <w:r w:rsidR="00E26411">
        <w:t xml:space="preserve"> </w:t>
      </w:r>
      <w:r w:rsidRPr="000C54E5">
        <w:t>будет</w:t>
      </w:r>
      <w:r w:rsidR="00E26411">
        <w:t xml:space="preserve"> </w:t>
      </w:r>
      <w:r w:rsidRPr="000C54E5">
        <w:t>организован</w:t>
      </w:r>
      <w:r w:rsidR="00E26411">
        <w:t xml:space="preserve"> </w:t>
      </w:r>
      <w:r w:rsidRPr="000C54E5">
        <w:t>в</w:t>
      </w:r>
      <w:r w:rsidR="00E26411">
        <w:t xml:space="preserve"> </w:t>
      </w:r>
      <w:r w:rsidRPr="000C54E5">
        <w:t>тесном</w:t>
      </w:r>
      <w:r w:rsidR="00E26411">
        <w:t xml:space="preserve"> </w:t>
      </w:r>
      <w:r w:rsidRPr="000C54E5">
        <w:t>сотрудничестве</w:t>
      </w:r>
      <w:r w:rsidR="00E26411">
        <w:t xml:space="preserve"> </w:t>
      </w:r>
      <w:r w:rsidRPr="000C54E5">
        <w:t>с</w:t>
      </w:r>
      <w:r w:rsidR="00E26411">
        <w:t xml:space="preserve"> </w:t>
      </w:r>
      <w:r w:rsidRPr="000C54E5">
        <w:t>Экономической</w:t>
      </w:r>
      <w:r w:rsidR="00E26411">
        <w:t xml:space="preserve"> </w:t>
      </w:r>
      <w:r w:rsidRPr="000C54E5">
        <w:t>и</w:t>
      </w:r>
      <w:r w:rsidR="00E26411">
        <w:t xml:space="preserve"> </w:t>
      </w:r>
      <w:r w:rsidR="00AD3A90">
        <w:t>с</w:t>
      </w:r>
      <w:r w:rsidRPr="000C54E5">
        <w:t>оциальной</w:t>
      </w:r>
      <w:r w:rsidR="00E26411">
        <w:t xml:space="preserve"> </w:t>
      </w:r>
      <w:r w:rsidRPr="000C54E5">
        <w:t>комиссией</w:t>
      </w:r>
      <w:r w:rsidR="0069374B">
        <w:t xml:space="preserve"> </w:t>
      </w:r>
      <w:r w:rsidRPr="000C54E5">
        <w:t>Организации</w:t>
      </w:r>
      <w:r w:rsidR="0093286C" w:rsidRPr="0093286C">
        <w:t xml:space="preserve"> </w:t>
      </w:r>
      <w:r w:rsidRPr="000C54E5">
        <w:t>Объедин</w:t>
      </w:r>
      <w:r w:rsidR="00AD7450">
        <w:t>е</w:t>
      </w:r>
      <w:r w:rsidRPr="000C54E5">
        <w:t>нных</w:t>
      </w:r>
      <w:r w:rsidR="00E26411">
        <w:t xml:space="preserve"> </w:t>
      </w:r>
      <w:r w:rsidRPr="000C54E5">
        <w:t>Наций</w:t>
      </w:r>
      <w:r w:rsidR="00E26411">
        <w:t xml:space="preserve"> </w:t>
      </w:r>
      <w:r w:rsidRPr="000C54E5">
        <w:t>для</w:t>
      </w:r>
      <w:r w:rsidR="00E26411">
        <w:t xml:space="preserve"> </w:t>
      </w:r>
      <w:r w:rsidRPr="000C54E5">
        <w:t>Азии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Тихого</w:t>
      </w:r>
      <w:r w:rsidR="00E26411">
        <w:t xml:space="preserve"> </w:t>
      </w:r>
      <w:r w:rsidRPr="000C54E5">
        <w:t>океана.</w:t>
      </w:r>
      <w:r w:rsidR="00E26411">
        <w:t xml:space="preserve"> </w:t>
      </w:r>
      <w:r w:rsidRPr="000C54E5">
        <w:t>В</w:t>
      </w:r>
      <w:r w:rsidR="00E26411">
        <w:t xml:space="preserve"> </w:t>
      </w:r>
      <w:r w:rsidRPr="000C54E5">
        <w:t>первой</w:t>
      </w:r>
      <w:r w:rsidR="00E26411">
        <w:t xml:space="preserve"> </w:t>
      </w:r>
      <w:r w:rsidRPr="000C54E5">
        <w:t>половине</w:t>
      </w:r>
      <w:r w:rsidR="00E26411">
        <w:t xml:space="preserve"> </w:t>
      </w:r>
      <w:r w:rsidRPr="000C54E5">
        <w:t>2017 года</w:t>
      </w:r>
      <w:r w:rsidR="00E26411">
        <w:t xml:space="preserve"> </w:t>
      </w:r>
      <w:r w:rsidRPr="000C54E5">
        <w:t>будут</w:t>
      </w:r>
      <w:r w:rsidR="00E26411">
        <w:t xml:space="preserve"> </w:t>
      </w:r>
      <w:r w:rsidRPr="000C54E5">
        <w:t>опубликованы</w:t>
      </w:r>
      <w:r w:rsidR="00E26411">
        <w:t xml:space="preserve"> </w:t>
      </w:r>
      <w:r w:rsidRPr="000C54E5">
        <w:t>обзоры</w:t>
      </w:r>
      <w:r w:rsidR="00E26411">
        <w:t xml:space="preserve"> </w:t>
      </w:r>
      <w:r w:rsidRPr="000C54E5">
        <w:t>результативности</w:t>
      </w:r>
      <w:r w:rsidR="00E26411">
        <w:t xml:space="preserve"> </w:t>
      </w:r>
      <w:r w:rsidRPr="000C54E5">
        <w:t>экологической</w:t>
      </w:r>
      <w:r w:rsidR="00E26411">
        <w:t xml:space="preserve"> </w:t>
      </w:r>
      <w:r w:rsidRPr="000C54E5">
        <w:t>деятельности</w:t>
      </w:r>
      <w:r w:rsidR="00E26411">
        <w:t xml:space="preserve"> </w:t>
      </w:r>
      <w:r w:rsidRPr="000C54E5">
        <w:t>Таджикистана и</w:t>
      </w:r>
      <w:r w:rsidR="00E26411">
        <w:t xml:space="preserve"> </w:t>
      </w:r>
      <w:r w:rsidRPr="000C54E5">
        <w:t>Болгарии.</w:t>
      </w:r>
      <w:r w:rsidR="00E26411">
        <w:t xml:space="preserve"> </w:t>
      </w:r>
    </w:p>
    <w:p w:rsidR="000C54E5" w:rsidRPr="000C54E5" w:rsidRDefault="000C54E5" w:rsidP="000C54E5">
      <w:pPr>
        <w:pStyle w:val="SingleTxtGR"/>
      </w:pPr>
      <w:r w:rsidRPr="000C54E5">
        <w:t>37.</w:t>
      </w:r>
      <w:r w:rsidRPr="000C54E5">
        <w:tab/>
        <w:t>Представитель Украины проинформировал Комитет о заинтересованности его страны в проведении обзора по ней.</w:t>
      </w:r>
    </w:p>
    <w:p w:rsidR="000C54E5" w:rsidRPr="000C54E5" w:rsidRDefault="000C54E5" w:rsidP="000C54E5">
      <w:pPr>
        <w:pStyle w:val="SingleTxtGR"/>
      </w:pPr>
      <w:r w:rsidRPr="000C54E5">
        <w:t>38.</w:t>
      </w:r>
      <w:r w:rsidR="005630EF">
        <w:tab/>
      </w:r>
      <w:r w:rsidRPr="000C54E5">
        <w:t>Секретарь</w:t>
      </w:r>
      <w:r w:rsidR="00E26411">
        <w:t xml:space="preserve"> </w:t>
      </w:r>
      <w:r w:rsidRPr="000C54E5">
        <w:t>Группы</w:t>
      </w:r>
      <w:r w:rsidR="00E26411">
        <w:t xml:space="preserve"> </w:t>
      </w:r>
      <w:r w:rsidRPr="000C54E5">
        <w:t>экспертов</w:t>
      </w:r>
      <w:r w:rsidR="00E26411">
        <w:t xml:space="preserve"> </w:t>
      </w:r>
      <w:r w:rsidRPr="000C54E5">
        <w:t>также</w:t>
      </w:r>
      <w:r w:rsidR="00E26411">
        <w:t xml:space="preserve"> </w:t>
      </w:r>
      <w:r w:rsidRPr="000C54E5">
        <w:t>пожелал</w:t>
      </w:r>
      <w:r w:rsidR="00E26411">
        <w:t xml:space="preserve"> </w:t>
      </w:r>
      <w:r w:rsidRPr="000C54E5">
        <w:t>отметить</w:t>
      </w:r>
      <w:r w:rsidR="00E26411">
        <w:t xml:space="preserve"> </w:t>
      </w:r>
      <w:r w:rsidRPr="000C54E5">
        <w:t>взносы,</w:t>
      </w:r>
      <w:r w:rsidR="00E26411">
        <w:t xml:space="preserve"> </w:t>
      </w:r>
      <w:r w:rsidRPr="000C54E5">
        <w:t>экспертные</w:t>
      </w:r>
      <w:r w:rsidR="00E26411">
        <w:t xml:space="preserve"> </w:t>
      </w:r>
      <w:r w:rsidRPr="000C54E5">
        <w:t>услуги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услуги</w:t>
      </w:r>
      <w:r w:rsidR="00E26411">
        <w:t xml:space="preserve"> </w:t>
      </w:r>
      <w:r w:rsidRPr="000C54E5">
        <w:t>по</w:t>
      </w:r>
      <w:r w:rsidR="00E26411">
        <w:t xml:space="preserve"> </w:t>
      </w:r>
      <w:r w:rsidRPr="000C54E5">
        <w:t>профессиональной</w:t>
      </w:r>
      <w:r w:rsidR="00E26411">
        <w:t xml:space="preserve"> </w:t>
      </w:r>
      <w:r w:rsidRPr="000C54E5">
        <w:t>подготовке,</w:t>
      </w:r>
      <w:r w:rsidR="00E26411">
        <w:t xml:space="preserve"> </w:t>
      </w:r>
      <w:r w:rsidRPr="000C54E5">
        <w:t>предоставленные</w:t>
      </w:r>
      <w:r w:rsidR="00E26411">
        <w:t xml:space="preserve"> </w:t>
      </w:r>
      <w:r w:rsidRPr="000C54E5">
        <w:t>странами</w:t>
      </w:r>
      <w:r w:rsidR="00E26411">
        <w:t xml:space="preserve"> </w:t>
      </w:r>
      <w:r w:rsidRPr="000C54E5">
        <w:t>и</w:t>
      </w:r>
      <w:r w:rsidR="00E26411">
        <w:t xml:space="preserve"> </w:t>
      </w:r>
      <w:r w:rsidRPr="000C54E5">
        <w:t>организациями-партн</w:t>
      </w:r>
      <w:r w:rsidR="00AD7450">
        <w:t>е</w:t>
      </w:r>
      <w:r w:rsidRPr="000C54E5">
        <w:t>рами</w:t>
      </w:r>
      <w:r w:rsidR="00E26411">
        <w:t xml:space="preserve"> </w:t>
      </w:r>
      <w:r w:rsidRPr="000C54E5">
        <w:t>в интересах</w:t>
      </w:r>
      <w:r w:rsidR="00E26411">
        <w:t xml:space="preserve"> </w:t>
      </w:r>
      <w:r w:rsidRPr="000C54E5">
        <w:t>деятельности</w:t>
      </w:r>
      <w:r w:rsidR="00E26411">
        <w:t xml:space="preserve"> </w:t>
      </w:r>
      <w:r w:rsidRPr="000C54E5">
        <w:t>по</w:t>
      </w:r>
      <w:r w:rsidR="00E26411">
        <w:t xml:space="preserve"> </w:t>
      </w:r>
      <w:r w:rsidRPr="000C54E5">
        <w:t>Программе.</w:t>
      </w:r>
      <w:r w:rsidR="00E26411">
        <w:t xml:space="preserve"> </w:t>
      </w:r>
    </w:p>
    <w:p w:rsidR="000C54E5" w:rsidRPr="000C54E5" w:rsidRDefault="000C54E5" w:rsidP="000C54E5">
      <w:pPr>
        <w:pStyle w:val="SingleTxtGR"/>
      </w:pPr>
      <w:r w:rsidRPr="000C54E5">
        <w:t>39.</w:t>
      </w:r>
      <w:r w:rsidRPr="000C54E5">
        <w:tab/>
        <w:t>Комитет приветствовал представленную информацию о деятельности по</w:t>
      </w:r>
      <w:r w:rsidR="0069374B">
        <w:t xml:space="preserve"> </w:t>
      </w:r>
      <w:r w:rsidRPr="000C54E5">
        <w:t>Программе обзоров результативности экологической деятельности и выразил свою признательность секретариату за его отличную работу в этом аспекте.</w:t>
      </w:r>
    </w:p>
    <w:p w:rsidR="000C54E5" w:rsidRPr="000C54E5" w:rsidRDefault="005630EF" w:rsidP="000C54E5">
      <w:pPr>
        <w:pStyle w:val="SingleTxtGR"/>
      </w:pPr>
      <w:r>
        <w:t>40.</w:t>
      </w:r>
      <w:r w:rsidR="000C54E5" w:rsidRPr="000C54E5">
        <w:tab/>
        <w:t>Кроме того, Комитет принял к сведению представленную секретариатом информацию о мобилизации ресурсов на Программу обзоров результативности экологической деятельности в 2016 году и, в частности, поблагодарил:</w:t>
      </w:r>
    </w:p>
    <w:p w:rsidR="000C54E5" w:rsidRPr="000C54E5" w:rsidRDefault="00C42B2A" w:rsidP="000C54E5">
      <w:pPr>
        <w:pStyle w:val="SingleTxtGR"/>
      </w:pPr>
      <w:r>
        <w:tab/>
      </w:r>
      <w:r w:rsidR="000C54E5" w:rsidRPr="000C54E5">
        <w:t>а)</w:t>
      </w:r>
      <w:r>
        <w:tab/>
      </w:r>
      <w:r w:rsidR="000C54E5" w:rsidRPr="000C54E5">
        <w:t xml:space="preserve">Австрию, Германию, Нидерланды, Норвегию, Швейцарию и Швецию </w:t>
      </w:r>
      <w:r w:rsidR="0093286C" w:rsidRPr="0093286C">
        <w:t>–</w:t>
      </w:r>
      <w:r w:rsidR="000C54E5" w:rsidRPr="000C54E5">
        <w:t xml:space="preserve"> за их финансовую поддержку; </w:t>
      </w:r>
    </w:p>
    <w:p w:rsidR="000C54E5" w:rsidRPr="000C54E5" w:rsidRDefault="00C42B2A" w:rsidP="000C54E5">
      <w:pPr>
        <w:pStyle w:val="SingleTxtGR"/>
      </w:pPr>
      <w:r>
        <w:tab/>
      </w:r>
      <w:r w:rsidR="000C54E5" w:rsidRPr="000C54E5">
        <w:t>b)</w:t>
      </w:r>
      <w:r>
        <w:tab/>
      </w:r>
      <w:r w:rsidR="000C54E5" w:rsidRPr="000C54E5">
        <w:t xml:space="preserve">Венгрию, Италию, Нидерланды, Португалию, Финляндию, Францию, ЮНЕП, Объединенную группу по окружающей среде ЮНЕП/Управления по координации гуманитарных вопросов и ВОЗ – за предоставление экспертных услуг; </w:t>
      </w:r>
    </w:p>
    <w:p w:rsidR="000C54E5" w:rsidRPr="000C54E5" w:rsidRDefault="00C42B2A" w:rsidP="0093286C">
      <w:pPr>
        <w:pStyle w:val="SingleTxtGR"/>
        <w:keepNext/>
        <w:keepLines/>
      </w:pPr>
      <w:r>
        <w:tab/>
      </w:r>
      <w:r w:rsidR="000C54E5" w:rsidRPr="000C54E5">
        <w:t>c)</w:t>
      </w:r>
      <w:r>
        <w:tab/>
      </w:r>
      <w:r w:rsidR="000C54E5" w:rsidRPr="000C54E5">
        <w:t>Беларусь, Венгрию, Германию, Грузию, Республику Молдова, Румынию, Черногорию, Швейцарию, Швецию и Эстонию – за направление</w:t>
      </w:r>
      <w:r w:rsidR="0069374B">
        <w:t xml:space="preserve"> </w:t>
      </w:r>
      <w:r w:rsidR="000C54E5" w:rsidRPr="000C54E5">
        <w:t>экспертов в Группу экспертов ЕЭК по обзорам результативности экологической деятельности;</w:t>
      </w:r>
    </w:p>
    <w:p w:rsidR="000C54E5" w:rsidRPr="000C54E5" w:rsidRDefault="00C42B2A" w:rsidP="000C54E5">
      <w:pPr>
        <w:pStyle w:val="SingleTxtGR"/>
      </w:pPr>
      <w:r>
        <w:tab/>
      </w:r>
      <w:r w:rsidR="000C54E5" w:rsidRPr="000C54E5">
        <w:t>d)</w:t>
      </w:r>
      <w:r>
        <w:tab/>
      </w:r>
      <w:r w:rsidR="000C54E5" w:rsidRPr="000C54E5">
        <w:t xml:space="preserve">ПРООН </w:t>
      </w:r>
      <w:r w:rsidR="00EF32B8">
        <w:t>–</w:t>
      </w:r>
      <w:r w:rsidR="000C54E5" w:rsidRPr="000C54E5">
        <w:t xml:space="preserve"> за организационно-техническую поддержку. </w:t>
      </w:r>
    </w:p>
    <w:p w:rsidR="000C54E5" w:rsidRPr="000C54E5" w:rsidRDefault="000C54E5" w:rsidP="000C54E5">
      <w:pPr>
        <w:pStyle w:val="SingleTxtGR"/>
      </w:pPr>
      <w:r w:rsidRPr="000C54E5">
        <w:t>41.</w:t>
      </w:r>
      <w:r w:rsidRPr="000C54E5">
        <w:tab/>
        <w:t xml:space="preserve">Комитет призвал делегации предоставить для Программы обзоров результативности экологической деятельности поддержку в натуральной (эксперты) и финансовой форме. </w:t>
      </w:r>
    </w:p>
    <w:p w:rsidR="000C54E5" w:rsidRPr="000C54E5" w:rsidRDefault="00C42B2A" w:rsidP="000C54E5">
      <w:pPr>
        <w:pStyle w:val="SingleTxtGR"/>
      </w:pPr>
      <w:r>
        <w:t>42.</w:t>
      </w:r>
      <w:r w:rsidR="000C54E5" w:rsidRPr="000C54E5">
        <w:tab/>
        <w:t>В дополнение к этому Комитет приветствовал продолжающиеся третьи обзоры результативности экологической деятельности Албании и Боснии и Герцеговины и принял</w:t>
      </w:r>
      <w:r w:rsidR="0069374B">
        <w:t xml:space="preserve"> </w:t>
      </w:r>
      <w:r w:rsidR="000C54E5" w:rsidRPr="000C54E5">
        <w:t>к сведению работу по</w:t>
      </w:r>
      <w:r w:rsidR="0069374B">
        <w:t xml:space="preserve"> </w:t>
      </w:r>
      <w:r w:rsidR="000C54E5" w:rsidRPr="000C54E5">
        <w:t>подготовке к проведению третьего обзора по Казахстану.</w:t>
      </w:r>
      <w:r w:rsidR="0069374B">
        <w:t xml:space="preserve"> </w:t>
      </w:r>
      <w:r w:rsidR="000C54E5" w:rsidRPr="000C54E5">
        <w:t>Он далее приветствовал просьбу Румынии о проведении третьего обзора результативности ее экологической деятельности, просьбу Монголии о проведении</w:t>
      </w:r>
      <w:r w:rsidR="0069374B">
        <w:t xml:space="preserve"> </w:t>
      </w:r>
      <w:r w:rsidR="000C54E5" w:rsidRPr="000C54E5">
        <w:t>обзора по ней и тесное сотрудничество с ЭСКАТО в подготовке этого обзора, а также заинтересованность Украины в проведении третьего обзора по ней.</w:t>
      </w:r>
    </w:p>
    <w:p w:rsidR="000C54E5" w:rsidRPr="000C54E5" w:rsidRDefault="000C54E5" w:rsidP="000C54E5">
      <w:pPr>
        <w:pStyle w:val="SingleTxtGR"/>
      </w:pPr>
      <w:r w:rsidRPr="000C54E5">
        <w:t>43.</w:t>
      </w:r>
      <w:r w:rsidRPr="000C54E5">
        <w:tab/>
        <w:t>Комитет также высоко оценил</w:t>
      </w:r>
      <w:r w:rsidR="0069374B">
        <w:t xml:space="preserve"> </w:t>
      </w:r>
      <w:r w:rsidRPr="000C54E5">
        <w:t>тесное сотрудничество с участниками Программы обзоров результативности экологической деятельности со стороны отделов устойчивой энергетики, по лесам, землепользованию и жилищному хозяйству, статистики и устойчивого транспорта.</w:t>
      </w:r>
    </w:p>
    <w:p w:rsidR="000C54E5" w:rsidRPr="000C54E5" w:rsidRDefault="000C54E5" w:rsidP="000C54E5">
      <w:pPr>
        <w:pStyle w:val="SingleTxtGR"/>
      </w:pPr>
      <w:r w:rsidRPr="000C54E5">
        <w:t>44.</w:t>
      </w:r>
      <w:r w:rsidRPr="000C54E5">
        <w:tab/>
        <w:t>Далее Комитет высоко оценил работу Группы экспертов ЕЭК по обзорам результативности экологической деятельности в 2016 году и предложил делегациям назначить своих представителей в Группу.</w:t>
      </w:r>
    </w:p>
    <w:p w:rsidR="000C54E5" w:rsidRPr="000C54E5" w:rsidRDefault="00051A2B" w:rsidP="000C54E5">
      <w:pPr>
        <w:pStyle w:val="SingleTxtGR"/>
      </w:pPr>
      <w:r>
        <w:t>45.</w:t>
      </w:r>
      <w:r w:rsidR="000C54E5" w:rsidRPr="000C54E5">
        <w:tab/>
        <w:t>После этого Комитет приступил к</w:t>
      </w:r>
      <w:r w:rsidR="0069374B">
        <w:t xml:space="preserve"> </w:t>
      </w:r>
      <w:r w:rsidR="000C54E5" w:rsidRPr="000C54E5">
        <w:t>коллегиальному рецензированию обзора результативности экологической деятельности Таджикистана и Болгарии.</w:t>
      </w:r>
    </w:p>
    <w:p w:rsidR="000C54E5" w:rsidRPr="000C54E5" w:rsidRDefault="00051A2B" w:rsidP="000C54E5">
      <w:pPr>
        <w:pStyle w:val="SingleTxtGR"/>
      </w:pPr>
      <w:r>
        <w:t>46.</w:t>
      </w:r>
      <w:r w:rsidR="000C54E5" w:rsidRPr="000C54E5">
        <w:tab/>
        <w:t xml:space="preserve">Докладчик по обзору (Швейцария) кратко изложил основные выводы и рекомендации по третьему обзору результативности экологической деятельности Таджикистана, рассмотрение которого Группа экспертов провела 7 и 8 декабря 2016 года в Женеве. После проведения второго обзора в 2011 году </w:t>
      </w:r>
      <w:bookmarkStart w:id="4" w:name="_Hlk483155853"/>
      <w:r w:rsidR="000C54E5" w:rsidRPr="000C54E5">
        <w:t>Таджикистан</w:t>
      </w:r>
      <w:bookmarkEnd w:id="4"/>
      <w:r w:rsidR="000C54E5" w:rsidRPr="000C54E5">
        <w:t xml:space="preserve"> повысил результативность своей работы по обеспечению доступа к воде и санитарии, по созданию</w:t>
      </w:r>
      <w:r w:rsidR="0069374B">
        <w:t xml:space="preserve"> </w:t>
      </w:r>
      <w:r w:rsidR="000C54E5" w:rsidRPr="000C54E5">
        <w:t>основ управления речными бассейнами и по разработке нескольких документов по политике, законов и стандартов в поддержку охраны окружающей среды. К</w:t>
      </w:r>
      <w:r>
        <w:t xml:space="preserve"> </w:t>
      </w:r>
      <w:r w:rsidR="000C54E5" w:rsidRPr="000C54E5">
        <w:t>числу</w:t>
      </w:r>
      <w:r>
        <w:t xml:space="preserve"> </w:t>
      </w:r>
      <w:r w:rsidR="000C54E5" w:rsidRPr="000C54E5">
        <w:t>основных</w:t>
      </w:r>
      <w:r>
        <w:t xml:space="preserve"> </w:t>
      </w:r>
      <w:r w:rsidR="000C54E5" w:rsidRPr="000C54E5">
        <w:t>проблем,</w:t>
      </w:r>
      <w:r>
        <w:t xml:space="preserve"> </w:t>
      </w:r>
      <w:r w:rsidR="000C54E5" w:rsidRPr="000C54E5">
        <w:t>которыми</w:t>
      </w:r>
      <w:r>
        <w:t xml:space="preserve"> </w:t>
      </w:r>
      <w:r w:rsidR="000C54E5" w:rsidRPr="000C54E5">
        <w:t>необходимо</w:t>
      </w:r>
      <w:r>
        <w:t xml:space="preserve"> </w:t>
      </w:r>
      <w:r w:rsidR="000C54E5" w:rsidRPr="000C54E5">
        <w:t>заниматься,</w:t>
      </w:r>
      <w:r>
        <w:t xml:space="preserve"> </w:t>
      </w:r>
      <w:r w:rsidR="000C54E5" w:rsidRPr="000C54E5">
        <w:t>относятся</w:t>
      </w:r>
      <w:r>
        <w:t xml:space="preserve"> </w:t>
      </w:r>
      <w:r w:rsidR="000C54E5" w:rsidRPr="000C54E5">
        <w:t>управление</w:t>
      </w:r>
      <w:r>
        <w:t xml:space="preserve"> </w:t>
      </w:r>
      <w:r w:rsidR="000C54E5" w:rsidRPr="000C54E5">
        <w:t>лесами</w:t>
      </w:r>
      <w:r>
        <w:t xml:space="preserve"> </w:t>
      </w:r>
      <w:r w:rsidR="000C54E5" w:rsidRPr="000C54E5">
        <w:t>и</w:t>
      </w:r>
      <w:r>
        <w:t xml:space="preserve"> </w:t>
      </w:r>
      <w:r w:rsidR="000C54E5" w:rsidRPr="000C54E5">
        <w:t>охраняемыми</w:t>
      </w:r>
      <w:r>
        <w:t xml:space="preserve"> </w:t>
      </w:r>
      <w:r w:rsidR="000C54E5" w:rsidRPr="000C54E5">
        <w:t>территориями,</w:t>
      </w:r>
      <w:r>
        <w:t xml:space="preserve"> </w:t>
      </w:r>
      <w:r w:rsidR="000C54E5" w:rsidRPr="000C54E5">
        <w:t>мониторинг</w:t>
      </w:r>
      <w:r w:rsidR="0069374B">
        <w:t xml:space="preserve"> </w:t>
      </w:r>
      <w:r w:rsidR="000C54E5" w:rsidRPr="000C54E5">
        <w:t>окружающей</w:t>
      </w:r>
      <w:r>
        <w:t xml:space="preserve"> </w:t>
      </w:r>
      <w:r w:rsidR="000C54E5" w:rsidRPr="000C54E5">
        <w:t>среды,</w:t>
      </w:r>
      <w:r>
        <w:t xml:space="preserve"> </w:t>
      </w:r>
      <w:r w:rsidR="000C54E5" w:rsidRPr="000C54E5">
        <w:t>неблагоприятные</w:t>
      </w:r>
      <w:r>
        <w:t xml:space="preserve"> </w:t>
      </w:r>
      <w:r w:rsidR="000C54E5" w:rsidRPr="000C54E5">
        <w:t>воздействия загрязнения</w:t>
      </w:r>
      <w:r>
        <w:t xml:space="preserve"> </w:t>
      </w:r>
      <w:r w:rsidR="000C54E5" w:rsidRPr="000C54E5">
        <w:t>окружающей</w:t>
      </w:r>
      <w:r>
        <w:t xml:space="preserve"> </w:t>
      </w:r>
      <w:r w:rsidR="000C54E5" w:rsidRPr="000C54E5">
        <w:t>среды</w:t>
      </w:r>
      <w:r>
        <w:t xml:space="preserve"> </w:t>
      </w:r>
      <w:r w:rsidR="000C54E5" w:rsidRPr="000C54E5">
        <w:t>на</w:t>
      </w:r>
      <w:r>
        <w:t xml:space="preserve"> </w:t>
      </w:r>
      <w:r w:rsidR="000C54E5" w:rsidRPr="000C54E5">
        <w:t>здоровье</w:t>
      </w:r>
      <w:r>
        <w:t xml:space="preserve"> </w:t>
      </w:r>
      <w:r w:rsidR="000C54E5" w:rsidRPr="000C54E5">
        <w:t>человека,</w:t>
      </w:r>
      <w:r>
        <w:t xml:space="preserve"> </w:t>
      </w:r>
      <w:r w:rsidR="000C54E5" w:rsidRPr="000C54E5">
        <w:t>экологизация</w:t>
      </w:r>
      <w:r>
        <w:t xml:space="preserve"> </w:t>
      </w:r>
      <w:r w:rsidR="000C54E5" w:rsidRPr="000C54E5">
        <w:t>экономики</w:t>
      </w:r>
      <w:r>
        <w:t xml:space="preserve"> </w:t>
      </w:r>
      <w:r w:rsidR="000C54E5" w:rsidRPr="000C54E5">
        <w:t>и</w:t>
      </w:r>
      <w:r>
        <w:t xml:space="preserve"> </w:t>
      </w:r>
      <w:r w:rsidR="000C54E5" w:rsidRPr="000C54E5">
        <w:t>присоединение</w:t>
      </w:r>
      <w:r>
        <w:t xml:space="preserve"> </w:t>
      </w:r>
      <w:r w:rsidR="000C54E5" w:rsidRPr="000C54E5">
        <w:t>к</w:t>
      </w:r>
      <w:r>
        <w:t xml:space="preserve"> </w:t>
      </w:r>
      <w:r w:rsidR="000C54E5" w:rsidRPr="000C54E5">
        <w:t>остальным</w:t>
      </w:r>
      <w:r>
        <w:t xml:space="preserve"> </w:t>
      </w:r>
      <w:r w:rsidR="000C54E5" w:rsidRPr="000C54E5">
        <w:t>многосторонним</w:t>
      </w:r>
      <w:r>
        <w:t xml:space="preserve"> </w:t>
      </w:r>
      <w:r w:rsidR="000C54E5" w:rsidRPr="000C54E5">
        <w:t>природоохранным</w:t>
      </w:r>
      <w:r>
        <w:t xml:space="preserve"> </w:t>
      </w:r>
      <w:r w:rsidR="000C54E5" w:rsidRPr="000C54E5">
        <w:t>соглашениям.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5630EF">
        <w:t>47.</w:t>
      </w:r>
      <w:r w:rsidRPr="000C54E5">
        <w:rPr>
          <w:b/>
        </w:rPr>
        <w:tab/>
      </w:r>
      <w:r w:rsidRPr="000C54E5">
        <w:t>Заместитель</w:t>
      </w:r>
      <w:r w:rsidR="00051A2B">
        <w:t xml:space="preserve"> </w:t>
      </w:r>
      <w:r w:rsidRPr="000C54E5">
        <w:t>Председателя</w:t>
      </w:r>
      <w:r w:rsidR="00051A2B">
        <w:t xml:space="preserve"> </w:t>
      </w:r>
      <w:r w:rsidRPr="000C54E5">
        <w:t>Комитета</w:t>
      </w:r>
      <w:r w:rsidR="00051A2B">
        <w:t xml:space="preserve"> </w:t>
      </w:r>
      <w:r w:rsidRPr="000C54E5">
        <w:t>по</w:t>
      </w:r>
      <w:r w:rsidR="00051A2B">
        <w:t xml:space="preserve"> </w:t>
      </w:r>
      <w:r w:rsidRPr="000C54E5">
        <w:t>охране</w:t>
      </w:r>
      <w:r w:rsidR="00051A2B">
        <w:t xml:space="preserve"> </w:t>
      </w:r>
      <w:r w:rsidRPr="000C54E5">
        <w:t>окружающей</w:t>
      </w:r>
      <w:r w:rsidR="00051A2B">
        <w:t xml:space="preserve"> </w:t>
      </w:r>
      <w:r w:rsidRPr="000C54E5">
        <w:t>среды</w:t>
      </w:r>
      <w:r w:rsidR="00051A2B">
        <w:t xml:space="preserve"> </w:t>
      </w:r>
      <w:r w:rsidRPr="000C54E5">
        <w:t>при</w:t>
      </w:r>
      <w:r w:rsidR="00051A2B">
        <w:t xml:space="preserve"> </w:t>
      </w:r>
      <w:r w:rsidRPr="000C54E5">
        <w:t>правительстве</w:t>
      </w:r>
      <w:r w:rsidR="00051A2B">
        <w:t xml:space="preserve"> </w:t>
      </w:r>
      <w:r w:rsidRPr="000C54E5">
        <w:t>Таджикистана</w:t>
      </w:r>
      <w:r w:rsidR="00051A2B">
        <w:t xml:space="preserve"> </w:t>
      </w:r>
      <w:r w:rsidRPr="000C54E5">
        <w:t>представила</w:t>
      </w:r>
      <w:r w:rsidR="00051A2B">
        <w:t xml:space="preserve"> </w:t>
      </w:r>
      <w:r w:rsidRPr="000C54E5">
        <w:t>общий</w:t>
      </w:r>
      <w:r w:rsidR="00051A2B">
        <w:t xml:space="preserve"> </w:t>
      </w:r>
      <w:r w:rsidRPr="000C54E5">
        <w:t>обзор</w:t>
      </w:r>
      <w:r w:rsidR="00051A2B">
        <w:t xml:space="preserve"> </w:t>
      </w:r>
      <w:r w:rsidRPr="000C54E5">
        <w:t>главнейших</w:t>
      </w:r>
      <w:r w:rsidR="00051A2B">
        <w:t xml:space="preserve"> </w:t>
      </w:r>
      <w:r w:rsidRPr="000C54E5">
        <w:t>экологических</w:t>
      </w:r>
      <w:r w:rsidR="00051A2B">
        <w:t xml:space="preserve"> </w:t>
      </w:r>
      <w:r w:rsidRPr="000C54E5">
        <w:t>проблем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е</w:t>
      </w:r>
      <w:r w:rsidR="00AD7450">
        <w:t>е</w:t>
      </w:r>
      <w:r w:rsidR="00051A2B">
        <w:t xml:space="preserve"> </w:t>
      </w:r>
      <w:r w:rsidRPr="000C54E5">
        <w:t>стране,</w:t>
      </w:r>
      <w:r w:rsidR="00051A2B">
        <w:t xml:space="preserve"> </w:t>
      </w:r>
      <w:r w:rsidRPr="000C54E5">
        <w:t>уделив</w:t>
      </w:r>
      <w:r w:rsidR="00051A2B">
        <w:t xml:space="preserve"> </w:t>
      </w:r>
      <w:r w:rsidRPr="000C54E5">
        <w:t>особое</w:t>
      </w:r>
      <w:r w:rsidR="00A32F55" w:rsidRPr="00A32F55">
        <w:t xml:space="preserve"> </w:t>
      </w:r>
      <w:r w:rsidRPr="000C54E5">
        <w:t>внимание</w:t>
      </w:r>
      <w:r w:rsidR="00051A2B">
        <w:t xml:space="preserve"> </w:t>
      </w:r>
      <w:r w:rsidRPr="000C54E5">
        <w:t>проблеме</w:t>
      </w:r>
      <w:r w:rsidR="00051A2B">
        <w:t xml:space="preserve"> </w:t>
      </w:r>
      <w:r w:rsidRPr="000C54E5">
        <w:t>изменения</w:t>
      </w:r>
      <w:r w:rsidR="00051A2B">
        <w:t xml:space="preserve"> </w:t>
      </w:r>
      <w:r w:rsidRPr="000C54E5">
        <w:t>климата</w:t>
      </w:r>
      <w:r w:rsidR="00A32F55">
        <w:rPr>
          <w:lang w:val="en-US"/>
        </w:rPr>
        <w:t> </w:t>
      </w:r>
      <w:r w:rsidRPr="000C54E5">
        <w:t>–</w:t>
      </w:r>
      <w:r w:rsidR="00051A2B">
        <w:t xml:space="preserve"> </w:t>
      </w:r>
      <w:r w:rsidRPr="000C54E5">
        <w:t>важнейшему</w:t>
      </w:r>
      <w:r w:rsidR="00051A2B">
        <w:t xml:space="preserve"> </w:t>
      </w:r>
      <w:r w:rsidRPr="000C54E5">
        <w:t>фактору</w:t>
      </w:r>
      <w:r w:rsidR="00051A2B">
        <w:t xml:space="preserve"> </w:t>
      </w:r>
      <w:r w:rsidRPr="000C54E5">
        <w:t>нагрузки</w:t>
      </w:r>
      <w:r w:rsidR="00051A2B">
        <w:t xml:space="preserve"> </w:t>
      </w:r>
      <w:r w:rsidRPr="000C54E5">
        <w:t>на</w:t>
      </w:r>
      <w:r w:rsidR="00051A2B">
        <w:t xml:space="preserve"> </w:t>
      </w:r>
      <w:r w:rsidRPr="000C54E5">
        <w:t>природные</w:t>
      </w:r>
      <w:r w:rsidR="00051A2B">
        <w:t xml:space="preserve"> </w:t>
      </w:r>
      <w:r w:rsidRPr="000C54E5">
        <w:t>ресурсы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Таджикистане.</w:t>
      </w:r>
      <w:r w:rsidR="00051A2B">
        <w:t xml:space="preserve"> </w:t>
      </w:r>
      <w:r w:rsidRPr="000C54E5">
        <w:t>Она</w:t>
      </w:r>
      <w:r w:rsidR="00A32F55">
        <w:rPr>
          <w:lang w:val="en-US"/>
        </w:rPr>
        <w:t> </w:t>
      </w:r>
      <w:r w:rsidRPr="000C54E5">
        <w:t>также</w:t>
      </w:r>
      <w:r w:rsidR="00051A2B">
        <w:t xml:space="preserve"> </w:t>
      </w:r>
      <w:r w:rsidRPr="000C54E5">
        <w:t>выделила</w:t>
      </w:r>
      <w:r w:rsidR="00051A2B">
        <w:t xml:space="preserve"> </w:t>
      </w:r>
      <w:r w:rsidRPr="000C54E5">
        <w:t>основные</w:t>
      </w:r>
      <w:r w:rsidR="00051A2B">
        <w:t xml:space="preserve"> </w:t>
      </w:r>
      <w:r w:rsidRPr="000C54E5">
        <w:t>результаты,</w:t>
      </w:r>
      <w:r w:rsidR="00051A2B">
        <w:t xml:space="preserve"> </w:t>
      </w:r>
      <w:r w:rsidRPr="000C54E5">
        <w:t>достигнутые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ответ</w:t>
      </w:r>
      <w:r w:rsidR="00051A2B">
        <w:t xml:space="preserve"> </w:t>
      </w:r>
      <w:r w:rsidRPr="000C54E5">
        <w:t>на рекомендации</w:t>
      </w:r>
      <w:r w:rsidR="00051A2B">
        <w:t xml:space="preserve"> </w:t>
      </w:r>
      <w:r w:rsidRPr="000C54E5">
        <w:t>второго</w:t>
      </w:r>
      <w:r w:rsidR="00051A2B">
        <w:t xml:space="preserve"> </w:t>
      </w:r>
      <w:r w:rsidRPr="000C54E5">
        <w:t>обзора</w:t>
      </w:r>
      <w:r w:rsidR="00051A2B">
        <w:t xml:space="preserve"> </w:t>
      </w:r>
      <w:r w:rsidRPr="000C54E5">
        <w:t>результативности</w:t>
      </w:r>
      <w:r w:rsidR="00051A2B">
        <w:t xml:space="preserve"> </w:t>
      </w:r>
      <w:r w:rsidRPr="000C54E5">
        <w:t>экологической</w:t>
      </w:r>
      <w:r w:rsidR="00051A2B">
        <w:t xml:space="preserve"> </w:t>
      </w:r>
      <w:r w:rsidRPr="000C54E5">
        <w:t>деятельности</w:t>
      </w:r>
      <w:r w:rsidR="00051A2B">
        <w:t xml:space="preserve"> </w:t>
      </w:r>
      <w:r w:rsidRPr="000C54E5">
        <w:t>страны.</w:t>
      </w:r>
      <w:r w:rsidR="00051A2B">
        <w:t xml:space="preserve"> </w:t>
      </w:r>
      <w:r w:rsidRPr="000C54E5">
        <w:t>Что</w:t>
      </w:r>
      <w:r w:rsidR="00051A2B">
        <w:t xml:space="preserve"> </w:t>
      </w:r>
      <w:r w:rsidRPr="000C54E5">
        <w:t>касается</w:t>
      </w:r>
      <w:r w:rsidR="00051A2B">
        <w:t xml:space="preserve"> </w:t>
      </w:r>
      <w:r w:rsidRPr="000C54E5">
        <w:t>следующих</w:t>
      </w:r>
      <w:r w:rsidR="00051A2B">
        <w:t xml:space="preserve"> </w:t>
      </w:r>
      <w:r w:rsidRPr="000C54E5">
        <w:t>шагов,</w:t>
      </w:r>
      <w:r w:rsidR="00051A2B">
        <w:t xml:space="preserve"> </w:t>
      </w:r>
      <w:r w:rsidRPr="000C54E5">
        <w:t>то</w:t>
      </w:r>
      <w:r w:rsidR="00051A2B">
        <w:t xml:space="preserve"> </w:t>
      </w:r>
      <w:r w:rsidRPr="000C54E5">
        <w:t>будет</w:t>
      </w:r>
      <w:r w:rsidR="00051A2B">
        <w:t xml:space="preserve"> </w:t>
      </w:r>
      <w:r w:rsidRPr="000C54E5">
        <w:t>провед</w:t>
      </w:r>
      <w:r w:rsidR="00AD7450">
        <w:t>е</w:t>
      </w:r>
      <w:r w:rsidRPr="000C54E5">
        <w:t>н</w:t>
      </w:r>
      <w:r w:rsidR="00051A2B">
        <w:t xml:space="preserve"> </w:t>
      </w:r>
      <w:r w:rsidRPr="000C54E5">
        <w:t>анализ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обзор</w:t>
      </w:r>
      <w:r w:rsidR="00051A2B">
        <w:t xml:space="preserve"> </w:t>
      </w:r>
      <w:r w:rsidRPr="000C54E5">
        <w:t>программ</w:t>
      </w:r>
      <w:r w:rsidR="00051A2B">
        <w:t xml:space="preserve"> </w:t>
      </w:r>
      <w:r w:rsidRPr="000C54E5">
        <w:t>развития</w:t>
      </w:r>
      <w:r w:rsidR="00051A2B">
        <w:t xml:space="preserve"> </w:t>
      </w:r>
      <w:r w:rsidRPr="000C54E5">
        <w:t>секторов</w:t>
      </w:r>
      <w:r w:rsidR="00A32F55" w:rsidRPr="00A32F55">
        <w:t xml:space="preserve"> </w:t>
      </w:r>
      <w:r w:rsidRPr="000C54E5">
        <w:t>экономики,</w:t>
      </w:r>
      <w:r w:rsidR="00051A2B">
        <w:t xml:space="preserve"> </w:t>
      </w:r>
      <w:r w:rsidRPr="000C54E5">
        <w:t>охваченных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Национальной</w:t>
      </w:r>
      <w:r w:rsidR="00051A2B">
        <w:t xml:space="preserve"> </w:t>
      </w:r>
      <w:r w:rsidRPr="000C54E5">
        <w:t>стратегии</w:t>
      </w:r>
      <w:r w:rsidR="00051A2B">
        <w:t xml:space="preserve"> </w:t>
      </w:r>
      <w:r w:rsidRPr="000C54E5">
        <w:t>развития</w:t>
      </w:r>
      <w:r w:rsidR="00051A2B">
        <w:t xml:space="preserve"> </w:t>
      </w:r>
      <w:r w:rsidRPr="000C54E5">
        <w:t>на</w:t>
      </w:r>
      <w:r w:rsidR="00051A2B">
        <w:t xml:space="preserve"> </w:t>
      </w:r>
      <w:r w:rsidRPr="000C54E5">
        <w:t>период</w:t>
      </w:r>
      <w:r w:rsidR="00051A2B">
        <w:t xml:space="preserve"> </w:t>
      </w:r>
      <w:r w:rsidRPr="000C54E5">
        <w:t>до</w:t>
      </w:r>
      <w:r w:rsidR="00051A2B">
        <w:t xml:space="preserve"> </w:t>
      </w:r>
      <w:r w:rsidRPr="000C54E5">
        <w:t>2030 года,</w:t>
      </w:r>
      <w:r w:rsidR="00051A2B">
        <w:t xml:space="preserve"> </w:t>
      </w:r>
      <w:r w:rsidRPr="000C54E5">
        <w:t>с</w:t>
      </w:r>
      <w:r w:rsidR="00051A2B">
        <w:t xml:space="preserve"> </w:t>
      </w:r>
      <w:r w:rsidRPr="000C54E5">
        <w:t>целью</w:t>
      </w:r>
      <w:r w:rsidR="00051A2B">
        <w:t xml:space="preserve"> </w:t>
      </w:r>
      <w:r w:rsidRPr="000C54E5">
        <w:t>их</w:t>
      </w:r>
      <w:r w:rsidR="00051A2B">
        <w:t xml:space="preserve"> </w:t>
      </w:r>
      <w:r w:rsidRPr="000C54E5">
        <w:t>адаптации</w:t>
      </w:r>
      <w:r w:rsidR="00051A2B">
        <w:t xml:space="preserve"> </w:t>
      </w:r>
      <w:r w:rsidRPr="000C54E5">
        <w:t>с</w:t>
      </w:r>
      <w:r w:rsidR="00051A2B">
        <w:t xml:space="preserve"> </w:t>
      </w:r>
      <w:r w:rsidRPr="000C54E5">
        <w:t>уч</w:t>
      </w:r>
      <w:r w:rsidR="00AD7450">
        <w:t>е</w:t>
      </w:r>
      <w:r w:rsidRPr="000C54E5">
        <w:t>том</w:t>
      </w:r>
      <w:r w:rsidR="00051A2B">
        <w:t xml:space="preserve"> </w:t>
      </w:r>
      <w:r w:rsidRPr="000C54E5">
        <w:t>рекомендаций</w:t>
      </w:r>
      <w:r w:rsidR="00051A2B">
        <w:t xml:space="preserve"> </w:t>
      </w:r>
      <w:r w:rsidRPr="000C54E5">
        <w:t>третьего</w:t>
      </w:r>
      <w:r w:rsidR="00051A2B">
        <w:t xml:space="preserve"> </w:t>
      </w:r>
      <w:r w:rsidRPr="000C54E5">
        <w:t>обзора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интересах</w:t>
      </w:r>
      <w:r w:rsidR="00051A2B">
        <w:t xml:space="preserve"> </w:t>
      </w:r>
      <w:r w:rsidRPr="000C54E5">
        <w:t>обеспечения</w:t>
      </w:r>
      <w:r w:rsidR="0069374B">
        <w:t xml:space="preserve"> </w:t>
      </w:r>
      <w:r w:rsidRPr="000C54E5">
        <w:t>того,</w:t>
      </w:r>
      <w:r w:rsidR="00A32F55" w:rsidRPr="00A32F55">
        <w:t xml:space="preserve"> </w:t>
      </w:r>
      <w:r w:rsidRPr="000C54E5">
        <w:t>чтобы</w:t>
      </w:r>
      <w:r w:rsidR="00051A2B">
        <w:t xml:space="preserve"> </w:t>
      </w:r>
      <w:r w:rsidRPr="000C54E5">
        <w:t>охрана</w:t>
      </w:r>
      <w:r w:rsidR="00051A2B">
        <w:t xml:space="preserve"> </w:t>
      </w:r>
      <w:r w:rsidRPr="000C54E5">
        <w:t>окружающей</w:t>
      </w:r>
      <w:r w:rsidR="00051A2B">
        <w:t xml:space="preserve"> </w:t>
      </w:r>
      <w:r w:rsidRPr="000C54E5">
        <w:t>среды</w:t>
      </w:r>
      <w:r w:rsidR="00051A2B">
        <w:t xml:space="preserve"> </w:t>
      </w:r>
      <w:r w:rsidRPr="000C54E5">
        <w:t>стала</w:t>
      </w:r>
      <w:r w:rsidR="00051A2B">
        <w:t xml:space="preserve"> </w:t>
      </w:r>
      <w:r w:rsidRPr="000C54E5">
        <w:t>одним</w:t>
      </w:r>
      <w:r w:rsidR="00051A2B">
        <w:t xml:space="preserve"> </w:t>
      </w:r>
      <w:r w:rsidRPr="000C54E5">
        <w:t>из</w:t>
      </w:r>
      <w:r w:rsidR="00051A2B">
        <w:t xml:space="preserve"> </w:t>
      </w:r>
      <w:r w:rsidRPr="000C54E5">
        <w:t>основных</w:t>
      </w:r>
      <w:r w:rsidR="00051A2B">
        <w:t xml:space="preserve"> </w:t>
      </w:r>
      <w:r w:rsidRPr="000C54E5">
        <w:t>направлений</w:t>
      </w:r>
      <w:r w:rsidR="00051A2B">
        <w:t xml:space="preserve"> </w:t>
      </w:r>
      <w:r w:rsidRPr="000C54E5">
        <w:t>деятельности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конкретных</w:t>
      </w:r>
      <w:r w:rsidR="00051A2B">
        <w:t xml:space="preserve"> </w:t>
      </w:r>
      <w:r w:rsidRPr="000C54E5">
        <w:t>секторах</w:t>
      </w:r>
      <w:r w:rsidR="00051A2B">
        <w:t xml:space="preserve"> </w:t>
      </w:r>
      <w:r w:rsidRPr="000C54E5">
        <w:t>экономики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в сфере</w:t>
      </w:r>
      <w:r w:rsidR="00051A2B">
        <w:t xml:space="preserve"> </w:t>
      </w:r>
      <w:r w:rsidRPr="000C54E5">
        <w:t>образования.</w:t>
      </w:r>
      <w:r w:rsidR="00051A2B">
        <w:t xml:space="preserve"> </w:t>
      </w:r>
    </w:p>
    <w:p w:rsidR="000C54E5" w:rsidRPr="000C54E5" w:rsidRDefault="00A32F55" w:rsidP="000C54E5">
      <w:pPr>
        <w:pStyle w:val="SingleTxtGR"/>
      </w:pPr>
      <w:r>
        <w:t>48.</w:t>
      </w:r>
      <w:r w:rsidR="000C54E5" w:rsidRPr="000C54E5">
        <w:tab/>
        <w:t>После обсуждения обзора Комитет принял рекомендации, содержащиеся в третьем</w:t>
      </w:r>
      <w:r w:rsidR="0069374B">
        <w:t xml:space="preserve"> </w:t>
      </w:r>
      <w:r w:rsidR="000C54E5" w:rsidRPr="000C54E5">
        <w:t>обзоре результативности экологической деятельности Таджикистана (информационный документ № 3).</w:t>
      </w:r>
    </w:p>
    <w:p w:rsidR="000C54E5" w:rsidRPr="000C54E5" w:rsidRDefault="000C54E5" w:rsidP="00A32F55">
      <w:pPr>
        <w:pStyle w:val="SingleTxtGR"/>
        <w:keepNext/>
        <w:keepLines/>
      </w:pPr>
      <w:r w:rsidRPr="000C54E5">
        <w:t>49.</w:t>
      </w:r>
      <w:r w:rsidR="00A32F55">
        <w:tab/>
      </w:r>
      <w:r w:rsidRPr="000C54E5">
        <w:t>Докладчик</w:t>
      </w:r>
      <w:r w:rsidR="00051A2B">
        <w:t xml:space="preserve"> </w:t>
      </w:r>
      <w:r w:rsidRPr="000C54E5">
        <w:t>по</w:t>
      </w:r>
      <w:r w:rsidR="00051A2B">
        <w:t xml:space="preserve"> </w:t>
      </w:r>
      <w:r w:rsidRPr="000C54E5">
        <w:t>обзору</w:t>
      </w:r>
      <w:r w:rsidR="00051A2B">
        <w:t xml:space="preserve"> </w:t>
      </w:r>
      <w:r w:rsidRPr="000C54E5">
        <w:t>Швеция</w:t>
      </w:r>
      <w:r w:rsidR="00051A2B">
        <w:t xml:space="preserve"> </w:t>
      </w:r>
      <w:r w:rsidRPr="000C54E5">
        <w:t>кратко</w:t>
      </w:r>
      <w:r w:rsidR="00051A2B">
        <w:t xml:space="preserve"> </w:t>
      </w:r>
      <w:r w:rsidRPr="000C54E5">
        <w:t>изложил</w:t>
      </w:r>
      <w:r w:rsidR="00051A2B">
        <w:t xml:space="preserve"> </w:t>
      </w:r>
      <w:r w:rsidRPr="000C54E5">
        <w:t>основные</w:t>
      </w:r>
      <w:r w:rsidR="00051A2B">
        <w:t xml:space="preserve"> </w:t>
      </w:r>
      <w:r w:rsidRPr="000C54E5">
        <w:t>выводы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рекомендации</w:t>
      </w:r>
      <w:r w:rsidR="00051A2B">
        <w:t xml:space="preserve"> </w:t>
      </w:r>
      <w:r w:rsidRPr="000C54E5">
        <w:t>третьего</w:t>
      </w:r>
      <w:r w:rsidR="00051A2B">
        <w:t xml:space="preserve"> </w:t>
      </w:r>
      <w:r w:rsidRPr="000C54E5">
        <w:t>обзора</w:t>
      </w:r>
      <w:r w:rsidR="00051A2B">
        <w:t xml:space="preserve"> </w:t>
      </w:r>
      <w:r w:rsidRPr="000C54E5">
        <w:t>результативности</w:t>
      </w:r>
      <w:r w:rsidR="00051A2B">
        <w:t xml:space="preserve"> </w:t>
      </w:r>
      <w:r w:rsidRPr="000C54E5">
        <w:t>экологической</w:t>
      </w:r>
      <w:r w:rsidR="00051A2B">
        <w:t xml:space="preserve"> </w:t>
      </w:r>
      <w:r w:rsidRPr="000C54E5">
        <w:t>деятельности</w:t>
      </w:r>
      <w:r w:rsidR="00051A2B">
        <w:t xml:space="preserve"> </w:t>
      </w:r>
      <w:r w:rsidRPr="000C54E5">
        <w:t>Болгарии,</w:t>
      </w:r>
      <w:r w:rsidR="00051A2B">
        <w:t xml:space="preserve"> </w:t>
      </w:r>
      <w:r w:rsidRPr="000C54E5">
        <w:t>рассмотрение</w:t>
      </w:r>
      <w:r w:rsidR="00051A2B">
        <w:t xml:space="preserve"> </w:t>
      </w:r>
      <w:r w:rsidRPr="000C54E5">
        <w:t>которого</w:t>
      </w:r>
      <w:r w:rsidR="00051A2B">
        <w:t xml:space="preserve"> </w:t>
      </w:r>
      <w:r w:rsidRPr="000C54E5">
        <w:t>было</w:t>
      </w:r>
      <w:r w:rsidR="00A32F55" w:rsidRPr="00A32F55">
        <w:t xml:space="preserve"> </w:t>
      </w:r>
      <w:r w:rsidRPr="000C54E5">
        <w:t>проведено</w:t>
      </w:r>
      <w:r w:rsidR="00051A2B">
        <w:t xml:space="preserve"> </w:t>
      </w:r>
      <w:r w:rsidRPr="000C54E5">
        <w:t>Группой</w:t>
      </w:r>
      <w:r w:rsidR="00051A2B">
        <w:t xml:space="preserve"> </w:t>
      </w:r>
      <w:r w:rsidRPr="000C54E5">
        <w:t>экспертов</w:t>
      </w:r>
      <w:r w:rsidR="00051A2B">
        <w:t xml:space="preserve"> </w:t>
      </w:r>
      <w:r w:rsidRPr="000C54E5">
        <w:t>6</w:t>
      </w:r>
      <w:r w:rsidR="00051A2B">
        <w:t xml:space="preserve"> </w:t>
      </w:r>
      <w:r w:rsidRPr="000C54E5">
        <w:t>декабря</w:t>
      </w:r>
      <w:r w:rsidR="00051A2B">
        <w:t xml:space="preserve"> </w:t>
      </w:r>
      <w:r w:rsidRPr="000C54E5">
        <w:t>2016 года в</w:t>
      </w:r>
      <w:r w:rsidR="00051A2B">
        <w:t xml:space="preserve"> </w:t>
      </w:r>
      <w:r w:rsidRPr="000C54E5">
        <w:t>Женеве.</w:t>
      </w:r>
      <w:r w:rsidR="00051A2B">
        <w:t xml:space="preserve"> </w:t>
      </w:r>
      <w:r w:rsidRPr="000C54E5">
        <w:t>После</w:t>
      </w:r>
      <w:r w:rsidR="00051A2B">
        <w:t xml:space="preserve"> </w:t>
      </w:r>
      <w:r w:rsidRPr="000C54E5">
        <w:t>проведения</w:t>
      </w:r>
      <w:r w:rsidR="00051A2B">
        <w:t xml:space="preserve"> </w:t>
      </w:r>
      <w:r w:rsidRPr="000C54E5">
        <w:t>второго</w:t>
      </w:r>
      <w:r w:rsidR="00051A2B">
        <w:t xml:space="preserve"> </w:t>
      </w:r>
      <w:r w:rsidRPr="000C54E5">
        <w:t>обзора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2000</w:t>
      </w:r>
      <w:r w:rsidR="0069374B">
        <w:t xml:space="preserve"> </w:t>
      </w:r>
      <w:r w:rsidRPr="000C54E5">
        <w:t>году</w:t>
      </w:r>
      <w:r w:rsidR="00051A2B">
        <w:t xml:space="preserve"> </w:t>
      </w:r>
      <w:r w:rsidRPr="000C54E5">
        <w:t>Болгария</w:t>
      </w:r>
      <w:r w:rsidR="00051A2B">
        <w:t xml:space="preserve"> </w:t>
      </w:r>
      <w:r w:rsidRPr="000C54E5">
        <w:t>достигла</w:t>
      </w:r>
      <w:r w:rsidR="00051A2B">
        <w:t xml:space="preserve"> </w:t>
      </w:r>
      <w:r w:rsidRPr="000C54E5">
        <w:t>прогресса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развитии</w:t>
      </w:r>
      <w:r w:rsidR="00051A2B">
        <w:t xml:space="preserve"> </w:t>
      </w:r>
      <w:r w:rsidRPr="000C54E5">
        <w:t>основ</w:t>
      </w:r>
      <w:r w:rsidR="00051A2B">
        <w:t xml:space="preserve"> </w:t>
      </w:r>
      <w:r w:rsidRPr="000C54E5">
        <w:t>экологической</w:t>
      </w:r>
      <w:r w:rsidR="00051A2B">
        <w:t xml:space="preserve"> </w:t>
      </w:r>
      <w:r w:rsidRPr="000C54E5">
        <w:t>политики,</w:t>
      </w:r>
      <w:r w:rsidR="00051A2B">
        <w:t xml:space="preserve"> </w:t>
      </w:r>
      <w:r w:rsidRPr="000C54E5">
        <w:t>мониторинге</w:t>
      </w:r>
      <w:r w:rsidR="00051A2B">
        <w:t xml:space="preserve"> </w:t>
      </w:r>
      <w:r w:rsidRPr="000C54E5">
        <w:t>качества</w:t>
      </w:r>
      <w:r w:rsidR="00051A2B">
        <w:t xml:space="preserve"> </w:t>
      </w:r>
      <w:r w:rsidRPr="000C54E5">
        <w:t>воздуха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шума,</w:t>
      </w:r>
      <w:r w:rsidR="00051A2B">
        <w:t xml:space="preserve"> </w:t>
      </w:r>
      <w:r w:rsidRPr="000C54E5">
        <w:t>очистке</w:t>
      </w:r>
      <w:r w:rsidR="00051A2B">
        <w:t xml:space="preserve"> </w:t>
      </w:r>
      <w:r w:rsidRPr="000C54E5">
        <w:t>сточных</w:t>
      </w:r>
      <w:r w:rsidR="00051A2B">
        <w:t xml:space="preserve"> </w:t>
      </w:r>
      <w:r w:rsidRPr="000C54E5">
        <w:t>вод,</w:t>
      </w:r>
      <w:r w:rsidR="00051A2B">
        <w:t xml:space="preserve"> </w:t>
      </w:r>
      <w:r w:rsidRPr="000C54E5">
        <w:t>деятельности по сокращению</w:t>
      </w:r>
      <w:r w:rsidR="00051A2B">
        <w:t xml:space="preserve"> </w:t>
      </w:r>
      <w:r w:rsidRPr="000C54E5">
        <w:t>общего</w:t>
      </w:r>
      <w:r w:rsidR="00051A2B">
        <w:t xml:space="preserve"> </w:t>
      </w:r>
      <w:r w:rsidRPr="000C54E5">
        <w:t>объ</w:t>
      </w:r>
      <w:r w:rsidR="00AD7450">
        <w:t>е</w:t>
      </w:r>
      <w:r w:rsidRPr="000C54E5">
        <w:t>ма</w:t>
      </w:r>
      <w:r w:rsidR="00051A2B">
        <w:t xml:space="preserve"> </w:t>
      </w:r>
      <w:r w:rsidRPr="000C54E5">
        <w:t>атмосферных</w:t>
      </w:r>
      <w:r w:rsidR="00051A2B">
        <w:t xml:space="preserve"> </w:t>
      </w:r>
      <w:r w:rsidRPr="000C54E5">
        <w:t>выбросов,</w:t>
      </w:r>
      <w:r w:rsidR="00051A2B">
        <w:t xml:space="preserve"> </w:t>
      </w:r>
      <w:r w:rsidRPr="000C54E5">
        <w:t>работе</w:t>
      </w:r>
      <w:r w:rsidR="00051A2B">
        <w:t xml:space="preserve"> </w:t>
      </w:r>
      <w:r w:rsidRPr="000C54E5">
        <w:t>по</w:t>
      </w:r>
      <w:r w:rsidR="00051A2B">
        <w:t xml:space="preserve"> </w:t>
      </w:r>
      <w:r w:rsidRPr="000C54E5">
        <w:t>увеличению</w:t>
      </w:r>
      <w:r w:rsidR="00051A2B">
        <w:t xml:space="preserve"> </w:t>
      </w:r>
      <w:r w:rsidRPr="000C54E5">
        <w:t>площади</w:t>
      </w:r>
      <w:r w:rsidR="00051A2B">
        <w:t xml:space="preserve"> </w:t>
      </w:r>
      <w:r w:rsidRPr="000C54E5">
        <w:t>охраняемых</w:t>
      </w:r>
      <w:r w:rsidR="00051A2B">
        <w:t xml:space="preserve"> </w:t>
      </w:r>
      <w:r w:rsidRPr="000C54E5">
        <w:t>территорий и</w:t>
      </w:r>
      <w:r w:rsidR="00051A2B">
        <w:t xml:space="preserve"> </w:t>
      </w:r>
      <w:r w:rsidRPr="000C54E5">
        <w:t>в</w:t>
      </w:r>
      <w:r w:rsidR="00051A2B">
        <w:t xml:space="preserve"> </w:t>
      </w:r>
      <w:r w:rsidRPr="000C54E5">
        <w:t>использовании</w:t>
      </w:r>
      <w:r w:rsidR="00A32F55" w:rsidRPr="00A32F55">
        <w:t xml:space="preserve"> </w:t>
      </w:r>
      <w:r w:rsidRPr="000C54E5">
        <w:t>возобновляемой</w:t>
      </w:r>
      <w:r w:rsidR="00051A2B">
        <w:t xml:space="preserve"> </w:t>
      </w:r>
      <w:r w:rsidRPr="000C54E5">
        <w:t>энергии.</w:t>
      </w:r>
      <w:r w:rsidR="00051A2B">
        <w:t xml:space="preserve"> </w:t>
      </w:r>
      <w:r w:rsidRPr="000C54E5">
        <w:t>К</w:t>
      </w:r>
      <w:r w:rsidR="00051A2B">
        <w:t xml:space="preserve"> </w:t>
      </w:r>
      <w:r w:rsidRPr="000C54E5">
        <w:t>оставшимся</w:t>
      </w:r>
      <w:r w:rsidR="00051A2B">
        <w:t xml:space="preserve"> </w:t>
      </w:r>
      <w:r w:rsidRPr="000C54E5">
        <w:t>проблемам</w:t>
      </w:r>
      <w:r w:rsidR="00051A2B">
        <w:t xml:space="preserve"> </w:t>
      </w:r>
      <w:r w:rsidRPr="000C54E5">
        <w:t>относятся</w:t>
      </w:r>
      <w:r w:rsidR="00051A2B">
        <w:t xml:space="preserve"> </w:t>
      </w:r>
      <w:r w:rsidRPr="000C54E5">
        <w:t>проблемы необходимости</w:t>
      </w:r>
      <w:r w:rsidR="00051A2B">
        <w:t xml:space="preserve"> </w:t>
      </w:r>
      <w:r w:rsidRPr="000C54E5">
        <w:t>сокращения загрязнения</w:t>
      </w:r>
      <w:r w:rsidR="00051A2B">
        <w:t xml:space="preserve"> </w:t>
      </w:r>
      <w:r w:rsidRPr="000C54E5">
        <w:t>городского</w:t>
      </w:r>
      <w:r w:rsidR="00051A2B">
        <w:t xml:space="preserve"> </w:t>
      </w:r>
      <w:r w:rsidRPr="000C54E5">
        <w:t>воздуха</w:t>
      </w:r>
      <w:r w:rsidR="00051A2B">
        <w:t xml:space="preserve"> </w:t>
      </w:r>
      <w:r w:rsidRPr="000C54E5">
        <w:t>дисперсными частицами</w:t>
      </w:r>
      <w:r w:rsidR="00051A2B">
        <w:t xml:space="preserve"> </w:t>
      </w:r>
      <w:r w:rsidRPr="000C54E5">
        <w:t>и</w:t>
      </w:r>
      <w:r w:rsidR="0069374B">
        <w:t xml:space="preserve"> </w:t>
      </w:r>
      <w:r w:rsidRPr="000C54E5">
        <w:t>объ</w:t>
      </w:r>
      <w:r w:rsidR="00AD7450">
        <w:t>е</w:t>
      </w:r>
      <w:r w:rsidRPr="000C54E5">
        <w:t>мов</w:t>
      </w:r>
      <w:r w:rsidR="0069374B">
        <w:t xml:space="preserve"> </w:t>
      </w:r>
      <w:r w:rsidRPr="000C54E5">
        <w:t>атмосферных</w:t>
      </w:r>
      <w:r w:rsidR="00A32F55" w:rsidRPr="00A32F55">
        <w:t xml:space="preserve"> </w:t>
      </w:r>
      <w:r w:rsidRPr="000C54E5">
        <w:t>выбросов</w:t>
      </w:r>
      <w:r w:rsidR="00051A2B">
        <w:t xml:space="preserve"> </w:t>
      </w:r>
      <w:r w:rsidRPr="000C54E5">
        <w:t>от</w:t>
      </w:r>
      <w:r w:rsidR="00051A2B">
        <w:t xml:space="preserve"> </w:t>
      </w:r>
      <w:r w:rsidRPr="000C54E5">
        <w:t>тепловых</w:t>
      </w:r>
      <w:r w:rsidR="00051A2B">
        <w:t xml:space="preserve"> </w:t>
      </w:r>
      <w:r w:rsidRPr="000C54E5">
        <w:t>электростанций,</w:t>
      </w:r>
      <w:r w:rsidR="00051A2B">
        <w:t xml:space="preserve"> </w:t>
      </w:r>
      <w:r w:rsidRPr="000C54E5">
        <w:t>завершения</w:t>
      </w:r>
      <w:r w:rsidR="00051A2B">
        <w:t xml:space="preserve"> </w:t>
      </w:r>
      <w:r w:rsidRPr="000C54E5">
        <w:t>разработки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осуществления</w:t>
      </w:r>
      <w:r w:rsidR="00051A2B">
        <w:t xml:space="preserve"> </w:t>
      </w:r>
      <w:r w:rsidRPr="000C54E5">
        <w:t>политики,</w:t>
      </w:r>
      <w:r w:rsidR="00051A2B">
        <w:t xml:space="preserve"> </w:t>
      </w:r>
      <w:r w:rsidRPr="000C54E5">
        <w:t>связанной</w:t>
      </w:r>
      <w:r w:rsidR="00051A2B">
        <w:t xml:space="preserve"> </w:t>
      </w:r>
      <w:r w:rsidRPr="000C54E5">
        <w:t>с биоразнообразием</w:t>
      </w:r>
      <w:r w:rsidR="00051A2B">
        <w:t xml:space="preserve"> </w:t>
      </w:r>
      <w:r w:rsidRPr="000C54E5">
        <w:t>и</w:t>
      </w:r>
      <w:r w:rsidR="00051A2B">
        <w:t xml:space="preserve"> </w:t>
      </w:r>
      <w:r w:rsidRPr="000C54E5">
        <w:t>изменением</w:t>
      </w:r>
      <w:r w:rsidR="00051A2B">
        <w:t xml:space="preserve"> </w:t>
      </w:r>
      <w:r w:rsidRPr="000C54E5">
        <w:t>климата,</w:t>
      </w:r>
      <w:r w:rsidR="00051A2B">
        <w:t xml:space="preserve"> </w:t>
      </w:r>
      <w:r w:rsidRPr="000C54E5">
        <w:t>пересмотра</w:t>
      </w:r>
      <w:r w:rsidR="00051A2B">
        <w:t xml:space="preserve"> </w:t>
      </w:r>
      <w:r w:rsidRPr="000C54E5">
        <w:t>законодательства,</w:t>
      </w:r>
      <w:r w:rsidR="00051A2B">
        <w:t xml:space="preserve"> </w:t>
      </w:r>
      <w:r w:rsidRPr="000C54E5">
        <w:t>касающегося</w:t>
      </w:r>
      <w:r w:rsidR="00A32F55" w:rsidRPr="00A32F55">
        <w:t xml:space="preserve"> </w:t>
      </w:r>
      <w:r w:rsidRPr="000C54E5">
        <w:t>доступа</w:t>
      </w:r>
      <w:r w:rsidR="00051A2B">
        <w:t xml:space="preserve"> </w:t>
      </w:r>
      <w:r w:rsidRPr="000C54E5">
        <w:t>к</w:t>
      </w:r>
      <w:r w:rsidR="00051A2B">
        <w:t xml:space="preserve"> </w:t>
      </w:r>
      <w:r w:rsidRPr="000C54E5">
        <w:t>правосудию</w:t>
      </w:r>
      <w:r w:rsidR="00051A2B">
        <w:t xml:space="preserve"> </w:t>
      </w:r>
      <w:r w:rsidRPr="000C54E5">
        <w:t>по</w:t>
      </w:r>
      <w:r w:rsidR="00051A2B">
        <w:t xml:space="preserve"> </w:t>
      </w:r>
      <w:r w:rsidRPr="000C54E5">
        <w:t>экологическим</w:t>
      </w:r>
      <w:r w:rsidR="00051A2B">
        <w:t xml:space="preserve"> </w:t>
      </w:r>
      <w:r w:rsidRPr="000C54E5">
        <w:t>вопросам, и обеспечения</w:t>
      </w:r>
      <w:r w:rsidR="00051A2B">
        <w:t xml:space="preserve"> </w:t>
      </w:r>
      <w:r w:rsidRPr="000C54E5">
        <w:t>того,</w:t>
      </w:r>
      <w:r w:rsidR="00051A2B">
        <w:t xml:space="preserve"> </w:t>
      </w:r>
      <w:r w:rsidRPr="000C54E5">
        <w:t>чтобы</w:t>
      </w:r>
      <w:r w:rsidR="00051A2B">
        <w:t xml:space="preserve"> </w:t>
      </w:r>
      <w:r w:rsidRPr="000C54E5">
        <w:t>плата</w:t>
      </w:r>
      <w:r w:rsidR="00051A2B">
        <w:t xml:space="preserve"> </w:t>
      </w:r>
      <w:r w:rsidRPr="000C54E5">
        <w:t>за</w:t>
      </w:r>
      <w:r w:rsidR="00051A2B">
        <w:t xml:space="preserve"> </w:t>
      </w:r>
      <w:r w:rsidRPr="000C54E5">
        <w:t>сбор</w:t>
      </w:r>
      <w:r w:rsidR="00051A2B">
        <w:t xml:space="preserve"> </w:t>
      </w:r>
      <w:r w:rsidRPr="000C54E5">
        <w:t>городских</w:t>
      </w:r>
      <w:r w:rsidR="00051A2B">
        <w:t xml:space="preserve"> </w:t>
      </w:r>
      <w:r w:rsidRPr="000C54E5">
        <w:t>отходов</w:t>
      </w:r>
      <w:r w:rsidR="00051A2B">
        <w:t xml:space="preserve"> </w:t>
      </w:r>
      <w:r w:rsidRPr="000C54E5">
        <w:t>взималась</w:t>
      </w:r>
      <w:r w:rsidR="00051A2B">
        <w:t xml:space="preserve"> </w:t>
      </w:r>
      <w:r w:rsidRPr="000C54E5">
        <w:t>исходя</w:t>
      </w:r>
      <w:r w:rsidR="00051A2B">
        <w:t xml:space="preserve"> </w:t>
      </w:r>
      <w:r w:rsidRPr="000C54E5">
        <w:t>из</w:t>
      </w:r>
      <w:r w:rsidR="00051A2B">
        <w:t xml:space="preserve"> </w:t>
      </w:r>
      <w:r w:rsidRPr="000C54E5">
        <w:t>объ</w:t>
      </w:r>
      <w:r w:rsidR="00AD7450">
        <w:t>е</w:t>
      </w:r>
      <w:r w:rsidRPr="000C54E5">
        <w:t>ма</w:t>
      </w:r>
      <w:r w:rsidR="00051A2B">
        <w:t xml:space="preserve"> </w:t>
      </w:r>
      <w:r w:rsidRPr="000C54E5">
        <w:t>образующихся</w:t>
      </w:r>
      <w:r w:rsidR="00051A2B">
        <w:t xml:space="preserve"> </w:t>
      </w:r>
      <w:r w:rsidRPr="000C54E5">
        <w:t>отходов.</w:t>
      </w:r>
      <w:r w:rsidR="00051A2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50.</w:t>
      </w:r>
      <w:r w:rsidRPr="000C54E5">
        <w:tab/>
        <w:t>Директор Управления по делам Европейского союза и международного сотрудничества Министерства охраны окружающей среды и водного хозяйства Болгарии подчеркнул, что вступление страны в Европейский союз в 2007 году привело к появлению хорошо развитой законодательной, политической и институциональной базы. К основным достижениям страны в области окружающей среды относятся создание национальной системы мониторинга окружающей среды; присоединение</w:t>
      </w:r>
      <w:r w:rsidR="0069374B">
        <w:t xml:space="preserve"> </w:t>
      </w:r>
      <w:r w:rsidRPr="000C54E5">
        <w:t>почти ко всем важнейшим</w:t>
      </w:r>
      <w:r w:rsidR="0069374B">
        <w:t xml:space="preserve"> </w:t>
      </w:r>
      <w:r w:rsidRPr="000C54E5">
        <w:t>глобальным и региональным многосторонним природоохранным соглашениям; реализация принципа комплексного управления водными ресурсами на уровне бассейнов; разработка морской стратегии; сокращение выбросов диоксида серы и оксидов азота</w:t>
      </w:r>
      <w:r w:rsidR="0069374B">
        <w:t xml:space="preserve"> </w:t>
      </w:r>
      <w:r w:rsidRPr="000C54E5">
        <w:t>в атмосферу; уменьшение объема образования городских отходов; и расширение охраняемых территорий. Третий обзор обеспечит ценную помощь в реагировании на главные остающиеся вызовы, которые включают в себя, в частности, осуществление Повестки дня 2030 и достижение целей устойчивого развития; разработку национальной стратегии</w:t>
      </w:r>
      <w:r w:rsidR="0069374B">
        <w:t xml:space="preserve"> </w:t>
      </w:r>
      <w:r w:rsidRPr="000C54E5">
        <w:t xml:space="preserve">адаптации к изменению климата; полную реализацию принципа </w:t>
      </w:r>
      <w:r w:rsidR="00613717">
        <w:t>«</w:t>
      </w:r>
      <w:r w:rsidRPr="000C54E5">
        <w:t>загрязнитель платит</w:t>
      </w:r>
      <w:r w:rsidR="00613717">
        <w:t>»</w:t>
      </w:r>
      <w:r w:rsidRPr="000C54E5">
        <w:t>; борьбу с чрезмерно высокими уровнями концентрации дисперсных частиц; завершение работы над региональными системами управления отходами; дальнейшее расширение сети охраняемых территорий; и успешное осуществление национальной программы по</w:t>
      </w:r>
      <w:r w:rsidR="0069374B">
        <w:t xml:space="preserve"> </w:t>
      </w:r>
      <w:r w:rsidRPr="000C54E5">
        <w:t>окружающей среде на 2014</w:t>
      </w:r>
      <w:r w:rsidR="00A32F55" w:rsidRPr="00A32F55">
        <w:t>–</w:t>
      </w:r>
      <w:r w:rsidRPr="000C54E5">
        <w:t>2020 годы.</w:t>
      </w:r>
    </w:p>
    <w:p w:rsidR="000C54E5" w:rsidRPr="000C54E5" w:rsidRDefault="00A32F55" w:rsidP="000C54E5">
      <w:pPr>
        <w:pStyle w:val="SingleTxtGR"/>
      </w:pPr>
      <w:r>
        <w:t>51.</w:t>
      </w:r>
      <w:r w:rsidR="000C54E5" w:rsidRPr="000C54E5">
        <w:tab/>
        <w:t>После обсуждения обзора Комитет принял рекомендации, содержащиеся в третьем</w:t>
      </w:r>
      <w:r w:rsidR="0069374B">
        <w:t xml:space="preserve"> </w:t>
      </w:r>
      <w:r w:rsidR="000C54E5" w:rsidRPr="000C54E5">
        <w:t>обзоре</w:t>
      </w:r>
      <w:r w:rsidR="0069374B">
        <w:t xml:space="preserve"> </w:t>
      </w:r>
      <w:r w:rsidR="000C54E5" w:rsidRPr="000C54E5">
        <w:t xml:space="preserve">результативности экологической деятельности Болгарии </w:t>
      </w:r>
      <w:r>
        <w:br/>
      </w:r>
      <w:r w:rsidR="000C54E5" w:rsidRPr="000C54E5">
        <w:t>(информационный документ № 2).</w:t>
      </w:r>
    </w:p>
    <w:p w:rsidR="000C54E5" w:rsidRPr="000C54E5" w:rsidRDefault="00A32F55" w:rsidP="000C54E5">
      <w:pPr>
        <w:pStyle w:val="SingleTxtGR"/>
      </w:pPr>
      <w:r>
        <w:t>52.</w:t>
      </w:r>
      <w:r w:rsidR="000C54E5" w:rsidRPr="000C54E5">
        <w:tab/>
        <w:t>Затем представитель Республики Молдова</w:t>
      </w:r>
      <w:r w:rsidR="0069374B">
        <w:t xml:space="preserve"> </w:t>
      </w:r>
      <w:r w:rsidR="000C54E5" w:rsidRPr="000C54E5">
        <w:t>сообщил о выполнении 41 рекомендации третьего обзора по ней, проведенного в 2013 году. Свыше 80</w:t>
      </w:r>
      <w:r>
        <w:t>%</w:t>
      </w:r>
      <w:r w:rsidR="000C54E5" w:rsidRPr="000C54E5">
        <w:t xml:space="preserve"> рекомендаций</w:t>
      </w:r>
      <w:r w:rsidR="0069374B">
        <w:t xml:space="preserve"> </w:t>
      </w:r>
      <w:r w:rsidR="000C54E5" w:rsidRPr="000C54E5">
        <w:t>выполнены полностью или частично. В центре усилий по улучшению результативности экологической деятельности страны</w:t>
      </w:r>
      <w:r w:rsidR="0069374B">
        <w:t xml:space="preserve"> </w:t>
      </w:r>
      <w:r w:rsidR="000C54E5" w:rsidRPr="000C54E5">
        <w:t>находились разработка или</w:t>
      </w:r>
      <w:r w:rsidR="0069374B">
        <w:t xml:space="preserve"> </w:t>
      </w:r>
      <w:r w:rsidR="000C54E5" w:rsidRPr="000C54E5">
        <w:t>пересмотр природоохранного законодательства и политики и институциональных основ.</w:t>
      </w:r>
      <w:r w:rsidR="0069374B">
        <w:t xml:space="preserve"> </w:t>
      </w:r>
      <w:r w:rsidR="000C54E5" w:rsidRPr="000C54E5">
        <w:t>Реализации остальных восьми рекомендаций мешали проблемы, некоторые из которых связаны с сельскохозяйственным сектором, а</w:t>
      </w:r>
      <w:r w:rsidR="00723A55">
        <w:t> </w:t>
      </w:r>
      <w:r w:rsidR="000C54E5" w:rsidRPr="000C54E5">
        <w:t>именно отсутствие финансовых ресурсов, ограниченность возможностей национальных экспертов и высокая степень</w:t>
      </w:r>
      <w:r w:rsidR="0069374B">
        <w:t xml:space="preserve"> </w:t>
      </w:r>
      <w:r w:rsidR="000C54E5" w:rsidRPr="000C54E5">
        <w:t>кадровой неопределенности в условиях нестабильной политической обстановки. Необходимы значительные инвестиции, в частности в сферы обращения с отходами</w:t>
      </w:r>
      <w:r w:rsidR="0069374B">
        <w:t xml:space="preserve"> </w:t>
      </w:r>
      <w:r w:rsidR="000C54E5" w:rsidRPr="000C54E5">
        <w:t>и</w:t>
      </w:r>
      <w:r>
        <w:t xml:space="preserve"> адаптации к изменению климата.</w:t>
      </w:r>
    </w:p>
    <w:p w:rsidR="000C54E5" w:rsidRPr="000C54E5" w:rsidRDefault="00A32F55" w:rsidP="000C54E5">
      <w:pPr>
        <w:pStyle w:val="SingleTxtGR"/>
      </w:pPr>
      <w:r>
        <w:t>53.</w:t>
      </w:r>
      <w:r w:rsidR="000C54E5" w:rsidRPr="000C54E5">
        <w:tab/>
        <w:t>Комитет приветствовал представленную Республикой Молдова информацию об осуществлении рекомендаций, которые содержались в третьем обзоре результативности ее экологической деятельности, проведенном в 2013 году.</w:t>
      </w:r>
    </w:p>
    <w:p w:rsidR="000C54E5" w:rsidRPr="000C54E5" w:rsidRDefault="00A32F55" w:rsidP="000C54E5">
      <w:pPr>
        <w:pStyle w:val="SingleTxtGR"/>
      </w:pPr>
      <w:r>
        <w:t>54.</w:t>
      </w:r>
      <w:r w:rsidR="000C54E5" w:rsidRPr="000C54E5">
        <w:tab/>
        <w:t>Представитель Швейцарии представил итоги обсуждения вопроса о роли, которую играют в деле поддержки деятельности по реализации</w:t>
      </w:r>
      <w:r w:rsidR="00E26411">
        <w:t xml:space="preserve"> </w:t>
      </w:r>
      <w:r w:rsidR="000C54E5" w:rsidRPr="000C54E5">
        <w:t>и мониторингу целей</w:t>
      </w:r>
      <w:r w:rsidR="0069374B">
        <w:t xml:space="preserve"> </w:t>
      </w:r>
      <w:r w:rsidR="000C54E5" w:rsidRPr="000C54E5">
        <w:t>устойчивого развития</w:t>
      </w:r>
      <w:r w:rsidR="0069374B">
        <w:t xml:space="preserve"> </w:t>
      </w:r>
      <w:r w:rsidR="000C54E5" w:rsidRPr="000C54E5">
        <w:t>обзоры результативности экологической деятельности, проводимые</w:t>
      </w:r>
      <w:r w:rsidR="0069374B">
        <w:t xml:space="preserve"> </w:t>
      </w:r>
      <w:r w:rsidR="000C54E5" w:rsidRPr="000C54E5">
        <w:t>Группой экспертов по обзорам результативности экологической деятельности, которая провела свое совещание</w:t>
      </w:r>
      <w:r w:rsidR="0069374B">
        <w:t xml:space="preserve"> </w:t>
      </w:r>
      <w:r w:rsidR="000C54E5" w:rsidRPr="000C54E5">
        <w:t>в расширенном формате 9</w:t>
      </w:r>
      <w:r w:rsidR="009B1E1F">
        <w:t> </w:t>
      </w:r>
      <w:r w:rsidR="000C54E5" w:rsidRPr="000C54E5">
        <w:t>декабря 2016 года в Женеве.</w:t>
      </w:r>
    </w:p>
    <w:p w:rsidR="000C54E5" w:rsidRPr="000C54E5" w:rsidRDefault="00A32F55" w:rsidP="000C54E5">
      <w:pPr>
        <w:pStyle w:val="SingleTxtGR"/>
      </w:pPr>
      <w:r>
        <w:t>55.</w:t>
      </w:r>
      <w:r w:rsidR="000C54E5" w:rsidRPr="000C54E5">
        <w:tab/>
        <w:t xml:space="preserve">Комитет утвердил </w:t>
      </w:r>
      <w:r w:rsidR="000C54E5" w:rsidRPr="00A32F55">
        <w:rPr>
          <w:spacing w:val="2"/>
        </w:rPr>
        <w:t xml:space="preserve">проект документа </w:t>
      </w:r>
      <w:r w:rsidR="00613717" w:rsidRPr="00A32F55">
        <w:rPr>
          <w:spacing w:val="2"/>
        </w:rPr>
        <w:t>«</w:t>
      </w:r>
      <w:r w:rsidR="000C54E5" w:rsidRPr="00A32F55">
        <w:rPr>
          <w:spacing w:val="2"/>
        </w:rPr>
        <w:t>Роль обзоров результативности экологической деятельности в оказании поддержки осуществлению и мониторингу целей устойчивого развития в панъевропейском р</w:t>
      </w:r>
      <w:r w:rsidR="000C54E5" w:rsidRPr="000C54E5">
        <w:t>егионе</w:t>
      </w:r>
      <w:r w:rsidR="00613717">
        <w:t>»</w:t>
      </w:r>
      <w:r w:rsidR="000C54E5" w:rsidRPr="000C54E5">
        <w:t xml:space="preserve"> (ECE/CEP/2017/L.2), подготовленный Группой экспертов, и просил секретариат переработать его в окончательный отредактированный вариант к следующей сессии Комитета.</w:t>
      </w:r>
    </w:p>
    <w:p w:rsidR="000C54E5" w:rsidRPr="000C54E5" w:rsidRDefault="00A32F55" w:rsidP="000C54E5">
      <w:pPr>
        <w:pStyle w:val="SingleTxtGR"/>
      </w:pPr>
      <w:r>
        <w:t>56.</w:t>
      </w:r>
      <w:r>
        <w:tab/>
      </w:r>
      <w:r w:rsidR="000C54E5" w:rsidRPr="000C54E5">
        <w:t>В рамках</w:t>
      </w:r>
      <w:r w:rsidR="0069374B">
        <w:t xml:space="preserve"> </w:t>
      </w:r>
      <w:r w:rsidR="000C54E5" w:rsidRPr="000C54E5">
        <w:t>дискуссий по обзорам результативности экологической деятельности</w:t>
      </w:r>
      <w:r w:rsidR="0069374B">
        <w:t xml:space="preserve"> </w:t>
      </w:r>
      <w:r w:rsidR="000C54E5" w:rsidRPr="000C54E5">
        <w:t xml:space="preserve">Комитет провел в формате взаимного обучения коллег обсуждение на тему </w:t>
      </w:r>
      <w:r w:rsidR="00613717">
        <w:t>«</w:t>
      </w:r>
      <w:r w:rsidR="000C54E5" w:rsidRPr="000C54E5">
        <w:t>Сотрудничество стран с международным сообществом: уроки, извлеченные из обзоров результативности экологической деятельности</w:t>
      </w:r>
      <w:r w:rsidR="00F5104A">
        <w:t>»</w:t>
      </w:r>
      <w:r w:rsidR="000C54E5" w:rsidRPr="000C54E5">
        <w:t>. Содействие обсуждению оказывал</w:t>
      </w:r>
      <w:r w:rsidR="0069374B">
        <w:t xml:space="preserve"> </w:t>
      </w:r>
      <w:r w:rsidR="000C54E5" w:rsidRPr="000C54E5">
        <w:t>профессиональный ведущий. Участники обсудили проблемы осуществления</w:t>
      </w:r>
      <w:r w:rsidR="0069374B">
        <w:t xml:space="preserve"> </w:t>
      </w:r>
      <w:r w:rsidR="000C54E5" w:rsidRPr="000C54E5">
        <w:t xml:space="preserve">сотрудничества стран с международным сообществом, выявленные в обзорах результативности экологической деятельности после конференции в Астане, и поделились опытом, связанным со способами преодоления трудностей. </w:t>
      </w:r>
    </w:p>
    <w:p w:rsidR="000C54E5" w:rsidRPr="000C54E5" w:rsidRDefault="000C54E5" w:rsidP="000C54E5">
      <w:pPr>
        <w:pStyle w:val="SingleTxtGR"/>
      </w:pPr>
      <w:r w:rsidRPr="000C54E5">
        <w:t xml:space="preserve">57. </w:t>
      </w:r>
      <w:r w:rsidRPr="000C54E5">
        <w:tab/>
        <w:t>Комитет приветствовал обмен опытом и информацией о надлежащей практике,</w:t>
      </w:r>
      <w:r w:rsidRPr="00F5104A">
        <w:rPr>
          <w:spacing w:val="2"/>
        </w:rPr>
        <w:t xml:space="preserve"> состоявшийся в ходе обсуждения в формате взаимного обучения коллег вопросов, </w:t>
      </w:r>
      <w:r w:rsidRPr="000C54E5">
        <w:t>относящихся к сотрудничеству с международным сообществом, и:</w:t>
      </w:r>
    </w:p>
    <w:p w:rsidR="000C54E5" w:rsidRPr="000C54E5" w:rsidRDefault="00C42B2A" w:rsidP="000C54E5">
      <w:pPr>
        <w:pStyle w:val="SingleTxtGR"/>
      </w:pPr>
      <w:r>
        <w:tab/>
      </w:r>
      <w:r w:rsidR="000C54E5" w:rsidRPr="000C54E5">
        <w:t>a)</w:t>
      </w:r>
      <w:r>
        <w:tab/>
      </w:r>
      <w:r w:rsidR="000C54E5" w:rsidRPr="000C54E5">
        <w:t>признал проблемы, с которыми сталкиваются страны при осуществлении вынесенных по итогам обзоров</w:t>
      </w:r>
      <w:r w:rsidR="0069374B">
        <w:t xml:space="preserve"> </w:t>
      </w:r>
      <w:r w:rsidR="000C54E5" w:rsidRPr="000C54E5">
        <w:t>рекомендаций относительно присоединения к многосторонним природоохранным соглашениям, и подчеркнул важность помощи на этапе, предшествующем присоединению, в частности в подготовке кадров и развитии потенциала;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C42B2A">
        <w:tab/>
      </w:r>
      <w:r w:rsidRPr="000C54E5">
        <w:t>подчеркнул важность синергизма и координации действий в процессе</w:t>
      </w:r>
      <w:r w:rsidR="0069374B">
        <w:t xml:space="preserve"> </w:t>
      </w:r>
      <w:r w:rsidRPr="000C54E5">
        <w:t>осуществления многосторонних природоохранных соглашений как на национальном, так и на</w:t>
      </w:r>
      <w:r w:rsidR="0069374B">
        <w:t xml:space="preserve"> </w:t>
      </w:r>
      <w:r w:rsidRPr="000C54E5">
        <w:t>международном уровнях;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9B1E1F">
        <w:tab/>
      </w:r>
      <w:r w:rsidRPr="000C54E5">
        <w:t>признал</w:t>
      </w:r>
      <w:r w:rsidR="0069374B">
        <w:t xml:space="preserve"> </w:t>
      </w:r>
      <w:r w:rsidRPr="000C54E5">
        <w:t>необходимость активизации усилий по привлечению к международному сотрудничеству в области окружающей среды и к осуществлению многосторонних природоохранных соглашений частного сектора;</w:t>
      </w:r>
    </w:p>
    <w:p w:rsidR="000C54E5" w:rsidRPr="000C54E5" w:rsidRDefault="000C54E5" w:rsidP="000C54E5">
      <w:pPr>
        <w:pStyle w:val="SingleTxtGR"/>
      </w:pPr>
      <w:r w:rsidRPr="000C54E5">
        <w:tab/>
        <w:t>d)</w:t>
      </w:r>
      <w:r w:rsidR="00C42B2A">
        <w:tab/>
      </w:r>
      <w:r w:rsidRPr="000C54E5">
        <w:t>отметил роль обзоров результативности экологической деятельности в деле оказания помощи странам в целях укрепления их сотрудничества с международным сообществом;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ab/>
        <w:t>e)</w:t>
      </w:r>
      <w:r w:rsidR="00C42B2A">
        <w:tab/>
      </w:r>
      <w:r w:rsidRPr="000C54E5">
        <w:t>позитивно оценил интерактивный формат обсуждений в процессе взаимного обучения коллег и признал</w:t>
      </w:r>
      <w:r w:rsidR="0069374B">
        <w:t xml:space="preserve"> </w:t>
      </w:r>
      <w:r w:rsidRPr="000C54E5">
        <w:t xml:space="preserve">роль обзоров результативности экологической деятельности в качестве механизма взаимного обучения. 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VIII.</w:t>
      </w:r>
      <w:r>
        <w:tab/>
      </w:r>
      <w:r w:rsidR="000C54E5" w:rsidRPr="000C54E5">
        <w:t>Межсекторальная деятельность</w:t>
      </w:r>
    </w:p>
    <w:p w:rsidR="000C54E5" w:rsidRPr="000C54E5" w:rsidRDefault="000C54E5" w:rsidP="000C54E5">
      <w:pPr>
        <w:pStyle w:val="SingleTxtGR"/>
      </w:pPr>
      <w:r w:rsidRPr="000C54E5">
        <w:t xml:space="preserve">58. </w:t>
      </w:r>
      <w:r w:rsidRPr="000C54E5">
        <w:tab/>
        <w:t>Комитет был проинформирован о недавних изменениях в рамках ряда направлений текущей межсекторальной деятельности, осуществляемой под руководством ЕЭК или в партнерстве с другими организациями.</w:t>
      </w:r>
    </w:p>
    <w:p w:rsidR="000C54E5" w:rsidRPr="000C54E5" w:rsidRDefault="00C42B2A" w:rsidP="00C42B2A">
      <w:pPr>
        <w:pStyle w:val="H1GR"/>
      </w:pPr>
      <w:r>
        <w:tab/>
        <w:t>А.</w:t>
      </w:r>
      <w:r>
        <w:tab/>
      </w:r>
      <w:r w:rsidR="000C54E5" w:rsidRPr="000C54E5">
        <w:t>Образование в интересах устойчивого развития</w:t>
      </w:r>
    </w:p>
    <w:p w:rsidR="000C54E5" w:rsidRPr="000C54E5" w:rsidRDefault="000C54E5" w:rsidP="000C54E5">
      <w:pPr>
        <w:pStyle w:val="SingleTxtGR"/>
      </w:pPr>
      <w:r w:rsidRPr="000C54E5">
        <w:t>59.</w:t>
      </w:r>
      <w:r w:rsidRPr="000C54E5">
        <w:tab/>
        <w:t>Секретарь Комитета представил информацию об изменениях в деятельности по осуществлению Стратегии ЕЭК для образования в интересах устойчивого развития, происшедших после конференции в Батуми. В 2016 году работа по Стратегии была сосредоточена на организации совещания высокого уровня представителей министерств окружающей среды и образования в рамках Батумской конференции. На совещании высокого уровня министры и главы делегаций рассмотрели ход осуществления Стратегии в период 2005</w:t>
      </w:r>
      <w:r w:rsidR="00F5104A">
        <w:t>–</w:t>
      </w:r>
      <w:r w:rsidRPr="000C54E5">
        <w:t>2015 годов и приняли Основы будущего осуществления Стратегии. Они также приняли Батумское заявление министров по образованию в интересах устойчивого развития</w:t>
      </w:r>
      <w:r w:rsidR="00D6428B">
        <w:t> –</w:t>
      </w:r>
      <w:r w:rsidRPr="000C54E5">
        <w:t xml:space="preserve"> совместное обязательство государств-членов продолжать осуществление Стратегии на национальном уровне в целях поддержки деятельности по достижению устойчивого развития в регионе. В 2017 году деятельность в области образования в интересах устойчивого развития будет сосредоточена на</w:t>
      </w:r>
      <w:r w:rsidR="0069374B">
        <w:t xml:space="preserve"> </w:t>
      </w:r>
      <w:r w:rsidRPr="000C54E5">
        <w:t xml:space="preserve">последующих действиях по реализации итогов совещания высокого уровня. </w:t>
      </w:r>
    </w:p>
    <w:p w:rsidR="000C54E5" w:rsidRPr="000C54E5" w:rsidRDefault="000C54E5" w:rsidP="000C54E5">
      <w:pPr>
        <w:pStyle w:val="SingleTxtGR"/>
      </w:pPr>
      <w:r w:rsidRPr="000C54E5">
        <w:t xml:space="preserve">60. </w:t>
      </w:r>
      <w:r w:rsidRPr="000C54E5">
        <w:tab/>
        <w:t>Комитет принял к сведению предоставленную информацию и приветствовал прогресс в работе по Стратегии ЕЭК для образования в интересах устойчивого развития, отметив при этом с озабоченностью сложное положение с мобилизацией добровольных взносов в объеме, достаточном для того, чтобы можно было обеспечить дальнейшее функционирование региональный межправительственной платформы и осуществление другой деятельности по обмену опытом и информацией о надлежащей практике с целью продвижения образования в интересах устойчивого развития во вс</w:t>
      </w:r>
      <w:r w:rsidR="00AD7450">
        <w:t>е</w:t>
      </w:r>
      <w:r w:rsidRPr="000C54E5">
        <w:t xml:space="preserve">м регионе. </w:t>
      </w:r>
    </w:p>
    <w:p w:rsidR="000C54E5" w:rsidRPr="000C54E5" w:rsidRDefault="00C42B2A" w:rsidP="00F5104A">
      <w:pPr>
        <w:pStyle w:val="H1GR"/>
      </w:pPr>
      <w:r>
        <w:tab/>
      </w:r>
      <w:r w:rsidR="000C54E5" w:rsidRPr="000C54E5">
        <w:t>В.</w:t>
      </w:r>
      <w:r>
        <w:tab/>
      </w:r>
      <w:r w:rsidR="000C54E5" w:rsidRPr="000C54E5">
        <w:t xml:space="preserve">Общеевропейская программа по транспорту, окружающей среде и охране здоровья </w:t>
      </w:r>
    </w:p>
    <w:p w:rsidR="000C54E5" w:rsidRPr="000C54E5" w:rsidRDefault="000C54E5" w:rsidP="000C54E5">
      <w:pPr>
        <w:pStyle w:val="SingleTxtGR"/>
      </w:pPr>
      <w:r w:rsidRPr="000C54E5">
        <w:t>61.</w:t>
      </w:r>
      <w:r w:rsidRPr="000C54E5">
        <w:tab/>
        <w:t>Представитель Отдела окружающей среды представил информацию о деятельности, осуществлявшейся по линии Общеевропейской</w:t>
      </w:r>
      <w:r w:rsidR="0069374B">
        <w:t xml:space="preserve"> </w:t>
      </w:r>
      <w:r w:rsidRPr="000C54E5">
        <w:t>программы по транспорту, окружающей среде и</w:t>
      </w:r>
      <w:r w:rsidR="0069374B">
        <w:t xml:space="preserve"> </w:t>
      </w:r>
      <w:r w:rsidRPr="000C54E5">
        <w:t>охране здоровья (ОПТОСОЗ) после двадцать первой сессии Комитета, в частности об основных итогах тринадцатой и четырнадцатой сессий Руководящего комитета ОПТОСОЗ (Женева, соответственно 17</w:t>
      </w:r>
      <w:r w:rsidR="00F5104A">
        <w:t>–</w:t>
      </w:r>
      <w:r w:rsidRPr="000C54E5">
        <w:t>18 ноября 2015 года и 7</w:t>
      </w:r>
      <w:r w:rsidR="00F5104A">
        <w:t>–</w:t>
      </w:r>
      <w:r w:rsidRPr="000C54E5">
        <w:t>9 ноября 2016</w:t>
      </w:r>
      <w:r w:rsidR="0069374B">
        <w:t xml:space="preserve"> </w:t>
      </w:r>
      <w:r w:rsidRPr="000C54E5">
        <w:t>года)</w:t>
      </w:r>
      <w:r w:rsidRPr="0069374B">
        <w:rPr>
          <w:sz w:val="18"/>
          <w:vertAlign w:val="superscript"/>
        </w:rPr>
        <w:footnoteReference w:id="5"/>
      </w:r>
      <w:r w:rsidRPr="000C54E5">
        <w:t>.</w:t>
      </w:r>
    </w:p>
    <w:p w:rsidR="000C54E5" w:rsidRPr="000C54E5" w:rsidRDefault="00F5104A" w:rsidP="000C54E5">
      <w:pPr>
        <w:pStyle w:val="SingleTxtGR"/>
      </w:pPr>
      <w:r>
        <w:t>62.</w:t>
      </w:r>
      <w:r w:rsidR="000C54E5" w:rsidRPr="000C54E5">
        <w:tab/>
        <w:t>Деятельность была сосредоточена на последующих действиях по реализации итогов</w:t>
      </w:r>
      <w:r w:rsidR="0069374B">
        <w:t xml:space="preserve"> </w:t>
      </w:r>
      <w:r w:rsidR="000C54E5" w:rsidRPr="000C54E5">
        <w:t>четвертого Совещания высокого уровня по транспорту, окружающей среде и охране здоровья (Париж, апрель 2014 года), в частности на выполнении новой пятой цели</w:t>
      </w:r>
      <w:r w:rsidR="0069374B">
        <w:t xml:space="preserve"> </w:t>
      </w:r>
      <w:r w:rsidR="00613717">
        <w:t>«</w:t>
      </w:r>
      <w:r w:rsidR="000C54E5" w:rsidRPr="000C54E5">
        <w:t>Интегрировать транспорт, аспекты здравоохранения и экологические цели в стратегии городского и территориально-простран</w:t>
      </w:r>
      <w:r>
        <w:t>-</w:t>
      </w:r>
      <w:r w:rsidR="000C54E5" w:rsidRPr="000C54E5">
        <w:t>ственного планирования</w:t>
      </w:r>
      <w:r w:rsidR="00613717">
        <w:t>»</w:t>
      </w:r>
      <w:r w:rsidR="000C54E5" w:rsidRPr="000C54E5">
        <w:t>, которая также была включена в цели нового Партнерства ОПТОСОЗ. Партнерство по стимулированию велосипедного движения продолжает свою работу по подготовке общеевропейского генерального плана стимулирования велосипедного движения</w:t>
      </w:r>
      <w:r w:rsidR="0069374B">
        <w:t xml:space="preserve"> </w:t>
      </w:r>
      <w:r w:rsidR="000C54E5" w:rsidRPr="000C54E5">
        <w:t>и соответствующей</w:t>
      </w:r>
      <w:r w:rsidR="0069374B">
        <w:t xml:space="preserve"> </w:t>
      </w:r>
      <w:r w:rsidR="000C54E5" w:rsidRPr="000C54E5">
        <w:t>политики в государствах</w:t>
      </w:r>
      <w:r>
        <w:t xml:space="preserve"> – </w:t>
      </w:r>
      <w:r w:rsidR="000C54E5" w:rsidRPr="000C54E5">
        <w:t>членах ЕЭК. Начинает наращивать</w:t>
      </w:r>
      <w:r w:rsidR="0069374B">
        <w:t xml:space="preserve"> </w:t>
      </w:r>
      <w:r w:rsidR="000C54E5" w:rsidRPr="000C54E5">
        <w:t xml:space="preserve">содержательный компонент работы Академия ОПТОСОЗ </w:t>
      </w:r>
      <w:r>
        <w:t>–</w:t>
      </w:r>
      <w:r w:rsidR="0069374B">
        <w:t xml:space="preserve"> </w:t>
      </w:r>
      <w:r w:rsidR="000C54E5" w:rsidRPr="000C54E5">
        <w:t>новый механизм осуществления, который увязывает воедино науку, политику и практику, опираясь на</w:t>
      </w:r>
      <w:r w:rsidR="0069374B">
        <w:t xml:space="preserve"> </w:t>
      </w:r>
      <w:r w:rsidR="000C54E5" w:rsidRPr="000C54E5">
        <w:t>уже накопленный опыт. В</w:t>
      </w:r>
      <w:r>
        <w:t> </w:t>
      </w:r>
      <w:r w:rsidR="000C54E5" w:rsidRPr="000C54E5">
        <w:t xml:space="preserve">Российской Федерации, в Петрозаводске (май 2016 года) и Владивостоке </w:t>
      </w:r>
      <w:r>
        <w:br/>
      </w:r>
      <w:r w:rsidR="000C54E5" w:rsidRPr="000C54E5">
        <w:t xml:space="preserve">(октябрь 2016 года), и Австрии, в Вене (июль 2016 года), были организованы семинары-практикумы по Эстафете ОПТОСОЗ. Кроме того, в кулуарах заседаний Руководящего комитета по транспорту, окружающей среде и охране здоровья организуются тематические симпозиумы, последний из которых состоялся в ноябре 2016 года и был посвящен теме </w:t>
      </w:r>
      <w:r w:rsidR="00613717">
        <w:t>«</w:t>
      </w:r>
      <w:r w:rsidR="000C54E5" w:rsidRPr="000C54E5">
        <w:t>Содействие экономическому развитию и созданию новых рабочих мест путем инвестиций в транспорт, благоприятный для окружающей среды и здоровья</w:t>
      </w:r>
      <w:r w:rsidR="00613717">
        <w:t>»</w:t>
      </w:r>
      <w:r w:rsidR="000C54E5" w:rsidRPr="000C54E5">
        <w:t>.</w:t>
      </w:r>
    </w:p>
    <w:p w:rsidR="000C54E5" w:rsidRPr="000C54E5" w:rsidRDefault="00F5104A" w:rsidP="000C54E5">
      <w:pPr>
        <w:pStyle w:val="SingleTxtGR"/>
      </w:pPr>
      <w:r>
        <w:t>63.</w:t>
      </w:r>
      <w:r w:rsidR="000C54E5" w:rsidRPr="000C54E5">
        <w:tab/>
        <w:t>Комитет принял к сведению представленную информацию, приветствовал прогресс в</w:t>
      </w:r>
      <w:r w:rsidR="0069374B">
        <w:t xml:space="preserve"> </w:t>
      </w:r>
      <w:r w:rsidR="000C54E5" w:rsidRPr="000C54E5">
        <w:t xml:space="preserve">работе по ОПТОСОЗ и предложил ее заинтересованным участникам рассмотреть вопрос о вхождении в состав Бюро Руководящего комитета ОПТОСОЗ. </w:t>
      </w:r>
    </w:p>
    <w:p w:rsidR="000C54E5" w:rsidRPr="000C54E5" w:rsidRDefault="00C42B2A" w:rsidP="00F5104A">
      <w:pPr>
        <w:pStyle w:val="H1GR"/>
      </w:pPr>
      <w:r>
        <w:tab/>
      </w:r>
      <w:r w:rsidR="000C54E5" w:rsidRPr="000C54E5">
        <w:t>C.</w:t>
      </w:r>
      <w:r>
        <w:tab/>
      </w:r>
      <w:r w:rsidR="000C54E5" w:rsidRPr="000C54E5">
        <w:t>Окружающая среда и безопасность</w:t>
      </w:r>
    </w:p>
    <w:p w:rsidR="000C54E5" w:rsidRPr="000C54E5" w:rsidRDefault="00F5104A" w:rsidP="000C54E5">
      <w:pPr>
        <w:pStyle w:val="SingleTxtGR"/>
      </w:pPr>
      <w:r>
        <w:t>64.</w:t>
      </w:r>
      <w:r w:rsidR="000C54E5" w:rsidRPr="000C54E5">
        <w:tab/>
        <w:t>Директор Отдела окружающей среды ЕЭК представил обзор недавних изменений</w:t>
      </w:r>
      <w:r w:rsidR="0069374B">
        <w:t xml:space="preserve"> </w:t>
      </w:r>
      <w:r w:rsidR="000C54E5" w:rsidRPr="000C54E5">
        <w:t xml:space="preserve">в рамках Инициативы </w:t>
      </w:r>
      <w:r w:rsidR="00613717">
        <w:t>«</w:t>
      </w:r>
      <w:r w:rsidR="000C54E5" w:rsidRPr="000C54E5">
        <w:t>Окружающая среда и безопасность</w:t>
      </w:r>
      <w:r w:rsidR="00613717">
        <w:t>»</w:t>
      </w:r>
      <w:r w:rsidR="0069374B">
        <w:t xml:space="preserve"> </w:t>
      </w:r>
      <w:r w:rsidR="000C54E5" w:rsidRPr="000C54E5">
        <w:t>(информационный документ № 4/Rev.1). С помощью этой инициативы, которой охвачено пять учреждений-партнеров, ЕЭК ведет работу по содействию сотрудничеству между соседними странами в вопросах управления природными ресурсами на Кавказе, в Центральной Азии и Восточной и Юго-Восточной Европе.</w:t>
      </w:r>
    </w:p>
    <w:p w:rsidR="000C54E5" w:rsidRPr="000C54E5" w:rsidRDefault="000C54E5" w:rsidP="000C54E5">
      <w:pPr>
        <w:pStyle w:val="SingleTxtGR"/>
      </w:pPr>
      <w:r w:rsidRPr="000C54E5">
        <w:t>65.</w:t>
      </w:r>
      <w:r w:rsidRPr="000C54E5">
        <w:tab/>
        <w:t>Деятельность ЕЭК под эгидой Инициативы направлена на пропаганду</w:t>
      </w:r>
      <w:r w:rsidR="0069374B">
        <w:t xml:space="preserve"> </w:t>
      </w:r>
      <w:r w:rsidRPr="000C54E5">
        <w:t>многосторонних природоохранных соглашений ЕЭК с помощью проектов и посредством развития потенциала в таких областях, как трансграничные природные ресурсы, адаптация к изменению климата, опасные вещества и промышленные установки, а также общественная информация и участие общественности в процессе принятия решений.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66.</w:t>
      </w:r>
      <w:r w:rsidRPr="000C54E5">
        <w:tab/>
        <w:t xml:space="preserve">Комитет принял к сведению представленную информацию по Инициативе </w:t>
      </w:r>
      <w:r w:rsidR="00613717">
        <w:t>«</w:t>
      </w:r>
      <w:r w:rsidRPr="000C54E5">
        <w:t>Окружающая среда и безопасность</w:t>
      </w:r>
      <w:r w:rsidR="00613717">
        <w:t>»</w:t>
      </w:r>
      <w:r w:rsidRPr="000C54E5">
        <w:t>, а также относительно технической помощи, оказываемой государствам-членам в ее рамках.</w:t>
      </w:r>
    </w:p>
    <w:p w:rsidR="000C54E5" w:rsidRPr="000C54E5" w:rsidRDefault="00C42B2A" w:rsidP="00C42B2A">
      <w:pPr>
        <w:pStyle w:val="H1GR"/>
      </w:pPr>
      <w:r>
        <w:tab/>
      </w:r>
      <w:r w:rsidR="000C54E5" w:rsidRPr="000C54E5">
        <w:t>D.</w:t>
      </w:r>
      <w:r>
        <w:tab/>
      </w:r>
      <w:r w:rsidR="000C54E5" w:rsidRPr="000C54E5">
        <w:t xml:space="preserve">Европейский процесс </w:t>
      </w:r>
      <w:r w:rsidR="00613717">
        <w:t>«</w:t>
      </w:r>
      <w:r w:rsidR="000C54E5" w:rsidRPr="000C54E5">
        <w:t>Окружающая среда и здоровье</w:t>
      </w:r>
      <w:r w:rsidR="00613717">
        <w:t>»</w:t>
      </w:r>
    </w:p>
    <w:p w:rsidR="000C54E5" w:rsidRPr="000C54E5" w:rsidRDefault="00F5104A" w:rsidP="000C54E5">
      <w:pPr>
        <w:pStyle w:val="SingleTxtGR"/>
      </w:pPr>
      <w:r>
        <w:t>67.</w:t>
      </w:r>
      <w:r w:rsidR="000C54E5" w:rsidRPr="000C54E5">
        <w:tab/>
        <w:t>Представитель Европейского регионального бюро ВОЗ представил информацию о ходе подготовки шестой Конференции министров по окружающей среде и охране здоровья (Острава, Чехия, 13</w:t>
      </w:r>
      <w:r>
        <w:t>–</w:t>
      </w:r>
      <w:r w:rsidR="000C54E5" w:rsidRPr="000C54E5">
        <w:t>15 июня 2017 года).</w:t>
      </w:r>
      <w:r w:rsidR="0069374B">
        <w:t xml:space="preserve"> </w:t>
      </w:r>
      <w:r w:rsidR="000C54E5" w:rsidRPr="000C54E5">
        <w:t xml:space="preserve">Функцию органа-организатора подготовительного процесса конференции выполняет Целевая группа по европейскому процессу </w:t>
      </w:r>
      <w:r w:rsidR="00613717">
        <w:t>«</w:t>
      </w:r>
      <w:r w:rsidR="000C54E5" w:rsidRPr="000C54E5">
        <w:t>Окружающая среда и здоровье</w:t>
      </w:r>
      <w:r w:rsidR="00613717">
        <w:t>»</w:t>
      </w:r>
      <w:r w:rsidR="000C54E5" w:rsidRPr="000C54E5">
        <w:t>. Первоочередная</w:t>
      </w:r>
      <w:r w:rsidR="0069374B">
        <w:t xml:space="preserve"> </w:t>
      </w:r>
      <w:r w:rsidR="000C54E5" w:rsidRPr="000C54E5">
        <w:t>задача при подготовке конференции заключается в согласовании сложности основных глобальных проблем с необходимостью обеспечения того, чтобы на конференции министров были достигнуты действенные и четкие результаты с упором на ограниченное количество целевых обязательств.</w:t>
      </w:r>
    </w:p>
    <w:p w:rsidR="000C54E5" w:rsidRPr="000C54E5" w:rsidRDefault="000C54E5" w:rsidP="000C54E5">
      <w:pPr>
        <w:pStyle w:val="SingleTxtGR"/>
      </w:pPr>
      <w:r w:rsidRPr="000C54E5">
        <w:t>68.</w:t>
      </w:r>
      <w:r w:rsidRPr="000C54E5">
        <w:tab/>
        <w:t>Приоритеты, определенные для конференции, включают в себя разработку</w:t>
      </w:r>
      <w:r w:rsidR="0069374B">
        <w:t xml:space="preserve"> </w:t>
      </w:r>
      <w:r w:rsidRPr="000C54E5">
        <w:t>комплекса действий на национальном уровне с упором на следующие семь аспектов: качество воздуха;</w:t>
      </w:r>
      <w:r w:rsidR="0069374B">
        <w:t xml:space="preserve"> </w:t>
      </w:r>
      <w:r w:rsidRPr="000C54E5">
        <w:t>водопользование, санитария и гигиена для всех; химическая безопасность; отходы и загрязненные участки; устойчивость к изменению климата; устойчивые и здоровые города; и экологическая устойчивость систем здравоохранения. Конференция, как ожидается, в итоге примет декларацию министров, включая план осуществления и институциональные механизмы</w:t>
      </w:r>
      <w:r w:rsidR="0069374B">
        <w:t xml:space="preserve"> </w:t>
      </w:r>
      <w:r w:rsidRPr="000C54E5">
        <w:t xml:space="preserve">европейского процесса </w:t>
      </w:r>
      <w:r w:rsidR="00613717">
        <w:t>«</w:t>
      </w:r>
      <w:r w:rsidRPr="000C54E5">
        <w:t>Окружающая среда и здоровье</w:t>
      </w:r>
      <w:r w:rsidR="00613717">
        <w:t>»</w:t>
      </w:r>
      <w:r w:rsidRPr="0069374B">
        <w:rPr>
          <w:sz w:val="18"/>
          <w:vertAlign w:val="superscript"/>
        </w:rPr>
        <w:footnoteReference w:id="6"/>
      </w:r>
      <w:r w:rsidRPr="000C54E5">
        <w:t>.</w:t>
      </w:r>
      <w:r w:rsidR="0069374B">
        <w:t xml:space="preserve"> </w:t>
      </w:r>
      <w:r w:rsidRPr="000C54E5">
        <w:t>Что касается предлагаемых будущих институциональных механизмов этого</w:t>
      </w:r>
      <w:r w:rsidR="0069374B">
        <w:t xml:space="preserve"> </w:t>
      </w:r>
      <w:r w:rsidRPr="000C54E5">
        <w:t>процесса, то</w:t>
      </w:r>
      <w:r w:rsidR="0069374B">
        <w:t xml:space="preserve"> </w:t>
      </w:r>
      <w:r w:rsidRPr="000C54E5">
        <w:t xml:space="preserve">Целевая группа по европейскому процессу </w:t>
      </w:r>
      <w:r w:rsidR="00613717">
        <w:t>«</w:t>
      </w:r>
      <w:r w:rsidRPr="000C54E5">
        <w:t>Окружающая среда и здоровье</w:t>
      </w:r>
      <w:r w:rsidR="00613717">
        <w:t>»</w:t>
      </w:r>
      <w:r w:rsidRPr="000C54E5">
        <w:t xml:space="preserve"> предложила создать</w:t>
      </w:r>
      <w:r w:rsidR="0069374B">
        <w:t xml:space="preserve"> </w:t>
      </w:r>
      <w:r w:rsidRPr="000C54E5">
        <w:t>совместный секретариат силами ЕЭК и ВОЗ. Кроме того, следует отметить, что предлагаемые будущие институциональные механизмы процесса не включают в себя Европейский совет</w:t>
      </w:r>
      <w:r w:rsidR="0069374B">
        <w:t xml:space="preserve"> </w:t>
      </w:r>
      <w:r w:rsidRPr="000C54E5">
        <w:t xml:space="preserve">министров по окружающей среде и охране здоровья. </w:t>
      </w:r>
    </w:p>
    <w:p w:rsidR="000C54E5" w:rsidRPr="000C54E5" w:rsidRDefault="000C54E5" w:rsidP="000C54E5">
      <w:pPr>
        <w:pStyle w:val="SingleTxtGR"/>
      </w:pPr>
      <w:r w:rsidRPr="000C54E5">
        <w:t>69.</w:t>
      </w:r>
      <w:r w:rsidRPr="000C54E5">
        <w:tab/>
        <w:t xml:space="preserve">Представитель Чехии проинформировал Комитет о подготовке к приему конференции в июне 2017 года. Конференция будет проходить в центре конференций </w:t>
      </w:r>
      <w:r w:rsidR="00613717">
        <w:t>«</w:t>
      </w:r>
      <w:r w:rsidRPr="000C54E5">
        <w:t>Гонг</w:t>
      </w:r>
      <w:r w:rsidR="00613717">
        <w:t>»</w:t>
      </w:r>
      <w:r w:rsidRPr="000C54E5">
        <w:t>, расположенном в районе Нижние Витковицы Остравы</w:t>
      </w:r>
      <w:r w:rsidRPr="0069374B">
        <w:rPr>
          <w:sz w:val="18"/>
          <w:vertAlign w:val="superscript"/>
        </w:rPr>
        <w:footnoteReference w:id="7"/>
      </w:r>
      <w:r w:rsidRPr="000C54E5">
        <w:t>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 xml:space="preserve">70. </w:t>
      </w:r>
      <w:r w:rsidRPr="000C54E5">
        <w:tab/>
        <w:t>Комитет принял к сведению представленную информацию и приветствовал изменения</w:t>
      </w:r>
      <w:r w:rsidR="0069374B">
        <w:t xml:space="preserve"> </w:t>
      </w:r>
      <w:r w:rsidRPr="000C54E5">
        <w:t>в</w:t>
      </w:r>
      <w:r w:rsidR="0069374B">
        <w:t xml:space="preserve"> </w:t>
      </w:r>
      <w:r w:rsidRPr="000C54E5">
        <w:t xml:space="preserve">рамках европейского процесса </w:t>
      </w:r>
      <w:r w:rsidR="00613717">
        <w:t>«</w:t>
      </w:r>
      <w:r w:rsidRPr="000C54E5">
        <w:t>Окружающая среда и здоровье</w:t>
      </w:r>
      <w:r w:rsidR="00613717">
        <w:t>»</w:t>
      </w:r>
      <w:r w:rsidRPr="000C54E5">
        <w:t>, связанные с</w:t>
      </w:r>
      <w:r w:rsidR="0069374B">
        <w:t xml:space="preserve"> </w:t>
      </w:r>
      <w:r w:rsidRPr="000C54E5">
        <w:t>подготовкой к шестой</w:t>
      </w:r>
      <w:r w:rsidR="0069374B">
        <w:t xml:space="preserve"> </w:t>
      </w:r>
      <w:r w:rsidRPr="000C54E5">
        <w:t xml:space="preserve">Конференции министров по окружающей среде и здоровью. В этой связи Комитет: 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480A0A">
        <w:tab/>
      </w:r>
      <w:r w:rsidRPr="000C54E5">
        <w:t>предложил</w:t>
      </w:r>
      <w:r w:rsidR="0069374B">
        <w:t xml:space="preserve"> </w:t>
      </w:r>
      <w:r w:rsidRPr="000C54E5">
        <w:t>странам и организациям принять участие в предстоящей конференции в</w:t>
      </w:r>
      <w:r w:rsidR="0069374B">
        <w:t xml:space="preserve"> </w:t>
      </w:r>
      <w:r w:rsidRPr="000C54E5">
        <w:t>Остраве;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480A0A">
        <w:tab/>
      </w:r>
      <w:r w:rsidRPr="000C54E5">
        <w:t>просил</w:t>
      </w:r>
      <w:r w:rsidR="0069374B">
        <w:t xml:space="preserve"> </w:t>
      </w:r>
      <w:r w:rsidRPr="000C54E5">
        <w:t>секретариат оценить в консультации с Бюро</w:t>
      </w:r>
      <w:r w:rsidR="0069374B">
        <w:t xml:space="preserve"> </w:t>
      </w:r>
      <w:r w:rsidRPr="000C54E5">
        <w:t xml:space="preserve">последствия создания совместного секретариата ЕЭК и ВОЗ для обслуживания европейского процесса </w:t>
      </w:r>
      <w:r w:rsidR="00613717">
        <w:t>«</w:t>
      </w:r>
      <w:r w:rsidRPr="000C54E5">
        <w:t>Окружающая среда и здоровье</w:t>
      </w:r>
      <w:r w:rsidR="00480A0A">
        <w:t>»</w:t>
      </w:r>
      <w:r w:rsidRPr="000C54E5">
        <w:t xml:space="preserve"> и подготовить короткую информационную записку для рассмотрения Комитетом на его следующей сессии;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ab/>
        <w:t>с)</w:t>
      </w:r>
      <w:r w:rsidR="00480A0A">
        <w:tab/>
      </w:r>
      <w:r w:rsidRPr="000C54E5">
        <w:t xml:space="preserve">постановил отложить назначение министров от сектора окружающей среды в Европейский совет министров по окружающей среде и здоровью до следующей сессии Комитета в ожидании итогов конференции в Остраве. </w:t>
      </w:r>
    </w:p>
    <w:p w:rsidR="000C54E5" w:rsidRPr="000C54E5" w:rsidRDefault="00C42B2A" w:rsidP="00C42B2A">
      <w:pPr>
        <w:pStyle w:val="H1GR"/>
      </w:pPr>
      <w:r>
        <w:tab/>
      </w:r>
      <w:r w:rsidR="000C54E5" w:rsidRPr="000C54E5">
        <w:t>Е.</w:t>
      </w:r>
      <w:r>
        <w:tab/>
      </w:r>
      <w:r w:rsidR="000C54E5" w:rsidRPr="000C54E5">
        <w:t xml:space="preserve">Строительство </w:t>
      </w:r>
      <w:r w:rsidR="00613717">
        <w:t>«</w:t>
      </w:r>
      <w:r w:rsidR="000C54E5" w:rsidRPr="000C54E5">
        <w:t>зеленых</w:t>
      </w:r>
      <w:r w:rsidR="00613717">
        <w:t>»</w:t>
      </w:r>
      <w:r w:rsidR="000C54E5" w:rsidRPr="000C54E5">
        <w:t xml:space="preserve"> зданий</w:t>
      </w:r>
    </w:p>
    <w:p w:rsidR="000C54E5" w:rsidRPr="000C54E5" w:rsidRDefault="000C54E5" w:rsidP="000C54E5">
      <w:pPr>
        <w:pStyle w:val="SingleTxtGR"/>
      </w:pPr>
      <w:r w:rsidRPr="000C54E5">
        <w:t>71.</w:t>
      </w:r>
      <w:r w:rsidRPr="000C54E5">
        <w:tab/>
        <w:t xml:space="preserve"> Представитель Отдела ЕЭК по лесам, землепользованию и жилищному хозяйству</w:t>
      </w:r>
      <w:r w:rsidR="0069374B">
        <w:t xml:space="preserve"> </w:t>
      </w:r>
      <w:r w:rsidRPr="000C54E5">
        <w:t>представил</w:t>
      </w:r>
      <w:r w:rsidR="0069374B">
        <w:t xml:space="preserve"> </w:t>
      </w:r>
      <w:r w:rsidRPr="000C54E5">
        <w:t xml:space="preserve">информацию о работе Комитета ЕЭК по жилищному хозяйству и землепользованию, в частности в области строительства </w:t>
      </w:r>
      <w:r w:rsidR="00613717">
        <w:t>«</w:t>
      </w:r>
      <w:r w:rsidRPr="000C54E5">
        <w:t>зеленых</w:t>
      </w:r>
      <w:r w:rsidR="00613717">
        <w:t>»</w:t>
      </w:r>
      <w:r w:rsidRPr="000C54E5">
        <w:t>, энергоэффективных зданий. Основные направления деятельности включали организацию региональных и национальных рабочих совещаний и оказание поддержки в разработке национальных планов действий в области устойчивого жилищного хозяйства и землепользования</w:t>
      </w:r>
      <w:r w:rsidR="0069374B">
        <w:t xml:space="preserve"> </w:t>
      </w:r>
      <w:r w:rsidRPr="000C54E5">
        <w:t>с охватом энергоэффективности зданий. Для продвижения этой работы в сотрудничестве с Комитетом по устойчивой энергетике и Рабочей группой ЕЭК по политике в области стандартизации и сотрудничества по вопросам нормативного регулирования была учреждена Совместная целевая группа по стандартам энергоэффективности зданий.</w:t>
      </w:r>
      <w:r w:rsidR="0069374B">
        <w:t xml:space="preserve"> </w:t>
      </w:r>
      <w:r w:rsidRPr="000C54E5">
        <w:t xml:space="preserve">В своей работе Совместная целевая группа уделяет основное внимание разработке стратегии и </w:t>
      </w:r>
      <w:r w:rsidR="00613717">
        <w:t>«</w:t>
      </w:r>
      <w:r w:rsidRPr="000C54E5">
        <w:t>дорожной карты</w:t>
      </w:r>
      <w:r w:rsidR="00613717">
        <w:t>»</w:t>
      </w:r>
      <w:r w:rsidRPr="000C54E5">
        <w:t xml:space="preserve"> для деятельности ЕЭК в области энергоэффективности, определяя</w:t>
      </w:r>
      <w:r w:rsidR="0069374B">
        <w:t xml:space="preserve"> </w:t>
      </w:r>
      <w:r w:rsidRPr="000C54E5">
        <w:t xml:space="preserve">шаги, необходимые для достижения целей энергоэффективности во всем регионе ЕЭК, осуществляя гармонизацию рынков и стандартов, связанных с энергетической эффективностью, и повышая осведомленность общественности. </w:t>
      </w:r>
    </w:p>
    <w:p w:rsidR="000C54E5" w:rsidRPr="000C54E5" w:rsidRDefault="000C54E5" w:rsidP="000C54E5">
      <w:pPr>
        <w:pStyle w:val="SingleTxtGR"/>
      </w:pPr>
      <w:r w:rsidRPr="000C54E5">
        <w:t>72.</w:t>
      </w:r>
      <w:r w:rsidRPr="000C54E5">
        <w:tab/>
        <w:t>Исполняющий обязанности начальника Объединенной секции лесного хозяйства и лесоматериалов ЕЭК и Продовольственной и сельскохозяйственной организации Объединенных Наций</w:t>
      </w:r>
      <w:r w:rsidR="0069374B">
        <w:t xml:space="preserve"> </w:t>
      </w:r>
      <w:r w:rsidRPr="000C54E5">
        <w:t>представил информацию о недавних изменениях в процессе</w:t>
      </w:r>
      <w:r w:rsidR="0069374B">
        <w:t xml:space="preserve"> </w:t>
      </w:r>
      <w:r w:rsidRPr="000C54E5">
        <w:t xml:space="preserve">осуществления Рованиемийского плана действий для лесного сектора в условиях развития </w:t>
      </w:r>
      <w:r w:rsidR="00613717">
        <w:t>«</w:t>
      </w:r>
      <w:r w:rsidRPr="000C54E5">
        <w:t>зеленой</w:t>
      </w:r>
      <w:r w:rsidR="00613717">
        <w:t>»</w:t>
      </w:r>
      <w:r w:rsidRPr="000C54E5">
        <w:t xml:space="preserve"> экономики</w:t>
      </w:r>
      <w:r w:rsidRPr="0069374B">
        <w:rPr>
          <w:sz w:val="18"/>
          <w:vertAlign w:val="superscript"/>
        </w:rPr>
        <w:footnoteReference w:id="8"/>
      </w:r>
      <w:r w:rsidRPr="000C54E5">
        <w:t>.</w:t>
      </w:r>
      <w:r w:rsidR="0069374B">
        <w:t xml:space="preserve"> </w:t>
      </w:r>
      <w:r w:rsidRPr="000C54E5">
        <w:t>Цель этого плана действий состоит в поддержке усилий по</w:t>
      </w:r>
      <w:r w:rsidR="0069374B">
        <w:t xml:space="preserve"> </w:t>
      </w:r>
      <w:r w:rsidRPr="000C54E5">
        <w:t xml:space="preserve">экологизации лесохозяйственного сектора в период до 2020 года. В этой связи в Женеве 21 октября 2016 года было организовано рабочее совещание на тему измерения ценности лесов в условиях </w:t>
      </w:r>
      <w:r w:rsidR="00613717">
        <w:t>«</w:t>
      </w:r>
      <w:r w:rsidRPr="000C54E5">
        <w:t>зеленой</w:t>
      </w:r>
      <w:r w:rsidR="00613717">
        <w:t>»</w:t>
      </w:r>
      <w:r w:rsidRPr="000C54E5">
        <w:t xml:space="preserve"> экономики</w:t>
      </w:r>
      <w:r w:rsidR="0069374B">
        <w:t xml:space="preserve"> </w:t>
      </w:r>
      <w:r w:rsidRPr="000C54E5">
        <w:t xml:space="preserve">с охватом цепочки создания стоимости с опорой на леса и соответствующих количественных показателей устойчивого лесопользования. Участники рабочего совещания пришли к выводу о том, что измерение вклада лесного сектора в развитие </w:t>
      </w:r>
      <w:r w:rsidR="00613717">
        <w:t>«</w:t>
      </w:r>
      <w:r w:rsidRPr="000C54E5">
        <w:t>зеленой</w:t>
      </w:r>
      <w:r w:rsidR="00480A0A">
        <w:t>»</w:t>
      </w:r>
      <w:r w:rsidRPr="000C54E5">
        <w:t xml:space="preserve"> экономики по-прежнему представляет собой серьезную проблему</w:t>
      </w:r>
      <w:r w:rsidR="0069374B">
        <w:t xml:space="preserve"> </w:t>
      </w:r>
      <w:r w:rsidRPr="000C54E5">
        <w:t xml:space="preserve">и что необходимо выявить возможности синергизма и информационные пробелы с целью согласования деятельности лесного сектора с потребностями </w:t>
      </w:r>
      <w:r w:rsidR="00613717">
        <w:t>«</w:t>
      </w:r>
      <w:r w:rsidRPr="000C54E5">
        <w:t>зеленой</w:t>
      </w:r>
      <w:r w:rsidR="00641485">
        <w:t>»</w:t>
      </w:r>
      <w:r w:rsidRPr="000C54E5">
        <w:t xml:space="preserve"> экономики.</w:t>
      </w:r>
    </w:p>
    <w:p w:rsidR="000C54E5" w:rsidRPr="000C54E5" w:rsidRDefault="00641485" w:rsidP="000C54E5">
      <w:pPr>
        <w:pStyle w:val="SingleTxtGR"/>
      </w:pPr>
      <w:r>
        <w:t>73.</w:t>
      </w:r>
      <w:r w:rsidR="000C54E5" w:rsidRPr="000C54E5">
        <w:tab/>
        <w:t>Комитет принял к сведению деятельность Комитета ЕЭК по жилищному хозяйству и землепользованию и Комитета ЕЭК по лесам и лесной промышленности, в частности прогресс в работе по теме энергоэффективности зданий, а</w:t>
      </w:r>
      <w:r w:rsidR="00480A0A">
        <w:t> </w:t>
      </w:r>
      <w:r w:rsidR="000C54E5" w:rsidRPr="000C54E5">
        <w:t>также в том, что касается места</w:t>
      </w:r>
      <w:r w:rsidR="0069374B">
        <w:t xml:space="preserve"> </w:t>
      </w:r>
      <w:r w:rsidR="000C54E5" w:rsidRPr="000C54E5">
        <w:t xml:space="preserve">лесохозяйственного сектора в </w:t>
      </w:r>
      <w:r w:rsidR="00613717">
        <w:t>«</w:t>
      </w:r>
      <w:r w:rsidR="000C54E5" w:rsidRPr="000C54E5">
        <w:t>зеленой</w:t>
      </w:r>
      <w:r w:rsidR="00613717">
        <w:t>»</w:t>
      </w:r>
      <w:r w:rsidR="000C54E5" w:rsidRPr="000C54E5">
        <w:t xml:space="preserve"> экономике, и приветствовал</w:t>
      </w:r>
      <w:r w:rsidR="0069374B">
        <w:t xml:space="preserve"> </w:t>
      </w:r>
      <w:r w:rsidR="000C54E5" w:rsidRPr="000C54E5">
        <w:t xml:space="preserve">более тесное сотрудничество с этими комитетами. 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IX.</w:t>
      </w:r>
      <w:r>
        <w:tab/>
      </w:r>
      <w:r w:rsidR="000C54E5" w:rsidRPr="000C54E5">
        <w:t>Программа работы Подпрограммы по окружающей среде</w:t>
      </w:r>
    </w:p>
    <w:p w:rsidR="000C54E5" w:rsidRPr="000C54E5" w:rsidRDefault="00C42B2A" w:rsidP="00C42B2A">
      <w:pPr>
        <w:pStyle w:val="H1GR"/>
      </w:pPr>
      <w:r>
        <w:tab/>
      </w:r>
      <w:r w:rsidR="000C54E5" w:rsidRPr="000C54E5">
        <w:t>A.</w:t>
      </w:r>
      <w:r>
        <w:tab/>
      </w:r>
      <w:r w:rsidR="000C54E5" w:rsidRPr="000C54E5">
        <w:t>Учет гендерной проблематики в природоохранной деятельности</w:t>
      </w:r>
    </w:p>
    <w:p w:rsidR="000C54E5" w:rsidRPr="000C54E5" w:rsidRDefault="00D6428B" w:rsidP="000C54E5">
      <w:pPr>
        <w:pStyle w:val="SingleTxtGR"/>
      </w:pPr>
      <w:r>
        <w:t>74.</w:t>
      </w:r>
      <w:r w:rsidR="000C54E5" w:rsidRPr="000C54E5">
        <w:tab/>
        <w:t>Представитель Группы ЕЭК по устойчивому развитию и гендерным вопросам представил ключевые элементы политики ЕЭК по обеспечению гендерного равенства и расширению прав и возможностей женщин. Цели политики ЕЭК заключаются в продвижении</w:t>
      </w:r>
      <w:r w:rsidR="0069374B">
        <w:t xml:space="preserve"> </w:t>
      </w:r>
      <w:r w:rsidR="000C54E5" w:rsidRPr="000C54E5">
        <w:t>принципа равного участия в процессе принятия решений в рамках ЕЭК и во всех областях работы, учете гендерной проблематики в основной работе секторальных комитетов, а также в содействии сокращению гендерного неравенства и обеспечении того, чтобы выгоды от развития получали как женщины, так и мужчины. После этого секретариат сообщил об осуществлявшейся в 2016 году деятельности по повышению осведомленности и содействию учету гендерной проблематики в природоохранной деятельности.</w:t>
      </w:r>
      <w:r w:rsidR="0069374B">
        <w:t xml:space="preserve"> </w:t>
      </w:r>
    </w:p>
    <w:p w:rsidR="000C54E5" w:rsidRPr="000C54E5" w:rsidRDefault="00480A0A" w:rsidP="000C54E5">
      <w:pPr>
        <w:pStyle w:val="SingleTxtGR"/>
      </w:pPr>
      <w:r>
        <w:t>75.</w:t>
      </w:r>
      <w:r w:rsidR="000C54E5" w:rsidRPr="000C54E5">
        <w:tab/>
        <w:t xml:space="preserve">Комитет принял к сведению представленную информацию об учете гендерной проблематики во всей деятельности ЕЭК и в природоохранной деятельности, осуществлявшейся Отделом окружающей среды в период после последней сессии Комитета, и: 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480A0A">
        <w:tab/>
      </w:r>
      <w:r w:rsidRPr="000C54E5">
        <w:t>признал важное значение учета гендерной проблематики в природоохранной деятельности, особенно в свете Повестки дня 2030 и целей устойчивого развития, и подчеркнул, что гендерное равенство является как самоцелью, так и средством содействия достижению устойчивого развития;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480A0A">
        <w:tab/>
      </w:r>
      <w:r w:rsidRPr="000C54E5">
        <w:t>поддержал международные инициативы по поощрению гендерного равенства</w:t>
      </w:r>
      <w:r w:rsidR="0069374B">
        <w:t xml:space="preserve"> </w:t>
      </w:r>
      <w:r w:rsidRPr="000C54E5">
        <w:t>и приветствовал</w:t>
      </w:r>
      <w:r w:rsidR="0069374B">
        <w:t xml:space="preserve"> </w:t>
      </w:r>
      <w:r w:rsidRPr="000C54E5">
        <w:t>продолжение сотрудничества и координации с органами Организации Объединенных Наций и другими соответствующими международными форумами и субъектами для этой цели;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480A0A">
        <w:tab/>
      </w:r>
      <w:r w:rsidRPr="000C54E5">
        <w:t>договорился продолжать учитывать гендерную проблематику в</w:t>
      </w:r>
      <w:r w:rsidR="00480A0A">
        <w:t> </w:t>
      </w:r>
      <w:r w:rsidRPr="000C54E5">
        <w:t>своей деятельности.</w:t>
      </w:r>
    </w:p>
    <w:p w:rsidR="000C54E5" w:rsidRPr="000C54E5" w:rsidRDefault="00C42B2A" w:rsidP="00C42B2A">
      <w:pPr>
        <w:pStyle w:val="H1GR"/>
      </w:pPr>
      <w:r>
        <w:tab/>
      </w:r>
      <w:r w:rsidR="000C54E5" w:rsidRPr="000C54E5">
        <w:t>В.</w:t>
      </w:r>
      <w:r>
        <w:tab/>
      </w:r>
      <w:r w:rsidR="000C54E5" w:rsidRPr="000C54E5">
        <w:t>Обзор ресурсов для осуществления природоохранной деятельности и критерии оказания финансовой поддержки для</w:t>
      </w:r>
      <w:r w:rsidR="00382E40">
        <w:t> </w:t>
      </w:r>
      <w:r w:rsidR="000C54E5" w:rsidRPr="000C54E5">
        <w:t>участия в совещаниях и мероприятиях</w:t>
      </w:r>
    </w:p>
    <w:p w:rsidR="000C54E5" w:rsidRPr="000C54E5" w:rsidRDefault="000C54E5" w:rsidP="000C54E5">
      <w:pPr>
        <w:pStyle w:val="SingleTxtGR"/>
      </w:pPr>
      <w:r w:rsidRPr="000C54E5">
        <w:t>76.</w:t>
      </w:r>
      <w:r w:rsidRPr="000C54E5">
        <w:tab/>
        <w:t>Секретарь Комитета объявил, что он по-прежнему не в состоянии представить на нынешней сессии доклад о положении дел с ресурсами Подпрограммы по окружающей среде для двухгодичного периода 2014</w:t>
      </w:r>
      <w:r w:rsidR="00382E40">
        <w:t>–</w:t>
      </w:r>
      <w:r w:rsidRPr="000C54E5">
        <w:t xml:space="preserve">2015 годов, как его об этом просили. Новая система общеорганизационного планирования ресурсов Организации Объединенных Наций </w:t>
      </w:r>
      <w:r w:rsidR="00613717">
        <w:t>«</w:t>
      </w:r>
      <w:r w:rsidRPr="000C54E5">
        <w:t>Умоджа</w:t>
      </w:r>
      <w:r w:rsidR="00613717">
        <w:t>»</w:t>
      </w:r>
      <w:r w:rsidRPr="000C54E5">
        <w:t xml:space="preserve">, которая действует для ЕЭК с ноября 2016 года, все еще не полностью функциональна, и это помешало подготовке запрошенного доклада. </w:t>
      </w:r>
    </w:p>
    <w:p w:rsidR="000C54E5" w:rsidRPr="000C54E5" w:rsidRDefault="00382E40" w:rsidP="000C54E5">
      <w:pPr>
        <w:pStyle w:val="SingleTxtGR"/>
      </w:pPr>
      <w:r>
        <w:t>77.</w:t>
      </w:r>
      <w:r w:rsidR="000C54E5" w:rsidRPr="000C54E5">
        <w:tab/>
        <w:t>Комитет принял к сведению представленную информацию о проблемах с отчетностью относительно положения дел с</w:t>
      </w:r>
      <w:r w:rsidR="0069374B">
        <w:t xml:space="preserve"> </w:t>
      </w:r>
      <w:r w:rsidR="000C54E5" w:rsidRPr="000C54E5">
        <w:t>ресурсами для</w:t>
      </w:r>
      <w:r w:rsidR="0069374B">
        <w:t xml:space="preserve"> </w:t>
      </w:r>
      <w:r w:rsidR="000C54E5" w:rsidRPr="000C54E5">
        <w:t xml:space="preserve">природоохранной деятельности и: 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382E40">
        <w:tab/>
      </w:r>
      <w:r w:rsidRPr="000C54E5">
        <w:t xml:space="preserve">выразил озабоченность по поводу трудностей, возникающих из-за того, что система </w:t>
      </w:r>
      <w:r w:rsidR="00613717">
        <w:t>«</w:t>
      </w:r>
      <w:r w:rsidRPr="000C54E5">
        <w:t>Умоджа</w:t>
      </w:r>
      <w:r w:rsidR="00613717">
        <w:t>»</w:t>
      </w:r>
      <w:r w:rsidRPr="000C54E5">
        <w:t xml:space="preserve"> не полностью функциональна; 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382E40">
        <w:tab/>
      </w:r>
      <w:r w:rsidRPr="000C54E5">
        <w:t>просил секретариат представить информацию о положении дел с</w:t>
      </w:r>
      <w:r w:rsidR="0069374B">
        <w:t xml:space="preserve"> </w:t>
      </w:r>
      <w:r w:rsidRPr="000C54E5">
        <w:t>ресурсами для двухгодичного периода 2016</w:t>
      </w:r>
      <w:r w:rsidR="00D6428B">
        <w:t>–</w:t>
      </w:r>
      <w:r w:rsidRPr="000C54E5">
        <w:t xml:space="preserve">2017 годов в рамках Подпрограммы по окружающей среде на следующей сессии Комитета; 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382E40">
        <w:tab/>
      </w:r>
      <w:r w:rsidRPr="000C54E5">
        <w:t>предложил</w:t>
      </w:r>
      <w:r w:rsidR="0069374B">
        <w:t xml:space="preserve"> </w:t>
      </w:r>
      <w:r w:rsidRPr="000C54E5">
        <w:t>странам и другим заинтересованным сторонам рассмотреть вопрос о внесении добровольных взносов в целевой фонд</w:t>
      </w:r>
      <w:r w:rsidR="0069374B">
        <w:t xml:space="preserve"> </w:t>
      </w:r>
      <w:r w:rsidRPr="000C54E5">
        <w:t xml:space="preserve">процесса </w:t>
      </w:r>
      <w:r w:rsidR="00613717">
        <w:t>«</w:t>
      </w:r>
      <w:r w:rsidRPr="000C54E5">
        <w:t>Окружающая среда для Европы</w:t>
      </w:r>
      <w:r w:rsidR="00613717">
        <w:t>»</w:t>
      </w:r>
      <w:r w:rsidRPr="000C54E5">
        <w:t xml:space="preserve"> для поддержки участия отвечающих критериям участников в совещаниях Комитета и его Бюро и в этой связи выразил признательность Люксембургу, Норвегии и Швейцарии за их финансовый вклад в поддержку деятельности секретариата по процессу</w:t>
      </w:r>
      <w:r w:rsidR="0069374B">
        <w:t xml:space="preserve"> </w:t>
      </w:r>
      <w:r w:rsidR="00613717">
        <w:t>«</w:t>
      </w:r>
      <w:r w:rsidRPr="000C54E5">
        <w:t>Окружающая среда для Европы</w:t>
      </w:r>
      <w:r w:rsidR="00613717">
        <w:t>»</w:t>
      </w:r>
      <w:r w:rsidRPr="000C54E5">
        <w:t>.</w:t>
      </w:r>
    </w:p>
    <w:p w:rsidR="000C54E5" w:rsidRPr="000C54E5" w:rsidRDefault="000C54E5" w:rsidP="000C54E5">
      <w:pPr>
        <w:pStyle w:val="SingleTxtGR"/>
      </w:pPr>
      <w:r w:rsidRPr="000C54E5">
        <w:t>78.</w:t>
      </w:r>
      <w:r w:rsidRPr="000C54E5">
        <w:tab/>
        <w:t>Председатель проинформировал делегатов о том, что Бюро рассмотрело обновленные критерии для участия в совещаниях и мероприятиях и рекомендовало Комитету утвердить их. После этого Комитет</w:t>
      </w:r>
      <w:r w:rsidR="0069374B">
        <w:t xml:space="preserve"> </w:t>
      </w:r>
      <w:r w:rsidRPr="000C54E5">
        <w:t>утвердил</w:t>
      </w:r>
      <w:r w:rsidR="0069374B">
        <w:t xml:space="preserve"> </w:t>
      </w:r>
      <w:r w:rsidRPr="000C54E5">
        <w:t xml:space="preserve">пересмотренные критерии финансовой поддержки участия в совещаниях и мероприятиях, </w:t>
      </w:r>
      <w:r w:rsidR="00D40BE2">
        <w:br/>
      </w:r>
      <w:r w:rsidRPr="000C54E5">
        <w:t>содержащиеся в информационном документе № 7, и просил включить этот текст в приложение к докладу Комитета о работе его двадцать второй сессии (см. приложение I).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X.</w:t>
      </w:r>
      <w:r>
        <w:tab/>
      </w:r>
      <w:r w:rsidR="000C54E5" w:rsidRPr="000C54E5">
        <w:t>Представление мнений и обмен мнениями об</w:t>
      </w:r>
      <w:r w:rsidR="00382E40">
        <w:t> </w:t>
      </w:r>
      <w:r w:rsidR="000C54E5" w:rsidRPr="000C54E5">
        <w:t>Ассамблее Организации Объединенных Наций по</w:t>
      </w:r>
      <w:r w:rsidR="00382E40">
        <w:t> </w:t>
      </w:r>
      <w:r w:rsidR="000C54E5" w:rsidRPr="000C54E5">
        <w:t xml:space="preserve">окружающей среде </w:t>
      </w:r>
    </w:p>
    <w:p w:rsidR="000C54E5" w:rsidRPr="000C54E5" w:rsidRDefault="000C54E5" w:rsidP="000C54E5">
      <w:pPr>
        <w:pStyle w:val="SingleTxtGR"/>
      </w:pPr>
      <w:r w:rsidRPr="000C54E5">
        <w:t xml:space="preserve">79. </w:t>
      </w:r>
      <w:r w:rsidRPr="000C54E5">
        <w:tab/>
        <w:t>Групповое обсуждение вопроса о подготовке к третьей сессии Ассамблеи Организации Объединенных Наций по окружающей среде (Найроби, 4</w:t>
      </w:r>
      <w:r w:rsidR="00CA2A2C">
        <w:t>–</w:t>
      </w:r>
      <w:r w:rsidRPr="000C54E5">
        <w:t>6 декабря 2017 года) вел Директор Регионального бюро ЮНЕП по Европе. В число участников группового обсуждения входили</w:t>
      </w:r>
      <w:r w:rsidR="0069374B">
        <w:t xml:space="preserve"> </w:t>
      </w:r>
      <w:r w:rsidRPr="000C54E5">
        <w:t xml:space="preserve">представители Президиума Ассамблеи из Соединенных Штатов Америки, Черногории и Чехии. </w:t>
      </w:r>
    </w:p>
    <w:p w:rsidR="000C54E5" w:rsidRPr="000C54E5" w:rsidRDefault="000C54E5" w:rsidP="000C54E5">
      <w:pPr>
        <w:pStyle w:val="SingleTxtGR"/>
      </w:pPr>
      <w:r w:rsidRPr="000C54E5">
        <w:t xml:space="preserve">80. </w:t>
      </w:r>
      <w:r w:rsidRPr="000C54E5">
        <w:tab/>
        <w:t>Директор Регионального бюро ЮНЕП по Европе сказал, что сейчас организуется серия подготовительных совещаний и консультаций, включая несколько совещаний Президиума Ассамблеи и Бюро Комитета постоянных представителей. Европейские</w:t>
      </w:r>
      <w:r w:rsidR="0069374B">
        <w:t xml:space="preserve"> </w:t>
      </w:r>
      <w:r w:rsidRPr="000C54E5">
        <w:t xml:space="preserve">консультации по подготовке третьей сессии Ассамблеи Организации Объединенных Наций по окружающей среде будут организованы на полях Остравской конференции по окружающей среде и охране здоровья в июне 2017 года. Темой третьей сессии будет тема </w:t>
      </w:r>
      <w:r w:rsidR="00613717">
        <w:t>«</w:t>
      </w:r>
      <w:r w:rsidRPr="000C54E5">
        <w:t>Мир, свободный от загрязнения</w:t>
      </w:r>
      <w:r w:rsidR="00CA2A2C">
        <w:t>»</w:t>
      </w:r>
      <w:r w:rsidRPr="000C54E5">
        <w:t>, работа над которой будет вестись на основе</w:t>
      </w:r>
      <w:r w:rsidR="0069374B">
        <w:t xml:space="preserve"> </w:t>
      </w:r>
      <w:r w:rsidRPr="000C54E5">
        <w:t>вклада</w:t>
      </w:r>
      <w:r w:rsidR="0069374B">
        <w:t xml:space="preserve"> </w:t>
      </w:r>
      <w:r w:rsidRPr="000C54E5">
        <w:t>более чем 100 государств-членов и аккредитованных представителей гражданского общества. Для поддержки обсуждений на сессии будет подготовлен доклад на тему</w:t>
      </w:r>
      <w:r w:rsidR="0069374B">
        <w:t xml:space="preserve"> </w:t>
      </w:r>
      <w:r w:rsidR="00613717">
        <w:t>«</w:t>
      </w:r>
      <w:r w:rsidRPr="000C54E5">
        <w:t>Планета, свободная от загрязнения</w:t>
      </w:r>
      <w:r w:rsidR="00613717">
        <w:t>»</w:t>
      </w:r>
      <w:r w:rsidRPr="000C54E5">
        <w:t>, в котором будут рассмотрены свидетельства</w:t>
      </w:r>
      <w:r w:rsidR="0069374B">
        <w:t xml:space="preserve"> </w:t>
      </w:r>
      <w:r w:rsidRPr="000C54E5">
        <w:t>загрязненности планеты под углом зрения ее воздействия на здоровье человека, экосистемы и экономику и представлены варианты решения проблемы необходимых</w:t>
      </w:r>
      <w:r w:rsidR="0069374B">
        <w:t xml:space="preserve"> </w:t>
      </w:r>
      <w:r w:rsidRPr="000C54E5">
        <w:t>преобразовательных действий и лидерства, требующегося для освобождения планеты от загрязнения.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81.</w:t>
      </w:r>
      <w:r w:rsidRPr="000C54E5">
        <w:tab/>
        <w:t>Комитет приветствовал представленную ЮНЕП информацию об изменениях в процессе</w:t>
      </w:r>
      <w:r w:rsidR="0069374B">
        <w:t xml:space="preserve"> </w:t>
      </w:r>
      <w:r w:rsidRPr="000C54E5">
        <w:t>подготовки третьей сессии Ассамблеи Организации Объединенных Наций по окружающей среде</w:t>
      </w:r>
      <w:r w:rsidR="0069374B">
        <w:t xml:space="preserve"> </w:t>
      </w:r>
      <w:r w:rsidRPr="000C54E5">
        <w:t xml:space="preserve">и: </w:t>
      </w:r>
    </w:p>
    <w:p w:rsidR="000C54E5" w:rsidRPr="000C54E5" w:rsidRDefault="000C54E5" w:rsidP="000C54E5">
      <w:pPr>
        <w:pStyle w:val="SingleTxtGR"/>
      </w:pPr>
      <w:r w:rsidRPr="000C54E5">
        <w:tab/>
        <w:t>a)</w:t>
      </w:r>
      <w:r w:rsidR="00CA2A2C">
        <w:tab/>
      </w:r>
      <w:r w:rsidRPr="000C54E5">
        <w:t xml:space="preserve">выразил признательность членам Президиума Ассамблеи и другим ораторам, участвовавшим в групповом обсуждении, за их интересные выступления по вопросам подготовки и структурирования третьей сессии Ассамблеи; </w:t>
      </w:r>
    </w:p>
    <w:p w:rsidR="000C54E5" w:rsidRPr="000C54E5" w:rsidRDefault="000C54E5" w:rsidP="000C54E5">
      <w:pPr>
        <w:pStyle w:val="SingleTxtGR"/>
      </w:pPr>
      <w:r w:rsidRPr="000C54E5">
        <w:tab/>
        <w:t>b)</w:t>
      </w:r>
      <w:r w:rsidR="00CA2A2C">
        <w:tab/>
      </w:r>
      <w:r w:rsidRPr="000C54E5">
        <w:t>предложил</w:t>
      </w:r>
      <w:r w:rsidR="0069374B">
        <w:t xml:space="preserve"> </w:t>
      </w:r>
      <w:r w:rsidRPr="000C54E5">
        <w:t>странам и организациям вести пропаганду работы ЕЭК, связанной</w:t>
      </w:r>
      <w:r w:rsidRPr="00C22AB8">
        <w:rPr>
          <w:spacing w:val="2"/>
        </w:rPr>
        <w:t xml:space="preserve"> с темами третьей сессии Ассамблеи Организации Объединенных Наций по окружающей среде, в ходе выш</w:t>
      </w:r>
      <w:r w:rsidR="00C22AB8" w:rsidRPr="00C22AB8">
        <w:rPr>
          <w:spacing w:val="2"/>
        </w:rPr>
        <w:t>е</w:t>
      </w:r>
      <w:r w:rsidRPr="00C22AB8">
        <w:rPr>
          <w:spacing w:val="2"/>
        </w:rPr>
        <w:t xml:space="preserve">указанной сессии, охватывая при </w:t>
      </w:r>
      <w:r w:rsidRPr="000C54E5">
        <w:t>этом, в частности, многосторонние природоохранные соглашения ЕЭК (в особенности Конвенцию по водам и Конвенцию по</w:t>
      </w:r>
      <w:r w:rsidR="0069374B">
        <w:t xml:space="preserve"> </w:t>
      </w:r>
      <w:r w:rsidRPr="000C54E5">
        <w:t>воздуху) и недавние инициативы, выдвинутые в рамках процесса</w:t>
      </w:r>
      <w:r w:rsidR="0069374B">
        <w:t xml:space="preserve"> </w:t>
      </w:r>
      <w:r w:rsidR="00613717">
        <w:t>«</w:t>
      </w:r>
      <w:r w:rsidRPr="000C54E5">
        <w:t>Окружающая среда для Европы</w:t>
      </w:r>
      <w:r w:rsidR="00613717">
        <w:t>»</w:t>
      </w:r>
      <w:r w:rsidRPr="000C54E5">
        <w:t>, а именно Астанинские предложения относительно действий по воде</w:t>
      </w:r>
      <w:r w:rsidR="0069374B">
        <w:t xml:space="preserve"> </w:t>
      </w:r>
      <w:r w:rsidRPr="000C54E5">
        <w:t>(АДВ), БАКА и БИЗ-Э;</w:t>
      </w:r>
    </w:p>
    <w:p w:rsidR="000C54E5" w:rsidRPr="000C54E5" w:rsidRDefault="000C54E5" w:rsidP="000C54E5">
      <w:pPr>
        <w:pStyle w:val="SingleTxtGR"/>
      </w:pPr>
      <w:r w:rsidRPr="000C54E5">
        <w:tab/>
        <w:t>c)</w:t>
      </w:r>
      <w:r w:rsidR="00CA2A2C">
        <w:tab/>
      </w:r>
      <w:r w:rsidRPr="000C54E5">
        <w:t>предложил</w:t>
      </w:r>
      <w:r w:rsidR="0069374B">
        <w:t xml:space="preserve"> </w:t>
      </w:r>
      <w:r w:rsidRPr="000C54E5">
        <w:t>ЮНЕП продолжить информирование Комитета о подготовке к третьей сессии Ассамблеи, в частности на следующей сессии Комитета.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XI.</w:t>
      </w:r>
      <w:r>
        <w:tab/>
      </w:r>
      <w:r w:rsidR="000C54E5" w:rsidRPr="000C54E5">
        <w:t>Круг ведения</w:t>
      </w:r>
    </w:p>
    <w:p w:rsidR="000C54E5" w:rsidRPr="000C54E5" w:rsidRDefault="000C54E5" w:rsidP="000C54E5">
      <w:pPr>
        <w:pStyle w:val="SingleTxtGR"/>
      </w:pPr>
      <w:r w:rsidRPr="000C54E5">
        <w:t>82.</w:t>
      </w:r>
      <w:r w:rsidRPr="000C54E5">
        <w:tab/>
        <w:t>Председатель сообщила, что Бюро обсудило вопрос о пересмотре круга ведения Комитета и пришло к выводу о том, что нынешний круг ведения по-прежнему актуален и</w:t>
      </w:r>
      <w:r w:rsidR="0069374B">
        <w:t xml:space="preserve"> </w:t>
      </w:r>
      <w:r w:rsidRPr="000C54E5">
        <w:t>нуждается лишь в некоторых незначительных изменениях. Что касается процесса пересмотра круга ведения, то Бюро рекомендовало распространить круг ведения среди членов Комитета и наблюдателей с целью получения замечаний, которые должны быть</w:t>
      </w:r>
      <w:r w:rsidR="0069374B">
        <w:t xml:space="preserve"> </w:t>
      </w:r>
      <w:r w:rsidRPr="000C54E5">
        <w:t>представлены в секретариат. Секретариат обобщит полученные замечания и представит</w:t>
      </w:r>
      <w:r w:rsidR="0069374B">
        <w:t xml:space="preserve"> </w:t>
      </w:r>
      <w:r w:rsidRPr="000C54E5">
        <w:t xml:space="preserve">их Бюро. Впоследствии Комитет получит проект пересмотренного круга ведения для рассмотрения. </w:t>
      </w:r>
    </w:p>
    <w:p w:rsidR="000C54E5" w:rsidRPr="000C54E5" w:rsidRDefault="000C54E5" w:rsidP="000C54E5">
      <w:pPr>
        <w:pStyle w:val="SingleTxtGR"/>
      </w:pPr>
      <w:r w:rsidRPr="000C54E5">
        <w:t>83.</w:t>
      </w:r>
      <w:r w:rsidRPr="000C54E5">
        <w:tab/>
        <w:t>Комитет поручил Бюро подготовить при поддержке секретариата первый проект пересмотренного круга ведения Комитета для рассмотрения Комитетом на его двадцать третьей сессии. В этой связи Комитет просил секретариат распространить нынешний круг ведения</w:t>
      </w:r>
      <w:r w:rsidR="0069374B">
        <w:t xml:space="preserve"> </w:t>
      </w:r>
      <w:r w:rsidRPr="000C54E5">
        <w:t>среди членов Комитета и наблюдателей, с</w:t>
      </w:r>
      <w:r w:rsidR="00CA2A2C">
        <w:t> </w:t>
      </w:r>
      <w:r w:rsidRPr="000C54E5">
        <w:t>тем чтобы они представили свои замечания к 28 февраля 2017 года, и скомпилировать полученные замечания для рассмотрения Бюро.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XII.</w:t>
      </w:r>
      <w:r>
        <w:tab/>
      </w:r>
      <w:r w:rsidR="000C54E5" w:rsidRPr="000C54E5">
        <w:t>Правила процедуры</w:t>
      </w:r>
    </w:p>
    <w:p w:rsidR="000C54E5" w:rsidRPr="000C54E5" w:rsidRDefault="000C54E5" w:rsidP="000C54E5">
      <w:pPr>
        <w:pStyle w:val="SingleTxtGR"/>
      </w:pPr>
      <w:r w:rsidRPr="000C54E5">
        <w:t>84.</w:t>
      </w:r>
      <w:r w:rsidRPr="000C54E5">
        <w:tab/>
        <w:t>Председатель сообщила о том, что Бюро рассмотрело проект правил процедуры и рекомендовало Комитету уполномочить его на продолжение работы над текстом в квадратных скобках и снова пересмотреть проект с тем, чтобы Комитет рассмотрел его на своей следующей сессии. После получения просьбы от Бюро секретариат представил текущий проект правил процедуры.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85.</w:t>
      </w:r>
      <w:r w:rsidRPr="000C54E5">
        <w:tab/>
        <w:t>Комитет постановил дополнительно рассмотреть потребность в конкретных правилах</w:t>
      </w:r>
      <w:r w:rsidR="0069374B">
        <w:t xml:space="preserve"> </w:t>
      </w:r>
      <w:r w:rsidRPr="000C54E5">
        <w:t xml:space="preserve">процедуры и отложить принятие решения по этому вопросу до своей следующей сессии. 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XIII.</w:t>
      </w:r>
      <w:r>
        <w:tab/>
      </w:r>
      <w:r w:rsidR="000C54E5" w:rsidRPr="000C54E5">
        <w:t>Выборы должностных лиц</w:t>
      </w:r>
    </w:p>
    <w:p w:rsidR="000C54E5" w:rsidRPr="000C54E5" w:rsidRDefault="000C54E5" w:rsidP="000C54E5">
      <w:pPr>
        <w:pStyle w:val="SingleTxtGR"/>
      </w:pPr>
      <w:r w:rsidRPr="000C54E5">
        <w:t>86.</w:t>
      </w:r>
      <w:r w:rsidRPr="000C54E5">
        <w:tab/>
        <w:t xml:space="preserve">Комитет постановил отложить выборы должностных лиц до следующей сессии Комитета и сохранить до времени ее проведения нынешний состав </w:t>
      </w:r>
      <w:r w:rsidR="00CA2A2C">
        <w:br/>
      </w:r>
      <w:r w:rsidRPr="000C54E5">
        <w:t>Бюро.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XIV.</w:t>
      </w:r>
      <w:r>
        <w:tab/>
      </w:r>
      <w:r w:rsidR="000C54E5" w:rsidRPr="000C54E5">
        <w:t xml:space="preserve">Расписание совещаний </w:t>
      </w:r>
    </w:p>
    <w:p w:rsidR="000C54E5" w:rsidRPr="000C54E5" w:rsidRDefault="000C54E5" w:rsidP="000C54E5">
      <w:pPr>
        <w:pStyle w:val="SingleTxtGR"/>
      </w:pPr>
      <w:r w:rsidRPr="000C54E5">
        <w:t>87.</w:t>
      </w:r>
      <w:r w:rsidRPr="000C54E5">
        <w:tab/>
        <w:t>Председатель представила расписание совещаний Комитета и его Бюро на период до 2019 года.</w:t>
      </w:r>
    </w:p>
    <w:p w:rsidR="000C54E5" w:rsidRPr="000C54E5" w:rsidRDefault="00D2578E" w:rsidP="000C54E5">
      <w:pPr>
        <w:pStyle w:val="SingleTxtGR"/>
      </w:pPr>
      <w:r>
        <w:t>88.</w:t>
      </w:r>
      <w:r w:rsidR="000C54E5" w:rsidRPr="000C54E5">
        <w:tab/>
        <w:t>Комитет утвердил предложенное расписание совещаний Комитета и Бюро на период до 2019 года, представленное в информационном документе</w:t>
      </w:r>
      <w:r>
        <w:t> </w:t>
      </w:r>
      <w:r w:rsidR="000C54E5" w:rsidRPr="000C54E5">
        <w:t>№</w:t>
      </w:r>
      <w:r>
        <w:t> </w:t>
      </w:r>
      <w:r w:rsidR="000C54E5" w:rsidRPr="000C54E5">
        <w:t xml:space="preserve">9/Rev.2, и решил организовать двадцать третью сессию Комитета </w:t>
      </w:r>
      <w:r>
        <w:br/>
      </w:r>
      <w:r w:rsidR="000C54E5" w:rsidRPr="000C54E5">
        <w:t>14</w:t>
      </w:r>
      <w:r>
        <w:t>–</w:t>
      </w:r>
      <w:r w:rsidR="000C54E5" w:rsidRPr="000C54E5">
        <w:t>17 ноября 2017 года в Женеве.</w:t>
      </w:r>
    </w:p>
    <w:p w:rsidR="000C54E5" w:rsidRPr="000C54E5" w:rsidRDefault="00C42B2A" w:rsidP="00C42B2A">
      <w:pPr>
        <w:pStyle w:val="HChGR"/>
      </w:pPr>
      <w:r>
        <w:tab/>
      </w:r>
      <w:r w:rsidR="000C54E5" w:rsidRPr="000C54E5">
        <w:t>XV.</w:t>
      </w:r>
      <w:r>
        <w:tab/>
      </w:r>
      <w:r w:rsidR="000C54E5" w:rsidRPr="000C54E5">
        <w:t>Закрытие совещания</w:t>
      </w:r>
    </w:p>
    <w:p w:rsidR="000C54E5" w:rsidRPr="000C54E5" w:rsidRDefault="00D2578E" w:rsidP="000C54E5">
      <w:pPr>
        <w:pStyle w:val="SingleTxtGR"/>
      </w:pPr>
      <w:r>
        <w:t>89.</w:t>
      </w:r>
      <w:r w:rsidR="000C54E5" w:rsidRPr="000C54E5">
        <w:tab/>
        <w:t>При поддержке секретариата Председатель составила резюме итогов и решений, принятых Комитетом на его двадцать второй сессии, которое было показано на экране в зале заседаний. После обсуждения проект резюме был доработан и утвержден</w:t>
      </w:r>
      <w:r w:rsidR="000C54E5" w:rsidRPr="0069374B">
        <w:rPr>
          <w:sz w:val="18"/>
          <w:vertAlign w:val="superscript"/>
        </w:rPr>
        <w:footnoteReference w:id="9"/>
      </w:r>
      <w:r w:rsidR="000C54E5" w:rsidRPr="000C54E5">
        <w:t>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90.</w:t>
      </w:r>
      <w:r w:rsidRPr="000C54E5">
        <w:tab/>
        <w:t>Комитет просил Бюро и секретариат предпринять последующие действия в связи с решениями Комитета, в частности подготовить документы и доклады, необходимые для работы Комитета на его следующей сессии в 2017 году.</w:t>
      </w:r>
      <w:r w:rsidR="0069374B">
        <w:t xml:space="preserve"> </w:t>
      </w:r>
    </w:p>
    <w:p w:rsidR="000C54E5" w:rsidRPr="000C54E5" w:rsidRDefault="000C54E5" w:rsidP="000C54E5">
      <w:pPr>
        <w:pStyle w:val="SingleTxtGR"/>
      </w:pPr>
      <w:r w:rsidRPr="000C54E5">
        <w:t>91.</w:t>
      </w:r>
      <w:r w:rsidRPr="000C54E5">
        <w:tab/>
        <w:t>Председатель проинформировала делегатов о том, что доклад о работе нынешнего совещания и список участников будут размещены на веб-сайте ЕЭК после совещания. Председатель поблагодарил</w:t>
      </w:r>
      <w:r w:rsidR="0069374B">
        <w:t xml:space="preserve"> </w:t>
      </w:r>
      <w:r w:rsidRPr="000C54E5">
        <w:t>участников и объявил совещание закрытым.</w:t>
      </w:r>
    </w:p>
    <w:p w:rsidR="00643063" w:rsidRDefault="00643063" w:rsidP="000C54E5">
      <w:pPr>
        <w:pStyle w:val="SingleTxtGR"/>
        <w:sectPr w:rsidR="00643063" w:rsidSect="002778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643063" w:rsidRPr="00643063" w:rsidRDefault="00643063" w:rsidP="005E6C26">
      <w:pPr>
        <w:pStyle w:val="HChGR"/>
        <w:spacing w:before="240"/>
      </w:pPr>
      <w:r w:rsidRPr="00643063">
        <w:t>Приложение I</w:t>
      </w:r>
    </w:p>
    <w:p w:rsidR="00643063" w:rsidRPr="00643063" w:rsidRDefault="00C42B2A" w:rsidP="005E6C26">
      <w:pPr>
        <w:pStyle w:val="HChGR"/>
        <w:spacing w:before="240"/>
      </w:pPr>
      <w:r>
        <w:tab/>
      </w:r>
      <w:r>
        <w:tab/>
      </w:r>
      <w:r w:rsidR="00643063" w:rsidRPr="00643063">
        <w:t>Страны, имеющие право на финансовую поддержку для участия в совещаниях и мероприятиях</w:t>
      </w:r>
    </w:p>
    <w:p w:rsidR="00643063" w:rsidRPr="00643063" w:rsidRDefault="00643063" w:rsidP="00643063">
      <w:pPr>
        <w:pStyle w:val="SingleTxtGR"/>
      </w:pPr>
      <w:r w:rsidRPr="00643063">
        <w:t>1.</w:t>
      </w:r>
      <w:r w:rsidRPr="00643063">
        <w:tab/>
        <w:t xml:space="preserve">Для целей настоящего документа </w:t>
      </w:r>
      <w:r w:rsidR="00613717">
        <w:t>«</w:t>
      </w:r>
      <w:r w:rsidRPr="00643063">
        <w:t>частичная финансовая поддержка</w:t>
      </w:r>
      <w:r w:rsidR="00613717">
        <w:t>»</w:t>
      </w:r>
      <w:r w:rsidRPr="00643063">
        <w:t xml:space="preserve"> включает только суточные, а </w:t>
      </w:r>
      <w:r w:rsidR="00613717">
        <w:t>«</w:t>
      </w:r>
      <w:r w:rsidRPr="00643063">
        <w:t>полная финансовая поддержка</w:t>
      </w:r>
      <w:r w:rsidR="00613717">
        <w:t>»</w:t>
      </w:r>
      <w:r w:rsidRPr="00643063">
        <w:t xml:space="preserve"> – суточные и путевые расходы.</w:t>
      </w:r>
    </w:p>
    <w:p w:rsidR="00643063" w:rsidRPr="00643063" w:rsidRDefault="00643063" w:rsidP="00643063">
      <w:pPr>
        <w:pStyle w:val="SingleTxtGR"/>
      </w:pPr>
      <w:r w:rsidRPr="00643063">
        <w:t xml:space="preserve">2. </w:t>
      </w:r>
      <w:r w:rsidRPr="00643063">
        <w:tab/>
        <w:t>Нижний порог для финансовой поддержки составляет 4 500 долл. США. Представители государств-членов с годовым валовым внутренним продуктом (ВВП) на душу населения меньше этого нижнего порога в случае участия в соответствующих совещаниях и мероприятиях имеют право на полную</w:t>
      </w:r>
      <w:r w:rsidRPr="0069374B">
        <w:rPr>
          <w:sz w:val="18"/>
          <w:vertAlign w:val="superscript"/>
        </w:rPr>
        <w:footnoteReference w:id="10"/>
      </w:r>
      <w:r w:rsidRPr="00643063">
        <w:t xml:space="preserve"> финансовую поддержку. В случае проектов, когда доноры оговаривают их целевые взносы особыми условиями, могут применяться иные подходы.</w:t>
      </w:r>
      <w:r w:rsidR="0069374B">
        <w:t xml:space="preserve"> </w:t>
      </w:r>
    </w:p>
    <w:p w:rsidR="00643063" w:rsidRPr="00643063" w:rsidRDefault="00643063" w:rsidP="00643063">
      <w:pPr>
        <w:pStyle w:val="SingleTxtGR"/>
      </w:pPr>
      <w:r w:rsidRPr="00643063">
        <w:t xml:space="preserve">3. </w:t>
      </w:r>
      <w:r w:rsidRPr="00643063">
        <w:tab/>
        <w:t>Верхний порог для финансовой поддержки составляет 5 500 долл. США. Представители государств-членов с годовым ВВП на душу населения между нижним и верхним порогами в случае участия в соответствующих совещаниях и меропр</w:t>
      </w:r>
      <w:r w:rsidR="007C295D">
        <w:t>иятиях имеют право на частичную</w:t>
      </w:r>
      <w:r w:rsidRPr="0069374B">
        <w:rPr>
          <w:sz w:val="18"/>
          <w:vertAlign w:val="superscript"/>
        </w:rPr>
        <w:footnoteReference w:id="11"/>
      </w:r>
      <w:r w:rsidRPr="00643063">
        <w:t xml:space="preserve"> финансовую поддержку. </w:t>
      </w:r>
    </w:p>
    <w:p w:rsidR="00643063" w:rsidRPr="00643063" w:rsidRDefault="00C42B2A" w:rsidP="00DB7E77">
      <w:pPr>
        <w:pStyle w:val="H23GR"/>
        <w:spacing w:before="200"/>
      </w:pPr>
      <w:r>
        <w:tab/>
      </w:r>
      <w:r>
        <w:tab/>
      </w:r>
      <w:r w:rsidR="00643063" w:rsidRPr="00643063">
        <w:t>Перечень стран, имеющих право на финансовую поддержку, с указанием категорий помощи и валового внутреннего продукта на душу населения</w:t>
      </w:r>
    </w:p>
    <w:tbl>
      <w:tblPr>
        <w:tblStyle w:val="TabNum"/>
        <w:tblW w:w="7370" w:type="dxa"/>
        <w:tblInd w:w="1134" w:type="dxa"/>
        <w:tblLook w:val="05E0" w:firstRow="1" w:lastRow="1" w:firstColumn="1" w:lastColumn="1" w:noHBand="0" w:noVBand="1"/>
      </w:tblPr>
      <w:tblGrid>
        <w:gridCol w:w="4522"/>
        <w:gridCol w:w="1833"/>
        <w:gridCol w:w="1015"/>
      </w:tblGrid>
      <w:tr w:rsidR="00643063" w:rsidRPr="00D2578E" w:rsidTr="00B3723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bottom w:val="single" w:sz="12" w:space="0" w:color="auto"/>
            </w:tcBorders>
            <w:shd w:val="clear" w:color="auto" w:fill="auto"/>
          </w:tcPr>
          <w:p w:rsidR="00643063" w:rsidRPr="00D2578E" w:rsidRDefault="00643063" w:rsidP="008C4E9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2578E">
              <w:rPr>
                <w:i/>
                <w:sz w:val="16"/>
              </w:rPr>
              <w:t>Страна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3063" w:rsidRPr="00D2578E" w:rsidRDefault="00643063" w:rsidP="008C4E93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2578E">
              <w:rPr>
                <w:i/>
                <w:sz w:val="16"/>
              </w:rPr>
              <w:t xml:space="preserve">Подушевой ВВП, </w:t>
            </w:r>
            <w:r w:rsidR="008C4E93">
              <w:rPr>
                <w:i/>
                <w:sz w:val="16"/>
              </w:rPr>
              <w:br/>
            </w:r>
            <w:r w:rsidRPr="00D2578E">
              <w:rPr>
                <w:i/>
                <w:sz w:val="16"/>
              </w:rPr>
              <w:t>2015 год (долл. США)</w:t>
            </w:r>
            <w:r w:rsidRPr="007C295D">
              <w:rPr>
                <w:i/>
                <w:sz w:val="16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3063" w:rsidRPr="00D2578E" w:rsidRDefault="00643063" w:rsidP="008C4E93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2578E">
              <w:rPr>
                <w:i/>
                <w:sz w:val="16"/>
              </w:rPr>
              <w:t>Количество стран</w:t>
            </w:r>
          </w:p>
        </w:tc>
      </w:tr>
      <w:tr w:rsidR="00B3723B" w:rsidRPr="00B3723B" w:rsidTr="00B37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12" w:space="0" w:color="auto"/>
            </w:tcBorders>
          </w:tcPr>
          <w:p w:rsidR="00B3723B" w:rsidRPr="00B3723B" w:rsidRDefault="00B3723B" w:rsidP="008C4E93">
            <w:pPr>
              <w:suppressAutoHyphens/>
              <w:spacing w:line="220" w:lineRule="atLeast"/>
              <w:rPr>
                <w:i/>
              </w:rPr>
            </w:pPr>
            <w:r w:rsidRPr="00B3723B">
              <w:rPr>
                <w:i/>
              </w:rPr>
              <w:t>Путевые расходы и суточные</w:t>
            </w:r>
          </w:p>
        </w:tc>
        <w:tc>
          <w:tcPr>
            <w:tcW w:w="1833" w:type="dxa"/>
            <w:tcBorders>
              <w:top w:val="single" w:sz="12" w:space="0" w:color="auto"/>
              <w:bottom w:val="nil"/>
            </w:tcBorders>
          </w:tcPr>
          <w:p w:rsidR="00B3723B" w:rsidRPr="00B3723B" w:rsidRDefault="00B3723B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nil"/>
            </w:tcBorders>
          </w:tcPr>
          <w:p w:rsidR="00B3723B" w:rsidRPr="00B3723B" w:rsidRDefault="00B3723B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43063" w:rsidRPr="00D2578E" w:rsidTr="00B37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nil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Таджикистан</w:t>
            </w:r>
          </w:p>
        </w:tc>
        <w:tc>
          <w:tcPr>
            <w:tcW w:w="1833" w:type="dxa"/>
            <w:tcBorders>
              <w:top w:val="nil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926</w:t>
            </w:r>
          </w:p>
        </w:tc>
        <w:tc>
          <w:tcPr>
            <w:tcW w:w="1015" w:type="dxa"/>
            <w:tcBorders>
              <w:top w:val="nil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Кыргызстан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1 106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Республика Молдова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1 821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Украина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2 111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Узбекистан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2 230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Армения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3 497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Грузия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3 757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Албания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3 945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EF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bottom w:val="single" w:sz="4" w:space="0" w:color="auto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Босния и Герцеговина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4 247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0145A" w:rsidTr="00EF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2534D5">
            <w:pPr>
              <w:suppressAutoHyphens/>
              <w:spacing w:line="220" w:lineRule="atLeast"/>
              <w:ind w:left="284"/>
              <w:rPr>
                <w:b/>
              </w:rPr>
            </w:pPr>
            <w:r w:rsidRPr="00D0145A">
              <w:rPr>
                <w:b/>
              </w:rPr>
              <w:t>Итого (страны, получающие средства на</w:t>
            </w:r>
            <w:r w:rsidR="002534D5">
              <w:rPr>
                <w:b/>
              </w:rPr>
              <w:t> </w:t>
            </w:r>
            <w:r w:rsidRPr="00D0145A">
              <w:rPr>
                <w:b/>
              </w:rPr>
              <w:t>путевые расходы и суточные)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45A">
              <w:rPr>
                <w:b/>
              </w:rPr>
              <w:t>9</w:t>
            </w:r>
          </w:p>
        </w:tc>
      </w:tr>
      <w:tr w:rsidR="00643063" w:rsidRPr="00B3723B" w:rsidTr="00EF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4" w:space="0" w:color="auto"/>
            </w:tcBorders>
          </w:tcPr>
          <w:p w:rsidR="00643063" w:rsidRPr="00B3723B" w:rsidRDefault="00643063" w:rsidP="008C4E93">
            <w:pPr>
              <w:suppressAutoHyphens/>
              <w:spacing w:line="220" w:lineRule="atLeast"/>
              <w:rPr>
                <w:i/>
              </w:rPr>
            </w:pPr>
            <w:r w:rsidRPr="00B3723B">
              <w:rPr>
                <w:i/>
              </w:rPr>
              <w:t>Только суточные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43063" w:rsidRPr="00B3723B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643063" w:rsidRPr="00B3723B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Бывшая югославская Республика Македония</w:t>
            </w:r>
          </w:p>
        </w:tc>
        <w:tc>
          <w:tcPr>
            <w:tcW w:w="1833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4 854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8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Сербия</w:t>
            </w:r>
          </w:p>
        </w:tc>
        <w:tc>
          <w:tcPr>
            <w:tcW w:w="1833" w:type="dxa"/>
          </w:tcPr>
          <w:p w:rsidR="00643063" w:rsidRPr="00D2578E" w:rsidDel="00B244F5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5 237</w:t>
            </w:r>
          </w:p>
        </w:tc>
        <w:tc>
          <w:tcPr>
            <w:tcW w:w="1015" w:type="dxa"/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2578E" w:rsidTr="00EF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bottom w:val="single" w:sz="4" w:space="0" w:color="auto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</w:pPr>
            <w:r w:rsidRPr="00D2578E">
              <w:t>Азербайджан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43063" w:rsidRPr="00D2578E" w:rsidDel="00B244F5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5 498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43063" w:rsidRPr="00D2578E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78E">
              <w:t>1</w:t>
            </w:r>
          </w:p>
        </w:tc>
      </w:tr>
      <w:tr w:rsidR="00643063" w:rsidRPr="00D0145A" w:rsidTr="00EF23D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ind w:left="284"/>
              <w:rPr>
                <w:b/>
              </w:rPr>
            </w:pPr>
            <w:r w:rsidRPr="00D0145A">
              <w:rPr>
                <w:b/>
              </w:rPr>
              <w:t>Итого (страны, получающие средства только на</w:t>
            </w:r>
            <w:r w:rsidR="0069374B" w:rsidRPr="00D0145A">
              <w:rPr>
                <w:b/>
              </w:rPr>
              <w:t xml:space="preserve"> </w:t>
            </w:r>
            <w:r w:rsidRPr="00D0145A">
              <w:rPr>
                <w:b/>
              </w:rPr>
              <w:t>суточные)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45A">
              <w:rPr>
                <w:b/>
              </w:rPr>
              <w:t>3</w:t>
            </w:r>
          </w:p>
        </w:tc>
      </w:tr>
      <w:tr w:rsidR="00643063" w:rsidRPr="00D0145A" w:rsidTr="00EF2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tcBorders>
              <w:top w:val="single" w:sz="4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ind w:left="284"/>
              <w:rPr>
                <w:b/>
              </w:rPr>
            </w:pPr>
            <w:r w:rsidRPr="00D0145A">
              <w:rPr>
                <w:b/>
              </w:rPr>
              <w:t>Итого (страны, получающие финансовую поддержку)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</w:tcPr>
          <w:p w:rsidR="00643063" w:rsidRPr="00D0145A" w:rsidRDefault="00643063" w:rsidP="008C4E93">
            <w:pPr>
              <w:suppressAutoHyphens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45A">
              <w:rPr>
                <w:b/>
              </w:rPr>
              <w:t>12</w:t>
            </w:r>
          </w:p>
        </w:tc>
      </w:tr>
    </w:tbl>
    <w:p w:rsidR="00643063" w:rsidRPr="008C4E93" w:rsidRDefault="00643063" w:rsidP="00DB7E77">
      <w:pPr>
        <w:pStyle w:val="SingleTxtGR"/>
        <w:suppressAutoHyphens/>
        <w:spacing w:before="80" w:after="0" w:line="220" w:lineRule="exact"/>
        <w:ind w:firstLine="170"/>
        <w:jc w:val="left"/>
        <w:rPr>
          <w:sz w:val="18"/>
          <w:szCs w:val="18"/>
        </w:rPr>
      </w:pPr>
      <w:r w:rsidRPr="00D0145A">
        <w:rPr>
          <w:i/>
          <w:sz w:val="18"/>
          <w:szCs w:val="18"/>
        </w:rPr>
        <w:t>Примечание</w:t>
      </w:r>
      <w:r w:rsidR="00507B61">
        <w:rPr>
          <w:i/>
          <w:sz w:val="18"/>
          <w:szCs w:val="18"/>
        </w:rPr>
        <w:t>:</w:t>
      </w:r>
      <w:bookmarkStart w:id="5" w:name="_GoBack"/>
      <w:bookmarkEnd w:id="5"/>
      <w:r w:rsidRPr="008C4E93">
        <w:rPr>
          <w:sz w:val="18"/>
          <w:szCs w:val="18"/>
        </w:rPr>
        <w:t xml:space="preserve"> Страны расположены в порядке возрастания ВВП в разбивке по</w:t>
      </w:r>
      <w:r w:rsidR="008C4E93" w:rsidRPr="008C4E93">
        <w:rPr>
          <w:sz w:val="18"/>
          <w:szCs w:val="18"/>
        </w:rPr>
        <w:t> </w:t>
      </w:r>
      <w:r w:rsidRPr="008C4E93">
        <w:rPr>
          <w:sz w:val="18"/>
          <w:szCs w:val="18"/>
        </w:rPr>
        <w:t>категориям.</w:t>
      </w:r>
    </w:p>
    <w:p w:rsidR="0069374B" w:rsidRPr="00D0145A" w:rsidRDefault="00643063" w:rsidP="008C4E93">
      <w:pPr>
        <w:pStyle w:val="SingleTxtGR"/>
        <w:suppressAutoHyphens/>
        <w:spacing w:line="220" w:lineRule="exact"/>
        <w:ind w:firstLine="170"/>
        <w:jc w:val="left"/>
        <w:rPr>
          <w:sz w:val="18"/>
          <w:szCs w:val="18"/>
        </w:rPr>
      </w:pPr>
      <w:r w:rsidRPr="00D0145A">
        <w:rPr>
          <w:i/>
          <w:sz w:val="18"/>
          <w:szCs w:val="18"/>
          <w:vertAlign w:val="superscript"/>
          <w:lang w:val="en-GB"/>
        </w:rPr>
        <w:t>a</w:t>
      </w:r>
      <w:r w:rsidRPr="00D0145A">
        <w:rPr>
          <w:i/>
          <w:sz w:val="18"/>
          <w:szCs w:val="18"/>
          <w:vertAlign w:val="superscript"/>
        </w:rPr>
        <w:t xml:space="preserve"> </w:t>
      </w:r>
      <w:r w:rsidR="008C4E93">
        <w:rPr>
          <w:i/>
          <w:sz w:val="18"/>
          <w:szCs w:val="18"/>
          <w:vertAlign w:val="superscript"/>
        </w:rPr>
        <w:t xml:space="preserve"> </w:t>
      </w:r>
      <w:r w:rsidRPr="00D0145A">
        <w:rPr>
          <w:sz w:val="18"/>
          <w:szCs w:val="18"/>
        </w:rPr>
        <w:t>Величины ВВП на душу населения были рассчитаны с использованием онлайновой статистической базы данных ЕЭК ООН</w:t>
      </w:r>
      <w:r w:rsidR="0069374B" w:rsidRPr="00D0145A">
        <w:rPr>
          <w:sz w:val="18"/>
          <w:szCs w:val="18"/>
        </w:rPr>
        <w:t xml:space="preserve"> </w:t>
      </w:r>
      <w:r w:rsidRPr="00D0145A">
        <w:rPr>
          <w:sz w:val="18"/>
          <w:szCs w:val="18"/>
        </w:rPr>
        <w:t>(</w:t>
      </w:r>
      <w:hyperlink r:id="rId15" w:history="1"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http</w:t>
        </w:r>
        <w:r w:rsidR="001052EB" w:rsidRPr="001052EB">
          <w:rPr>
            <w:rStyle w:val="af1"/>
            <w:color w:val="auto"/>
            <w:sz w:val="18"/>
            <w:szCs w:val="18"/>
          </w:rPr>
          <w:t>://</w:t>
        </w:r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w</w:t>
        </w:r>
        <w:r w:rsidR="001052EB" w:rsidRPr="001052EB">
          <w:rPr>
            <w:rStyle w:val="af1"/>
            <w:color w:val="auto"/>
            <w:sz w:val="18"/>
            <w:szCs w:val="18"/>
          </w:rPr>
          <w:t>3.</w:t>
        </w:r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unece</w:t>
        </w:r>
        <w:r w:rsidR="001052EB" w:rsidRPr="001052EB">
          <w:rPr>
            <w:rStyle w:val="af1"/>
            <w:color w:val="auto"/>
            <w:sz w:val="18"/>
            <w:szCs w:val="18"/>
          </w:rPr>
          <w:t>.</w:t>
        </w:r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org</w:t>
        </w:r>
        <w:r w:rsidR="001052EB" w:rsidRPr="001052EB">
          <w:rPr>
            <w:rStyle w:val="af1"/>
            <w:color w:val="auto"/>
            <w:sz w:val="18"/>
            <w:szCs w:val="18"/>
          </w:rPr>
          <w:t>/</w:t>
        </w:r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PXWeb</w:t>
        </w:r>
        <w:r w:rsidR="001052EB" w:rsidRPr="001052EB">
          <w:rPr>
            <w:rStyle w:val="af1"/>
            <w:color w:val="auto"/>
            <w:sz w:val="18"/>
            <w:szCs w:val="18"/>
          </w:rPr>
          <w:t>/</w:t>
        </w:r>
        <w:r w:rsidR="001052EB" w:rsidRPr="001052EB">
          <w:rPr>
            <w:rStyle w:val="af1"/>
            <w:color w:val="auto"/>
            <w:sz w:val="18"/>
            <w:szCs w:val="18"/>
            <w:lang w:val="fr-CH"/>
          </w:rPr>
          <w:t>en</w:t>
        </w:r>
      </w:hyperlink>
      <w:r w:rsidRPr="00D0145A">
        <w:rPr>
          <w:sz w:val="18"/>
          <w:szCs w:val="18"/>
        </w:rPr>
        <w:t>, доступ был ос</w:t>
      </w:r>
      <w:r w:rsidR="007C295D">
        <w:rPr>
          <w:sz w:val="18"/>
          <w:szCs w:val="18"/>
        </w:rPr>
        <w:t>уществлен 14 декабря 2016 года).</w:t>
      </w:r>
    </w:p>
    <w:p w:rsidR="00B166E7" w:rsidRPr="00B166E7" w:rsidRDefault="00643063" w:rsidP="00A932D6">
      <w:pPr>
        <w:pStyle w:val="HChGR"/>
      </w:pPr>
      <w:r>
        <w:br w:type="page"/>
      </w:r>
      <w:r w:rsidR="00B166E7" w:rsidRPr="00B166E7">
        <w:t>Приложение II</w:t>
      </w:r>
    </w:p>
    <w:p w:rsidR="00B166E7" w:rsidRPr="00B166E7" w:rsidRDefault="00A932D6" w:rsidP="00A932D6">
      <w:pPr>
        <w:pStyle w:val="HChGR"/>
      </w:pPr>
      <w:r>
        <w:tab/>
      </w:r>
      <w:r>
        <w:tab/>
      </w:r>
      <w:r w:rsidR="00B166E7" w:rsidRPr="00B166E7">
        <w:t>Мандат и круг ведения Рабочей группы по</w:t>
      </w:r>
      <w:r w:rsidR="00727087">
        <w:t> </w:t>
      </w:r>
      <w:r w:rsidR="00B166E7" w:rsidRPr="00B166E7">
        <w:t>мониторингу и оценке окружающей среды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I.</w:t>
      </w:r>
      <w:r>
        <w:tab/>
      </w:r>
      <w:r w:rsidR="00B166E7" w:rsidRPr="00B166E7">
        <w:t>Мандат</w:t>
      </w:r>
    </w:p>
    <w:p w:rsidR="00B166E7" w:rsidRPr="00B166E7" w:rsidRDefault="00727087" w:rsidP="00B166E7">
      <w:pPr>
        <w:pStyle w:val="SingleTxtGR"/>
      </w:pPr>
      <w:r>
        <w:t>1.</w:t>
      </w:r>
      <w:r w:rsidR="00B166E7" w:rsidRPr="00B166E7">
        <w:tab/>
        <w:t>Рабочая группа по мониторингу и оценке окружающей среды действует в качестве сети экологических знаний и оценки в интересах региона Европейской экономической комиссии Организации Объединенных Наций (ЕЭК) под контролем Комитета по экологической политике. Она ежегодно представляет Комитету доклад о своих достижениях и осуществлении или изменении целей и видов деятельности, изложенных в настоящем документе. Данный круг ведения распространяется на пятилетний период, до очередной сессии Комитета в 2021</w:t>
      </w:r>
      <w:r>
        <w:t> </w:t>
      </w:r>
      <w:r w:rsidR="00B166E7" w:rsidRPr="00B166E7">
        <w:t>году.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II.</w:t>
      </w:r>
      <w:r>
        <w:tab/>
      </w:r>
      <w:r w:rsidR="00B166E7" w:rsidRPr="00B166E7">
        <w:t>Цели</w:t>
      </w:r>
    </w:p>
    <w:p w:rsidR="00B166E7" w:rsidRPr="00B166E7" w:rsidRDefault="00B166E7" w:rsidP="00B166E7">
      <w:pPr>
        <w:pStyle w:val="SingleTxtGR"/>
      </w:pPr>
      <w:r w:rsidRPr="00B166E7">
        <w:t xml:space="preserve">2. </w:t>
      </w:r>
      <w:r w:rsidRPr="00B166E7">
        <w:tab/>
        <w:t>Задача Рабочей группы заключается в том, чтобы, действуя под контролем Комитета:</w:t>
      </w:r>
    </w:p>
    <w:p w:rsidR="00B166E7" w:rsidRPr="00B166E7" w:rsidRDefault="00B166E7" w:rsidP="00B166E7">
      <w:pPr>
        <w:pStyle w:val="SingleTxtGR"/>
      </w:pPr>
      <w:r w:rsidRPr="00B166E7">
        <w:tab/>
        <w:t>а)</w:t>
      </w:r>
      <w:r w:rsidR="00727087">
        <w:tab/>
      </w:r>
      <w:r w:rsidRPr="00B166E7">
        <w:t>содействовать созданию и обеспечению функционирования национальных информационных систем в согласии с Общей системой экологической информации (СЕИС) в Европе и Центральной Азии в период до 2021 года;</w:t>
      </w:r>
    </w:p>
    <w:p w:rsidR="00B166E7" w:rsidRPr="00B166E7" w:rsidRDefault="00B166E7" w:rsidP="00B166E7">
      <w:pPr>
        <w:pStyle w:val="SingleTxtGR"/>
      </w:pPr>
      <w:r w:rsidRPr="00B166E7">
        <w:tab/>
        <w:t>b)</w:t>
      </w:r>
      <w:r w:rsidR="00727087">
        <w:tab/>
      </w:r>
      <w:r w:rsidRPr="00B166E7">
        <w:t>руководить процессом консультаций по регулярной общеевропейской экологической оценке и рационализации регулярной отчетности о состоянии окружающей среды в период до 2020 года;</w:t>
      </w:r>
    </w:p>
    <w:p w:rsidR="00B166E7" w:rsidRPr="00B166E7" w:rsidRDefault="00B166E7" w:rsidP="00B166E7">
      <w:pPr>
        <w:pStyle w:val="SingleTxtGR"/>
      </w:pPr>
      <w:r w:rsidRPr="00B166E7">
        <w:tab/>
        <w:t>c)</w:t>
      </w:r>
      <w:r w:rsidR="00727087">
        <w:tab/>
      </w:r>
      <w:r w:rsidRPr="00B166E7">
        <w:t>инициировать при целесообразности процесс консультаций между государствами</w:t>
      </w:r>
      <w:r w:rsidR="00181965">
        <w:t xml:space="preserve"> – </w:t>
      </w:r>
      <w:r w:rsidRPr="00B166E7">
        <w:t xml:space="preserve">членами ЕЭК и другими учреждениями и сетями, обладающими соответствующим экспертным опытом в этой области, по вопросам развития в интересах стран региональной сети сетей по экологической информации и оценке и разработать в ходе этого процесса всеобъемлющую платформу для обсуждения темы интеграции экологических, экономических и социальных соображений в привязке к процессу осуществления Повестки дня в области устойчивого развития на период до 2030 года (Повестка дня 2030), Системе эколого-экономического учета, </w:t>
      </w:r>
      <w:r w:rsidR="00613717">
        <w:t>«</w:t>
      </w:r>
      <w:r w:rsidRPr="00B166E7">
        <w:t>зеленой</w:t>
      </w:r>
      <w:r w:rsidR="00613717">
        <w:t>»</w:t>
      </w:r>
      <w:r w:rsidRPr="00B166E7">
        <w:t xml:space="preserve"> экономике и другим смежным областям </w:t>
      </w:r>
      <w:r w:rsidR="00572E9A">
        <w:br/>
      </w:r>
      <w:r w:rsidRPr="00B166E7">
        <w:t xml:space="preserve">работы; </w:t>
      </w:r>
    </w:p>
    <w:p w:rsidR="00B166E7" w:rsidRPr="00B166E7" w:rsidRDefault="00B166E7" w:rsidP="00B166E7">
      <w:pPr>
        <w:pStyle w:val="SingleTxtGR"/>
      </w:pPr>
      <w:r w:rsidRPr="00B166E7">
        <w:tab/>
        <w:t>d)</w:t>
      </w:r>
      <w:r w:rsidR="00727087">
        <w:tab/>
      </w:r>
      <w:r w:rsidRPr="00B166E7">
        <w:t>участвовать в оказании помощи в создании потенциала для решения конкретных проблем мониторинга и оценки окружающей среды, включая проблему разработки и совершенствования национальных систем мониторинга окружающей среды, их технических характеристик и их модернизации, а также в ведении в странах ЕЭК с помощью таких национальных систем сбора экологических знаний. Всю деятельность, имеющую отношение к развитию статистического потенциала стран Кавказа, Центральной Азии и Восточной и Юго-Восточной Европы, будет продолжать осуществлять Совместная целевая группа по экологической статистике и показателям (Совместная целевая группа).</w:t>
      </w:r>
      <w:r w:rsidR="00E26411">
        <w:t xml:space="preserve"> 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III.</w:t>
      </w:r>
      <w:r>
        <w:tab/>
      </w:r>
      <w:r w:rsidR="00B166E7" w:rsidRPr="00B166E7">
        <w:t>Планируемая деятельность и результаты</w:t>
      </w:r>
    </w:p>
    <w:p w:rsidR="00B166E7" w:rsidRPr="00B166E7" w:rsidRDefault="00B166E7" w:rsidP="00B166E7">
      <w:pPr>
        <w:pStyle w:val="SingleTxtGR"/>
      </w:pPr>
      <w:r w:rsidRPr="00B166E7">
        <w:t>3.</w:t>
      </w:r>
      <w:r w:rsidR="00B87CEE">
        <w:tab/>
      </w:r>
      <w:r w:rsidRPr="00B166E7">
        <w:t>Рабочая группа:</w:t>
      </w:r>
    </w:p>
    <w:p w:rsidR="00B166E7" w:rsidRPr="00B166E7" w:rsidRDefault="00B166E7" w:rsidP="00B166E7">
      <w:pPr>
        <w:pStyle w:val="SingleTxtGR"/>
      </w:pPr>
      <w:r w:rsidRPr="00B166E7">
        <w:tab/>
        <w:t>a)</w:t>
      </w:r>
      <w:r w:rsidR="00727087">
        <w:tab/>
      </w:r>
      <w:r w:rsidRPr="00B166E7">
        <w:t>оказывает помощь в создании и обеспечении функционирования национальных информационных систем в согласии с СЕИС в Европе и Центральной Азии, и в частности: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i)</w:t>
      </w:r>
      <w:r w:rsidR="00727087">
        <w:tab/>
      </w:r>
      <w:r w:rsidRPr="00B166E7">
        <w:t xml:space="preserve">продолжает поддерживать создание СЕИС в том, что касается ее конкретного содержания и принципов, с целью поддержки процессов регулярной экологической оценки и регулярной отчетности по ним;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ii)</w:t>
      </w:r>
      <w:r w:rsidR="00727087">
        <w:tab/>
      </w:r>
      <w:r w:rsidRPr="00B166E7">
        <w:t>продолжает сотрудничество с Совместной целевой группой в ее работе над экологическими статистическими данными и показателями, связанными с ними</w:t>
      </w:r>
      <w:r w:rsidR="0069374B">
        <w:t xml:space="preserve"> </w:t>
      </w:r>
      <w:r w:rsidRPr="00B166E7">
        <w:t xml:space="preserve">наборами данных и сопутствующими сведениями и данными экологического характера, необходимыми для создания СЕИС;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iii)</w:t>
      </w:r>
      <w:r w:rsidR="00727087">
        <w:tab/>
      </w:r>
      <w:r w:rsidRPr="00B166E7">
        <w:t xml:space="preserve">регулярно оценивает результативность деятельности стран ЕЭК по созданию и внедрению СЕИС на основе принятых Комитетом целевых показателей и показателей результативности СЕИС;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iv)</w:t>
      </w:r>
      <w:r w:rsidR="00727087">
        <w:tab/>
      </w:r>
      <w:r w:rsidRPr="00B166E7">
        <w:t xml:space="preserve">вносит свой вклад в процесс среднесрочного обзора основных итогов Батумской конференции в рамках процесса </w:t>
      </w:r>
      <w:r w:rsidR="00613717">
        <w:t>«</w:t>
      </w:r>
      <w:r w:rsidRPr="00B166E7">
        <w:t>Окружающая среда для Европы</w:t>
      </w:r>
      <w:r w:rsidR="00613717">
        <w:t>»</w:t>
      </w:r>
      <w:r w:rsidRPr="00B166E7">
        <w:t xml:space="preserve"> в 2018 году;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v)</w:t>
      </w:r>
      <w:r w:rsidR="00727087">
        <w:tab/>
      </w:r>
      <w:r w:rsidRPr="00B166E7">
        <w:t xml:space="preserve">готовит для Комитета среднесрочный и заключительный доклады о создании и внедрении СЕИС в период до 2021 года;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vi)</w:t>
      </w:r>
      <w:r w:rsidR="00727087">
        <w:tab/>
      </w:r>
      <w:r w:rsidRPr="00B166E7">
        <w:t xml:space="preserve">предоставляет ежегодные рекомендации о возможных путях дальнейшего укрепления СЕИС в странах Европы и Центральной Азии; </w:t>
      </w:r>
    </w:p>
    <w:p w:rsidR="00B166E7" w:rsidRPr="00B166E7" w:rsidRDefault="00B166E7" w:rsidP="00B166E7">
      <w:pPr>
        <w:pStyle w:val="SingleTxtGR"/>
      </w:pPr>
      <w:r w:rsidRPr="00B166E7">
        <w:tab/>
        <w:t>b)</w:t>
      </w:r>
      <w:r w:rsidR="00727087">
        <w:tab/>
      </w:r>
      <w:r w:rsidRPr="00B166E7">
        <w:t>руководит процессом консультаций по регулярной общеевропейской экологической оценке и рационализации регулярной отчетности о состоянии окружающей среды в период до 2020 года</w:t>
      </w:r>
      <w:r w:rsidR="00181965" w:rsidRPr="00B166E7">
        <w:t>,</w:t>
      </w:r>
      <w:r w:rsidRPr="00B166E7">
        <w:t xml:space="preserve"> и в частности: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i)</w:t>
      </w:r>
      <w:r w:rsidR="00727087">
        <w:tab/>
      </w:r>
      <w:r w:rsidRPr="00B166E7">
        <w:t xml:space="preserve">организует встречи экспертов, участвующих в процессе </w:t>
      </w:r>
      <w:r w:rsidR="00613717">
        <w:t>«</w:t>
      </w:r>
      <w:r w:rsidRPr="00B166E7">
        <w:t>Глобальная экологическая перспектива</w:t>
      </w:r>
      <w:r w:rsidR="00613717">
        <w:t>»</w:t>
      </w:r>
      <w:r w:rsidRPr="00B166E7">
        <w:t xml:space="preserve"> Программы Организации Объединенных Наций по окружающей среде (ЮНЕП) и Европейской экологической информационно-наблюдательной сети (ЕЭИНС) Европейского агентства по окружающей среде, включая заинтересованные стороны, в целях обсуждения регулярной общеевропейской экологической оценки и осуществления контроля за ней;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ii)</w:t>
      </w:r>
      <w:r w:rsidR="00727087">
        <w:tab/>
      </w:r>
      <w:r w:rsidRPr="00B166E7">
        <w:t xml:space="preserve">обсуждает и детализирует региональные приоритеты, касающиеся рационализации регулярной отчетности о состоянии окружающей среды, привлекая к обсуждению также и другие тематические сети, в частности сети, действующие в рамках многосторонних природоохранных соглашений; </w:t>
      </w:r>
    </w:p>
    <w:p w:rsidR="00B166E7" w:rsidRPr="00B166E7" w:rsidRDefault="00B166E7" w:rsidP="00727087">
      <w:pPr>
        <w:pStyle w:val="SingleTxtGR"/>
        <w:ind w:left="1701" w:hanging="567"/>
      </w:pPr>
      <w:r w:rsidRPr="00B166E7">
        <w:tab/>
        <w:t>iii)</w:t>
      </w:r>
      <w:r w:rsidR="00727087">
        <w:tab/>
      </w:r>
      <w:r w:rsidRPr="00B166E7">
        <w:t xml:space="preserve">контролирует осуществление предложенных рекомендаций и руководящих указаний, предоставленных с помощью процесса консультаций по регулярной общеевропейской экологической оценке и рационализации регулярной отчетности о состоянии окружающей среды; </w:t>
      </w:r>
    </w:p>
    <w:p w:rsidR="00B166E7" w:rsidRPr="00B166E7" w:rsidRDefault="00B166E7" w:rsidP="00B166E7">
      <w:pPr>
        <w:pStyle w:val="SingleTxtGR"/>
      </w:pPr>
      <w:r w:rsidRPr="00B166E7">
        <w:tab/>
        <w:t>c)</w:t>
      </w:r>
      <w:r w:rsidR="00727087">
        <w:tab/>
      </w:r>
      <w:r w:rsidRPr="00B166E7">
        <w:t>инициирует процесс консультаций по вопросам развития региональной сети сетей по экологической информации и оценке и разрабатывает в интересах стран в ходе этого процесса всеобъемлющую платформу для обсуждения темы интеграции экологических, экономических и социальных соображений в привязке к</w:t>
      </w:r>
      <w:r w:rsidR="0069374B">
        <w:t xml:space="preserve"> </w:t>
      </w:r>
      <w:r w:rsidRPr="00B166E7">
        <w:t xml:space="preserve">Повестке дня 2030, Системе эколого-экономического учета, </w:t>
      </w:r>
      <w:r w:rsidR="00613717">
        <w:t>«</w:t>
      </w:r>
      <w:r w:rsidRPr="00B166E7">
        <w:t>зеленой</w:t>
      </w:r>
      <w:r w:rsidR="00613717">
        <w:t>»</w:t>
      </w:r>
      <w:r w:rsidRPr="00B166E7">
        <w:t xml:space="preserve"> экономике и другим смежным областям работы</w:t>
      </w:r>
      <w:r w:rsidR="00181965" w:rsidRPr="00B166E7">
        <w:t>,</w:t>
      </w:r>
      <w:r w:rsidRPr="00B166E7">
        <w:t xml:space="preserve"> и в частности:</w:t>
      </w:r>
      <w:r w:rsidR="0069374B">
        <w:t xml:space="preserve"> </w:t>
      </w:r>
    </w:p>
    <w:p w:rsidR="00B166E7" w:rsidRPr="00B166E7" w:rsidRDefault="00B166E7" w:rsidP="00C31049">
      <w:pPr>
        <w:pStyle w:val="SingleTxtGR"/>
        <w:ind w:left="1701" w:hanging="567"/>
      </w:pPr>
      <w:r w:rsidRPr="00B166E7">
        <w:tab/>
        <w:t>i)</w:t>
      </w:r>
      <w:r w:rsidR="00727087">
        <w:tab/>
      </w:r>
      <w:r w:rsidRPr="00B166E7">
        <w:t xml:space="preserve">координирует процесс консультаций с участием всех соответствующих тематических сетей и заинтересованных сторон, в том числе секретариатов конвенций и других учреждений, на региональном и национальном уровнях с целью выработки методов работы региональной сети сетей; </w:t>
      </w:r>
    </w:p>
    <w:p w:rsidR="00B166E7" w:rsidRPr="00B166E7" w:rsidRDefault="00B166E7" w:rsidP="00C31049">
      <w:pPr>
        <w:pStyle w:val="SingleTxtGR"/>
        <w:ind w:left="1701" w:hanging="567"/>
      </w:pPr>
      <w:r w:rsidRPr="00B166E7">
        <w:tab/>
        <w:t>ii)</w:t>
      </w:r>
      <w:r w:rsidR="00727087">
        <w:tab/>
      </w:r>
      <w:r w:rsidRPr="00B166E7">
        <w:t xml:space="preserve">сотрудничает с Совместной целевой группой в обеспечении синергетичности всей запланированной и будущей деятельности и ее рационализации; </w:t>
      </w:r>
    </w:p>
    <w:p w:rsidR="00B166E7" w:rsidRPr="00B166E7" w:rsidRDefault="00B166E7" w:rsidP="00C31049">
      <w:pPr>
        <w:pStyle w:val="SingleTxtGR"/>
        <w:ind w:left="1701" w:hanging="567"/>
      </w:pPr>
      <w:r w:rsidRPr="00B166E7">
        <w:tab/>
        <w:t>iii)</w:t>
      </w:r>
      <w:r w:rsidR="00727087">
        <w:tab/>
      </w:r>
      <w:r w:rsidRPr="00B166E7">
        <w:t>развивает потенциал для привлечения других сообществ и сетей, например</w:t>
      </w:r>
      <w:r w:rsidR="0069374B">
        <w:t xml:space="preserve"> </w:t>
      </w:r>
      <w:r w:rsidRPr="00B166E7">
        <w:t>Группы по наблюдениям за Землей, с целью обсуждения возможных путей интеграции</w:t>
      </w:r>
      <w:r w:rsidR="0069374B">
        <w:t xml:space="preserve"> </w:t>
      </w:r>
      <w:r w:rsidRPr="00B166E7">
        <w:t xml:space="preserve">экологических, социальных и экономических информации и данных в процесс принятия решений и их использования в нем, а также способов представления экологической информации на геопространственных платформах; </w:t>
      </w:r>
    </w:p>
    <w:p w:rsidR="00B166E7" w:rsidRPr="00B166E7" w:rsidRDefault="00B166E7" w:rsidP="00C31049">
      <w:pPr>
        <w:pStyle w:val="SingleTxtGR"/>
        <w:ind w:left="1701" w:hanging="567"/>
      </w:pPr>
      <w:r w:rsidRPr="00B166E7">
        <w:tab/>
        <w:t>iv)</w:t>
      </w:r>
      <w:r w:rsidR="00727087">
        <w:tab/>
      </w:r>
      <w:r w:rsidRPr="00B166E7">
        <w:t>вводит в практику предложенные рекомендации и руководящие указания, предоставленные благодаря консультативному процессу, для обеспечения устойчивого развертывания региональной сети сетей по экологической информации и оценке;</w:t>
      </w:r>
    </w:p>
    <w:p w:rsidR="00B166E7" w:rsidRPr="00B166E7" w:rsidRDefault="00B166E7" w:rsidP="00C31049">
      <w:pPr>
        <w:pStyle w:val="SingleTxtGR"/>
        <w:ind w:left="1701" w:hanging="567"/>
      </w:pPr>
      <w:r w:rsidRPr="00B166E7">
        <w:tab/>
        <w:t>v)</w:t>
      </w:r>
      <w:r w:rsidR="00727087">
        <w:tab/>
      </w:r>
      <w:r w:rsidRPr="00B166E7">
        <w:t xml:space="preserve">публикует результаты совместной деятельности Рабочей группы (например, примеры передовой практики, руководящие принципы и извлеченные уроки) в целях обмена информацией о них и ориентации будущей деятельности в этой области; </w:t>
      </w:r>
    </w:p>
    <w:p w:rsidR="00B166E7" w:rsidRPr="00B166E7" w:rsidRDefault="00B166E7" w:rsidP="00B166E7">
      <w:pPr>
        <w:pStyle w:val="SingleTxtGR"/>
      </w:pPr>
      <w:r w:rsidRPr="00B166E7">
        <w:tab/>
        <w:t>d)</w:t>
      </w:r>
      <w:r w:rsidR="00D85519">
        <w:tab/>
      </w:r>
      <w:r w:rsidRPr="00B166E7">
        <w:t>участвует в оказании помощи в создании потенциала для решения конкретных проблем, связанных с мониторингом и оценкой окружающей среды, а также экологическими знаниями, поддерживаемыми через посредство национальных систем мониторинга в странах Европы и Центральной Азии. Выявление конкретных проблем (например, мониторинга качества воздуха, воды и отходов) будет зависеть от пробелов в региональном и национальном потенциале и идентификации приоритетных областей действий, которые должны быть определены членами Рабочей группы. В частности, осуществление всей последующей деятельности будет зависеть от мобилизации ресурсов с той целью, чтобы</w:t>
      </w:r>
      <w:r w:rsidR="0069374B">
        <w:t xml:space="preserve"> </w:t>
      </w:r>
      <w:r w:rsidRPr="00B166E7">
        <w:t xml:space="preserve">Рабочая группа могла организовать и предложить дополнительную помощь в создании потенциала для улучшения возможностей экологического мониторинга и оценки. Такая деятельность включает: </w:t>
      </w:r>
    </w:p>
    <w:p w:rsidR="00B166E7" w:rsidRPr="00B166E7" w:rsidRDefault="00B166E7" w:rsidP="00D85519">
      <w:pPr>
        <w:pStyle w:val="SingleTxtGR"/>
        <w:ind w:left="1701" w:hanging="567"/>
      </w:pPr>
      <w:r w:rsidRPr="00B166E7">
        <w:tab/>
        <w:t>i)</w:t>
      </w:r>
      <w:r w:rsidR="00D85519">
        <w:tab/>
      </w:r>
      <w:r w:rsidRPr="00B166E7">
        <w:t>детальное описание в сотрудничестве с Совместной целевой группой</w:t>
      </w:r>
      <w:r w:rsidR="0069374B">
        <w:t xml:space="preserve"> </w:t>
      </w:r>
      <w:r w:rsidRPr="00B166E7">
        <w:t xml:space="preserve">региональных и национальных пробелов потенциала в том, что касается информации и данных, необходимых для выработки набора экологических показателей ЕЭК, основного набора показателей Европейского агентства по окружающей среде, показателей </w:t>
      </w:r>
      <w:r w:rsidR="00613717">
        <w:t>«</w:t>
      </w:r>
      <w:r w:rsidRPr="00B166E7">
        <w:t>зеленого</w:t>
      </w:r>
      <w:r w:rsidR="00613717">
        <w:t>»</w:t>
      </w:r>
      <w:r w:rsidRPr="00B166E7">
        <w:t xml:space="preserve"> роста ОЭСР и показателей достижения целей в области устойчивого развития. Это будет включать выявление пробелов в данных и информации в целевых странах; </w:t>
      </w:r>
    </w:p>
    <w:p w:rsidR="00B166E7" w:rsidRPr="00B166E7" w:rsidRDefault="00B166E7" w:rsidP="00D85519">
      <w:pPr>
        <w:pStyle w:val="SingleTxtGR"/>
        <w:ind w:left="1701" w:hanging="567"/>
      </w:pPr>
      <w:r w:rsidRPr="00B166E7">
        <w:tab/>
        <w:t>ii)</w:t>
      </w:r>
      <w:r w:rsidR="00D85519">
        <w:tab/>
      </w:r>
      <w:r w:rsidRPr="00B166E7">
        <w:t>оказание странам поддержки в разработке региональных и национальных систем показателей для мониторинга</w:t>
      </w:r>
      <w:r w:rsidR="0069374B">
        <w:t xml:space="preserve"> </w:t>
      </w:r>
      <w:r w:rsidRPr="00B166E7">
        <w:t>целей и задач Повестки дня 2030 и проведении деятельности в поддержку их осуществления, в</w:t>
      </w:r>
      <w:r w:rsidR="00D85519">
        <w:t> </w:t>
      </w:r>
      <w:r w:rsidRPr="00B166E7">
        <w:t>частности в рассмотрении и создании национальных механизмов отчетности, процедур и методологических подходов, связанных с показателями достижения целей устойчивого развития, во всех странах ЕЭК;</w:t>
      </w:r>
    </w:p>
    <w:p w:rsidR="00B166E7" w:rsidRPr="00B166E7" w:rsidRDefault="00B166E7" w:rsidP="00D85519">
      <w:pPr>
        <w:pStyle w:val="SingleTxtGR"/>
        <w:ind w:left="1701" w:hanging="567"/>
      </w:pPr>
      <w:r w:rsidRPr="00B166E7">
        <w:tab/>
        <w:t>iii)</w:t>
      </w:r>
      <w:r w:rsidR="00D85519">
        <w:tab/>
      </w:r>
      <w:r w:rsidRPr="00B166E7">
        <w:t>налаживание взаимодействия и поддержание связей с другими соответствующими субъектами обмена знаниями, работающими над наращиванием потенциала в смежных областях работы в масштабах панъевропейского региона, в частности с Группой по наблюдениям за Землей, участниками финансируемых Глобальным экологическим фондом межсекторальных проектов</w:t>
      </w:r>
      <w:r w:rsidR="0069374B">
        <w:t xml:space="preserve"> </w:t>
      </w:r>
      <w:r w:rsidRPr="00B166E7">
        <w:t xml:space="preserve">и </w:t>
      </w:r>
      <w:r w:rsidR="00613717">
        <w:t>«</w:t>
      </w:r>
      <w:r w:rsidRPr="00B166E7">
        <w:t>ЮНЕП в прямом включении</w:t>
      </w:r>
      <w:r w:rsidR="009A4C51">
        <w:t>»</w:t>
      </w:r>
      <w:r w:rsidRPr="00B166E7">
        <w:t>;</w:t>
      </w:r>
      <w:r w:rsidR="0069374B">
        <w:t xml:space="preserve"> </w:t>
      </w:r>
    </w:p>
    <w:p w:rsidR="00B166E7" w:rsidRPr="00B166E7" w:rsidRDefault="00B166E7" w:rsidP="00D85519">
      <w:pPr>
        <w:pStyle w:val="SingleTxtGR"/>
        <w:ind w:left="1701" w:hanging="567"/>
      </w:pPr>
      <w:r w:rsidRPr="00B166E7">
        <w:tab/>
        <w:t>iv)</w:t>
      </w:r>
      <w:r w:rsidR="00D85519">
        <w:tab/>
      </w:r>
      <w:r w:rsidRPr="00B166E7">
        <w:t xml:space="preserve">осуществление деятельности по наращиванию потенциала в целях оказания помощи с учетом приоритетных областей действий, определенных для целевых стран ЕЭК. </w:t>
      </w:r>
    </w:p>
    <w:p w:rsidR="00B166E7" w:rsidRPr="00B166E7" w:rsidRDefault="00B166E7" w:rsidP="00B166E7">
      <w:pPr>
        <w:pStyle w:val="SingleTxtGR"/>
      </w:pPr>
      <w:r w:rsidRPr="00B166E7">
        <w:t>4.</w:t>
      </w:r>
      <w:r w:rsidRPr="00B166E7">
        <w:tab/>
        <w:t>В период до 2021 года будет проведена следующая работа:</w:t>
      </w:r>
    </w:p>
    <w:p w:rsidR="00B166E7" w:rsidRPr="00B166E7" w:rsidRDefault="00B166E7" w:rsidP="00B166E7">
      <w:pPr>
        <w:pStyle w:val="SingleTxtGR"/>
      </w:pPr>
      <w:r w:rsidRPr="00B166E7">
        <w:tab/>
        <w:t>а)</w:t>
      </w:r>
      <w:r w:rsidR="00D85519">
        <w:tab/>
      </w:r>
      <w:r w:rsidRPr="00B166E7">
        <w:t xml:space="preserve">содержащиеся в онлайновом Руководстве ЕЭК по применению экологических показателей наборы данных по СЕИС будут постепенно пересматриваться в сотрудничестве с Совместной целевой группой, а также в рамках уточнения отчетности о прогрессе в работе по СЕИС; </w:t>
      </w:r>
    </w:p>
    <w:p w:rsidR="00B166E7" w:rsidRPr="00B166E7" w:rsidRDefault="00B166E7" w:rsidP="00D85519">
      <w:pPr>
        <w:pStyle w:val="SingleTxtGR"/>
        <w:keepNext/>
        <w:keepLines/>
      </w:pPr>
      <w:r w:rsidRPr="00B166E7">
        <w:tab/>
        <w:t>b)</w:t>
      </w:r>
      <w:r w:rsidR="00D85519">
        <w:tab/>
      </w:r>
      <w:r w:rsidRPr="00B166E7">
        <w:t>целевым странам будет оказываться помощь в подготовке и представлении отчетности о создании СЕИС, а также в развертывании работы по подготовке среднесрочного и заключительного докладов о результативности СЕИС в 2018 и 2021 годах соответственно;</w:t>
      </w:r>
    </w:p>
    <w:p w:rsidR="00B166E7" w:rsidRPr="00B166E7" w:rsidRDefault="00B166E7" w:rsidP="00B166E7">
      <w:pPr>
        <w:pStyle w:val="SingleTxtGR"/>
      </w:pPr>
      <w:r w:rsidRPr="00B166E7">
        <w:tab/>
        <w:t>c)</w:t>
      </w:r>
      <w:r w:rsidR="00D85519">
        <w:tab/>
      </w:r>
      <w:r w:rsidRPr="00B166E7">
        <w:t xml:space="preserve">странам ЕЭК будут предоставляться рекомендации и консультации с целью повышения результативности их СЕИС; </w:t>
      </w:r>
    </w:p>
    <w:p w:rsidR="00B166E7" w:rsidRPr="00B166E7" w:rsidRDefault="00B166E7" w:rsidP="00B166E7">
      <w:pPr>
        <w:pStyle w:val="SingleTxtGR"/>
      </w:pPr>
      <w:r w:rsidRPr="00B166E7">
        <w:tab/>
        <w:t>d)</w:t>
      </w:r>
      <w:r w:rsidR="00D85519">
        <w:tab/>
      </w:r>
      <w:r w:rsidRPr="00B166E7">
        <w:t>будут определяться и внедряться методы работы региональной сети сетей по экологической информации и оценке;</w:t>
      </w:r>
    </w:p>
    <w:p w:rsidR="00B166E7" w:rsidRPr="00B166E7" w:rsidRDefault="00B166E7" w:rsidP="00B166E7">
      <w:pPr>
        <w:pStyle w:val="SingleTxtGR"/>
      </w:pPr>
      <w:r w:rsidRPr="00B166E7">
        <w:tab/>
        <w:t>e)</w:t>
      </w:r>
      <w:r w:rsidR="00D85519">
        <w:tab/>
      </w:r>
      <w:r w:rsidRPr="00B166E7">
        <w:t>будет оказываться помощь в подготовке регулярной общеевропейской оценки окружающей среды и других соответствующих докладов о состоянии окружающей среды;</w:t>
      </w:r>
    </w:p>
    <w:p w:rsidR="00B166E7" w:rsidRPr="00B166E7" w:rsidRDefault="00B166E7" w:rsidP="00B166E7">
      <w:pPr>
        <w:pStyle w:val="SingleTxtGR"/>
      </w:pPr>
      <w:r w:rsidRPr="00B166E7">
        <w:tab/>
        <w:t>f)</w:t>
      </w:r>
      <w:r w:rsidR="00D85519">
        <w:tab/>
      </w:r>
      <w:r w:rsidRPr="00B166E7">
        <w:t>будет оказываться поддержка в подготовке региональных и национальных систем показателей для мониторинга</w:t>
      </w:r>
      <w:r w:rsidR="0069374B">
        <w:t xml:space="preserve"> </w:t>
      </w:r>
      <w:r w:rsidRPr="00B166E7">
        <w:t>целей и задач Повестки дня 2030 и создании национальных механизмов отчетности, процедур и методологических подходов, связанных с показателями достижения целей устойчивого развития;</w:t>
      </w:r>
    </w:p>
    <w:p w:rsidR="00B166E7" w:rsidRPr="00B166E7" w:rsidRDefault="00B166E7" w:rsidP="00B166E7">
      <w:pPr>
        <w:pStyle w:val="SingleTxtGR"/>
      </w:pPr>
      <w:r w:rsidRPr="00B166E7">
        <w:tab/>
        <w:t>g)</w:t>
      </w:r>
      <w:r w:rsidR="00D85519">
        <w:tab/>
      </w:r>
      <w:r w:rsidRPr="00B166E7">
        <w:t xml:space="preserve">при условии наличия финансирования будут организованы тематические конференции, совещания и рабочие совещания для подготовки публикаций, касающихся интеграции экологических и экономических данных; </w:t>
      </w:r>
    </w:p>
    <w:p w:rsidR="00B166E7" w:rsidRPr="00B166E7" w:rsidRDefault="00B166E7" w:rsidP="00B166E7">
      <w:pPr>
        <w:pStyle w:val="SingleTxtGR"/>
      </w:pPr>
      <w:r w:rsidRPr="00B166E7">
        <w:tab/>
        <w:t>h)</w:t>
      </w:r>
      <w:r w:rsidR="00D85519">
        <w:tab/>
      </w:r>
      <w:r w:rsidRPr="00B166E7">
        <w:t>при условии наличия финансирования будут проводиться адресные мероприятия по наращиванию потенциала для решения конкретных национальных приоритетных задач, включая подготовку учебных материалов и предоставление консультационных услуг.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IV.</w:t>
      </w:r>
      <w:r>
        <w:tab/>
      </w:r>
      <w:r w:rsidR="00B166E7" w:rsidRPr="00B166E7">
        <w:t>График работы</w:t>
      </w:r>
    </w:p>
    <w:p w:rsidR="00B166E7" w:rsidRPr="00B166E7" w:rsidRDefault="00D85519" w:rsidP="00B166E7">
      <w:pPr>
        <w:pStyle w:val="SingleTxtGR"/>
      </w:pPr>
      <w:r>
        <w:t>5.</w:t>
      </w:r>
      <w:r w:rsidR="00B166E7" w:rsidRPr="00B166E7">
        <w:tab/>
        <w:t>Рабочая группа готовит в качестве официального документа ежегодный график проведения мероприятий и достижения результатов и регулярно отчитывается перед Комитетом. Это является залогом того, что Рабочая группа сможет удовлетворять возникающие с течением времени новые потребности, а Комитет будет иметь возможность высказывать замечания и контролировать текущую и будущую деятельность. Рабочая группа также должна стремиться представить Комитету среднесрочный обзор прогресса в ее работе в качестве подытоживающего работу документа.</w:t>
      </w:r>
      <w:r w:rsidR="0069374B">
        <w:t xml:space="preserve"> </w:t>
      </w:r>
    </w:p>
    <w:p w:rsidR="00B166E7" w:rsidRPr="00B166E7" w:rsidRDefault="00B166E7" w:rsidP="00B166E7">
      <w:pPr>
        <w:pStyle w:val="SingleTxtGR"/>
      </w:pPr>
      <w:r w:rsidRPr="00B166E7">
        <w:t>6.</w:t>
      </w:r>
      <w:r w:rsidRPr="00B166E7">
        <w:tab/>
        <w:t>В 2017 году Рабочая группа должна:</w:t>
      </w:r>
    </w:p>
    <w:p w:rsidR="00B166E7" w:rsidRPr="00B166E7" w:rsidRDefault="00B166E7" w:rsidP="00B166E7">
      <w:pPr>
        <w:pStyle w:val="SingleTxtGR"/>
      </w:pPr>
      <w:r w:rsidRPr="00B166E7">
        <w:tab/>
        <w:t>a)</w:t>
      </w:r>
      <w:r w:rsidR="00D85519">
        <w:tab/>
      </w:r>
      <w:r w:rsidRPr="00B166E7">
        <w:t>оказывать помощь в рассмотрении основных экологических показателей ЕЭК и связанных с ними наборов данных, определенных Совместной целевой групп в качестве относящихся к приоритетным областям, принимая во внимание Систему эколого-экономического учета;</w:t>
      </w:r>
    </w:p>
    <w:p w:rsidR="00B166E7" w:rsidRPr="00B166E7" w:rsidRDefault="00B166E7" w:rsidP="00B166E7">
      <w:pPr>
        <w:pStyle w:val="SingleTxtGR"/>
      </w:pPr>
      <w:r w:rsidRPr="00B166E7">
        <w:tab/>
        <w:t>b)</w:t>
      </w:r>
      <w:r w:rsidR="00D85519">
        <w:tab/>
      </w:r>
      <w:r w:rsidRPr="00B166E7">
        <w:t xml:space="preserve">запустить онлайновое приложение для представления отчетности по СЕИС через платформу </w:t>
      </w:r>
      <w:r w:rsidR="00613717">
        <w:t>«</w:t>
      </w:r>
      <w:r w:rsidRPr="00B166E7">
        <w:t>ЮНЕП в прямом включении</w:t>
      </w:r>
      <w:r w:rsidR="00613717">
        <w:t>»</w:t>
      </w:r>
      <w:r w:rsidRPr="00B166E7">
        <w:t xml:space="preserve"> во взаимодействии с ЮНЕП и представить результаты Комитету на его двадцать третьей сессии; </w:t>
      </w:r>
    </w:p>
    <w:p w:rsidR="00B166E7" w:rsidRPr="00B166E7" w:rsidRDefault="00B166E7" w:rsidP="00B166E7">
      <w:pPr>
        <w:pStyle w:val="SingleTxtGR"/>
      </w:pPr>
      <w:r w:rsidRPr="00B166E7">
        <w:tab/>
        <w:t>c)</w:t>
      </w:r>
      <w:r w:rsidR="00D85519">
        <w:tab/>
      </w:r>
      <w:r w:rsidRPr="00B166E7">
        <w:t xml:space="preserve">представить Комитету на его двадцать третьей сессии методы работы региональной сети сетей по экологической информации и оценке; </w:t>
      </w:r>
    </w:p>
    <w:p w:rsidR="00B166E7" w:rsidRPr="00B166E7" w:rsidRDefault="00B166E7" w:rsidP="00B166E7">
      <w:pPr>
        <w:pStyle w:val="SingleTxtGR"/>
      </w:pPr>
      <w:r w:rsidRPr="00B166E7">
        <w:tab/>
        <w:t>d)</w:t>
      </w:r>
      <w:r w:rsidR="00D85519">
        <w:tab/>
      </w:r>
      <w:r w:rsidRPr="00B166E7">
        <w:t>организовать консультации и рабочее совещание для детализации региональных и национальных приоритетов, касающихся потенциала мониторинга и оценки, необходимого для сведения показателей достижения целей устойчивого развития, связанных с окружающей средой, в процессе определения приоритетных областей действий на 2018 год для Рабочей группы;</w:t>
      </w:r>
    </w:p>
    <w:p w:rsidR="00B166E7" w:rsidRPr="00B166E7" w:rsidRDefault="00B166E7" w:rsidP="00D85519">
      <w:pPr>
        <w:pStyle w:val="SingleTxtGR"/>
        <w:keepNext/>
        <w:keepLines/>
      </w:pPr>
      <w:r w:rsidRPr="00B166E7">
        <w:tab/>
        <w:t>e)</w:t>
      </w:r>
      <w:r w:rsidR="00D85519">
        <w:tab/>
      </w:r>
      <w:r w:rsidRPr="00B166E7">
        <w:t>организовать тематическое рабочее совещание, посвященное рассмотрению вопроса о возможных способах интеграции экологических и экономических данных, и привлечь к</w:t>
      </w:r>
      <w:r w:rsidR="0069374B">
        <w:t xml:space="preserve"> </w:t>
      </w:r>
      <w:r w:rsidRPr="00B166E7">
        <w:t xml:space="preserve">этой деятельности другие сообщества и сети, например Группу по наблюдениям за Землей; </w:t>
      </w:r>
    </w:p>
    <w:p w:rsidR="00B166E7" w:rsidRPr="00B166E7" w:rsidRDefault="00B166E7" w:rsidP="00B166E7">
      <w:pPr>
        <w:pStyle w:val="SingleTxtGR"/>
      </w:pPr>
      <w:r w:rsidRPr="00B166E7">
        <w:tab/>
        <w:t>f)</w:t>
      </w:r>
      <w:r w:rsidR="00242642">
        <w:tab/>
      </w:r>
      <w:r w:rsidRPr="00B166E7">
        <w:t xml:space="preserve">продолжать усилия по мобилизации ресурсов и поддержки со стороны региональных и международных организаций, с тем чтобы Рабочая группа могла расширить свою помощь в наращивании потенциала. </w:t>
      </w:r>
    </w:p>
    <w:p w:rsidR="00B166E7" w:rsidRPr="00B166E7" w:rsidRDefault="00B166E7" w:rsidP="00B166E7">
      <w:pPr>
        <w:pStyle w:val="SingleTxtGR"/>
      </w:pPr>
      <w:r w:rsidRPr="00B166E7">
        <w:t xml:space="preserve">7. </w:t>
      </w:r>
      <w:r w:rsidRPr="00B166E7">
        <w:tab/>
        <w:t xml:space="preserve">После среднесрочного обзора основных итогов Батумской конференции в рамках процесса </w:t>
      </w:r>
      <w:r w:rsidR="00613717">
        <w:t>«</w:t>
      </w:r>
      <w:r w:rsidRPr="00B166E7">
        <w:t>Окружающая среда для Европы</w:t>
      </w:r>
      <w:r w:rsidR="00613717">
        <w:t>»</w:t>
      </w:r>
      <w:r w:rsidRPr="00B166E7">
        <w:t xml:space="preserve"> в 2018 году Комитет рассмотрит новый мандат Рабочей группы и внесет в него поправки. </w:t>
      </w:r>
    </w:p>
    <w:p w:rsidR="00B166E7" w:rsidRPr="00B166E7" w:rsidRDefault="00A932D6" w:rsidP="00A932D6">
      <w:pPr>
        <w:pStyle w:val="HChGR"/>
      </w:pPr>
      <w:r>
        <w:tab/>
        <w:t>V.</w:t>
      </w:r>
      <w:r>
        <w:tab/>
      </w:r>
      <w:r w:rsidR="00B166E7" w:rsidRPr="00B166E7">
        <w:t>Методы работы</w:t>
      </w:r>
    </w:p>
    <w:p w:rsidR="00B166E7" w:rsidRPr="00B166E7" w:rsidRDefault="00B166E7" w:rsidP="00B166E7">
      <w:pPr>
        <w:pStyle w:val="SingleTxtGR"/>
      </w:pPr>
      <w:r w:rsidRPr="00B166E7">
        <w:t>8.</w:t>
      </w:r>
      <w:r w:rsidRPr="00B166E7">
        <w:tab/>
        <w:t>Рабочая группа проводит по меньшей мере одно совещание в год. Кроме того, в период между совещаниями она осуществляет коммуникационную</w:t>
      </w:r>
      <w:r w:rsidR="0069374B">
        <w:t xml:space="preserve"> </w:t>
      </w:r>
      <w:r w:rsidRPr="00B166E7">
        <w:t xml:space="preserve">деятельность с использованием электронной почты и других электронных платформ взаимодействия, например ее информационного бюллетеня и социальных сетей. </w:t>
      </w:r>
    </w:p>
    <w:p w:rsidR="00B166E7" w:rsidRPr="00B166E7" w:rsidRDefault="00242642" w:rsidP="00B166E7">
      <w:pPr>
        <w:pStyle w:val="SingleTxtGR"/>
      </w:pPr>
      <w:r>
        <w:t>9.</w:t>
      </w:r>
      <w:r w:rsidR="00B166E7" w:rsidRPr="00B166E7">
        <w:tab/>
        <w:t>Дополнительные совещания, рабочие совещания и мероприятия по наращиванию</w:t>
      </w:r>
      <w:r w:rsidR="0069374B">
        <w:t xml:space="preserve"> </w:t>
      </w:r>
      <w:r w:rsidR="00B166E7" w:rsidRPr="00B166E7">
        <w:t xml:space="preserve">потенциала будут организовываться при условии наличия финансирования. 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VI.</w:t>
      </w:r>
      <w:r>
        <w:tab/>
      </w:r>
      <w:r w:rsidR="00B166E7" w:rsidRPr="00B166E7">
        <w:t>Членский состав</w:t>
      </w:r>
    </w:p>
    <w:p w:rsidR="00B166E7" w:rsidRPr="00B166E7" w:rsidRDefault="00242642" w:rsidP="00B166E7">
      <w:pPr>
        <w:pStyle w:val="SingleTxtGR"/>
      </w:pPr>
      <w:r>
        <w:t>10.</w:t>
      </w:r>
      <w:r w:rsidR="00B166E7" w:rsidRPr="00B166E7">
        <w:tab/>
        <w:t>В состав Рабочей группы входят представители всех государств – членов ЕЭК. Они должны представлять национальные учреждения, занимающиеся вопросами мониторинга окружающей среды, экологических знаний и экологической оценки.</w:t>
      </w:r>
    </w:p>
    <w:p w:rsidR="00B166E7" w:rsidRPr="00B166E7" w:rsidRDefault="00B166E7" w:rsidP="00B166E7">
      <w:pPr>
        <w:pStyle w:val="SingleTxtGR"/>
      </w:pPr>
      <w:r w:rsidRPr="00B166E7">
        <w:t>11.</w:t>
      </w:r>
      <w:r w:rsidRPr="00B166E7">
        <w:tab/>
        <w:t>Кроме того, в деятельности Рабочей группы участвуют представители программ и политических органов, а также многосторонних природоохранных соглашений, занимающихся</w:t>
      </w:r>
      <w:r w:rsidR="0069374B">
        <w:t xml:space="preserve"> </w:t>
      </w:r>
      <w:r w:rsidRPr="00B166E7">
        <w:t>сбором экологических данных и информации и подготовкой</w:t>
      </w:r>
      <w:r w:rsidR="0069374B">
        <w:t xml:space="preserve"> </w:t>
      </w:r>
      <w:r w:rsidRPr="00B166E7">
        <w:t>экологических оценок как в отношении окружающей среды в целом, так и по сугубо</w:t>
      </w:r>
      <w:r w:rsidR="0069374B">
        <w:t xml:space="preserve"> </w:t>
      </w:r>
      <w:r w:rsidRPr="00B166E7">
        <w:t xml:space="preserve">определенным темам, равно как и экспертные группы. </w:t>
      </w:r>
    </w:p>
    <w:p w:rsidR="00B166E7" w:rsidRPr="00B166E7" w:rsidRDefault="00242642" w:rsidP="00B166E7">
      <w:pPr>
        <w:pStyle w:val="SingleTxtGR"/>
      </w:pPr>
      <w:r>
        <w:t>12.</w:t>
      </w:r>
      <w:r w:rsidR="00B166E7" w:rsidRPr="00B166E7">
        <w:tab/>
        <w:t xml:space="preserve">Рабочая группа избирает Председателя и двух заместителей Председателя на срок до двух лет, обеспечивая при этом региональный баланс кандидатов. Председатель и заместители Председателя могут быть переизбраны на один дополнительный срок. </w:t>
      </w:r>
    </w:p>
    <w:p w:rsidR="00B166E7" w:rsidRPr="00B166E7" w:rsidRDefault="00A932D6" w:rsidP="00A932D6">
      <w:pPr>
        <w:pStyle w:val="HChGR"/>
      </w:pPr>
      <w:r>
        <w:tab/>
      </w:r>
      <w:r w:rsidR="00B166E7" w:rsidRPr="00B166E7">
        <w:t>VII.</w:t>
      </w:r>
      <w:r>
        <w:tab/>
      </w:r>
      <w:r w:rsidR="00B166E7" w:rsidRPr="00B166E7">
        <w:t>Секретариатская поддержка и ресурсы</w:t>
      </w:r>
    </w:p>
    <w:p w:rsidR="00B166E7" w:rsidRPr="00B166E7" w:rsidRDefault="00242642" w:rsidP="00B166E7">
      <w:pPr>
        <w:pStyle w:val="SingleTxtGR"/>
      </w:pPr>
      <w:r>
        <w:t>13.</w:t>
      </w:r>
      <w:r w:rsidR="00B166E7" w:rsidRPr="00B166E7">
        <w:tab/>
        <w:t xml:space="preserve">В своей деятельности, которую обслуживает секретариат ЕЭК, опираясь на поддержку ЮНЕП и Европейского агентства по окружающей среде, Рабочая группа руководствуется соответствующими процедурами, установленными Комитетом ЕЭК по экологической политике. </w:t>
      </w:r>
    </w:p>
    <w:p w:rsidR="00B166E7" w:rsidRPr="00B166E7" w:rsidRDefault="00242642" w:rsidP="00B166E7">
      <w:pPr>
        <w:pStyle w:val="SingleTxtGR"/>
      </w:pPr>
      <w:r>
        <w:t>14.</w:t>
      </w:r>
      <w:r w:rsidR="00B166E7" w:rsidRPr="00B166E7">
        <w:tab/>
        <w:t>Донорам будет предложено оказывать поддержку деятельности Рабочей группы</w:t>
      </w:r>
      <w:r w:rsidR="009A4C51">
        <w:t>.</w:t>
      </w:r>
    </w:p>
    <w:p w:rsidR="000C54E5" w:rsidRPr="00B166E7" w:rsidRDefault="00B166E7" w:rsidP="00B166E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54E5" w:rsidRPr="00B166E7" w:rsidSect="00643063">
      <w:footerReference w:type="default" r:id="rId16"/>
      <w:footnotePr>
        <w:numFmt w:val="lowerLetter"/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2B" w:rsidRPr="00A312BC" w:rsidRDefault="00051A2B" w:rsidP="00A312BC"/>
  </w:endnote>
  <w:endnote w:type="continuationSeparator" w:id="0">
    <w:p w:rsidR="00051A2B" w:rsidRPr="00A312BC" w:rsidRDefault="00051A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051A2B">
    <w:pPr>
      <w:pStyle w:val="a8"/>
    </w:pPr>
    <w:r w:rsidRPr="002778E6">
      <w:rPr>
        <w:b/>
        <w:sz w:val="18"/>
      </w:rPr>
      <w:fldChar w:fldCharType="begin"/>
    </w:r>
    <w:r w:rsidRPr="002778E6">
      <w:rPr>
        <w:b/>
        <w:sz w:val="18"/>
      </w:rPr>
      <w:instrText xml:space="preserve"> PAGE  \* MERGEFORMAT </w:instrText>
    </w:r>
    <w:r w:rsidRPr="002778E6">
      <w:rPr>
        <w:b/>
        <w:sz w:val="18"/>
      </w:rPr>
      <w:fldChar w:fldCharType="separate"/>
    </w:r>
    <w:r w:rsidR="0030690F">
      <w:rPr>
        <w:b/>
        <w:noProof/>
        <w:sz w:val="18"/>
      </w:rPr>
      <w:t>2</w:t>
    </w:r>
    <w:r w:rsidRPr="002778E6">
      <w:rPr>
        <w:b/>
        <w:sz w:val="18"/>
      </w:rPr>
      <w:fldChar w:fldCharType="end"/>
    </w:r>
    <w:r>
      <w:rPr>
        <w:b/>
        <w:sz w:val="18"/>
      </w:rPr>
      <w:tab/>
    </w:r>
    <w:r>
      <w:t>GE.17-06878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051A2B" w:rsidP="002778E6">
    <w:pPr>
      <w:pStyle w:val="a8"/>
      <w:tabs>
        <w:tab w:val="clear" w:pos="9639"/>
        <w:tab w:val="right" w:pos="9638"/>
      </w:tabs>
      <w:rPr>
        <w:b/>
        <w:sz w:val="18"/>
      </w:rPr>
    </w:pPr>
    <w:r>
      <w:t>GE.17-06878</w:t>
    </w:r>
    <w:r>
      <w:tab/>
    </w:r>
    <w:r w:rsidRPr="002778E6">
      <w:rPr>
        <w:b/>
        <w:sz w:val="18"/>
      </w:rPr>
      <w:fldChar w:fldCharType="begin"/>
    </w:r>
    <w:r w:rsidRPr="002778E6">
      <w:rPr>
        <w:b/>
        <w:sz w:val="18"/>
      </w:rPr>
      <w:instrText xml:space="preserve"> PAGE  \* MERGEFORMAT </w:instrText>
    </w:r>
    <w:r w:rsidRPr="002778E6">
      <w:rPr>
        <w:b/>
        <w:sz w:val="18"/>
      </w:rPr>
      <w:fldChar w:fldCharType="separate"/>
    </w:r>
    <w:r w:rsidR="00B4161B">
      <w:rPr>
        <w:b/>
        <w:noProof/>
        <w:sz w:val="18"/>
      </w:rPr>
      <w:t>19</w:t>
    </w:r>
    <w:r w:rsidRPr="002778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051A2B" w:rsidP="002778E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6192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17-06878  (R)</w:t>
    </w:r>
    <w:r>
      <w:rPr>
        <w:lang w:val="en-US"/>
      </w:rPr>
      <w:t xml:space="preserve">  310517  </w:t>
    </w:r>
    <w:r w:rsidR="00ED2945">
      <w:t>01</w:t>
    </w:r>
    <w:r>
      <w:rPr>
        <w:lang w:val="en-US"/>
      </w:rPr>
      <w:t>0617</w:t>
    </w:r>
    <w:r>
      <w:br/>
    </w:r>
    <w:r w:rsidRPr="002778E6">
      <w:rPr>
        <w:rFonts w:ascii="C39T30Lfz" w:hAnsi="C39T30Lfz"/>
        <w:spacing w:val="0"/>
        <w:w w:val="100"/>
        <w:sz w:val="56"/>
      </w:rPr>
      <w:t></w:t>
    </w:r>
    <w:r w:rsidRPr="002778E6">
      <w:rPr>
        <w:rFonts w:ascii="C39T30Lfz" w:hAnsi="C39T30Lfz"/>
        <w:spacing w:val="0"/>
        <w:w w:val="100"/>
        <w:sz w:val="56"/>
      </w:rPr>
      <w:t></w:t>
    </w:r>
    <w:r w:rsidRPr="002778E6">
      <w:rPr>
        <w:rFonts w:ascii="C39T30Lfz" w:hAnsi="C39T30Lfz"/>
        <w:spacing w:val="0"/>
        <w:w w:val="100"/>
        <w:sz w:val="56"/>
      </w:rPr>
      <w:t></w:t>
    </w:r>
    <w:r w:rsidRPr="002778E6">
      <w:rPr>
        <w:rFonts w:ascii="C39T30Lfz" w:hAnsi="C39T30Lfz"/>
        <w:spacing w:val="0"/>
        <w:w w:val="100"/>
        <w:sz w:val="56"/>
      </w:rPr>
      <w:t></w:t>
    </w:r>
    <w:r w:rsidRPr="002778E6">
      <w:rPr>
        <w:rFonts w:ascii="C39T30Lfz" w:hAnsi="C39T30Lfz"/>
        <w:spacing w:val="0"/>
        <w:w w:val="100"/>
        <w:sz w:val="56"/>
      </w:rPr>
      <w:t></w:t>
    </w:r>
    <w:r w:rsidRPr="002778E6">
      <w:rPr>
        <w:rFonts w:ascii="C39T30Lfz" w:hAnsi="C39T30Lfz"/>
        <w:spacing w:val="0"/>
        <w:w w:val="100"/>
        <w:sz w:val="56"/>
      </w:rPr>
      <w:t></w:t>
    </w:r>
    <w:r w:rsidRPr="002778E6">
      <w:rPr>
        <w:rFonts w:ascii="C39T30Lfz" w:hAnsi="C39T30Lfz"/>
        <w:spacing w:val="0"/>
        <w:w w:val="100"/>
        <w:sz w:val="56"/>
      </w:rPr>
      <w:t></w:t>
    </w:r>
    <w:r w:rsidRPr="002778E6">
      <w:rPr>
        <w:rFonts w:ascii="C39T30Lfz" w:hAnsi="C39T30Lfz"/>
        <w:spacing w:val="0"/>
        <w:w w:val="100"/>
        <w:sz w:val="56"/>
      </w:rPr>
      <w:t></w:t>
    </w:r>
    <w:r w:rsidRPr="002778E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CEP/201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051A2B" w:rsidP="002778E6">
    <w:pPr>
      <w:pStyle w:val="a8"/>
      <w:tabs>
        <w:tab w:val="clear" w:pos="9639"/>
        <w:tab w:val="right" w:pos="9638"/>
      </w:tabs>
      <w:rPr>
        <w:b/>
        <w:sz w:val="18"/>
      </w:rPr>
    </w:pPr>
    <w:r>
      <w:t>GE.17-06878</w:t>
    </w:r>
    <w:r>
      <w:tab/>
    </w:r>
    <w:r w:rsidRPr="002778E6">
      <w:rPr>
        <w:b/>
        <w:sz w:val="18"/>
      </w:rPr>
      <w:fldChar w:fldCharType="begin"/>
    </w:r>
    <w:r w:rsidRPr="002778E6">
      <w:rPr>
        <w:b/>
        <w:sz w:val="18"/>
      </w:rPr>
      <w:instrText xml:space="preserve"> PAGE  \* MERGEFORMAT </w:instrText>
    </w:r>
    <w:r w:rsidRPr="002778E6">
      <w:rPr>
        <w:b/>
        <w:sz w:val="18"/>
      </w:rPr>
      <w:fldChar w:fldCharType="separate"/>
    </w:r>
    <w:r w:rsidR="00B4161B">
      <w:rPr>
        <w:b/>
        <w:noProof/>
        <w:sz w:val="18"/>
      </w:rPr>
      <w:t>21</w:t>
    </w:r>
    <w:r w:rsidRPr="002778E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2B" w:rsidRPr="001075E9" w:rsidRDefault="00051A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1A2B" w:rsidRDefault="00051A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51A2B" w:rsidRPr="00613717" w:rsidRDefault="00051A2B" w:rsidP="00613717">
      <w:pPr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sz w:val="18"/>
          <w:szCs w:val="18"/>
          <w:vertAlign w:val="superscript"/>
        </w:rPr>
        <w:footnoteRef/>
      </w:r>
      <w:r w:rsidRPr="00613717">
        <w:rPr>
          <w:sz w:val="18"/>
          <w:szCs w:val="18"/>
        </w:rPr>
        <w:tab/>
        <w:t>Документы совещания и другая информация о сессии, включая резюме решений, доступны на веб-странице сессии (</w:t>
      </w:r>
      <w:hyperlink r:id="rId1" w:history="1">
        <w:r w:rsidRPr="009D12E6">
          <w:rPr>
            <w:rStyle w:val="af1"/>
            <w:color w:val="auto"/>
            <w:sz w:val="18"/>
            <w:szCs w:val="18"/>
          </w:rPr>
          <w:t>www.unece.org/index.php?id=42766</w:t>
        </w:r>
      </w:hyperlink>
      <w:r w:rsidRPr="009D12E6">
        <w:rPr>
          <w:sz w:val="18"/>
          <w:szCs w:val="18"/>
        </w:rPr>
        <w:t>)</w:t>
      </w:r>
      <w:r w:rsidRPr="00613717">
        <w:rPr>
          <w:sz w:val="18"/>
          <w:szCs w:val="18"/>
        </w:rPr>
        <w:t xml:space="preserve">. </w:t>
      </w:r>
    </w:p>
  </w:footnote>
  <w:footnote w:id="2">
    <w:p w:rsidR="00051A2B" w:rsidRPr="009D12E6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Информация и документы доступны по адресу </w:t>
      </w:r>
      <w:hyperlink r:id="rId2" w:anchor="/" w:history="1">
        <w:r w:rsidRPr="009D12E6">
          <w:rPr>
            <w:rStyle w:val="af1"/>
            <w:color w:val="auto"/>
            <w:sz w:val="18"/>
            <w:szCs w:val="18"/>
          </w:rPr>
          <w:t>www.unece.org/index.php?id=45198</w:t>
        </w:r>
      </w:hyperlink>
      <w:r w:rsidRPr="009D12E6">
        <w:rPr>
          <w:sz w:val="18"/>
          <w:szCs w:val="18"/>
        </w:rPr>
        <w:t>.</w:t>
      </w:r>
    </w:p>
  </w:footnote>
  <w:footnote w:id="3">
    <w:p w:rsidR="00051A2B" w:rsidRPr="00051A2B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  <w:lang w:val="en-US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ED2945">
        <w:rPr>
          <w:sz w:val="18"/>
          <w:szCs w:val="18"/>
          <w:lang w:val="en-US"/>
        </w:rPr>
        <w:tab/>
      </w:r>
      <w:r w:rsidRPr="00613717">
        <w:rPr>
          <w:sz w:val="18"/>
          <w:szCs w:val="18"/>
        </w:rPr>
        <w:t>См</w:t>
      </w:r>
      <w:r w:rsidRPr="00ED2945">
        <w:rPr>
          <w:sz w:val="18"/>
          <w:szCs w:val="18"/>
          <w:lang w:val="en-US"/>
        </w:rPr>
        <w:t xml:space="preserve">. </w:t>
      </w:r>
      <w:hyperlink r:id="rId3" w:history="1">
        <w:r w:rsidRPr="00D01E39">
          <w:rPr>
            <w:rStyle w:val="af1"/>
            <w:color w:val="auto"/>
            <w:sz w:val="18"/>
            <w:szCs w:val="18"/>
            <w:lang w:val="en-US"/>
          </w:rPr>
          <w:t>www.unece.org/environmental-policy/environmental-monitoring-and-assessment/ meetings-and-events</w:t>
        </w:r>
      </w:hyperlink>
      <w:r w:rsidRPr="00051A2B">
        <w:rPr>
          <w:sz w:val="18"/>
          <w:szCs w:val="18"/>
          <w:lang w:val="en-US"/>
        </w:rPr>
        <w:t>.</w:t>
      </w:r>
    </w:p>
  </w:footnote>
  <w:footnote w:id="4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051A2B">
        <w:rPr>
          <w:sz w:val="18"/>
          <w:szCs w:val="18"/>
          <w:lang w:val="en-US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См. </w:t>
      </w:r>
      <w:hyperlink r:id="rId4" w:history="1">
        <w:r w:rsidRPr="00051A2B">
          <w:rPr>
            <w:rStyle w:val="af1"/>
            <w:color w:val="auto"/>
            <w:sz w:val="18"/>
            <w:szCs w:val="18"/>
          </w:rPr>
          <w:t>http://earthobservations.org/index.php</w:t>
        </w:r>
      </w:hyperlink>
      <w:r w:rsidRPr="00051A2B">
        <w:rPr>
          <w:sz w:val="18"/>
          <w:szCs w:val="18"/>
        </w:rPr>
        <w:t>.</w:t>
      </w:r>
      <w:r w:rsidRPr="00613717">
        <w:rPr>
          <w:sz w:val="18"/>
          <w:szCs w:val="18"/>
        </w:rPr>
        <w:t xml:space="preserve"> </w:t>
      </w:r>
    </w:p>
  </w:footnote>
  <w:footnote w:id="5">
    <w:p w:rsidR="00051A2B" w:rsidRPr="00F5104A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ED2945">
        <w:rPr>
          <w:sz w:val="18"/>
          <w:szCs w:val="18"/>
        </w:rPr>
        <w:tab/>
      </w:r>
      <w:r w:rsidRPr="00613717">
        <w:rPr>
          <w:sz w:val="18"/>
          <w:szCs w:val="18"/>
        </w:rPr>
        <w:t>См</w:t>
      </w:r>
      <w:r w:rsidRPr="00ED2945">
        <w:rPr>
          <w:sz w:val="18"/>
          <w:szCs w:val="18"/>
        </w:rPr>
        <w:t xml:space="preserve">. </w:t>
      </w:r>
      <w:hyperlink r:id="rId5" w:anchor="/" w:history="1">
        <w:r w:rsidRPr="00F5104A">
          <w:rPr>
            <w:rStyle w:val="af1"/>
            <w:color w:val="auto"/>
            <w:sz w:val="18"/>
            <w:szCs w:val="18"/>
            <w:lang w:val="en-US"/>
          </w:rPr>
          <w:t>www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unece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org</w:t>
        </w:r>
        <w:r w:rsidRPr="00F5104A">
          <w:rPr>
            <w:rStyle w:val="af1"/>
            <w:color w:val="auto"/>
            <w:sz w:val="18"/>
            <w:szCs w:val="18"/>
          </w:rPr>
          <w:t>/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index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php</w:t>
        </w:r>
        <w:r w:rsidRPr="00F5104A">
          <w:rPr>
            <w:rStyle w:val="af1"/>
            <w:color w:val="auto"/>
            <w:sz w:val="18"/>
            <w:szCs w:val="18"/>
          </w:rPr>
          <w:t>?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id</w:t>
        </w:r>
        <w:r w:rsidRPr="00F5104A">
          <w:rPr>
            <w:rStyle w:val="af1"/>
            <w:color w:val="auto"/>
            <w:sz w:val="18"/>
            <w:szCs w:val="18"/>
          </w:rPr>
          <w:t>=43119</w:t>
        </w:r>
      </w:hyperlink>
      <w:r w:rsidRPr="00F5104A">
        <w:rPr>
          <w:sz w:val="18"/>
          <w:szCs w:val="18"/>
        </w:rPr>
        <w:t xml:space="preserve"> </w:t>
      </w:r>
      <w:r w:rsidR="00F5104A">
        <w:rPr>
          <w:sz w:val="18"/>
          <w:szCs w:val="18"/>
        </w:rPr>
        <w:t>и</w:t>
      </w:r>
      <w:r w:rsidRPr="00F5104A">
        <w:rPr>
          <w:sz w:val="18"/>
          <w:szCs w:val="18"/>
        </w:rPr>
        <w:t xml:space="preserve"> </w:t>
      </w:r>
      <w:hyperlink r:id="rId6" w:anchor="/" w:history="1">
        <w:r w:rsidRPr="00F5104A">
          <w:rPr>
            <w:rStyle w:val="af1"/>
            <w:color w:val="auto"/>
            <w:sz w:val="18"/>
            <w:szCs w:val="18"/>
            <w:lang w:val="en-US"/>
          </w:rPr>
          <w:t>www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unece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org</w:t>
        </w:r>
        <w:r w:rsidRPr="00F5104A">
          <w:rPr>
            <w:rStyle w:val="af1"/>
            <w:color w:val="auto"/>
            <w:sz w:val="18"/>
            <w:szCs w:val="18"/>
          </w:rPr>
          <w:t>/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index</w:t>
        </w:r>
        <w:r w:rsidRPr="00F5104A">
          <w:rPr>
            <w:rStyle w:val="af1"/>
            <w:color w:val="auto"/>
            <w:sz w:val="18"/>
            <w:szCs w:val="18"/>
          </w:rPr>
          <w:t>.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php</w:t>
        </w:r>
        <w:r w:rsidRPr="00F5104A">
          <w:rPr>
            <w:rStyle w:val="af1"/>
            <w:color w:val="auto"/>
            <w:sz w:val="18"/>
            <w:szCs w:val="18"/>
          </w:rPr>
          <w:t>?</w:t>
        </w:r>
        <w:r w:rsidRPr="00F5104A">
          <w:rPr>
            <w:rStyle w:val="af1"/>
            <w:color w:val="auto"/>
            <w:sz w:val="18"/>
            <w:szCs w:val="18"/>
            <w:lang w:val="en-US"/>
          </w:rPr>
          <w:t>id</w:t>
        </w:r>
        <w:r w:rsidRPr="00F5104A">
          <w:rPr>
            <w:rStyle w:val="af1"/>
            <w:color w:val="auto"/>
            <w:sz w:val="18"/>
            <w:szCs w:val="18"/>
          </w:rPr>
          <w:t>=40554</w:t>
        </w:r>
      </w:hyperlink>
      <w:r w:rsidRPr="00F5104A">
        <w:rPr>
          <w:sz w:val="18"/>
          <w:szCs w:val="18"/>
        </w:rPr>
        <w:t xml:space="preserve">. </w:t>
      </w:r>
    </w:p>
  </w:footnote>
  <w:footnote w:id="6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F5104A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Информацию см. по адресу </w:t>
      </w:r>
      <w:hyperlink r:id="rId7" w:history="1">
        <w:r w:rsidRPr="00480A0A">
          <w:rPr>
            <w:rStyle w:val="af1"/>
            <w:color w:val="auto"/>
            <w:sz w:val="18"/>
            <w:szCs w:val="18"/>
          </w:rPr>
          <w:t>www.euro.who.int/en/media-centre/events/events/2017/06/sixth-ministerial-conference-on-environment-and-health</w:t>
        </w:r>
      </w:hyperlink>
      <w:r w:rsidRPr="00613717">
        <w:rPr>
          <w:sz w:val="18"/>
          <w:szCs w:val="18"/>
        </w:rPr>
        <w:t xml:space="preserve">. </w:t>
      </w:r>
    </w:p>
  </w:footnote>
  <w:footnote w:id="7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Информацию см. по адресу </w:t>
      </w:r>
      <w:hyperlink r:id="rId8" w:history="1">
        <w:r w:rsidRPr="00480A0A">
          <w:rPr>
            <w:rStyle w:val="af1"/>
            <w:color w:val="auto"/>
            <w:sz w:val="18"/>
            <w:szCs w:val="18"/>
          </w:rPr>
          <w:t>www.dolnivitkovice.cz/en/o-nas</w:t>
        </w:r>
      </w:hyperlink>
      <w:r w:rsidRPr="00480A0A">
        <w:rPr>
          <w:sz w:val="18"/>
          <w:szCs w:val="18"/>
        </w:rPr>
        <w:t>.</w:t>
      </w:r>
      <w:r w:rsidRPr="00613717">
        <w:rPr>
          <w:sz w:val="18"/>
          <w:szCs w:val="18"/>
        </w:rPr>
        <w:t xml:space="preserve"> </w:t>
      </w:r>
    </w:p>
  </w:footnote>
  <w:footnote w:id="8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Cм. </w:t>
      </w:r>
      <w:hyperlink r:id="rId9" w:history="1">
        <w:r w:rsidRPr="00480A0A">
          <w:rPr>
            <w:rStyle w:val="af1"/>
            <w:color w:val="auto"/>
            <w:sz w:val="18"/>
            <w:szCs w:val="18"/>
          </w:rPr>
          <w:t>http://www.unece.org/index.php?id=37180&amp;L=0</w:t>
        </w:r>
      </w:hyperlink>
      <w:r w:rsidRPr="00613717">
        <w:rPr>
          <w:sz w:val="18"/>
          <w:szCs w:val="18"/>
        </w:rPr>
        <w:t xml:space="preserve">. </w:t>
      </w:r>
    </w:p>
  </w:footnote>
  <w:footnote w:id="9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>Утвержденное резюме было распространено среди членов Комитета по электронной почте во вторник</w:t>
      </w:r>
      <w:r w:rsidR="00D2578E">
        <w:rPr>
          <w:sz w:val="18"/>
          <w:szCs w:val="18"/>
        </w:rPr>
        <w:t>,</w:t>
      </w:r>
      <w:r w:rsidRPr="00613717">
        <w:rPr>
          <w:sz w:val="18"/>
          <w:szCs w:val="18"/>
        </w:rPr>
        <w:t xml:space="preserve"> 31 января 2017 года, а также размещено на веб-сайте ЕЭК. Настоящий доклад был подготовлен на основе утвержденного резюме. После утверждения текст был подвергнут официальному редактированию. Любые изменения носят исключительно редакционный характер и не влияют на существо решений.  </w:t>
      </w:r>
    </w:p>
  </w:footnote>
  <w:footnote w:id="10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Путевые расходы и суточные </w:t>
      </w:r>
      <w:r w:rsidR="007C295D">
        <w:rPr>
          <w:sz w:val="18"/>
          <w:szCs w:val="18"/>
        </w:rPr>
        <w:t>–</w:t>
      </w:r>
      <w:r w:rsidRPr="00613717">
        <w:rPr>
          <w:sz w:val="18"/>
          <w:szCs w:val="18"/>
        </w:rPr>
        <w:t xml:space="preserve"> при условии наличия внебюджетных ресурсов для этой цели. </w:t>
      </w:r>
    </w:p>
  </w:footnote>
  <w:footnote w:id="11">
    <w:p w:rsidR="00051A2B" w:rsidRPr="00613717" w:rsidRDefault="00051A2B" w:rsidP="00613717">
      <w:pPr>
        <w:pStyle w:val="aa"/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613717">
        <w:rPr>
          <w:sz w:val="18"/>
          <w:szCs w:val="18"/>
        </w:rPr>
        <w:tab/>
      </w:r>
      <w:r w:rsidRPr="00613717">
        <w:rPr>
          <w:rStyle w:val="ae"/>
          <w:szCs w:val="18"/>
        </w:rPr>
        <w:footnoteRef/>
      </w:r>
      <w:r w:rsidRPr="00613717">
        <w:rPr>
          <w:sz w:val="18"/>
          <w:szCs w:val="18"/>
        </w:rPr>
        <w:tab/>
        <w:t xml:space="preserve">Только суточные </w:t>
      </w:r>
      <w:r w:rsidR="007C295D">
        <w:rPr>
          <w:sz w:val="18"/>
          <w:szCs w:val="18"/>
        </w:rPr>
        <w:t>–</w:t>
      </w:r>
      <w:r w:rsidRPr="00613717">
        <w:rPr>
          <w:sz w:val="18"/>
          <w:szCs w:val="18"/>
        </w:rPr>
        <w:t xml:space="preserve"> при условии наличия внебюджетных ресурсов для этой цели.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30690F">
    <w:pPr>
      <w:pStyle w:val="a5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B4161B">
      <w:t>ECE/CEP/2017/2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Pr="002778E6" w:rsidRDefault="0030690F" w:rsidP="002778E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161B">
      <w:t>ECE/CEP/2017/2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B" w:rsidRDefault="00051A2B" w:rsidP="002778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1D39E9"/>
    <w:multiLevelType w:val="hybridMultilevel"/>
    <w:tmpl w:val="BAE8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40"/>
    <w:rsid w:val="00033EE1"/>
    <w:rsid w:val="00042B72"/>
    <w:rsid w:val="00051A2B"/>
    <w:rsid w:val="000558BD"/>
    <w:rsid w:val="00091A7B"/>
    <w:rsid w:val="000B57E7"/>
    <w:rsid w:val="000B6373"/>
    <w:rsid w:val="000C54E5"/>
    <w:rsid w:val="000E4E5B"/>
    <w:rsid w:val="000F09DF"/>
    <w:rsid w:val="000F61B2"/>
    <w:rsid w:val="00100836"/>
    <w:rsid w:val="001052EB"/>
    <w:rsid w:val="001075E9"/>
    <w:rsid w:val="001251F3"/>
    <w:rsid w:val="00126356"/>
    <w:rsid w:val="0014152F"/>
    <w:rsid w:val="00144D1A"/>
    <w:rsid w:val="00180183"/>
    <w:rsid w:val="0018024D"/>
    <w:rsid w:val="00181965"/>
    <w:rsid w:val="0018649F"/>
    <w:rsid w:val="00196389"/>
    <w:rsid w:val="001B3EF6"/>
    <w:rsid w:val="001C0E8A"/>
    <w:rsid w:val="001C7A89"/>
    <w:rsid w:val="001D1403"/>
    <w:rsid w:val="001F3AC5"/>
    <w:rsid w:val="00242642"/>
    <w:rsid w:val="00244782"/>
    <w:rsid w:val="00244BD7"/>
    <w:rsid w:val="00247339"/>
    <w:rsid w:val="002534D5"/>
    <w:rsid w:val="00255343"/>
    <w:rsid w:val="0027151D"/>
    <w:rsid w:val="002778E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90F"/>
    <w:rsid w:val="00307FB6"/>
    <w:rsid w:val="00317339"/>
    <w:rsid w:val="00322004"/>
    <w:rsid w:val="003402C2"/>
    <w:rsid w:val="00381C24"/>
    <w:rsid w:val="00382E40"/>
    <w:rsid w:val="00387CD4"/>
    <w:rsid w:val="003958D0"/>
    <w:rsid w:val="003A0D43"/>
    <w:rsid w:val="003A48CE"/>
    <w:rsid w:val="003B00E5"/>
    <w:rsid w:val="00407B78"/>
    <w:rsid w:val="004147DC"/>
    <w:rsid w:val="00424203"/>
    <w:rsid w:val="00452493"/>
    <w:rsid w:val="00453318"/>
    <w:rsid w:val="00454AF2"/>
    <w:rsid w:val="00454E07"/>
    <w:rsid w:val="00472C5C"/>
    <w:rsid w:val="00480A0A"/>
    <w:rsid w:val="004B3027"/>
    <w:rsid w:val="004E05B7"/>
    <w:rsid w:val="0050108D"/>
    <w:rsid w:val="00507B61"/>
    <w:rsid w:val="00513081"/>
    <w:rsid w:val="00517901"/>
    <w:rsid w:val="00526683"/>
    <w:rsid w:val="005630EF"/>
    <w:rsid w:val="005639C1"/>
    <w:rsid w:val="005709E0"/>
    <w:rsid w:val="00572E19"/>
    <w:rsid w:val="00572E9A"/>
    <w:rsid w:val="005961C8"/>
    <w:rsid w:val="005966F1"/>
    <w:rsid w:val="005A71B5"/>
    <w:rsid w:val="005C318A"/>
    <w:rsid w:val="005D0600"/>
    <w:rsid w:val="005D7914"/>
    <w:rsid w:val="005E2B41"/>
    <w:rsid w:val="005E6C26"/>
    <w:rsid w:val="005F0B42"/>
    <w:rsid w:val="00613717"/>
    <w:rsid w:val="006345DB"/>
    <w:rsid w:val="00640F49"/>
    <w:rsid w:val="00641485"/>
    <w:rsid w:val="00643063"/>
    <w:rsid w:val="00663346"/>
    <w:rsid w:val="00680D03"/>
    <w:rsid w:val="00681A10"/>
    <w:rsid w:val="0069374B"/>
    <w:rsid w:val="006A1ED8"/>
    <w:rsid w:val="006C17CF"/>
    <w:rsid w:val="006C2031"/>
    <w:rsid w:val="006D461A"/>
    <w:rsid w:val="006F35EE"/>
    <w:rsid w:val="007021FF"/>
    <w:rsid w:val="00712895"/>
    <w:rsid w:val="00723A55"/>
    <w:rsid w:val="00727087"/>
    <w:rsid w:val="00734ACB"/>
    <w:rsid w:val="00757357"/>
    <w:rsid w:val="00792497"/>
    <w:rsid w:val="007C295D"/>
    <w:rsid w:val="00806737"/>
    <w:rsid w:val="00825F8D"/>
    <w:rsid w:val="00834B71"/>
    <w:rsid w:val="00847572"/>
    <w:rsid w:val="0086445C"/>
    <w:rsid w:val="008716F1"/>
    <w:rsid w:val="00894693"/>
    <w:rsid w:val="008A08D7"/>
    <w:rsid w:val="008A37C8"/>
    <w:rsid w:val="008B6909"/>
    <w:rsid w:val="008C4E93"/>
    <w:rsid w:val="008D53B6"/>
    <w:rsid w:val="008D78FD"/>
    <w:rsid w:val="008D7A1C"/>
    <w:rsid w:val="008F7609"/>
    <w:rsid w:val="00906890"/>
    <w:rsid w:val="00911BE4"/>
    <w:rsid w:val="0093286C"/>
    <w:rsid w:val="00937737"/>
    <w:rsid w:val="00951972"/>
    <w:rsid w:val="009608F3"/>
    <w:rsid w:val="00985783"/>
    <w:rsid w:val="009A24AC"/>
    <w:rsid w:val="009A4C51"/>
    <w:rsid w:val="009B1E1F"/>
    <w:rsid w:val="009C6FE6"/>
    <w:rsid w:val="009D12E6"/>
    <w:rsid w:val="00A14DA8"/>
    <w:rsid w:val="00A312BC"/>
    <w:rsid w:val="00A32F55"/>
    <w:rsid w:val="00A84021"/>
    <w:rsid w:val="00A84D35"/>
    <w:rsid w:val="00A917B3"/>
    <w:rsid w:val="00A932D6"/>
    <w:rsid w:val="00A95FD6"/>
    <w:rsid w:val="00AB4B51"/>
    <w:rsid w:val="00AB714F"/>
    <w:rsid w:val="00AD3A90"/>
    <w:rsid w:val="00AD7450"/>
    <w:rsid w:val="00AE64A5"/>
    <w:rsid w:val="00B10CC7"/>
    <w:rsid w:val="00B166E7"/>
    <w:rsid w:val="00B36DF7"/>
    <w:rsid w:val="00B3723B"/>
    <w:rsid w:val="00B4161B"/>
    <w:rsid w:val="00B539E7"/>
    <w:rsid w:val="00B62458"/>
    <w:rsid w:val="00B6384A"/>
    <w:rsid w:val="00B87CEE"/>
    <w:rsid w:val="00BC18B2"/>
    <w:rsid w:val="00BD33EE"/>
    <w:rsid w:val="00BE1CC7"/>
    <w:rsid w:val="00C106D6"/>
    <w:rsid w:val="00C119AE"/>
    <w:rsid w:val="00C22AB8"/>
    <w:rsid w:val="00C31049"/>
    <w:rsid w:val="00C42B2A"/>
    <w:rsid w:val="00C60F0C"/>
    <w:rsid w:val="00C805C9"/>
    <w:rsid w:val="00C82B5E"/>
    <w:rsid w:val="00C92939"/>
    <w:rsid w:val="00CA1679"/>
    <w:rsid w:val="00CA2A2C"/>
    <w:rsid w:val="00CB151C"/>
    <w:rsid w:val="00CE5A1A"/>
    <w:rsid w:val="00CF55F6"/>
    <w:rsid w:val="00D0145A"/>
    <w:rsid w:val="00D01E39"/>
    <w:rsid w:val="00D05340"/>
    <w:rsid w:val="00D072A5"/>
    <w:rsid w:val="00D2578E"/>
    <w:rsid w:val="00D33D63"/>
    <w:rsid w:val="00D40BE2"/>
    <w:rsid w:val="00D5253A"/>
    <w:rsid w:val="00D6428B"/>
    <w:rsid w:val="00D81F74"/>
    <w:rsid w:val="00D85519"/>
    <w:rsid w:val="00D90028"/>
    <w:rsid w:val="00D90138"/>
    <w:rsid w:val="00DB6941"/>
    <w:rsid w:val="00DB7E77"/>
    <w:rsid w:val="00DD78D1"/>
    <w:rsid w:val="00DE32CD"/>
    <w:rsid w:val="00DE7C61"/>
    <w:rsid w:val="00DF5767"/>
    <w:rsid w:val="00DF71B9"/>
    <w:rsid w:val="00E12C5F"/>
    <w:rsid w:val="00E26411"/>
    <w:rsid w:val="00E354E2"/>
    <w:rsid w:val="00E73F76"/>
    <w:rsid w:val="00EA2C9F"/>
    <w:rsid w:val="00EA420E"/>
    <w:rsid w:val="00ED0BDA"/>
    <w:rsid w:val="00ED2945"/>
    <w:rsid w:val="00EE142A"/>
    <w:rsid w:val="00EF1360"/>
    <w:rsid w:val="00EF23D5"/>
    <w:rsid w:val="00EF3220"/>
    <w:rsid w:val="00EF32B8"/>
    <w:rsid w:val="00F2523A"/>
    <w:rsid w:val="00F43903"/>
    <w:rsid w:val="00F5104A"/>
    <w:rsid w:val="00F761DA"/>
    <w:rsid w:val="00F94155"/>
    <w:rsid w:val="00F9783F"/>
    <w:rsid w:val="00F97B4C"/>
    <w:rsid w:val="00FA628E"/>
    <w:rsid w:val="00FB07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299B8"/>
  <w15:docId w15:val="{E890A3AD-8FD2-4C9E-B8A8-4B5F81DF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7C61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7C61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paragraph" w:styleId="a3">
    <w:name w:val="Balloon Text"/>
    <w:basedOn w:val="a"/>
    <w:link w:val="a4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paragraph" w:styleId="aa">
    <w:name w:val="footnote text"/>
    <w:basedOn w:val="a"/>
    <w:link w:val="ab"/>
    <w:semiHidden/>
    <w:unhideWhenUsed/>
    <w:qFormat/>
    <w:rsid w:val="000C54E5"/>
    <w:pPr>
      <w:spacing w:line="240" w:lineRule="auto"/>
    </w:pPr>
    <w:rPr>
      <w:szCs w:val="20"/>
    </w:rPr>
  </w:style>
  <w:style w:type="character" w:customStyle="1" w:styleId="ab">
    <w:name w:val="Текст сноски Знак"/>
    <w:basedOn w:val="a0"/>
    <w:link w:val="aa"/>
    <w:semiHidden/>
    <w:rsid w:val="000C54E5"/>
    <w:rPr>
      <w:rFonts w:eastAsiaTheme="minorEastAsia" w:cstheme="minorBidi"/>
      <w:spacing w:val="4"/>
      <w:w w:val="103"/>
      <w:kern w:val="14"/>
      <w:lang w:val="ru-RU" w:eastAsia="zh-CN"/>
    </w:rPr>
  </w:style>
  <w:style w:type="character" w:styleId="ac">
    <w:name w:val="endnote reference"/>
    <w:aliases w:val="1_GR"/>
    <w:basedOn w:val="a0"/>
    <w:qFormat/>
    <w:rsid w:val="006C17CF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aliases w:val="4_G,4_GR"/>
    <w:qFormat/>
    <w:rsid w:val="000C54E5"/>
    <w:rPr>
      <w:rFonts w:ascii="Times New Roman" w:hAnsi="Times New Roman"/>
      <w:sz w:val="18"/>
      <w:vertAlign w:val="superscript"/>
    </w:rPr>
  </w:style>
  <w:style w:type="paragraph" w:styleId="af">
    <w:name w:val="endnote text"/>
    <w:aliases w:val="2_GR"/>
    <w:basedOn w:val="a"/>
    <w:link w:val="af0"/>
    <w:qFormat/>
    <w:rsid w:val="006C17C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9C6FE6"/>
    <w:rPr>
      <w:color w:val="800080" w:themeColor="followedHyperlink"/>
      <w:u w:val="none"/>
    </w:rPr>
  </w:style>
  <w:style w:type="character" w:customStyle="1" w:styleId="content">
    <w:name w:val="content"/>
    <w:basedOn w:val="a0"/>
    <w:rsid w:val="00DE7C61"/>
  </w:style>
  <w:style w:type="table" w:customStyle="1" w:styleId="TableGrid1">
    <w:name w:val="Table Grid1"/>
    <w:basedOn w:val="a1"/>
    <w:next w:val="ad"/>
    <w:semiHidden/>
    <w:rsid w:val="00DE7C61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uiPriority w:val="11"/>
    <w:qFormat/>
    <w:rsid w:val="00DE7C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DE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DE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3.unece.org/PXWeb/e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vitkovice.cz/en/o-nas" TargetMode="External"/><Relationship Id="rId3" Type="http://schemas.openxmlformats.org/officeDocument/2006/relationships/hyperlink" Target="http://www.unece.org/environmental-policy/environmental-monitoring-and-assessment/%20meetings-and-events" TargetMode="External"/><Relationship Id="rId7" Type="http://schemas.openxmlformats.org/officeDocument/2006/relationships/hyperlink" Target="http://www.euro.who.int/en/media-centre/events/events/2017/06/sixth-ministerial-conference-on-environment-and-health" TargetMode="External"/><Relationship Id="rId2" Type="http://schemas.openxmlformats.org/officeDocument/2006/relationships/hyperlink" Target="http://www.unece.org/index.php?id=45198" TargetMode="External"/><Relationship Id="rId1" Type="http://schemas.openxmlformats.org/officeDocument/2006/relationships/hyperlink" Target="http://www.unece.org/index.php?id=42766" TargetMode="External"/><Relationship Id="rId6" Type="http://schemas.openxmlformats.org/officeDocument/2006/relationships/hyperlink" Target="http://www.unece.org/index.php?id=40554" TargetMode="External"/><Relationship Id="rId5" Type="http://schemas.openxmlformats.org/officeDocument/2006/relationships/hyperlink" Target="http://www.unece.org/index.php?id=43119" TargetMode="External"/><Relationship Id="rId4" Type="http://schemas.openxmlformats.org/officeDocument/2006/relationships/hyperlink" Target="http://earthobservations.org/index.php" TargetMode="External"/><Relationship Id="rId9" Type="http://schemas.openxmlformats.org/officeDocument/2006/relationships/hyperlink" Target="http://www.unece.org/index.php?id=37180&amp;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8F41-CB3D-45BC-BE12-4FB6C02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25</Pages>
  <Words>9231</Words>
  <Characters>64068</Characters>
  <Application>Microsoft Office Word</Application>
  <DocSecurity>0</DocSecurity>
  <Lines>1256</Lines>
  <Paragraphs>366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ECE/CEP/2017/2</vt:lpstr>
      <vt:lpstr>A/</vt:lpstr>
    </vt:vector>
  </TitlesOfParts>
  <Company>DCM</Company>
  <LinksUpToDate>false</LinksUpToDate>
  <CharactersWithSpaces>72933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ECE/CEP/2017/2</dc:title>
  <dc:subject/>
  <dc:creator>SHUVALOVA Natalia</dc:creator>
  <cp:keywords/>
  <cp:lastModifiedBy>SHUVALOVA Natalia</cp:lastModifiedBy>
  <cp:revision>3</cp:revision>
  <cp:lastPrinted>2017-06-01T13:34:00Z</cp:lastPrinted>
  <dcterms:created xsi:type="dcterms:W3CDTF">2017-06-01T13:34:00Z</dcterms:created>
  <dcterms:modified xsi:type="dcterms:W3CDTF">2017-06-01T13:36:00Z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