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B933D5">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B933D5" w:rsidP="00B933D5">
            <w:pPr>
              <w:jc w:val="right"/>
            </w:pPr>
            <w:proofErr w:type="spellStart"/>
            <w:r w:rsidRPr="00B933D5">
              <w:rPr>
                <w:sz w:val="40"/>
              </w:rPr>
              <w:t>ECE</w:t>
            </w:r>
            <w:proofErr w:type="spellEnd"/>
            <w:r>
              <w:t>/</w:t>
            </w:r>
            <w:proofErr w:type="spellStart"/>
            <w:r>
              <w:t>CEP</w:t>
            </w:r>
            <w:proofErr w:type="spellEnd"/>
            <w:r>
              <w:t>/2017/17</w:t>
            </w:r>
          </w:p>
        </w:tc>
      </w:tr>
      <w:tr w:rsidR="002D5AAC" w:rsidRPr="00B933D5"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B933D5" w:rsidP="00387CD4">
            <w:pPr>
              <w:spacing w:before="240"/>
              <w:rPr>
                <w:lang w:val="en-US"/>
              </w:rPr>
            </w:pPr>
            <w:r>
              <w:rPr>
                <w:lang w:val="en-US"/>
              </w:rPr>
              <w:t>Distr.</w:t>
            </w:r>
            <w:r>
              <w:t>:</w:t>
            </w:r>
            <w:r>
              <w:rPr>
                <w:lang w:val="en-US"/>
              </w:rPr>
              <w:t xml:space="preserve"> General</w:t>
            </w:r>
          </w:p>
          <w:p w:rsidR="00B933D5" w:rsidRDefault="00B933D5" w:rsidP="00B933D5">
            <w:pPr>
              <w:spacing w:line="240" w:lineRule="exact"/>
              <w:rPr>
                <w:lang w:val="en-US"/>
              </w:rPr>
            </w:pPr>
            <w:r>
              <w:rPr>
                <w:lang w:val="en-US"/>
              </w:rPr>
              <w:t>5 September 2017</w:t>
            </w:r>
          </w:p>
          <w:p w:rsidR="00B933D5" w:rsidRDefault="00B933D5" w:rsidP="00B933D5">
            <w:pPr>
              <w:spacing w:line="240" w:lineRule="exact"/>
              <w:rPr>
                <w:lang w:val="en-US"/>
              </w:rPr>
            </w:pPr>
            <w:r>
              <w:rPr>
                <w:lang w:val="en-US"/>
              </w:rPr>
              <w:t>Russian</w:t>
            </w:r>
          </w:p>
          <w:p w:rsidR="00B933D5" w:rsidRPr="008D53B6" w:rsidRDefault="00B933D5" w:rsidP="00B933D5">
            <w:pPr>
              <w:spacing w:line="240" w:lineRule="exact"/>
              <w:rPr>
                <w:lang w:val="en-US"/>
              </w:rPr>
            </w:pPr>
            <w:r>
              <w:rPr>
                <w:lang w:val="en-US"/>
              </w:rPr>
              <w:t>Original: English</w:t>
            </w:r>
          </w:p>
        </w:tc>
      </w:tr>
    </w:tbl>
    <w:p w:rsidR="008A37C8" w:rsidRPr="00B933D5" w:rsidRDefault="008A37C8" w:rsidP="00447531">
      <w:pPr>
        <w:spacing w:before="120" w:after="120"/>
        <w:rPr>
          <w:b/>
          <w:sz w:val="28"/>
          <w:szCs w:val="28"/>
          <w:lang w:val="en-US"/>
        </w:rPr>
      </w:pPr>
      <w:r w:rsidRPr="00245892">
        <w:rPr>
          <w:b/>
          <w:sz w:val="28"/>
          <w:szCs w:val="28"/>
        </w:rPr>
        <w:t>Европейская</w:t>
      </w:r>
      <w:r w:rsidRPr="00B933D5">
        <w:rPr>
          <w:b/>
          <w:sz w:val="28"/>
          <w:szCs w:val="28"/>
          <w:lang w:val="en-US"/>
        </w:rPr>
        <w:t xml:space="preserve"> </w:t>
      </w:r>
      <w:r w:rsidRPr="00245892">
        <w:rPr>
          <w:b/>
          <w:sz w:val="28"/>
          <w:szCs w:val="28"/>
        </w:rPr>
        <w:t>экономическая</w:t>
      </w:r>
      <w:r w:rsidRPr="00B933D5">
        <w:rPr>
          <w:b/>
          <w:sz w:val="28"/>
          <w:szCs w:val="28"/>
          <w:lang w:val="en-US"/>
        </w:rPr>
        <w:t xml:space="preserve"> </w:t>
      </w:r>
      <w:r w:rsidRPr="00245892">
        <w:rPr>
          <w:b/>
          <w:sz w:val="28"/>
          <w:szCs w:val="28"/>
        </w:rPr>
        <w:t>комиссия</w:t>
      </w:r>
    </w:p>
    <w:p w:rsidR="00447531" w:rsidRPr="00447531" w:rsidRDefault="00447531" w:rsidP="00447531">
      <w:pPr>
        <w:spacing w:after="120"/>
        <w:rPr>
          <w:sz w:val="28"/>
          <w:szCs w:val="28"/>
        </w:rPr>
      </w:pPr>
      <w:r w:rsidRPr="00447531">
        <w:rPr>
          <w:sz w:val="28"/>
          <w:szCs w:val="28"/>
        </w:rPr>
        <w:t>Комитет по эколог</w:t>
      </w:r>
      <w:bookmarkStart w:id="0" w:name="_GoBack"/>
      <w:bookmarkEnd w:id="0"/>
      <w:r w:rsidRPr="00447531">
        <w:rPr>
          <w:sz w:val="28"/>
          <w:szCs w:val="28"/>
        </w:rPr>
        <w:t>ической политике</w:t>
      </w:r>
    </w:p>
    <w:p w:rsidR="00447531" w:rsidRPr="00447531" w:rsidRDefault="00447531" w:rsidP="00447531">
      <w:pPr>
        <w:rPr>
          <w:b/>
          <w:bCs/>
        </w:rPr>
      </w:pPr>
      <w:r w:rsidRPr="00447531">
        <w:rPr>
          <w:b/>
          <w:bCs/>
        </w:rPr>
        <w:t>Двадцать третья сессия</w:t>
      </w:r>
    </w:p>
    <w:p w:rsidR="00447531" w:rsidRPr="00447531" w:rsidRDefault="00447531" w:rsidP="00447531">
      <w:r w:rsidRPr="00447531">
        <w:t>Женева, 14–17 ноября 2017 года</w:t>
      </w:r>
    </w:p>
    <w:p w:rsidR="00447531" w:rsidRPr="00447531" w:rsidRDefault="00447531" w:rsidP="00447531">
      <w:r w:rsidRPr="00447531">
        <w:t>Пункт 5 предварительной повестки дня</w:t>
      </w:r>
    </w:p>
    <w:p w:rsidR="00447531" w:rsidRPr="00447531" w:rsidRDefault="00447531" w:rsidP="00447531">
      <w:pPr>
        <w:rPr>
          <w:b/>
          <w:bCs/>
        </w:rPr>
      </w:pPr>
      <w:r w:rsidRPr="00447531">
        <w:rPr>
          <w:b/>
          <w:bCs/>
        </w:rPr>
        <w:t>Последующие меры в связи с восьмой Конференцией</w:t>
      </w:r>
      <w:r>
        <w:rPr>
          <w:b/>
          <w:bCs/>
        </w:rPr>
        <w:t xml:space="preserve"> </w:t>
      </w:r>
      <w:r>
        <w:rPr>
          <w:b/>
          <w:bCs/>
        </w:rPr>
        <w:br/>
      </w:r>
      <w:r w:rsidRPr="00447531">
        <w:rPr>
          <w:b/>
          <w:bCs/>
        </w:rPr>
        <w:t xml:space="preserve">министров «Окружающая среда для Европы» </w:t>
      </w:r>
      <w:r>
        <w:rPr>
          <w:b/>
          <w:bCs/>
        </w:rPr>
        <w:br/>
      </w:r>
      <w:r w:rsidRPr="00447531">
        <w:rPr>
          <w:b/>
          <w:bCs/>
        </w:rPr>
        <w:t xml:space="preserve">и подготовка среднесрочного обзора </w:t>
      </w:r>
      <w:r>
        <w:rPr>
          <w:b/>
          <w:bCs/>
        </w:rPr>
        <w:br/>
      </w:r>
      <w:r w:rsidRPr="00447531">
        <w:rPr>
          <w:b/>
          <w:bCs/>
        </w:rPr>
        <w:t>основных ит</w:t>
      </w:r>
      <w:r w:rsidRPr="00447531">
        <w:rPr>
          <w:b/>
          <w:bCs/>
        </w:rPr>
        <w:t>о</w:t>
      </w:r>
      <w:r w:rsidRPr="00447531">
        <w:rPr>
          <w:b/>
          <w:bCs/>
        </w:rPr>
        <w:t>гов Конференции</w:t>
      </w:r>
    </w:p>
    <w:p w:rsidR="00447531" w:rsidRPr="00447531" w:rsidRDefault="00447531" w:rsidP="00447531">
      <w:pPr>
        <w:pStyle w:val="HChGR"/>
      </w:pPr>
      <w:r w:rsidRPr="00447531">
        <w:tab/>
      </w:r>
      <w:r w:rsidRPr="00447531">
        <w:tab/>
        <w:t>Уроки, извлеченные из процесса подготовки, организации и проведения восьмой Конференции министров «Окружающая среда для Е</w:t>
      </w:r>
      <w:r w:rsidRPr="00447531">
        <w:t>в</w:t>
      </w:r>
      <w:r w:rsidRPr="00447531">
        <w:t>ропы»</w:t>
      </w:r>
    </w:p>
    <w:p w:rsidR="00447531" w:rsidRDefault="00447531" w:rsidP="00447531">
      <w:pPr>
        <w:pStyle w:val="H1GR"/>
        <w:rPr>
          <w:sz w:val="20"/>
        </w:rPr>
      </w:pPr>
      <w:r w:rsidRPr="00447531">
        <w:tab/>
      </w:r>
      <w:r w:rsidRPr="00447531">
        <w:tab/>
        <w:t>Записка секретариата</w:t>
      </w:r>
      <w:r w:rsidRPr="002E5AB5">
        <w:rPr>
          <w:b w:val="0"/>
          <w:bCs/>
          <w:sz w:val="20"/>
        </w:rPr>
        <w:footnoteReference w:customMarkFollows="1" w:id="1"/>
        <w:t>*</w:t>
      </w:r>
    </w:p>
    <w:tbl>
      <w:tblPr>
        <w:tblStyle w:val="ac"/>
        <w:tblW w:w="0" w:type="auto"/>
        <w:jc w:val="center"/>
        <w:tblCellMar>
          <w:left w:w="0" w:type="dxa"/>
          <w:right w:w="0" w:type="dxa"/>
        </w:tblCellMar>
        <w:tblLook w:val="05E0" w:firstRow="1" w:lastRow="1" w:firstColumn="1" w:lastColumn="1" w:noHBand="0" w:noVBand="1"/>
      </w:tblPr>
      <w:tblGrid>
        <w:gridCol w:w="9637"/>
      </w:tblGrid>
      <w:tr w:rsidR="00447531" w:rsidRPr="00447531" w:rsidTr="00850215">
        <w:trPr>
          <w:jc w:val="center"/>
        </w:trPr>
        <w:tc>
          <w:tcPr>
            <w:tcW w:w="9637" w:type="dxa"/>
            <w:tcBorders>
              <w:bottom w:val="nil"/>
            </w:tcBorders>
          </w:tcPr>
          <w:p w:rsidR="00447531" w:rsidRPr="00447531" w:rsidRDefault="00447531" w:rsidP="00850215">
            <w:pPr>
              <w:tabs>
                <w:tab w:val="left" w:pos="255"/>
              </w:tabs>
              <w:spacing w:before="240" w:after="120"/>
              <w:rPr>
                <w:rFonts w:cs="Times New Roman"/>
                <w:sz w:val="24"/>
              </w:rPr>
            </w:pPr>
            <w:r w:rsidRPr="00447531">
              <w:rPr>
                <w:rFonts w:cs="Times New Roman"/>
              </w:rPr>
              <w:tab/>
            </w:r>
            <w:r w:rsidRPr="00447531">
              <w:rPr>
                <w:rFonts w:cs="Times New Roman"/>
                <w:i/>
                <w:sz w:val="24"/>
              </w:rPr>
              <w:t>Резюме</w:t>
            </w:r>
          </w:p>
        </w:tc>
      </w:tr>
      <w:tr w:rsidR="00447531" w:rsidRPr="00447531" w:rsidTr="00850215">
        <w:trPr>
          <w:jc w:val="center"/>
        </w:trPr>
        <w:tc>
          <w:tcPr>
            <w:tcW w:w="9637" w:type="dxa"/>
            <w:tcBorders>
              <w:top w:val="nil"/>
              <w:bottom w:val="nil"/>
            </w:tcBorders>
            <w:shd w:val="clear" w:color="auto" w:fill="auto"/>
          </w:tcPr>
          <w:p w:rsidR="00447531" w:rsidRPr="00447531" w:rsidRDefault="00447531" w:rsidP="00B5429B">
            <w:pPr>
              <w:pStyle w:val="SingleTxtGR"/>
            </w:pPr>
            <w:r>
              <w:tab/>
            </w:r>
            <w:proofErr w:type="gramStart"/>
            <w:r w:rsidRPr="00447531">
              <w:t>На своей два</w:t>
            </w:r>
            <w:r>
              <w:t>дцать второй сессии (Женева, 25–</w:t>
            </w:r>
            <w:r w:rsidRPr="00447531">
              <w:t>27 января 2017 года) Ком</w:t>
            </w:r>
            <w:r w:rsidRPr="00447531">
              <w:t>и</w:t>
            </w:r>
            <w:r w:rsidRPr="00447531">
              <w:t>тет по экологической политике Европейской экономической комиссии Орган</w:t>
            </w:r>
            <w:r w:rsidRPr="00447531">
              <w:t>и</w:t>
            </w:r>
            <w:r w:rsidRPr="00447531">
              <w:t>зации Объединенных Наций</w:t>
            </w:r>
            <w:r>
              <w:t xml:space="preserve"> </w:t>
            </w:r>
            <w:r w:rsidRPr="00447531">
              <w:t>решил провести обследование по вопроснику, с</w:t>
            </w:r>
            <w:r w:rsidRPr="00447531">
              <w:t>о</w:t>
            </w:r>
            <w:r w:rsidRPr="00447531">
              <w:t xml:space="preserve">держащемуся в документе </w:t>
            </w:r>
            <w:proofErr w:type="spellStart"/>
            <w:r w:rsidRPr="00447531">
              <w:t>ECE</w:t>
            </w:r>
            <w:proofErr w:type="spellEnd"/>
            <w:r w:rsidRPr="00447531">
              <w:t>/</w:t>
            </w:r>
            <w:proofErr w:type="spellStart"/>
            <w:r w:rsidRPr="00447531">
              <w:t>CEP</w:t>
            </w:r>
            <w:proofErr w:type="spellEnd"/>
            <w:r w:rsidRPr="00447531">
              <w:t>/2017/L.3, для оценки уроков, и</w:t>
            </w:r>
            <w:r w:rsidRPr="00447531">
              <w:t>з</w:t>
            </w:r>
            <w:r w:rsidRPr="00447531">
              <w:t>влеченных из процесса подготовки, организации и проведения восьмой Конференции м</w:t>
            </w:r>
            <w:r w:rsidRPr="00447531">
              <w:t>и</w:t>
            </w:r>
            <w:r w:rsidRPr="00447531">
              <w:t>нистров «Окружающая среда</w:t>
            </w:r>
            <w:r>
              <w:t xml:space="preserve"> для Европы» (Батуми, Грузия, 8–</w:t>
            </w:r>
            <w:r w:rsidRPr="00447531">
              <w:t>10 июня 2017 г</w:t>
            </w:r>
            <w:r w:rsidRPr="00447531">
              <w:t>о</w:t>
            </w:r>
            <w:r w:rsidRPr="00447531">
              <w:t>да), с целью улучшения подготовки</w:t>
            </w:r>
            <w:proofErr w:type="gramEnd"/>
            <w:r w:rsidRPr="00447531">
              <w:t xml:space="preserve"> следующей конференции. В этой связи К</w:t>
            </w:r>
            <w:r w:rsidRPr="00447531">
              <w:t>о</w:t>
            </w:r>
            <w:r w:rsidRPr="00447531">
              <w:t>митет просил секретариат начать обследование в феврале 2017 года, определив предельный срок представления ответов равным одному м</w:t>
            </w:r>
            <w:r w:rsidRPr="00447531">
              <w:t>е</w:t>
            </w:r>
            <w:r w:rsidRPr="00447531">
              <w:t>сяцу, и подготовить анализ полученных ответов для рассмотрения Комитетом на его следующей сессии (</w:t>
            </w:r>
            <w:proofErr w:type="spellStart"/>
            <w:r w:rsidRPr="00447531">
              <w:t>ECE</w:t>
            </w:r>
            <w:proofErr w:type="spellEnd"/>
            <w:r w:rsidRPr="00447531">
              <w:t>/</w:t>
            </w:r>
            <w:proofErr w:type="spellStart"/>
            <w:r w:rsidRPr="00447531">
              <w:t>CEP</w:t>
            </w:r>
            <w:proofErr w:type="spellEnd"/>
            <w:r w:rsidRPr="00447531">
              <w:t>/2017/2, подпункт e</w:t>
            </w:r>
            <w:r w:rsidR="000B594D">
              <w:t>)</w:t>
            </w:r>
            <w:r w:rsidRPr="00447531">
              <w:t xml:space="preserve"> пункта 28).</w:t>
            </w:r>
          </w:p>
        </w:tc>
      </w:tr>
      <w:tr w:rsidR="00447531" w:rsidRPr="00447531" w:rsidTr="00850215">
        <w:trPr>
          <w:jc w:val="center"/>
        </w:trPr>
        <w:tc>
          <w:tcPr>
            <w:tcW w:w="9637" w:type="dxa"/>
            <w:tcBorders>
              <w:top w:val="nil"/>
              <w:bottom w:val="nil"/>
            </w:tcBorders>
            <w:shd w:val="clear" w:color="auto" w:fill="auto"/>
          </w:tcPr>
          <w:p w:rsidR="00447531" w:rsidRDefault="00447531" w:rsidP="00B5429B">
            <w:pPr>
              <w:pStyle w:val="SingleTxtGR"/>
            </w:pPr>
            <w:r>
              <w:tab/>
            </w:r>
            <w:r w:rsidRPr="00447531">
              <w:t>В связи с этой просьбой в настоящем документе представлен анализ, проведенный на основе полученных ответов. В частности, информация, с</w:t>
            </w:r>
            <w:r w:rsidRPr="00447531">
              <w:t>о</w:t>
            </w:r>
            <w:r w:rsidRPr="00447531">
              <w:t>бранная в ходе обследования, поможет в процессе подготовки следующей ко</w:t>
            </w:r>
            <w:r w:rsidRPr="00447531">
              <w:t>н</w:t>
            </w:r>
            <w:r w:rsidRPr="00447531">
              <w:t>ференции, который начнется после проведения среднесрочного обзора осно</w:t>
            </w:r>
            <w:r w:rsidRPr="00447531">
              <w:t>в</w:t>
            </w:r>
            <w:r w:rsidRPr="00447531">
              <w:t>ных итогов Батумской конференции.</w:t>
            </w:r>
          </w:p>
        </w:tc>
      </w:tr>
      <w:tr w:rsidR="00447531" w:rsidRPr="00447531" w:rsidTr="00850215">
        <w:trPr>
          <w:jc w:val="center"/>
        </w:trPr>
        <w:tc>
          <w:tcPr>
            <w:tcW w:w="9637" w:type="dxa"/>
            <w:tcBorders>
              <w:top w:val="nil"/>
              <w:bottom w:val="nil"/>
            </w:tcBorders>
            <w:shd w:val="clear" w:color="auto" w:fill="auto"/>
          </w:tcPr>
          <w:p w:rsidR="00447531" w:rsidRDefault="00447531" w:rsidP="00B5429B">
            <w:pPr>
              <w:pStyle w:val="SingleTxtGR"/>
            </w:pPr>
            <w:r>
              <w:tab/>
            </w:r>
            <w:r w:rsidRPr="00447531">
              <w:t>Комитету предлагается рассмотреть результаты проведения обследов</w:t>
            </w:r>
            <w:r w:rsidRPr="00447531">
              <w:t>а</w:t>
            </w:r>
            <w:r w:rsidRPr="00447531">
              <w:t>ния по теме Батумской конференции.</w:t>
            </w:r>
          </w:p>
        </w:tc>
      </w:tr>
      <w:tr w:rsidR="00447531" w:rsidRPr="00447531" w:rsidTr="00850215">
        <w:trPr>
          <w:jc w:val="center"/>
        </w:trPr>
        <w:tc>
          <w:tcPr>
            <w:tcW w:w="9637" w:type="dxa"/>
            <w:tcBorders>
              <w:top w:val="nil"/>
            </w:tcBorders>
          </w:tcPr>
          <w:p w:rsidR="00447531" w:rsidRPr="00447531" w:rsidRDefault="00447531" w:rsidP="00850215">
            <w:pPr>
              <w:rPr>
                <w:rFonts w:cs="Times New Roman"/>
              </w:rPr>
            </w:pPr>
          </w:p>
        </w:tc>
      </w:tr>
    </w:tbl>
    <w:p w:rsidR="00447531" w:rsidRDefault="00447531" w:rsidP="00447531">
      <w:pPr>
        <w:rPr>
          <w:lang w:eastAsia="ru-RU"/>
        </w:rPr>
      </w:pPr>
    </w:p>
    <w:p w:rsidR="00447531" w:rsidRPr="00447531" w:rsidRDefault="00447531" w:rsidP="00447531">
      <w:pPr>
        <w:pStyle w:val="HChGR"/>
      </w:pPr>
      <w:r w:rsidRPr="00447531">
        <w:lastRenderedPageBreak/>
        <w:tab/>
        <w:t>I.</w:t>
      </w:r>
      <w:r w:rsidRPr="00447531">
        <w:tab/>
        <w:t>Введение</w:t>
      </w:r>
    </w:p>
    <w:p w:rsidR="00447531" w:rsidRPr="00447531" w:rsidRDefault="00447531" w:rsidP="00447531">
      <w:pPr>
        <w:pStyle w:val="SingleTxtGR"/>
      </w:pPr>
      <w:r w:rsidRPr="00447531">
        <w:t>1.</w:t>
      </w:r>
      <w:r w:rsidRPr="00447531">
        <w:tab/>
      </w:r>
      <w:proofErr w:type="gramStart"/>
      <w:r w:rsidRPr="00447531">
        <w:t>На своей два</w:t>
      </w:r>
      <w:r>
        <w:t>дцать второй сессии (Женева, 25–</w:t>
      </w:r>
      <w:r w:rsidRPr="00447531">
        <w:t>27 января 2017 года) Ком</w:t>
      </w:r>
      <w:r w:rsidRPr="00447531">
        <w:t>и</w:t>
      </w:r>
      <w:r w:rsidRPr="00447531">
        <w:t>тет по экологической политике Европейской экономической комиссии Орган</w:t>
      </w:r>
      <w:r w:rsidRPr="00447531">
        <w:t>и</w:t>
      </w:r>
      <w:r w:rsidRPr="00447531">
        <w:t>зации Объединенных Наций решил провести обследование по вопроснику, с</w:t>
      </w:r>
      <w:r w:rsidRPr="00447531">
        <w:t>о</w:t>
      </w:r>
      <w:r w:rsidRPr="00447531">
        <w:t xml:space="preserve">держащемуся в документе </w:t>
      </w:r>
      <w:proofErr w:type="spellStart"/>
      <w:r w:rsidRPr="00447531">
        <w:t>ECE</w:t>
      </w:r>
      <w:proofErr w:type="spellEnd"/>
      <w:r w:rsidRPr="00447531">
        <w:t>/</w:t>
      </w:r>
      <w:proofErr w:type="spellStart"/>
      <w:r w:rsidRPr="00447531">
        <w:t>CEP</w:t>
      </w:r>
      <w:proofErr w:type="spellEnd"/>
      <w:r w:rsidRPr="00447531">
        <w:t>/2017/L.3, для оценки уроков, извлеченных из процесса подготовки, организации и проведения восьмой Конференции м</w:t>
      </w:r>
      <w:r w:rsidRPr="00447531">
        <w:t>и</w:t>
      </w:r>
      <w:r w:rsidRPr="00447531">
        <w:t>нистров «Окружающая среда для Европы» (Батуми, Грузия, 8</w:t>
      </w:r>
      <w:r>
        <w:t>–</w:t>
      </w:r>
      <w:r w:rsidRPr="00447531">
        <w:t>10 июня 2017 г</w:t>
      </w:r>
      <w:r w:rsidRPr="00447531">
        <w:t>о</w:t>
      </w:r>
      <w:r w:rsidRPr="00447531">
        <w:t>да), с целью улучшения подготовки</w:t>
      </w:r>
      <w:proofErr w:type="gramEnd"/>
      <w:r w:rsidRPr="00447531">
        <w:t xml:space="preserve"> следующей конференции. В этой связи К</w:t>
      </w:r>
      <w:r w:rsidRPr="00447531">
        <w:t>о</w:t>
      </w:r>
      <w:r w:rsidRPr="00447531">
        <w:t>митет просил секретариат начать обследование в феврале 2017 года, определив предельный срок представления ответов равным одному месяцу, и подготовить анализ полученных ответов для рассмотрения Комитетом на его следующей сессии (</w:t>
      </w:r>
      <w:proofErr w:type="spellStart"/>
      <w:r w:rsidRPr="00447531">
        <w:t>ECE</w:t>
      </w:r>
      <w:proofErr w:type="spellEnd"/>
      <w:r w:rsidRPr="00447531">
        <w:t>/</w:t>
      </w:r>
      <w:proofErr w:type="spellStart"/>
      <w:r w:rsidRPr="00447531">
        <w:t>CEP</w:t>
      </w:r>
      <w:proofErr w:type="spellEnd"/>
      <w:r w:rsidRPr="00447531">
        <w:t>/2017/2, подпункт e</w:t>
      </w:r>
      <w:r w:rsidR="009A571A">
        <w:t>)</w:t>
      </w:r>
      <w:r w:rsidRPr="00447531">
        <w:t xml:space="preserve"> пункта 28).</w:t>
      </w:r>
    </w:p>
    <w:p w:rsidR="00447531" w:rsidRPr="00447531" w:rsidRDefault="00447531" w:rsidP="00447531">
      <w:pPr>
        <w:pStyle w:val="SingleTxtGR"/>
      </w:pPr>
      <w:r w:rsidRPr="00447531">
        <w:t>2.</w:t>
      </w:r>
      <w:r w:rsidRPr="00447531">
        <w:tab/>
        <w:t>В связи с этой просьбой в настоящем документе представлен анализ, проведенный на основе полученных ответов. В частности, информация, с</w:t>
      </w:r>
      <w:r w:rsidRPr="00447531">
        <w:t>о</w:t>
      </w:r>
      <w:r w:rsidRPr="00447531">
        <w:t>бранная в ходе обследования, поможет в процессе подготовки следующей ко</w:t>
      </w:r>
      <w:r w:rsidRPr="00447531">
        <w:t>н</w:t>
      </w:r>
      <w:r w:rsidRPr="00447531">
        <w:t>ференции, который начнется после проведения среднесрочного обзора осно</w:t>
      </w:r>
      <w:r w:rsidRPr="00447531">
        <w:t>в</w:t>
      </w:r>
      <w:r w:rsidRPr="00447531">
        <w:t>ных итогов Батумской конференции.</w:t>
      </w:r>
    </w:p>
    <w:p w:rsidR="00447531" w:rsidRPr="00447531" w:rsidRDefault="00447531" w:rsidP="00447531">
      <w:pPr>
        <w:pStyle w:val="SingleTxtGR"/>
      </w:pPr>
      <w:r w:rsidRPr="00447531">
        <w:t>3.</w:t>
      </w:r>
      <w:r w:rsidRPr="00447531">
        <w:tab/>
        <w:t>На вопросник было получено незначительное число ответов: в общей сложности было получено 17 ответов от 16 государств-членов, т</w:t>
      </w:r>
      <w:r>
        <w:t>.е.</w:t>
      </w:r>
      <w:r w:rsidRPr="00447531">
        <w:t xml:space="preserve"> от 29% всех государств – членов </w:t>
      </w:r>
      <w:proofErr w:type="spellStart"/>
      <w:r w:rsidRPr="00447531">
        <w:t>ЕЭК</w:t>
      </w:r>
      <w:proofErr w:type="spellEnd"/>
      <w:r w:rsidRPr="00447531">
        <w:t xml:space="preserve"> и 36% государств-членов, направивших правител</w:t>
      </w:r>
      <w:r w:rsidRPr="00447531">
        <w:t>ь</w:t>
      </w:r>
      <w:r w:rsidRPr="00447531">
        <w:t xml:space="preserve">ственные делегации на Конференцию министров в Батуми. </w:t>
      </w:r>
      <w:proofErr w:type="gramStart"/>
      <w:r w:rsidRPr="00447531">
        <w:t>Несмотря на то, что число ответов не достигло оптимального, полученных данных достаточно для того, чтобы сделать определенные выводы с приемлемой степенью уверенн</w:t>
      </w:r>
      <w:r w:rsidRPr="00447531">
        <w:t>о</w:t>
      </w:r>
      <w:r w:rsidRPr="00447531">
        <w:t>сти.</w:t>
      </w:r>
      <w:proofErr w:type="gramEnd"/>
    </w:p>
    <w:p w:rsidR="00447531" w:rsidRPr="00447531" w:rsidRDefault="00447531" w:rsidP="00447531">
      <w:pPr>
        <w:pStyle w:val="SingleTxtGR"/>
      </w:pPr>
      <w:r w:rsidRPr="00447531">
        <w:t>4.</w:t>
      </w:r>
      <w:r w:rsidRPr="00447531">
        <w:tab/>
        <w:t>Комитету предлагается рассмотреть результаты проведения обследования по теме Батумской конференции.</w:t>
      </w:r>
    </w:p>
    <w:p w:rsidR="00447531" w:rsidRPr="00447531" w:rsidRDefault="00447531" w:rsidP="00447531">
      <w:pPr>
        <w:pStyle w:val="HChGR"/>
      </w:pPr>
      <w:r w:rsidRPr="00447531">
        <w:tab/>
      </w:r>
      <w:proofErr w:type="spellStart"/>
      <w:r w:rsidRPr="00447531">
        <w:t>II</w:t>
      </w:r>
      <w:proofErr w:type="spellEnd"/>
      <w:r w:rsidRPr="00447531">
        <w:t>.</w:t>
      </w:r>
      <w:r w:rsidRPr="00447531">
        <w:tab/>
        <w:t>Обзор восьмой Конференции министров «Окружающая среда для Европы»</w:t>
      </w:r>
    </w:p>
    <w:p w:rsidR="00447531" w:rsidRPr="00447531" w:rsidRDefault="00447531" w:rsidP="00447531">
      <w:pPr>
        <w:pStyle w:val="SingleTxtGR"/>
      </w:pPr>
      <w:r w:rsidRPr="00447531">
        <w:t>5.</w:t>
      </w:r>
      <w:r w:rsidRPr="00447531">
        <w:tab/>
        <w:t>Восьмая Конференция министров «Окружающая среда для Европы» с</w:t>
      </w:r>
      <w:r w:rsidRPr="00447531">
        <w:t>о</w:t>
      </w:r>
      <w:r w:rsidRPr="00447531">
        <w:t>стоялась в Батуми, Грузия, в июне 2016 года. В Батумской конференции прин</w:t>
      </w:r>
      <w:r w:rsidRPr="00447531">
        <w:t>я</w:t>
      </w:r>
      <w:r w:rsidRPr="00447531">
        <w:t xml:space="preserve">ли участие более 630 официальных делегатов от правительств 44 стран </w:t>
      </w:r>
      <w:proofErr w:type="spellStart"/>
      <w:r w:rsidRPr="00447531">
        <w:t>ЕЭК</w:t>
      </w:r>
      <w:proofErr w:type="spellEnd"/>
      <w:r w:rsidRPr="00447531">
        <w:t xml:space="preserve">, международного сообщества, гражданского общества, деловых кругов и средств массовой информации из всего региона </w:t>
      </w:r>
      <w:proofErr w:type="spellStart"/>
      <w:r w:rsidRPr="00447531">
        <w:t>ЕЭК</w:t>
      </w:r>
      <w:proofErr w:type="spellEnd"/>
      <w:r w:rsidRPr="00447531">
        <w:t>. Было зарегистрировано в общей сложности более 700 участников, включая тех, кто участвовал только в параллельных мероприятиях и выставках.</w:t>
      </w:r>
    </w:p>
    <w:p w:rsidR="00447531" w:rsidRPr="00447531" w:rsidRDefault="00447531" w:rsidP="009A571A">
      <w:pPr>
        <w:pStyle w:val="SingleTxtGR"/>
      </w:pPr>
      <w:r w:rsidRPr="00447531">
        <w:t>6.</w:t>
      </w:r>
      <w:r w:rsidRPr="00447531">
        <w:tab/>
        <w:t xml:space="preserve">Двумя основными темами Конференции стали </w:t>
      </w:r>
      <w:proofErr w:type="spellStart"/>
      <w:r w:rsidRPr="00447531">
        <w:t>экологизация</w:t>
      </w:r>
      <w:proofErr w:type="spellEnd"/>
      <w:r w:rsidRPr="00447531">
        <w:t xml:space="preserve"> экономики в Панъевропейском регионе и повышение качества воздуха в интересах улучш</w:t>
      </w:r>
      <w:r w:rsidRPr="00447531">
        <w:t>е</w:t>
      </w:r>
      <w:r w:rsidRPr="00447531">
        <w:t>ния состояния окружающей среды и здоровья человека. Кроме того, в ходе се</w:t>
      </w:r>
      <w:r w:rsidRPr="00447531">
        <w:t>г</w:t>
      </w:r>
      <w:r w:rsidRPr="00447531">
        <w:t>мента, посвященного образованию в интересах устойчивого развития, участн</w:t>
      </w:r>
      <w:r w:rsidRPr="00447531">
        <w:t>и</w:t>
      </w:r>
      <w:r w:rsidRPr="00447531">
        <w:t xml:space="preserve">ки оценили прогресс, достигнутый в течение </w:t>
      </w:r>
      <w:r w:rsidR="009A571A">
        <w:t>10</w:t>
      </w:r>
      <w:r w:rsidRPr="00447531">
        <w:t xml:space="preserve"> лет осуществления Стратегии </w:t>
      </w:r>
      <w:proofErr w:type="spellStart"/>
      <w:r w:rsidRPr="00447531">
        <w:t>ЕЭК</w:t>
      </w:r>
      <w:proofErr w:type="spellEnd"/>
      <w:r w:rsidRPr="00447531">
        <w:t xml:space="preserve"> для образования в интересах устойчивого развития, и определили б</w:t>
      </w:r>
      <w:r w:rsidRPr="00447531">
        <w:t>у</w:t>
      </w:r>
      <w:r w:rsidRPr="00447531">
        <w:t>дущие приоритеты и рамки по осуществлению Стратегии.</w:t>
      </w:r>
    </w:p>
    <w:p w:rsidR="00447531" w:rsidRPr="00447531" w:rsidRDefault="00447531" w:rsidP="00447531">
      <w:pPr>
        <w:pStyle w:val="SingleTxtGR"/>
      </w:pPr>
      <w:r w:rsidRPr="00447531">
        <w:t>7.</w:t>
      </w:r>
      <w:r w:rsidRPr="00447531">
        <w:tab/>
      </w:r>
      <w:proofErr w:type="gramStart"/>
      <w:r w:rsidRPr="00447531">
        <w:t>В первый день конференции делегаты работали над продвижением экол</w:t>
      </w:r>
      <w:r w:rsidRPr="00447531">
        <w:t>о</w:t>
      </w:r>
      <w:r w:rsidRPr="00447531">
        <w:t>гического измерения Повестки дня в области устойчивого развития на период до 2030 года, рассматривая вопрос о том, каким образом многосторонние пр</w:t>
      </w:r>
      <w:r w:rsidRPr="00447531">
        <w:t>и</w:t>
      </w:r>
      <w:r w:rsidRPr="00447531">
        <w:t xml:space="preserve">родоохранные соглашения </w:t>
      </w:r>
      <w:proofErr w:type="spellStart"/>
      <w:r w:rsidRPr="00447531">
        <w:t>ЕЭК</w:t>
      </w:r>
      <w:proofErr w:type="spellEnd"/>
      <w:r w:rsidRPr="00447531">
        <w:t>, ее политика и институты содействуют ос</w:t>
      </w:r>
      <w:r w:rsidRPr="00447531">
        <w:t>у</w:t>
      </w:r>
      <w:r w:rsidRPr="00447531">
        <w:t>ществлению Повестки дня на период до 2030 года, и оценивая прогресс в ра</w:t>
      </w:r>
      <w:r w:rsidRPr="00447531">
        <w:t>з</w:t>
      </w:r>
      <w:r w:rsidRPr="00447531">
        <w:t>работке общих систем экологической информации для контроля за состоянием окружающей среды в</w:t>
      </w:r>
      <w:proofErr w:type="gramEnd"/>
      <w:r w:rsidRPr="00447531">
        <w:t xml:space="preserve"> Панъевропейском </w:t>
      </w:r>
      <w:proofErr w:type="gramStart"/>
      <w:r w:rsidRPr="00447531">
        <w:t>регионе</w:t>
      </w:r>
      <w:proofErr w:type="gramEnd"/>
      <w:r w:rsidRPr="00447531">
        <w:t>.</w:t>
      </w:r>
    </w:p>
    <w:p w:rsidR="00447531" w:rsidRPr="00447531" w:rsidRDefault="00447531" w:rsidP="00447531">
      <w:pPr>
        <w:pStyle w:val="SingleTxtGR"/>
      </w:pPr>
      <w:r w:rsidRPr="00447531">
        <w:t>8.</w:t>
      </w:r>
      <w:r w:rsidRPr="00447531">
        <w:tab/>
        <w:t xml:space="preserve">К числу основных итогов Конференции относятся: Батумская декларация министров; Панъевропейские стратегические рамки </w:t>
      </w:r>
      <w:proofErr w:type="spellStart"/>
      <w:r w:rsidRPr="00447531">
        <w:t>экологизации</w:t>
      </w:r>
      <w:proofErr w:type="spellEnd"/>
      <w:r w:rsidRPr="00447531">
        <w:t xml:space="preserve"> экономики (Стратегические рамки) и ее Батумская инициатива по «зеленой» экономике </w:t>
      </w:r>
      <w:r w:rsidRPr="00447531">
        <w:lastRenderedPageBreak/>
        <w:t>(</w:t>
      </w:r>
      <w:proofErr w:type="spellStart"/>
      <w:r w:rsidRPr="00447531">
        <w:t>БИЗ</w:t>
      </w:r>
      <w:proofErr w:type="spellEnd"/>
      <w:r w:rsidRPr="00447531">
        <w:t>-Э); Батумская инициатива по борьбе за чистый воздух (БАКА); и Бату</w:t>
      </w:r>
      <w:r w:rsidRPr="00447531">
        <w:t>м</w:t>
      </w:r>
      <w:r w:rsidRPr="00447531">
        <w:t>ское заявление министров по образованию в интересах устойчивого развития.</w:t>
      </w:r>
    </w:p>
    <w:p w:rsidR="00447531" w:rsidRPr="00447531" w:rsidRDefault="00447531" w:rsidP="00447531">
      <w:pPr>
        <w:pStyle w:val="SingleTxtGR"/>
      </w:pPr>
      <w:r w:rsidRPr="00447531">
        <w:t>9.</w:t>
      </w:r>
      <w:r w:rsidRPr="00447531">
        <w:tab/>
        <w:t>Конференция была организована в интерактивном формате, были пров</w:t>
      </w:r>
      <w:r w:rsidRPr="00447531">
        <w:t>е</w:t>
      </w:r>
      <w:r w:rsidRPr="00447531">
        <w:t>дены интерактивные обсуждения в формате «ток-шоу», четыре круглых стола на высоком уровне с участием широкого круга заинтересованных сторон, а</w:t>
      </w:r>
      <w:r>
        <w:t> </w:t>
      </w:r>
      <w:r w:rsidRPr="00447531">
        <w:t>также обсуждения в тематических группах. Для содействия проводившимся в ходе Конференции обсуждениям с участием широкого круга заинтересованных ст</w:t>
      </w:r>
      <w:r w:rsidRPr="00447531">
        <w:t>о</w:t>
      </w:r>
      <w:r w:rsidRPr="00447531">
        <w:t xml:space="preserve">рон и поддержки процесса принятия решений </w:t>
      </w:r>
      <w:proofErr w:type="spellStart"/>
      <w:r w:rsidRPr="00447531">
        <w:t>ЕЭК</w:t>
      </w:r>
      <w:proofErr w:type="spellEnd"/>
      <w:r w:rsidRPr="00447531">
        <w:t xml:space="preserve"> совместно с Программой Организации Объединенных Наций по окружающей среде и другими партнер</w:t>
      </w:r>
      <w:r w:rsidRPr="00447531">
        <w:t>а</w:t>
      </w:r>
      <w:r w:rsidRPr="00447531">
        <w:t>ми по процессу «Окружающая среда для Европы» подготовила основные док</w:t>
      </w:r>
      <w:r w:rsidRPr="00447531">
        <w:t>у</w:t>
      </w:r>
      <w:r w:rsidRPr="00447531">
        <w:t xml:space="preserve">менты по каждой из двух главных тем. Кроме того, </w:t>
      </w:r>
      <w:proofErr w:type="spellStart"/>
      <w:r w:rsidRPr="00447531">
        <w:t>ЕЭК</w:t>
      </w:r>
      <w:proofErr w:type="spellEnd"/>
      <w:r w:rsidRPr="00447531">
        <w:t xml:space="preserve"> и партнеры по проце</w:t>
      </w:r>
      <w:r w:rsidRPr="00447531">
        <w:t>с</w:t>
      </w:r>
      <w:r w:rsidRPr="00447531">
        <w:t>су «Окружающая среда для Европы» подготовили ряд полезных информацио</w:t>
      </w:r>
      <w:r w:rsidRPr="00447531">
        <w:t>н</w:t>
      </w:r>
      <w:r w:rsidRPr="00447531">
        <w:t xml:space="preserve">ных документов и подборку из 11 справочных бюллетеней, в которых отражена связь между деятельностью </w:t>
      </w:r>
      <w:proofErr w:type="spellStart"/>
      <w:r w:rsidRPr="00447531">
        <w:t>ЕЭК</w:t>
      </w:r>
      <w:proofErr w:type="spellEnd"/>
      <w:r w:rsidRPr="00447531">
        <w:t xml:space="preserve"> в области окружающей среды и соответств</w:t>
      </w:r>
      <w:r w:rsidRPr="00447531">
        <w:t>у</w:t>
      </w:r>
      <w:r w:rsidRPr="00447531">
        <w:t>ющими целями в области устойчивого развития и их задачами. Батумская ко</w:t>
      </w:r>
      <w:r w:rsidRPr="00447531">
        <w:t>н</w:t>
      </w:r>
      <w:r w:rsidRPr="00447531">
        <w:t>ференция проходила без использования документов на бумаге.</w:t>
      </w:r>
    </w:p>
    <w:p w:rsidR="00447531" w:rsidRPr="00447531" w:rsidRDefault="00447531" w:rsidP="00447531">
      <w:pPr>
        <w:pStyle w:val="SingleTxtGR"/>
      </w:pPr>
      <w:r w:rsidRPr="00447531">
        <w:t>10.</w:t>
      </w:r>
      <w:r w:rsidRPr="00447531">
        <w:tab/>
        <w:t xml:space="preserve">В рамках Конференции </w:t>
      </w:r>
      <w:proofErr w:type="spellStart"/>
      <w:r w:rsidRPr="00447531">
        <w:t>ЕЭК</w:t>
      </w:r>
      <w:proofErr w:type="spellEnd"/>
      <w:r w:rsidRPr="00447531">
        <w:t xml:space="preserve"> и партнеры по процессу «Окружающая среда для Европы» организовали 7 выставок и 33 параллельных мероприятия по в</w:t>
      </w:r>
      <w:r w:rsidRPr="00447531">
        <w:t>о</w:t>
      </w:r>
      <w:r w:rsidRPr="00447531">
        <w:t>просам, связанным с темами Конференции.</w:t>
      </w:r>
    </w:p>
    <w:p w:rsidR="00447531" w:rsidRPr="00447531" w:rsidRDefault="00447531" w:rsidP="00447531">
      <w:pPr>
        <w:pStyle w:val="SingleTxtGR"/>
      </w:pPr>
      <w:r w:rsidRPr="00447531">
        <w:t>11.</w:t>
      </w:r>
      <w:r w:rsidRPr="00447531">
        <w:tab/>
        <w:t xml:space="preserve">За подготовку Конференции отвечал Комитет по экологической политике </w:t>
      </w:r>
      <w:proofErr w:type="spellStart"/>
      <w:r w:rsidRPr="00447531">
        <w:t>ЕЭК</w:t>
      </w:r>
      <w:proofErr w:type="spellEnd"/>
      <w:r w:rsidRPr="00447531">
        <w:t xml:space="preserve">. Поддержку Комитету в его работе оказывал секретариат </w:t>
      </w:r>
      <w:proofErr w:type="spellStart"/>
      <w:r w:rsidRPr="00447531">
        <w:t>ЕЭК</w:t>
      </w:r>
      <w:proofErr w:type="spellEnd"/>
      <w:r w:rsidRPr="00447531">
        <w:t xml:space="preserve"> в сотрудн</w:t>
      </w:r>
      <w:r w:rsidRPr="00447531">
        <w:t>и</w:t>
      </w:r>
      <w:r w:rsidRPr="00447531">
        <w:t>честве с партнерами по процессу «Окружающая среда для Европы». Прав</w:t>
      </w:r>
      <w:r w:rsidRPr="00447531">
        <w:t>и</w:t>
      </w:r>
      <w:r w:rsidRPr="00447531">
        <w:t>тельство Грузии содействовало подготовке, организации и проведению Конф</w:t>
      </w:r>
      <w:r w:rsidRPr="00447531">
        <w:t>е</w:t>
      </w:r>
      <w:r w:rsidRPr="00447531">
        <w:t>ренции в соответствии с решениями, принятыми Комитетом. Подготовительный процесс и сама Конференция были организованы в соответствии с положени</w:t>
      </w:r>
      <w:r w:rsidRPr="00447531">
        <w:t>я</w:t>
      </w:r>
      <w:r w:rsidRPr="00447531">
        <w:t>ми плана реформы процесса «Окружающая среда для Европы», принятого в 2009 году (</w:t>
      </w:r>
      <w:proofErr w:type="spellStart"/>
      <w:r w:rsidRPr="00447531">
        <w:t>ECE</w:t>
      </w:r>
      <w:proofErr w:type="spellEnd"/>
      <w:r w:rsidRPr="00447531">
        <w:t>/</w:t>
      </w:r>
      <w:proofErr w:type="spellStart"/>
      <w:r w:rsidRPr="00447531">
        <w:t>CEP</w:t>
      </w:r>
      <w:proofErr w:type="spellEnd"/>
      <w:r w:rsidRPr="00447531">
        <w:t>/S/152 и Corr.1, приложение I), и в соответствии с процед</w:t>
      </w:r>
      <w:r w:rsidRPr="00447531">
        <w:t>у</w:t>
      </w:r>
      <w:r w:rsidRPr="00447531">
        <w:t>рами для Конференции министров в Батуми, принятыми Комитетом в 2014 году (</w:t>
      </w:r>
      <w:proofErr w:type="spellStart"/>
      <w:r w:rsidRPr="00447531">
        <w:t>ECE</w:t>
      </w:r>
      <w:proofErr w:type="spellEnd"/>
      <w:r w:rsidRPr="00447531">
        <w:t>/</w:t>
      </w:r>
      <w:proofErr w:type="spellStart"/>
      <w:r w:rsidRPr="00447531">
        <w:t>CEP</w:t>
      </w:r>
      <w:proofErr w:type="spellEnd"/>
      <w:r w:rsidRPr="00447531">
        <w:t>/2014/15)</w:t>
      </w:r>
      <w:r w:rsidRPr="00447531">
        <w:rPr>
          <w:rStyle w:val="aa"/>
        </w:rPr>
        <w:footnoteReference w:id="2"/>
      </w:r>
      <w:r w:rsidRPr="00447531">
        <w:t>.</w:t>
      </w:r>
    </w:p>
    <w:p w:rsidR="00447531" w:rsidRPr="00447531" w:rsidRDefault="00447531" w:rsidP="00447531">
      <w:pPr>
        <w:pStyle w:val="SingleTxtGR"/>
      </w:pPr>
      <w:r w:rsidRPr="00447531">
        <w:t>12.</w:t>
      </w:r>
      <w:r w:rsidRPr="00447531">
        <w:tab/>
        <w:t>Процесс подготовки Батумской конференции начался в 2014 году и вкл</w:t>
      </w:r>
      <w:r w:rsidRPr="00447531">
        <w:t>ю</w:t>
      </w:r>
      <w:r w:rsidRPr="00447531">
        <w:t>чал две очередные сессии (в 2014 и 2015 год</w:t>
      </w:r>
      <w:r>
        <w:t>ах) и две специальные сессии (в </w:t>
      </w:r>
      <w:r w:rsidRPr="00447531">
        <w:t>2016 году) Комитета; два отдельных совещани</w:t>
      </w:r>
      <w:r>
        <w:t>я Президиума (в 2014 и </w:t>
      </w:r>
      <w:r w:rsidRPr="00447531">
        <w:t>2015</w:t>
      </w:r>
      <w:r>
        <w:t> </w:t>
      </w:r>
      <w:r w:rsidRPr="00447531">
        <w:t>годах) и четыре совещания, приуроченные к сессиям Комитета</w:t>
      </w:r>
      <w:r>
        <w:br/>
      </w:r>
      <w:r w:rsidRPr="00447531">
        <w:t xml:space="preserve">(2014–2016 годы); деятельность Группы экспертов по «зеленой» экономике в виртуальном режиме и на одном совещании группы в </w:t>
      </w:r>
      <w:proofErr w:type="spellStart"/>
      <w:r w:rsidRPr="00447531">
        <w:t>Глионе</w:t>
      </w:r>
      <w:proofErr w:type="spellEnd"/>
      <w:r w:rsidRPr="00447531">
        <w:t>, Швейцария (в</w:t>
      </w:r>
      <w:r>
        <w:t> </w:t>
      </w:r>
      <w:r w:rsidRPr="00447531">
        <w:t>2016 году).</w:t>
      </w:r>
    </w:p>
    <w:p w:rsidR="00447531" w:rsidRPr="00447531" w:rsidRDefault="00447531" w:rsidP="00447531">
      <w:pPr>
        <w:pStyle w:val="HChGR"/>
      </w:pPr>
      <w:r w:rsidRPr="00447531">
        <w:tab/>
      </w:r>
      <w:proofErr w:type="spellStart"/>
      <w:r w:rsidRPr="00447531">
        <w:t>III</w:t>
      </w:r>
      <w:proofErr w:type="spellEnd"/>
      <w:r w:rsidRPr="00447531">
        <w:t>.</w:t>
      </w:r>
      <w:r w:rsidRPr="00447531">
        <w:tab/>
        <w:t xml:space="preserve">Проведение обследования для оценки процесса подготовки, организации и проведения восьмой Конференции </w:t>
      </w:r>
      <w:r>
        <w:t>министров «Окружающая среда для </w:t>
      </w:r>
      <w:r w:rsidRPr="00447531">
        <w:t>Европы»</w:t>
      </w:r>
    </w:p>
    <w:p w:rsidR="00447531" w:rsidRPr="00447531" w:rsidRDefault="00447531" w:rsidP="009A571A">
      <w:pPr>
        <w:pStyle w:val="SingleTxtGR"/>
      </w:pPr>
      <w:r w:rsidRPr="00447531">
        <w:t>13.</w:t>
      </w:r>
      <w:r w:rsidRPr="00447531">
        <w:tab/>
        <w:t>После Конференции секретариат получил от нескольких делегаций ус</w:t>
      </w:r>
      <w:r w:rsidRPr="00447531">
        <w:t>т</w:t>
      </w:r>
      <w:r w:rsidRPr="00447531">
        <w:t>ные и письменные отклики, в которых была дана высокая оценка успешной о</w:t>
      </w:r>
      <w:r w:rsidRPr="00447531">
        <w:t>р</w:t>
      </w:r>
      <w:r w:rsidRPr="00447531">
        <w:t>ганизации Конференции. В этой связи Комитету поступило предложение пров</w:t>
      </w:r>
      <w:r w:rsidRPr="00447531">
        <w:t>е</w:t>
      </w:r>
      <w:r w:rsidRPr="00447531">
        <w:t>сти обследование, чтобы дать возможность всем странам и организациям, кот</w:t>
      </w:r>
      <w:r w:rsidRPr="00447531">
        <w:t>о</w:t>
      </w:r>
      <w:r w:rsidRPr="00447531">
        <w:t>рые принимали участие в подготовке Конференции и в ее работе, сообщить свое мнение об организации и проведении этого мероприятия. Помимо этого</w:t>
      </w:r>
      <w:r w:rsidR="009A571A">
        <w:t>,</w:t>
      </w:r>
      <w:r w:rsidRPr="00447531">
        <w:t xml:space="preserve"> в</w:t>
      </w:r>
      <w:r w:rsidR="009A571A">
        <w:t> </w:t>
      </w:r>
      <w:r w:rsidRPr="00447531">
        <w:t>вопроснике содержались вопросы, в ответах на которые предлагалось изл</w:t>
      </w:r>
      <w:r w:rsidRPr="00447531">
        <w:t>о</w:t>
      </w:r>
      <w:r w:rsidRPr="00447531">
        <w:t>жить любые другие соображения или предложения о путях дальнейшего с</w:t>
      </w:r>
      <w:r w:rsidRPr="00447531">
        <w:t>о</w:t>
      </w:r>
      <w:r w:rsidRPr="00447531">
        <w:t>вершенствования организации конференций. Кроме того, данный вопросник использовался для сбора предварительных предложений по темам, которые б</w:t>
      </w:r>
      <w:r w:rsidRPr="00447531">
        <w:t>у</w:t>
      </w:r>
      <w:r w:rsidRPr="00447531">
        <w:t>дут ра</w:t>
      </w:r>
      <w:r w:rsidRPr="00447531">
        <w:t>с</w:t>
      </w:r>
      <w:r w:rsidRPr="00447531">
        <w:t xml:space="preserve">сматриваться на следующей конференции. Вопросник был подробным и </w:t>
      </w:r>
      <w:r w:rsidRPr="00447531">
        <w:lastRenderedPageBreak/>
        <w:t xml:space="preserve">представлял собой перспективный обзор для оценки организации Батумской </w:t>
      </w:r>
      <w:proofErr w:type="gramStart"/>
      <w:r w:rsidRPr="00447531">
        <w:t>конференции</w:t>
      </w:r>
      <w:proofErr w:type="gramEnd"/>
      <w:r w:rsidRPr="00447531">
        <w:t xml:space="preserve"> с целью улучшения подготовки следующей конференции.</w:t>
      </w:r>
    </w:p>
    <w:p w:rsidR="00447531" w:rsidRPr="00447531" w:rsidRDefault="00447531" w:rsidP="00447531">
      <w:pPr>
        <w:pStyle w:val="SingleTxtGR"/>
      </w:pPr>
      <w:r w:rsidRPr="00447531">
        <w:t>14.</w:t>
      </w:r>
      <w:r w:rsidRPr="00447531">
        <w:tab/>
        <w:t>Его целевая аудитория включала в себя представителей правитель</w:t>
      </w:r>
      <w:proofErr w:type="gramStart"/>
      <w:r w:rsidRPr="00447531">
        <w:t>ств стр</w:t>
      </w:r>
      <w:proofErr w:type="gramEnd"/>
      <w:r w:rsidRPr="00447531">
        <w:t xml:space="preserve">ан региона </w:t>
      </w:r>
      <w:proofErr w:type="spellStart"/>
      <w:r w:rsidRPr="00447531">
        <w:t>ЕЭК</w:t>
      </w:r>
      <w:proofErr w:type="spellEnd"/>
      <w:r w:rsidRPr="00447531">
        <w:t xml:space="preserve">. Кроме того, вопросник был составлен с целью </w:t>
      </w:r>
      <w:proofErr w:type="gramStart"/>
      <w:r w:rsidRPr="00447531">
        <w:t>ознакомит</w:t>
      </w:r>
      <w:r w:rsidRPr="00447531">
        <w:t>ь</w:t>
      </w:r>
      <w:r w:rsidRPr="00447531">
        <w:t>ся</w:t>
      </w:r>
      <w:proofErr w:type="gramEnd"/>
      <w:r w:rsidRPr="00447531">
        <w:t xml:space="preserve"> с мнением наблюдателей при Комитете, которые принимали участие в пр</w:t>
      </w:r>
      <w:r w:rsidRPr="00447531">
        <w:t>о</w:t>
      </w:r>
      <w:r w:rsidRPr="00447531">
        <w:t>цессе подготовки и проведения Конференции. Тем членам Комитета и наблюд</w:t>
      </w:r>
      <w:r w:rsidRPr="00447531">
        <w:t>а</w:t>
      </w:r>
      <w:r w:rsidRPr="00447531">
        <w:t>телям, которые принимали участие в подготовительном процессе, но не смогли присутствовать на Конференции, предлагалось, в соответствующих случаях, представить ответы на вопросник.</w:t>
      </w:r>
    </w:p>
    <w:p w:rsidR="00447531" w:rsidRPr="00447531" w:rsidRDefault="00447531" w:rsidP="00447531">
      <w:pPr>
        <w:pStyle w:val="SingleTxtGR"/>
      </w:pPr>
      <w:r w:rsidRPr="00447531">
        <w:t>15.</w:t>
      </w:r>
      <w:r w:rsidRPr="00447531">
        <w:tab/>
        <w:t>Вопросник содержал разделы, охватывающие содержание Конференции; организацию, формат и работу Конференции; подготовительный процесс; п</w:t>
      </w:r>
      <w:r w:rsidRPr="00447531">
        <w:t>а</w:t>
      </w:r>
      <w:r w:rsidRPr="00447531">
        <w:t>раллельные мероприятия в рамках Конференции; и возможные темы для сл</w:t>
      </w:r>
      <w:r w:rsidRPr="00447531">
        <w:t>е</w:t>
      </w:r>
      <w:r w:rsidRPr="00447531">
        <w:t>дующей конференции.</w:t>
      </w:r>
    </w:p>
    <w:p w:rsidR="00447531" w:rsidRPr="00447531" w:rsidRDefault="00447531" w:rsidP="00447531">
      <w:pPr>
        <w:pStyle w:val="SingleTxtGR"/>
      </w:pPr>
      <w:r w:rsidRPr="00447531">
        <w:t>16.</w:t>
      </w:r>
      <w:r w:rsidRPr="00447531">
        <w:tab/>
        <w:t>Вопросник был утвержден Комитетом на</w:t>
      </w:r>
      <w:r w:rsidR="009A571A">
        <w:t xml:space="preserve"> его двадцать второй сессии. Он </w:t>
      </w:r>
      <w:r w:rsidRPr="00447531">
        <w:t>был распространен среди членов Комитета и наблюдателей по электронной почте 1 марта 2017 года с установлением предельного срока для ответа в один месяц. Вопросник был представлен в формате «</w:t>
      </w:r>
      <w:proofErr w:type="spellStart"/>
      <w:r w:rsidRPr="00447531">
        <w:t>Microsoft</w:t>
      </w:r>
      <w:proofErr w:type="spellEnd"/>
      <w:r w:rsidRPr="00447531">
        <w:t xml:space="preserve"> </w:t>
      </w:r>
      <w:proofErr w:type="spellStart"/>
      <w:r w:rsidRPr="00447531">
        <w:t>Word</w:t>
      </w:r>
      <w:proofErr w:type="spellEnd"/>
      <w:r w:rsidRPr="00447531">
        <w:t>»</w:t>
      </w:r>
      <w:r w:rsidRPr="00447531">
        <w:rPr>
          <w:rStyle w:val="aa"/>
        </w:rPr>
        <w:footnoteReference w:id="3"/>
      </w:r>
      <w:r w:rsidRPr="00447531">
        <w:t xml:space="preserve"> на английском, русском и французском языках, а также в онлайновом варианте на английском языке. Онлайновый вариант был адаптирован, с </w:t>
      </w:r>
      <w:proofErr w:type="gramStart"/>
      <w:r w:rsidRPr="00447531">
        <w:t>тем</w:t>
      </w:r>
      <w:proofErr w:type="gramEnd"/>
      <w:r w:rsidRPr="00447531">
        <w:t xml:space="preserve"> чтобы вопросы уместились на девять веб-страниц.</w:t>
      </w:r>
    </w:p>
    <w:p w:rsidR="00447531" w:rsidRPr="00447531" w:rsidRDefault="00447531" w:rsidP="00447531">
      <w:pPr>
        <w:pStyle w:val="SingleTxtGR"/>
      </w:pPr>
      <w:r w:rsidRPr="00447531">
        <w:t>17.</w:t>
      </w:r>
      <w:r w:rsidRPr="00447531">
        <w:tab/>
        <w:t>Во время совещания Президиума Комитета (Лиссабон, 28−</w:t>
      </w:r>
      <w:r>
        <w:t>29 июня 2017 </w:t>
      </w:r>
      <w:r w:rsidRPr="00447531">
        <w:t xml:space="preserve">года), были получены ответы от следующих стран: Бельгии, Болгарии, Италии, Турции, Хорватии, Чехии, Швейцарии и Швеции. В целях обеспечения </w:t>
      </w:r>
      <w:proofErr w:type="gramStart"/>
      <w:r w:rsidRPr="00447531">
        <w:t>более репрезентативного</w:t>
      </w:r>
      <w:proofErr w:type="gramEnd"/>
      <w:r w:rsidRPr="00447531">
        <w:t xml:space="preserve"> анализа Президиум рекомендовал вновь обратиться к странам и организациям с просьбой ответить на вопросник к концу июля 2017</w:t>
      </w:r>
      <w:r>
        <w:t> </w:t>
      </w:r>
      <w:r w:rsidRPr="00447531">
        <w:t>года.</w:t>
      </w:r>
    </w:p>
    <w:p w:rsidR="00447531" w:rsidRPr="00447531" w:rsidRDefault="00447531" w:rsidP="00447531">
      <w:pPr>
        <w:pStyle w:val="SingleTxtGR"/>
      </w:pPr>
      <w:r w:rsidRPr="00447531">
        <w:t>18.</w:t>
      </w:r>
      <w:r w:rsidRPr="00447531">
        <w:tab/>
        <w:t>К более позднему крайнему сроку было получено в общей сложности 17</w:t>
      </w:r>
      <w:r>
        <w:t> </w:t>
      </w:r>
      <w:r w:rsidRPr="00447531">
        <w:t xml:space="preserve">ответов − все от правительств: </w:t>
      </w:r>
      <w:proofErr w:type="gramStart"/>
      <w:r w:rsidRPr="00447531">
        <w:t>Австрии, Бельгии, Болгарии, Венгрии, Герм</w:t>
      </w:r>
      <w:r w:rsidRPr="00447531">
        <w:t>а</w:t>
      </w:r>
      <w:r w:rsidRPr="00447531">
        <w:t>нии, Грузии, Италии, Польши, Республики Молдовы, Турции (два ответа), Украины, Франции, Хорватии, Чехии, Швейцарии и Швеции.</w:t>
      </w:r>
      <w:proofErr w:type="gramEnd"/>
      <w:r w:rsidRPr="00447531">
        <w:t xml:space="preserve"> Это 29% всех го</w:t>
      </w:r>
      <w:r w:rsidRPr="00447531">
        <w:t>с</w:t>
      </w:r>
      <w:r w:rsidRPr="00447531">
        <w:t xml:space="preserve">ударств </w:t>
      </w:r>
      <w:r>
        <w:t>–</w:t>
      </w:r>
      <w:r w:rsidRPr="00447531">
        <w:t xml:space="preserve"> членов </w:t>
      </w:r>
      <w:proofErr w:type="spellStart"/>
      <w:r w:rsidRPr="00447531">
        <w:t>ЕЭК</w:t>
      </w:r>
      <w:proofErr w:type="spellEnd"/>
      <w:r w:rsidRPr="00447531">
        <w:t xml:space="preserve"> и 36% государств-членов, направивших правительстве</w:t>
      </w:r>
      <w:r w:rsidRPr="00447531">
        <w:t>н</w:t>
      </w:r>
      <w:r w:rsidRPr="00447531">
        <w:t>ные делегации на Конференцию министров в Батуми.</w:t>
      </w:r>
    </w:p>
    <w:p w:rsidR="00447531" w:rsidRPr="00447531" w:rsidRDefault="00447531" w:rsidP="00447531">
      <w:pPr>
        <w:pStyle w:val="SingleTxtGR"/>
      </w:pPr>
      <w:r w:rsidRPr="00447531">
        <w:t>19.</w:t>
      </w:r>
      <w:r w:rsidRPr="00447531">
        <w:tab/>
        <w:t>Четыре из полученных ответов (Болгарии, Грузии, Италии, Чехии) были представлены от имени делегаций, присутствовавших на Конференции (что означает определенную внутреннюю координацию между членами делегации), остальные 13 были направлены отдельными членами делегаций. Между этими двумя категориями ответов существенных различий не наблюдалось. Из 17 п</w:t>
      </w:r>
      <w:r w:rsidRPr="00447531">
        <w:t>о</w:t>
      </w:r>
      <w:r w:rsidRPr="00447531">
        <w:t>лученных ответов 12 были заполнены в онлайн-режиме.</w:t>
      </w:r>
    </w:p>
    <w:p w:rsidR="00447531" w:rsidRPr="00447531" w:rsidRDefault="00447531" w:rsidP="00447531">
      <w:pPr>
        <w:pStyle w:val="SingleTxtGR"/>
      </w:pPr>
      <w:r w:rsidRPr="00447531">
        <w:t>20.</w:t>
      </w:r>
      <w:r w:rsidRPr="00447531">
        <w:tab/>
        <w:t>Количество ответов было меньше, чем ожидалось. На основе отзывов, полученных от некоторых респондентов, можно предположить, что причиной слабого отклика стали следующие факторы:</w:t>
      </w:r>
    </w:p>
    <w:p w:rsidR="00447531" w:rsidRPr="00447531" w:rsidRDefault="00447531" w:rsidP="00447531">
      <w:pPr>
        <w:pStyle w:val="SingleTxtGR"/>
      </w:pPr>
      <w:r>
        <w:tab/>
      </w:r>
      <w:r w:rsidRPr="00447531">
        <w:t>а)</w:t>
      </w:r>
      <w:r w:rsidRPr="00447531">
        <w:tab/>
        <w:t>технические недостатки онлайновой версии (из-за которых некот</w:t>
      </w:r>
      <w:r w:rsidRPr="00447531">
        <w:t>о</w:t>
      </w:r>
      <w:r w:rsidRPr="00447531">
        <w:t>рые р</w:t>
      </w:r>
      <w:r w:rsidRPr="00447531">
        <w:t>е</w:t>
      </w:r>
      <w:r w:rsidRPr="00447531">
        <w:t>спонденты не смогли завершить заполнение вопросника в онлайн-режиме);</w:t>
      </w:r>
    </w:p>
    <w:p w:rsidR="00447531" w:rsidRPr="00447531" w:rsidRDefault="00447531" w:rsidP="00447531">
      <w:pPr>
        <w:pStyle w:val="SingleTxtGR"/>
        <w:ind w:left="1701" w:hanging="567"/>
      </w:pPr>
      <w:r>
        <w:tab/>
      </w:r>
      <w:r w:rsidRPr="00447531">
        <w:t>i)</w:t>
      </w:r>
      <w:r w:rsidRPr="00447531">
        <w:tab/>
        <w:t>недостатки в плане программного обеспечения (слишком медле</w:t>
      </w:r>
      <w:r w:rsidRPr="00447531">
        <w:t>н</w:t>
      </w:r>
      <w:r w:rsidRPr="00447531">
        <w:t>ная работа интерфейса программного обеспечения третьей стороны для работы в И</w:t>
      </w:r>
      <w:r w:rsidRPr="00447531">
        <w:t>н</w:t>
      </w:r>
      <w:r w:rsidRPr="00447531">
        <w:t>тернете);</w:t>
      </w:r>
    </w:p>
    <w:p w:rsidR="00447531" w:rsidRPr="00447531" w:rsidRDefault="00447531" w:rsidP="00447531">
      <w:pPr>
        <w:pStyle w:val="SingleTxtGR"/>
        <w:ind w:left="1701" w:hanging="567"/>
      </w:pPr>
      <w:r>
        <w:tab/>
      </w:r>
      <w:proofErr w:type="spellStart"/>
      <w:proofErr w:type="gramStart"/>
      <w:r w:rsidRPr="00447531">
        <w:t>ii</w:t>
      </w:r>
      <w:proofErr w:type="spellEnd"/>
      <w:r w:rsidRPr="00447531">
        <w:t>)</w:t>
      </w:r>
      <w:r w:rsidRPr="00447531">
        <w:tab/>
        <w:t>недостатки в области разработки (первый вариант онлайнового в</w:t>
      </w:r>
      <w:r w:rsidRPr="00447531">
        <w:t>о</w:t>
      </w:r>
      <w:r w:rsidRPr="00447531">
        <w:t>просника был недостаточно хорошо адаптирован к предельным возмо</w:t>
      </w:r>
      <w:r w:rsidRPr="00447531">
        <w:t>ж</w:t>
      </w:r>
      <w:r w:rsidRPr="00447531">
        <w:t>ностям интерфейса, а также содержал ряд необоснованных технических ограничений);</w:t>
      </w:r>
      <w:proofErr w:type="gramEnd"/>
    </w:p>
    <w:p w:rsidR="00447531" w:rsidRPr="00447531" w:rsidRDefault="00447531" w:rsidP="00447531">
      <w:pPr>
        <w:pStyle w:val="SingleTxtGR"/>
      </w:pPr>
      <w:r>
        <w:lastRenderedPageBreak/>
        <w:tab/>
      </w:r>
      <w:r w:rsidRPr="00447531">
        <w:t>b)</w:t>
      </w:r>
      <w:r w:rsidRPr="00447531">
        <w:tab/>
        <w:t>недостатки, связанные со сроками, поскольку вопросник был в</w:t>
      </w:r>
      <w:r w:rsidRPr="00447531">
        <w:t>ы</w:t>
      </w:r>
      <w:r w:rsidRPr="00447531">
        <w:t>пущен спустя почти год после проведения Конференции, и такая задержка была чре</w:t>
      </w:r>
      <w:r w:rsidRPr="00447531">
        <w:t>з</w:t>
      </w:r>
      <w:r w:rsidRPr="00447531">
        <w:t>мерной;</w:t>
      </w:r>
    </w:p>
    <w:p w:rsidR="00447531" w:rsidRPr="00447531" w:rsidRDefault="00447531" w:rsidP="00447531">
      <w:pPr>
        <w:pStyle w:val="SingleTxtGR"/>
      </w:pPr>
      <w:r>
        <w:tab/>
      </w:r>
      <w:proofErr w:type="gramStart"/>
      <w:r w:rsidRPr="00447531">
        <w:t>с)</w:t>
      </w:r>
      <w:r w:rsidRPr="00447531">
        <w:tab/>
        <w:t>недостатки концептуального характера, поскольку вопросник до</w:t>
      </w:r>
      <w:r w:rsidRPr="00447531">
        <w:t>л</w:t>
      </w:r>
      <w:r w:rsidRPr="00447531">
        <w:t>жен был состоять из нескольких независимых частей, в которых должна была пров</w:t>
      </w:r>
      <w:r w:rsidRPr="00447531">
        <w:t>о</w:t>
      </w:r>
      <w:r w:rsidRPr="00447531">
        <w:t>диться оценка слишком широкого спектра вопросов – от концептуальных до вопросов материально-технического обеспечения и от оценки прошлой де</w:t>
      </w:r>
      <w:r w:rsidRPr="00447531">
        <w:t>я</w:t>
      </w:r>
      <w:r w:rsidRPr="00447531">
        <w:t>тельности до идей на будущее – из-за чего документ получился всеобъемл</w:t>
      </w:r>
      <w:r w:rsidRPr="00447531">
        <w:t>ю</w:t>
      </w:r>
      <w:r w:rsidRPr="00447531">
        <w:t>щим, но слишком объемным, содержащим 68 вопросов.</w:t>
      </w:r>
      <w:proofErr w:type="gramEnd"/>
      <w:r w:rsidRPr="00447531">
        <w:t xml:space="preserve"> Сложный характер д</w:t>
      </w:r>
      <w:r w:rsidRPr="00447531">
        <w:t>о</w:t>
      </w:r>
      <w:r w:rsidRPr="00447531">
        <w:t>кумента оказался непродуктивным.</w:t>
      </w:r>
    </w:p>
    <w:p w:rsidR="00447531" w:rsidRPr="00447531" w:rsidRDefault="00447531" w:rsidP="00447531">
      <w:pPr>
        <w:pStyle w:val="SingleTxtGR"/>
      </w:pPr>
      <w:r w:rsidRPr="00447531">
        <w:t>21.</w:t>
      </w:r>
      <w:r w:rsidRPr="00447531">
        <w:tab/>
      </w:r>
      <w:proofErr w:type="gramStart"/>
      <w:r w:rsidRPr="00447531">
        <w:t>Несмотря на то, что число представленных ответов не достигло опт</w:t>
      </w:r>
      <w:r w:rsidRPr="00447531">
        <w:t>и</w:t>
      </w:r>
      <w:r w:rsidRPr="00447531">
        <w:t>мального, полученных данных достаточно для того, чтобы сделать определе</w:t>
      </w:r>
      <w:r w:rsidRPr="00447531">
        <w:t>н</w:t>
      </w:r>
      <w:r w:rsidRPr="00447531">
        <w:t>ные выводы с приемлемой степенью уверенности.</w:t>
      </w:r>
      <w:proofErr w:type="gramEnd"/>
      <w:r w:rsidRPr="00447531">
        <w:t xml:space="preserve"> В двух главах ниже пре</w:t>
      </w:r>
      <w:r w:rsidRPr="00447531">
        <w:t>д</w:t>
      </w:r>
      <w:r w:rsidRPr="00447531">
        <w:t>ставлены основные результаты анализа полученных ответов. Статистическая сводка ответов опубликована в отдельном документе (информационный док</w:t>
      </w:r>
      <w:r w:rsidRPr="00447531">
        <w:t>у</w:t>
      </w:r>
      <w:r w:rsidRPr="00447531">
        <w:t>мент № 9).</w:t>
      </w:r>
    </w:p>
    <w:p w:rsidR="00447531" w:rsidRPr="00447531" w:rsidRDefault="00447531" w:rsidP="00447531">
      <w:pPr>
        <w:pStyle w:val="HChGR"/>
      </w:pPr>
      <w:r w:rsidRPr="00447531">
        <w:tab/>
      </w:r>
      <w:proofErr w:type="spellStart"/>
      <w:r w:rsidRPr="00447531">
        <w:t>IV</w:t>
      </w:r>
      <w:proofErr w:type="spellEnd"/>
      <w:r w:rsidRPr="00447531">
        <w:t>.</w:t>
      </w:r>
      <w:r w:rsidRPr="00447531">
        <w:tab/>
        <w:t>Уроки, извлеченные из процесса подготовки, организации и проведения восьмой Конференции министров «Окружающая среда для Е</w:t>
      </w:r>
      <w:r w:rsidRPr="00447531">
        <w:t>в</w:t>
      </w:r>
      <w:r w:rsidRPr="00447531">
        <w:t>ропы»</w:t>
      </w:r>
    </w:p>
    <w:p w:rsidR="00447531" w:rsidRPr="00447531" w:rsidRDefault="00447531" w:rsidP="00447531">
      <w:pPr>
        <w:pStyle w:val="SingleTxtGR"/>
      </w:pPr>
      <w:r w:rsidRPr="00447531">
        <w:t>22.</w:t>
      </w:r>
      <w:r w:rsidRPr="00447531">
        <w:tab/>
        <w:t>В целом результаты, полученные в ходе обследования, подтверждают незамедлительную реакцию многих делегатов, которые после окончания Ко</w:t>
      </w:r>
      <w:r w:rsidRPr="00447531">
        <w:t>н</w:t>
      </w:r>
      <w:r w:rsidRPr="00447531">
        <w:t>ференции оценивали ее как успешную. Все аспекты Конференции были оцен</w:t>
      </w:r>
      <w:r w:rsidRPr="00447531">
        <w:t>е</w:t>
      </w:r>
      <w:r w:rsidRPr="00447531">
        <w:t>ны положительно, в том числе ее подготовка, организация, работа и содерж</w:t>
      </w:r>
      <w:r w:rsidRPr="00447531">
        <w:t>а</w:t>
      </w:r>
      <w:r w:rsidRPr="00447531">
        <w:t>ние; кроме того, были получены некоторые полезные идеи о будущем процесса «Окружающая среда для Европы». Наряду с общей положительной реакцией были высказаны и критические замечания, которые необходимо учесть в буд</w:t>
      </w:r>
      <w:r w:rsidRPr="00447531">
        <w:t>у</w:t>
      </w:r>
      <w:r w:rsidRPr="00447531">
        <w:t>щем.</w:t>
      </w:r>
    </w:p>
    <w:p w:rsidR="00447531" w:rsidRPr="00447531" w:rsidRDefault="00447531" w:rsidP="00447531">
      <w:pPr>
        <w:pStyle w:val="H1GR"/>
      </w:pPr>
      <w:r w:rsidRPr="00447531">
        <w:tab/>
        <w:t>A.</w:t>
      </w:r>
      <w:r w:rsidRPr="00447531">
        <w:tab/>
        <w:t>Организация</w:t>
      </w:r>
    </w:p>
    <w:p w:rsidR="00447531" w:rsidRPr="00447531" w:rsidRDefault="00447531" w:rsidP="00447531">
      <w:pPr>
        <w:pStyle w:val="SingleTxtGR"/>
      </w:pPr>
      <w:r w:rsidRPr="00447531">
        <w:t>23.</w:t>
      </w:r>
      <w:r w:rsidRPr="00447531">
        <w:tab/>
        <w:t>Респонденты, принявшие участие в обследовании, в целом оценили орг</w:t>
      </w:r>
      <w:r w:rsidRPr="00447531">
        <w:t>а</w:t>
      </w:r>
      <w:r w:rsidRPr="00447531">
        <w:t>низацию Батумской конференции весьма положительно. Секретариат будет, по мере необходимости, использовать положительные оценки и высказанные зам</w:t>
      </w:r>
      <w:r w:rsidRPr="00447531">
        <w:t>е</w:t>
      </w:r>
      <w:r w:rsidRPr="00447531">
        <w:t>чания в качестве руководства для осуществления в будущем аналогичных пр</w:t>
      </w:r>
      <w:r w:rsidRPr="00447531">
        <w:t>о</w:t>
      </w:r>
      <w:r w:rsidRPr="00447531">
        <w:t>цессов подготовки.</w:t>
      </w:r>
    </w:p>
    <w:p w:rsidR="00447531" w:rsidRPr="00447531" w:rsidRDefault="00447531" w:rsidP="00447531">
      <w:pPr>
        <w:pStyle w:val="SingleTxtGR"/>
      </w:pPr>
      <w:r w:rsidRPr="00447531">
        <w:t>24.</w:t>
      </w:r>
      <w:r w:rsidRPr="00447531">
        <w:tab/>
        <w:t>Ниже приводится оценка по конкретным аспектам (процент определен с учетом количества ответов на отдельные вопросы и при исключении ответов «мнение отсутствует»):</w:t>
      </w:r>
    </w:p>
    <w:p w:rsidR="00447531" w:rsidRPr="00447531" w:rsidRDefault="00447531" w:rsidP="00447531">
      <w:pPr>
        <w:pStyle w:val="SingleTxtGR"/>
      </w:pPr>
      <w:r>
        <w:tab/>
      </w:r>
      <w:proofErr w:type="gramStart"/>
      <w:r w:rsidRPr="00447531">
        <w:t>а)</w:t>
      </w:r>
      <w:r w:rsidRPr="00447531">
        <w:tab/>
        <w:t>несмотря на относительную удаленность места проведения Конф</w:t>
      </w:r>
      <w:r w:rsidRPr="00447531">
        <w:t>е</w:t>
      </w:r>
      <w:r w:rsidRPr="00447531">
        <w:t>ренции, усилия по облегчению доступа, предпринятые правительством прин</w:t>
      </w:r>
      <w:r w:rsidRPr="00447531">
        <w:t>и</w:t>
      </w:r>
      <w:r w:rsidRPr="00447531">
        <w:t xml:space="preserve">мающей страны и секретариатом </w:t>
      </w:r>
      <w:proofErr w:type="spellStart"/>
      <w:r w:rsidRPr="00447531">
        <w:t>ЕЭК</w:t>
      </w:r>
      <w:proofErr w:type="spellEnd"/>
      <w:r w:rsidRPr="00447531">
        <w:t>, − путем диверсификации маршрутов д</w:t>
      </w:r>
      <w:r w:rsidRPr="00447531">
        <w:t>о</w:t>
      </w:r>
      <w:r w:rsidRPr="00447531">
        <w:t>ступа, издания подробного руководства по использованию различных тран</w:t>
      </w:r>
      <w:r w:rsidRPr="00447531">
        <w:t>с</w:t>
      </w:r>
      <w:r w:rsidRPr="00447531">
        <w:t>портных средств и создания трехсторонних каналов связи для реагирования на индивидуальные запросы участников – в целом были успешными.</w:t>
      </w:r>
      <w:proofErr w:type="gramEnd"/>
      <w:r w:rsidRPr="00447531">
        <w:t xml:space="preserve"> Более 80%</w:t>
      </w:r>
      <w:r>
        <w:t> </w:t>
      </w:r>
      <w:r w:rsidRPr="00447531">
        <w:t>респондентов были либо весьма удовлетворены, либо удовлетворены орг</w:t>
      </w:r>
      <w:r w:rsidRPr="00447531">
        <w:t>а</w:t>
      </w:r>
      <w:r w:rsidRPr="00447531">
        <w:t>низацией прибытия и отъезда (с использование всех видов транспорта (возду</w:t>
      </w:r>
      <w:r w:rsidRPr="00447531">
        <w:t>ш</w:t>
      </w:r>
      <w:r w:rsidRPr="00447531">
        <w:t>ного, железнодорожного и автобусного) и во всех точках (Тбилиси, Кутаиси и Батуми), в том числе приемом на транспортных узлах и в гостиницах);</w:t>
      </w:r>
    </w:p>
    <w:p w:rsidR="00447531" w:rsidRPr="00447531" w:rsidRDefault="00447531" w:rsidP="00447531">
      <w:pPr>
        <w:pStyle w:val="SingleTxtGR"/>
      </w:pPr>
      <w:r>
        <w:tab/>
      </w:r>
      <w:r w:rsidRPr="00447531">
        <w:t>b)</w:t>
      </w:r>
      <w:r w:rsidRPr="00447531">
        <w:tab/>
        <w:t>рекомендации по размещению, предоставленные правительством принимающей страны, оказались полезными. Более 80% респондентов были либо весьма удовлетворены, либо удовлетворены рекомендациями, касающим</w:t>
      </w:r>
      <w:r w:rsidRPr="00447531">
        <w:t>и</w:t>
      </w:r>
      <w:r w:rsidRPr="00447531">
        <w:t xml:space="preserve">ся как гостиниц, рекомендованных правительством, так и других гостиниц. Критические комментарии были по большей части связаны с техническими </w:t>
      </w:r>
      <w:r w:rsidRPr="00447531">
        <w:lastRenderedPageBreak/>
        <w:t xml:space="preserve">проблемами с доступом к </w:t>
      </w:r>
      <w:proofErr w:type="spellStart"/>
      <w:r w:rsidRPr="00447531">
        <w:t>Wi-Fi</w:t>
      </w:r>
      <w:proofErr w:type="spellEnd"/>
      <w:r w:rsidRPr="00447531">
        <w:t xml:space="preserve"> в гостинице «Шератон» в Батуми, основном месте провед</w:t>
      </w:r>
      <w:r w:rsidRPr="00447531">
        <w:t>е</w:t>
      </w:r>
      <w:r w:rsidRPr="00447531">
        <w:t>ния Конференции (подавляющая часть пропускной способности широкополосной сети гостиницы использовалась для удовлетворения потре</w:t>
      </w:r>
      <w:r w:rsidRPr="00447531">
        <w:t>б</w:t>
      </w:r>
      <w:r w:rsidRPr="00447531">
        <w:t>ностей залов заседаний, что привело к ограниченному приему в гостевых ко</w:t>
      </w:r>
      <w:r w:rsidRPr="00447531">
        <w:t>м</w:t>
      </w:r>
      <w:r w:rsidRPr="00447531">
        <w:t>натах);</w:t>
      </w:r>
    </w:p>
    <w:p w:rsidR="00447531" w:rsidRPr="00447531" w:rsidRDefault="00447531" w:rsidP="00447531">
      <w:pPr>
        <w:pStyle w:val="SingleTxtGR"/>
      </w:pPr>
      <w:r>
        <w:tab/>
      </w:r>
      <w:r w:rsidRPr="00447531">
        <w:t>с)</w:t>
      </w:r>
      <w:r w:rsidRPr="00447531">
        <w:tab/>
        <w:t>другие материально-технические аспекты пребывания в Батуми (поездки в пределах Батуми, пункты питания, питание в обеденное время, то</w:t>
      </w:r>
      <w:r w:rsidRPr="00447531">
        <w:t>р</w:t>
      </w:r>
      <w:r w:rsidRPr="00447531">
        <w:t>жественный прием, организованный правительством Грузии и проведение о</w:t>
      </w:r>
      <w:r w:rsidRPr="00447531">
        <w:t>б</w:t>
      </w:r>
      <w:r w:rsidRPr="00447531">
        <w:t>щей фотосъемки) подавляющим большинством были оценены положительно. Прием, о</w:t>
      </w:r>
      <w:r w:rsidRPr="00447531">
        <w:t>р</w:t>
      </w:r>
      <w:r w:rsidRPr="00447531">
        <w:t>ганизованный принимающей страной, получил всеобщее признание;</w:t>
      </w:r>
    </w:p>
    <w:p w:rsidR="00447531" w:rsidRPr="00447531" w:rsidRDefault="00447531" w:rsidP="00447531">
      <w:pPr>
        <w:pStyle w:val="SingleTxtGR"/>
      </w:pPr>
      <w:r>
        <w:tab/>
      </w:r>
      <w:r w:rsidRPr="00447531">
        <w:t>d)</w:t>
      </w:r>
      <w:r w:rsidRPr="00447531">
        <w:tab/>
        <w:t>на Батумской конференции секретариат впервые опробовал некот</w:t>
      </w:r>
      <w:r w:rsidRPr="00447531">
        <w:t>о</w:t>
      </w:r>
      <w:r w:rsidRPr="00447531">
        <w:t>рые нововведения в процессе регистрации, такие как регистрация только в р</w:t>
      </w:r>
      <w:r w:rsidRPr="00447531">
        <w:t>е</w:t>
      </w:r>
      <w:r w:rsidRPr="00447531">
        <w:t>жиме онлайн и использование «умных» пропусков. Результат был положител</w:t>
      </w:r>
      <w:r w:rsidRPr="00447531">
        <w:t>ь</w:t>
      </w:r>
      <w:r w:rsidRPr="00447531">
        <w:t>ным: 90% респондентов были либо весьма удовлетворены, либо удовлетворены всеми аспектами регистрации и доступа к месту проведения Конференции. Аналогичные результаты показала оценка организации основных залов засед</w:t>
      </w:r>
      <w:r w:rsidRPr="00447531">
        <w:t>а</w:t>
      </w:r>
      <w:r w:rsidRPr="00447531">
        <w:t>ний, в которую также были введены определенные новшества, такие как н</w:t>
      </w:r>
      <w:r w:rsidRPr="00447531">
        <w:t>е</w:t>
      </w:r>
      <w:r w:rsidRPr="00447531">
        <w:t>обычный порядок рассадки и предоставление информационно-технических средств на местах;</w:t>
      </w:r>
    </w:p>
    <w:p w:rsidR="00447531" w:rsidRPr="00447531" w:rsidRDefault="00447531" w:rsidP="00447531">
      <w:pPr>
        <w:pStyle w:val="SingleTxtGR"/>
      </w:pPr>
      <w:r>
        <w:tab/>
      </w:r>
      <w:r w:rsidRPr="00447531">
        <w:t>e)</w:t>
      </w:r>
      <w:r w:rsidRPr="00447531">
        <w:tab/>
        <w:t>весьма положительную оценку получила работа, проделанная се</w:t>
      </w:r>
      <w:r w:rsidRPr="00447531">
        <w:t>к</w:t>
      </w:r>
      <w:r w:rsidRPr="00447531">
        <w:t xml:space="preserve">ретариатами страны пребывания и </w:t>
      </w:r>
      <w:proofErr w:type="spellStart"/>
      <w:r w:rsidRPr="00447531">
        <w:t>ЕЭК</w:t>
      </w:r>
      <w:proofErr w:type="spellEnd"/>
      <w:r w:rsidRPr="00447531">
        <w:t>: более 90% респондентов были весьма удовл</w:t>
      </w:r>
      <w:r w:rsidRPr="00447531">
        <w:t>е</w:t>
      </w:r>
      <w:r w:rsidRPr="00447531">
        <w:t>творены или удовлетворены предоставленными услугами;</w:t>
      </w:r>
    </w:p>
    <w:p w:rsidR="00447531" w:rsidRPr="00447531" w:rsidRDefault="00447531" w:rsidP="00447531">
      <w:pPr>
        <w:pStyle w:val="SingleTxtGR"/>
      </w:pPr>
      <w:r>
        <w:tab/>
      </w:r>
      <w:r w:rsidRPr="00447531">
        <w:t>f)</w:t>
      </w:r>
      <w:r w:rsidRPr="00447531">
        <w:tab/>
        <w:t xml:space="preserve">несмотря на то, что общая оценка документов Конференции (как официальных, так и неофициальных, включая </w:t>
      </w:r>
      <w:proofErr w:type="spellStart"/>
      <w:r w:rsidRPr="00447531">
        <w:t>предсессионные</w:t>
      </w:r>
      <w:proofErr w:type="spellEnd"/>
      <w:r w:rsidRPr="00447531">
        <w:t xml:space="preserve">, сессионные и </w:t>
      </w:r>
      <w:proofErr w:type="spellStart"/>
      <w:r w:rsidRPr="00447531">
        <w:t>послесессионные</w:t>
      </w:r>
      <w:proofErr w:type="spellEnd"/>
      <w:r w:rsidRPr="00447531">
        <w:t xml:space="preserve"> документы) была весьма удовлетворительной, значительное меньшинство респондентов (35%) сочли, что</w:t>
      </w:r>
      <w:r>
        <w:t xml:space="preserve"> </w:t>
      </w:r>
      <w:r w:rsidRPr="00447531">
        <w:t>официальные документы были довольно большими или слишком большими. По мере возможности секретариат учтет это замечание в будущем;</w:t>
      </w:r>
    </w:p>
    <w:p w:rsidR="00447531" w:rsidRPr="00447531" w:rsidRDefault="00447531" w:rsidP="00447531">
      <w:pPr>
        <w:pStyle w:val="SingleTxtGR"/>
      </w:pPr>
      <w:r>
        <w:tab/>
      </w:r>
      <w:r w:rsidRPr="00447531">
        <w:t>g)</w:t>
      </w:r>
      <w:r w:rsidRPr="00447531">
        <w:tab/>
        <w:t>визуальный стиль Конференции получил единодушное одобрение, 82% респондентов были им весьма удовлетворены.</w:t>
      </w:r>
    </w:p>
    <w:p w:rsidR="00447531" w:rsidRPr="00447531" w:rsidRDefault="00447531" w:rsidP="00447531">
      <w:pPr>
        <w:pStyle w:val="H1GR"/>
      </w:pPr>
      <w:r w:rsidRPr="00447531">
        <w:tab/>
        <w:t>B.</w:t>
      </w:r>
      <w:r w:rsidRPr="00447531">
        <w:tab/>
        <w:t>Содержание и проведение</w:t>
      </w:r>
    </w:p>
    <w:p w:rsidR="00447531" w:rsidRPr="00447531" w:rsidRDefault="00447531" w:rsidP="00447531">
      <w:pPr>
        <w:pStyle w:val="SingleTxtGR"/>
      </w:pPr>
      <w:r w:rsidRPr="00447531">
        <w:t>25.</w:t>
      </w:r>
      <w:r w:rsidRPr="00447531">
        <w:tab/>
        <w:t>Респонденты, принявшие участие в обследовании, в целом оценили с</w:t>
      </w:r>
      <w:r w:rsidRPr="00447531">
        <w:t>о</w:t>
      </w:r>
      <w:r w:rsidRPr="00447531">
        <w:t>держание и проведение Батумской конференции весьма положительно. Секр</w:t>
      </w:r>
      <w:r w:rsidRPr="00447531">
        <w:t>е</w:t>
      </w:r>
      <w:r w:rsidRPr="00447531">
        <w:t>тариат принимает к сведению положительные оценки и высказанные замечания в качестве руководства для осуществления, по мере необходимости, аналоги</w:t>
      </w:r>
      <w:r w:rsidRPr="00447531">
        <w:t>ч</w:t>
      </w:r>
      <w:r w:rsidRPr="00447531">
        <w:t>ных процессов подготовки в будущем. Например, можно рекомендовать пров</w:t>
      </w:r>
      <w:r w:rsidRPr="00447531">
        <w:t>е</w:t>
      </w:r>
      <w:r w:rsidRPr="00447531">
        <w:t>сти в ходе подготовки к следующей Конференции «Окружающая среда для Е</w:t>
      </w:r>
      <w:r w:rsidRPr="00447531">
        <w:t>в</w:t>
      </w:r>
      <w:r w:rsidRPr="00447531">
        <w:t>ропы» обсуждение на тему возможных изменений формата сессий Конфере</w:t>
      </w:r>
      <w:r w:rsidRPr="00447531">
        <w:t>н</w:t>
      </w:r>
      <w:r w:rsidRPr="00447531">
        <w:t xml:space="preserve">ции (при </w:t>
      </w:r>
      <w:proofErr w:type="gramStart"/>
      <w:r w:rsidRPr="00447531">
        <w:t>том</w:t>
      </w:r>
      <w:proofErr w:type="gramEnd"/>
      <w:r w:rsidRPr="00447531">
        <w:t xml:space="preserve"> что использованный формат получил положительную оценку).</w:t>
      </w:r>
    </w:p>
    <w:p w:rsidR="00447531" w:rsidRPr="00447531" w:rsidRDefault="00447531" w:rsidP="00447531">
      <w:pPr>
        <w:pStyle w:val="SingleTxtGR"/>
      </w:pPr>
      <w:r w:rsidRPr="00447531">
        <w:t>26.</w:t>
      </w:r>
      <w:r w:rsidRPr="00447531">
        <w:tab/>
        <w:t>Была дана следующая оценка по конкретным аспектам:</w:t>
      </w:r>
    </w:p>
    <w:p w:rsidR="00447531" w:rsidRPr="00447531" w:rsidRDefault="00447531" w:rsidP="00447531">
      <w:pPr>
        <w:pStyle w:val="SingleTxtGR"/>
      </w:pPr>
      <w:r>
        <w:tab/>
      </w:r>
      <w:r w:rsidRPr="00447531">
        <w:t>а)</w:t>
      </w:r>
      <w:r w:rsidRPr="00447531">
        <w:tab/>
        <w:t>две темы Конференции были признаны весьма актуальными;</w:t>
      </w:r>
    </w:p>
    <w:p w:rsidR="00447531" w:rsidRPr="00447531" w:rsidRDefault="00447531" w:rsidP="00447531">
      <w:pPr>
        <w:pStyle w:val="SingleTxtGR"/>
      </w:pPr>
      <w:r>
        <w:tab/>
      </w:r>
      <w:r w:rsidRPr="00447531">
        <w:t>b)</w:t>
      </w:r>
      <w:r w:rsidRPr="00447531">
        <w:tab/>
        <w:t>все восемь пунктов повестки дня были охарактеризованы как х</w:t>
      </w:r>
      <w:r w:rsidRPr="00447531">
        <w:t>о</w:t>
      </w:r>
      <w:r w:rsidRPr="00447531">
        <w:t>рошо подготовленные, а работа по каждому сегменту − как проведенная надл</w:t>
      </w:r>
      <w:r w:rsidRPr="00447531">
        <w:t>е</w:t>
      </w:r>
      <w:r w:rsidRPr="00447531">
        <w:t>жащим образом;</w:t>
      </w:r>
    </w:p>
    <w:p w:rsidR="00447531" w:rsidRPr="00447531" w:rsidRDefault="00447531" w:rsidP="00447531">
      <w:pPr>
        <w:pStyle w:val="SingleTxtGR"/>
      </w:pPr>
      <w:r>
        <w:tab/>
      </w:r>
      <w:r w:rsidRPr="00447531">
        <w:t>с)</w:t>
      </w:r>
      <w:r w:rsidRPr="00447531">
        <w:tab/>
        <w:t>респонденты также положительно оценили формат проведения се</w:t>
      </w:r>
      <w:r w:rsidRPr="00447531">
        <w:t>с</w:t>
      </w:r>
      <w:r w:rsidRPr="00447531">
        <w:t>сий в каждом конкретном случае; кроме того высокую оценку получило инте</w:t>
      </w:r>
      <w:r w:rsidRPr="00447531">
        <w:t>р</w:t>
      </w:r>
      <w:r w:rsidRPr="00447531">
        <w:t xml:space="preserve">активное оборудование (оценку «отлично» в одном из замечаний). </w:t>
      </w:r>
      <w:proofErr w:type="gramStart"/>
      <w:r w:rsidRPr="00447531">
        <w:t>Был</w:t>
      </w:r>
      <w:proofErr w:type="gramEnd"/>
      <w:r w:rsidRPr="00447531">
        <w:t xml:space="preserve"> дости</w:t>
      </w:r>
      <w:r w:rsidRPr="00447531">
        <w:t>г</w:t>
      </w:r>
      <w:r w:rsidRPr="00447531">
        <w:t>нут консенсус относительно повтора этого формата на следующей конфере</w:t>
      </w:r>
      <w:r w:rsidRPr="00447531">
        <w:t>н</w:t>
      </w:r>
      <w:r w:rsidRPr="00447531">
        <w:t>ции. В некоторых случаях были высказаны весомые аргументы в пользу сохр</w:t>
      </w:r>
      <w:r w:rsidRPr="00447531">
        <w:t>а</w:t>
      </w:r>
      <w:r w:rsidRPr="00447531">
        <w:t xml:space="preserve">нения формата после проведения определенной корректировки. </w:t>
      </w:r>
      <w:proofErr w:type="gramStart"/>
      <w:r w:rsidRPr="00447531">
        <w:t xml:space="preserve">В частности, 50% респондентов высказались в пользу корректировки процесса обсуждения многосторонних природоохранных соглашений </w:t>
      </w:r>
      <w:proofErr w:type="spellStart"/>
      <w:r w:rsidRPr="00447531">
        <w:t>ЕЭК</w:t>
      </w:r>
      <w:proofErr w:type="spellEnd"/>
      <w:r w:rsidRPr="00447531">
        <w:t xml:space="preserve">, ее политики и институтов, </w:t>
      </w:r>
      <w:r w:rsidRPr="00447531">
        <w:lastRenderedPageBreak/>
        <w:t>содействующих осуществлению Повестки дня на период до 2030 года; 40% – в</w:t>
      </w:r>
      <w:r>
        <w:t> </w:t>
      </w:r>
      <w:r w:rsidRPr="00447531">
        <w:t>пользу обсуждения вопроса об осуществлении контроля за состоянием окр</w:t>
      </w:r>
      <w:r w:rsidRPr="00447531">
        <w:t>у</w:t>
      </w:r>
      <w:r w:rsidRPr="00447531">
        <w:t>жающей среды в панъевропейском регионе; 40% – в пользу сегмента по образ</w:t>
      </w:r>
      <w:r w:rsidRPr="00447531">
        <w:t>о</w:t>
      </w:r>
      <w:r w:rsidRPr="00447531">
        <w:t>ванию в интересах устойчивого развития;</w:t>
      </w:r>
      <w:proofErr w:type="gramEnd"/>
      <w:r w:rsidRPr="00447531">
        <w:t xml:space="preserve"> 33% – в пользу обсуждения вопроса об </w:t>
      </w:r>
      <w:proofErr w:type="spellStart"/>
      <w:r w:rsidRPr="00447531">
        <w:t>экологизации</w:t>
      </w:r>
      <w:proofErr w:type="spellEnd"/>
      <w:r w:rsidRPr="00447531">
        <w:t xml:space="preserve"> экономики; и 38% – в пользу обсуждения вопроса о повыш</w:t>
      </w:r>
      <w:r w:rsidRPr="00447531">
        <w:t>е</w:t>
      </w:r>
      <w:r w:rsidRPr="00447531">
        <w:t>нии качества воздуха. Респонденты не представили конкретных предложений, однако эта тема может</w:t>
      </w:r>
      <w:r>
        <w:t xml:space="preserve"> </w:t>
      </w:r>
      <w:r w:rsidRPr="00447531">
        <w:t>в будущем потребовать дальнейшего обсуждения в К</w:t>
      </w:r>
      <w:r w:rsidRPr="00447531">
        <w:t>о</w:t>
      </w:r>
      <w:r w:rsidRPr="00447531">
        <w:t>митете по экологической политике;</w:t>
      </w:r>
    </w:p>
    <w:p w:rsidR="00447531" w:rsidRPr="00447531" w:rsidRDefault="00447531" w:rsidP="00447531">
      <w:pPr>
        <w:pStyle w:val="SingleTxtGR"/>
      </w:pPr>
      <w:r>
        <w:tab/>
      </w:r>
      <w:r w:rsidRPr="00447531">
        <w:t>d)</w:t>
      </w:r>
      <w:r w:rsidRPr="00447531">
        <w:tab/>
      </w:r>
      <w:r w:rsidR="007869C1" w:rsidRPr="00447531">
        <w:t xml:space="preserve">сроки </w:t>
      </w:r>
      <w:r w:rsidRPr="00447531">
        <w:t>проведения Конференции (общая продолжительность и ра</w:t>
      </w:r>
      <w:r w:rsidRPr="00447531">
        <w:t>с</w:t>
      </w:r>
      <w:r w:rsidRPr="00447531">
        <w:t>пределение времени по каждому пункту повестки дня) были признаны удовл</w:t>
      </w:r>
      <w:r w:rsidRPr="00447531">
        <w:t>е</w:t>
      </w:r>
      <w:r w:rsidRPr="00447531">
        <w:t>творительным и поэтому могут использоваться в качестве возможного о</w:t>
      </w:r>
      <w:r w:rsidRPr="00447531">
        <w:t>б</w:t>
      </w:r>
      <w:r w:rsidRPr="00447531">
        <w:t>разца для будущих конференций.</w:t>
      </w:r>
    </w:p>
    <w:p w:rsidR="00447531" w:rsidRPr="00447531" w:rsidRDefault="00447531" w:rsidP="00447531">
      <w:pPr>
        <w:pStyle w:val="H1GR"/>
      </w:pPr>
      <w:r w:rsidRPr="00447531">
        <w:tab/>
        <w:t>C.</w:t>
      </w:r>
      <w:r w:rsidRPr="00447531">
        <w:tab/>
        <w:t>Подготовительный процесс</w:t>
      </w:r>
    </w:p>
    <w:p w:rsidR="00447531" w:rsidRPr="00447531" w:rsidRDefault="00447531" w:rsidP="00447531">
      <w:pPr>
        <w:pStyle w:val="SingleTxtGR"/>
      </w:pPr>
      <w:r w:rsidRPr="00447531">
        <w:t>27.</w:t>
      </w:r>
      <w:r w:rsidRPr="00447531">
        <w:tab/>
        <w:t>Респонденты, принявшие участие в обследовании, в целом оценили орг</w:t>
      </w:r>
      <w:r w:rsidRPr="00447531">
        <w:t>а</w:t>
      </w:r>
      <w:r w:rsidRPr="00447531">
        <w:t>низацию Батумской конференции весьма положительно. Пятилетний период между конференциями «Окружающая среда для Европы» было сочтен дост</w:t>
      </w:r>
      <w:r w:rsidRPr="00447531">
        <w:t>а</w:t>
      </w:r>
      <w:r w:rsidRPr="00447531">
        <w:t>точным. 46% респондентов посчитали, что подготовительный период для Ко</w:t>
      </w:r>
      <w:r w:rsidRPr="00447531">
        <w:t>н</w:t>
      </w:r>
      <w:r w:rsidRPr="00447531">
        <w:t>ференции в Батуми (май 2014 года – июнь 2016 года) был либо довольно пр</w:t>
      </w:r>
      <w:r w:rsidRPr="00447531">
        <w:t>о</w:t>
      </w:r>
      <w:r w:rsidRPr="00447531">
        <w:t xml:space="preserve">должительным, либо слишком продолжительным. Этот вопрос, возможно, будет рассмотрен в ходе дальнейшего обсуждения процесса «Окружающая среда для Европы». </w:t>
      </w:r>
    </w:p>
    <w:p w:rsidR="00447531" w:rsidRPr="00447531" w:rsidRDefault="00447531" w:rsidP="00447531">
      <w:pPr>
        <w:pStyle w:val="H1GR"/>
      </w:pPr>
      <w:r w:rsidRPr="00447531">
        <w:tab/>
        <w:t>D.</w:t>
      </w:r>
      <w:r w:rsidRPr="00447531">
        <w:tab/>
        <w:t>Параллельные мероприятия</w:t>
      </w:r>
    </w:p>
    <w:p w:rsidR="00447531" w:rsidRPr="00447531" w:rsidRDefault="00447531" w:rsidP="00447531">
      <w:pPr>
        <w:pStyle w:val="SingleTxtGR"/>
      </w:pPr>
      <w:r w:rsidRPr="00447531">
        <w:t>28.</w:t>
      </w:r>
      <w:r w:rsidRPr="00447531">
        <w:tab/>
        <w:t>Респонденты, принявшие участие в обследовании, в целом оценили п</w:t>
      </w:r>
      <w:r w:rsidRPr="00447531">
        <w:t>а</w:t>
      </w:r>
      <w:r w:rsidRPr="00447531">
        <w:t>раллельные мероприятия в ходе Батумской конференции положительно, в том числе их количество, своевременность и качество. Они также дали оценку н</w:t>
      </w:r>
      <w:r w:rsidRPr="00447531">
        <w:t>е</w:t>
      </w:r>
      <w:r w:rsidRPr="00447531">
        <w:t>которым параллельным мероприятиям, которые посетили либо сами, либо их коллеги из той же делегации; все аспекты получили оценку «весьма удовлетв</w:t>
      </w:r>
      <w:r w:rsidRPr="00447531">
        <w:t>о</w:t>
      </w:r>
      <w:r w:rsidRPr="00447531">
        <w:t>рительно» или «удовлетворительно». Помощь, оказываемая секретариатом пр</w:t>
      </w:r>
      <w:r w:rsidRPr="00447531">
        <w:t>и</w:t>
      </w:r>
      <w:r w:rsidRPr="00447531">
        <w:t xml:space="preserve">нимающей страны в организации и посещении параллельных мероприятий, также в целом получила высокую оценку. </w:t>
      </w:r>
    </w:p>
    <w:p w:rsidR="00447531" w:rsidRPr="00447531" w:rsidRDefault="00447531" w:rsidP="00447531">
      <w:pPr>
        <w:pStyle w:val="SingleTxtGR"/>
      </w:pPr>
      <w:r w:rsidRPr="00447531">
        <w:t>29.</w:t>
      </w:r>
      <w:r w:rsidRPr="00447531">
        <w:tab/>
        <w:t>Опыт проведения параллельных мероприятий на Батумской конференции был в целом положительным и может использоваться секретариатом в качестве руководства при организации будущих мероприятий.</w:t>
      </w:r>
    </w:p>
    <w:p w:rsidR="00447531" w:rsidRPr="00447531" w:rsidRDefault="00447531" w:rsidP="00447531">
      <w:pPr>
        <w:pStyle w:val="HChGR"/>
      </w:pPr>
      <w:r w:rsidRPr="00447531">
        <w:tab/>
        <w:t>V.</w:t>
      </w:r>
      <w:r w:rsidRPr="00447531">
        <w:tab/>
        <w:t>Возможные темы для следующей конференции</w:t>
      </w:r>
    </w:p>
    <w:p w:rsidR="00447531" w:rsidRPr="00447531" w:rsidRDefault="00447531" w:rsidP="00447531">
      <w:pPr>
        <w:pStyle w:val="SingleTxtGR"/>
      </w:pPr>
      <w:r w:rsidRPr="00447531">
        <w:t>30.</w:t>
      </w:r>
      <w:r w:rsidRPr="00447531">
        <w:tab/>
        <w:t>Респонденты, принявшие участие в обследовании, ответили на два з</w:t>
      </w:r>
      <w:r w:rsidRPr="00447531">
        <w:t>а</w:t>
      </w:r>
      <w:r w:rsidRPr="00447531">
        <w:t>крытых вопроса по темам для рассмотрения на следующей конференции мин</w:t>
      </w:r>
      <w:r w:rsidRPr="00447531">
        <w:t>и</w:t>
      </w:r>
      <w:r w:rsidRPr="00447531">
        <w:t>стров, а именно:</w:t>
      </w:r>
    </w:p>
    <w:p w:rsidR="00447531" w:rsidRPr="00447531" w:rsidRDefault="00447531" w:rsidP="00447531">
      <w:pPr>
        <w:pStyle w:val="SingleTxtGR"/>
      </w:pPr>
      <w:r>
        <w:tab/>
      </w:r>
      <w:r w:rsidRPr="00447531">
        <w:t>а)</w:t>
      </w:r>
      <w:r w:rsidRPr="00447531">
        <w:tab/>
        <w:t xml:space="preserve">«Было бы целесообразно на следующей конференции министров продолжить рассмотрение вопросов, касающихся </w:t>
      </w:r>
      <w:proofErr w:type="spellStart"/>
      <w:r w:rsidRPr="00447531">
        <w:t>экологизации</w:t>
      </w:r>
      <w:proofErr w:type="spellEnd"/>
      <w:r w:rsidRPr="00447531">
        <w:t xml:space="preserve"> экономики»: 81% респондентов были полностью или частично согласны, в то время как 19%</w:t>
      </w:r>
      <w:r>
        <w:t> </w:t>
      </w:r>
      <w:r w:rsidRPr="00447531">
        <w:t>– частично или категорически не согласны с этим утверждением. Причины отрицательных ответов были разъяснены в комментариях (подробную инфо</w:t>
      </w:r>
      <w:r w:rsidRPr="00447531">
        <w:t>р</w:t>
      </w:r>
      <w:r w:rsidRPr="00447531">
        <w:t>мацию см. в информационном документе № 9) и были связаны, например, с ограниченными дополнительными преимуществами по сравнению с существ</w:t>
      </w:r>
      <w:r w:rsidRPr="00447531">
        <w:t>у</w:t>
      </w:r>
      <w:r w:rsidRPr="00447531">
        <w:t>ющими процессами, различными подходами к этому вопросу, существованием др</w:t>
      </w:r>
      <w:r w:rsidRPr="00447531">
        <w:t>у</w:t>
      </w:r>
      <w:r w:rsidRPr="00447531">
        <w:t>гих форумов и чрезмерной широтой и абстрактностью этой темы;</w:t>
      </w:r>
    </w:p>
    <w:p w:rsidR="00447531" w:rsidRPr="00447531" w:rsidRDefault="00447531" w:rsidP="00447531">
      <w:pPr>
        <w:pStyle w:val="SingleTxtGR"/>
      </w:pPr>
      <w:r>
        <w:tab/>
      </w:r>
      <w:r w:rsidRPr="00447531">
        <w:t>b)</w:t>
      </w:r>
      <w:r w:rsidRPr="00447531">
        <w:tab/>
        <w:t>«Было бы полезно, если бы на следующей конференции министров были рассмотрены вопросы, связанные с Повесткой дня в области устойчивого развития на период до 2030 года»: 87% респондентов были полностью или ч</w:t>
      </w:r>
      <w:r w:rsidRPr="00447531">
        <w:t>а</w:t>
      </w:r>
      <w:r w:rsidRPr="00447531">
        <w:lastRenderedPageBreak/>
        <w:t xml:space="preserve">стично </w:t>
      </w:r>
      <w:proofErr w:type="gramStart"/>
      <w:r w:rsidRPr="00447531">
        <w:t>согласны</w:t>
      </w:r>
      <w:proofErr w:type="gramEnd"/>
      <w:r w:rsidRPr="00447531">
        <w:t>, в то время как 13% − частично не согласны с этим утвержд</w:t>
      </w:r>
      <w:r w:rsidRPr="00447531">
        <w:t>е</w:t>
      </w:r>
      <w:r w:rsidRPr="00447531">
        <w:t>нием. Причины, приведенные одним из согласных респондентов, были прив</w:t>
      </w:r>
      <w:r w:rsidRPr="00447531">
        <w:t>е</w:t>
      </w:r>
      <w:r w:rsidRPr="00447531">
        <w:t>дены в комментарии (подробную информацию см. в информационном докуме</w:t>
      </w:r>
      <w:r w:rsidRPr="00447531">
        <w:t>н</w:t>
      </w:r>
      <w:r w:rsidRPr="00447531">
        <w:t>те № 9) и включали тот факт, что</w:t>
      </w:r>
      <w:r>
        <w:t xml:space="preserve"> </w:t>
      </w:r>
      <w:r w:rsidRPr="00447531">
        <w:t>Повестка на период до 2030 года входит в число приоритетных вопросов международной повестки дня, а также учитыв</w:t>
      </w:r>
      <w:r w:rsidRPr="00447531">
        <w:t>а</w:t>
      </w:r>
      <w:r w:rsidRPr="00447531">
        <w:t>ли, что сл</w:t>
      </w:r>
      <w:r w:rsidRPr="00447531">
        <w:t>е</w:t>
      </w:r>
      <w:r w:rsidRPr="00447531">
        <w:t>дующая конференция министров должна использовать эту динамику.</w:t>
      </w:r>
    </w:p>
    <w:p w:rsidR="00447531" w:rsidRPr="00447531" w:rsidRDefault="00447531" w:rsidP="00447531">
      <w:pPr>
        <w:pStyle w:val="SingleTxtGR"/>
      </w:pPr>
      <w:r w:rsidRPr="00447531">
        <w:t>31.</w:t>
      </w:r>
      <w:r w:rsidRPr="00447531">
        <w:tab/>
        <w:t>В ответ на два других вопроса, в которых респондентам предлагалось определить один утвержденный и один формулирующийся тематический при</w:t>
      </w:r>
      <w:r w:rsidRPr="00447531">
        <w:t>о</w:t>
      </w:r>
      <w:r w:rsidRPr="00447531">
        <w:t>ритет следующей конференции, было представлено несколько приведенных ниже предложений:</w:t>
      </w:r>
    </w:p>
    <w:p w:rsidR="00447531" w:rsidRPr="00447531" w:rsidRDefault="00447531" w:rsidP="003030A6">
      <w:pPr>
        <w:pStyle w:val="SingleTxtGR"/>
      </w:pPr>
      <w:r>
        <w:tab/>
      </w:r>
      <w:proofErr w:type="gramStart"/>
      <w:r w:rsidRPr="00447531">
        <w:t>а)</w:t>
      </w:r>
      <w:r w:rsidRPr="00447531">
        <w:tab/>
        <w:t>полученные предложения в отношении первого тематического пр</w:t>
      </w:r>
      <w:r w:rsidRPr="00447531">
        <w:t>и</w:t>
      </w:r>
      <w:r w:rsidRPr="00447531">
        <w:t>оритета (утвержденная тема, имеющая значение для всего региона, например</w:t>
      </w:r>
      <w:r w:rsidR="003030A6">
        <w:t>,</w:t>
      </w:r>
      <w:r w:rsidRPr="00447531">
        <w:t xml:space="preserve"> на седьмой Конференции министров «Окружающая среда для Европы» в Астане рассматривалась тема «Устойчивое управление водными ресурсами и связанными с водой экосистемами»; на Конференции в Батуми была рассмотр</w:t>
      </w:r>
      <w:r w:rsidRPr="00447531">
        <w:t>е</w:t>
      </w:r>
      <w:r w:rsidRPr="00447531">
        <w:t>на тема «Повышение качества воздуха в целях улучшения состояния окружа</w:t>
      </w:r>
      <w:r w:rsidRPr="00447531">
        <w:t>ю</w:t>
      </w:r>
      <w:r w:rsidRPr="00447531">
        <w:t>щей ср</w:t>
      </w:r>
      <w:r w:rsidRPr="00447531">
        <w:t>е</w:t>
      </w:r>
      <w:r w:rsidRPr="00447531">
        <w:t>ды и здоровья человека»):</w:t>
      </w:r>
      <w:proofErr w:type="gramEnd"/>
    </w:p>
    <w:p w:rsidR="00447531" w:rsidRPr="00447531" w:rsidRDefault="00447531" w:rsidP="00447531">
      <w:pPr>
        <w:pStyle w:val="SingleTxtGR"/>
        <w:ind w:left="1701" w:hanging="567"/>
      </w:pPr>
      <w:r>
        <w:tab/>
      </w:r>
      <w:r w:rsidRPr="00447531">
        <w:t>i)</w:t>
      </w:r>
      <w:r w:rsidRPr="00447531">
        <w:tab/>
        <w:t xml:space="preserve">оценка прогресса в области </w:t>
      </w:r>
      <w:proofErr w:type="spellStart"/>
      <w:r w:rsidRPr="00447531">
        <w:t>экологизации</w:t>
      </w:r>
      <w:proofErr w:type="spellEnd"/>
      <w:r w:rsidRPr="00447531">
        <w:t xml:space="preserve"> экономики и очистки воздуха (в рамках последующих мер по итогам Батумской конференции); </w:t>
      </w:r>
    </w:p>
    <w:p w:rsidR="00447531" w:rsidRPr="00447531" w:rsidRDefault="00447531" w:rsidP="00447531">
      <w:pPr>
        <w:pStyle w:val="SingleTxtGR"/>
      </w:pPr>
      <w:r>
        <w:tab/>
      </w:r>
      <w:proofErr w:type="spellStart"/>
      <w:proofErr w:type="gramStart"/>
      <w:r w:rsidRPr="00447531">
        <w:t>ii</w:t>
      </w:r>
      <w:proofErr w:type="spellEnd"/>
      <w:r w:rsidRPr="00447531">
        <w:t xml:space="preserve">) </w:t>
      </w:r>
      <w:r w:rsidRPr="00447531">
        <w:tab/>
        <w:t>качество воздуха;</w:t>
      </w:r>
      <w:proofErr w:type="gramEnd"/>
    </w:p>
    <w:p w:rsidR="00447531" w:rsidRPr="00447531" w:rsidRDefault="00447531" w:rsidP="00447531">
      <w:pPr>
        <w:pStyle w:val="SingleTxtGR"/>
      </w:pPr>
      <w:r>
        <w:tab/>
      </w:r>
      <w:proofErr w:type="spellStart"/>
      <w:proofErr w:type="gramStart"/>
      <w:r w:rsidRPr="00447531">
        <w:t>iii</w:t>
      </w:r>
      <w:proofErr w:type="spellEnd"/>
      <w:r w:rsidRPr="00447531">
        <w:t>)</w:t>
      </w:r>
      <w:r w:rsidRPr="00447531">
        <w:tab/>
        <w:t>качество воды;</w:t>
      </w:r>
      <w:proofErr w:type="gramEnd"/>
    </w:p>
    <w:p w:rsidR="00447531" w:rsidRPr="00447531" w:rsidRDefault="00447531" w:rsidP="00447531">
      <w:pPr>
        <w:pStyle w:val="SingleTxtGR"/>
      </w:pPr>
      <w:r>
        <w:tab/>
      </w:r>
      <w:proofErr w:type="spellStart"/>
      <w:proofErr w:type="gramStart"/>
      <w:r w:rsidRPr="00447531">
        <w:t>iv</w:t>
      </w:r>
      <w:proofErr w:type="spellEnd"/>
      <w:r w:rsidRPr="00447531">
        <w:t>)</w:t>
      </w:r>
      <w:r w:rsidRPr="00447531">
        <w:tab/>
        <w:t>управление отходами;</w:t>
      </w:r>
      <w:proofErr w:type="gramEnd"/>
    </w:p>
    <w:p w:rsidR="00447531" w:rsidRPr="00447531" w:rsidRDefault="00447531" w:rsidP="00447531">
      <w:pPr>
        <w:pStyle w:val="SingleTxtGR"/>
      </w:pPr>
      <w:r>
        <w:tab/>
      </w:r>
      <w:r w:rsidRPr="00447531">
        <w:t>v)</w:t>
      </w:r>
      <w:r w:rsidRPr="00447531">
        <w:tab/>
        <w:t>природоохранная деятельность;</w:t>
      </w:r>
    </w:p>
    <w:p w:rsidR="00447531" w:rsidRPr="00447531" w:rsidRDefault="00447531" w:rsidP="00447531">
      <w:pPr>
        <w:pStyle w:val="SingleTxtGR"/>
        <w:ind w:left="1701" w:hanging="567"/>
      </w:pPr>
      <w:r>
        <w:tab/>
      </w:r>
      <w:proofErr w:type="spellStart"/>
      <w:proofErr w:type="gramStart"/>
      <w:r w:rsidRPr="00447531">
        <w:t>vi</w:t>
      </w:r>
      <w:proofErr w:type="spellEnd"/>
      <w:r w:rsidRPr="00447531">
        <w:t>)</w:t>
      </w:r>
      <w:r w:rsidRPr="00447531">
        <w:tab/>
        <w:t>цели в области устойчивого развития и их достижение на реги</w:t>
      </w:r>
      <w:r w:rsidRPr="00447531">
        <w:t>о</w:t>
      </w:r>
      <w:r w:rsidRPr="00447531">
        <w:t>нальном уровне;</w:t>
      </w:r>
      <w:proofErr w:type="gramEnd"/>
    </w:p>
    <w:p w:rsidR="00447531" w:rsidRPr="00447531" w:rsidRDefault="00447531" w:rsidP="00447531">
      <w:pPr>
        <w:pStyle w:val="SingleTxtGR"/>
        <w:ind w:left="1701" w:hanging="567"/>
      </w:pPr>
      <w:r>
        <w:tab/>
      </w:r>
      <w:proofErr w:type="spellStart"/>
      <w:proofErr w:type="gramStart"/>
      <w:r w:rsidRPr="00447531">
        <w:t>vii</w:t>
      </w:r>
      <w:proofErr w:type="spellEnd"/>
      <w:r w:rsidRPr="00447531">
        <w:t>)</w:t>
      </w:r>
      <w:r w:rsidRPr="00447531">
        <w:tab/>
        <w:t>устойчивое развитие в контексте Повестки дня в области устойч</w:t>
      </w:r>
      <w:r w:rsidRPr="00447531">
        <w:t>и</w:t>
      </w:r>
      <w:r w:rsidRPr="00447531">
        <w:t xml:space="preserve">вого развития на период до 2030 года </w:t>
      </w:r>
      <w:proofErr w:type="gramEnd"/>
    </w:p>
    <w:p w:rsidR="00447531" w:rsidRPr="00447531" w:rsidRDefault="00447531" w:rsidP="00447531">
      <w:pPr>
        <w:pStyle w:val="SingleTxtGR"/>
        <w:ind w:left="1701" w:hanging="567"/>
      </w:pPr>
      <w:r>
        <w:tab/>
      </w:r>
      <w:proofErr w:type="spellStart"/>
      <w:proofErr w:type="gramStart"/>
      <w:r w:rsidRPr="00447531">
        <w:t>viii</w:t>
      </w:r>
      <w:proofErr w:type="spellEnd"/>
      <w:r w:rsidRPr="00447531">
        <w:t>)</w:t>
      </w:r>
      <w:r w:rsidRPr="00447531">
        <w:tab/>
      </w:r>
      <w:proofErr w:type="spellStart"/>
      <w:r w:rsidRPr="00447531">
        <w:t>экологизация</w:t>
      </w:r>
      <w:proofErr w:type="spellEnd"/>
      <w:r w:rsidRPr="00447531">
        <w:t xml:space="preserve"> экономики и усилия по достижению устойчивого ра</w:t>
      </w:r>
      <w:r w:rsidRPr="00447531">
        <w:t>з</w:t>
      </w:r>
      <w:r w:rsidRPr="00447531">
        <w:t xml:space="preserve">вития в регионе </w:t>
      </w:r>
      <w:proofErr w:type="spellStart"/>
      <w:r w:rsidRPr="00447531">
        <w:t>ЕЭК</w:t>
      </w:r>
      <w:proofErr w:type="spellEnd"/>
      <w:r w:rsidRPr="00447531">
        <w:t>;</w:t>
      </w:r>
      <w:proofErr w:type="gramEnd"/>
    </w:p>
    <w:p w:rsidR="00447531" w:rsidRPr="00447531" w:rsidRDefault="00447531" w:rsidP="00447531">
      <w:pPr>
        <w:pStyle w:val="SingleTxtGR"/>
        <w:ind w:left="1701" w:hanging="567"/>
      </w:pPr>
      <w:r>
        <w:tab/>
      </w:r>
      <w:proofErr w:type="spellStart"/>
      <w:proofErr w:type="gramStart"/>
      <w:r w:rsidRPr="00447531">
        <w:t>ix</w:t>
      </w:r>
      <w:proofErr w:type="spellEnd"/>
      <w:r w:rsidRPr="00447531">
        <w:t>)</w:t>
      </w:r>
      <w:r w:rsidRPr="00447531">
        <w:tab/>
        <w:t>образование и повышение экологической грамотности – успешные мет</w:t>
      </w:r>
      <w:r w:rsidRPr="00447531">
        <w:t>о</w:t>
      </w:r>
      <w:r w:rsidRPr="00447531">
        <w:t>ды коммуникации;</w:t>
      </w:r>
      <w:proofErr w:type="gramEnd"/>
    </w:p>
    <w:p w:rsidR="00447531" w:rsidRPr="00447531" w:rsidRDefault="00447531" w:rsidP="00447531">
      <w:pPr>
        <w:pStyle w:val="SingleTxtGR"/>
        <w:ind w:left="1701" w:hanging="567"/>
      </w:pPr>
      <w:r>
        <w:tab/>
      </w:r>
      <w:r w:rsidRPr="00447531">
        <w:t>x)</w:t>
      </w:r>
      <w:r w:rsidRPr="00447531">
        <w:tab/>
        <w:t>городская проблематика, в том числе повестка дня в области разв</w:t>
      </w:r>
      <w:r w:rsidRPr="00447531">
        <w:t>и</w:t>
      </w:r>
      <w:r w:rsidRPr="00447531">
        <w:t>тия г</w:t>
      </w:r>
      <w:r w:rsidRPr="00447531">
        <w:t>о</w:t>
      </w:r>
      <w:r w:rsidRPr="00447531">
        <w:t>родов и «умные» города – центры «зеленого» прогресса;</w:t>
      </w:r>
    </w:p>
    <w:p w:rsidR="00447531" w:rsidRPr="00447531" w:rsidRDefault="00447531" w:rsidP="00447531">
      <w:pPr>
        <w:pStyle w:val="SingleTxtGR"/>
        <w:ind w:left="1701" w:hanging="567"/>
      </w:pPr>
      <w:r>
        <w:tab/>
      </w:r>
      <w:proofErr w:type="spellStart"/>
      <w:proofErr w:type="gramStart"/>
      <w:r w:rsidRPr="00447531">
        <w:t>xi</w:t>
      </w:r>
      <w:proofErr w:type="spellEnd"/>
      <w:r w:rsidRPr="00447531">
        <w:t>)</w:t>
      </w:r>
      <w:r w:rsidRPr="00447531">
        <w:tab/>
        <w:t>устойчивое потребление и производство – переход к устойчивому разв</w:t>
      </w:r>
      <w:r w:rsidRPr="00447531">
        <w:t>и</w:t>
      </w:r>
      <w:r w:rsidRPr="00447531">
        <w:t>тию;</w:t>
      </w:r>
      <w:proofErr w:type="gramEnd"/>
    </w:p>
    <w:p w:rsidR="00447531" w:rsidRPr="00447531" w:rsidRDefault="00447531" w:rsidP="00447531">
      <w:pPr>
        <w:pStyle w:val="SingleTxtGR"/>
      </w:pPr>
      <w:r>
        <w:tab/>
      </w:r>
      <w:r w:rsidRPr="00447531">
        <w:t>b)</w:t>
      </w:r>
      <w:r w:rsidRPr="00447531">
        <w:tab/>
        <w:t>полученные предложения в отношении второго тематического пр</w:t>
      </w:r>
      <w:r w:rsidRPr="00447531">
        <w:t>и</w:t>
      </w:r>
      <w:r w:rsidRPr="00447531">
        <w:t>оритета (формирующаяся тема, имеющая значение для всего региона, напр</w:t>
      </w:r>
      <w:r w:rsidRPr="00447531">
        <w:t>и</w:t>
      </w:r>
      <w:r w:rsidRPr="00447531">
        <w:t>мер</w:t>
      </w:r>
      <w:r w:rsidR="003030A6">
        <w:t>,</w:t>
      </w:r>
      <w:r w:rsidRPr="00447531">
        <w:t xml:space="preserve"> на Конференции в Астане рассматривалась тема «"Озеленение" экономики: выдвижение на первый план вопросов окружающей среды в процессе эконом</w:t>
      </w:r>
      <w:r w:rsidRPr="00447531">
        <w:t>и</w:t>
      </w:r>
      <w:r w:rsidRPr="00447531">
        <w:t>ческого развития»; на Конференции в Батуми была рассмотрена тема «</w:t>
      </w:r>
      <w:proofErr w:type="spellStart"/>
      <w:r w:rsidRPr="00447531">
        <w:t>Эколог</w:t>
      </w:r>
      <w:r w:rsidRPr="00447531">
        <w:t>и</w:t>
      </w:r>
      <w:r w:rsidRPr="00447531">
        <w:t>зация</w:t>
      </w:r>
      <w:proofErr w:type="spellEnd"/>
      <w:r w:rsidRPr="00447531">
        <w:t xml:space="preserve"> экономики в Панъевропейском регионе»):</w:t>
      </w:r>
    </w:p>
    <w:p w:rsidR="00447531" w:rsidRPr="00447531" w:rsidRDefault="00447531" w:rsidP="00447531">
      <w:pPr>
        <w:pStyle w:val="SingleTxtGR"/>
        <w:ind w:left="1701" w:hanging="567"/>
      </w:pPr>
      <w:r>
        <w:tab/>
      </w:r>
      <w:r w:rsidRPr="00447531">
        <w:t>i)</w:t>
      </w:r>
      <w:r w:rsidRPr="00447531">
        <w:tab/>
        <w:t>оценка воздействия на окружающую среду или стратегическая эк</w:t>
      </w:r>
      <w:r w:rsidRPr="00447531">
        <w:t>о</w:t>
      </w:r>
      <w:r w:rsidRPr="00447531">
        <w:t>логическая оценка;</w:t>
      </w:r>
    </w:p>
    <w:p w:rsidR="00447531" w:rsidRPr="00447531" w:rsidRDefault="00447531" w:rsidP="00447531">
      <w:pPr>
        <w:pStyle w:val="SingleTxtGR"/>
        <w:ind w:left="1701" w:hanging="567"/>
      </w:pPr>
      <w:r>
        <w:tab/>
      </w:r>
      <w:proofErr w:type="spellStart"/>
      <w:proofErr w:type="gramStart"/>
      <w:r w:rsidRPr="00447531">
        <w:t>ii</w:t>
      </w:r>
      <w:proofErr w:type="spellEnd"/>
      <w:r w:rsidRPr="00447531">
        <w:t>)</w:t>
      </w:r>
      <w:r w:rsidRPr="00447531">
        <w:tab/>
        <w:t xml:space="preserve">тема, связанная с Конвенцией </w:t>
      </w:r>
      <w:proofErr w:type="spellStart"/>
      <w:r w:rsidRPr="00447531">
        <w:t>ЕЭК</w:t>
      </w:r>
      <w:proofErr w:type="spellEnd"/>
      <w:r w:rsidRPr="00447531">
        <w:t xml:space="preserve"> о загрязнении окружающей ср</w:t>
      </w:r>
      <w:r w:rsidRPr="00447531">
        <w:t>е</w:t>
      </w:r>
      <w:r w:rsidRPr="00447531">
        <w:t>ды;</w:t>
      </w:r>
      <w:proofErr w:type="gramEnd"/>
    </w:p>
    <w:p w:rsidR="00447531" w:rsidRPr="00447531" w:rsidRDefault="00447531" w:rsidP="00447531">
      <w:pPr>
        <w:pStyle w:val="SingleTxtGR"/>
      </w:pPr>
      <w:r>
        <w:tab/>
      </w:r>
      <w:proofErr w:type="spellStart"/>
      <w:proofErr w:type="gramStart"/>
      <w:r w:rsidRPr="00447531">
        <w:t>iii</w:t>
      </w:r>
      <w:proofErr w:type="spellEnd"/>
      <w:r w:rsidRPr="00447531">
        <w:t>)</w:t>
      </w:r>
      <w:r w:rsidRPr="00447531">
        <w:tab/>
        <w:t>финансирование «зеленой» экономики</w:t>
      </w:r>
      <w:r w:rsidR="003030A6">
        <w:t>;</w:t>
      </w:r>
      <w:proofErr w:type="gramEnd"/>
    </w:p>
    <w:p w:rsidR="00447531" w:rsidRPr="00447531" w:rsidRDefault="00447531" w:rsidP="00447531">
      <w:pPr>
        <w:pStyle w:val="SingleTxtGR"/>
      </w:pPr>
      <w:r>
        <w:tab/>
      </w:r>
      <w:proofErr w:type="spellStart"/>
      <w:proofErr w:type="gramStart"/>
      <w:r w:rsidRPr="00447531">
        <w:t>iv</w:t>
      </w:r>
      <w:proofErr w:type="spellEnd"/>
      <w:r w:rsidRPr="00447531">
        <w:t>)</w:t>
      </w:r>
      <w:r w:rsidRPr="00447531">
        <w:tab/>
        <w:t xml:space="preserve">устойчивое и </w:t>
      </w:r>
      <w:proofErr w:type="spellStart"/>
      <w:r w:rsidRPr="00447531">
        <w:t>экологичное</w:t>
      </w:r>
      <w:proofErr w:type="spellEnd"/>
      <w:r w:rsidRPr="00447531">
        <w:t xml:space="preserve"> «озеленение» экономики;</w:t>
      </w:r>
      <w:proofErr w:type="gramEnd"/>
    </w:p>
    <w:p w:rsidR="00447531" w:rsidRPr="00447531" w:rsidRDefault="00447531" w:rsidP="00447531">
      <w:pPr>
        <w:pStyle w:val="SingleTxtGR"/>
      </w:pPr>
      <w:r>
        <w:tab/>
      </w:r>
      <w:r w:rsidRPr="00447531">
        <w:t>v)</w:t>
      </w:r>
      <w:r w:rsidRPr="00447531">
        <w:tab/>
        <w:t>устойчивое потребление и производство.</w:t>
      </w:r>
    </w:p>
    <w:p w:rsidR="00447531" w:rsidRPr="00447531" w:rsidRDefault="00447531" w:rsidP="00447531">
      <w:pPr>
        <w:pStyle w:val="SingleTxtGR"/>
      </w:pPr>
      <w:r w:rsidRPr="00447531">
        <w:lastRenderedPageBreak/>
        <w:t>32.</w:t>
      </w:r>
      <w:r w:rsidRPr="00447531">
        <w:tab/>
        <w:t>Один из респондентов высказал мысль о том, что тематические приор</w:t>
      </w:r>
      <w:r w:rsidRPr="00447531">
        <w:t>и</w:t>
      </w:r>
      <w:r w:rsidRPr="00447531">
        <w:t>теты следующей конференции будут в первую очередь зависеть от новых рег</w:t>
      </w:r>
      <w:r w:rsidRPr="00447531">
        <w:t>и</w:t>
      </w:r>
      <w:r w:rsidRPr="00447531">
        <w:t>ональных приоритетных направлений и осуществления глобальной повестки дня на региональном уровне. По этой причине идеи относительно тематических заседаний должны представляться на более позднем этапе. Было также выск</w:t>
      </w:r>
      <w:r w:rsidRPr="00447531">
        <w:t>а</w:t>
      </w:r>
      <w:r w:rsidRPr="00447531">
        <w:t>зано мнение о том, что образование в интересах устойчивого развития должно быть включено в качестве сквозного вопроса, наряду с основными тематич</w:t>
      </w:r>
      <w:r w:rsidRPr="00447531">
        <w:t>е</w:t>
      </w:r>
      <w:r w:rsidRPr="00447531">
        <w:t>скими приоритетами.</w:t>
      </w:r>
    </w:p>
    <w:p w:rsidR="00447531" w:rsidRPr="00447531" w:rsidRDefault="00447531" w:rsidP="00447531">
      <w:pPr>
        <w:pStyle w:val="HChGR"/>
      </w:pPr>
      <w:r w:rsidRPr="00447531">
        <w:tab/>
      </w:r>
      <w:proofErr w:type="spellStart"/>
      <w:r w:rsidRPr="00447531">
        <w:t>VI</w:t>
      </w:r>
      <w:proofErr w:type="spellEnd"/>
      <w:r w:rsidRPr="00447531">
        <w:t>.</w:t>
      </w:r>
      <w:r w:rsidRPr="00447531">
        <w:tab/>
        <w:t>Заключение</w:t>
      </w:r>
    </w:p>
    <w:p w:rsidR="00E12C5F" w:rsidRDefault="00447531" w:rsidP="00447531">
      <w:pPr>
        <w:pStyle w:val="SingleTxtGR"/>
      </w:pPr>
      <w:r w:rsidRPr="00447531">
        <w:t>33.</w:t>
      </w:r>
      <w:r w:rsidRPr="00447531">
        <w:tab/>
        <w:t>Несмотря на ограничения, о которых говорилось выше, проведение о</w:t>
      </w:r>
      <w:r w:rsidRPr="00447531">
        <w:t>б</w:t>
      </w:r>
      <w:r w:rsidRPr="00447531">
        <w:t>следования было полезным для извлечения некоторых уроков и формулиров</w:t>
      </w:r>
      <w:r w:rsidRPr="00447531">
        <w:t>а</w:t>
      </w:r>
      <w:r w:rsidRPr="00447531">
        <w:t>ния выводов по ряду вопросов, связанных как с Батумской конференцией, так и с предстоящей конференцией «Окружающая среда для Европы». Некоторые в</w:t>
      </w:r>
      <w:r w:rsidRPr="00447531">
        <w:t>ы</w:t>
      </w:r>
      <w:r w:rsidRPr="00447531">
        <w:t>явленные технические аспекты будут учтены секретариатом в его будущей р</w:t>
      </w:r>
      <w:r w:rsidRPr="00447531">
        <w:t>а</w:t>
      </w:r>
      <w:r w:rsidRPr="00447531">
        <w:t>боте. По некоторым другим аспектам необходимо дальнейшее обсуждение К</w:t>
      </w:r>
      <w:r w:rsidRPr="00447531">
        <w:t>о</w:t>
      </w:r>
      <w:r w:rsidRPr="00447531">
        <w:t>митетом по экологической политике.</w:t>
      </w:r>
    </w:p>
    <w:p w:rsidR="00447531" w:rsidRPr="00447531" w:rsidRDefault="00447531" w:rsidP="00447531">
      <w:pPr>
        <w:pStyle w:val="SingleTxtGR"/>
        <w:spacing w:before="240" w:after="0"/>
        <w:jc w:val="center"/>
        <w:rPr>
          <w:u w:val="single"/>
        </w:rPr>
      </w:pPr>
      <w:r>
        <w:rPr>
          <w:u w:val="single"/>
        </w:rPr>
        <w:tab/>
      </w:r>
      <w:r>
        <w:rPr>
          <w:u w:val="single"/>
        </w:rPr>
        <w:tab/>
      </w:r>
      <w:r>
        <w:rPr>
          <w:u w:val="single"/>
        </w:rPr>
        <w:tab/>
      </w:r>
    </w:p>
    <w:sectPr w:rsidR="00447531" w:rsidRPr="00447531" w:rsidSect="00B933D5">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B75" w:rsidRPr="00A312BC" w:rsidRDefault="00CC5B75" w:rsidP="00A312BC"/>
  </w:endnote>
  <w:endnote w:type="continuationSeparator" w:id="0">
    <w:p w:rsidR="00CC5B75" w:rsidRPr="00A312BC" w:rsidRDefault="00CC5B7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D5" w:rsidRPr="00B933D5" w:rsidRDefault="00B933D5">
    <w:pPr>
      <w:pStyle w:val="a8"/>
    </w:pPr>
    <w:r w:rsidRPr="00B933D5">
      <w:rPr>
        <w:b/>
        <w:sz w:val="18"/>
      </w:rPr>
      <w:fldChar w:fldCharType="begin"/>
    </w:r>
    <w:r w:rsidRPr="00B933D5">
      <w:rPr>
        <w:b/>
        <w:sz w:val="18"/>
      </w:rPr>
      <w:instrText xml:space="preserve"> PAGE  \* MERGEFORMAT </w:instrText>
    </w:r>
    <w:r w:rsidRPr="00B933D5">
      <w:rPr>
        <w:b/>
        <w:sz w:val="18"/>
      </w:rPr>
      <w:fldChar w:fldCharType="separate"/>
    </w:r>
    <w:r w:rsidR="00010FF9">
      <w:rPr>
        <w:b/>
        <w:noProof/>
        <w:sz w:val="18"/>
      </w:rPr>
      <w:t>8</w:t>
    </w:r>
    <w:r w:rsidRPr="00B933D5">
      <w:rPr>
        <w:b/>
        <w:sz w:val="18"/>
      </w:rPr>
      <w:fldChar w:fldCharType="end"/>
    </w:r>
    <w:r>
      <w:rPr>
        <w:b/>
        <w:sz w:val="18"/>
      </w:rPr>
      <w:tab/>
    </w:r>
    <w:r>
      <w:t>GE.17-15314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D5" w:rsidRPr="00B933D5" w:rsidRDefault="00B933D5" w:rsidP="00B933D5">
    <w:pPr>
      <w:pStyle w:val="a8"/>
      <w:tabs>
        <w:tab w:val="clear" w:pos="9639"/>
        <w:tab w:val="right" w:pos="9638"/>
      </w:tabs>
      <w:rPr>
        <w:b/>
        <w:sz w:val="18"/>
      </w:rPr>
    </w:pPr>
    <w:r>
      <w:t>GE.17-15314</w:t>
    </w:r>
    <w:r>
      <w:tab/>
    </w:r>
    <w:r w:rsidRPr="00B933D5">
      <w:rPr>
        <w:b/>
        <w:sz w:val="18"/>
      </w:rPr>
      <w:fldChar w:fldCharType="begin"/>
    </w:r>
    <w:r w:rsidRPr="00B933D5">
      <w:rPr>
        <w:b/>
        <w:sz w:val="18"/>
      </w:rPr>
      <w:instrText xml:space="preserve"> PAGE  \* MERGEFORMAT </w:instrText>
    </w:r>
    <w:r w:rsidRPr="00B933D5">
      <w:rPr>
        <w:b/>
        <w:sz w:val="18"/>
      </w:rPr>
      <w:fldChar w:fldCharType="separate"/>
    </w:r>
    <w:r w:rsidR="00010FF9">
      <w:rPr>
        <w:b/>
        <w:noProof/>
        <w:sz w:val="18"/>
      </w:rPr>
      <w:t>9</w:t>
    </w:r>
    <w:r w:rsidRPr="00B933D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B933D5" w:rsidRDefault="00B933D5" w:rsidP="00B933D5">
    <w:pPr>
      <w:spacing w:before="120" w:line="240" w:lineRule="auto"/>
    </w:pPr>
    <w:r>
      <w:t>GE.</w:t>
    </w:r>
    <w:r w:rsidR="00DF71B9">
      <w:rPr>
        <w:b/>
        <w:noProof/>
      </w:rPr>
      <w:drawing>
        <wp:anchor distT="0" distB="0" distL="114300" distR="114300" simplePos="0" relativeHeight="251658240" behindDoc="0" locked="0" layoutInCell="1" allowOverlap="1" wp14:anchorId="16B49F23" wp14:editId="2A49B8B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17-15314  (R)  210917  270917</w:t>
    </w:r>
    <w:r>
      <w:br/>
    </w:r>
    <w:r w:rsidRPr="00B933D5">
      <w:rPr>
        <w:rFonts w:ascii="C39T30Lfz" w:hAnsi="C39T30Lfz"/>
        <w:spacing w:val="0"/>
        <w:w w:val="100"/>
        <w:sz w:val="56"/>
      </w:rPr>
      <w:t></w:t>
    </w:r>
    <w:r w:rsidRPr="00B933D5">
      <w:rPr>
        <w:rFonts w:ascii="C39T30Lfz" w:hAnsi="C39T30Lfz"/>
        <w:spacing w:val="0"/>
        <w:w w:val="100"/>
        <w:sz w:val="56"/>
      </w:rPr>
      <w:t></w:t>
    </w:r>
    <w:r w:rsidRPr="00B933D5">
      <w:rPr>
        <w:rFonts w:ascii="C39T30Lfz" w:hAnsi="C39T30Lfz"/>
        <w:spacing w:val="0"/>
        <w:w w:val="100"/>
        <w:sz w:val="56"/>
      </w:rPr>
      <w:t></w:t>
    </w:r>
    <w:r w:rsidRPr="00B933D5">
      <w:rPr>
        <w:rFonts w:ascii="C39T30Lfz" w:hAnsi="C39T30Lfz"/>
        <w:spacing w:val="0"/>
        <w:w w:val="100"/>
        <w:sz w:val="56"/>
      </w:rPr>
      <w:t></w:t>
    </w:r>
    <w:r w:rsidRPr="00B933D5">
      <w:rPr>
        <w:rFonts w:ascii="C39T30Lfz" w:hAnsi="C39T30Lfz"/>
        <w:spacing w:val="0"/>
        <w:w w:val="100"/>
        <w:sz w:val="56"/>
      </w:rPr>
      <w:t></w:t>
    </w:r>
    <w:r w:rsidRPr="00B933D5">
      <w:rPr>
        <w:rFonts w:ascii="C39T30Lfz" w:hAnsi="C39T30Lfz"/>
        <w:spacing w:val="0"/>
        <w:w w:val="100"/>
        <w:sz w:val="56"/>
      </w:rPr>
      <w:t></w:t>
    </w:r>
    <w:r w:rsidRPr="00B933D5">
      <w:rPr>
        <w:rFonts w:ascii="C39T30Lfz" w:hAnsi="C39T30Lfz"/>
        <w:spacing w:val="0"/>
        <w:w w:val="100"/>
        <w:sz w:val="56"/>
      </w:rPr>
      <w:t></w:t>
    </w:r>
    <w:r w:rsidRPr="00B933D5">
      <w:rPr>
        <w:rFonts w:ascii="C39T30Lfz" w:hAnsi="C39T30Lfz"/>
        <w:spacing w:val="0"/>
        <w:w w:val="100"/>
        <w:sz w:val="56"/>
      </w:rPr>
      <w:t></w:t>
    </w:r>
    <w:r w:rsidRPr="00B933D5">
      <w:rPr>
        <w:rFonts w:ascii="C39T30Lfz" w:hAnsi="C39T30Lfz"/>
        <w:spacing w:val="0"/>
        <w:w w:val="100"/>
        <w:sz w:val="56"/>
      </w:rPr>
      <w:t></w:t>
    </w:r>
    <w:r>
      <w:rPr>
        <w:noProof/>
        <w:w w:val="100"/>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1131" cy="641131"/>
          <wp:effectExtent l="0" t="0" r="6985" b="6985"/>
          <wp:wrapNone/>
          <wp:docPr id="1" name="Рисунок 1" descr="http://undocs.org/m2/QRCode.ashx?DS=ECE/CEP/2017/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CEP/2017/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131" cy="64113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B75" w:rsidRPr="001075E9" w:rsidRDefault="00CC5B75" w:rsidP="001075E9">
      <w:pPr>
        <w:tabs>
          <w:tab w:val="right" w:pos="2155"/>
        </w:tabs>
        <w:spacing w:after="80" w:line="240" w:lineRule="auto"/>
        <w:ind w:left="680"/>
        <w:rPr>
          <w:u w:val="single"/>
        </w:rPr>
      </w:pPr>
      <w:r>
        <w:rPr>
          <w:u w:val="single"/>
        </w:rPr>
        <w:tab/>
      </w:r>
    </w:p>
  </w:footnote>
  <w:footnote w:type="continuationSeparator" w:id="0">
    <w:p w:rsidR="00CC5B75" w:rsidRDefault="00CC5B75" w:rsidP="00407B78">
      <w:pPr>
        <w:tabs>
          <w:tab w:val="right" w:pos="2155"/>
        </w:tabs>
        <w:spacing w:after="80"/>
        <w:ind w:left="680"/>
        <w:rPr>
          <w:u w:val="single"/>
        </w:rPr>
      </w:pPr>
      <w:r>
        <w:rPr>
          <w:u w:val="single"/>
        </w:rPr>
        <w:tab/>
      </w:r>
    </w:p>
  </w:footnote>
  <w:footnote w:id="1">
    <w:p w:rsidR="00447531" w:rsidRPr="006E0C08" w:rsidRDefault="00447531" w:rsidP="00447531">
      <w:pPr>
        <w:pStyle w:val="ad"/>
      </w:pPr>
      <w:r>
        <w:tab/>
      </w:r>
      <w:r w:rsidRPr="00447531">
        <w:rPr>
          <w:sz w:val="20"/>
        </w:rPr>
        <w:t>*</w:t>
      </w:r>
      <w:r>
        <w:tab/>
        <w:t>Настоящий документ официально не редактировался.</w:t>
      </w:r>
    </w:p>
  </w:footnote>
  <w:footnote w:id="2">
    <w:p w:rsidR="00447531" w:rsidRPr="00447531" w:rsidRDefault="00447531" w:rsidP="00447531">
      <w:pPr>
        <w:pStyle w:val="ad"/>
        <w:rPr>
          <w:lang w:val="ru-RU"/>
        </w:rPr>
      </w:pPr>
      <w:r>
        <w:tab/>
      </w:r>
      <w:r w:rsidRPr="00447531">
        <w:rPr>
          <w:rStyle w:val="aa"/>
        </w:rPr>
        <w:footnoteRef/>
      </w:r>
      <w:r w:rsidRPr="00447531">
        <w:rPr>
          <w:lang w:val="ru-RU"/>
        </w:rPr>
        <w:tab/>
      </w:r>
      <w:proofErr w:type="gramStart"/>
      <w:r w:rsidRPr="00447531">
        <w:rPr>
          <w:lang w:val="ru-RU"/>
        </w:rPr>
        <w:t>Размещены</w:t>
      </w:r>
      <w:proofErr w:type="gramEnd"/>
      <w:r w:rsidRPr="00447531">
        <w:rPr>
          <w:lang w:val="ru-RU"/>
        </w:rPr>
        <w:t xml:space="preserve"> по адресу </w:t>
      </w:r>
      <w:hyperlink r:id="rId1" w:history="1">
        <w:r w:rsidRPr="00447531">
          <w:rPr>
            <w:rStyle w:val="af1"/>
            <w:color w:val="auto"/>
          </w:rPr>
          <w:t>http</w:t>
        </w:r>
        <w:r w:rsidRPr="00447531">
          <w:rPr>
            <w:rStyle w:val="af1"/>
            <w:color w:val="auto"/>
            <w:lang w:val="ru-RU"/>
          </w:rPr>
          <w:t>://</w:t>
        </w:r>
        <w:r w:rsidRPr="00447531">
          <w:rPr>
            <w:rStyle w:val="af1"/>
            <w:color w:val="auto"/>
          </w:rPr>
          <w:t>www</w:t>
        </w:r>
        <w:r w:rsidRPr="00447531">
          <w:rPr>
            <w:rStyle w:val="af1"/>
            <w:color w:val="auto"/>
            <w:lang w:val="ru-RU"/>
          </w:rPr>
          <w:t>.</w:t>
        </w:r>
        <w:proofErr w:type="spellStart"/>
        <w:r w:rsidRPr="00447531">
          <w:rPr>
            <w:rStyle w:val="af1"/>
            <w:color w:val="auto"/>
          </w:rPr>
          <w:t>unece</w:t>
        </w:r>
        <w:proofErr w:type="spellEnd"/>
        <w:r w:rsidRPr="00447531">
          <w:rPr>
            <w:rStyle w:val="af1"/>
            <w:color w:val="auto"/>
            <w:lang w:val="ru-RU"/>
          </w:rPr>
          <w:t>.</w:t>
        </w:r>
        <w:r w:rsidRPr="00447531">
          <w:rPr>
            <w:rStyle w:val="af1"/>
            <w:color w:val="auto"/>
          </w:rPr>
          <w:t>org</w:t>
        </w:r>
        <w:r w:rsidRPr="00447531">
          <w:rPr>
            <w:rStyle w:val="af1"/>
            <w:color w:val="auto"/>
            <w:lang w:val="ru-RU"/>
          </w:rPr>
          <w:t>/</w:t>
        </w:r>
        <w:r w:rsidRPr="00447531">
          <w:rPr>
            <w:rStyle w:val="af1"/>
            <w:color w:val="auto"/>
          </w:rPr>
          <w:t>index</w:t>
        </w:r>
        <w:r w:rsidRPr="00447531">
          <w:rPr>
            <w:rStyle w:val="af1"/>
            <w:color w:val="auto"/>
            <w:lang w:val="ru-RU"/>
          </w:rPr>
          <w:t>.</w:t>
        </w:r>
        <w:proofErr w:type="spellStart"/>
        <w:r w:rsidRPr="00447531">
          <w:rPr>
            <w:rStyle w:val="af1"/>
            <w:color w:val="auto"/>
          </w:rPr>
          <w:t>php</w:t>
        </w:r>
        <w:proofErr w:type="spellEnd"/>
        <w:r w:rsidRPr="00447531">
          <w:rPr>
            <w:rStyle w:val="af1"/>
            <w:color w:val="auto"/>
            <w:lang w:val="ru-RU"/>
          </w:rPr>
          <w:t>?</w:t>
        </w:r>
        <w:r w:rsidRPr="00447531">
          <w:rPr>
            <w:rStyle w:val="af1"/>
            <w:color w:val="auto"/>
          </w:rPr>
          <w:t>id</w:t>
        </w:r>
        <w:r w:rsidRPr="00447531">
          <w:rPr>
            <w:rStyle w:val="af1"/>
            <w:color w:val="auto"/>
            <w:lang w:val="ru-RU"/>
          </w:rPr>
          <w:t>=35032</w:t>
        </w:r>
      </w:hyperlink>
      <w:r w:rsidRPr="00447531">
        <w:rPr>
          <w:lang w:val="ru-RU"/>
        </w:rPr>
        <w:t xml:space="preserve">. </w:t>
      </w:r>
    </w:p>
  </w:footnote>
  <w:footnote w:id="3">
    <w:p w:rsidR="00447531" w:rsidRPr="006E0C08" w:rsidRDefault="00447531" w:rsidP="00447531">
      <w:pPr>
        <w:pStyle w:val="ad"/>
      </w:pPr>
      <w:r w:rsidRPr="00447531">
        <w:rPr>
          <w:lang w:val="ru-RU"/>
        </w:rPr>
        <w:tab/>
      </w:r>
      <w:r w:rsidRPr="00447531">
        <w:rPr>
          <w:rStyle w:val="aa"/>
        </w:rPr>
        <w:footnoteRef/>
      </w:r>
      <w:r>
        <w:tab/>
      </w:r>
      <w:proofErr w:type="gramStart"/>
      <w:r>
        <w:t>Упоминание какой-либо коммерческой компании или продукта в данном документе не предполагает одобрения со стороны Организации Объединенных Наций.</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D5" w:rsidRPr="00B933D5" w:rsidRDefault="00B933D5">
    <w:pPr>
      <w:pStyle w:val="a5"/>
    </w:pPr>
    <w:r>
      <w:fldChar w:fldCharType="begin"/>
    </w:r>
    <w:r>
      <w:instrText xml:space="preserve"> TITLE  \* MERGEFORMAT </w:instrText>
    </w:r>
    <w:r>
      <w:fldChar w:fldCharType="separate"/>
    </w:r>
    <w:proofErr w:type="spellStart"/>
    <w:r w:rsidR="00010FF9">
      <w:t>ECE</w:t>
    </w:r>
    <w:proofErr w:type="spellEnd"/>
    <w:r w:rsidR="00010FF9">
      <w:t>/</w:t>
    </w:r>
    <w:proofErr w:type="spellStart"/>
    <w:r w:rsidR="00010FF9">
      <w:t>CEP</w:t>
    </w:r>
    <w:proofErr w:type="spellEnd"/>
    <w:r w:rsidR="00010FF9">
      <w:t>/2017/17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D5" w:rsidRPr="00B933D5" w:rsidRDefault="00B933D5" w:rsidP="00B933D5">
    <w:pPr>
      <w:pStyle w:val="a5"/>
      <w:jc w:val="right"/>
    </w:pPr>
    <w:r>
      <w:fldChar w:fldCharType="begin"/>
    </w:r>
    <w:r>
      <w:instrText xml:space="preserve"> TITLE  \* MERGEFORMAT </w:instrText>
    </w:r>
    <w:r>
      <w:fldChar w:fldCharType="separate"/>
    </w:r>
    <w:proofErr w:type="spellStart"/>
    <w:r w:rsidR="00010FF9">
      <w:t>ECE</w:t>
    </w:r>
    <w:proofErr w:type="spellEnd"/>
    <w:r w:rsidR="00010FF9">
      <w:t>/</w:t>
    </w:r>
    <w:proofErr w:type="spellStart"/>
    <w:r w:rsidR="00010FF9">
      <w:t>CEP</w:t>
    </w:r>
    <w:proofErr w:type="spellEnd"/>
    <w:r w:rsidR="00010FF9">
      <w:t>/2017/17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CF0"/>
    <w:rsid w:val="00010FF9"/>
    <w:rsid w:val="00033EE1"/>
    <w:rsid w:val="00042B72"/>
    <w:rsid w:val="000558BD"/>
    <w:rsid w:val="000B57E7"/>
    <w:rsid w:val="000B594D"/>
    <w:rsid w:val="000B6373"/>
    <w:rsid w:val="000E4E5B"/>
    <w:rsid w:val="000F09DF"/>
    <w:rsid w:val="000F61B2"/>
    <w:rsid w:val="001075E9"/>
    <w:rsid w:val="0014152F"/>
    <w:rsid w:val="001747BB"/>
    <w:rsid w:val="00180183"/>
    <w:rsid w:val="0018024D"/>
    <w:rsid w:val="0018649F"/>
    <w:rsid w:val="00196389"/>
    <w:rsid w:val="001B3EF6"/>
    <w:rsid w:val="001C7A89"/>
    <w:rsid w:val="00220A6C"/>
    <w:rsid w:val="00255343"/>
    <w:rsid w:val="0027151D"/>
    <w:rsid w:val="002A2EFC"/>
    <w:rsid w:val="002B0106"/>
    <w:rsid w:val="002B74B1"/>
    <w:rsid w:val="002C0E18"/>
    <w:rsid w:val="002D5AAC"/>
    <w:rsid w:val="002E5067"/>
    <w:rsid w:val="002E5AB5"/>
    <w:rsid w:val="002F405F"/>
    <w:rsid w:val="002F635C"/>
    <w:rsid w:val="002F7EEC"/>
    <w:rsid w:val="00301299"/>
    <w:rsid w:val="003030A6"/>
    <w:rsid w:val="00305C08"/>
    <w:rsid w:val="00307FB6"/>
    <w:rsid w:val="00317339"/>
    <w:rsid w:val="00322004"/>
    <w:rsid w:val="003402C2"/>
    <w:rsid w:val="00381C24"/>
    <w:rsid w:val="00387CD4"/>
    <w:rsid w:val="003958D0"/>
    <w:rsid w:val="003A0D43"/>
    <w:rsid w:val="003A48CE"/>
    <w:rsid w:val="003B00E5"/>
    <w:rsid w:val="00407B78"/>
    <w:rsid w:val="00424203"/>
    <w:rsid w:val="00447531"/>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345DB"/>
    <w:rsid w:val="00640F49"/>
    <w:rsid w:val="00680D03"/>
    <w:rsid w:val="00681A10"/>
    <w:rsid w:val="006A1ED8"/>
    <w:rsid w:val="006C2031"/>
    <w:rsid w:val="006D461A"/>
    <w:rsid w:val="006F35EE"/>
    <w:rsid w:val="007021FF"/>
    <w:rsid w:val="00712895"/>
    <w:rsid w:val="00734ACB"/>
    <w:rsid w:val="00747655"/>
    <w:rsid w:val="00757357"/>
    <w:rsid w:val="007869C1"/>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A571A"/>
    <w:rsid w:val="009C6FE6"/>
    <w:rsid w:val="009D7E7D"/>
    <w:rsid w:val="00A14DA8"/>
    <w:rsid w:val="00A312BC"/>
    <w:rsid w:val="00A84021"/>
    <w:rsid w:val="00A84D35"/>
    <w:rsid w:val="00A917B3"/>
    <w:rsid w:val="00AB4B51"/>
    <w:rsid w:val="00B10CC7"/>
    <w:rsid w:val="00B36DF7"/>
    <w:rsid w:val="00B539E7"/>
    <w:rsid w:val="00B62458"/>
    <w:rsid w:val="00B933D5"/>
    <w:rsid w:val="00BC18B2"/>
    <w:rsid w:val="00BD33EE"/>
    <w:rsid w:val="00BE1CC7"/>
    <w:rsid w:val="00C106D6"/>
    <w:rsid w:val="00C119AE"/>
    <w:rsid w:val="00C60F0C"/>
    <w:rsid w:val="00C805C9"/>
    <w:rsid w:val="00C92939"/>
    <w:rsid w:val="00CA1679"/>
    <w:rsid w:val="00CB151C"/>
    <w:rsid w:val="00CC5B75"/>
    <w:rsid w:val="00CE5A1A"/>
    <w:rsid w:val="00CF55F6"/>
    <w:rsid w:val="00D33D63"/>
    <w:rsid w:val="00D5253A"/>
    <w:rsid w:val="00D90028"/>
    <w:rsid w:val="00D90138"/>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74CF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C6FE6"/>
    <w:pPr>
      <w:spacing w:line="240" w:lineRule="atLeast"/>
    </w:pPr>
    <w:rPr>
      <w:rFonts w:eastAsiaTheme="minorEastAsia" w:cstheme="minorBidi"/>
      <w:spacing w:val="4"/>
      <w:w w:val="103"/>
      <w:kern w:val="14"/>
      <w:szCs w:val="22"/>
      <w:lang w:val="ru-RU" w:eastAsia="zh-CN"/>
    </w:rPr>
  </w:style>
  <w:style w:type="paragraph" w:styleId="1">
    <w:name w:val="heading 1"/>
    <w:aliases w:val="Table_GR"/>
    <w:basedOn w:val="a"/>
    <w:next w:val="a"/>
    <w:link w:val="10"/>
    <w:qFormat/>
    <w:rsid w:val="009C6FE6"/>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C6FE6"/>
    <w:pPr>
      <w:spacing w:line="240" w:lineRule="auto"/>
    </w:pPr>
    <w:rPr>
      <w:rFonts w:ascii="Tahoma" w:hAnsi="Tahoma" w:cs="Tahoma"/>
      <w:sz w:val="16"/>
      <w:szCs w:val="16"/>
    </w:rPr>
  </w:style>
  <w:style w:type="character" w:customStyle="1" w:styleId="a4">
    <w:name w:val="Текст выноски Знак"/>
    <w:basedOn w:val="a0"/>
    <w:link w:val="a3"/>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a"/>
    <w:next w:val="a"/>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9C6FE6"/>
    <w:pPr>
      <w:spacing w:before="40" w:after="40" w:line="220" w:lineRule="exact"/>
      <w:jc w:val="right"/>
    </w:pPr>
    <w:rPr>
      <w:sz w:val="18"/>
      <w:lang w:val="ru-RU" w:eastAsia="ru-RU"/>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9C6FE6"/>
    <w:pPr>
      <w:spacing w:before="40" w:after="120" w:line="240" w:lineRule="atLeast"/>
    </w:pPr>
    <w:rPr>
      <w:lang w:val="ru-RU" w:eastAsia="ru-RU"/>
    </w:r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9C6FE6"/>
    <w:rPr>
      <w:b/>
      <w:spacing w:val="4"/>
      <w:w w:val="103"/>
      <w:kern w:val="14"/>
      <w:sz w:val="18"/>
      <w:lang w:val="en-GB" w:eastAsia="ru-RU"/>
    </w:rPr>
  </w:style>
  <w:style w:type="character" w:styleId="a7">
    <w:name w:val="page number"/>
    <w:aliases w:val="7_GR"/>
    <w:basedOn w:val="a0"/>
    <w:qFormat/>
    <w:rsid w:val="009C6FE6"/>
    <w:rPr>
      <w:rFonts w:ascii="Times New Roman" w:hAnsi="Times New Roman"/>
      <w:b/>
      <w:sz w:val="18"/>
    </w:rPr>
  </w:style>
  <w:style w:type="paragraph" w:styleId="a8">
    <w:name w:val="footer"/>
    <w:aliases w:val="3_GR"/>
    <w:basedOn w:val="a"/>
    <w:link w:val="a9"/>
    <w:qFormat/>
    <w:rsid w:val="009C6FE6"/>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9C6FE6"/>
    <w:rPr>
      <w:spacing w:val="4"/>
      <w:w w:val="103"/>
      <w:kern w:val="14"/>
      <w:sz w:val="16"/>
      <w:lang w:val="en-GB" w:eastAsia="ru-RU"/>
    </w:rPr>
  </w:style>
  <w:style w:type="character" w:styleId="aa">
    <w:name w:val="footnote reference"/>
    <w:aliases w:val="4_GR"/>
    <w:basedOn w:val="a0"/>
    <w:qFormat/>
    <w:rsid w:val="009C6FE6"/>
    <w:rPr>
      <w:rFonts w:ascii="Times New Roman" w:hAnsi="Times New Roman"/>
      <w:dstrike w:val="0"/>
      <w:sz w:val="18"/>
      <w:vertAlign w:val="superscript"/>
    </w:rPr>
  </w:style>
  <w:style w:type="character" w:styleId="ab">
    <w:name w:val="endnote reference"/>
    <w:aliases w:val="1_GR"/>
    <w:basedOn w:val="aa"/>
    <w:qFormat/>
    <w:rsid w:val="009C6FE6"/>
    <w:rPr>
      <w:rFonts w:ascii="Times New Roman" w:hAnsi="Times New Roman"/>
      <w:dstrike w:val="0"/>
      <w:sz w:val="18"/>
      <w:vertAlign w:val="superscript"/>
    </w:rPr>
  </w:style>
  <w:style w:type="table" w:styleId="ac">
    <w:name w:val="Table Grid"/>
    <w:basedOn w:val="a1"/>
    <w:rsid w:val="00F2523A"/>
    <w:rPr>
      <w:rFonts w:eastAsiaTheme="minorHAnsi" w:cstheme="minorBidi"/>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aliases w:val="5_GR"/>
    <w:basedOn w:val="a"/>
    <w:link w:val="ae"/>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9C6FE6"/>
    <w:rPr>
      <w:spacing w:val="5"/>
      <w:w w:val="104"/>
      <w:kern w:val="14"/>
      <w:sz w:val="18"/>
      <w:lang w:val="en-GB" w:eastAsia="ru-RU"/>
    </w:rPr>
  </w:style>
  <w:style w:type="paragraph" w:styleId="af">
    <w:name w:val="endnote text"/>
    <w:aliases w:val="2_GR"/>
    <w:basedOn w:val="ad"/>
    <w:link w:val="af0"/>
    <w:qFormat/>
    <w:rsid w:val="009C6FE6"/>
  </w:style>
  <w:style w:type="character" w:customStyle="1" w:styleId="af0">
    <w:name w:val="Текст концевой сноски Знак"/>
    <w:aliases w:val="2_GR Знак"/>
    <w:basedOn w:val="a0"/>
    <w:link w:val="af"/>
    <w:rsid w:val="009C6FE6"/>
    <w:rPr>
      <w:spacing w:val="5"/>
      <w:w w:val="104"/>
      <w:kern w:val="14"/>
      <w:sz w:val="18"/>
      <w:lang w:val="en-GB" w:eastAsia="ru-RU"/>
    </w:rPr>
  </w:style>
  <w:style w:type="character" w:customStyle="1" w:styleId="10">
    <w:name w:val="Заголовок 1 Знак"/>
    <w:aliases w:val="Table_GR Знак"/>
    <w:basedOn w:val="a0"/>
    <w:link w:val="1"/>
    <w:rsid w:val="009C6FE6"/>
    <w:rPr>
      <w:rFonts w:cs="Arial"/>
      <w:b/>
      <w:bCs/>
      <w:spacing w:val="4"/>
      <w:w w:val="103"/>
      <w:kern w:val="14"/>
      <w:szCs w:val="32"/>
      <w:lang w:val="ru-RU" w:eastAsia="ru-RU"/>
    </w:rPr>
  </w:style>
  <w:style w:type="character" w:styleId="af1">
    <w:name w:val="Hyperlink"/>
    <w:basedOn w:val="a0"/>
    <w:unhideWhenUsed/>
    <w:rsid w:val="009C6FE6"/>
    <w:rPr>
      <w:color w:val="0000FF" w:themeColor="hyperlink"/>
      <w:u w:val="none"/>
    </w:rPr>
  </w:style>
  <w:style w:type="character" w:styleId="af2">
    <w:name w:val="FollowedHyperlink"/>
    <w:basedOn w:val="a0"/>
    <w:semiHidden/>
    <w:unhideWhenUsed/>
    <w:rsid w:val="009C6FE6"/>
    <w:rPr>
      <w:color w:val="800080" w:themeColor="followedHyperlink"/>
      <w:u w:val="none"/>
    </w:rPr>
  </w:style>
  <w:style w:type="paragraph" w:customStyle="1" w:styleId="Bullet1G">
    <w:name w:val="_Bullet 1_G"/>
    <w:basedOn w:val="a"/>
    <w:rsid w:val="00447531"/>
    <w:pPr>
      <w:numPr>
        <w:numId w:val="19"/>
      </w:numPr>
      <w:suppressAutoHyphens/>
      <w:spacing w:after="120"/>
      <w:ind w:right="1134"/>
      <w:jc w:val="both"/>
    </w:pPr>
    <w:rPr>
      <w:rFonts w:eastAsia="Times New Roman" w:cs="Times New Roman"/>
      <w:spacing w:val="0"/>
      <w:w w:val="100"/>
      <w:kern w:val="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C6FE6"/>
    <w:pPr>
      <w:spacing w:line="240" w:lineRule="atLeast"/>
    </w:pPr>
    <w:rPr>
      <w:rFonts w:eastAsiaTheme="minorEastAsia" w:cstheme="minorBidi"/>
      <w:spacing w:val="4"/>
      <w:w w:val="103"/>
      <w:kern w:val="14"/>
      <w:szCs w:val="22"/>
      <w:lang w:val="ru-RU" w:eastAsia="zh-CN"/>
    </w:rPr>
  </w:style>
  <w:style w:type="paragraph" w:styleId="1">
    <w:name w:val="heading 1"/>
    <w:aliases w:val="Table_GR"/>
    <w:basedOn w:val="a"/>
    <w:next w:val="a"/>
    <w:link w:val="10"/>
    <w:qFormat/>
    <w:rsid w:val="009C6FE6"/>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C6FE6"/>
    <w:pPr>
      <w:spacing w:line="240" w:lineRule="auto"/>
    </w:pPr>
    <w:rPr>
      <w:rFonts w:ascii="Tahoma" w:hAnsi="Tahoma" w:cs="Tahoma"/>
      <w:sz w:val="16"/>
      <w:szCs w:val="16"/>
    </w:rPr>
  </w:style>
  <w:style w:type="character" w:customStyle="1" w:styleId="a4">
    <w:name w:val="Текст выноски Знак"/>
    <w:basedOn w:val="a0"/>
    <w:link w:val="a3"/>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a"/>
    <w:next w:val="a"/>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9C6FE6"/>
    <w:pPr>
      <w:spacing w:before="40" w:after="40" w:line="220" w:lineRule="exact"/>
      <w:jc w:val="right"/>
    </w:pPr>
    <w:rPr>
      <w:sz w:val="18"/>
      <w:lang w:val="ru-RU" w:eastAsia="ru-RU"/>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9C6FE6"/>
    <w:pPr>
      <w:spacing w:before="40" w:after="120" w:line="240" w:lineRule="atLeast"/>
    </w:pPr>
    <w:rPr>
      <w:lang w:val="ru-RU" w:eastAsia="ru-RU"/>
    </w:r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9C6FE6"/>
    <w:rPr>
      <w:b/>
      <w:spacing w:val="4"/>
      <w:w w:val="103"/>
      <w:kern w:val="14"/>
      <w:sz w:val="18"/>
      <w:lang w:val="en-GB" w:eastAsia="ru-RU"/>
    </w:rPr>
  </w:style>
  <w:style w:type="character" w:styleId="a7">
    <w:name w:val="page number"/>
    <w:aliases w:val="7_GR"/>
    <w:basedOn w:val="a0"/>
    <w:qFormat/>
    <w:rsid w:val="009C6FE6"/>
    <w:rPr>
      <w:rFonts w:ascii="Times New Roman" w:hAnsi="Times New Roman"/>
      <w:b/>
      <w:sz w:val="18"/>
    </w:rPr>
  </w:style>
  <w:style w:type="paragraph" w:styleId="a8">
    <w:name w:val="footer"/>
    <w:aliases w:val="3_GR"/>
    <w:basedOn w:val="a"/>
    <w:link w:val="a9"/>
    <w:qFormat/>
    <w:rsid w:val="009C6FE6"/>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9C6FE6"/>
    <w:rPr>
      <w:spacing w:val="4"/>
      <w:w w:val="103"/>
      <w:kern w:val="14"/>
      <w:sz w:val="16"/>
      <w:lang w:val="en-GB" w:eastAsia="ru-RU"/>
    </w:rPr>
  </w:style>
  <w:style w:type="character" w:styleId="aa">
    <w:name w:val="footnote reference"/>
    <w:aliases w:val="4_GR"/>
    <w:basedOn w:val="a0"/>
    <w:qFormat/>
    <w:rsid w:val="009C6FE6"/>
    <w:rPr>
      <w:rFonts w:ascii="Times New Roman" w:hAnsi="Times New Roman"/>
      <w:dstrike w:val="0"/>
      <w:sz w:val="18"/>
      <w:vertAlign w:val="superscript"/>
    </w:rPr>
  </w:style>
  <w:style w:type="character" w:styleId="ab">
    <w:name w:val="endnote reference"/>
    <w:aliases w:val="1_GR"/>
    <w:basedOn w:val="aa"/>
    <w:qFormat/>
    <w:rsid w:val="009C6FE6"/>
    <w:rPr>
      <w:rFonts w:ascii="Times New Roman" w:hAnsi="Times New Roman"/>
      <w:dstrike w:val="0"/>
      <w:sz w:val="18"/>
      <w:vertAlign w:val="superscript"/>
    </w:rPr>
  </w:style>
  <w:style w:type="table" w:styleId="ac">
    <w:name w:val="Table Grid"/>
    <w:basedOn w:val="a1"/>
    <w:rsid w:val="00F2523A"/>
    <w:rPr>
      <w:rFonts w:eastAsiaTheme="minorHAnsi" w:cstheme="minorBidi"/>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aliases w:val="5_GR"/>
    <w:basedOn w:val="a"/>
    <w:link w:val="ae"/>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9C6FE6"/>
    <w:rPr>
      <w:spacing w:val="5"/>
      <w:w w:val="104"/>
      <w:kern w:val="14"/>
      <w:sz w:val="18"/>
      <w:lang w:val="en-GB" w:eastAsia="ru-RU"/>
    </w:rPr>
  </w:style>
  <w:style w:type="paragraph" w:styleId="af">
    <w:name w:val="endnote text"/>
    <w:aliases w:val="2_GR"/>
    <w:basedOn w:val="ad"/>
    <w:link w:val="af0"/>
    <w:qFormat/>
    <w:rsid w:val="009C6FE6"/>
  </w:style>
  <w:style w:type="character" w:customStyle="1" w:styleId="af0">
    <w:name w:val="Текст концевой сноски Знак"/>
    <w:aliases w:val="2_GR Знак"/>
    <w:basedOn w:val="a0"/>
    <w:link w:val="af"/>
    <w:rsid w:val="009C6FE6"/>
    <w:rPr>
      <w:spacing w:val="5"/>
      <w:w w:val="104"/>
      <w:kern w:val="14"/>
      <w:sz w:val="18"/>
      <w:lang w:val="en-GB" w:eastAsia="ru-RU"/>
    </w:rPr>
  </w:style>
  <w:style w:type="character" w:customStyle="1" w:styleId="10">
    <w:name w:val="Заголовок 1 Знак"/>
    <w:aliases w:val="Table_GR Знак"/>
    <w:basedOn w:val="a0"/>
    <w:link w:val="1"/>
    <w:rsid w:val="009C6FE6"/>
    <w:rPr>
      <w:rFonts w:cs="Arial"/>
      <w:b/>
      <w:bCs/>
      <w:spacing w:val="4"/>
      <w:w w:val="103"/>
      <w:kern w:val="14"/>
      <w:szCs w:val="32"/>
      <w:lang w:val="ru-RU" w:eastAsia="ru-RU"/>
    </w:rPr>
  </w:style>
  <w:style w:type="character" w:styleId="af1">
    <w:name w:val="Hyperlink"/>
    <w:basedOn w:val="a0"/>
    <w:unhideWhenUsed/>
    <w:rsid w:val="009C6FE6"/>
    <w:rPr>
      <w:color w:val="0000FF" w:themeColor="hyperlink"/>
      <w:u w:val="none"/>
    </w:rPr>
  </w:style>
  <w:style w:type="character" w:styleId="af2">
    <w:name w:val="FollowedHyperlink"/>
    <w:basedOn w:val="a0"/>
    <w:semiHidden/>
    <w:unhideWhenUsed/>
    <w:rsid w:val="009C6FE6"/>
    <w:rPr>
      <w:color w:val="800080" w:themeColor="followedHyperlink"/>
      <w:u w:val="none"/>
    </w:rPr>
  </w:style>
  <w:style w:type="paragraph" w:customStyle="1" w:styleId="Bullet1G">
    <w:name w:val="_Bullet 1_G"/>
    <w:basedOn w:val="a"/>
    <w:rsid w:val="00447531"/>
    <w:pPr>
      <w:numPr>
        <w:numId w:val="19"/>
      </w:numPr>
      <w:suppressAutoHyphens/>
      <w:spacing w:after="120"/>
      <w:ind w:right="1134"/>
      <w:jc w:val="both"/>
    </w:pPr>
    <w:rPr>
      <w:rFonts w:eastAsia="Times New Roman" w:cs="Times New Roman"/>
      <w:spacing w:val="0"/>
      <w:w w:val="100"/>
      <w:kern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index.php?id=350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39D0F-EED0-460F-A804-D55EA66A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9</Pages>
  <Words>3140</Words>
  <Characters>21698</Characters>
  <Application>Microsoft Office Word</Application>
  <DocSecurity>0</DocSecurity>
  <Lines>417</Lines>
  <Paragraphs>112</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ECE/CEP/2017/17</vt:lpstr>
      <vt:lpstr>A/</vt:lpstr>
    </vt:vector>
  </TitlesOfParts>
  <Company>DCM</Company>
  <LinksUpToDate>false</LinksUpToDate>
  <CharactersWithSpaces>24726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ECE/CEP/2017/17</dc:title>
  <dc:subject/>
  <dc:creator>Salynskaya</dc:creator>
  <cp:keywords/>
  <cp:lastModifiedBy>Salynskaya</cp:lastModifiedBy>
  <cp:revision>3</cp:revision>
  <cp:lastPrinted>2017-09-27T06:39:00Z</cp:lastPrinted>
  <dcterms:created xsi:type="dcterms:W3CDTF">2017-09-27T06:39:00Z</dcterms:created>
  <dcterms:modified xsi:type="dcterms:W3CDTF">2017-09-27T06:40:00Z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