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2D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2DF3" w:rsidP="00BB2DF3">
            <w:pPr>
              <w:jc w:val="right"/>
            </w:pPr>
            <w:r w:rsidRPr="00BB2DF3">
              <w:rPr>
                <w:sz w:val="40"/>
              </w:rPr>
              <w:t>ECE</w:t>
            </w:r>
            <w:r>
              <w:t>/CEP/2017/10</w:t>
            </w:r>
          </w:p>
        </w:tc>
      </w:tr>
      <w:tr w:rsidR="002D5AAC" w:rsidRPr="00443B2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2D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2DF3" w:rsidRDefault="00BB2DF3" w:rsidP="00BB2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2017</w:t>
            </w:r>
          </w:p>
          <w:p w:rsidR="00BB2DF3" w:rsidRDefault="00BB2DF3" w:rsidP="00BB2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2DF3" w:rsidRPr="008D53B6" w:rsidRDefault="00BB2DF3" w:rsidP="00BB2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B2DF3" w:rsidRPr="00BB2DF3" w:rsidRDefault="00BB2DF3" w:rsidP="00BB2DF3">
      <w:pPr>
        <w:spacing w:before="120" w:after="120"/>
        <w:rPr>
          <w:bCs/>
          <w:sz w:val="28"/>
          <w:szCs w:val="28"/>
        </w:rPr>
      </w:pPr>
      <w:r w:rsidRPr="00BB2DF3">
        <w:rPr>
          <w:sz w:val="28"/>
          <w:szCs w:val="28"/>
        </w:rPr>
        <w:t>Комитет по экологической политике</w:t>
      </w:r>
    </w:p>
    <w:p w:rsidR="00BB2DF3" w:rsidRPr="00BB2DF3" w:rsidRDefault="00BB2DF3" w:rsidP="00BB2DF3">
      <w:pPr>
        <w:rPr>
          <w:b/>
        </w:rPr>
      </w:pPr>
      <w:r w:rsidRPr="00BB2DF3">
        <w:rPr>
          <w:b/>
        </w:rPr>
        <w:t>Двадцать третья сессия</w:t>
      </w:r>
    </w:p>
    <w:p w:rsidR="00BB2DF3" w:rsidRPr="00BB2DF3" w:rsidRDefault="00BB2DF3" w:rsidP="00BB2DF3">
      <w:r w:rsidRPr="00BB2DF3">
        <w:t>Женева, 14–17 ноября 2017 года</w:t>
      </w:r>
    </w:p>
    <w:p w:rsidR="00BB2DF3" w:rsidRPr="00BB2DF3" w:rsidRDefault="00BB2DF3" w:rsidP="00BB2DF3">
      <w:r w:rsidRPr="00BB2DF3">
        <w:t>Пункт 9 d) предварительной повестки дня</w:t>
      </w:r>
    </w:p>
    <w:p w:rsidR="00E12C5F" w:rsidRPr="00BB2DF3" w:rsidRDefault="00BB2DF3" w:rsidP="00BB2DF3">
      <w:pPr>
        <w:rPr>
          <w:b/>
        </w:rPr>
      </w:pPr>
      <w:r w:rsidRPr="00BB2DF3">
        <w:rPr>
          <w:b/>
        </w:rPr>
        <w:t xml:space="preserve">Программа работы Подпрограммы </w:t>
      </w:r>
      <w:r w:rsidRPr="00BB2DF3">
        <w:rPr>
          <w:b/>
        </w:rPr>
        <w:br/>
        <w:t xml:space="preserve">по окружающей среде: предлагаемые </w:t>
      </w:r>
      <w:r w:rsidRPr="00BB2DF3">
        <w:rPr>
          <w:b/>
        </w:rPr>
        <w:br/>
        <w:t xml:space="preserve">стратегические рамки Подпрограммы </w:t>
      </w:r>
      <w:r w:rsidRPr="00BB2DF3">
        <w:rPr>
          <w:b/>
        </w:rPr>
        <w:br/>
        <w:t>по окружающей среде на 2020–2021 годы</w:t>
      </w:r>
    </w:p>
    <w:p w:rsidR="00BB2DF3" w:rsidRPr="00BB2DF3" w:rsidRDefault="00BB2DF3" w:rsidP="00BB2DF3">
      <w:pPr>
        <w:pStyle w:val="HChGR"/>
      </w:pPr>
      <w:r w:rsidRPr="00443B2B">
        <w:tab/>
      </w:r>
      <w:r w:rsidRPr="00443B2B">
        <w:tab/>
      </w:r>
      <w:r w:rsidRPr="00BB2DF3">
        <w:t>Прое</w:t>
      </w:r>
      <w:proofErr w:type="gramStart"/>
      <w:r w:rsidRPr="00BB2DF3">
        <w:t>кт стр</w:t>
      </w:r>
      <w:proofErr w:type="gramEnd"/>
      <w:r w:rsidRPr="00BB2DF3">
        <w:t>ат</w:t>
      </w:r>
      <w:r>
        <w:t>егических рамок Подпрограммы по</w:t>
      </w:r>
      <w:r>
        <w:rPr>
          <w:lang w:val="en-US"/>
        </w:rPr>
        <w:t> </w:t>
      </w:r>
      <w:r>
        <w:t>окружающей среде на 2020</w:t>
      </w:r>
      <w:r w:rsidRPr="00BB2DF3">
        <w:t>–2021 годы</w:t>
      </w:r>
    </w:p>
    <w:p w:rsidR="00BB2DF3" w:rsidRPr="00BB2DF3" w:rsidRDefault="00BB2DF3" w:rsidP="00BB2DF3">
      <w:pPr>
        <w:pStyle w:val="H1GR"/>
      </w:pPr>
      <w:r w:rsidRPr="00BB2DF3">
        <w:tab/>
      </w:r>
      <w:r w:rsidRPr="00BB2DF3">
        <w:tab/>
        <w:t>Записка секретариата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BB2DF3" w:rsidRPr="00BB2DF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B2DF3" w:rsidRPr="00BB2DF3" w:rsidRDefault="00BB2DF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B2DF3">
              <w:rPr>
                <w:rFonts w:cs="Times New Roman"/>
              </w:rPr>
              <w:tab/>
            </w:r>
            <w:r w:rsidRPr="00BB2DF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B2DF3" w:rsidRPr="00BB2DF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2DF3" w:rsidRPr="00BB2DF3" w:rsidRDefault="00BB2DF3" w:rsidP="00B5429B">
            <w:pPr>
              <w:pStyle w:val="SingleTxtGR"/>
            </w:pPr>
            <w:r w:rsidRPr="00443B2B">
              <w:tab/>
            </w:r>
            <w:r w:rsidRPr="00BB2DF3">
              <w:t>Стратегические рамки для Организации Объединенных Наций составл</w:t>
            </w:r>
            <w:r w:rsidRPr="00BB2DF3">
              <w:t>я</w:t>
            </w:r>
            <w:r w:rsidRPr="00BB2DF3">
              <w:t>ются на двухгодичной основе в соответствии с Положениями и правилами, р</w:t>
            </w:r>
            <w:r w:rsidRPr="00BB2DF3">
              <w:t>е</w:t>
            </w:r>
            <w:r w:rsidRPr="00BB2DF3">
              <w:t>гулирующими планирование по программам, программные аспекты бюджета, контроль выполнения и методы оценки (ST/SGB/2016/6).</w:t>
            </w:r>
          </w:p>
        </w:tc>
      </w:tr>
      <w:tr w:rsidR="00BB2DF3" w:rsidRPr="00BB2DF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2DF3" w:rsidRPr="00BB2DF3" w:rsidRDefault="00BB2DF3" w:rsidP="00B5429B">
            <w:pPr>
              <w:pStyle w:val="SingleTxtGR"/>
            </w:pPr>
            <w:r w:rsidRPr="00443B2B">
              <w:tab/>
            </w:r>
            <w:r w:rsidRPr="00BB2DF3">
              <w:t>В настоящем документе представлен проект предлагаемых стратегич</w:t>
            </w:r>
            <w:r w:rsidRPr="00BB2DF3">
              <w:t>е</w:t>
            </w:r>
            <w:r w:rsidRPr="00BB2DF3">
              <w:t>ских рамок Подпрограммы по окружающей среде на 2020–2021 годы в качестве составной части Стратегических рамок Европейской экономической комиссии Организации Объединенных Наций (ЕЭК) на этот период. Проект представл</w:t>
            </w:r>
            <w:r w:rsidRPr="00BB2DF3">
              <w:t>я</w:t>
            </w:r>
            <w:r w:rsidRPr="00BB2DF3">
              <w:t>ется Комитету по экологической политике для рассмотрения и последующего препровождения Исполнительному комитету ЕЭК для дальнейшего изучения. Окончательный вариант проекта будет представлен Генеральной Ассамблее О</w:t>
            </w:r>
            <w:r w:rsidRPr="00BB2DF3">
              <w:t>р</w:t>
            </w:r>
            <w:r w:rsidRPr="00BB2DF3">
              <w:t>ганизации Объединенных Наций для его принятия на ее семьдесят третьей се</w:t>
            </w:r>
            <w:r w:rsidRPr="00BB2DF3">
              <w:t>с</w:t>
            </w:r>
            <w:r w:rsidRPr="00BB2DF3">
              <w:t>сии.</w:t>
            </w:r>
          </w:p>
        </w:tc>
      </w:tr>
      <w:tr w:rsidR="00BB2DF3" w:rsidRPr="00BB2DF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2DF3" w:rsidRPr="00BB2DF3" w:rsidRDefault="00BB2DF3" w:rsidP="00B5429B">
            <w:pPr>
              <w:pStyle w:val="SingleTxtGR"/>
            </w:pPr>
            <w:r w:rsidRPr="00443B2B">
              <w:tab/>
            </w:r>
            <w:r w:rsidRPr="00BB2DF3">
              <w:t>Проект документа был подготовлен секретариатом и рассмотрен През</w:t>
            </w:r>
            <w:r w:rsidRPr="00BB2DF3">
              <w:t>и</w:t>
            </w:r>
            <w:r w:rsidRPr="00BB2DF3">
              <w:t>диумом на его совещании, состоявшемся в Лиссабоне 28 и 29 июня 2017 года.</w:t>
            </w:r>
          </w:p>
        </w:tc>
      </w:tr>
      <w:tr w:rsidR="00BB2DF3" w:rsidRPr="00BB2DF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B2DF3" w:rsidRPr="00BB2DF3" w:rsidRDefault="00BB2DF3" w:rsidP="00B5429B">
            <w:pPr>
              <w:pStyle w:val="SingleTxtGR"/>
            </w:pPr>
            <w:r w:rsidRPr="00443B2B">
              <w:tab/>
            </w:r>
            <w:r w:rsidRPr="00BB2DF3">
              <w:t>Комитету предлагается рассмотреть предлагаемые стратегические рамки Подпрогра</w:t>
            </w:r>
            <w:r>
              <w:t>ммы по окружающей среде на 2020</w:t>
            </w:r>
            <w:r w:rsidRPr="00BB2DF3">
              <w:t>–2021 годы.</w:t>
            </w:r>
          </w:p>
        </w:tc>
      </w:tr>
      <w:tr w:rsidR="00BB2DF3" w:rsidRPr="00BB2DF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B2DF3" w:rsidRPr="00BB2DF3" w:rsidRDefault="00BB2DF3" w:rsidP="00850215">
            <w:pPr>
              <w:rPr>
                <w:rFonts w:cs="Times New Roman"/>
              </w:rPr>
            </w:pPr>
          </w:p>
        </w:tc>
      </w:tr>
    </w:tbl>
    <w:p w:rsidR="00BB2DF3" w:rsidRDefault="00BB2DF3" w:rsidP="00BB2DF3">
      <w:pPr>
        <w:pStyle w:val="SingleTxtGR"/>
      </w:pPr>
    </w:p>
    <w:p w:rsidR="00BB2DF3" w:rsidRPr="00BB2DF3" w:rsidRDefault="00BB2DF3" w:rsidP="00573ECE">
      <w:pPr>
        <w:pStyle w:val="HChGR"/>
      </w:pPr>
      <w:r>
        <w:br w:type="page"/>
      </w:r>
      <w:r w:rsidR="00573ECE" w:rsidRPr="00443B2B">
        <w:lastRenderedPageBreak/>
        <w:tab/>
      </w:r>
      <w:r w:rsidRPr="00BB2DF3">
        <w:t>I.</w:t>
      </w:r>
      <w:r w:rsidRPr="00BB2DF3">
        <w:tab/>
        <w:t>Введение</w:t>
      </w:r>
    </w:p>
    <w:p w:rsidR="00BB2DF3" w:rsidRPr="00BB2DF3" w:rsidRDefault="00BB2DF3" w:rsidP="00BB2DF3">
      <w:pPr>
        <w:pStyle w:val="SingleTxtGR"/>
      </w:pPr>
      <w:r w:rsidRPr="00BB2DF3">
        <w:t>1.</w:t>
      </w:r>
      <w:r w:rsidRPr="00BB2DF3">
        <w:tab/>
        <w:t>Стратегические рамки Организации Объединенных Наций – главный стратегический директивный документ Организации – составляются в соотве</w:t>
      </w:r>
      <w:r w:rsidRPr="00BB2DF3">
        <w:t>т</w:t>
      </w:r>
      <w:r w:rsidRPr="00BB2DF3">
        <w:t>ствии с Положениями и правилами, регулирующими планирование по пр</w:t>
      </w:r>
      <w:r w:rsidRPr="00BB2DF3">
        <w:t>о</w:t>
      </w:r>
      <w:r w:rsidRPr="00BB2DF3">
        <w:t>граммам, программные аспекты бюджета, контроль выполнения и методы оце</w:t>
      </w:r>
      <w:r w:rsidRPr="00BB2DF3">
        <w:t>н</w:t>
      </w:r>
      <w:r w:rsidRPr="00BB2DF3">
        <w:t>ки (ST/SGB/2016/6). Они отражают приоритетные задачи государств</w:t>
      </w:r>
      <w:r w:rsidR="00013FD2">
        <w:t xml:space="preserve"> – </w:t>
      </w:r>
      <w:r w:rsidRPr="00BB2DF3">
        <w:t>членов Организации Объединенных Наций и воплощают законодательные предписания в программы (департаменты) и подпрограммы (основные области работы), ф</w:t>
      </w:r>
      <w:r w:rsidRPr="00BB2DF3">
        <w:t>и</w:t>
      </w:r>
      <w:r w:rsidRPr="00BB2DF3">
        <w:t>нансируемые за счет средств регулярного бюджета. Стратегические рамки охв</w:t>
      </w:r>
      <w:r w:rsidRPr="00BB2DF3">
        <w:t>а</w:t>
      </w:r>
      <w:r w:rsidRPr="00BB2DF3">
        <w:t>тывают два года (двухгодичный период) и служат основой для подготовки предлагаемого бюджета по программам.</w:t>
      </w:r>
    </w:p>
    <w:p w:rsidR="00BB2DF3" w:rsidRPr="00BB2DF3" w:rsidRDefault="00BB2DF3" w:rsidP="00BB2DF3">
      <w:pPr>
        <w:pStyle w:val="SingleTxtGR"/>
      </w:pPr>
      <w:r w:rsidRPr="00BB2DF3">
        <w:t>2.</w:t>
      </w:r>
      <w:r w:rsidRPr="00BB2DF3">
        <w:tab/>
        <w:t>В стратегических рамках каждого департамента Организации Объед</w:t>
      </w:r>
      <w:r w:rsidRPr="00BB2DF3">
        <w:t>и</w:t>
      </w:r>
      <w:r w:rsidRPr="00BB2DF3">
        <w:t>ненных Наций содержатся краткое описание с выделением основных тем пр</w:t>
      </w:r>
      <w:r w:rsidRPr="00BB2DF3">
        <w:t>о</w:t>
      </w:r>
      <w:r w:rsidRPr="00BB2DF3">
        <w:t>граммной деятельности (общая направленность) и логические схемы составл</w:t>
      </w:r>
      <w:r w:rsidRPr="00BB2DF3">
        <w:t>я</w:t>
      </w:r>
      <w:r w:rsidRPr="00BB2DF3">
        <w:t>ющих ее подпрограмм. Логическая схема каждой подпрограммы опирается на подход, ориентированный на конкретные результаты, и включает в себя ее цели, ожидаемые достижения, показатели достижения результатов, показатели оце</w:t>
      </w:r>
      <w:r w:rsidRPr="00BB2DF3">
        <w:t>н</w:t>
      </w:r>
      <w:r w:rsidRPr="00BB2DF3">
        <w:t>ки результативности, стратегию и внешние факторы.</w:t>
      </w:r>
    </w:p>
    <w:p w:rsidR="00BB2DF3" w:rsidRPr="00BB2DF3" w:rsidRDefault="00BB2DF3" w:rsidP="00BB2DF3">
      <w:pPr>
        <w:pStyle w:val="SingleTxtGR"/>
      </w:pPr>
      <w:r w:rsidRPr="00BB2DF3">
        <w:t>3.</w:t>
      </w:r>
      <w:r w:rsidRPr="00BB2DF3">
        <w:tab/>
        <w:t>Комитет по экологической политике (КЭП) Европейской экономической комиссии Организации Объединенных Наций (ЕЭК) одобрил прое</w:t>
      </w:r>
      <w:proofErr w:type="gramStart"/>
      <w:r w:rsidRPr="00BB2DF3">
        <w:t>кт стр</w:t>
      </w:r>
      <w:proofErr w:type="gramEnd"/>
      <w:r w:rsidRPr="00BB2DF3">
        <w:t>атег</w:t>
      </w:r>
      <w:r w:rsidRPr="00BB2DF3">
        <w:t>и</w:t>
      </w:r>
      <w:r w:rsidRPr="00BB2DF3">
        <w:t>ческих рамок Подпрограммы по окружающей среде на 2018–2019 годы (ECE/CEP/2015/7)</w:t>
      </w:r>
      <w:r w:rsidRPr="00EF66C8">
        <w:rPr>
          <w:sz w:val="18"/>
          <w:szCs w:val="18"/>
          <w:vertAlign w:val="superscript"/>
        </w:rPr>
        <w:footnoteReference w:id="1"/>
      </w:r>
      <w:r w:rsidRPr="00BB2DF3">
        <w:t xml:space="preserve"> на своей двадцать первой сессии, состоявшейся в октябре 2015 года.</w:t>
      </w:r>
    </w:p>
    <w:p w:rsidR="00BB2DF3" w:rsidRPr="00BB2DF3" w:rsidRDefault="00BB2DF3" w:rsidP="00BB2DF3">
      <w:pPr>
        <w:pStyle w:val="SingleTxtGR"/>
      </w:pPr>
      <w:r w:rsidRPr="00BB2DF3">
        <w:t>4.</w:t>
      </w:r>
      <w:r w:rsidRPr="00BB2DF3">
        <w:tab/>
        <w:t>В настоящем документе представлен проект предлагаемых стратегич</w:t>
      </w:r>
      <w:r w:rsidRPr="00BB2DF3">
        <w:t>е</w:t>
      </w:r>
      <w:r w:rsidRPr="00BB2DF3">
        <w:t>ских рамок Подпрограммы по окружающей среде на 2020–2021 годы в качестве составной части Стратегических рамок ЕЭК на этот же двухгодичный период. После рассмотрения Комитетом по экологической политике данный проект б</w:t>
      </w:r>
      <w:r w:rsidRPr="00BB2DF3">
        <w:t>у</w:t>
      </w:r>
      <w:r w:rsidRPr="00BB2DF3">
        <w:t>дет препровожден Исполнительному комитету ЕЭК. Окончательный вариант проекта будет представлен Генеральной Ассамблее Организации Объединенных Наций для его принятия на ее семьдесят третьей сессии, которая откроется в сентябре 2018 года.</w:t>
      </w:r>
    </w:p>
    <w:p w:rsidR="00BB2DF3" w:rsidRPr="00BB2DF3" w:rsidRDefault="00BB2DF3" w:rsidP="00BB2DF3">
      <w:pPr>
        <w:pStyle w:val="SingleTxtGR"/>
      </w:pPr>
      <w:r w:rsidRPr="00BB2DF3">
        <w:t>5.</w:t>
      </w:r>
      <w:r w:rsidRPr="00BB2DF3">
        <w:tab/>
        <w:t>Проект документа был подготовлен секретариатом и рассмотрен През</w:t>
      </w:r>
      <w:r w:rsidRPr="00BB2DF3">
        <w:t>и</w:t>
      </w:r>
      <w:r w:rsidRPr="00BB2DF3">
        <w:t>диумом Комитета на его совещании, состоявшемся в Лиссабоне 28 и 29 июня 2017 года.</w:t>
      </w:r>
    </w:p>
    <w:p w:rsidR="00BB2DF3" w:rsidRPr="00BB2DF3" w:rsidRDefault="00BB2DF3" w:rsidP="00BB2DF3">
      <w:pPr>
        <w:pStyle w:val="SingleTxtGR"/>
      </w:pPr>
      <w:r w:rsidRPr="00BB2DF3">
        <w:t>6.</w:t>
      </w:r>
      <w:r w:rsidRPr="00BB2DF3">
        <w:tab/>
        <w:t>Комитету будет предложено рассмотреть этот документ с целью предст</w:t>
      </w:r>
      <w:r w:rsidRPr="00BB2DF3">
        <w:t>а</w:t>
      </w:r>
      <w:r w:rsidRPr="00BB2DF3">
        <w:t>вить соответствующие рекомендации.</w:t>
      </w:r>
    </w:p>
    <w:p w:rsidR="00BB2DF3" w:rsidRPr="00BB2DF3" w:rsidRDefault="00573ECE" w:rsidP="00573ECE">
      <w:pPr>
        <w:pStyle w:val="HChGR"/>
      </w:pPr>
      <w:r w:rsidRPr="00443B2B">
        <w:tab/>
      </w:r>
      <w:r w:rsidR="00BB2DF3" w:rsidRPr="00BB2DF3">
        <w:t>II.</w:t>
      </w:r>
      <w:r w:rsidR="00BB2DF3" w:rsidRPr="00BB2DF3">
        <w:tab/>
        <w:t>Прое</w:t>
      </w:r>
      <w:proofErr w:type="gramStart"/>
      <w:r w:rsidR="00BB2DF3" w:rsidRPr="00BB2DF3">
        <w:t>кт стр</w:t>
      </w:r>
      <w:proofErr w:type="gramEnd"/>
      <w:r w:rsidR="00BB2DF3" w:rsidRPr="00BB2DF3">
        <w:t>ат</w:t>
      </w:r>
      <w:r>
        <w:t>егических рамок Подпрограммы по</w:t>
      </w:r>
      <w:r>
        <w:rPr>
          <w:lang w:val="en-US"/>
        </w:rPr>
        <w:t> </w:t>
      </w:r>
      <w:r w:rsidR="00BB2DF3" w:rsidRPr="00BB2DF3">
        <w:t>окружающей среде на 2020–2021 годы</w:t>
      </w:r>
    </w:p>
    <w:p w:rsidR="00BB2DF3" w:rsidRPr="00BB2DF3" w:rsidRDefault="00573ECE" w:rsidP="00573ECE">
      <w:pPr>
        <w:pStyle w:val="H1GR"/>
      </w:pPr>
      <w:r w:rsidRPr="00443B2B">
        <w:tab/>
      </w:r>
      <w:r w:rsidR="00BB2DF3" w:rsidRPr="00BB2DF3">
        <w:t>A.</w:t>
      </w:r>
      <w:r w:rsidR="00BB2DF3" w:rsidRPr="00BB2DF3">
        <w:tab/>
        <w:t>Цели на двухгодичный период, ожидаемые достижения, показатели достижения результатов и показатели оценки результативности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BB2DF3" w:rsidTr="00573ECE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DF3" w:rsidRPr="00573ECE" w:rsidRDefault="00BB2DF3">
            <w:pPr>
              <w:spacing w:line="240" w:lineRule="auto"/>
            </w:pPr>
          </w:p>
        </w:tc>
      </w:tr>
      <w:tr w:rsidR="00BB2DF3" w:rsidTr="00573ECE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BB2DF3" w:rsidRPr="00BB2DF3" w:rsidRDefault="00BB2DF3" w:rsidP="00BB2DF3">
            <w:pPr>
              <w:spacing w:after="120"/>
              <w:jc w:val="both"/>
              <w:rPr>
                <w:b/>
                <w:bCs/>
              </w:rPr>
            </w:pPr>
            <w:r w:rsidRPr="00BB2DF3">
              <w:rPr>
                <w:b/>
                <w:bCs/>
              </w:rPr>
              <w:t>Цель Организации</w:t>
            </w:r>
          </w:p>
          <w:p w:rsidR="00BB2DF3" w:rsidRPr="00BB2DF3" w:rsidRDefault="00BB2DF3" w:rsidP="00BB2DF3">
            <w:pPr>
              <w:spacing w:after="120"/>
              <w:jc w:val="both"/>
            </w:pPr>
            <w:r w:rsidRPr="00BB2DF3">
              <w:t>Совершенствование регулирования природопользования и повышение эффе</w:t>
            </w:r>
            <w:r w:rsidRPr="00BB2DF3">
              <w:t>к</w:t>
            </w:r>
            <w:r w:rsidRPr="00BB2DF3">
              <w:t>тивности природоохранной деятельности во всем регионе в целях охраны окружающей среды и здоровья.</w:t>
            </w:r>
          </w:p>
        </w:tc>
      </w:tr>
    </w:tbl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2725"/>
        <w:gridCol w:w="3018"/>
        <w:gridCol w:w="1231"/>
        <w:gridCol w:w="848"/>
        <w:gridCol w:w="927"/>
        <w:gridCol w:w="888"/>
      </w:tblGrid>
      <w:tr w:rsidR="002D233B" w:rsidRPr="002D233B" w:rsidTr="002D233B">
        <w:trPr>
          <w:trHeight w:val="2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 w:val="restart"/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rPr>
                <w:i/>
                <w:sz w:val="16"/>
              </w:rPr>
            </w:pPr>
            <w:r w:rsidRPr="002D233B">
              <w:rPr>
                <w:i/>
                <w:sz w:val="16"/>
              </w:rPr>
              <w:lastRenderedPageBreak/>
              <w:t xml:space="preserve">Ожидаемые достижения </w:t>
            </w:r>
            <w:r w:rsidR="001928F8">
              <w:rPr>
                <w:i/>
                <w:sz w:val="16"/>
              </w:rPr>
              <w:br/>
            </w:r>
            <w:r w:rsidRPr="002D233B">
              <w:rPr>
                <w:i/>
                <w:sz w:val="16"/>
              </w:rPr>
              <w:t>секретариата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3ECE" w:rsidRPr="002D233B" w:rsidRDefault="00573ECE" w:rsidP="001928F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D233B">
              <w:rPr>
                <w:i/>
                <w:sz w:val="16"/>
              </w:rPr>
              <w:t>Показатели достижения результатов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D233B">
              <w:rPr>
                <w:i/>
                <w:sz w:val="16"/>
              </w:rPr>
              <w:t>Показатели результативности</w:t>
            </w:r>
          </w:p>
        </w:tc>
      </w:tr>
      <w:tr w:rsidR="00D26CD1" w:rsidRPr="002D233B" w:rsidTr="002D233B">
        <w:trPr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01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D233B">
              <w:rPr>
                <w:i/>
                <w:sz w:val="16"/>
              </w:rPr>
              <w:t>2020</w:t>
            </w:r>
            <w:r w:rsidR="002D233B">
              <w:rPr>
                <w:i/>
                <w:sz w:val="16"/>
              </w:rPr>
              <w:t>–</w:t>
            </w:r>
            <w:r w:rsidRPr="002D233B">
              <w:rPr>
                <w:i/>
                <w:sz w:val="16"/>
              </w:rPr>
              <w:t>2021</w:t>
            </w:r>
          </w:p>
        </w:tc>
        <w:tc>
          <w:tcPr>
            <w:tcW w:w="92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573ECE" w:rsidP="002D23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D233B">
              <w:rPr>
                <w:i/>
                <w:sz w:val="16"/>
              </w:rPr>
              <w:t>2018</w:t>
            </w:r>
            <w:r w:rsidR="002D233B">
              <w:rPr>
                <w:i/>
                <w:sz w:val="16"/>
              </w:rPr>
              <w:t>–</w:t>
            </w:r>
            <w:r w:rsidRPr="002D233B">
              <w:rPr>
                <w:i/>
                <w:sz w:val="16"/>
              </w:rPr>
              <w:t>2019</w:t>
            </w: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73ECE" w:rsidRPr="002D233B" w:rsidRDefault="002D233B" w:rsidP="002D233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2016–</w:t>
            </w:r>
            <w:r w:rsidR="00573ECE" w:rsidRPr="002D233B">
              <w:rPr>
                <w:i/>
                <w:sz w:val="16"/>
              </w:rPr>
              <w:t>2017</w:t>
            </w:r>
          </w:p>
        </w:tc>
      </w:tr>
      <w:tr w:rsidR="00D26CD1" w:rsidRPr="002D233B" w:rsidTr="002D233B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tcBorders>
              <w:top w:val="single" w:sz="12" w:space="0" w:color="auto"/>
            </w:tcBorders>
          </w:tcPr>
          <w:p w:rsidR="00573ECE" w:rsidRPr="002D233B" w:rsidRDefault="00573ECE" w:rsidP="002D233B"/>
        </w:tc>
        <w:tc>
          <w:tcPr>
            <w:tcW w:w="3018" w:type="dxa"/>
            <w:tcBorders>
              <w:top w:val="single" w:sz="12" w:space="0" w:color="auto"/>
            </w:tcBorders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  <w:tcBorders>
              <w:top w:val="single" w:sz="12" w:space="0" w:color="auto"/>
            </w:tcBorders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</w:pPr>
            <w:r w:rsidRPr="002D233B">
              <w:t>a)</w:t>
            </w:r>
            <w:r w:rsidRPr="002D233B">
              <w:tab/>
              <w:t>Более активное реагиров</w:t>
            </w:r>
            <w:r w:rsidRPr="002D233B">
              <w:t>а</w:t>
            </w:r>
            <w:r w:rsidRPr="002D233B">
              <w:t xml:space="preserve">ние государств – членов ЕЭК </w:t>
            </w:r>
            <w:r w:rsidR="001928F8">
              <w:br/>
            </w:r>
            <w:r w:rsidRPr="002D233B">
              <w:t>на экологические проблемы</w:t>
            </w:r>
          </w:p>
        </w:tc>
        <w:tc>
          <w:tcPr>
            <w:tcW w:w="3018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a)</w:t>
            </w:r>
            <w:r w:rsidRPr="002D233B">
              <w:tab/>
              <w:t>Число новых мер, принятых государствами – членами ЕЭК в связи с существующими и назр</w:t>
            </w:r>
            <w:r w:rsidRPr="002D233B">
              <w:t>е</w:t>
            </w:r>
            <w:r w:rsidRPr="002D233B">
              <w:t>вающими экологическими пробл</w:t>
            </w:r>
            <w:r w:rsidRPr="002D233B">
              <w:t>е</w:t>
            </w:r>
            <w:r w:rsidRPr="002D233B">
              <w:t>мами</w:t>
            </w: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Целевой </w:t>
            </w:r>
            <w:r w:rsidR="002D233B">
              <w:br/>
            </w:r>
            <w:r w:rsidRPr="002D233B">
              <w:t>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Расчетный 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</w:p>
        </w:tc>
      </w:tr>
      <w:tr w:rsidR="00D26CD1" w:rsidRPr="002D233B" w:rsidTr="002D233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Фактический </w:t>
            </w:r>
            <w:proofErr w:type="spellStart"/>
            <w:r w:rsidRPr="002D233B">
              <w:t>показатель</w:t>
            </w:r>
            <w:r w:rsidRPr="002D233B">
              <w:rPr>
                <w:i/>
                <w:vertAlign w:val="superscript"/>
              </w:rPr>
              <w:t>а</w:t>
            </w:r>
            <w:proofErr w:type="spellEnd"/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2</w:t>
            </w:r>
            <w:r w:rsidRPr="002D233B">
              <w:rPr>
                <w:i/>
                <w:vertAlign w:val="superscript"/>
              </w:rPr>
              <w:t>c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</w:pPr>
            <w:r w:rsidRPr="002D233B">
              <w:t>b)</w:t>
            </w:r>
            <w:r w:rsidRPr="002D233B">
              <w:tab/>
              <w:t>Более активное выполнение заключенных в рамках ЕЭК многосторонних соглаше</w:t>
            </w:r>
            <w:r w:rsidR="00852FB1">
              <w:t>ний в </w:t>
            </w:r>
            <w:r w:rsidRPr="002D233B">
              <w:t>области охраны окружающей среды и расширение сферы географического охвата</w:t>
            </w:r>
          </w:p>
        </w:tc>
        <w:tc>
          <w:tcPr>
            <w:tcW w:w="3018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b)</w:t>
            </w:r>
            <w:r w:rsidRPr="002D233B">
              <w:tab/>
              <w:t>i)</w:t>
            </w:r>
            <w:r w:rsidRPr="002D233B">
              <w:tab/>
              <w:t>Повышение доли участн</w:t>
            </w:r>
            <w:r w:rsidRPr="002D233B">
              <w:t>и</w:t>
            </w:r>
            <w:r w:rsidRPr="002D233B">
              <w:t>ков заключенных в рамках ЕЭК многосторонних соглашений в области охраны окружающей ср</w:t>
            </w:r>
            <w:r w:rsidRPr="002D233B">
              <w:t>е</w:t>
            </w:r>
            <w:r w:rsidRPr="002D233B">
              <w:t>ды, представляющих информацию об их выполнении</w:t>
            </w: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Целевой п</w:t>
            </w:r>
            <w:r w:rsidRPr="002D233B">
              <w:t>о</w:t>
            </w:r>
            <w:r w:rsidRPr="002D233B">
              <w:t>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92</w:t>
            </w: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87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85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Расчетный 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87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85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Фактический </w:t>
            </w:r>
            <w:proofErr w:type="spellStart"/>
            <w:r w:rsidRPr="002D233B">
              <w:t>показатель</w:t>
            </w:r>
            <w:r w:rsidRPr="002D233B">
              <w:rPr>
                <w:i/>
                <w:vertAlign w:val="superscript"/>
              </w:rPr>
              <w:t>а</w:t>
            </w:r>
            <w:proofErr w:type="spellEnd"/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91</w:t>
            </w:r>
            <w:r w:rsidRPr="002D233B">
              <w:rPr>
                <w:i/>
                <w:vertAlign w:val="superscript"/>
              </w:rPr>
              <w:t>d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 w:val="restart"/>
            <w:vAlign w:val="top"/>
          </w:tcPr>
          <w:p w:rsidR="00573ECE" w:rsidRPr="002D233B" w:rsidRDefault="00D26CD1" w:rsidP="00852FB1">
            <w:pPr>
              <w:tabs>
                <w:tab w:val="left" w:pos="28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ab/>
            </w:r>
            <w:proofErr w:type="spellStart"/>
            <w:proofErr w:type="gramStart"/>
            <w:r w:rsidR="00573ECE" w:rsidRPr="002D233B">
              <w:t>ii</w:t>
            </w:r>
            <w:proofErr w:type="spellEnd"/>
            <w:r w:rsidR="00573ECE" w:rsidRPr="002D233B">
              <w:t>)</w:t>
            </w:r>
            <w:r w:rsidR="00573ECE" w:rsidRPr="002D233B">
              <w:tab/>
              <w:t>Увеличение числа участн</w:t>
            </w:r>
            <w:r w:rsidR="00573ECE" w:rsidRPr="002D233B">
              <w:t>и</w:t>
            </w:r>
            <w:r w:rsidR="00573ECE" w:rsidRPr="002D233B">
              <w:t>ков заключенных в рамках ЕЭК многосторонних природоохранных соглашений</w:t>
            </w:r>
            <w:proofErr w:type="gramEnd"/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Целевой п</w:t>
            </w:r>
            <w:r w:rsidRPr="002D233B">
              <w:t>о</w:t>
            </w:r>
            <w:r w:rsidRPr="002D233B">
              <w:t>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320</w:t>
            </w: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318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310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Расчетный 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318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310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Фактический </w:t>
            </w:r>
            <w:proofErr w:type="spellStart"/>
            <w:r w:rsidRPr="002D233B">
              <w:t>показатель</w:t>
            </w:r>
            <w:r w:rsidRPr="002D233B">
              <w:rPr>
                <w:i/>
                <w:vertAlign w:val="superscript"/>
              </w:rPr>
              <w:t>а</w:t>
            </w:r>
            <w:proofErr w:type="spellEnd"/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318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</w:pPr>
            <w:r w:rsidRPr="002D233B">
              <w:t>c)</w:t>
            </w:r>
            <w:r w:rsidRPr="002D233B">
              <w:tab/>
              <w:t>Укрепление национального потенциала в области монит</w:t>
            </w:r>
            <w:r w:rsidRPr="002D233B">
              <w:t>о</w:t>
            </w:r>
            <w:r w:rsidRPr="002D233B">
              <w:t xml:space="preserve">ринга и оценки состояния окружающей среды в странах Восточной Европы, Кавказа, Центральной Азии и Юго-Восточной Европы </w:t>
            </w:r>
          </w:p>
        </w:tc>
        <w:tc>
          <w:tcPr>
            <w:tcW w:w="3018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c)</w:t>
            </w:r>
            <w:r w:rsidRPr="002D233B">
              <w:tab/>
              <w:t>Повышение степени выполн</w:t>
            </w:r>
            <w:r w:rsidRPr="002D233B">
              <w:t>е</w:t>
            </w:r>
            <w:r w:rsidRPr="002D233B">
              <w:t>ния государствами-членами рек</w:t>
            </w:r>
            <w:r w:rsidRPr="002D233B">
              <w:t>о</w:t>
            </w:r>
            <w:r w:rsidRPr="002D233B">
              <w:t>мендаций ЕЭК в отношении мон</w:t>
            </w:r>
            <w:r w:rsidRPr="002D233B">
              <w:t>и</w:t>
            </w:r>
            <w:r w:rsidRPr="002D233B">
              <w:t>торинга окружающей среды</w:t>
            </w: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Целевой п</w:t>
            </w:r>
            <w:r w:rsidRPr="002D233B">
              <w:t>о</w:t>
            </w:r>
            <w:r w:rsidRPr="002D233B">
              <w:t>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56</w:t>
            </w: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52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50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Расчетный 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52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50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Фактический </w:t>
            </w:r>
            <w:proofErr w:type="spellStart"/>
            <w:r w:rsidRPr="002D233B">
              <w:t>показатель</w:t>
            </w:r>
            <w:proofErr w:type="gramStart"/>
            <w:r w:rsidRPr="002D233B">
              <w:rPr>
                <w:i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54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</w:pPr>
            <w:r w:rsidRPr="002D233B">
              <w:t>d)</w:t>
            </w:r>
            <w:r w:rsidRPr="002D233B">
              <w:tab/>
              <w:t>Повышение эффективности природоохранной деятельности в заинтересованных странах</w:t>
            </w:r>
          </w:p>
        </w:tc>
        <w:tc>
          <w:tcPr>
            <w:tcW w:w="3018" w:type="dxa"/>
            <w:vMerge w:val="restart"/>
            <w:vAlign w:val="top"/>
          </w:tcPr>
          <w:p w:rsidR="00573ECE" w:rsidRPr="002D233B" w:rsidRDefault="00573ECE" w:rsidP="00852FB1">
            <w:pPr>
              <w:tabs>
                <w:tab w:val="left" w:pos="283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d)</w:t>
            </w:r>
            <w:r w:rsidRPr="002D233B">
              <w:tab/>
              <w:t>Доля рекомендаций по итогам анализа эффективности природ</w:t>
            </w:r>
            <w:r w:rsidRPr="002D233B">
              <w:t>о</w:t>
            </w:r>
            <w:r w:rsidRPr="002D233B">
              <w:t>охранной деятельности, выполне</w:t>
            </w:r>
            <w:r w:rsidRPr="002D233B">
              <w:t>н</w:t>
            </w:r>
            <w:r w:rsidRPr="002D233B">
              <w:t>ных странами, охваченными таким анализом в двухгодичном периоде</w:t>
            </w: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Целевой п</w:t>
            </w:r>
            <w:r w:rsidRPr="002D233B">
              <w:t>о</w:t>
            </w:r>
            <w:r w:rsidRPr="002D233B">
              <w:t>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65</w:t>
            </w: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65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65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Расчетный показатель</w:t>
            </w:r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65</w:t>
            </w: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65</w:t>
            </w:r>
          </w:p>
        </w:tc>
      </w:tr>
      <w:tr w:rsidR="00D26CD1" w:rsidRPr="002D233B" w:rsidTr="002D2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vMerge/>
            <w:vAlign w:val="top"/>
          </w:tcPr>
          <w:p w:rsidR="00573ECE" w:rsidRPr="002D233B" w:rsidRDefault="00573ECE" w:rsidP="002D233B"/>
        </w:tc>
        <w:tc>
          <w:tcPr>
            <w:tcW w:w="3018" w:type="dxa"/>
            <w:vMerge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vAlign w:val="top"/>
          </w:tcPr>
          <w:p w:rsidR="00573ECE" w:rsidRPr="002D233B" w:rsidRDefault="00573ECE" w:rsidP="002D23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 xml:space="preserve">Фактический </w:t>
            </w:r>
            <w:proofErr w:type="spellStart"/>
            <w:r w:rsidRPr="002D233B">
              <w:t>показатель</w:t>
            </w:r>
            <w:proofErr w:type="gramStart"/>
            <w:r w:rsidRPr="002D233B">
              <w:rPr>
                <w:i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84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8" w:type="dxa"/>
          </w:tcPr>
          <w:p w:rsidR="00573ECE" w:rsidRPr="002D233B" w:rsidRDefault="00573ECE" w:rsidP="002D2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233B">
              <w:t>75</w:t>
            </w:r>
            <w:r w:rsidRPr="002D233B">
              <w:rPr>
                <w:i/>
                <w:vertAlign w:val="superscript"/>
              </w:rPr>
              <w:t>e</w:t>
            </w:r>
          </w:p>
        </w:tc>
      </w:tr>
    </w:tbl>
    <w:p w:rsidR="00573ECE" w:rsidRPr="00D26CD1" w:rsidRDefault="00573ECE" w:rsidP="002D233B">
      <w:pPr>
        <w:pStyle w:val="SingleTxtGR"/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proofErr w:type="gramStart"/>
      <w:r w:rsidRPr="00443B2B">
        <w:rPr>
          <w:i/>
          <w:sz w:val="18"/>
          <w:szCs w:val="18"/>
          <w:vertAlign w:val="superscript"/>
          <w:lang w:val="en-US"/>
        </w:rPr>
        <w:t>a</w:t>
      </w:r>
      <w:r w:rsidR="00D26CD1">
        <w:rPr>
          <w:sz w:val="18"/>
          <w:szCs w:val="18"/>
        </w:rPr>
        <w:t xml:space="preserve"> </w:t>
      </w:r>
      <w:r w:rsidR="002D233B">
        <w:rPr>
          <w:sz w:val="18"/>
          <w:szCs w:val="18"/>
        </w:rPr>
        <w:t xml:space="preserve"> </w:t>
      </w:r>
      <w:r w:rsidRPr="00D26CD1">
        <w:rPr>
          <w:sz w:val="18"/>
          <w:szCs w:val="18"/>
        </w:rPr>
        <w:t>Промежуточный</w:t>
      </w:r>
      <w:proofErr w:type="gramEnd"/>
      <w:r w:rsidRPr="00D26CD1">
        <w:rPr>
          <w:sz w:val="18"/>
          <w:szCs w:val="18"/>
        </w:rPr>
        <w:t xml:space="preserve"> показатель по состоянию на 15 августа 2017 года.</w:t>
      </w:r>
    </w:p>
    <w:p w:rsidR="00573ECE" w:rsidRPr="00D26CD1" w:rsidRDefault="00573ECE" w:rsidP="002D233B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443B2B">
        <w:rPr>
          <w:i/>
          <w:sz w:val="18"/>
          <w:szCs w:val="18"/>
          <w:vertAlign w:val="superscript"/>
        </w:rPr>
        <w:t>b</w:t>
      </w:r>
      <w:r w:rsidR="00D26CD1">
        <w:rPr>
          <w:sz w:val="18"/>
          <w:szCs w:val="18"/>
        </w:rPr>
        <w:t xml:space="preserve"> </w:t>
      </w:r>
      <w:r w:rsidR="002D233B">
        <w:rPr>
          <w:sz w:val="18"/>
          <w:szCs w:val="18"/>
        </w:rPr>
        <w:t xml:space="preserve"> </w:t>
      </w:r>
      <w:r w:rsidRPr="00D26CD1">
        <w:rPr>
          <w:sz w:val="18"/>
          <w:szCs w:val="18"/>
        </w:rPr>
        <w:t>Промежуточный показатель по состоянию на 31 декабря 2016 года.</w:t>
      </w:r>
    </w:p>
    <w:p w:rsidR="00573ECE" w:rsidRPr="00D26CD1" w:rsidRDefault="00573ECE" w:rsidP="002D233B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443B2B">
        <w:rPr>
          <w:i/>
          <w:sz w:val="18"/>
          <w:szCs w:val="18"/>
          <w:vertAlign w:val="superscript"/>
        </w:rPr>
        <w:t>с</w:t>
      </w:r>
      <w:proofErr w:type="gramStart"/>
      <w:r w:rsidR="002D233B" w:rsidRPr="002D233B">
        <w:rPr>
          <w:sz w:val="18"/>
          <w:szCs w:val="18"/>
        </w:rPr>
        <w:t xml:space="preserve"> </w:t>
      </w:r>
      <w:r w:rsidR="00D26CD1">
        <w:rPr>
          <w:sz w:val="18"/>
          <w:szCs w:val="18"/>
        </w:rPr>
        <w:t xml:space="preserve"> </w:t>
      </w:r>
      <w:r w:rsidRPr="00D26CD1">
        <w:rPr>
          <w:sz w:val="18"/>
          <w:szCs w:val="18"/>
        </w:rPr>
        <w:t>Д</w:t>
      </w:r>
      <w:proofErr w:type="gramEnd"/>
      <w:r w:rsidRPr="00D26CD1">
        <w:rPr>
          <w:sz w:val="18"/>
          <w:szCs w:val="18"/>
        </w:rPr>
        <w:t xml:space="preserve">ве меры включают в себя: а) Панъевропейские стратегические рамки </w:t>
      </w:r>
      <w:proofErr w:type="spellStart"/>
      <w:r w:rsidRPr="00D26CD1">
        <w:rPr>
          <w:sz w:val="18"/>
          <w:szCs w:val="18"/>
        </w:rPr>
        <w:t>экологизации</w:t>
      </w:r>
      <w:proofErr w:type="spellEnd"/>
      <w:r w:rsidRPr="00D26CD1">
        <w:rPr>
          <w:sz w:val="18"/>
          <w:szCs w:val="18"/>
        </w:rPr>
        <w:t xml:space="preserve"> экономики наряду с осуществлением Батумской инициативы по «зеленой» экономике; и Батумскую инициативу по борьбе за чистый воздух.</w:t>
      </w:r>
    </w:p>
    <w:p w:rsidR="00573ECE" w:rsidRPr="00D26CD1" w:rsidRDefault="00573ECE" w:rsidP="002D233B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proofErr w:type="gramStart"/>
      <w:r w:rsidRPr="00443B2B">
        <w:rPr>
          <w:i/>
          <w:sz w:val="18"/>
          <w:szCs w:val="18"/>
          <w:vertAlign w:val="superscript"/>
        </w:rPr>
        <w:t>d</w:t>
      </w:r>
      <w:r w:rsidR="00D26CD1">
        <w:rPr>
          <w:sz w:val="18"/>
          <w:szCs w:val="18"/>
        </w:rPr>
        <w:t xml:space="preserve"> </w:t>
      </w:r>
      <w:r w:rsidR="002D233B">
        <w:rPr>
          <w:sz w:val="18"/>
          <w:szCs w:val="18"/>
        </w:rPr>
        <w:t xml:space="preserve"> </w:t>
      </w:r>
      <w:r w:rsidRPr="00D26CD1">
        <w:rPr>
          <w:sz w:val="18"/>
          <w:szCs w:val="18"/>
        </w:rPr>
        <w:t>Увеличение на 91% включает средний показатель отчетности за 2016 и 2017 годы (по состоянию на 15 августа) по следующим статьям: а) Конвенция о трансграничном загрязнении воздуха на большие расстояния; b) Конвенция по охране и использованию трансграничных водотоков и международных озер (Кон</w:t>
      </w:r>
      <w:r w:rsidR="002D233B">
        <w:rPr>
          <w:sz w:val="18"/>
          <w:szCs w:val="18"/>
        </w:rPr>
        <w:t>венция по воде); с) Протокол по </w:t>
      </w:r>
      <w:r w:rsidRPr="00D26CD1">
        <w:rPr>
          <w:sz w:val="18"/>
          <w:szCs w:val="18"/>
        </w:rPr>
        <w:t>проблемам воды и здоровья к Конвенции по воде;</w:t>
      </w:r>
      <w:proofErr w:type="gramEnd"/>
      <w:r w:rsidRPr="00D26CD1">
        <w:rPr>
          <w:sz w:val="18"/>
          <w:szCs w:val="18"/>
        </w:rPr>
        <w:t xml:space="preserve"> d) Конвенция о трансграничном воздействии промышленных аварий; е) Конвенция о доступе к информации, участии общественности в процессе при</w:t>
      </w:r>
      <w:r w:rsidR="002D233B">
        <w:rPr>
          <w:sz w:val="18"/>
          <w:szCs w:val="18"/>
        </w:rPr>
        <w:t>нятия решений и доступе к </w:t>
      </w:r>
      <w:r w:rsidRPr="00D26CD1">
        <w:rPr>
          <w:sz w:val="18"/>
          <w:szCs w:val="18"/>
        </w:rPr>
        <w:t>правосудию по вопросам, касающимся окружающей среды (</w:t>
      </w:r>
      <w:proofErr w:type="spellStart"/>
      <w:r w:rsidRPr="00D26CD1">
        <w:rPr>
          <w:sz w:val="18"/>
          <w:szCs w:val="18"/>
        </w:rPr>
        <w:t>Орхусская</w:t>
      </w:r>
      <w:proofErr w:type="spellEnd"/>
      <w:r w:rsidRPr="00D26CD1">
        <w:rPr>
          <w:sz w:val="18"/>
          <w:szCs w:val="18"/>
        </w:rPr>
        <w:t xml:space="preserve"> конвенция); и f) Протокол о регистрах выбросов и переноса загрязнителей к </w:t>
      </w:r>
      <w:proofErr w:type="spellStart"/>
      <w:r w:rsidRPr="00D26CD1">
        <w:rPr>
          <w:sz w:val="18"/>
          <w:szCs w:val="18"/>
        </w:rPr>
        <w:t>Орхусской</w:t>
      </w:r>
      <w:proofErr w:type="spellEnd"/>
      <w:r w:rsidRPr="00D26CD1">
        <w:rPr>
          <w:sz w:val="18"/>
          <w:szCs w:val="18"/>
        </w:rPr>
        <w:t xml:space="preserve"> конвенции.</w:t>
      </w:r>
    </w:p>
    <w:p w:rsidR="00573ECE" w:rsidRPr="00D26CD1" w:rsidRDefault="00573ECE" w:rsidP="002D233B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443B2B">
        <w:rPr>
          <w:i/>
          <w:sz w:val="18"/>
          <w:szCs w:val="18"/>
          <w:vertAlign w:val="superscript"/>
        </w:rPr>
        <w:t>e</w:t>
      </w:r>
      <w:proofErr w:type="gramStart"/>
      <w:r w:rsidR="002D233B" w:rsidRPr="002D233B">
        <w:rPr>
          <w:sz w:val="18"/>
          <w:szCs w:val="18"/>
        </w:rPr>
        <w:t xml:space="preserve"> </w:t>
      </w:r>
      <w:r w:rsidRPr="00D26CD1">
        <w:rPr>
          <w:sz w:val="18"/>
          <w:szCs w:val="18"/>
        </w:rPr>
        <w:t xml:space="preserve"> В</w:t>
      </w:r>
      <w:proofErr w:type="gramEnd"/>
      <w:r w:rsidRPr="00D26CD1">
        <w:rPr>
          <w:sz w:val="18"/>
          <w:szCs w:val="18"/>
        </w:rPr>
        <w:t>ключает увеличение на 75% показателя осуществления рекомендаций Таджикистаном; обзор проведен в 2016</w:t>
      </w:r>
      <w:r w:rsidR="002D233B">
        <w:rPr>
          <w:sz w:val="18"/>
          <w:szCs w:val="18"/>
        </w:rPr>
        <w:t> </w:t>
      </w:r>
      <w:r w:rsidRPr="00D26CD1">
        <w:rPr>
          <w:sz w:val="18"/>
          <w:szCs w:val="18"/>
        </w:rPr>
        <w:t>году. В 2017 году в средний показатель осуществления будут добавлены показатели п</w:t>
      </w:r>
      <w:r w:rsidR="002D233B">
        <w:rPr>
          <w:sz w:val="18"/>
          <w:szCs w:val="18"/>
        </w:rPr>
        <w:t>о следующим странам: a) </w:t>
      </w:r>
      <w:r w:rsidRPr="00D26CD1">
        <w:rPr>
          <w:sz w:val="18"/>
          <w:szCs w:val="18"/>
        </w:rPr>
        <w:t>Албания и b)</w:t>
      </w:r>
      <w:r w:rsidR="00D26CD1">
        <w:rPr>
          <w:sz w:val="18"/>
          <w:szCs w:val="18"/>
        </w:rPr>
        <w:t> </w:t>
      </w:r>
      <w:r w:rsidRPr="00D26CD1">
        <w:rPr>
          <w:sz w:val="18"/>
          <w:szCs w:val="18"/>
        </w:rPr>
        <w:t>Босния и Герцеговина. В силу этого окончательный средний показатель за 2016</w:t>
      </w:r>
      <w:r w:rsidR="00D26CD1">
        <w:rPr>
          <w:sz w:val="18"/>
          <w:szCs w:val="18"/>
        </w:rPr>
        <w:t>–</w:t>
      </w:r>
      <w:r w:rsidRPr="00D26CD1">
        <w:rPr>
          <w:sz w:val="18"/>
          <w:szCs w:val="18"/>
        </w:rPr>
        <w:t>2017 годы может измениться.</w:t>
      </w:r>
      <w:bookmarkStart w:id="0" w:name="_GoBack"/>
      <w:bookmarkEnd w:id="0"/>
    </w:p>
    <w:p w:rsidR="00573ECE" w:rsidRPr="00573ECE" w:rsidRDefault="00D26CD1" w:rsidP="007271B1">
      <w:pPr>
        <w:pStyle w:val="H1GR"/>
        <w:spacing w:before="300" w:after="200"/>
      </w:pPr>
      <w:r>
        <w:tab/>
      </w:r>
      <w:r w:rsidR="00573ECE" w:rsidRPr="00573ECE">
        <w:t>B.</w:t>
      </w:r>
      <w:r w:rsidR="00573ECE" w:rsidRPr="00573ECE">
        <w:tab/>
        <w:t>Стратегия</w:t>
      </w:r>
    </w:p>
    <w:p w:rsidR="00573ECE" w:rsidRPr="00573ECE" w:rsidRDefault="00573ECE" w:rsidP="00013FD2">
      <w:pPr>
        <w:pStyle w:val="SingleTxtGR"/>
      </w:pPr>
      <w:r w:rsidRPr="00573ECE">
        <w:t>7.</w:t>
      </w:r>
      <w:r w:rsidRPr="00573ECE">
        <w:tab/>
        <w:t xml:space="preserve">За осуществление Подпрограммы по окружающей среде отвечает Отдел окружающей среды. В рамках подпрограммы будет оказываться содействие осуществлению решений глобальных и региональных встреч на высшем уровне и конференций по вопросам окружающей </w:t>
      </w:r>
      <w:r w:rsidR="00013FD2">
        <w:t>среды и устойчивого развития, в </w:t>
      </w:r>
      <w:r w:rsidRPr="00573ECE">
        <w:t xml:space="preserve">частности Повестки дня в области устойчивого развития на период до </w:t>
      </w:r>
      <w:r w:rsidR="00013FD2">
        <w:br/>
      </w:r>
      <w:r w:rsidRPr="00573ECE">
        <w:t>2030 года. С учетом того, что охрана окружающей среды является одним из компонентов устойчивого развития, данная подпрограмма будет способствовать достижению всех целей в области устойчивог</w:t>
      </w:r>
      <w:r w:rsidR="00013FD2">
        <w:t>о развития, в особенности ц</w:t>
      </w:r>
      <w:r w:rsidR="00013FD2">
        <w:t>е</w:t>
      </w:r>
      <w:r w:rsidR="00013FD2">
        <w:t>лей </w:t>
      </w:r>
      <w:r w:rsidRPr="00573ECE">
        <w:t xml:space="preserve">3, 4, 6, 9, 11, 12, 13, 15, 16 и 17. </w:t>
      </w:r>
      <w:proofErr w:type="gramStart"/>
      <w:r w:rsidRPr="00573ECE">
        <w:t>Соответствующая деятельность будет ос</w:t>
      </w:r>
      <w:r w:rsidRPr="00573ECE">
        <w:t>у</w:t>
      </w:r>
      <w:r w:rsidRPr="00573ECE">
        <w:t>ществляться в виде международного диалога по проблемам политики, норм</w:t>
      </w:r>
      <w:r w:rsidRPr="00573ECE">
        <w:t>а</w:t>
      </w:r>
      <w:r w:rsidRPr="00573ECE">
        <w:t>тивной работы, формирования потенциала и распространения передового оп</w:t>
      </w:r>
      <w:r w:rsidRPr="00573ECE">
        <w:t>ы</w:t>
      </w:r>
      <w:r w:rsidRPr="00573ECE">
        <w:t>та и полученных уроков в таких областях, как обеспечение качества воздуха, водные ресурсы, промышленная безопасность, участие общественности, экол</w:t>
      </w:r>
      <w:r w:rsidRPr="00573ECE">
        <w:t>о</w:t>
      </w:r>
      <w:r w:rsidRPr="00573ECE">
        <w:t>гическая оценка, мониторинг и оценка эффективности деятельности, образов</w:t>
      </w:r>
      <w:r w:rsidRPr="00573ECE">
        <w:t>а</w:t>
      </w:r>
      <w:r w:rsidRPr="00573ECE">
        <w:t>ние в интересах устойчивого развития и учет экологических аспектов в рамках других измерений устойчивого развития.</w:t>
      </w:r>
      <w:proofErr w:type="gramEnd"/>
    </w:p>
    <w:p w:rsidR="00573ECE" w:rsidRPr="00573ECE" w:rsidRDefault="00573ECE" w:rsidP="00013FD2">
      <w:pPr>
        <w:pStyle w:val="SingleTxtGR"/>
      </w:pPr>
      <w:r w:rsidRPr="00573ECE">
        <w:t>8.</w:t>
      </w:r>
      <w:r w:rsidRPr="00573ECE">
        <w:tab/>
        <w:t>С учетом использования подхода, ориентированного на потребности ко</w:t>
      </w:r>
      <w:r w:rsidRPr="00573ECE">
        <w:t>н</w:t>
      </w:r>
      <w:r w:rsidRPr="00573ECE">
        <w:t>кретной страны, основное внимание будет уделяться укреплению потенциала стран Кавказа, Центральной Азии и Восточной и Юго-Восточной Европы в о</w:t>
      </w:r>
      <w:r w:rsidRPr="00573ECE">
        <w:t>б</w:t>
      </w:r>
      <w:r w:rsidRPr="00573ECE">
        <w:t>ласти экологической политики и рационального природопользования, включая эффективное осуществление природоохранного законодательства.</w:t>
      </w:r>
    </w:p>
    <w:p w:rsidR="00573ECE" w:rsidRPr="00573ECE" w:rsidRDefault="00573ECE" w:rsidP="00013FD2">
      <w:pPr>
        <w:pStyle w:val="SingleTxtGR"/>
      </w:pPr>
      <w:r w:rsidRPr="00573ECE">
        <w:t>9.</w:t>
      </w:r>
      <w:r w:rsidRPr="00573ECE">
        <w:tab/>
        <w:t>В рамках данной подпрограммы будут приниматься меры по соверше</w:t>
      </w:r>
      <w:r w:rsidRPr="00573ECE">
        <w:t>н</w:t>
      </w:r>
      <w:r w:rsidRPr="00573ECE">
        <w:t>ствованию регулирования природопользования в этом регионе и трансграни</w:t>
      </w:r>
      <w:r w:rsidRPr="00573ECE">
        <w:t>ч</w:t>
      </w:r>
      <w:r w:rsidRPr="00573ECE">
        <w:t xml:space="preserve">ного сотрудничества стран. </w:t>
      </w:r>
      <w:proofErr w:type="gramStart"/>
      <w:r w:rsidRPr="00573ECE">
        <w:t>Она будет способствовать дальнейшему улучшению учета природоохранной проблематики в секторальных стратегиях посредством внедрения директивных инструментов ЕЭК, просвещения в интересах устойч</w:t>
      </w:r>
      <w:r w:rsidRPr="00573ECE">
        <w:t>и</w:t>
      </w:r>
      <w:r w:rsidRPr="00573ECE">
        <w:t>вого развития, осуществления Общеевропейской программы по транспорту, окружающей среде и охране здоровья, заключенных в рамках ЕЭК многост</w:t>
      </w:r>
      <w:r w:rsidRPr="00573ECE">
        <w:t>о</w:t>
      </w:r>
      <w:r w:rsidRPr="00573ECE">
        <w:t xml:space="preserve">ронних соглашений в области охраны окружающей среды и обмена </w:t>
      </w:r>
      <w:proofErr w:type="spellStart"/>
      <w:r w:rsidRPr="00573ECE">
        <w:t>информа</w:t>
      </w:r>
      <w:r w:rsidR="00013FD2">
        <w:t>-</w:t>
      </w:r>
      <w:r w:rsidRPr="00573ECE">
        <w:t>цией</w:t>
      </w:r>
      <w:proofErr w:type="spellEnd"/>
      <w:r w:rsidRPr="00573ECE">
        <w:t xml:space="preserve"> (например, на основе Общей системы экологической информации), оп</w:t>
      </w:r>
      <w:r w:rsidRPr="00573ECE">
        <w:t>ы</w:t>
      </w:r>
      <w:r w:rsidRPr="00573ECE">
        <w:t>том и передовыми методами в регионе ЕЭК.</w:t>
      </w:r>
      <w:proofErr w:type="gramEnd"/>
      <w:r w:rsidRPr="00573ECE">
        <w:t xml:space="preserve"> </w:t>
      </w:r>
      <w:proofErr w:type="spellStart"/>
      <w:r w:rsidRPr="00573ECE">
        <w:t>Межсекторальная</w:t>
      </w:r>
      <w:proofErr w:type="spellEnd"/>
      <w:r w:rsidRPr="00573ECE">
        <w:t xml:space="preserve"> деятельность б</w:t>
      </w:r>
      <w:r w:rsidRPr="00573ECE">
        <w:t>у</w:t>
      </w:r>
      <w:r w:rsidRPr="00573ECE">
        <w:t xml:space="preserve">дет также включать осуществление мер по содействию обеспечения </w:t>
      </w:r>
      <w:proofErr w:type="spellStart"/>
      <w:r w:rsidRPr="00573ECE">
        <w:t>взаимод</w:t>
      </w:r>
      <w:r w:rsidRPr="00573ECE">
        <w:t>о</w:t>
      </w:r>
      <w:r w:rsidRPr="00573ECE">
        <w:t>полняемости</w:t>
      </w:r>
      <w:proofErr w:type="spellEnd"/>
      <w:r w:rsidRPr="00573ECE">
        <w:t xml:space="preserve"> юридических документов ЕЭК. Кроме того, будет также ос</w:t>
      </w:r>
      <w:r w:rsidRPr="00573ECE">
        <w:t>у</w:t>
      </w:r>
      <w:r w:rsidRPr="00573ECE">
        <w:t>ществляться сотрудничество с заинтересованными странами, не являющимися членами ЕЭК, в частности с теми, которые заинтересованы в присоединении к многосторонним соглашениям в области охраны окружающей среды, открытым для присоединения любой страны мира.</w:t>
      </w:r>
    </w:p>
    <w:p w:rsidR="00573ECE" w:rsidRPr="00573ECE" w:rsidRDefault="00573ECE" w:rsidP="00013FD2">
      <w:pPr>
        <w:pStyle w:val="SingleTxtGR"/>
      </w:pPr>
      <w:r w:rsidRPr="00573ECE">
        <w:t>10.</w:t>
      </w:r>
      <w:r w:rsidRPr="00573ECE">
        <w:tab/>
        <w:t>В рамках подпрограммы будет продолжена работа по проведению анал</w:t>
      </w:r>
      <w:r w:rsidRPr="00573ECE">
        <w:t>и</w:t>
      </w:r>
      <w:r w:rsidRPr="00573ECE">
        <w:t>за эффективности природоохранной деятельности, оказанию государствам-членам помощи в осуществлении рекомендаций по результатам таких обслед</w:t>
      </w:r>
      <w:r w:rsidRPr="00573ECE">
        <w:t>о</w:t>
      </w:r>
      <w:r w:rsidRPr="00573ECE">
        <w:t>ваний и будет отслеживаться, как указанные рекомендации влияют на наци</w:t>
      </w:r>
      <w:r w:rsidRPr="00573ECE">
        <w:t>о</w:t>
      </w:r>
      <w:r w:rsidRPr="00573ECE">
        <w:t>нальную политику. Подпрограмма будет также способствовать укреплению п</w:t>
      </w:r>
      <w:r w:rsidRPr="00573ECE">
        <w:t>о</w:t>
      </w:r>
      <w:r w:rsidRPr="00573ECE">
        <w:t>тенциала государств-членов в деле осуществления руководящих принципов и рекомендаций ЕЭК по мониторингу и оценке окружающей среды.</w:t>
      </w:r>
    </w:p>
    <w:p w:rsidR="00573ECE" w:rsidRPr="00573ECE" w:rsidRDefault="00D26CD1" w:rsidP="00013FD2">
      <w:pPr>
        <w:pStyle w:val="H1GR"/>
        <w:spacing w:line="240" w:lineRule="atLeast"/>
      </w:pPr>
      <w:r>
        <w:tab/>
      </w:r>
      <w:r w:rsidR="00573ECE" w:rsidRPr="00573ECE">
        <w:t>C.</w:t>
      </w:r>
      <w:r w:rsidR="00573ECE" w:rsidRPr="00573ECE">
        <w:tab/>
        <w:t>Внешние факторы</w:t>
      </w:r>
    </w:p>
    <w:p w:rsidR="00BB2DF3" w:rsidRPr="00BB2DF3" w:rsidRDefault="00573ECE" w:rsidP="00013FD2">
      <w:pPr>
        <w:pStyle w:val="SingleTxtGR"/>
      </w:pPr>
      <w:r w:rsidRPr="00573ECE">
        <w:t>11.</w:t>
      </w:r>
      <w:r w:rsidRPr="00573ECE">
        <w:tab/>
        <w:t>Предполагается, что цель и ожидаемые достижения подпрограммы будут реализованы при условии, что на национальном уровне: а) будут иметься пол</w:t>
      </w:r>
      <w:r w:rsidRPr="00573ECE">
        <w:t>и</w:t>
      </w:r>
      <w:r w:rsidRPr="00573ECE">
        <w:t>тическая воля и достаточные возможности для обеспечения учета экологич</w:t>
      </w:r>
      <w:r w:rsidRPr="00573ECE">
        <w:t>е</w:t>
      </w:r>
      <w:r w:rsidRPr="00573ECE">
        <w:t>ских соображений при разработке политики и для принятия национального з</w:t>
      </w:r>
      <w:r w:rsidRPr="00573ECE">
        <w:t>а</w:t>
      </w:r>
      <w:r w:rsidRPr="00573ECE">
        <w:t>конодательства, учитывающего положения многосторонних природоохранных соглашений ЕЭК; b) будет обеспечиваться достаточное понимание экологич</w:t>
      </w:r>
      <w:r w:rsidRPr="00573ECE">
        <w:t>е</w:t>
      </w:r>
      <w:r w:rsidRPr="00573ECE">
        <w:t>ских вопросов и активная поддержка проводимой национальной и регионал</w:t>
      </w:r>
      <w:r w:rsidRPr="00573ECE">
        <w:t>ь</w:t>
      </w:r>
      <w:r w:rsidRPr="00573ECE">
        <w:t>ной политики со стороны общественности; с) глобальные, региональные или национальные экономические изменения не окажут существенного влияния на наличие ресурсов.</w:t>
      </w:r>
    </w:p>
    <w:p w:rsidR="00BB2DF3" w:rsidRPr="00573ECE" w:rsidRDefault="00573ECE" w:rsidP="00013FD2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2DF3" w:rsidRPr="00573ECE" w:rsidSect="00BB2D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88" w:rsidRPr="00A312BC" w:rsidRDefault="00CD6D88" w:rsidP="00A312BC"/>
  </w:endnote>
  <w:endnote w:type="continuationSeparator" w:id="0">
    <w:p w:rsidR="00CD6D88" w:rsidRPr="00A312BC" w:rsidRDefault="00CD6D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F3" w:rsidRPr="00BB2DF3" w:rsidRDefault="00BB2DF3">
    <w:pPr>
      <w:pStyle w:val="a8"/>
    </w:pPr>
    <w:r w:rsidRPr="00BB2DF3">
      <w:rPr>
        <w:b/>
        <w:sz w:val="18"/>
      </w:rPr>
      <w:fldChar w:fldCharType="begin"/>
    </w:r>
    <w:r w:rsidRPr="00BB2DF3">
      <w:rPr>
        <w:b/>
        <w:sz w:val="18"/>
      </w:rPr>
      <w:instrText xml:space="preserve"> PAGE  \* MERGEFORMAT </w:instrText>
    </w:r>
    <w:r w:rsidRPr="00BB2DF3">
      <w:rPr>
        <w:b/>
        <w:sz w:val="18"/>
      </w:rPr>
      <w:fldChar w:fldCharType="separate"/>
    </w:r>
    <w:r w:rsidR="00CA5C0D">
      <w:rPr>
        <w:b/>
        <w:noProof/>
        <w:sz w:val="18"/>
      </w:rPr>
      <w:t>4</w:t>
    </w:r>
    <w:r w:rsidRPr="00BB2DF3">
      <w:rPr>
        <w:b/>
        <w:sz w:val="18"/>
      </w:rPr>
      <w:fldChar w:fldCharType="end"/>
    </w:r>
    <w:r>
      <w:rPr>
        <w:b/>
        <w:sz w:val="18"/>
      </w:rPr>
      <w:tab/>
    </w:r>
    <w:r>
      <w:t>GE.17-14663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F3" w:rsidRPr="00BB2DF3" w:rsidRDefault="00BB2DF3" w:rsidP="00BB2DF3">
    <w:pPr>
      <w:pStyle w:val="a8"/>
      <w:tabs>
        <w:tab w:val="clear" w:pos="9639"/>
        <w:tab w:val="right" w:pos="9638"/>
      </w:tabs>
      <w:rPr>
        <w:b/>
        <w:sz w:val="18"/>
      </w:rPr>
    </w:pPr>
    <w:r>
      <w:t>GE.17-14663</w:t>
    </w:r>
    <w:r>
      <w:tab/>
    </w:r>
    <w:r w:rsidRPr="00BB2DF3">
      <w:rPr>
        <w:b/>
        <w:sz w:val="18"/>
      </w:rPr>
      <w:fldChar w:fldCharType="begin"/>
    </w:r>
    <w:r w:rsidRPr="00BB2DF3">
      <w:rPr>
        <w:b/>
        <w:sz w:val="18"/>
      </w:rPr>
      <w:instrText xml:space="preserve"> PAGE  \* MERGEFORMAT </w:instrText>
    </w:r>
    <w:r w:rsidRPr="00BB2DF3">
      <w:rPr>
        <w:b/>
        <w:sz w:val="18"/>
      </w:rPr>
      <w:fldChar w:fldCharType="separate"/>
    </w:r>
    <w:r w:rsidR="00CA5C0D">
      <w:rPr>
        <w:b/>
        <w:noProof/>
        <w:sz w:val="18"/>
      </w:rPr>
      <w:t>3</w:t>
    </w:r>
    <w:r w:rsidRPr="00BB2D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B2DF3" w:rsidRDefault="00BB2DF3" w:rsidP="00BB2DF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1C7F50A" wp14:editId="7F1068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17-14663  (R)</w:t>
    </w:r>
    <w:r>
      <w:rPr>
        <w:lang w:val="en-US"/>
      </w:rPr>
      <w:t xml:space="preserve"> </w:t>
    </w:r>
    <w:r w:rsidR="00763744">
      <w:t xml:space="preserve"> 060917  070917</w:t>
    </w:r>
    <w:r>
      <w:br/>
    </w:r>
    <w:r w:rsidRPr="00BB2DF3">
      <w:rPr>
        <w:rFonts w:ascii="C39T30Lfz" w:hAnsi="C39T30Lfz"/>
        <w:spacing w:val="0"/>
        <w:w w:val="100"/>
        <w:sz w:val="56"/>
      </w:rPr>
      <w:t></w:t>
    </w:r>
    <w:r w:rsidRPr="00BB2DF3">
      <w:rPr>
        <w:rFonts w:ascii="C39T30Lfz" w:hAnsi="C39T30Lfz"/>
        <w:spacing w:val="0"/>
        <w:w w:val="100"/>
        <w:sz w:val="56"/>
      </w:rPr>
      <w:t></w:t>
    </w:r>
    <w:r w:rsidRPr="00BB2DF3">
      <w:rPr>
        <w:rFonts w:ascii="C39T30Lfz" w:hAnsi="C39T30Lfz"/>
        <w:spacing w:val="0"/>
        <w:w w:val="100"/>
        <w:sz w:val="56"/>
      </w:rPr>
      <w:t></w:t>
    </w:r>
    <w:r w:rsidRPr="00BB2DF3">
      <w:rPr>
        <w:rFonts w:ascii="C39T30Lfz" w:hAnsi="C39T30Lfz"/>
        <w:spacing w:val="0"/>
        <w:w w:val="100"/>
        <w:sz w:val="56"/>
      </w:rPr>
      <w:t></w:t>
    </w:r>
    <w:r w:rsidRPr="00BB2DF3">
      <w:rPr>
        <w:rFonts w:ascii="C39T30Lfz" w:hAnsi="C39T30Lfz"/>
        <w:spacing w:val="0"/>
        <w:w w:val="100"/>
        <w:sz w:val="56"/>
      </w:rPr>
      <w:t></w:t>
    </w:r>
    <w:r w:rsidRPr="00BB2DF3">
      <w:rPr>
        <w:rFonts w:ascii="C39T30Lfz" w:hAnsi="C39T30Lfz"/>
        <w:spacing w:val="0"/>
        <w:w w:val="100"/>
        <w:sz w:val="56"/>
      </w:rPr>
      <w:t></w:t>
    </w:r>
    <w:r w:rsidRPr="00BB2DF3">
      <w:rPr>
        <w:rFonts w:ascii="C39T30Lfz" w:hAnsi="C39T30Lfz"/>
        <w:spacing w:val="0"/>
        <w:w w:val="100"/>
        <w:sz w:val="56"/>
      </w:rPr>
      <w:t></w:t>
    </w:r>
    <w:r w:rsidRPr="00BB2DF3">
      <w:rPr>
        <w:rFonts w:ascii="C39T30Lfz" w:hAnsi="C39T30Lfz"/>
        <w:spacing w:val="0"/>
        <w:w w:val="100"/>
        <w:sz w:val="56"/>
      </w:rPr>
      <w:t></w:t>
    </w:r>
    <w:r w:rsidRPr="00BB2DF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88" w:rsidRPr="001075E9" w:rsidRDefault="00CD6D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6D88" w:rsidRDefault="00CD6D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2DF3" w:rsidRPr="00F932EE" w:rsidRDefault="00BB2DF3" w:rsidP="00BB2DF3">
      <w:pPr>
        <w:pStyle w:val="ad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</w:r>
      <w:proofErr w:type="gramStart"/>
      <w:r>
        <w:rPr>
          <w:lang w:val="ru-RU"/>
        </w:rPr>
        <w:t>Размещен</w:t>
      </w:r>
      <w:proofErr w:type="gramEnd"/>
      <w:r>
        <w:rPr>
          <w:lang w:val="ru-RU"/>
        </w:rPr>
        <w:t xml:space="preserve"> по адресу www.unece.org/</w:t>
      </w:r>
      <w:proofErr w:type="spellStart"/>
      <w:r>
        <w:rPr>
          <w:lang w:val="ru-RU"/>
        </w:rPr>
        <w:t>index.php?id</w:t>
      </w:r>
      <w:proofErr w:type="spellEnd"/>
      <w:r>
        <w:rPr>
          <w:lang w:val="ru-RU"/>
        </w:rPr>
        <w:t>=38470.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F3" w:rsidRPr="00BB2DF3" w:rsidRDefault="00CA5C0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ECE/CEP/2017/10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F3" w:rsidRPr="00BB2DF3" w:rsidRDefault="00CA5C0D" w:rsidP="00BB2DF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ECE/CEP/2017/10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8"/>
    <w:rsid w:val="00013F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8F8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33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3B2B"/>
    <w:rsid w:val="00452493"/>
    <w:rsid w:val="00453318"/>
    <w:rsid w:val="00454AF2"/>
    <w:rsid w:val="00454E07"/>
    <w:rsid w:val="00472C5C"/>
    <w:rsid w:val="004A7A4C"/>
    <w:rsid w:val="004E05B7"/>
    <w:rsid w:val="0050108D"/>
    <w:rsid w:val="00513081"/>
    <w:rsid w:val="00517901"/>
    <w:rsid w:val="00526683"/>
    <w:rsid w:val="005639C1"/>
    <w:rsid w:val="005709E0"/>
    <w:rsid w:val="00572E19"/>
    <w:rsid w:val="00573ECE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3171"/>
    <w:rsid w:val="006D461A"/>
    <w:rsid w:val="006F35EE"/>
    <w:rsid w:val="007021FF"/>
    <w:rsid w:val="00712895"/>
    <w:rsid w:val="007271B1"/>
    <w:rsid w:val="00734ACB"/>
    <w:rsid w:val="00757357"/>
    <w:rsid w:val="00763744"/>
    <w:rsid w:val="00792497"/>
    <w:rsid w:val="00806737"/>
    <w:rsid w:val="00825F8D"/>
    <w:rsid w:val="00834B71"/>
    <w:rsid w:val="00852FB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1690"/>
    <w:rsid w:val="00B10CC7"/>
    <w:rsid w:val="00B36DF7"/>
    <w:rsid w:val="00B539E7"/>
    <w:rsid w:val="00B62458"/>
    <w:rsid w:val="00BB2DF3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5C0D"/>
    <w:rsid w:val="00CB151C"/>
    <w:rsid w:val="00CD6D88"/>
    <w:rsid w:val="00CE5A1A"/>
    <w:rsid w:val="00CF55F6"/>
    <w:rsid w:val="00D26CD1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51BD"/>
    <w:rsid w:val="00E72C56"/>
    <w:rsid w:val="00E73F76"/>
    <w:rsid w:val="00EA2C9F"/>
    <w:rsid w:val="00EA420E"/>
    <w:rsid w:val="00ED0BDA"/>
    <w:rsid w:val="00EE142A"/>
    <w:rsid w:val="00EF1360"/>
    <w:rsid w:val="00EF3220"/>
    <w:rsid w:val="00EF66C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573EC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573EC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4</Pages>
  <Words>1355</Words>
  <Characters>9675</Characters>
  <Application>Microsoft Office Word</Application>
  <DocSecurity>0</DocSecurity>
  <Lines>317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ECE/CEP/2017/10</vt:lpstr>
      <vt:lpstr>A/</vt:lpstr>
    </vt:vector>
  </TitlesOfParts>
  <Company>DCM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ECE/CEP/2017/10</dc:title>
  <dc:creator>Marina Korotkova</dc:creator>
  <cp:lastModifiedBy>TPSRUS2</cp:lastModifiedBy>
  <cp:revision>5</cp:revision>
  <cp:lastPrinted>2017-09-07T13:12:00Z</cp:lastPrinted>
  <dcterms:created xsi:type="dcterms:W3CDTF">2017-09-07T12:09:00Z</dcterms:created>
  <dcterms:modified xsi:type="dcterms:W3CDTF">2017-09-07T13:13:00Z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