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984670"/>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984670" w:rsidP="00984670">
            <w:pPr>
              <w:jc w:val="right"/>
            </w:pPr>
            <w:r w:rsidRPr="00984670">
              <w:rPr>
                <w:sz w:val="40"/>
              </w:rPr>
              <w:t>ECE</w:t>
            </w:r>
            <w:r>
              <w:t>/CEP/2017/10</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984670" w:rsidP="00295CCA">
            <w:pPr>
              <w:spacing w:before="240"/>
            </w:pPr>
            <w:r>
              <w:t>Distr. générale</w:t>
            </w:r>
          </w:p>
          <w:p w:rsidR="00984670" w:rsidRDefault="0093558D" w:rsidP="00984670">
            <w:pPr>
              <w:spacing w:line="240" w:lineRule="exact"/>
            </w:pPr>
            <w:r>
              <w:t>24 </w:t>
            </w:r>
            <w:r w:rsidR="00984670">
              <w:t>août 2017</w:t>
            </w:r>
          </w:p>
          <w:p w:rsidR="00984670" w:rsidRDefault="00984670" w:rsidP="00984670">
            <w:pPr>
              <w:spacing w:line="240" w:lineRule="exact"/>
            </w:pPr>
            <w:r>
              <w:t>Français</w:t>
            </w:r>
          </w:p>
          <w:p w:rsidR="00984670" w:rsidRPr="00DB58B5" w:rsidRDefault="0093558D" w:rsidP="00984670">
            <w:pPr>
              <w:spacing w:line="240" w:lineRule="exact"/>
            </w:pPr>
            <w:r>
              <w:t>Original </w:t>
            </w:r>
            <w:r w:rsidR="00984670">
              <w:t>: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5B2DC1" w:rsidRDefault="005B2DC1" w:rsidP="00446B0A">
      <w:pPr>
        <w:spacing w:before="120"/>
        <w:rPr>
          <w:sz w:val="28"/>
          <w:szCs w:val="28"/>
        </w:rPr>
      </w:pPr>
      <w:r w:rsidRPr="00941685">
        <w:rPr>
          <w:sz w:val="28"/>
          <w:szCs w:val="28"/>
        </w:rPr>
        <w:t xml:space="preserve">Comité </w:t>
      </w:r>
      <w:r>
        <w:rPr>
          <w:sz w:val="28"/>
          <w:szCs w:val="28"/>
        </w:rPr>
        <w:t>des politiques de l’environnement</w:t>
      </w:r>
    </w:p>
    <w:p w:rsidR="005B2DC1" w:rsidRDefault="005B2DC1" w:rsidP="00446B0A">
      <w:pPr>
        <w:spacing w:before="120"/>
        <w:rPr>
          <w:b/>
        </w:rPr>
      </w:pPr>
      <w:r w:rsidRPr="00D751FE">
        <w:rPr>
          <w:rFonts w:eastAsia="Times New Roman"/>
          <w:b/>
          <w:lang w:val="fr-FR"/>
        </w:rPr>
        <w:t>Vingt-troisième</w:t>
      </w:r>
      <w:r>
        <w:rPr>
          <w:b/>
        </w:rPr>
        <w:t xml:space="preserve"> </w:t>
      </w:r>
      <w:r>
        <w:rPr>
          <w:b/>
        </w:rPr>
        <w:t>session</w:t>
      </w:r>
    </w:p>
    <w:p w:rsidR="005B2DC1" w:rsidRDefault="005B2DC1" w:rsidP="00446B0A">
      <w:r>
        <w:t xml:space="preserve">Genève, </w:t>
      </w:r>
      <w:r w:rsidR="005E1BA7">
        <w:rPr>
          <w:lang w:val="fr-FR"/>
        </w:rPr>
        <w:t>14-17 </w:t>
      </w:r>
      <w:r w:rsidRPr="005B2DC1">
        <w:rPr>
          <w:lang w:val="fr-FR"/>
        </w:rPr>
        <w:t>novembre 2017</w:t>
      </w:r>
    </w:p>
    <w:p w:rsidR="005B2DC1" w:rsidRDefault="005E1BA7" w:rsidP="00446B0A">
      <w:r>
        <w:t>Point 9 </w:t>
      </w:r>
      <w:r w:rsidR="005B2DC1">
        <w:t>d) de l’ordre du jour provisoire</w:t>
      </w:r>
    </w:p>
    <w:p w:rsidR="00446FE5" w:rsidRDefault="005B2DC1" w:rsidP="005316B0">
      <w:pPr>
        <w:rPr>
          <w:b/>
          <w:lang w:val="fr-FR"/>
        </w:rPr>
      </w:pPr>
      <w:r w:rsidRPr="005B2DC1">
        <w:rPr>
          <w:b/>
          <w:lang w:val="fr-FR"/>
        </w:rPr>
        <w:t xml:space="preserve">Programme de travail relatif au sous-programme « Environnement » : </w:t>
      </w:r>
      <w:r>
        <w:rPr>
          <w:b/>
          <w:lang w:val="fr-FR"/>
        </w:rPr>
        <w:br/>
      </w:r>
      <w:r w:rsidRPr="005B2DC1">
        <w:rPr>
          <w:b/>
          <w:lang w:val="fr-FR"/>
        </w:rPr>
        <w:t xml:space="preserve">Proposition de cadre stratégique pour le sous-programme </w:t>
      </w:r>
      <w:r>
        <w:rPr>
          <w:b/>
          <w:lang w:val="fr-FR"/>
        </w:rPr>
        <w:br/>
      </w:r>
      <w:r w:rsidRPr="005B2DC1">
        <w:rPr>
          <w:b/>
          <w:lang w:val="fr-FR"/>
        </w:rPr>
        <w:t>« Environnement » pour la période 2020-2021</w:t>
      </w:r>
    </w:p>
    <w:p w:rsidR="005B2DC1" w:rsidRPr="00D751FE" w:rsidRDefault="005B2DC1" w:rsidP="005B2DC1">
      <w:pPr>
        <w:pStyle w:val="HChG"/>
      </w:pPr>
      <w:r>
        <w:rPr>
          <w:lang w:val="fr-FR"/>
        </w:rPr>
        <w:tab/>
      </w:r>
      <w:r>
        <w:rPr>
          <w:lang w:val="fr-FR"/>
        </w:rPr>
        <w:tab/>
      </w:r>
      <w:r w:rsidRPr="00AF2605">
        <w:rPr>
          <w:lang w:val="fr-FR"/>
        </w:rPr>
        <w:t xml:space="preserve">Avant-projet de cadre stratégique pour le sous-programme </w:t>
      </w:r>
      <w:r>
        <w:rPr>
          <w:lang w:val="fr-FR"/>
        </w:rPr>
        <w:t>« </w:t>
      </w:r>
      <w:r w:rsidRPr="00AF2605">
        <w:rPr>
          <w:lang w:val="fr-FR"/>
        </w:rPr>
        <w:t>Environnement</w:t>
      </w:r>
      <w:r>
        <w:rPr>
          <w:lang w:val="fr-FR"/>
        </w:rPr>
        <w:t> »</w:t>
      </w:r>
      <w:r w:rsidRPr="00AF2605">
        <w:rPr>
          <w:lang w:val="fr-FR"/>
        </w:rPr>
        <w:t xml:space="preserve"> pour la période 2020-2021</w:t>
      </w:r>
    </w:p>
    <w:p w:rsidR="005B2DC1" w:rsidRDefault="005B2DC1" w:rsidP="005B2DC1">
      <w:pPr>
        <w:pStyle w:val="H1G"/>
        <w:rPr>
          <w:lang w:val="fr-FR"/>
        </w:rPr>
      </w:pPr>
      <w:r w:rsidRPr="00AF2605">
        <w:rPr>
          <w:lang w:val="fr-FR"/>
        </w:rPr>
        <w:tab/>
      </w:r>
      <w:r w:rsidRPr="00AF2605">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5B2DC1" w:rsidTr="00216E0F">
        <w:trPr>
          <w:jc w:val="center"/>
        </w:trPr>
        <w:tc>
          <w:tcPr>
            <w:tcW w:w="9637" w:type="dxa"/>
            <w:shd w:val="clear" w:color="auto" w:fill="auto"/>
          </w:tcPr>
          <w:p w:rsidR="005B2DC1" w:rsidRPr="000001E7" w:rsidRDefault="005B2DC1" w:rsidP="00216E0F">
            <w:pPr>
              <w:spacing w:before="240" w:after="120"/>
              <w:ind w:left="255"/>
              <w:rPr>
                <w:i/>
                <w:sz w:val="24"/>
              </w:rPr>
            </w:pPr>
            <w:r w:rsidRPr="000001E7">
              <w:rPr>
                <w:i/>
                <w:sz w:val="24"/>
              </w:rPr>
              <w:t>Résumé</w:t>
            </w:r>
          </w:p>
        </w:tc>
      </w:tr>
      <w:tr w:rsidR="005B2DC1" w:rsidTr="00216E0F">
        <w:trPr>
          <w:jc w:val="center"/>
        </w:trPr>
        <w:tc>
          <w:tcPr>
            <w:tcW w:w="9637" w:type="dxa"/>
            <w:shd w:val="clear" w:color="auto" w:fill="auto"/>
          </w:tcPr>
          <w:p w:rsidR="005B2DC1" w:rsidRDefault="005B2DC1" w:rsidP="005B2DC1">
            <w:pPr>
              <w:pStyle w:val="SingleTxtG"/>
              <w:ind w:firstLine="567"/>
            </w:pPr>
            <w:r w:rsidRPr="005B2DC1">
              <w:rPr>
                <w:lang w:val="fr-FR"/>
              </w:rPr>
              <w:t>Le Cadre stratégique de l’ONU est élaboré sur une base biennale en vertu des dispositions du Règlement et des règles régissant la planification des programmes, les aspects du budget qui ont trait aux programmes, le contrôle de l’exécution et les méthodes d’évaluation (ST/SGB/2016/6).</w:t>
            </w:r>
          </w:p>
        </w:tc>
      </w:tr>
      <w:tr w:rsidR="005B2DC1" w:rsidTr="00216E0F">
        <w:trPr>
          <w:jc w:val="center"/>
        </w:trPr>
        <w:tc>
          <w:tcPr>
            <w:tcW w:w="9637" w:type="dxa"/>
            <w:shd w:val="clear" w:color="auto" w:fill="auto"/>
          </w:tcPr>
          <w:p w:rsidR="005B2DC1" w:rsidRDefault="005B2DC1" w:rsidP="005B2DC1">
            <w:pPr>
              <w:pStyle w:val="SingleTxtG"/>
              <w:tabs>
                <w:tab w:val="left" w:pos="2034"/>
              </w:tabs>
              <w:ind w:firstLine="567"/>
            </w:pPr>
            <w:r w:rsidRPr="005B2DC1">
              <w:rPr>
                <w:lang w:val="fr-FR"/>
              </w:rPr>
              <w:t>Le présent document contient un avant-projet de cadre stratégique pour le sous-programme « Environnement » pour la période 2020-2021, en tant que composante du Cadre stratégique de la Commission économique pour l’Europe (CEE) pour cette période. Cet avant-projet est soumis pour examen au Comité des politiques de l’environnement et sera ensuite transmis au Comité exécutif de la CEE pour complément d’examen. Une version définitive du projet sera présentée à l’Assemblée générale des Nations Unies pour adoption à sa soixante-treizième session.</w:t>
            </w:r>
          </w:p>
        </w:tc>
      </w:tr>
      <w:tr w:rsidR="005B2DC1" w:rsidTr="00216E0F">
        <w:trPr>
          <w:jc w:val="center"/>
        </w:trPr>
        <w:tc>
          <w:tcPr>
            <w:tcW w:w="9637" w:type="dxa"/>
            <w:shd w:val="clear" w:color="auto" w:fill="auto"/>
          </w:tcPr>
          <w:p w:rsidR="005B2DC1" w:rsidRDefault="005B2DC1" w:rsidP="005B2DC1">
            <w:pPr>
              <w:pStyle w:val="SingleTxtG"/>
              <w:tabs>
                <w:tab w:val="left" w:pos="2034"/>
              </w:tabs>
              <w:ind w:firstLine="567"/>
            </w:pPr>
            <w:r w:rsidRPr="005B2DC1">
              <w:rPr>
                <w:lang w:val="fr-FR"/>
              </w:rPr>
              <w:t xml:space="preserve">Le Bureau a examiné le projet de document établi par le secrétariat à la réunion qu’il </w:t>
            </w:r>
            <w:r w:rsidR="0093558D">
              <w:rPr>
                <w:lang w:val="fr-FR"/>
              </w:rPr>
              <w:t>a tenue à Lisbonne les </w:t>
            </w:r>
            <w:r>
              <w:rPr>
                <w:lang w:val="fr-FR"/>
              </w:rPr>
              <w:t>28 et 29 </w:t>
            </w:r>
            <w:r w:rsidRPr="005B2DC1">
              <w:rPr>
                <w:lang w:val="fr-FR"/>
              </w:rPr>
              <w:t>juin 2017.</w:t>
            </w:r>
          </w:p>
        </w:tc>
      </w:tr>
      <w:tr w:rsidR="005B2DC1" w:rsidTr="00216E0F">
        <w:trPr>
          <w:jc w:val="center"/>
        </w:trPr>
        <w:tc>
          <w:tcPr>
            <w:tcW w:w="9637" w:type="dxa"/>
            <w:shd w:val="clear" w:color="auto" w:fill="auto"/>
          </w:tcPr>
          <w:p w:rsidR="005B2DC1" w:rsidRDefault="005B2DC1" w:rsidP="005B2DC1">
            <w:pPr>
              <w:pStyle w:val="SingleTxtG"/>
              <w:tabs>
                <w:tab w:val="left" w:pos="2034"/>
              </w:tabs>
              <w:ind w:firstLine="567"/>
            </w:pPr>
            <w:r w:rsidRPr="005B2DC1">
              <w:rPr>
                <w:lang w:val="fr-FR"/>
              </w:rPr>
              <w:t>Le Comité est invité à examiner le projet de cadre stratégique pour le sous-programme « Environnement » pour la période 2020-2021.</w:t>
            </w:r>
          </w:p>
        </w:tc>
      </w:tr>
      <w:tr w:rsidR="005B2DC1" w:rsidTr="00216E0F">
        <w:trPr>
          <w:jc w:val="center"/>
        </w:trPr>
        <w:tc>
          <w:tcPr>
            <w:tcW w:w="9637" w:type="dxa"/>
            <w:shd w:val="clear" w:color="auto" w:fill="auto"/>
          </w:tcPr>
          <w:p w:rsidR="005B2DC1" w:rsidRDefault="005B2DC1" w:rsidP="00216E0F"/>
        </w:tc>
      </w:tr>
    </w:tbl>
    <w:p w:rsidR="005B2DC1" w:rsidRDefault="005B2DC1" w:rsidP="005B2DC1">
      <w:pPr>
        <w:rPr>
          <w:lang w:val="fr-FR"/>
        </w:rPr>
      </w:pPr>
    </w:p>
    <w:p w:rsidR="005B2DC1" w:rsidRPr="005B2DC1" w:rsidRDefault="005B2DC1" w:rsidP="005B2DC1">
      <w:pPr>
        <w:pStyle w:val="HChG"/>
      </w:pPr>
      <w:r>
        <w:rPr>
          <w:lang w:val="fr-FR"/>
        </w:rPr>
        <w:br w:type="page"/>
      </w:r>
      <w:r>
        <w:rPr>
          <w:lang w:val="fr-FR"/>
        </w:rPr>
        <w:lastRenderedPageBreak/>
        <w:tab/>
      </w:r>
      <w:r w:rsidRPr="005B2DC1">
        <w:rPr>
          <w:lang w:val="fr-FR"/>
        </w:rPr>
        <w:t>I.</w:t>
      </w:r>
      <w:r w:rsidRPr="005B2DC1">
        <w:rPr>
          <w:lang w:val="fr-FR"/>
        </w:rPr>
        <w:tab/>
        <w:t>Introduction</w:t>
      </w:r>
    </w:p>
    <w:p w:rsidR="005B2DC1" w:rsidRPr="005B2DC1" w:rsidRDefault="005B2DC1" w:rsidP="005B2DC1">
      <w:pPr>
        <w:pStyle w:val="SingleTxtG"/>
      </w:pPr>
      <w:r w:rsidRPr="005B2DC1">
        <w:rPr>
          <w:lang w:val="fr-FR"/>
        </w:rPr>
        <w:t>1.</w:t>
      </w:r>
      <w:r w:rsidRPr="005B2DC1">
        <w:rPr>
          <w:lang w:val="fr-FR"/>
        </w:rPr>
        <w:tab/>
        <w:t>Le Cadre stratégique de l’ONU, qui détermine l’orientation générale de l’activité de l’Organisation, est élaboré en conformité avec le Règlement et les règles régissant la planification des programmes, les aspects du budget q</w:t>
      </w:r>
      <w:r w:rsidR="003452DE">
        <w:rPr>
          <w:lang w:val="fr-FR"/>
        </w:rPr>
        <w:t>ui ont trait aux programmes, le </w:t>
      </w:r>
      <w:r w:rsidRPr="005B2DC1">
        <w:rPr>
          <w:lang w:val="fr-FR"/>
        </w:rPr>
        <w:t>contrôle de l’exécution et les méthodes d’évaluation (ST/SGB/2016/6). Il reflète les priorités, pour l’Organisation, des États Membres de l’ONU et traduit les mandats assignés par les organes délibérants en programmes (départements) et sous-programmes (domaines d’activité de fond) financés par le budget ordinaire. Le Cadre stratégique s’étend sur deux années (un exercice biennal) et sert à élaborer le projet de budget-programme.</w:t>
      </w:r>
    </w:p>
    <w:p w:rsidR="005B2DC1" w:rsidRPr="005B2DC1" w:rsidRDefault="005B2DC1" w:rsidP="005B2DC1">
      <w:pPr>
        <w:pStyle w:val="SingleTxtG"/>
      </w:pPr>
      <w:r w:rsidRPr="005B2DC1">
        <w:rPr>
          <w:lang w:val="fr-FR"/>
        </w:rPr>
        <w:t>2.</w:t>
      </w:r>
      <w:r w:rsidRPr="005B2DC1">
        <w:rPr>
          <w:lang w:val="fr-FR"/>
        </w:rPr>
        <w:tab/>
        <w:t>Le Cadre stratégique de chaque département de l’ONU comporte un bref exposé donnant un aperçu des principaux thèmes de l’activité programmatique (orientation générale) ainsi que des cadres logiques (tableaux synoptiques) des sous-programmes correspondants. Chaque cadre logique d’un sous-programme répond à une démarche axée sur les résultats et en précise l’objectif, les réalisations escomptées, les indicateurs de succès, la mesure des résultats et la stratégie, ainsi que les facteurs externes.</w:t>
      </w:r>
    </w:p>
    <w:p w:rsidR="005B2DC1" w:rsidRPr="005B2DC1" w:rsidRDefault="005B2DC1" w:rsidP="005B2DC1">
      <w:pPr>
        <w:pStyle w:val="SingleTxtG"/>
      </w:pPr>
      <w:r w:rsidRPr="005B2DC1">
        <w:rPr>
          <w:lang w:val="fr-FR"/>
        </w:rPr>
        <w:t>3.</w:t>
      </w:r>
      <w:r w:rsidRPr="005B2DC1">
        <w:rPr>
          <w:lang w:val="fr-FR"/>
        </w:rPr>
        <w:tab/>
        <w:t>Le Comité des politiques de l’environnement de la Commission économique pour l’Europe (CEE) a approuvé le projet de cadre stratégique pour le sous-programme « Environnement » pour 2018-2019 (ECE/CEP/2015/7)</w:t>
      </w:r>
      <w:r w:rsidRPr="005B2DC1">
        <w:rPr>
          <w:rStyle w:val="Appelnotedebasdep"/>
        </w:rPr>
        <w:footnoteReference w:id="2"/>
      </w:r>
      <w:r w:rsidRPr="005B2DC1">
        <w:rPr>
          <w:lang w:val="fr-FR"/>
        </w:rPr>
        <w:t xml:space="preserve"> à sa ving</w:t>
      </w:r>
      <w:r w:rsidR="0093558D">
        <w:rPr>
          <w:lang w:val="fr-FR"/>
        </w:rPr>
        <w:t>t et </w:t>
      </w:r>
      <w:r w:rsidRPr="005B2DC1">
        <w:rPr>
          <w:lang w:val="fr-FR"/>
        </w:rPr>
        <w:t>unième session, en octobre 2015.</w:t>
      </w:r>
    </w:p>
    <w:p w:rsidR="005B2DC1" w:rsidRPr="005B2DC1" w:rsidRDefault="005B2DC1" w:rsidP="005B2DC1">
      <w:pPr>
        <w:pStyle w:val="SingleTxtG"/>
      </w:pPr>
      <w:r w:rsidRPr="005B2DC1">
        <w:rPr>
          <w:lang w:val="fr-FR"/>
        </w:rPr>
        <w:t>4.</w:t>
      </w:r>
      <w:r w:rsidRPr="005B2DC1">
        <w:rPr>
          <w:lang w:val="fr-FR"/>
        </w:rPr>
        <w:tab/>
        <w:t>Le présent document contient le projet de cadre stratégique pour le sous-programme « Environnement » pour 2020-2021, composante du Cadre stratégique de la CEE pour la même période biennale. Après examen par le Comité des politiques de l’environnement, le projet sera transmis au Comité exécutif de la CEE. La version définitive du projet sera soumise à l’Assemblée générale des Nations Unies pour adoption à sa soixante-treizième session, qui s’ouvrira en septemb</w:t>
      </w:r>
      <w:r w:rsidR="005E1BA7">
        <w:rPr>
          <w:lang w:val="fr-FR"/>
        </w:rPr>
        <w:t>re </w:t>
      </w:r>
      <w:r w:rsidRPr="005B2DC1">
        <w:rPr>
          <w:lang w:val="fr-FR"/>
        </w:rPr>
        <w:t>2018.</w:t>
      </w:r>
    </w:p>
    <w:p w:rsidR="005B2DC1" w:rsidRPr="005B2DC1" w:rsidRDefault="005B2DC1" w:rsidP="005B2DC1">
      <w:pPr>
        <w:pStyle w:val="SingleTxtG"/>
      </w:pPr>
      <w:r w:rsidRPr="005B2DC1">
        <w:rPr>
          <w:lang w:val="fr-FR"/>
        </w:rPr>
        <w:t>5.</w:t>
      </w:r>
      <w:r w:rsidRPr="005B2DC1">
        <w:rPr>
          <w:lang w:val="fr-FR"/>
        </w:rPr>
        <w:tab/>
        <w:t xml:space="preserve">Le Bureau a examiné le projet de document établi par le secrétariat, à la réunion qu’il </w:t>
      </w:r>
      <w:r>
        <w:rPr>
          <w:lang w:val="fr-FR"/>
        </w:rPr>
        <w:t>a tenue à Lisbonne les 28 et 29 </w:t>
      </w:r>
      <w:r w:rsidRPr="005B2DC1">
        <w:rPr>
          <w:lang w:val="fr-FR"/>
        </w:rPr>
        <w:t>juin 2017.</w:t>
      </w:r>
    </w:p>
    <w:p w:rsidR="005B2DC1" w:rsidRPr="005B2DC1" w:rsidRDefault="005B2DC1" w:rsidP="005B2DC1">
      <w:pPr>
        <w:pStyle w:val="SingleTxtG"/>
      </w:pPr>
      <w:r w:rsidRPr="005B2DC1">
        <w:rPr>
          <w:lang w:val="fr-FR"/>
        </w:rPr>
        <w:t>6.</w:t>
      </w:r>
      <w:r w:rsidRPr="005B2DC1">
        <w:rPr>
          <w:lang w:val="fr-FR"/>
        </w:rPr>
        <w:tab/>
        <w:t>Le Comité est invité à examiner le document en vue de formuler des recommandations, s’il y a lieu.</w:t>
      </w:r>
    </w:p>
    <w:p w:rsidR="005B2DC1" w:rsidRPr="005B2DC1" w:rsidRDefault="005B2DC1" w:rsidP="005B2DC1">
      <w:pPr>
        <w:pStyle w:val="HChG"/>
      </w:pPr>
      <w:r w:rsidRPr="005B2DC1">
        <w:rPr>
          <w:lang w:val="fr-FR"/>
        </w:rPr>
        <w:tab/>
        <w:t>II.</w:t>
      </w:r>
      <w:r w:rsidRPr="005B2DC1">
        <w:rPr>
          <w:lang w:val="fr-FR"/>
        </w:rPr>
        <w:tab/>
        <w:t>Avant-projet de cadre stratégique pour le sous-programme « Environnement » pour la période 2020-2021</w:t>
      </w:r>
    </w:p>
    <w:p w:rsidR="005B2DC1" w:rsidRDefault="005B2DC1" w:rsidP="005B2DC1">
      <w:pPr>
        <w:pStyle w:val="H1G"/>
        <w:rPr>
          <w:lang w:val="fr-FR"/>
        </w:rPr>
      </w:pPr>
      <w:r w:rsidRPr="005B2DC1">
        <w:tab/>
      </w:r>
      <w:r w:rsidRPr="005B2DC1">
        <w:rPr>
          <w:lang w:val="fr-FR"/>
        </w:rPr>
        <w:t>A.</w:t>
      </w:r>
      <w:r w:rsidRPr="005B2DC1">
        <w:rPr>
          <w:lang w:val="fr-FR"/>
        </w:rPr>
        <w:tab/>
        <w:t xml:space="preserve">Objectifs de l’exercice biennal, réalisations escomptées, </w:t>
      </w:r>
      <w:r>
        <w:rPr>
          <w:lang w:val="fr-FR"/>
        </w:rPr>
        <w:br/>
      </w:r>
      <w:r w:rsidRPr="005B2DC1">
        <w:rPr>
          <w:lang w:val="fr-FR"/>
        </w:rPr>
        <w:t>indicateurs de succès et mesure des résultats</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B2DC1" w:rsidTr="00216E0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5B2DC1" w:rsidRDefault="005B2DC1" w:rsidP="00216E0F"/>
        </w:tc>
      </w:tr>
      <w:tr w:rsidR="005B2DC1" w:rsidTr="00216E0F">
        <w:trPr>
          <w:jc w:val="center"/>
        </w:trPr>
        <w:tc>
          <w:tcPr>
            <w:tcW w:w="7653" w:type="dxa"/>
            <w:tcBorders>
              <w:left w:val="single" w:sz="4" w:space="0" w:color="auto"/>
              <w:bottom w:val="nil"/>
              <w:right w:val="single" w:sz="4" w:space="0" w:color="auto"/>
            </w:tcBorders>
            <w:shd w:val="clear" w:color="auto" w:fill="auto"/>
          </w:tcPr>
          <w:p w:rsidR="005B2DC1" w:rsidRDefault="005B2DC1" w:rsidP="00216E0F">
            <w:pPr>
              <w:spacing w:after="120"/>
              <w:jc w:val="both"/>
            </w:pPr>
            <w:r w:rsidRPr="005B2DC1">
              <w:rPr>
                <w:b/>
                <w:lang w:val="fr-FR"/>
              </w:rPr>
              <w:t>Objectif de l’Organisation</w:t>
            </w:r>
          </w:p>
        </w:tc>
      </w:tr>
      <w:tr w:rsidR="005B2DC1" w:rsidTr="00216E0F">
        <w:trPr>
          <w:jc w:val="center"/>
        </w:trPr>
        <w:tc>
          <w:tcPr>
            <w:tcW w:w="7653" w:type="dxa"/>
            <w:tcBorders>
              <w:left w:val="single" w:sz="4" w:space="0" w:color="auto"/>
              <w:bottom w:val="nil"/>
              <w:right w:val="single" w:sz="4" w:space="0" w:color="auto"/>
            </w:tcBorders>
            <w:shd w:val="clear" w:color="auto" w:fill="auto"/>
          </w:tcPr>
          <w:p w:rsidR="005B2DC1" w:rsidRDefault="005B2DC1" w:rsidP="00216E0F">
            <w:pPr>
              <w:spacing w:after="120"/>
              <w:jc w:val="both"/>
            </w:pPr>
            <w:r w:rsidRPr="005B2DC1">
              <w:rPr>
                <w:lang w:val="fr-FR"/>
              </w:rPr>
              <w:t>Améliorer la gouvernance et la performance environnementales dans toute la région afin de préserver l’environnement et la santé</w:t>
            </w:r>
          </w:p>
        </w:tc>
      </w:tr>
      <w:tr w:rsidR="005B2DC1" w:rsidTr="00216E0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5B2DC1" w:rsidRDefault="005B2DC1" w:rsidP="00216E0F"/>
        </w:tc>
      </w:tr>
    </w:tbl>
    <w:p w:rsidR="005B2DC1" w:rsidRDefault="005B2DC1" w:rsidP="005B2DC1">
      <w:pPr>
        <w:pStyle w:val="SingleTxtG"/>
        <w:rPr>
          <w:i/>
          <w:vertAlign w:val="superscript"/>
          <w:lang w:val="fr-FR"/>
        </w:rPr>
      </w:pPr>
    </w:p>
    <w:tbl>
      <w:tblPr>
        <w:tblW w:w="9637" w:type="dxa"/>
        <w:tblLayout w:type="fixed"/>
        <w:tblCellMar>
          <w:left w:w="0" w:type="dxa"/>
          <w:right w:w="0" w:type="dxa"/>
        </w:tblCellMar>
        <w:tblLook w:val="04A0" w:firstRow="1" w:lastRow="0" w:firstColumn="1" w:lastColumn="0" w:noHBand="0" w:noVBand="1"/>
      </w:tblPr>
      <w:tblGrid>
        <w:gridCol w:w="2736"/>
        <w:gridCol w:w="3030"/>
        <w:gridCol w:w="903"/>
        <w:gridCol w:w="951"/>
        <w:gridCol w:w="1032"/>
        <w:gridCol w:w="985"/>
      </w:tblGrid>
      <w:tr w:rsidR="005B2DC1" w:rsidRPr="005B2DC1" w:rsidTr="005B2DC1">
        <w:trPr>
          <w:tblHeader/>
        </w:trPr>
        <w:tc>
          <w:tcPr>
            <w:tcW w:w="2736" w:type="dxa"/>
            <w:vMerge w:val="restart"/>
            <w:tcBorders>
              <w:top w:val="single" w:sz="4" w:space="0" w:color="auto"/>
              <w:bottom w:val="single" w:sz="12" w:space="0" w:color="auto"/>
            </w:tcBorders>
            <w:shd w:val="clear" w:color="auto" w:fill="auto"/>
            <w:vAlign w:val="bottom"/>
          </w:tcPr>
          <w:p w:rsidR="005B2DC1" w:rsidRPr="005B2DC1" w:rsidRDefault="005B2DC1" w:rsidP="005E32BA">
            <w:pPr>
              <w:keepNext/>
              <w:keepLines/>
              <w:suppressAutoHyphens w:val="0"/>
              <w:spacing w:before="80" w:after="80" w:line="200" w:lineRule="exact"/>
              <w:ind w:right="113"/>
              <w:rPr>
                <w:i/>
                <w:sz w:val="16"/>
                <w:szCs w:val="16"/>
                <w:lang w:val="en-GB"/>
              </w:rPr>
            </w:pPr>
            <w:r>
              <w:rPr>
                <w:i/>
                <w:vertAlign w:val="superscript"/>
                <w:lang w:val="fr-FR"/>
              </w:rPr>
              <w:lastRenderedPageBreak/>
              <w:br w:type="page"/>
            </w:r>
            <w:r w:rsidRPr="005B2DC1">
              <w:rPr>
                <w:i/>
                <w:sz w:val="16"/>
                <w:lang w:val="fr-FR"/>
              </w:rPr>
              <w:t>Réalisations escomptées du secrétariat</w:t>
            </w:r>
          </w:p>
        </w:tc>
        <w:tc>
          <w:tcPr>
            <w:tcW w:w="3030" w:type="dxa"/>
            <w:vMerge w:val="restart"/>
            <w:tcBorders>
              <w:top w:val="single" w:sz="4" w:space="0" w:color="auto"/>
              <w:bottom w:val="single" w:sz="12" w:space="0" w:color="auto"/>
            </w:tcBorders>
            <w:shd w:val="clear" w:color="auto" w:fill="auto"/>
            <w:vAlign w:val="bottom"/>
          </w:tcPr>
          <w:p w:rsidR="005B2DC1" w:rsidRPr="005B2DC1" w:rsidRDefault="005B2DC1" w:rsidP="005E32BA">
            <w:pPr>
              <w:keepNext/>
              <w:keepLines/>
              <w:suppressAutoHyphens w:val="0"/>
              <w:spacing w:before="80" w:after="80" w:line="200" w:lineRule="exact"/>
              <w:ind w:right="113"/>
              <w:rPr>
                <w:i/>
                <w:sz w:val="16"/>
                <w:szCs w:val="16"/>
                <w:lang w:val="en-GB"/>
              </w:rPr>
            </w:pPr>
            <w:r w:rsidRPr="005B2DC1">
              <w:rPr>
                <w:i/>
                <w:sz w:val="16"/>
                <w:lang w:val="fr-FR"/>
              </w:rPr>
              <w:t>Indicateurs de succès</w:t>
            </w:r>
          </w:p>
        </w:tc>
        <w:tc>
          <w:tcPr>
            <w:tcW w:w="3871" w:type="dxa"/>
            <w:gridSpan w:val="4"/>
            <w:tcBorders>
              <w:top w:val="single" w:sz="4" w:space="0" w:color="auto"/>
              <w:bottom w:val="single" w:sz="4" w:space="0" w:color="auto"/>
            </w:tcBorders>
            <w:shd w:val="clear" w:color="auto" w:fill="auto"/>
            <w:vAlign w:val="bottom"/>
          </w:tcPr>
          <w:p w:rsidR="005B2DC1" w:rsidRPr="005B2DC1" w:rsidRDefault="005B2DC1" w:rsidP="001F5054">
            <w:pPr>
              <w:keepNext/>
              <w:keepLines/>
              <w:suppressAutoHyphens w:val="0"/>
              <w:spacing w:before="80" w:after="80" w:line="200" w:lineRule="exact"/>
              <w:jc w:val="center"/>
              <w:rPr>
                <w:i/>
                <w:sz w:val="16"/>
                <w:szCs w:val="16"/>
                <w:lang w:val="en-GB"/>
              </w:rPr>
            </w:pPr>
            <w:r w:rsidRPr="005B2DC1">
              <w:rPr>
                <w:i/>
                <w:sz w:val="16"/>
                <w:lang w:val="fr-FR"/>
              </w:rPr>
              <w:t>Mesure des résultats</w:t>
            </w:r>
          </w:p>
        </w:tc>
      </w:tr>
      <w:tr w:rsidR="005B2DC1" w:rsidRPr="005B2DC1" w:rsidTr="005B2DC1">
        <w:trPr>
          <w:tblHeader/>
        </w:trPr>
        <w:tc>
          <w:tcPr>
            <w:tcW w:w="2736" w:type="dxa"/>
            <w:vMerge/>
            <w:tcBorders>
              <w:top w:val="single" w:sz="12" w:space="0" w:color="auto"/>
              <w:bottom w:val="single" w:sz="12" w:space="0" w:color="auto"/>
            </w:tcBorders>
            <w:shd w:val="clear" w:color="auto" w:fill="auto"/>
            <w:vAlign w:val="bottom"/>
          </w:tcPr>
          <w:p w:rsidR="005B2DC1" w:rsidRPr="005B2DC1" w:rsidRDefault="005B2DC1" w:rsidP="005E32BA">
            <w:pPr>
              <w:keepNext/>
              <w:keepLines/>
              <w:suppressAutoHyphens w:val="0"/>
              <w:spacing w:before="40" w:after="40" w:line="220" w:lineRule="exact"/>
              <w:ind w:right="113"/>
              <w:rPr>
                <w:sz w:val="18"/>
                <w:szCs w:val="16"/>
                <w:lang w:val="en-GB"/>
              </w:rPr>
            </w:pPr>
          </w:p>
        </w:tc>
        <w:tc>
          <w:tcPr>
            <w:tcW w:w="3030" w:type="dxa"/>
            <w:vMerge/>
            <w:tcBorders>
              <w:top w:val="single" w:sz="12" w:space="0" w:color="auto"/>
              <w:bottom w:val="single" w:sz="12" w:space="0" w:color="auto"/>
            </w:tcBorders>
            <w:shd w:val="clear" w:color="auto" w:fill="auto"/>
            <w:vAlign w:val="bottom"/>
          </w:tcPr>
          <w:p w:rsidR="005B2DC1" w:rsidRPr="005B2DC1" w:rsidRDefault="005B2DC1" w:rsidP="005E32BA">
            <w:pPr>
              <w:keepNext/>
              <w:keepLines/>
              <w:suppressAutoHyphens w:val="0"/>
              <w:spacing w:before="40" w:after="40" w:line="220" w:lineRule="exact"/>
              <w:ind w:right="113"/>
              <w:jc w:val="right"/>
              <w:rPr>
                <w:sz w:val="18"/>
                <w:szCs w:val="16"/>
                <w:lang w:val="en-GB"/>
              </w:rPr>
            </w:pPr>
          </w:p>
        </w:tc>
        <w:tc>
          <w:tcPr>
            <w:tcW w:w="903" w:type="dxa"/>
            <w:tcBorders>
              <w:top w:val="single" w:sz="4" w:space="0" w:color="auto"/>
              <w:bottom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i/>
                <w:sz w:val="16"/>
                <w:szCs w:val="16"/>
                <w:lang w:val="en-GB"/>
              </w:rPr>
            </w:pPr>
          </w:p>
        </w:tc>
        <w:tc>
          <w:tcPr>
            <w:tcW w:w="951" w:type="dxa"/>
            <w:tcBorders>
              <w:top w:val="single" w:sz="4" w:space="0" w:color="auto"/>
              <w:bottom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i/>
                <w:sz w:val="16"/>
                <w:szCs w:val="16"/>
                <w:lang w:val="en-GB"/>
              </w:rPr>
            </w:pPr>
            <w:r w:rsidRPr="005B2DC1">
              <w:rPr>
                <w:i/>
                <w:sz w:val="16"/>
                <w:szCs w:val="16"/>
                <w:lang w:val="fr-FR"/>
              </w:rPr>
              <w:t>2020-2021</w:t>
            </w:r>
          </w:p>
        </w:tc>
        <w:tc>
          <w:tcPr>
            <w:tcW w:w="1032" w:type="dxa"/>
            <w:tcBorders>
              <w:top w:val="single" w:sz="4" w:space="0" w:color="auto"/>
              <w:bottom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i/>
                <w:sz w:val="16"/>
                <w:szCs w:val="16"/>
                <w:lang w:val="en-GB"/>
              </w:rPr>
            </w:pPr>
            <w:r w:rsidRPr="005B2DC1">
              <w:rPr>
                <w:i/>
                <w:sz w:val="16"/>
                <w:szCs w:val="16"/>
                <w:lang w:val="fr-FR"/>
              </w:rPr>
              <w:t>2018-2019</w:t>
            </w:r>
          </w:p>
        </w:tc>
        <w:tc>
          <w:tcPr>
            <w:tcW w:w="985" w:type="dxa"/>
            <w:tcBorders>
              <w:top w:val="single" w:sz="4" w:space="0" w:color="auto"/>
              <w:bottom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i/>
                <w:sz w:val="16"/>
                <w:szCs w:val="16"/>
                <w:lang w:val="en-GB"/>
              </w:rPr>
            </w:pPr>
            <w:r w:rsidRPr="005B2DC1">
              <w:rPr>
                <w:i/>
                <w:sz w:val="16"/>
                <w:szCs w:val="16"/>
                <w:lang w:val="fr-FR"/>
              </w:rPr>
              <w:t>2016-2017</w:t>
            </w:r>
          </w:p>
        </w:tc>
      </w:tr>
      <w:tr w:rsidR="005B2DC1" w:rsidRPr="005B2DC1" w:rsidTr="005B2DC1">
        <w:trPr>
          <w:trHeight w:hRule="exact" w:val="113"/>
        </w:trPr>
        <w:tc>
          <w:tcPr>
            <w:tcW w:w="2736" w:type="dxa"/>
            <w:tcBorders>
              <w:top w:val="single" w:sz="12" w:space="0" w:color="auto"/>
            </w:tcBorders>
            <w:shd w:val="clear" w:color="auto" w:fill="auto"/>
          </w:tcPr>
          <w:p w:rsidR="005B2DC1" w:rsidRPr="005B2DC1" w:rsidRDefault="005B2DC1" w:rsidP="005E32BA">
            <w:pPr>
              <w:keepNext/>
              <w:keepLines/>
              <w:suppressAutoHyphens w:val="0"/>
              <w:spacing w:before="40" w:after="40" w:line="220" w:lineRule="exact"/>
              <w:ind w:right="113"/>
              <w:rPr>
                <w:sz w:val="18"/>
                <w:lang w:val="en-GB"/>
              </w:rPr>
            </w:pPr>
          </w:p>
        </w:tc>
        <w:tc>
          <w:tcPr>
            <w:tcW w:w="3030" w:type="dxa"/>
            <w:tcBorders>
              <w:top w:val="single" w:sz="12" w:space="0" w:color="auto"/>
            </w:tcBorders>
            <w:shd w:val="clear" w:color="auto" w:fill="auto"/>
            <w:vAlign w:val="bottom"/>
          </w:tcPr>
          <w:p w:rsidR="005B2DC1" w:rsidRPr="005B2DC1" w:rsidRDefault="005B2DC1" w:rsidP="005E32BA">
            <w:pPr>
              <w:keepNext/>
              <w:keepLines/>
              <w:suppressAutoHyphens w:val="0"/>
              <w:spacing w:before="40" w:after="40" w:line="220" w:lineRule="exact"/>
              <w:ind w:right="113"/>
              <w:jc w:val="right"/>
              <w:rPr>
                <w:sz w:val="18"/>
                <w:lang w:val="en-GB"/>
              </w:rPr>
            </w:pPr>
          </w:p>
        </w:tc>
        <w:tc>
          <w:tcPr>
            <w:tcW w:w="903" w:type="dxa"/>
            <w:tcBorders>
              <w:top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sz w:val="18"/>
                <w:lang w:val="en-GB"/>
              </w:rPr>
            </w:pPr>
          </w:p>
        </w:tc>
        <w:tc>
          <w:tcPr>
            <w:tcW w:w="951" w:type="dxa"/>
            <w:tcBorders>
              <w:top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b/>
                <w:sz w:val="18"/>
                <w:szCs w:val="18"/>
                <w:lang w:val="en-GB"/>
              </w:rPr>
            </w:pPr>
          </w:p>
        </w:tc>
        <w:tc>
          <w:tcPr>
            <w:tcW w:w="1032" w:type="dxa"/>
            <w:tcBorders>
              <w:top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b/>
                <w:sz w:val="18"/>
                <w:szCs w:val="18"/>
                <w:lang w:val="en-GB"/>
              </w:rPr>
            </w:pPr>
          </w:p>
        </w:tc>
        <w:tc>
          <w:tcPr>
            <w:tcW w:w="985" w:type="dxa"/>
            <w:tcBorders>
              <w:top w:val="single" w:sz="12" w:space="0" w:color="auto"/>
            </w:tcBorders>
            <w:shd w:val="clear" w:color="auto" w:fill="auto"/>
            <w:vAlign w:val="bottom"/>
          </w:tcPr>
          <w:p w:rsidR="005B2DC1" w:rsidRPr="005B2DC1" w:rsidRDefault="005B2DC1" w:rsidP="001F5054">
            <w:pPr>
              <w:keepNext/>
              <w:keepLines/>
              <w:suppressAutoHyphens w:val="0"/>
              <w:spacing w:before="40" w:after="40" w:line="220" w:lineRule="exact"/>
              <w:jc w:val="right"/>
              <w:rPr>
                <w:b/>
                <w:sz w:val="18"/>
                <w:szCs w:val="18"/>
                <w:lang w:val="en-GB"/>
              </w:rPr>
            </w:pPr>
          </w:p>
        </w:tc>
      </w:tr>
      <w:tr w:rsidR="005B2DC1" w:rsidRPr="005B2DC1" w:rsidTr="00BA36D8">
        <w:tc>
          <w:tcPr>
            <w:tcW w:w="2736" w:type="dxa"/>
            <w:vMerge w:val="restart"/>
            <w:shd w:val="clear" w:color="auto" w:fill="auto"/>
          </w:tcPr>
          <w:p w:rsidR="005B2DC1" w:rsidRPr="005B2DC1" w:rsidRDefault="005B2DC1" w:rsidP="005E32BA">
            <w:pPr>
              <w:keepNext/>
              <w:keepLines/>
              <w:tabs>
                <w:tab w:val="left" w:pos="284"/>
              </w:tabs>
              <w:suppressAutoHyphens w:val="0"/>
              <w:spacing w:before="40" w:after="40" w:line="220" w:lineRule="exact"/>
              <w:ind w:left="284" w:right="113" w:hanging="284"/>
              <w:rPr>
                <w:sz w:val="18"/>
                <w:szCs w:val="18"/>
              </w:rPr>
            </w:pPr>
            <w:r w:rsidRPr="005B2DC1">
              <w:rPr>
                <w:sz w:val="18"/>
                <w:lang w:val="fr-FR"/>
              </w:rPr>
              <w:t>a)</w:t>
            </w:r>
            <w:r w:rsidRPr="005B2DC1">
              <w:rPr>
                <w:sz w:val="18"/>
                <w:lang w:val="fr-FR"/>
              </w:rPr>
              <w:tab/>
              <w:t>Meilleure réponse des pays dont</w:t>
            </w:r>
            <w:r w:rsidR="005E32BA">
              <w:rPr>
                <w:sz w:val="18"/>
                <w:lang w:val="fr-FR"/>
              </w:rPr>
              <w:t> </w:t>
            </w:r>
            <w:r w:rsidRPr="005B2DC1">
              <w:rPr>
                <w:sz w:val="18"/>
                <w:lang w:val="fr-FR"/>
              </w:rPr>
              <w:t>s’occupe la CEE face aux</w:t>
            </w:r>
            <w:r w:rsidR="005E32BA">
              <w:rPr>
                <w:sz w:val="18"/>
                <w:lang w:val="fr-FR"/>
              </w:rPr>
              <w:t> </w:t>
            </w:r>
            <w:r w:rsidRPr="005B2DC1">
              <w:rPr>
                <w:sz w:val="18"/>
                <w:lang w:val="fr-FR"/>
              </w:rPr>
              <w:t>problèmes environnementaux</w:t>
            </w:r>
          </w:p>
        </w:tc>
        <w:tc>
          <w:tcPr>
            <w:tcW w:w="3030" w:type="dxa"/>
            <w:vMerge w:val="restart"/>
            <w:shd w:val="clear" w:color="auto" w:fill="auto"/>
            <w:vAlign w:val="bottom"/>
          </w:tcPr>
          <w:p w:rsidR="005B2DC1" w:rsidRPr="005B2DC1" w:rsidRDefault="005B2DC1" w:rsidP="005E32BA">
            <w:pPr>
              <w:keepNext/>
              <w:keepLines/>
              <w:tabs>
                <w:tab w:val="left" w:pos="284"/>
              </w:tabs>
              <w:suppressAutoHyphens w:val="0"/>
              <w:spacing w:before="40" w:after="40" w:line="220" w:lineRule="exact"/>
              <w:ind w:left="284" w:right="113" w:hanging="284"/>
              <w:rPr>
                <w:sz w:val="18"/>
                <w:szCs w:val="18"/>
              </w:rPr>
            </w:pPr>
            <w:r w:rsidRPr="005B2DC1">
              <w:rPr>
                <w:sz w:val="18"/>
                <w:lang w:val="fr-FR"/>
              </w:rPr>
              <w:t>a)</w:t>
            </w:r>
            <w:r w:rsidRPr="005B2DC1">
              <w:rPr>
                <w:sz w:val="18"/>
                <w:lang w:val="fr-FR"/>
              </w:rPr>
              <w:tab/>
              <w:t>Nombre de nouvelles mesures prises par les pays dont s’occupe la</w:t>
            </w:r>
            <w:r w:rsidR="005E32BA">
              <w:rPr>
                <w:sz w:val="18"/>
                <w:lang w:val="fr-FR"/>
              </w:rPr>
              <w:t> </w:t>
            </w:r>
            <w:r w:rsidRPr="005B2DC1">
              <w:rPr>
                <w:sz w:val="18"/>
                <w:lang w:val="fr-FR"/>
              </w:rPr>
              <w:t>CEE pour faire face à des problèmes environnementaux existants ou naissants</w:t>
            </w:r>
          </w:p>
        </w:tc>
        <w:tc>
          <w:tcPr>
            <w:tcW w:w="903" w:type="dxa"/>
            <w:shd w:val="clear" w:color="auto" w:fill="auto"/>
          </w:tcPr>
          <w:p w:rsidR="005B2DC1" w:rsidRPr="005B2DC1" w:rsidRDefault="005B2DC1" w:rsidP="001F5054">
            <w:pPr>
              <w:keepNext/>
              <w:keepLines/>
              <w:suppressAutoHyphens w:val="0"/>
              <w:spacing w:before="40" w:after="40" w:line="220" w:lineRule="exact"/>
              <w:rPr>
                <w:sz w:val="18"/>
                <w:szCs w:val="18"/>
                <w:lang w:val="en-GB"/>
              </w:rPr>
            </w:pPr>
            <w:r w:rsidRPr="005B2DC1">
              <w:rPr>
                <w:sz w:val="18"/>
                <w:lang w:val="fr-FR"/>
              </w:rPr>
              <w:t>Objectif</w:t>
            </w:r>
          </w:p>
        </w:tc>
        <w:tc>
          <w:tcPr>
            <w:tcW w:w="951"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p>
        </w:tc>
        <w:tc>
          <w:tcPr>
            <w:tcW w:w="1032"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p>
        </w:tc>
        <w:tc>
          <w:tcPr>
            <w:tcW w:w="985"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p>
        </w:tc>
      </w:tr>
      <w:tr w:rsidR="005B2DC1" w:rsidRPr="005B2DC1" w:rsidTr="00BA36D8">
        <w:tc>
          <w:tcPr>
            <w:tcW w:w="2736" w:type="dxa"/>
            <w:vMerge/>
            <w:shd w:val="clear" w:color="auto" w:fill="auto"/>
          </w:tcPr>
          <w:p w:rsidR="005B2DC1" w:rsidRPr="005B2DC1" w:rsidRDefault="005B2DC1" w:rsidP="005E32BA">
            <w:pPr>
              <w:keepNext/>
              <w:keepLines/>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keepNext/>
              <w:keepLines/>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1F5054">
            <w:pPr>
              <w:keepNext/>
              <w:keepLines/>
              <w:suppressAutoHyphens w:val="0"/>
              <w:spacing w:before="40" w:after="40" w:line="220" w:lineRule="exact"/>
              <w:rPr>
                <w:sz w:val="18"/>
                <w:szCs w:val="18"/>
                <w:lang w:val="en-GB"/>
              </w:rPr>
            </w:pPr>
            <w:r w:rsidRPr="005B2DC1">
              <w:rPr>
                <w:sz w:val="18"/>
                <w:lang w:val="fr-FR"/>
              </w:rPr>
              <w:t>Estimation</w:t>
            </w:r>
          </w:p>
        </w:tc>
        <w:tc>
          <w:tcPr>
            <w:tcW w:w="951"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p>
        </w:tc>
        <w:tc>
          <w:tcPr>
            <w:tcW w:w="985"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p>
        </w:tc>
      </w:tr>
      <w:tr w:rsidR="005B2DC1" w:rsidRPr="005B2DC1" w:rsidTr="00BA36D8">
        <w:tc>
          <w:tcPr>
            <w:tcW w:w="2736" w:type="dxa"/>
            <w:vMerge/>
            <w:shd w:val="clear" w:color="auto" w:fill="auto"/>
          </w:tcPr>
          <w:p w:rsidR="005B2DC1" w:rsidRPr="005B2DC1" w:rsidRDefault="005B2DC1" w:rsidP="005E32BA">
            <w:pPr>
              <w:keepNext/>
              <w:keepLines/>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keepNext/>
              <w:keepLines/>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1F5054">
            <w:pPr>
              <w:keepNext/>
              <w:keepLines/>
              <w:suppressAutoHyphens w:val="0"/>
              <w:spacing w:before="40" w:after="40" w:line="220" w:lineRule="exact"/>
              <w:rPr>
                <w:sz w:val="18"/>
                <w:szCs w:val="18"/>
                <w:lang w:val="en-GB"/>
              </w:rPr>
            </w:pPr>
            <w:r w:rsidRPr="005B2DC1">
              <w:rPr>
                <w:sz w:val="18"/>
                <w:lang w:val="fr-FR"/>
              </w:rPr>
              <w:t>Résultats effectifs</w:t>
            </w:r>
            <w:r w:rsidRPr="00BA36D8">
              <w:rPr>
                <w:i/>
                <w:iCs/>
                <w:sz w:val="18"/>
                <w:vertAlign w:val="superscript"/>
                <w:lang w:val="fr-FR"/>
              </w:rPr>
              <w:t>a</w:t>
            </w:r>
          </w:p>
        </w:tc>
        <w:tc>
          <w:tcPr>
            <w:tcW w:w="951"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p>
        </w:tc>
        <w:tc>
          <w:tcPr>
            <w:tcW w:w="985" w:type="dxa"/>
            <w:shd w:val="clear" w:color="auto" w:fill="auto"/>
            <w:vAlign w:val="bottom"/>
          </w:tcPr>
          <w:p w:rsidR="005B2DC1" w:rsidRPr="005B2DC1" w:rsidRDefault="005B2DC1" w:rsidP="001F5054">
            <w:pPr>
              <w:keepNext/>
              <w:keepLines/>
              <w:suppressAutoHyphens w:val="0"/>
              <w:spacing w:before="40" w:after="40" w:line="220" w:lineRule="exact"/>
              <w:jc w:val="right"/>
              <w:rPr>
                <w:sz w:val="18"/>
                <w:szCs w:val="18"/>
                <w:lang w:val="en-GB"/>
              </w:rPr>
            </w:pPr>
            <w:r w:rsidRPr="005B2DC1">
              <w:rPr>
                <w:sz w:val="18"/>
                <w:lang w:val="fr-FR"/>
              </w:rPr>
              <w:t>2</w:t>
            </w:r>
            <w:r w:rsidRPr="00F33CD9">
              <w:rPr>
                <w:i/>
                <w:iCs/>
                <w:sz w:val="18"/>
                <w:vertAlign w:val="superscript"/>
                <w:lang w:val="fr-FR"/>
              </w:rPr>
              <w:t>c</w:t>
            </w:r>
          </w:p>
        </w:tc>
      </w:tr>
      <w:tr w:rsidR="005B2DC1" w:rsidRPr="005B2DC1" w:rsidTr="00BA36D8">
        <w:tc>
          <w:tcPr>
            <w:tcW w:w="2736" w:type="dxa"/>
            <w:vMerge w:val="restart"/>
            <w:shd w:val="clear" w:color="auto" w:fill="auto"/>
          </w:tcPr>
          <w:p w:rsidR="005B2DC1" w:rsidRPr="005B2DC1" w:rsidRDefault="005B2DC1" w:rsidP="005E32BA">
            <w:pPr>
              <w:tabs>
                <w:tab w:val="left" w:pos="284"/>
              </w:tabs>
              <w:suppressAutoHyphens w:val="0"/>
              <w:spacing w:before="40" w:after="40" w:line="220" w:lineRule="exact"/>
              <w:ind w:left="284" w:right="113" w:hanging="284"/>
              <w:rPr>
                <w:sz w:val="18"/>
                <w:szCs w:val="18"/>
              </w:rPr>
            </w:pPr>
            <w:r w:rsidRPr="005B2DC1">
              <w:rPr>
                <w:sz w:val="18"/>
                <w:lang w:val="fr-FR"/>
              </w:rPr>
              <w:t>b)</w:t>
            </w:r>
            <w:r w:rsidRPr="005B2DC1">
              <w:rPr>
                <w:sz w:val="18"/>
                <w:lang w:val="fr-FR"/>
              </w:rPr>
              <w:tab/>
              <w:t>Renforcement de l’exécution des engagements multilatéraux de la CEE relatifs à l’environnement et élargissement de leur portée géographique</w:t>
            </w:r>
          </w:p>
        </w:tc>
        <w:tc>
          <w:tcPr>
            <w:tcW w:w="3030" w:type="dxa"/>
            <w:vMerge w:val="restart"/>
            <w:shd w:val="clear" w:color="auto" w:fill="auto"/>
            <w:vAlign w:val="bottom"/>
          </w:tcPr>
          <w:p w:rsidR="005B2DC1" w:rsidRPr="005B2DC1" w:rsidRDefault="005B2DC1" w:rsidP="005E32BA">
            <w:pPr>
              <w:tabs>
                <w:tab w:val="left" w:pos="284"/>
              </w:tabs>
              <w:suppressAutoHyphens w:val="0"/>
              <w:spacing w:before="40" w:after="40" w:line="220" w:lineRule="exact"/>
              <w:ind w:left="567" w:right="113" w:hanging="567"/>
              <w:rPr>
                <w:sz w:val="18"/>
                <w:szCs w:val="18"/>
              </w:rPr>
            </w:pPr>
            <w:r w:rsidRPr="005B2DC1">
              <w:rPr>
                <w:sz w:val="18"/>
                <w:lang w:val="fr-FR"/>
              </w:rPr>
              <w:t>b)</w:t>
            </w:r>
            <w:r w:rsidRPr="005B2DC1">
              <w:rPr>
                <w:sz w:val="18"/>
                <w:lang w:val="fr-FR"/>
              </w:rPr>
              <w:tab/>
              <w:t>i)</w:t>
            </w:r>
            <w:r w:rsidRPr="005B2DC1">
              <w:rPr>
                <w:sz w:val="18"/>
                <w:lang w:val="fr-FR"/>
              </w:rPr>
              <w:tab/>
              <w:t>Augmentation du pourcentage de Parties contractantes qui rendent compte de l’application des accords multilatéraux de la</w:t>
            </w:r>
            <w:r w:rsidR="005E32BA">
              <w:rPr>
                <w:sz w:val="18"/>
                <w:lang w:val="fr-FR"/>
              </w:rPr>
              <w:t> </w:t>
            </w:r>
            <w:r w:rsidRPr="005B2DC1">
              <w:rPr>
                <w:sz w:val="18"/>
                <w:lang w:val="fr-FR"/>
              </w:rPr>
              <w:t>CEE relatifs à l’environnement</w:t>
            </w: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Objectif</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92</w:t>
            </w: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87</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85</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Estimation</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87</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85</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Résultats effectifs</w:t>
            </w:r>
            <w:r w:rsidRPr="00BA36D8">
              <w:rPr>
                <w:i/>
                <w:iCs/>
                <w:sz w:val="18"/>
                <w:vertAlign w:val="superscript"/>
                <w:lang w:val="fr-FR"/>
              </w:rPr>
              <w:t>a</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91</w:t>
            </w:r>
            <w:r w:rsidRPr="00F33CD9">
              <w:rPr>
                <w:i/>
                <w:sz w:val="18"/>
                <w:vertAlign w:val="superscript"/>
                <w:lang w:val="fr-FR"/>
              </w:rPr>
              <w:t>d</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val="restart"/>
            <w:shd w:val="clear" w:color="auto" w:fill="auto"/>
            <w:vAlign w:val="bottom"/>
          </w:tcPr>
          <w:p w:rsidR="005B2DC1" w:rsidRPr="005B2DC1" w:rsidRDefault="005B2DC1" w:rsidP="005E32BA">
            <w:pPr>
              <w:tabs>
                <w:tab w:val="left" w:pos="284"/>
              </w:tabs>
              <w:suppressAutoHyphens w:val="0"/>
              <w:spacing w:before="40" w:after="40" w:line="220" w:lineRule="exact"/>
              <w:ind w:left="568" w:right="113" w:hanging="284"/>
              <w:rPr>
                <w:sz w:val="18"/>
                <w:szCs w:val="18"/>
              </w:rPr>
            </w:pPr>
            <w:r w:rsidRPr="005B2DC1">
              <w:rPr>
                <w:sz w:val="18"/>
                <w:lang w:val="fr-FR"/>
              </w:rPr>
              <w:t>ii)</w:t>
            </w:r>
            <w:r w:rsidRPr="005B2DC1">
              <w:rPr>
                <w:sz w:val="18"/>
                <w:lang w:val="fr-FR"/>
              </w:rPr>
              <w:tab/>
              <w:t>Augmentation du nombre de Parties contractantes aux accords multilatéraux de la CEE relatifs à l’environnement</w:t>
            </w: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Objectif</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320</w:t>
            </w: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318</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310</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Estimation</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318</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310</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Résultats effectifs</w:t>
            </w:r>
            <w:r w:rsidRPr="00BA36D8">
              <w:rPr>
                <w:i/>
                <w:iCs/>
                <w:sz w:val="18"/>
                <w:vertAlign w:val="superscript"/>
                <w:lang w:val="fr-FR"/>
              </w:rPr>
              <w:t>a</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318</w:t>
            </w:r>
          </w:p>
        </w:tc>
      </w:tr>
      <w:tr w:rsidR="005B2DC1" w:rsidRPr="005B2DC1" w:rsidTr="00BA36D8">
        <w:tc>
          <w:tcPr>
            <w:tcW w:w="2736" w:type="dxa"/>
            <w:vMerge w:val="restart"/>
            <w:shd w:val="clear" w:color="auto" w:fill="auto"/>
          </w:tcPr>
          <w:p w:rsidR="005B2DC1" w:rsidRPr="005B2DC1" w:rsidRDefault="005B2DC1" w:rsidP="005E32BA">
            <w:pPr>
              <w:tabs>
                <w:tab w:val="left" w:pos="284"/>
              </w:tabs>
              <w:suppressAutoHyphens w:val="0"/>
              <w:spacing w:before="40" w:after="40" w:line="220" w:lineRule="exact"/>
              <w:ind w:left="284" w:right="113" w:hanging="284"/>
              <w:rPr>
                <w:sz w:val="18"/>
                <w:szCs w:val="18"/>
              </w:rPr>
            </w:pPr>
            <w:r w:rsidRPr="005B2DC1">
              <w:rPr>
                <w:sz w:val="18"/>
                <w:lang w:val="fr-FR"/>
              </w:rPr>
              <w:t>c)</w:t>
            </w:r>
            <w:r w:rsidRPr="005B2DC1">
              <w:rPr>
                <w:sz w:val="18"/>
                <w:lang w:val="fr-FR"/>
              </w:rPr>
              <w:tab/>
              <w:t>Renforcement des capacités nationales en matière de systèmes de surveillance et d’évaluation environnementales dans les pays de l’Europe orientale, de l’Europe du Sud</w:t>
            </w:r>
            <w:r w:rsidR="005E32BA">
              <w:rPr>
                <w:sz w:val="18"/>
                <w:lang w:val="fr-FR"/>
              </w:rPr>
              <w:noBreakHyphen/>
            </w:r>
            <w:r w:rsidRPr="005B2DC1">
              <w:rPr>
                <w:sz w:val="18"/>
                <w:lang w:val="fr-FR"/>
              </w:rPr>
              <w:t>Est, du Caucase et de</w:t>
            </w:r>
            <w:r w:rsidR="005E32BA">
              <w:rPr>
                <w:sz w:val="18"/>
                <w:lang w:val="fr-FR"/>
              </w:rPr>
              <w:t> </w:t>
            </w:r>
            <w:r w:rsidRPr="005B2DC1">
              <w:rPr>
                <w:sz w:val="18"/>
                <w:lang w:val="fr-FR"/>
              </w:rPr>
              <w:t xml:space="preserve">l’Asie centrale </w:t>
            </w:r>
          </w:p>
        </w:tc>
        <w:tc>
          <w:tcPr>
            <w:tcW w:w="3030" w:type="dxa"/>
            <w:vMerge w:val="restart"/>
            <w:shd w:val="clear" w:color="auto" w:fill="auto"/>
          </w:tcPr>
          <w:p w:rsidR="005B2DC1" w:rsidRPr="005B2DC1" w:rsidRDefault="005B2DC1" w:rsidP="005E32BA">
            <w:pPr>
              <w:tabs>
                <w:tab w:val="left" w:pos="284"/>
              </w:tabs>
              <w:suppressAutoHyphens w:val="0"/>
              <w:spacing w:before="40" w:after="40" w:line="220" w:lineRule="exact"/>
              <w:ind w:left="284" w:right="113" w:hanging="284"/>
              <w:rPr>
                <w:sz w:val="18"/>
                <w:szCs w:val="18"/>
              </w:rPr>
            </w:pPr>
            <w:r w:rsidRPr="005B2DC1">
              <w:rPr>
                <w:sz w:val="18"/>
                <w:lang w:val="fr-FR"/>
              </w:rPr>
              <w:t>c)</w:t>
            </w:r>
            <w:r w:rsidRPr="005B2DC1">
              <w:rPr>
                <w:sz w:val="18"/>
                <w:lang w:val="fr-FR"/>
              </w:rPr>
              <w:tab/>
              <w:t>Augmentation du pourcentage de recommandations de la CEE sur la</w:t>
            </w:r>
            <w:r w:rsidR="00BA36D8">
              <w:rPr>
                <w:sz w:val="18"/>
                <w:lang w:val="fr-FR"/>
              </w:rPr>
              <w:t> </w:t>
            </w:r>
            <w:r w:rsidRPr="005B2DC1">
              <w:rPr>
                <w:sz w:val="18"/>
                <w:lang w:val="fr-FR"/>
              </w:rPr>
              <w:t>surveillance environnementale appliquées par les États membres</w:t>
            </w: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Objectif</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56</w:t>
            </w: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52</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50</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Estimation</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52</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50</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Résultats effectifs</w:t>
            </w:r>
            <w:r w:rsidRPr="00BA36D8">
              <w:rPr>
                <w:i/>
                <w:iCs/>
                <w:sz w:val="18"/>
                <w:vertAlign w:val="superscript"/>
                <w:lang w:val="fr-FR"/>
              </w:rPr>
              <w:t>b</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54</w:t>
            </w:r>
          </w:p>
        </w:tc>
      </w:tr>
      <w:tr w:rsidR="005B2DC1" w:rsidRPr="005B2DC1" w:rsidTr="00BA36D8">
        <w:tc>
          <w:tcPr>
            <w:tcW w:w="2736" w:type="dxa"/>
            <w:vMerge w:val="restart"/>
            <w:shd w:val="clear" w:color="auto" w:fill="auto"/>
          </w:tcPr>
          <w:p w:rsidR="005B2DC1" w:rsidRPr="005B2DC1" w:rsidRDefault="005B2DC1" w:rsidP="005E32BA">
            <w:pPr>
              <w:tabs>
                <w:tab w:val="left" w:pos="284"/>
              </w:tabs>
              <w:suppressAutoHyphens w:val="0"/>
              <w:spacing w:before="40" w:after="40" w:line="220" w:lineRule="exact"/>
              <w:ind w:left="284" w:right="113" w:hanging="284"/>
              <w:rPr>
                <w:sz w:val="18"/>
                <w:szCs w:val="18"/>
              </w:rPr>
            </w:pPr>
            <w:r w:rsidRPr="005B2DC1">
              <w:rPr>
                <w:sz w:val="18"/>
                <w:lang w:val="fr-FR"/>
              </w:rPr>
              <w:t>d)</w:t>
            </w:r>
            <w:r w:rsidRPr="005B2DC1">
              <w:rPr>
                <w:sz w:val="18"/>
                <w:lang w:val="fr-FR"/>
              </w:rPr>
              <w:tab/>
              <w:t xml:space="preserve">Amélioration de la performance environnementale dans </w:t>
            </w:r>
            <w:r w:rsidR="005E32BA">
              <w:rPr>
                <w:sz w:val="18"/>
                <w:lang w:val="fr-FR"/>
              </w:rPr>
              <w:br/>
            </w:r>
            <w:r w:rsidRPr="005B2DC1">
              <w:rPr>
                <w:sz w:val="18"/>
                <w:lang w:val="fr-FR"/>
              </w:rPr>
              <w:t>les pays intéressés</w:t>
            </w:r>
          </w:p>
        </w:tc>
        <w:tc>
          <w:tcPr>
            <w:tcW w:w="3030" w:type="dxa"/>
            <w:vMerge w:val="restart"/>
            <w:shd w:val="clear" w:color="auto" w:fill="auto"/>
            <w:vAlign w:val="bottom"/>
          </w:tcPr>
          <w:p w:rsidR="005B2DC1" w:rsidRPr="005B2DC1" w:rsidRDefault="005B2DC1" w:rsidP="005E32BA">
            <w:pPr>
              <w:tabs>
                <w:tab w:val="left" w:pos="284"/>
              </w:tabs>
              <w:suppressAutoHyphens w:val="0"/>
              <w:spacing w:before="40" w:after="40" w:line="220" w:lineRule="exact"/>
              <w:ind w:left="284" w:right="113" w:hanging="284"/>
              <w:rPr>
                <w:sz w:val="18"/>
                <w:szCs w:val="18"/>
              </w:rPr>
            </w:pPr>
            <w:r w:rsidRPr="005B2DC1">
              <w:rPr>
                <w:sz w:val="18"/>
                <w:lang w:val="fr-FR"/>
              </w:rPr>
              <w:t>d)</w:t>
            </w:r>
            <w:r w:rsidRPr="005B2DC1">
              <w:rPr>
                <w:sz w:val="18"/>
                <w:lang w:val="fr-FR"/>
              </w:rPr>
              <w:tab/>
              <w:t>Pourcentage de recommandations issues d’</w:t>
            </w:r>
            <w:r w:rsidR="005E32BA">
              <w:rPr>
                <w:sz w:val="18"/>
                <w:lang w:val="fr-FR"/>
              </w:rPr>
              <w:t>un examen de la </w:t>
            </w:r>
            <w:r w:rsidRPr="005B2DC1">
              <w:rPr>
                <w:sz w:val="18"/>
                <w:lang w:val="fr-FR"/>
              </w:rPr>
              <w:t>performance environnementale appliquées par les pays ayant fait l’objet d’un examen pendant un</w:t>
            </w:r>
            <w:r w:rsidR="005E32BA">
              <w:rPr>
                <w:sz w:val="18"/>
                <w:lang w:val="fr-FR"/>
              </w:rPr>
              <w:t> </w:t>
            </w:r>
            <w:r w:rsidRPr="005B2DC1">
              <w:rPr>
                <w:sz w:val="18"/>
                <w:lang w:val="fr-FR"/>
              </w:rPr>
              <w:t>exercice biennal</w:t>
            </w: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Objectif</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65</w:t>
            </w: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65</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65</w:t>
            </w:r>
          </w:p>
        </w:tc>
      </w:tr>
      <w:tr w:rsidR="005B2DC1" w:rsidRPr="005B2DC1" w:rsidTr="00BA36D8">
        <w:tc>
          <w:tcPr>
            <w:tcW w:w="2736" w:type="dxa"/>
            <w:vMerge/>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Estimation</w:t>
            </w:r>
          </w:p>
        </w:tc>
        <w:tc>
          <w:tcPr>
            <w:tcW w:w="951"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65</w:t>
            </w:r>
          </w:p>
        </w:tc>
        <w:tc>
          <w:tcPr>
            <w:tcW w:w="985" w:type="dxa"/>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r w:rsidRPr="005B2DC1">
              <w:rPr>
                <w:sz w:val="18"/>
                <w:lang w:val="fr-FR"/>
              </w:rPr>
              <w:t>65</w:t>
            </w:r>
          </w:p>
        </w:tc>
      </w:tr>
      <w:tr w:rsidR="005B2DC1" w:rsidRPr="005B2DC1" w:rsidTr="00BA36D8">
        <w:tc>
          <w:tcPr>
            <w:tcW w:w="2736" w:type="dxa"/>
            <w:vMerge/>
            <w:tcBorders>
              <w:bottom w:val="single" w:sz="12" w:space="0" w:color="auto"/>
            </w:tcBorders>
            <w:shd w:val="clear" w:color="auto" w:fill="auto"/>
          </w:tcPr>
          <w:p w:rsidR="005B2DC1" w:rsidRPr="005B2DC1" w:rsidRDefault="005B2DC1" w:rsidP="005E32BA">
            <w:pPr>
              <w:suppressAutoHyphens w:val="0"/>
              <w:spacing w:before="40" w:after="40" w:line="220" w:lineRule="exact"/>
              <w:ind w:right="113"/>
              <w:rPr>
                <w:sz w:val="18"/>
                <w:szCs w:val="18"/>
                <w:lang w:val="en-GB"/>
              </w:rPr>
            </w:pPr>
          </w:p>
        </w:tc>
        <w:tc>
          <w:tcPr>
            <w:tcW w:w="3030" w:type="dxa"/>
            <w:vMerge/>
            <w:tcBorders>
              <w:bottom w:val="single" w:sz="12" w:space="0" w:color="auto"/>
            </w:tcBorders>
            <w:shd w:val="clear" w:color="auto" w:fill="auto"/>
            <w:vAlign w:val="bottom"/>
          </w:tcPr>
          <w:p w:rsidR="005B2DC1" w:rsidRPr="005B2DC1" w:rsidRDefault="005B2DC1" w:rsidP="005E32BA">
            <w:pPr>
              <w:suppressAutoHyphens w:val="0"/>
              <w:spacing w:before="40" w:after="40" w:line="220" w:lineRule="exact"/>
              <w:ind w:right="113"/>
              <w:jc w:val="right"/>
              <w:rPr>
                <w:sz w:val="18"/>
                <w:szCs w:val="18"/>
                <w:lang w:val="en-GB"/>
              </w:rPr>
            </w:pPr>
          </w:p>
        </w:tc>
        <w:tc>
          <w:tcPr>
            <w:tcW w:w="903" w:type="dxa"/>
            <w:tcBorders>
              <w:bottom w:val="single" w:sz="12" w:space="0" w:color="auto"/>
            </w:tcBorders>
            <w:shd w:val="clear" w:color="auto" w:fill="auto"/>
          </w:tcPr>
          <w:p w:rsidR="005B2DC1" w:rsidRPr="005B2DC1" w:rsidRDefault="005B2DC1" w:rsidP="00BA36D8">
            <w:pPr>
              <w:suppressAutoHyphens w:val="0"/>
              <w:spacing w:before="40" w:after="40" w:line="220" w:lineRule="exact"/>
              <w:rPr>
                <w:sz w:val="18"/>
                <w:szCs w:val="18"/>
                <w:lang w:val="en-GB"/>
              </w:rPr>
            </w:pPr>
            <w:r w:rsidRPr="005B2DC1">
              <w:rPr>
                <w:sz w:val="18"/>
                <w:lang w:val="fr-FR"/>
              </w:rPr>
              <w:t>Résultats effectifs</w:t>
            </w:r>
            <w:r w:rsidRPr="00BA36D8">
              <w:rPr>
                <w:i/>
                <w:iCs/>
                <w:sz w:val="18"/>
                <w:vertAlign w:val="superscript"/>
                <w:lang w:val="fr-FR"/>
              </w:rPr>
              <w:t>b</w:t>
            </w:r>
          </w:p>
        </w:tc>
        <w:tc>
          <w:tcPr>
            <w:tcW w:w="951" w:type="dxa"/>
            <w:tcBorders>
              <w:bottom w:val="single" w:sz="12" w:space="0" w:color="auto"/>
            </w:tcBorders>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1032" w:type="dxa"/>
            <w:tcBorders>
              <w:bottom w:val="single" w:sz="12" w:space="0" w:color="auto"/>
            </w:tcBorders>
            <w:shd w:val="clear" w:color="auto" w:fill="auto"/>
            <w:vAlign w:val="bottom"/>
          </w:tcPr>
          <w:p w:rsidR="005B2DC1" w:rsidRPr="005B2DC1" w:rsidRDefault="005B2DC1" w:rsidP="005B2DC1">
            <w:pPr>
              <w:suppressAutoHyphens w:val="0"/>
              <w:spacing w:before="40" w:after="40" w:line="220" w:lineRule="exact"/>
              <w:jc w:val="right"/>
              <w:rPr>
                <w:sz w:val="18"/>
                <w:szCs w:val="18"/>
                <w:lang w:val="en-GB"/>
              </w:rPr>
            </w:pPr>
          </w:p>
        </w:tc>
        <w:tc>
          <w:tcPr>
            <w:tcW w:w="985" w:type="dxa"/>
            <w:tcBorders>
              <w:bottom w:val="single" w:sz="12" w:space="0" w:color="auto"/>
            </w:tcBorders>
            <w:shd w:val="clear" w:color="auto" w:fill="auto"/>
            <w:vAlign w:val="bottom"/>
          </w:tcPr>
          <w:p w:rsidR="005B2DC1" w:rsidRPr="005B2DC1" w:rsidRDefault="005B2DC1" w:rsidP="00F33CD9">
            <w:pPr>
              <w:suppressAutoHyphens w:val="0"/>
              <w:spacing w:before="40" w:after="40" w:line="220" w:lineRule="exact"/>
              <w:jc w:val="right"/>
              <w:rPr>
                <w:sz w:val="18"/>
                <w:szCs w:val="18"/>
                <w:lang w:val="en-GB"/>
              </w:rPr>
            </w:pPr>
            <w:r w:rsidRPr="005B2DC1">
              <w:rPr>
                <w:sz w:val="18"/>
                <w:lang w:val="fr-FR"/>
              </w:rPr>
              <w:t>75</w:t>
            </w:r>
            <w:r w:rsidR="00F33CD9">
              <w:rPr>
                <w:iCs/>
                <w:sz w:val="18"/>
                <w:vertAlign w:val="superscript"/>
                <w:lang w:val="fr-FR"/>
              </w:rPr>
              <w:t>i</w:t>
            </w:r>
          </w:p>
        </w:tc>
      </w:tr>
    </w:tbl>
    <w:p w:rsidR="005B2DC1" w:rsidRPr="003A66AD" w:rsidRDefault="005B2DC1" w:rsidP="003A66AD">
      <w:pPr>
        <w:pStyle w:val="SingleTxtG"/>
        <w:spacing w:before="120" w:after="0"/>
        <w:ind w:left="0" w:right="0" w:firstLine="170"/>
        <w:jc w:val="left"/>
        <w:rPr>
          <w:sz w:val="18"/>
          <w:szCs w:val="18"/>
        </w:rPr>
      </w:pPr>
      <w:r w:rsidRPr="003A66AD">
        <w:rPr>
          <w:i/>
          <w:sz w:val="18"/>
          <w:szCs w:val="18"/>
          <w:vertAlign w:val="superscript"/>
          <w:lang w:val="fr-FR"/>
        </w:rPr>
        <w:t>a</w:t>
      </w:r>
      <w:r w:rsidRPr="003A66AD">
        <w:rPr>
          <w:sz w:val="18"/>
          <w:szCs w:val="18"/>
          <w:lang w:val="fr-FR"/>
        </w:rPr>
        <w:t xml:space="preserve"> </w:t>
      </w:r>
      <w:r w:rsidR="003A66AD">
        <w:rPr>
          <w:sz w:val="18"/>
          <w:szCs w:val="18"/>
          <w:lang w:val="fr-FR"/>
        </w:rPr>
        <w:t xml:space="preserve"> Chiffre provisoire, au 15 </w:t>
      </w:r>
      <w:r w:rsidRPr="003A66AD">
        <w:rPr>
          <w:sz w:val="18"/>
          <w:szCs w:val="18"/>
          <w:lang w:val="fr-FR"/>
        </w:rPr>
        <w:t>août 2017.</w:t>
      </w:r>
    </w:p>
    <w:p w:rsidR="005B2DC1" w:rsidRPr="003A66AD" w:rsidRDefault="005B2DC1" w:rsidP="003A66AD">
      <w:pPr>
        <w:pStyle w:val="SingleTxtG"/>
        <w:spacing w:after="0"/>
        <w:ind w:left="0" w:right="0" w:firstLine="170"/>
        <w:jc w:val="left"/>
        <w:rPr>
          <w:sz w:val="18"/>
          <w:szCs w:val="18"/>
        </w:rPr>
      </w:pPr>
      <w:r w:rsidRPr="003A66AD">
        <w:rPr>
          <w:i/>
          <w:sz w:val="18"/>
          <w:szCs w:val="18"/>
          <w:vertAlign w:val="superscript"/>
          <w:lang w:val="fr-FR"/>
        </w:rPr>
        <w:t>b</w:t>
      </w:r>
      <w:r w:rsidRPr="003A66AD">
        <w:rPr>
          <w:sz w:val="18"/>
          <w:szCs w:val="18"/>
          <w:lang w:val="fr-FR"/>
        </w:rPr>
        <w:t xml:space="preserve"> </w:t>
      </w:r>
      <w:r w:rsidR="003A66AD">
        <w:rPr>
          <w:sz w:val="18"/>
          <w:szCs w:val="18"/>
          <w:lang w:val="fr-FR"/>
        </w:rPr>
        <w:t xml:space="preserve"> Chiffre provisoire, au 31 </w:t>
      </w:r>
      <w:r w:rsidRPr="003A66AD">
        <w:rPr>
          <w:sz w:val="18"/>
          <w:szCs w:val="18"/>
          <w:lang w:val="fr-FR"/>
        </w:rPr>
        <w:t>décembre 2016.</w:t>
      </w:r>
    </w:p>
    <w:p w:rsidR="005B2DC1" w:rsidRPr="003A66AD" w:rsidRDefault="005B2DC1" w:rsidP="003A66AD">
      <w:pPr>
        <w:pStyle w:val="SingleTxtG"/>
        <w:spacing w:after="0"/>
        <w:ind w:left="0" w:right="0" w:firstLine="170"/>
        <w:jc w:val="left"/>
        <w:rPr>
          <w:sz w:val="18"/>
          <w:szCs w:val="18"/>
        </w:rPr>
      </w:pPr>
      <w:r w:rsidRPr="003A66AD">
        <w:rPr>
          <w:i/>
          <w:sz w:val="18"/>
          <w:szCs w:val="18"/>
          <w:vertAlign w:val="superscript"/>
          <w:lang w:val="fr-FR"/>
        </w:rPr>
        <w:t>c</w:t>
      </w:r>
      <w:r w:rsidRPr="003A66AD">
        <w:rPr>
          <w:sz w:val="18"/>
          <w:szCs w:val="18"/>
          <w:lang w:val="fr-FR"/>
        </w:rPr>
        <w:t xml:space="preserve"> </w:t>
      </w:r>
      <w:r w:rsidR="003A66AD">
        <w:rPr>
          <w:sz w:val="18"/>
          <w:szCs w:val="18"/>
          <w:lang w:val="fr-FR"/>
        </w:rPr>
        <w:t xml:space="preserve"> </w:t>
      </w:r>
      <w:r w:rsidRPr="003A66AD">
        <w:rPr>
          <w:sz w:val="18"/>
          <w:szCs w:val="18"/>
          <w:lang w:val="fr-FR"/>
        </w:rPr>
        <w:t>Les deux mesures sont : a) le Cadre stratégique paneuropéen pour une économie plus respectueuse de l’environnement et l’Initiative de Batumi pour une économie verte q</w:t>
      </w:r>
      <w:r w:rsidR="003A66AD">
        <w:rPr>
          <w:sz w:val="18"/>
          <w:szCs w:val="18"/>
          <w:lang w:val="fr-FR"/>
        </w:rPr>
        <w:t>ui permet de le mettre en œuvre ; et b) </w:t>
      </w:r>
      <w:r w:rsidRPr="003A66AD">
        <w:rPr>
          <w:sz w:val="18"/>
          <w:szCs w:val="18"/>
          <w:lang w:val="fr-FR"/>
        </w:rPr>
        <w:t>l’Action de Batumi pour un air plus pur.</w:t>
      </w:r>
    </w:p>
    <w:p w:rsidR="005B2DC1" w:rsidRPr="003A66AD" w:rsidRDefault="005B2DC1" w:rsidP="003A66AD">
      <w:pPr>
        <w:pStyle w:val="SingleTxtG"/>
        <w:spacing w:after="0"/>
        <w:ind w:left="0" w:right="0" w:firstLine="170"/>
        <w:jc w:val="left"/>
        <w:rPr>
          <w:sz w:val="18"/>
          <w:szCs w:val="18"/>
        </w:rPr>
      </w:pPr>
      <w:r w:rsidRPr="003A66AD">
        <w:rPr>
          <w:i/>
          <w:sz w:val="18"/>
          <w:szCs w:val="18"/>
          <w:vertAlign w:val="superscript"/>
          <w:lang w:val="fr-FR"/>
        </w:rPr>
        <w:t>d</w:t>
      </w:r>
      <w:r w:rsidRPr="003A66AD">
        <w:rPr>
          <w:sz w:val="18"/>
          <w:szCs w:val="18"/>
          <w:lang w:val="fr-FR"/>
        </w:rPr>
        <w:t xml:space="preserve"> </w:t>
      </w:r>
      <w:r w:rsidR="003A66AD">
        <w:rPr>
          <w:sz w:val="18"/>
          <w:szCs w:val="18"/>
          <w:lang w:val="fr-FR"/>
        </w:rPr>
        <w:t xml:space="preserve"> </w:t>
      </w:r>
      <w:r w:rsidRPr="003A66AD">
        <w:rPr>
          <w:sz w:val="18"/>
          <w:szCs w:val="18"/>
          <w:lang w:val="fr-FR"/>
        </w:rPr>
        <w:t>L’augmentation de 91</w:t>
      </w:r>
      <w:r w:rsidR="003A66AD">
        <w:rPr>
          <w:sz w:val="18"/>
          <w:szCs w:val="18"/>
          <w:lang w:val="fr-FR"/>
        </w:rPr>
        <w:t> </w:t>
      </w:r>
      <w:r w:rsidRPr="003A66AD">
        <w:rPr>
          <w:sz w:val="18"/>
          <w:szCs w:val="18"/>
          <w:lang w:val="fr-FR"/>
        </w:rPr>
        <w:t>% comprend la moyenne du pourcentage de Parties contractantes qui ont rendu compte en 2016 et en 2017 (au 15 août) de l’application des instruments suivants : a) la Convention sur la pollution atmosphérique t</w:t>
      </w:r>
      <w:r w:rsidR="003A66AD">
        <w:rPr>
          <w:sz w:val="18"/>
          <w:szCs w:val="18"/>
          <w:lang w:val="fr-FR"/>
        </w:rPr>
        <w:t>ransfrontière à longue distance ; b) </w:t>
      </w:r>
      <w:r w:rsidRPr="003A66AD">
        <w:rPr>
          <w:sz w:val="18"/>
          <w:szCs w:val="18"/>
          <w:lang w:val="fr-FR"/>
        </w:rPr>
        <w:t>la Convention sur la protection et l’utilisation des cours d’eau transfrontières et des lacs</w:t>
      </w:r>
      <w:r w:rsidR="003A66AD">
        <w:rPr>
          <w:sz w:val="18"/>
          <w:szCs w:val="18"/>
          <w:lang w:val="fr-FR"/>
        </w:rPr>
        <w:t xml:space="preserve"> internationaux (Convention sur </w:t>
      </w:r>
      <w:r w:rsidRPr="003A66AD">
        <w:rPr>
          <w:sz w:val="18"/>
          <w:szCs w:val="18"/>
          <w:lang w:val="fr-FR"/>
        </w:rPr>
        <w:t>l’</w:t>
      </w:r>
      <w:r w:rsidR="003A66AD">
        <w:rPr>
          <w:sz w:val="18"/>
          <w:szCs w:val="18"/>
          <w:lang w:val="fr-FR"/>
        </w:rPr>
        <w:t>eau) ; c) </w:t>
      </w:r>
      <w:r w:rsidRPr="003A66AD">
        <w:rPr>
          <w:sz w:val="18"/>
          <w:szCs w:val="18"/>
          <w:lang w:val="fr-FR"/>
        </w:rPr>
        <w:t>le Protocole sur l’eau et la santé à la Convention sur l’</w:t>
      </w:r>
      <w:r w:rsidR="003A66AD">
        <w:rPr>
          <w:sz w:val="18"/>
          <w:szCs w:val="18"/>
          <w:lang w:val="fr-FR"/>
        </w:rPr>
        <w:t>eau ; d) </w:t>
      </w:r>
      <w:r w:rsidRPr="003A66AD">
        <w:rPr>
          <w:sz w:val="18"/>
          <w:szCs w:val="18"/>
          <w:lang w:val="fr-FR"/>
        </w:rPr>
        <w:t xml:space="preserve">la Convention sur les effets transfrontières des accidents </w:t>
      </w:r>
      <w:r w:rsidR="003A66AD">
        <w:rPr>
          <w:sz w:val="18"/>
          <w:szCs w:val="18"/>
          <w:lang w:val="fr-FR"/>
        </w:rPr>
        <w:t>industriels ; e) </w:t>
      </w:r>
      <w:r w:rsidRPr="003A66AD">
        <w:rPr>
          <w:sz w:val="18"/>
          <w:szCs w:val="18"/>
          <w:lang w:val="fr-FR"/>
        </w:rPr>
        <w:t>la Convention sur l’accès à l’information, la participation du public au processus décisionnel et l’</w:t>
      </w:r>
      <w:r w:rsidR="003A66AD">
        <w:rPr>
          <w:sz w:val="18"/>
          <w:szCs w:val="18"/>
          <w:lang w:val="fr-FR"/>
        </w:rPr>
        <w:t>accès à la justice en </w:t>
      </w:r>
      <w:r w:rsidRPr="003A66AD">
        <w:rPr>
          <w:sz w:val="18"/>
          <w:szCs w:val="18"/>
          <w:lang w:val="fr-FR"/>
        </w:rPr>
        <w:t>matière d’environnement (Convention d’</w:t>
      </w:r>
      <w:r w:rsidR="003A66AD">
        <w:rPr>
          <w:sz w:val="18"/>
          <w:szCs w:val="18"/>
          <w:lang w:val="fr-FR"/>
        </w:rPr>
        <w:t>Aarhus) ; et f) </w:t>
      </w:r>
      <w:r w:rsidRPr="003A66AD">
        <w:rPr>
          <w:sz w:val="18"/>
          <w:szCs w:val="18"/>
          <w:lang w:val="fr-FR"/>
        </w:rPr>
        <w:t>le Protocole sur les registres des rejets et transferts de pollua</w:t>
      </w:r>
      <w:r w:rsidR="003A66AD">
        <w:rPr>
          <w:sz w:val="18"/>
          <w:szCs w:val="18"/>
          <w:lang w:val="fr-FR"/>
        </w:rPr>
        <w:t>nts à la </w:t>
      </w:r>
      <w:r w:rsidRPr="003A66AD">
        <w:rPr>
          <w:sz w:val="18"/>
          <w:szCs w:val="18"/>
          <w:lang w:val="fr-FR"/>
        </w:rPr>
        <w:t>Convention d’Aarhus.</w:t>
      </w:r>
    </w:p>
    <w:p w:rsidR="005B2DC1" w:rsidRPr="006500A8" w:rsidRDefault="005B2DC1" w:rsidP="003A66AD">
      <w:pPr>
        <w:pStyle w:val="SingleTxtG"/>
        <w:ind w:left="0" w:right="0" w:firstLine="170"/>
        <w:jc w:val="left"/>
        <w:rPr>
          <w:sz w:val="18"/>
          <w:szCs w:val="18"/>
        </w:rPr>
      </w:pPr>
      <w:r w:rsidRPr="003A66AD">
        <w:rPr>
          <w:i/>
          <w:sz w:val="18"/>
          <w:szCs w:val="18"/>
          <w:vertAlign w:val="superscript"/>
          <w:lang w:val="fr-FR"/>
        </w:rPr>
        <w:t>e</w:t>
      </w:r>
      <w:r w:rsidRPr="003A66AD">
        <w:rPr>
          <w:sz w:val="18"/>
          <w:szCs w:val="18"/>
          <w:lang w:val="fr-FR"/>
        </w:rPr>
        <w:t xml:space="preserve"> </w:t>
      </w:r>
      <w:r w:rsidR="007C136D">
        <w:rPr>
          <w:sz w:val="18"/>
          <w:szCs w:val="18"/>
          <w:lang w:val="fr-FR"/>
        </w:rPr>
        <w:t xml:space="preserve"> </w:t>
      </w:r>
      <w:r w:rsidRPr="006500A8">
        <w:rPr>
          <w:sz w:val="18"/>
          <w:szCs w:val="18"/>
          <w:lang w:val="fr-FR"/>
        </w:rPr>
        <w:t>L’</w:t>
      </w:r>
      <w:r w:rsidR="003A66AD" w:rsidRPr="006500A8">
        <w:rPr>
          <w:sz w:val="18"/>
          <w:szCs w:val="18"/>
          <w:lang w:val="fr-FR"/>
        </w:rPr>
        <w:t>augmentation de 75 </w:t>
      </w:r>
      <w:r w:rsidRPr="006500A8">
        <w:rPr>
          <w:sz w:val="18"/>
          <w:szCs w:val="18"/>
          <w:lang w:val="fr-FR"/>
        </w:rPr>
        <w:t>% comprend le pourcentage de recommandations appliquées par le Tadjikistan, qui a fait l’objet d’</w:t>
      </w:r>
      <w:r w:rsidR="006500A8" w:rsidRPr="006500A8">
        <w:rPr>
          <w:sz w:val="18"/>
          <w:szCs w:val="18"/>
          <w:lang w:val="fr-FR"/>
        </w:rPr>
        <w:t>un </w:t>
      </w:r>
      <w:r w:rsidRPr="006500A8">
        <w:rPr>
          <w:sz w:val="18"/>
          <w:szCs w:val="18"/>
          <w:lang w:val="fr-FR"/>
        </w:rPr>
        <w:t xml:space="preserve">examen en 2016. En 2017, on ajoutera le pourcentage de recommandations appliquées </w:t>
      </w:r>
      <w:r w:rsidR="00A2448E" w:rsidRPr="006500A8">
        <w:rPr>
          <w:sz w:val="18"/>
          <w:szCs w:val="18"/>
          <w:lang w:val="fr-FR"/>
        </w:rPr>
        <w:t>a) </w:t>
      </w:r>
      <w:r w:rsidRPr="006500A8">
        <w:rPr>
          <w:sz w:val="18"/>
          <w:szCs w:val="18"/>
          <w:lang w:val="fr-FR"/>
        </w:rPr>
        <w:t xml:space="preserve">par l’Albanie et </w:t>
      </w:r>
      <w:r w:rsidR="00A2448E" w:rsidRPr="006500A8">
        <w:rPr>
          <w:sz w:val="18"/>
          <w:szCs w:val="18"/>
          <w:lang w:val="fr-FR"/>
        </w:rPr>
        <w:t>b) </w:t>
      </w:r>
      <w:r w:rsidRPr="006500A8">
        <w:rPr>
          <w:sz w:val="18"/>
          <w:szCs w:val="18"/>
          <w:lang w:val="fr-FR"/>
        </w:rPr>
        <w:t>par la Bosnie-Herzégovine, et</w:t>
      </w:r>
      <w:r w:rsidR="003A66AD" w:rsidRPr="006500A8">
        <w:rPr>
          <w:sz w:val="18"/>
          <w:szCs w:val="18"/>
          <w:lang w:val="fr-FR"/>
        </w:rPr>
        <w:t> </w:t>
      </w:r>
      <w:r w:rsidRPr="006500A8">
        <w:rPr>
          <w:sz w:val="18"/>
          <w:szCs w:val="18"/>
          <w:lang w:val="fr-FR"/>
        </w:rPr>
        <w:t xml:space="preserve">la moyenne finale pour 2016-2017 pourrait donc changer. </w:t>
      </w:r>
    </w:p>
    <w:p w:rsidR="005B2DC1" w:rsidRPr="005B2DC1" w:rsidRDefault="005B2DC1" w:rsidP="003A66AD">
      <w:pPr>
        <w:pStyle w:val="H1G"/>
      </w:pPr>
      <w:r w:rsidRPr="005B2DC1">
        <w:rPr>
          <w:lang w:val="fr-FR"/>
        </w:rPr>
        <w:tab/>
        <w:t>B.</w:t>
      </w:r>
      <w:r w:rsidRPr="005B2DC1">
        <w:rPr>
          <w:lang w:val="fr-FR"/>
        </w:rPr>
        <w:tab/>
        <w:t>Stratégie</w:t>
      </w:r>
    </w:p>
    <w:p w:rsidR="005B2DC1" w:rsidRPr="005B2DC1" w:rsidRDefault="005B2DC1" w:rsidP="005B2DC1">
      <w:pPr>
        <w:pStyle w:val="SingleTxtG"/>
      </w:pPr>
      <w:r w:rsidRPr="005B2DC1">
        <w:rPr>
          <w:lang w:val="fr-FR"/>
        </w:rPr>
        <w:t>7.</w:t>
      </w:r>
      <w:r w:rsidRPr="005B2DC1">
        <w:rPr>
          <w:lang w:val="fr-FR"/>
        </w:rPr>
        <w:tab/>
        <w:t>L’exécution du sous-programme « Environnement » incombe à la Division de l’environnement. Ce sous-programme contribuera à la mise en œuvre des textes issus des réunions au sommet et conféren</w:t>
      </w:r>
      <w:bookmarkStart w:id="0" w:name="_GoBack"/>
      <w:bookmarkEnd w:id="0"/>
      <w:r w:rsidRPr="005B2DC1">
        <w:rPr>
          <w:lang w:val="fr-FR"/>
        </w:rPr>
        <w:t>ces mondiales et régionales consacrées à l’environnement et au développement durable, notamment le Programme de développement durable à l’horizon 2030. Étant donné que le développement durable comporte une dimension environnementale, le sous-programme concourra à la réalisation de tous les objectifs de développement dura</w:t>
      </w:r>
      <w:r w:rsidR="003A66AD">
        <w:rPr>
          <w:lang w:val="fr-FR"/>
        </w:rPr>
        <w:t>ble, et notamment des objectifs </w:t>
      </w:r>
      <w:r w:rsidRPr="005B2DC1">
        <w:rPr>
          <w:lang w:val="fr-FR"/>
        </w:rPr>
        <w:t>3,</w:t>
      </w:r>
      <w:r w:rsidR="003452DE">
        <w:rPr>
          <w:lang w:val="fr-FR"/>
        </w:rPr>
        <w:t xml:space="preserve"> 4, 6, 9, 11, 12, 13, 15, 16 et </w:t>
      </w:r>
      <w:r w:rsidRPr="005B2DC1">
        <w:rPr>
          <w:lang w:val="fr-FR"/>
        </w:rPr>
        <w:t xml:space="preserve">17. Cette contribution prendra la forme d’un dialogue international sur les orientations, de travaux normatifs, d’un renforcement des capacités et de la diffusion des bonnes pratiques et des enseignements tirés de l’expérience dans les domaines suivants : qualité de l’air, eau, </w:t>
      </w:r>
      <w:r w:rsidRPr="005B2DC1">
        <w:rPr>
          <w:lang w:val="fr-FR"/>
        </w:rPr>
        <w:lastRenderedPageBreak/>
        <w:t>sécurité industrielle, participation du public, évaluation et surveillance de l’environnement, performance environnementale, éducation au service du développement durable et prise en compte des préoccupations écologiques dans les autres volets du développement durable.</w:t>
      </w:r>
    </w:p>
    <w:p w:rsidR="005B2DC1" w:rsidRPr="005B2DC1" w:rsidRDefault="005B2DC1" w:rsidP="005B2DC1">
      <w:pPr>
        <w:pStyle w:val="SingleTxtG"/>
      </w:pPr>
      <w:r w:rsidRPr="005B2DC1">
        <w:rPr>
          <w:lang w:val="fr-FR"/>
        </w:rPr>
        <w:t>8.</w:t>
      </w:r>
      <w:r w:rsidRPr="005B2DC1">
        <w:rPr>
          <w:lang w:val="fr-FR"/>
        </w:rPr>
        <w:tab/>
        <w:t>En partant des besoins des pays, les activités consisteront essentiellement à renforcer les moyens dont disposent les pays du Caucase, de l’Asie centrale, de l’Europe orientale et de l’Europe du Sud-Est pour élaborer des politiques environnementales et mettre en valeur l’environnement, s’agissant notamment de faire appliquer dans</w:t>
      </w:r>
      <w:r w:rsidR="00017321">
        <w:rPr>
          <w:lang w:val="fr-FR"/>
        </w:rPr>
        <w:t xml:space="preserve"> les faits la législation en la </w:t>
      </w:r>
      <w:r w:rsidRPr="005B2DC1">
        <w:rPr>
          <w:lang w:val="fr-FR"/>
        </w:rPr>
        <w:t>matière.</w:t>
      </w:r>
    </w:p>
    <w:p w:rsidR="005B2DC1" w:rsidRPr="005B2DC1" w:rsidRDefault="005B2DC1" w:rsidP="005B2DC1">
      <w:pPr>
        <w:pStyle w:val="SingleTxtG"/>
      </w:pPr>
      <w:r w:rsidRPr="005B2DC1">
        <w:rPr>
          <w:lang w:val="fr-FR"/>
        </w:rPr>
        <w:t>9.</w:t>
      </w:r>
      <w:r w:rsidRPr="005B2DC1">
        <w:rPr>
          <w:lang w:val="fr-FR"/>
        </w:rPr>
        <w:tab/>
        <w:t>Le sous-programme servira à améliorer la gouvernance environnementale dans la région et la coopération transfrontière entre pays. Il servira aussi à intégrer davantage les questions environnementales aux autres politiques sectorielles grâce à la mise en œuvre des moyens d’intervention de la CEE, à l’éducation au service du développement durable, au Programme paneuropéen sur les transports, la santé et l’environnement, aux accords multilatéraux de la CEE relatifs à l’environnement, ainsi qu’à la mise en commun des informations (notamment au moyen du Système de partage d’informations sur l’environnement), des données d’expérience et des bonnes pratiques dans la région de la CEE. Les activités intersectorielles consisteront également à favoriser les synergies entre les instruments juridiques de la CEE. La Division collaborera, en outre, avec les pays non membres de la CEE intéressés, en particulier ceux qui souhaitent se joindre aux accords multilatéraux relatifs à l’environnement dont l’adhésion est ouverte à tous les pays.</w:t>
      </w:r>
    </w:p>
    <w:p w:rsidR="005B2DC1" w:rsidRPr="005B2DC1" w:rsidRDefault="005B2DC1" w:rsidP="005B2DC1">
      <w:pPr>
        <w:pStyle w:val="SingleTxtG"/>
      </w:pPr>
      <w:r w:rsidRPr="005B2DC1">
        <w:rPr>
          <w:lang w:val="fr-FR"/>
        </w:rPr>
        <w:t>10.</w:t>
      </w:r>
      <w:r w:rsidRPr="005B2DC1">
        <w:rPr>
          <w:lang w:val="fr-FR"/>
        </w:rPr>
        <w:tab/>
        <w:t>Dans le cadre du sous-programme, la Division continuera de mener des études de la performance environnementale, aidera les États membres à appliquer les recommandations formulées dans ces études et assurera un suivi des effets de ces recommandations sur les politiques nationales. Le sous-programme permettra par ailleurs de renforcer les moyens dont disposent les États membres pour mettre en œuvre les directives et recommandations de la CEE concernant la surveillance et l’évaluation de l’environnement.</w:t>
      </w:r>
    </w:p>
    <w:p w:rsidR="005B2DC1" w:rsidRPr="005B2DC1" w:rsidRDefault="005B2DC1" w:rsidP="003A66AD">
      <w:pPr>
        <w:pStyle w:val="H1G"/>
      </w:pPr>
      <w:r w:rsidRPr="005B2DC1">
        <w:rPr>
          <w:lang w:val="fr-FR"/>
        </w:rPr>
        <w:tab/>
        <w:t>C.</w:t>
      </w:r>
      <w:r w:rsidRPr="005B2DC1">
        <w:rPr>
          <w:lang w:val="fr-FR"/>
        </w:rPr>
        <w:tab/>
        <w:t>Facteurs externes</w:t>
      </w:r>
    </w:p>
    <w:p w:rsidR="005B2DC1" w:rsidRPr="005B2DC1" w:rsidRDefault="005B2DC1" w:rsidP="005B2DC1">
      <w:pPr>
        <w:pStyle w:val="SingleTxtG"/>
      </w:pPr>
      <w:r w:rsidRPr="005B2DC1">
        <w:rPr>
          <w:lang w:val="fr-FR"/>
        </w:rPr>
        <w:t>11.</w:t>
      </w:r>
      <w:r w:rsidRPr="005B2DC1">
        <w:rPr>
          <w:lang w:val="fr-FR"/>
        </w:rPr>
        <w:tab/>
        <w:t>On devrait atteindre l’objectif fixé et parvenir aux réalisations escomptées dans le cadre du sous-programme si les conditions suivantes sont réunies au niveau des pays :</w:t>
      </w:r>
      <w:r w:rsidR="003A66AD">
        <w:rPr>
          <w:lang w:val="fr-FR"/>
        </w:rPr>
        <w:t xml:space="preserve"> a) </w:t>
      </w:r>
      <w:r w:rsidRPr="005B2DC1">
        <w:rPr>
          <w:lang w:val="fr-FR"/>
        </w:rPr>
        <w:t>il existe une volonté politique et suffisamment de moyens pour incorporer la dimension environnementale dans les politiques et appliquer la législation nationale conformément aux accords multilatéraux de la CEE relatifs à l’</w:t>
      </w:r>
      <w:r w:rsidR="003A66AD">
        <w:rPr>
          <w:lang w:val="fr-FR"/>
        </w:rPr>
        <w:t>environnement ; b) </w:t>
      </w:r>
      <w:r w:rsidRPr="005B2DC1">
        <w:rPr>
          <w:lang w:val="fr-FR"/>
        </w:rPr>
        <w:t>il existe une prise de conscience suffisante des questions environnementales et une participation active du public à la mise en œuvre des poli</w:t>
      </w:r>
      <w:r w:rsidR="003A66AD">
        <w:rPr>
          <w:lang w:val="fr-FR"/>
        </w:rPr>
        <w:t>tiques nationales et régionales ; c) </w:t>
      </w:r>
      <w:r w:rsidRPr="005B2DC1">
        <w:rPr>
          <w:lang w:val="fr-FR"/>
        </w:rPr>
        <w:t xml:space="preserve">aucun bouleversement économique sur le plan mondial, régional et national ne vient perturber la disponibilité des ressources. </w:t>
      </w:r>
    </w:p>
    <w:p w:rsidR="005B2DC1" w:rsidRPr="003A66AD" w:rsidRDefault="003A66AD" w:rsidP="003A66AD">
      <w:pPr>
        <w:pStyle w:val="SingleTxtG"/>
        <w:spacing w:before="240" w:after="0"/>
        <w:jc w:val="center"/>
        <w:rPr>
          <w:u w:val="single"/>
          <w:lang w:val="fr-FR"/>
        </w:rPr>
      </w:pPr>
      <w:r>
        <w:rPr>
          <w:u w:val="single"/>
        </w:rPr>
        <w:tab/>
      </w:r>
      <w:r>
        <w:rPr>
          <w:u w:val="single"/>
        </w:rPr>
        <w:tab/>
      </w:r>
      <w:r>
        <w:rPr>
          <w:u w:val="single"/>
        </w:rPr>
        <w:tab/>
      </w:r>
    </w:p>
    <w:sectPr w:rsidR="005B2DC1" w:rsidRPr="003A66AD" w:rsidSect="0098467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70" w:rsidRDefault="009B3470" w:rsidP="00F95C08">
      <w:pPr>
        <w:spacing w:line="240" w:lineRule="auto"/>
      </w:pPr>
    </w:p>
  </w:endnote>
  <w:endnote w:type="continuationSeparator" w:id="0">
    <w:p w:rsidR="009B3470" w:rsidRPr="00AC3823" w:rsidRDefault="009B3470" w:rsidP="00AC3823">
      <w:pPr>
        <w:pStyle w:val="Pieddepage"/>
      </w:pPr>
    </w:p>
  </w:endnote>
  <w:endnote w:type="continuationNotice" w:id="1">
    <w:p w:rsidR="009B3470" w:rsidRDefault="009B3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70" w:rsidRPr="00984670" w:rsidRDefault="00984670" w:rsidP="00984670">
    <w:pPr>
      <w:pStyle w:val="Pieddepage"/>
      <w:tabs>
        <w:tab w:val="right" w:pos="9638"/>
      </w:tabs>
    </w:pPr>
    <w:r w:rsidRPr="00984670">
      <w:rPr>
        <w:b/>
        <w:sz w:val="18"/>
      </w:rPr>
      <w:fldChar w:fldCharType="begin"/>
    </w:r>
    <w:r w:rsidRPr="00984670">
      <w:rPr>
        <w:b/>
        <w:sz w:val="18"/>
      </w:rPr>
      <w:instrText xml:space="preserve"> PAGE  \* MERGEFORMAT </w:instrText>
    </w:r>
    <w:r w:rsidRPr="00984670">
      <w:rPr>
        <w:b/>
        <w:sz w:val="18"/>
      </w:rPr>
      <w:fldChar w:fldCharType="separate"/>
    </w:r>
    <w:r w:rsidR="009B2F3D">
      <w:rPr>
        <w:b/>
        <w:noProof/>
        <w:sz w:val="18"/>
      </w:rPr>
      <w:t>4</w:t>
    </w:r>
    <w:r w:rsidRPr="00984670">
      <w:rPr>
        <w:b/>
        <w:sz w:val="18"/>
      </w:rPr>
      <w:fldChar w:fldCharType="end"/>
    </w:r>
    <w:r>
      <w:rPr>
        <w:b/>
        <w:sz w:val="18"/>
      </w:rPr>
      <w:tab/>
    </w:r>
    <w:r>
      <w:t>GE.17-14663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70" w:rsidRPr="00984670" w:rsidRDefault="00984670" w:rsidP="00984670">
    <w:pPr>
      <w:pStyle w:val="Pieddepage"/>
      <w:tabs>
        <w:tab w:val="right" w:pos="9638"/>
      </w:tabs>
      <w:rPr>
        <w:b/>
        <w:sz w:val="18"/>
      </w:rPr>
    </w:pPr>
    <w:r>
      <w:t>GE.17-14663</w:t>
    </w:r>
    <w:r>
      <w:tab/>
    </w:r>
    <w:r w:rsidRPr="00984670">
      <w:rPr>
        <w:b/>
        <w:sz w:val="18"/>
      </w:rPr>
      <w:fldChar w:fldCharType="begin"/>
    </w:r>
    <w:r w:rsidRPr="00984670">
      <w:rPr>
        <w:b/>
        <w:sz w:val="18"/>
      </w:rPr>
      <w:instrText xml:space="preserve"> PAGE  \* MERGEFORMAT </w:instrText>
    </w:r>
    <w:r w:rsidRPr="00984670">
      <w:rPr>
        <w:b/>
        <w:sz w:val="18"/>
      </w:rPr>
      <w:fldChar w:fldCharType="separate"/>
    </w:r>
    <w:r w:rsidR="009B2F3D">
      <w:rPr>
        <w:b/>
        <w:noProof/>
        <w:sz w:val="18"/>
      </w:rPr>
      <w:t>3</w:t>
    </w:r>
    <w:r w:rsidRPr="009846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E9" w:rsidRPr="00984670" w:rsidRDefault="00984670" w:rsidP="00984670">
    <w:pPr>
      <w:pStyle w:val="Pieddepage"/>
      <w:spacing w:before="120"/>
      <w:rPr>
        <w:sz w:val="20"/>
      </w:rPr>
    </w:pPr>
    <w:r>
      <w:rPr>
        <w:sz w:val="20"/>
      </w:rPr>
      <w:t>GE.</w:t>
    </w:r>
    <w:r w:rsidR="000D3EE9">
      <w:rPr>
        <w:noProof/>
        <w:lang w:eastAsia="fr-CH"/>
      </w:rPr>
      <w:drawing>
        <wp:anchor distT="0" distB="0" distL="114300" distR="114300" simplePos="0" relativeHeight="251660288"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17-14663  (F)</w:t>
    </w:r>
    <w:r w:rsidR="005B2DC1">
      <w:rPr>
        <w:sz w:val="20"/>
      </w:rPr>
      <w:t xml:space="preserve">    220917    260917</w:t>
    </w:r>
    <w:r>
      <w:rPr>
        <w:sz w:val="20"/>
      </w:rPr>
      <w:br/>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sidRPr="0098467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CEP/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70" w:rsidRPr="00AC3823" w:rsidRDefault="009B3470" w:rsidP="00AC3823">
      <w:pPr>
        <w:pStyle w:val="Pieddepage"/>
        <w:tabs>
          <w:tab w:val="right" w:pos="2155"/>
        </w:tabs>
        <w:spacing w:after="80" w:line="240" w:lineRule="atLeast"/>
        <w:ind w:left="680"/>
        <w:rPr>
          <w:u w:val="single"/>
        </w:rPr>
      </w:pPr>
      <w:r>
        <w:rPr>
          <w:u w:val="single"/>
        </w:rPr>
        <w:tab/>
      </w:r>
    </w:p>
  </w:footnote>
  <w:footnote w:type="continuationSeparator" w:id="0">
    <w:p w:rsidR="009B3470" w:rsidRPr="00AC3823" w:rsidRDefault="009B3470" w:rsidP="00AC3823">
      <w:pPr>
        <w:pStyle w:val="Pieddepage"/>
        <w:tabs>
          <w:tab w:val="right" w:pos="2155"/>
        </w:tabs>
        <w:spacing w:after="80" w:line="240" w:lineRule="atLeast"/>
        <w:ind w:left="680"/>
        <w:rPr>
          <w:u w:val="single"/>
        </w:rPr>
      </w:pPr>
      <w:r>
        <w:rPr>
          <w:u w:val="single"/>
        </w:rPr>
        <w:tab/>
      </w:r>
    </w:p>
  </w:footnote>
  <w:footnote w:type="continuationNotice" w:id="1">
    <w:p w:rsidR="009B3470" w:rsidRPr="00AC3823" w:rsidRDefault="009B3470">
      <w:pPr>
        <w:spacing w:line="240" w:lineRule="auto"/>
        <w:rPr>
          <w:sz w:val="2"/>
          <w:szCs w:val="2"/>
        </w:rPr>
      </w:pPr>
    </w:p>
  </w:footnote>
  <w:footnote w:id="2">
    <w:p w:rsidR="005B2DC1" w:rsidRPr="00102B3D" w:rsidRDefault="005B2DC1" w:rsidP="005B2DC1">
      <w:pPr>
        <w:pStyle w:val="Notedebasdepage"/>
      </w:pPr>
      <w:r>
        <w:rPr>
          <w:lang w:val="fr-FR"/>
        </w:rPr>
        <w:tab/>
      </w:r>
      <w:r w:rsidRPr="00C86766">
        <w:rPr>
          <w:rStyle w:val="Appelnotedebasdep"/>
        </w:rPr>
        <w:footnoteRef/>
      </w:r>
      <w:r>
        <w:rPr>
          <w:lang w:val="fr-FR"/>
        </w:rPr>
        <w:tab/>
        <w:t>À consulter à l’adresse www.unece.org/index.php?id=38470.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70" w:rsidRPr="00984670" w:rsidRDefault="00984670">
    <w:pPr>
      <w:pStyle w:val="En-tte"/>
    </w:pPr>
    <w:fldSimple w:instr=" TITLE  \* MERGEFORMAT ">
      <w:r w:rsidR="009B2F3D">
        <w:t>ECE/CEP/2017/10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670" w:rsidRPr="00984670" w:rsidRDefault="00984670" w:rsidP="00984670">
    <w:pPr>
      <w:pStyle w:val="En-tte"/>
      <w:jc w:val="right"/>
    </w:pPr>
    <w:fldSimple w:instr=" TITLE  \* MERGEFORMAT ">
      <w:r w:rsidR="009B2F3D">
        <w:t>ECE/CEP/2017/10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6"/>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70"/>
    <w:rsid w:val="00017321"/>
    <w:rsid w:val="00017F94"/>
    <w:rsid w:val="00023842"/>
    <w:rsid w:val="000334F9"/>
    <w:rsid w:val="0007796D"/>
    <w:rsid w:val="000B7790"/>
    <w:rsid w:val="000D3EE9"/>
    <w:rsid w:val="00111F2F"/>
    <w:rsid w:val="001433FD"/>
    <w:rsid w:val="0014365E"/>
    <w:rsid w:val="001541D3"/>
    <w:rsid w:val="00176178"/>
    <w:rsid w:val="001F5054"/>
    <w:rsid w:val="001F525A"/>
    <w:rsid w:val="00223272"/>
    <w:rsid w:val="0024779E"/>
    <w:rsid w:val="002832AC"/>
    <w:rsid w:val="00295CCA"/>
    <w:rsid w:val="002D7C93"/>
    <w:rsid w:val="003452DE"/>
    <w:rsid w:val="003A66AD"/>
    <w:rsid w:val="00441C3B"/>
    <w:rsid w:val="00446B0A"/>
    <w:rsid w:val="00446FE5"/>
    <w:rsid w:val="00452396"/>
    <w:rsid w:val="004E38BB"/>
    <w:rsid w:val="004E468C"/>
    <w:rsid w:val="00506BE1"/>
    <w:rsid w:val="005316B0"/>
    <w:rsid w:val="005505B7"/>
    <w:rsid w:val="00573BE5"/>
    <w:rsid w:val="00586ED3"/>
    <w:rsid w:val="00596AA9"/>
    <w:rsid w:val="005B2DC1"/>
    <w:rsid w:val="005E1BA7"/>
    <w:rsid w:val="005E32BA"/>
    <w:rsid w:val="005F2353"/>
    <w:rsid w:val="006500A8"/>
    <w:rsid w:val="00706363"/>
    <w:rsid w:val="0071601D"/>
    <w:rsid w:val="0074674C"/>
    <w:rsid w:val="007A62E6"/>
    <w:rsid w:val="007C136D"/>
    <w:rsid w:val="0080684C"/>
    <w:rsid w:val="00871C75"/>
    <w:rsid w:val="008776DC"/>
    <w:rsid w:val="0090494B"/>
    <w:rsid w:val="0093558D"/>
    <w:rsid w:val="009705C8"/>
    <w:rsid w:val="00984670"/>
    <w:rsid w:val="009B2F3D"/>
    <w:rsid w:val="009B3470"/>
    <w:rsid w:val="009C1CF4"/>
    <w:rsid w:val="00A2448E"/>
    <w:rsid w:val="00A30353"/>
    <w:rsid w:val="00A404BB"/>
    <w:rsid w:val="00AA113A"/>
    <w:rsid w:val="00AC3823"/>
    <w:rsid w:val="00AE323C"/>
    <w:rsid w:val="00B00181"/>
    <w:rsid w:val="00B00B0D"/>
    <w:rsid w:val="00B765F7"/>
    <w:rsid w:val="00BA0CA9"/>
    <w:rsid w:val="00BA36D8"/>
    <w:rsid w:val="00BB54BD"/>
    <w:rsid w:val="00C02897"/>
    <w:rsid w:val="00C04B1C"/>
    <w:rsid w:val="00D3439C"/>
    <w:rsid w:val="00DB1831"/>
    <w:rsid w:val="00DD3BFD"/>
    <w:rsid w:val="00DF6678"/>
    <w:rsid w:val="00EF2E22"/>
    <w:rsid w:val="00F33CD9"/>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DBA30"/>
  <w15:docId w15:val="{D55CEFD1-3693-4AD8-8AE6-304C21FE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7467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7467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74674C"/>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74674C"/>
    <w:pPr>
      <w:spacing w:line="240" w:lineRule="auto"/>
    </w:pPr>
    <w:rPr>
      <w:sz w:val="16"/>
    </w:rPr>
  </w:style>
  <w:style w:type="character" w:customStyle="1" w:styleId="PieddepageCar">
    <w:name w:val="Pied de page Car"/>
    <w:aliases w:val="3_G Car"/>
    <w:basedOn w:val="Policepardfaut"/>
    <w:link w:val="Pieddepage"/>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Appelnotedebasdep">
    <w:name w:val="footnote reference"/>
    <w:aliases w:val="4_G"/>
    <w:basedOn w:val="Policepardfaut"/>
    <w:qFormat/>
    <w:rsid w:val="0074674C"/>
    <w:rPr>
      <w:rFonts w:ascii="Times New Roman" w:hAnsi="Times New Roman"/>
      <w:sz w:val="18"/>
      <w:vertAlign w:val="superscript"/>
      <w:lang w:val="fr-CH"/>
    </w:rPr>
  </w:style>
  <w:style w:type="character" w:styleId="Appeldenotedefin">
    <w:name w:val="endnote reference"/>
    <w:aliases w:val="1_G"/>
    <w:basedOn w:val="Appelnotedebasdep"/>
    <w:qFormat/>
    <w:rsid w:val="0074674C"/>
    <w:rPr>
      <w:rFonts w:ascii="Times New Roman" w:hAnsi="Times New Roman"/>
      <w:sz w:val="18"/>
      <w:vertAlign w:val="superscript"/>
      <w:lang w:val="fr-CH"/>
    </w:rPr>
  </w:style>
  <w:style w:type="table" w:styleId="Grilledutableau">
    <w:name w:val="Table Grid"/>
    <w:basedOn w:val="Tableau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4674C"/>
    <w:rPr>
      <w:color w:val="0000FF"/>
      <w:u w:val="none"/>
    </w:rPr>
  </w:style>
  <w:style w:type="character" w:styleId="Lienhypertextesuivivisit">
    <w:name w:val="FollowedHyperlink"/>
    <w:basedOn w:val="Policepardfaut"/>
    <w:unhideWhenUsed/>
    <w:rsid w:val="0074674C"/>
    <w:rPr>
      <w:color w:val="0000FF"/>
      <w:u w:val="none"/>
    </w:rPr>
  </w:style>
  <w:style w:type="paragraph" w:styleId="Notedebasdepage">
    <w:name w:val="footnote text"/>
    <w:aliases w:val="5_G"/>
    <w:basedOn w:val="Normal"/>
    <w:link w:val="NotedebasdepageCar"/>
    <w:qFormat/>
    <w:rsid w:val="007467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74674C"/>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74674C"/>
  </w:style>
  <w:style w:type="character" w:customStyle="1" w:styleId="NotedefinCar">
    <w:name w:val="Note de fin Car"/>
    <w:aliases w:val="2_G Car"/>
    <w:basedOn w:val="Policepardfaut"/>
    <w:link w:val="Notedefin"/>
    <w:rsid w:val="0074674C"/>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74674C"/>
    <w:rPr>
      <w:rFonts w:ascii="Times New Roman" w:hAnsi="Times New Roman"/>
      <w:b/>
      <w:sz w:val="18"/>
      <w:lang w:val="fr-CH"/>
    </w:rPr>
  </w:style>
  <w:style w:type="character" w:customStyle="1" w:styleId="Titre1Car">
    <w:name w:val="Titre 1 Car"/>
    <w:aliases w:val="Table_G Car"/>
    <w:basedOn w:val="Policepardfaut"/>
    <w:link w:val="Titre1"/>
    <w:rsid w:val="0074674C"/>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 w:type="character" w:customStyle="1" w:styleId="SingleTxtGChar">
    <w:name w:val="_ Single Txt_G Char"/>
    <w:link w:val="SingleTxtG"/>
    <w:rsid w:val="005B2DC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0756D-7111-403C-ABE5-15044E1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4</Pages>
  <Words>1671</Words>
  <Characters>9580</Characters>
  <Application>Microsoft Office Word</Application>
  <DocSecurity>0</DocSecurity>
  <Lines>290</Lines>
  <Paragraphs>120</Paragraphs>
  <ScaleCrop>false</ScaleCrop>
  <HeadingPairs>
    <vt:vector size="2" baseType="variant">
      <vt:variant>
        <vt:lpstr>Titre</vt:lpstr>
      </vt:variant>
      <vt:variant>
        <vt:i4>1</vt:i4>
      </vt:variant>
    </vt:vector>
  </HeadingPairs>
  <TitlesOfParts>
    <vt:vector size="1" baseType="lpstr">
      <vt:lpstr>ECE/CEP/2017/10</vt:lpstr>
    </vt:vector>
  </TitlesOfParts>
  <Company>DCM</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ECE/CEP/2017/10</dc:title>
  <dc:subject/>
  <dc:creator>Edith BOURION</dc:creator>
  <cp:keywords/>
  <cp:lastModifiedBy>Edith BOURION</cp:lastModifiedBy>
  <cp:revision>3</cp:revision>
  <cp:lastPrinted>2017-09-26T06:52:00Z</cp:lastPrinted>
  <dcterms:created xsi:type="dcterms:W3CDTF">2017-09-26T06:51:00Z</dcterms:created>
  <dcterms:modified xsi:type="dcterms:W3CDTF">2017-09-26T06:52:00Z</dcterms:modified>
</cp:coreProperties>
</file>