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10265B" w:rsidTr="00014A2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10265B" w:rsidRDefault="00A658DB" w:rsidP="00014A2B">
            <w:pPr>
              <w:spacing w:after="80" w:line="300" w:lineRule="exact"/>
              <w:rPr>
                <w:sz w:val="28"/>
              </w:rPr>
            </w:pPr>
            <w:r w:rsidRPr="0010265B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10265B" w:rsidRDefault="00A658DB" w:rsidP="00014A2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10265B" w:rsidRDefault="00A658DB" w:rsidP="00014A2B">
            <w:pPr>
              <w:jc w:val="right"/>
            </w:pPr>
            <w:r w:rsidRPr="0010265B">
              <w:rPr>
                <w:sz w:val="40"/>
                <w:szCs w:val="40"/>
              </w:rPr>
              <w:t>ECE</w:t>
            </w:r>
            <w:r w:rsidRPr="0010265B">
              <w:t>/</w:t>
            </w:r>
            <w:r w:rsidR="009F10C7">
              <w:fldChar w:fldCharType="begin"/>
            </w:r>
            <w:r w:rsidR="009F10C7">
              <w:instrText xml:space="preserve"> FILLIN  "Введите символ после ЕCE/"  \* MERGEFORMAT </w:instrText>
            </w:r>
            <w:r w:rsidR="009F10C7">
              <w:fldChar w:fldCharType="separate"/>
            </w:r>
            <w:r w:rsidR="006222A3" w:rsidRPr="0010265B">
              <w:t>CEP/2017/1</w:t>
            </w:r>
            <w:r w:rsidR="009F10C7">
              <w:fldChar w:fldCharType="end"/>
            </w:r>
            <w:r w:rsidR="00DB52B3" w:rsidRPr="0010265B">
              <w:t xml:space="preserve"> </w:t>
            </w:r>
          </w:p>
        </w:tc>
      </w:tr>
      <w:tr w:rsidR="00A658DB" w:rsidRPr="0010265B" w:rsidTr="00014A2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10265B" w:rsidRDefault="00A658DB" w:rsidP="00014A2B">
            <w:pPr>
              <w:spacing w:before="120"/>
              <w:jc w:val="center"/>
            </w:pPr>
            <w:r w:rsidRPr="0010265B">
              <w:rPr>
                <w:noProof/>
                <w:lang w:eastAsia="ru-RU"/>
              </w:rPr>
              <w:drawing>
                <wp:inline distT="0" distB="0" distL="0" distR="0" wp14:anchorId="0881712D" wp14:editId="68DF8B8F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10265B" w:rsidRDefault="00A658DB" w:rsidP="00014A2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10265B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10265B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10265B" w:rsidRDefault="00A658DB" w:rsidP="00014A2B">
            <w:pPr>
              <w:spacing w:before="240"/>
            </w:pPr>
            <w:proofErr w:type="spellStart"/>
            <w:r w:rsidRPr="0010265B">
              <w:t>Distr</w:t>
            </w:r>
            <w:proofErr w:type="spellEnd"/>
            <w:r w:rsidRPr="0010265B">
              <w:t xml:space="preserve">.: </w:t>
            </w:r>
            <w:bookmarkStart w:id="0" w:name="ПолеСоСписком1"/>
            <w:r w:rsidRPr="0010265B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10265B">
              <w:instrText xml:space="preserve"> FORMDROPDOWN </w:instrText>
            </w:r>
            <w:r w:rsidR="009F10C7">
              <w:fldChar w:fldCharType="separate"/>
            </w:r>
            <w:r w:rsidRPr="0010265B">
              <w:fldChar w:fldCharType="end"/>
            </w:r>
            <w:bookmarkEnd w:id="0"/>
          </w:p>
          <w:p w:rsidR="00A658DB" w:rsidRPr="0010265B" w:rsidRDefault="009F10C7" w:rsidP="00014A2B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6222A3" w:rsidRPr="0010265B">
              <w:t>7 November 2016</w:t>
            </w:r>
            <w:r>
              <w:fldChar w:fldCharType="end"/>
            </w:r>
          </w:p>
          <w:p w:rsidR="00A658DB" w:rsidRPr="0010265B" w:rsidRDefault="00A658DB" w:rsidP="00014A2B">
            <w:r w:rsidRPr="0010265B">
              <w:t>Russian</w:t>
            </w:r>
          </w:p>
          <w:p w:rsidR="00A658DB" w:rsidRPr="0010265B" w:rsidRDefault="00A658DB" w:rsidP="00014A2B">
            <w:proofErr w:type="spellStart"/>
            <w:r w:rsidRPr="0010265B">
              <w:t>Original</w:t>
            </w:r>
            <w:proofErr w:type="spellEnd"/>
            <w:r w:rsidRPr="0010265B">
              <w:t xml:space="preserve">: </w:t>
            </w:r>
            <w:bookmarkStart w:id="1" w:name="ПолеСоСписком2"/>
            <w:r w:rsidRPr="0010265B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10265B">
              <w:instrText xml:space="preserve"> FORMDROPDOWN </w:instrText>
            </w:r>
            <w:r w:rsidR="009F10C7">
              <w:fldChar w:fldCharType="separate"/>
            </w:r>
            <w:r w:rsidRPr="0010265B">
              <w:fldChar w:fldCharType="end"/>
            </w:r>
            <w:bookmarkEnd w:id="1"/>
          </w:p>
          <w:p w:rsidR="00A658DB" w:rsidRPr="0010265B" w:rsidRDefault="00A658DB" w:rsidP="00014A2B"/>
        </w:tc>
      </w:tr>
    </w:tbl>
    <w:p w:rsidR="00A658DB" w:rsidRPr="0010265B" w:rsidRDefault="00A658DB" w:rsidP="00A658DB">
      <w:pPr>
        <w:spacing w:before="120"/>
        <w:rPr>
          <w:b/>
          <w:sz w:val="28"/>
          <w:szCs w:val="28"/>
        </w:rPr>
      </w:pPr>
      <w:r w:rsidRPr="0010265B">
        <w:rPr>
          <w:b/>
          <w:sz w:val="28"/>
          <w:szCs w:val="28"/>
        </w:rPr>
        <w:t>Европейская экономическая комиссия</w:t>
      </w:r>
    </w:p>
    <w:p w:rsidR="00014A2B" w:rsidRPr="00EF23E2" w:rsidRDefault="00014A2B" w:rsidP="00EF23E2">
      <w:pPr>
        <w:spacing w:before="120" w:after="120"/>
        <w:rPr>
          <w:sz w:val="28"/>
          <w:szCs w:val="28"/>
        </w:rPr>
      </w:pPr>
      <w:r w:rsidRPr="00EF23E2">
        <w:rPr>
          <w:sz w:val="28"/>
          <w:szCs w:val="28"/>
        </w:rPr>
        <w:t>Комитет по экологической политике</w:t>
      </w:r>
    </w:p>
    <w:p w:rsidR="00014A2B" w:rsidRPr="00ED41CE" w:rsidRDefault="00014A2B" w:rsidP="00A8465C">
      <w:pPr>
        <w:rPr>
          <w:b/>
        </w:rPr>
      </w:pPr>
      <w:r w:rsidRPr="00ED41CE">
        <w:rPr>
          <w:b/>
        </w:rPr>
        <w:t>Двадцать вторая сессия</w:t>
      </w:r>
    </w:p>
    <w:p w:rsidR="00014A2B" w:rsidRPr="00A8465C" w:rsidRDefault="00ED41CE" w:rsidP="00A8465C">
      <w:r>
        <w:t>Женева, 25–</w:t>
      </w:r>
      <w:r w:rsidR="00014A2B" w:rsidRPr="00A8465C">
        <w:t>27 января 2017 года</w:t>
      </w:r>
    </w:p>
    <w:p w:rsidR="00014A2B" w:rsidRPr="00A8465C" w:rsidRDefault="00014A2B" w:rsidP="00A8465C">
      <w:r w:rsidRPr="00A8465C">
        <w:t>Пункт 1 предварительной повестки дня</w:t>
      </w:r>
    </w:p>
    <w:p w:rsidR="00DB52B3" w:rsidRPr="00ED41CE" w:rsidRDefault="00014A2B" w:rsidP="00A8465C">
      <w:pPr>
        <w:rPr>
          <w:b/>
        </w:rPr>
      </w:pPr>
      <w:r w:rsidRPr="00ED41CE">
        <w:rPr>
          <w:b/>
        </w:rPr>
        <w:t xml:space="preserve">Открытие совещания и утверждение повестки дня </w:t>
      </w:r>
    </w:p>
    <w:p w:rsidR="00014A2B" w:rsidRPr="0010265B" w:rsidRDefault="00ED41CE" w:rsidP="00ED41CE">
      <w:pPr>
        <w:pStyle w:val="HChGR"/>
      </w:pPr>
      <w:r>
        <w:tab/>
      </w:r>
      <w:r>
        <w:tab/>
      </w:r>
      <w:r w:rsidR="00014A2B" w:rsidRPr="0010265B">
        <w:t>Аннотированная предварительная повестка дня двадцать второй сессии,</w:t>
      </w:r>
    </w:p>
    <w:p w:rsidR="00014A2B" w:rsidRPr="0010265B" w:rsidRDefault="00ED41CE" w:rsidP="00F04E36">
      <w:pPr>
        <w:pStyle w:val="H1GR"/>
      </w:pPr>
      <w:r>
        <w:tab/>
      </w:r>
      <w:r>
        <w:tab/>
      </w:r>
      <w:proofErr w:type="gramStart"/>
      <w:r w:rsidR="00014A2B" w:rsidRPr="0010265B">
        <w:t>которая</w:t>
      </w:r>
      <w:proofErr w:type="gramEnd"/>
      <w:r w:rsidR="00014A2B" w:rsidRPr="0010265B">
        <w:t xml:space="preserve"> состоит</w:t>
      </w:r>
      <w:bookmarkStart w:id="2" w:name="_GoBack"/>
      <w:bookmarkEnd w:id="2"/>
      <w:r w:rsidR="00014A2B" w:rsidRPr="0010265B">
        <w:t>ся во Дворце Наций в Женеве и откроется</w:t>
      </w:r>
      <w:r w:rsidR="00DB52B3" w:rsidRPr="0010265B">
        <w:t xml:space="preserve"> </w:t>
      </w:r>
      <w:r w:rsidR="00F04E36">
        <w:t>в</w:t>
      </w:r>
      <w:r w:rsidR="00F04E36">
        <w:rPr>
          <w:lang w:val="en-US"/>
        </w:rPr>
        <w:t> </w:t>
      </w:r>
      <w:r>
        <w:t>среду, 25 </w:t>
      </w:r>
      <w:r w:rsidR="00014A2B" w:rsidRPr="0010265B">
        <w:t>января 2017 года, в 10 ч. 00 м.</w:t>
      </w:r>
      <w:r w:rsidR="00014A2B" w:rsidRPr="004B4E98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014A2B" w:rsidRPr="0010265B" w:rsidRDefault="00ED41CE" w:rsidP="00ED41CE">
      <w:pPr>
        <w:pStyle w:val="HChGR"/>
      </w:pPr>
      <w:r>
        <w:tab/>
        <w:t>I.</w:t>
      </w:r>
      <w:r>
        <w:tab/>
        <w:t>Предварительная повестка дня</w:t>
      </w:r>
    </w:p>
    <w:p w:rsidR="00014A2B" w:rsidRPr="0010265B" w:rsidRDefault="00ED41CE" w:rsidP="00014A2B">
      <w:pPr>
        <w:pStyle w:val="SingleTxtGR"/>
      </w:pPr>
      <w:r>
        <w:t>1.</w:t>
      </w:r>
      <w:r>
        <w:tab/>
      </w:r>
      <w:r w:rsidR="00014A2B" w:rsidRPr="0010265B">
        <w:t>Открытие совещания и утверждение повестки д</w:t>
      </w:r>
      <w:r w:rsidR="00B7258C">
        <w:t>ня.</w:t>
      </w:r>
    </w:p>
    <w:p w:rsidR="00014A2B" w:rsidRPr="0010265B" w:rsidRDefault="00ED41CE" w:rsidP="00014A2B">
      <w:pPr>
        <w:pStyle w:val="SingleTxtGR"/>
      </w:pPr>
      <w:r>
        <w:t>2.</w:t>
      </w:r>
      <w:r>
        <w:tab/>
      </w:r>
      <w:r w:rsidR="00014A2B" w:rsidRPr="0010265B">
        <w:t>Итоги работы Президиума.</w:t>
      </w:r>
    </w:p>
    <w:p w:rsidR="00014A2B" w:rsidRPr="0010265B" w:rsidRDefault="00ED41CE" w:rsidP="00014A2B">
      <w:pPr>
        <w:pStyle w:val="SingleTxtGR"/>
      </w:pPr>
      <w:r>
        <w:t>3.</w:t>
      </w:r>
      <w:r>
        <w:tab/>
      </w:r>
      <w:r w:rsidR="00B7258C">
        <w:t>Устойчивое развитие в регионе.</w:t>
      </w:r>
    </w:p>
    <w:p w:rsidR="00014A2B" w:rsidRPr="0010265B" w:rsidRDefault="00014A2B" w:rsidP="00014A2B">
      <w:pPr>
        <w:pStyle w:val="SingleTxtGR"/>
      </w:pPr>
      <w:r w:rsidRPr="0010265B">
        <w:t>4.</w:t>
      </w:r>
      <w:r w:rsidR="00ED41CE">
        <w:tab/>
      </w:r>
      <w:r w:rsidRPr="0010265B">
        <w:t>Многосторон</w:t>
      </w:r>
      <w:r w:rsidR="00B7258C">
        <w:t>ние природоохранные соглашения.</w:t>
      </w:r>
    </w:p>
    <w:p w:rsidR="00014A2B" w:rsidRPr="0010265B" w:rsidRDefault="00ED41CE" w:rsidP="006B64D8">
      <w:pPr>
        <w:pStyle w:val="SingleTxtGR"/>
        <w:ind w:left="1701" w:hanging="567"/>
      </w:pPr>
      <w:r>
        <w:lastRenderedPageBreak/>
        <w:t>5.</w:t>
      </w:r>
      <w:r>
        <w:tab/>
      </w:r>
      <w:r w:rsidR="00014A2B" w:rsidRPr="0010265B">
        <w:t xml:space="preserve">Последующие меры в связи с восьмой Конференцией министров </w:t>
      </w:r>
      <w:r w:rsidR="00DB52B3" w:rsidRPr="0010265B">
        <w:t>«Окр</w:t>
      </w:r>
      <w:r w:rsidR="00DB52B3" w:rsidRPr="0010265B">
        <w:t>у</w:t>
      </w:r>
      <w:r w:rsidR="00DB52B3" w:rsidRPr="0010265B">
        <w:t xml:space="preserve">жающая среда </w:t>
      </w:r>
      <w:r w:rsidR="00014A2B" w:rsidRPr="0010265B">
        <w:t>для Европы</w:t>
      </w:r>
      <w:r w:rsidR="00DB52B3" w:rsidRPr="0010265B">
        <w:t>»</w:t>
      </w:r>
      <w:r w:rsidR="00014A2B" w:rsidRPr="0010265B">
        <w:t xml:space="preserve"> и подготовка среднесрочного обзора осно</w:t>
      </w:r>
      <w:r w:rsidR="00014A2B" w:rsidRPr="0010265B">
        <w:t>в</w:t>
      </w:r>
      <w:r w:rsidR="00014A2B" w:rsidRPr="0010265B">
        <w:t>ных итогов Конференции.</w:t>
      </w:r>
    </w:p>
    <w:p w:rsidR="00014A2B" w:rsidRPr="0010265B" w:rsidRDefault="00ED41CE" w:rsidP="00DF5B9E">
      <w:pPr>
        <w:pStyle w:val="SingleTxtGR"/>
        <w:ind w:left="1701" w:hanging="567"/>
      </w:pPr>
      <w:r>
        <w:t>6.</w:t>
      </w:r>
      <w:r>
        <w:tab/>
      </w:r>
      <w:proofErr w:type="gramStart"/>
      <w:r w:rsidR="00014A2B" w:rsidRPr="0010265B">
        <w:t>Экологические</w:t>
      </w:r>
      <w:proofErr w:type="gramEnd"/>
      <w:r w:rsidR="00014A2B" w:rsidRPr="0010265B">
        <w:t xml:space="preserve"> мониторинг, оценка и отчетность.</w:t>
      </w:r>
    </w:p>
    <w:p w:rsidR="00014A2B" w:rsidRPr="0010265B" w:rsidRDefault="00ED41CE" w:rsidP="00DF5B9E">
      <w:pPr>
        <w:pStyle w:val="SingleTxtGR"/>
        <w:ind w:left="1701" w:hanging="567"/>
      </w:pPr>
      <w:r>
        <w:t>7.</w:t>
      </w:r>
      <w:r>
        <w:tab/>
      </w:r>
      <w:r w:rsidR="00014A2B" w:rsidRPr="0010265B">
        <w:t>Обзоры результативности экологической деятельности.</w:t>
      </w:r>
    </w:p>
    <w:p w:rsidR="00014A2B" w:rsidRPr="0010265B" w:rsidRDefault="00ED41CE" w:rsidP="00DF5B9E">
      <w:pPr>
        <w:pStyle w:val="SingleTxtGR"/>
        <w:ind w:left="1701" w:hanging="567"/>
      </w:pPr>
      <w:r>
        <w:t>8.</w:t>
      </w:r>
      <w:r>
        <w:tab/>
      </w:r>
      <w:proofErr w:type="spellStart"/>
      <w:r w:rsidR="00014A2B" w:rsidRPr="0010265B">
        <w:t>Межсекторальная</w:t>
      </w:r>
      <w:proofErr w:type="spellEnd"/>
      <w:r w:rsidR="00014A2B" w:rsidRPr="0010265B">
        <w:t xml:space="preserve"> деятельность: </w:t>
      </w:r>
    </w:p>
    <w:p w:rsidR="00014A2B" w:rsidRPr="0010265B" w:rsidRDefault="00014A2B" w:rsidP="002030CC">
      <w:pPr>
        <w:pStyle w:val="SingleTxtGR"/>
        <w:ind w:left="2268" w:hanging="1134"/>
      </w:pPr>
      <w:r w:rsidRPr="0010265B">
        <w:tab/>
      </w:r>
      <w:r w:rsidR="00ED41CE">
        <w:t>a)</w:t>
      </w:r>
      <w:r w:rsidR="00ED41CE">
        <w:tab/>
      </w:r>
      <w:r w:rsidRPr="0010265B">
        <w:t>образование в интересах устойчивого развития;</w:t>
      </w:r>
    </w:p>
    <w:p w:rsidR="00014A2B" w:rsidRPr="0010265B" w:rsidRDefault="00014A2B" w:rsidP="00B7258C">
      <w:pPr>
        <w:pStyle w:val="SingleTxtGR"/>
        <w:ind w:left="2268" w:hanging="1134"/>
      </w:pPr>
      <w:r w:rsidRPr="0010265B">
        <w:tab/>
      </w:r>
      <w:r w:rsidR="00ED41CE">
        <w:t>b)</w:t>
      </w:r>
      <w:r w:rsidR="00ED41CE">
        <w:tab/>
      </w:r>
      <w:r w:rsidRPr="0010265B">
        <w:t xml:space="preserve">Общеевропейская программа по транспорту, окружающей среде и охране здоровья; </w:t>
      </w:r>
    </w:p>
    <w:p w:rsidR="00014A2B" w:rsidRPr="0010265B" w:rsidRDefault="00ED41CE" w:rsidP="002030CC">
      <w:pPr>
        <w:pStyle w:val="SingleTxtGR"/>
        <w:ind w:left="2268" w:hanging="1134"/>
      </w:pPr>
      <w:r>
        <w:tab/>
      </w:r>
      <w:r w:rsidR="004B4E98">
        <w:t>c)</w:t>
      </w:r>
      <w:r w:rsidR="004B4E98">
        <w:tab/>
      </w:r>
      <w:r w:rsidR="00014A2B" w:rsidRPr="0010265B">
        <w:t>окружающая среда и безопасность;</w:t>
      </w:r>
    </w:p>
    <w:p w:rsidR="00014A2B" w:rsidRPr="0010265B" w:rsidRDefault="004B4E98" w:rsidP="002030CC">
      <w:pPr>
        <w:pStyle w:val="SingleTxtGR"/>
        <w:ind w:left="2268" w:hanging="1134"/>
      </w:pPr>
      <w:r>
        <w:tab/>
        <w:t>d)</w:t>
      </w:r>
      <w:r>
        <w:tab/>
      </w:r>
      <w:r w:rsidR="00014A2B" w:rsidRPr="0010265B">
        <w:t xml:space="preserve">европейский процесс </w:t>
      </w:r>
      <w:r w:rsidR="00DB52B3" w:rsidRPr="0010265B">
        <w:t>«</w:t>
      </w:r>
      <w:r w:rsidR="00014A2B" w:rsidRPr="0010265B">
        <w:t>Окружающая среда и здоровье</w:t>
      </w:r>
      <w:r w:rsidR="00DB52B3" w:rsidRPr="0010265B">
        <w:t>»</w:t>
      </w:r>
      <w:r w:rsidR="00014A2B" w:rsidRPr="0010265B">
        <w:t>;</w:t>
      </w:r>
    </w:p>
    <w:p w:rsidR="00014A2B" w:rsidRPr="0010265B" w:rsidRDefault="00014A2B" w:rsidP="002030CC">
      <w:pPr>
        <w:pStyle w:val="SingleTxtGR"/>
        <w:ind w:left="2268" w:hanging="1134"/>
      </w:pPr>
      <w:r w:rsidRPr="0010265B">
        <w:tab/>
        <w:t>e)</w:t>
      </w:r>
      <w:r w:rsidR="004B4E98">
        <w:tab/>
      </w:r>
      <w:r w:rsidRPr="0010265B">
        <w:t xml:space="preserve">строительство </w:t>
      </w:r>
      <w:r w:rsidR="00DB52B3" w:rsidRPr="0010265B">
        <w:t>«</w:t>
      </w:r>
      <w:r w:rsidRPr="0010265B">
        <w:t>зеленых</w:t>
      </w:r>
      <w:r w:rsidR="00DB52B3" w:rsidRPr="0010265B">
        <w:t>»</w:t>
      </w:r>
      <w:r w:rsidRPr="0010265B">
        <w:t xml:space="preserve"> зданий.</w:t>
      </w:r>
    </w:p>
    <w:p w:rsidR="00014A2B" w:rsidRPr="0010265B" w:rsidRDefault="004B4E98" w:rsidP="00DF5B9E">
      <w:pPr>
        <w:pStyle w:val="SingleTxtGR"/>
        <w:ind w:left="1701" w:hanging="567"/>
      </w:pPr>
      <w:r>
        <w:t>9.</w:t>
      </w:r>
      <w:r>
        <w:tab/>
      </w:r>
      <w:r w:rsidR="00014A2B" w:rsidRPr="0010265B">
        <w:t>Программа работы Подпрограммы по окружающей среде:</w:t>
      </w:r>
    </w:p>
    <w:p w:rsidR="00014A2B" w:rsidRPr="0010265B" w:rsidRDefault="00014A2B" w:rsidP="002030CC">
      <w:pPr>
        <w:pStyle w:val="SingleTxtGR"/>
        <w:ind w:left="2268" w:hanging="1134"/>
      </w:pPr>
      <w:r w:rsidRPr="0010265B">
        <w:tab/>
      </w:r>
      <w:r w:rsidR="004B4E98">
        <w:t>a)</w:t>
      </w:r>
      <w:r w:rsidR="004B4E98">
        <w:tab/>
      </w:r>
      <w:r w:rsidRPr="0010265B">
        <w:t>учет гендерной проблематики в природоохранной деятельности;</w:t>
      </w:r>
    </w:p>
    <w:p w:rsidR="00014A2B" w:rsidRPr="0010265B" w:rsidRDefault="00014A2B" w:rsidP="002030CC">
      <w:pPr>
        <w:pStyle w:val="SingleTxtGR"/>
        <w:ind w:left="2268" w:hanging="1134"/>
      </w:pPr>
      <w:r w:rsidRPr="0010265B">
        <w:tab/>
      </w:r>
      <w:r w:rsidR="004B4E98">
        <w:t>b)</w:t>
      </w:r>
      <w:r w:rsidR="004B4E98">
        <w:tab/>
      </w:r>
      <w:r w:rsidRPr="0010265B">
        <w:t>обзор ресурсов для осуществления природоохранной деятельно</w:t>
      </w:r>
      <w:r w:rsidR="00DB52B3" w:rsidRPr="0010265B">
        <w:t xml:space="preserve">сти и критерии </w:t>
      </w:r>
      <w:r w:rsidRPr="0010265B">
        <w:t>оказания финансовой поддержки для участия в совещ</w:t>
      </w:r>
      <w:r w:rsidRPr="0010265B">
        <w:t>а</w:t>
      </w:r>
      <w:r w:rsidRPr="0010265B">
        <w:t>ниях и мероприятиях.</w:t>
      </w:r>
    </w:p>
    <w:p w:rsidR="00014A2B" w:rsidRPr="0010265B" w:rsidRDefault="004B4E98" w:rsidP="00DF5B9E">
      <w:pPr>
        <w:pStyle w:val="SingleTxtGR"/>
        <w:ind w:left="1701" w:hanging="567"/>
      </w:pPr>
      <w:r>
        <w:t>10.</w:t>
      </w:r>
      <w:r>
        <w:tab/>
      </w:r>
      <w:r w:rsidR="00014A2B" w:rsidRPr="0010265B">
        <w:t>Представление мнений и обмен мнениями о второй и третьей сессиях А</w:t>
      </w:r>
      <w:r w:rsidR="00014A2B" w:rsidRPr="0010265B">
        <w:t>с</w:t>
      </w:r>
      <w:r w:rsidR="00014A2B" w:rsidRPr="0010265B">
        <w:t xml:space="preserve">самблеи Организации Объединенных Наций по окружающей среде. </w:t>
      </w:r>
    </w:p>
    <w:p w:rsidR="00014A2B" w:rsidRPr="0010265B" w:rsidRDefault="00BF78BE" w:rsidP="00DF5B9E">
      <w:pPr>
        <w:pStyle w:val="SingleTxtGR"/>
        <w:ind w:left="1701" w:hanging="567"/>
      </w:pPr>
      <w:r>
        <w:t>11.</w:t>
      </w:r>
      <w:r>
        <w:tab/>
      </w:r>
      <w:r w:rsidR="00014A2B" w:rsidRPr="0010265B">
        <w:t>Круг ведения.</w:t>
      </w:r>
    </w:p>
    <w:p w:rsidR="00014A2B" w:rsidRPr="0010265B" w:rsidRDefault="00BF78BE" w:rsidP="00DF5B9E">
      <w:pPr>
        <w:pStyle w:val="SingleTxtGR"/>
        <w:ind w:left="1701" w:hanging="567"/>
      </w:pPr>
      <w:r>
        <w:t>12.</w:t>
      </w:r>
      <w:r>
        <w:tab/>
      </w:r>
      <w:r w:rsidR="00014A2B" w:rsidRPr="0010265B">
        <w:t>Правила процедуры.</w:t>
      </w:r>
    </w:p>
    <w:p w:rsidR="00014A2B" w:rsidRPr="0010265B" w:rsidRDefault="00BF78BE" w:rsidP="00DF5B9E">
      <w:pPr>
        <w:pStyle w:val="SingleTxtGR"/>
        <w:ind w:left="1701" w:hanging="567"/>
      </w:pPr>
      <w:r>
        <w:t>13.</w:t>
      </w:r>
      <w:r>
        <w:tab/>
      </w:r>
      <w:r w:rsidR="00014A2B" w:rsidRPr="0010265B">
        <w:t>Выборы должностных лиц.</w:t>
      </w:r>
    </w:p>
    <w:p w:rsidR="00014A2B" w:rsidRPr="0010265B" w:rsidRDefault="00BF78BE" w:rsidP="00DF5B9E">
      <w:pPr>
        <w:pStyle w:val="SingleTxtGR"/>
        <w:ind w:left="1701" w:hanging="567"/>
      </w:pPr>
      <w:r>
        <w:t>14.</w:t>
      </w:r>
      <w:r>
        <w:tab/>
      </w:r>
      <w:r w:rsidR="00014A2B" w:rsidRPr="0010265B">
        <w:t>Расписание совещаний.</w:t>
      </w:r>
    </w:p>
    <w:p w:rsidR="00014A2B" w:rsidRPr="0010265B" w:rsidRDefault="00BF78BE" w:rsidP="00DF5B9E">
      <w:pPr>
        <w:pStyle w:val="SingleTxtGR"/>
        <w:ind w:left="1701" w:hanging="567"/>
      </w:pPr>
      <w:r>
        <w:t>15.</w:t>
      </w:r>
      <w:r>
        <w:tab/>
      </w:r>
      <w:r w:rsidR="00014A2B" w:rsidRPr="0010265B">
        <w:t>Прочие вопросы.</w:t>
      </w:r>
    </w:p>
    <w:p w:rsidR="00DB52B3" w:rsidRPr="0010265B" w:rsidRDefault="00BF78BE" w:rsidP="00DF5B9E">
      <w:pPr>
        <w:pStyle w:val="SingleTxtGR"/>
        <w:ind w:left="1701" w:hanging="567"/>
      </w:pPr>
      <w:r>
        <w:t>16.</w:t>
      </w:r>
      <w:r>
        <w:tab/>
      </w:r>
      <w:r w:rsidR="00014A2B" w:rsidRPr="0010265B">
        <w:t>Закрытие совещания.</w:t>
      </w:r>
    </w:p>
    <w:p w:rsidR="00014A2B" w:rsidRPr="0010265B" w:rsidRDefault="00236D01" w:rsidP="00236D01">
      <w:pPr>
        <w:pStyle w:val="HChGR"/>
      </w:pPr>
      <w:r>
        <w:tab/>
        <w:t>II.</w:t>
      </w:r>
      <w:r>
        <w:tab/>
      </w:r>
      <w:r w:rsidR="00014A2B" w:rsidRPr="0010265B">
        <w:t>Аннотации к предварительной повестке дня</w:t>
      </w:r>
    </w:p>
    <w:p w:rsidR="00014A2B" w:rsidRPr="0010265B" w:rsidRDefault="00014A2B" w:rsidP="00014A2B">
      <w:pPr>
        <w:pStyle w:val="SingleTxtGR"/>
      </w:pPr>
      <w:r w:rsidRPr="0010265B">
        <w:t>1.</w:t>
      </w:r>
      <w:r w:rsidRPr="0010265B">
        <w:tab/>
      </w:r>
      <w:proofErr w:type="gramStart"/>
      <w:r w:rsidRPr="0010265B">
        <w:t>Комитет по экологической политике</w:t>
      </w:r>
      <w:r w:rsidR="00DB52B3" w:rsidRPr="0010265B">
        <w:t xml:space="preserve"> </w:t>
      </w:r>
      <w:r w:rsidRPr="0010265B">
        <w:t>руководствуется в своей работе ц</w:t>
      </w:r>
      <w:r w:rsidRPr="0010265B">
        <w:t>е</w:t>
      </w:r>
      <w:r w:rsidRPr="0010265B">
        <w:t>лями, изложенными в документе, посвященном будущим стратегическим направлениям деятельности в области окружающей среды (CEP/2004/2), кот</w:t>
      </w:r>
      <w:r w:rsidRPr="0010265B">
        <w:t>о</w:t>
      </w:r>
      <w:r w:rsidRPr="0010265B">
        <w:t>рый был принят в 2003 году, планом работы по реформе Европейской эконом</w:t>
      </w:r>
      <w:r w:rsidRPr="0010265B">
        <w:t>и</w:t>
      </w:r>
      <w:r w:rsidRPr="0010265B">
        <w:t>ческой комиссии</w:t>
      </w:r>
      <w:r w:rsidR="00DB52B3" w:rsidRPr="0010265B">
        <w:t xml:space="preserve"> </w:t>
      </w:r>
      <w:r w:rsidRPr="0010265B">
        <w:t>Организации Объединенных Наций</w:t>
      </w:r>
      <w:r w:rsidR="00DB52B3" w:rsidRPr="0010265B">
        <w:t xml:space="preserve"> </w:t>
      </w:r>
      <w:r w:rsidRPr="0010265B">
        <w:t>(ЕЭК) (E/ECE/1434/Rev.1), утвержденным в 2005 году, и обзором реформы ЕЭК 2005 года (E/2013/27–E/ECE</w:t>
      </w:r>
      <w:proofErr w:type="gramEnd"/>
      <w:r w:rsidRPr="0010265B">
        <w:t>/</w:t>
      </w:r>
      <w:proofErr w:type="gramStart"/>
      <w:r w:rsidRPr="0010265B">
        <w:t>1464, приложение III), завершенным в 2013 году.</w:t>
      </w:r>
      <w:proofErr w:type="gramEnd"/>
      <w:r w:rsidRPr="0010265B">
        <w:t xml:space="preserve"> Круг ведения Комитета был</w:t>
      </w:r>
      <w:r w:rsidR="00DB52B3" w:rsidRPr="0010265B">
        <w:t xml:space="preserve"> </w:t>
      </w:r>
      <w:r w:rsidRPr="0010265B">
        <w:t>принят ЕЭК в 2007 году (E/ECE/1447/Add.1)</w:t>
      </w:r>
      <w:r w:rsidRPr="007D1342">
        <w:rPr>
          <w:sz w:val="18"/>
          <w:vertAlign w:val="superscript"/>
        </w:rPr>
        <w:footnoteReference w:id="2"/>
      </w:r>
      <w:r w:rsidRPr="0010265B">
        <w:t>.</w:t>
      </w:r>
      <w:r w:rsidR="00DB52B3" w:rsidRPr="0010265B">
        <w:t xml:space="preserve"> </w:t>
      </w:r>
    </w:p>
    <w:p w:rsidR="00014A2B" w:rsidRPr="0010265B" w:rsidRDefault="00236D01" w:rsidP="00014A2B">
      <w:pPr>
        <w:pStyle w:val="SingleTxtGR"/>
      </w:pPr>
      <w:r>
        <w:t>2.</w:t>
      </w:r>
      <w:r>
        <w:tab/>
      </w:r>
      <w:proofErr w:type="gramStart"/>
      <w:r w:rsidR="00014A2B" w:rsidRPr="0010265B">
        <w:t xml:space="preserve">Кроме того, в Плане реформы процесса </w:t>
      </w:r>
      <w:r w:rsidR="00DB52B3" w:rsidRPr="0010265B">
        <w:t>«</w:t>
      </w:r>
      <w:r w:rsidR="00014A2B" w:rsidRPr="0010265B">
        <w:t>Окружающая среда для Европы</w:t>
      </w:r>
      <w:r w:rsidR="00DB52B3" w:rsidRPr="0010265B">
        <w:t>»</w:t>
      </w:r>
      <w:r w:rsidR="00014A2B" w:rsidRPr="0010265B">
        <w:t xml:space="preserve"> (ОСЕ) (ECE/CEP/S/152, приложение I, и Cor</w:t>
      </w:r>
      <w:r>
        <w:t>r.1), принятом Комитетом в 2009 </w:t>
      </w:r>
      <w:r w:rsidR="00014A2B" w:rsidRPr="0010265B">
        <w:t>году и впоследствии одобренном ЕЭК, Комитет был наделен полномочи</w:t>
      </w:r>
      <w:r w:rsidR="00014A2B" w:rsidRPr="0010265B">
        <w:t>я</w:t>
      </w:r>
      <w:r w:rsidR="00014A2B" w:rsidRPr="0010265B">
        <w:lastRenderedPageBreak/>
        <w:t xml:space="preserve">ми действовать в качестве организатора процессов подготовки к конференциям министров </w:t>
      </w:r>
      <w:r w:rsidR="00DB52B3" w:rsidRPr="0010265B">
        <w:t>«</w:t>
      </w:r>
      <w:r w:rsidR="00014A2B" w:rsidRPr="0010265B">
        <w:t>Окружающая среда для Европы</w:t>
      </w:r>
      <w:r w:rsidR="00DB52B3" w:rsidRPr="0010265B">
        <w:t>»</w:t>
      </w:r>
      <w:r w:rsidR="00014A2B" w:rsidRPr="0010265B">
        <w:t>.</w:t>
      </w:r>
      <w:proofErr w:type="gramEnd"/>
    </w:p>
    <w:p w:rsidR="00014A2B" w:rsidRPr="00653AE3" w:rsidRDefault="00B723D9" w:rsidP="00653AE3">
      <w:pPr>
        <w:pStyle w:val="H1GR"/>
      </w:pPr>
      <w:r>
        <w:tab/>
        <w:t>1.</w:t>
      </w:r>
      <w:r>
        <w:tab/>
      </w:r>
      <w:r w:rsidR="00014A2B" w:rsidRPr="00653AE3">
        <w:t>Открытие совещания и утверждение повестки дня</w:t>
      </w:r>
    </w:p>
    <w:p w:rsidR="00014A2B" w:rsidRPr="0010265B" w:rsidRDefault="00014A2B" w:rsidP="00014A2B">
      <w:pPr>
        <w:pStyle w:val="SingleTxtGR"/>
      </w:pPr>
      <w:r w:rsidRPr="0010265B">
        <w:t>3.</w:t>
      </w:r>
      <w:r w:rsidRPr="0010265B">
        <w:tab/>
        <w:t>Двадцать вторую сессию откроет Председатель. Затем Комитету будет предложено утвердить свою повестку дня, изложенную в настоящем документе (ECE/CEP/2017/1). Предварительный график представл</w:t>
      </w:r>
      <w:r w:rsidR="00B723D9">
        <w:t>ен в информационном документе № </w:t>
      </w:r>
      <w:r w:rsidRPr="0010265B">
        <w:t>1</w:t>
      </w:r>
      <w:r w:rsidRPr="007D1342">
        <w:rPr>
          <w:sz w:val="18"/>
          <w:vertAlign w:val="superscript"/>
        </w:rPr>
        <w:footnoteReference w:id="3"/>
      </w:r>
      <w:r w:rsidRPr="0010265B">
        <w:t>.</w:t>
      </w:r>
      <w:r w:rsidR="00DB52B3" w:rsidRPr="0010265B">
        <w:rPr>
          <w:vertAlign w:val="superscript"/>
        </w:rPr>
        <w:t xml:space="preserve"> </w:t>
      </w:r>
    </w:p>
    <w:p w:rsidR="00014A2B" w:rsidRPr="0010265B" w:rsidRDefault="00B723D9" w:rsidP="00653AE3">
      <w:pPr>
        <w:pStyle w:val="H1GR"/>
      </w:pPr>
      <w:r>
        <w:tab/>
        <w:t>2.</w:t>
      </w:r>
      <w:r>
        <w:tab/>
      </w:r>
      <w:r w:rsidR="00014A2B" w:rsidRPr="00653AE3">
        <w:t>Итоги работы Президиума</w:t>
      </w:r>
    </w:p>
    <w:p w:rsidR="00014A2B" w:rsidRPr="0010265B" w:rsidRDefault="00B723D9" w:rsidP="00014A2B">
      <w:pPr>
        <w:pStyle w:val="SingleTxtGR"/>
      </w:pPr>
      <w:r>
        <w:t>4.</w:t>
      </w:r>
      <w:r w:rsidR="00014A2B" w:rsidRPr="0010265B">
        <w:tab/>
        <w:t>На своей два</w:t>
      </w:r>
      <w:r>
        <w:t>дцать первой сессии (Женева, 27–</w:t>
      </w:r>
      <w:r w:rsidR="00014A2B" w:rsidRPr="0010265B">
        <w:t>30 октября 2015 года) К</w:t>
      </w:r>
      <w:r w:rsidR="00014A2B" w:rsidRPr="0010265B">
        <w:t>о</w:t>
      </w:r>
      <w:r w:rsidR="00014A2B" w:rsidRPr="0010265B">
        <w:t>митет избрал свой Президиум и поручил Президиуму и секретариату предпр</w:t>
      </w:r>
      <w:r w:rsidR="00014A2B" w:rsidRPr="0010265B">
        <w:t>и</w:t>
      </w:r>
      <w:r w:rsidR="00014A2B" w:rsidRPr="0010265B">
        <w:t>нять последующие действия в связи с</w:t>
      </w:r>
      <w:r w:rsidR="00DB52B3" w:rsidRPr="0010265B">
        <w:t xml:space="preserve"> </w:t>
      </w:r>
      <w:r w:rsidR="00014A2B" w:rsidRPr="0010265B">
        <w:t>решениями Комитета, в частности подг</w:t>
      </w:r>
      <w:r w:rsidR="00014A2B" w:rsidRPr="0010265B">
        <w:t>о</w:t>
      </w:r>
      <w:r w:rsidR="00014A2B" w:rsidRPr="0010265B">
        <w:t>товить документы и доклады, необходимые для работы Комитета. Президиум вел посредством электронных консультаций работу по подготовке к двадцать второй сессии ее повестки дня и других документов, в том числе правил проц</w:t>
      </w:r>
      <w:r w:rsidR="00014A2B" w:rsidRPr="0010265B">
        <w:t>е</w:t>
      </w:r>
      <w:r w:rsidR="00014A2B" w:rsidRPr="0010265B">
        <w:t>дуры Комитета. Комитету будет предложено рассмотреть итоги работы През</w:t>
      </w:r>
      <w:r w:rsidR="00014A2B" w:rsidRPr="0010265B">
        <w:t>и</w:t>
      </w:r>
      <w:r w:rsidR="00014A2B" w:rsidRPr="0010265B">
        <w:t>диума в рамках соответствующих пунктов повестки дня.</w:t>
      </w:r>
    </w:p>
    <w:p w:rsidR="00014A2B" w:rsidRPr="0010265B" w:rsidRDefault="00B723D9" w:rsidP="00653AE3">
      <w:pPr>
        <w:pStyle w:val="H1GR"/>
      </w:pPr>
      <w:r>
        <w:tab/>
        <w:t>3.</w:t>
      </w:r>
      <w:r>
        <w:tab/>
      </w:r>
      <w:r w:rsidR="00014A2B" w:rsidRPr="00653AE3">
        <w:t>Устойчивое развитие в регионе</w:t>
      </w:r>
    </w:p>
    <w:p w:rsidR="00014A2B" w:rsidRPr="0010265B" w:rsidRDefault="00014A2B" w:rsidP="00014A2B">
      <w:pPr>
        <w:pStyle w:val="SingleTxtGR"/>
      </w:pPr>
      <w:r w:rsidRPr="0010265B">
        <w:t>5.</w:t>
      </w:r>
      <w:r w:rsidRPr="0010265B">
        <w:tab/>
      </w:r>
      <w:proofErr w:type="gramStart"/>
      <w:r w:rsidRPr="0010265B">
        <w:t>Секретариат проинформирует Комитет об основных изменениях, прои</w:t>
      </w:r>
      <w:r w:rsidRPr="0010265B">
        <w:t>с</w:t>
      </w:r>
      <w:r w:rsidRPr="0010265B">
        <w:t>шедших на региональном уровне в связи с Повесткой дня в области устойчив</w:t>
      </w:r>
      <w:r w:rsidRPr="0010265B">
        <w:t>о</w:t>
      </w:r>
      <w:r w:rsidRPr="0010265B">
        <w:t>го развития на период до 2030 года (Повестка дня 2030), в частности об орган</w:t>
      </w:r>
      <w:r w:rsidRPr="0010265B">
        <w:t>и</w:t>
      </w:r>
      <w:r w:rsidRPr="0010265B">
        <w:t>зации регионального форума ЕЭК по устойчивому развитию (Женева, 25 апреля 2017 года) и планируемом вкладе региона ЕЭК в пятое совещание политическ</w:t>
      </w:r>
      <w:r w:rsidRPr="0010265B">
        <w:t>о</w:t>
      </w:r>
      <w:r w:rsidRPr="0010265B">
        <w:t>го форума высокого уровня по уст</w:t>
      </w:r>
      <w:r w:rsidR="0010265B">
        <w:t>ойчивому развитию (Нью-Йорк, 10–</w:t>
      </w:r>
      <w:r w:rsidRPr="0010265B">
        <w:t>19 июля</w:t>
      </w:r>
      <w:proofErr w:type="gramEnd"/>
      <w:r w:rsidRPr="0010265B">
        <w:t xml:space="preserve"> </w:t>
      </w:r>
      <w:proofErr w:type="gramStart"/>
      <w:r w:rsidRPr="0010265B">
        <w:t>2017 года).</w:t>
      </w:r>
      <w:proofErr w:type="gramEnd"/>
      <w:r w:rsidRPr="0010265B">
        <w:t xml:space="preserve"> Комитет будет также проинформирован о подготовке к шестьдесят</w:t>
      </w:r>
      <w:r w:rsidR="0010265B">
        <w:t xml:space="preserve"> седьмой сессии ЕЭК (Женева, 26–</w:t>
      </w:r>
      <w:r w:rsidRPr="0010265B">
        <w:t>27 апреля 2017 года). На своей шестьдесят седьмой сессии Комиссия примет решение о структуре и порядке проведения Регионального форума ЕЭК по устойчивому развитию, на котором могут быть даны руководящие указания относительно будущей работы секторальных ком</w:t>
      </w:r>
      <w:r w:rsidRPr="0010265B">
        <w:t>и</w:t>
      </w:r>
      <w:r w:rsidRPr="0010265B">
        <w:t>тетов ЕЭК.</w:t>
      </w:r>
    </w:p>
    <w:p w:rsidR="00014A2B" w:rsidRPr="0010265B" w:rsidRDefault="00B723D9" w:rsidP="00014A2B">
      <w:pPr>
        <w:pStyle w:val="SingleTxtGR"/>
      </w:pPr>
      <w:r>
        <w:t>6.</w:t>
      </w:r>
      <w:r>
        <w:tab/>
      </w:r>
      <w:r w:rsidR="00014A2B" w:rsidRPr="0010265B">
        <w:t>Комитет, возможно, пожелает рассмотреть представленную информацию.</w:t>
      </w:r>
    </w:p>
    <w:p w:rsidR="00014A2B" w:rsidRPr="0010265B" w:rsidRDefault="00B723D9" w:rsidP="00014A2B">
      <w:pPr>
        <w:pStyle w:val="SingleTxtGR"/>
      </w:pPr>
      <w:r>
        <w:t>7.</w:t>
      </w:r>
      <w:r w:rsidR="00014A2B" w:rsidRPr="0010265B">
        <w:tab/>
        <w:t>Кроме того, заинтересованные страны, возможно, пожелают использовать платформу Комитета для того, чтобы поделиться накопленным ими к насто</w:t>
      </w:r>
      <w:r w:rsidR="00014A2B" w:rsidRPr="0010265B">
        <w:t>я</w:t>
      </w:r>
      <w:r w:rsidR="00014A2B" w:rsidRPr="0010265B">
        <w:t>щему времени опытом определения практических путей и средств формиров</w:t>
      </w:r>
      <w:r w:rsidR="00014A2B" w:rsidRPr="0010265B">
        <w:t>а</w:t>
      </w:r>
      <w:r w:rsidR="00014A2B" w:rsidRPr="0010265B">
        <w:t>ния подхода к осуществлению на национальном уровне</w:t>
      </w:r>
      <w:r w:rsidR="00DB52B3" w:rsidRPr="0010265B">
        <w:t xml:space="preserve"> </w:t>
      </w:r>
      <w:r w:rsidR="00014A2B" w:rsidRPr="0010265B">
        <w:t>Повестки дня 2030 и актуальных целей устойчивого развития под экологическим углом зрения. Ос</w:t>
      </w:r>
      <w:r w:rsidR="00014A2B" w:rsidRPr="0010265B">
        <w:t>о</w:t>
      </w:r>
      <w:r w:rsidR="00014A2B" w:rsidRPr="0010265B">
        <w:t>бый интерес будет представлять информация о предпринятых шагах по обесп</w:t>
      </w:r>
      <w:r w:rsidR="00014A2B" w:rsidRPr="0010265B">
        <w:t>е</w:t>
      </w:r>
      <w:r w:rsidR="00014A2B" w:rsidRPr="0010265B">
        <w:t>чению</w:t>
      </w:r>
      <w:r w:rsidR="00DB52B3" w:rsidRPr="0010265B">
        <w:t xml:space="preserve"> </w:t>
      </w:r>
      <w:r w:rsidR="00014A2B" w:rsidRPr="0010265B">
        <w:t>предусмотренной в Повестке дня 2030 интеграции. Такой обмен инфо</w:t>
      </w:r>
      <w:r w:rsidR="00014A2B" w:rsidRPr="0010265B">
        <w:t>р</w:t>
      </w:r>
      <w:r w:rsidR="00014A2B" w:rsidRPr="0010265B">
        <w:t>мацией</w:t>
      </w:r>
      <w:r w:rsidR="00DB52B3" w:rsidRPr="0010265B">
        <w:t xml:space="preserve"> </w:t>
      </w:r>
      <w:r w:rsidR="00014A2B" w:rsidRPr="0010265B">
        <w:t>облегчит обмен</w:t>
      </w:r>
      <w:r w:rsidR="00DB52B3" w:rsidRPr="0010265B">
        <w:t xml:space="preserve"> </w:t>
      </w:r>
      <w:r w:rsidR="00014A2B" w:rsidRPr="0010265B">
        <w:t>практическим опытом выполнения вышеупомянутых целей среди</w:t>
      </w:r>
      <w:r w:rsidR="00DB52B3" w:rsidRPr="0010265B">
        <w:t xml:space="preserve"> </w:t>
      </w:r>
      <w:r w:rsidR="00014A2B" w:rsidRPr="0010265B">
        <w:t>экологической</w:t>
      </w:r>
      <w:r w:rsidR="00DB52B3" w:rsidRPr="0010265B">
        <w:t xml:space="preserve"> </w:t>
      </w:r>
      <w:r w:rsidR="00014A2B" w:rsidRPr="0010265B">
        <w:t>аудитории</w:t>
      </w:r>
      <w:r w:rsidR="00DB52B3" w:rsidRPr="0010265B">
        <w:t xml:space="preserve"> </w:t>
      </w:r>
      <w:r w:rsidR="00014A2B" w:rsidRPr="0010265B">
        <w:t>в экологическом ракурсе.</w:t>
      </w:r>
    </w:p>
    <w:p w:rsidR="00014A2B" w:rsidRPr="0010265B" w:rsidRDefault="00B723D9" w:rsidP="00014A2B">
      <w:pPr>
        <w:pStyle w:val="SingleTxtGR"/>
      </w:pPr>
      <w:r>
        <w:t>8.</w:t>
      </w:r>
      <w:r>
        <w:tab/>
      </w:r>
      <w:proofErr w:type="gramStart"/>
      <w:r w:rsidR="00014A2B" w:rsidRPr="0010265B">
        <w:t>В этой связи полезным справочным материалом для определения акт</w:t>
      </w:r>
      <w:r w:rsidR="00014A2B" w:rsidRPr="0010265B">
        <w:t>у</w:t>
      </w:r>
      <w:r w:rsidR="00014A2B" w:rsidRPr="0010265B">
        <w:t>альных целей с расчетом на фокусирование обмена информацией и последу</w:t>
      </w:r>
      <w:r w:rsidR="00014A2B" w:rsidRPr="0010265B">
        <w:t>ю</w:t>
      </w:r>
      <w:r w:rsidR="00014A2B" w:rsidRPr="0010265B">
        <w:lastRenderedPageBreak/>
        <w:t>щей дискуссии в</w:t>
      </w:r>
      <w:r w:rsidR="00DB52B3" w:rsidRPr="0010265B">
        <w:t xml:space="preserve"> </w:t>
      </w:r>
      <w:r w:rsidR="00014A2B" w:rsidRPr="0010265B">
        <w:t xml:space="preserve">Комитете мог бы служить информационный документ </w:t>
      </w:r>
      <w:r w:rsidR="00DB52B3" w:rsidRPr="0010265B">
        <w:t>«</w:t>
      </w:r>
      <w:r w:rsidR="00014A2B" w:rsidRPr="0010265B">
        <w:t>Обзор процессов и мероприятий Подпрограммы по окружающей среде, которые обе</w:t>
      </w:r>
      <w:r w:rsidR="00014A2B" w:rsidRPr="0010265B">
        <w:t>с</w:t>
      </w:r>
      <w:r w:rsidR="00014A2B" w:rsidRPr="0010265B">
        <w:t>печивают странам поддержку в достижении целей устойчивого развития</w:t>
      </w:r>
      <w:r w:rsidR="00DB52B3" w:rsidRPr="0010265B">
        <w:t>»</w:t>
      </w:r>
      <w:r w:rsidR="00014A2B" w:rsidRPr="0010265B">
        <w:t xml:space="preserve"> (ECE/</w:t>
      </w:r>
      <w:r w:rsidR="0053076D" w:rsidRPr="0053076D">
        <w:t>BATUMI.</w:t>
      </w:r>
      <w:r w:rsidR="00014A2B" w:rsidRPr="0010265B">
        <w:t>CONF/2016/INF/1)</w:t>
      </w:r>
      <w:r w:rsidR="00014A2B" w:rsidRPr="007D1342">
        <w:rPr>
          <w:sz w:val="18"/>
          <w:vertAlign w:val="superscript"/>
        </w:rPr>
        <w:footnoteReference w:id="4"/>
      </w:r>
      <w:r w:rsidR="00014A2B" w:rsidRPr="0010265B">
        <w:t>, который был подготовлен</w:t>
      </w:r>
      <w:r w:rsidR="00DB52B3" w:rsidRPr="0010265B">
        <w:t xml:space="preserve"> </w:t>
      </w:r>
      <w:r w:rsidR="00014A2B" w:rsidRPr="0010265B">
        <w:t>для восьмой</w:t>
      </w:r>
      <w:r w:rsidR="00DB52B3" w:rsidRPr="0010265B">
        <w:t xml:space="preserve"> </w:t>
      </w:r>
      <w:r w:rsidR="00014A2B" w:rsidRPr="0010265B">
        <w:t>Ко</w:t>
      </w:r>
      <w:r w:rsidR="00014A2B" w:rsidRPr="0010265B">
        <w:t>н</w:t>
      </w:r>
      <w:r w:rsidR="00014A2B" w:rsidRPr="0010265B">
        <w:t xml:space="preserve">ференции министров </w:t>
      </w:r>
      <w:r w:rsidR="00DB52B3" w:rsidRPr="0010265B">
        <w:t>«</w:t>
      </w:r>
      <w:r w:rsidR="00014A2B" w:rsidRPr="0010265B">
        <w:t>Окружающая среда для Европы</w:t>
      </w:r>
      <w:proofErr w:type="gramEnd"/>
      <w:r w:rsidR="00DB52B3" w:rsidRPr="0010265B">
        <w:t>»</w:t>
      </w:r>
      <w:r w:rsidR="00014A2B" w:rsidRPr="0010265B">
        <w:t xml:space="preserve"> (</w:t>
      </w:r>
      <w:proofErr w:type="gramStart"/>
      <w:r w:rsidR="003A69AC" w:rsidRPr="003A69AC">
        <w:t>Батуми</w:t>
      </w:r>
      <w:r w:rsidR="0053076D">
        <w:t xml:space="preserve">, Грузия, </w:t>
      </w:r>
      <w:r w:rsidR="0053076D">
        <w:br/>
        <w:t>8–</w:t>
      </w:r>
      <w:r w:rsidR="00014A2B" w:rsidRPr="0010265B">
        <w:t>10 июня 2016 года).</w:t>
      </w:r>
      <w:proofErr w:type="gramEnd"/>
      <w:r w:rsidR="00014A2B" w:rsidRPr="0010265B">
        <w:t xml:space="preserve"> Кроме того, в 2017 году политический форум высокого уровня по устойчивому развитию, как ожидается, проведет углубленный обзор целей 1, 2, 3, 5, 9, 14 и 17</w:t>
      </w:r>
      <w:r w:rsidR="00014A2B" w:rsidRPr="007D1342">
        <w:rPr>
          <w:sz w:val="18"/>
          <w:vertAlign w:val="superscript"/>
        </w:rPr>
        <w:footnoteReference w:id="5"/>
      </w:r>
      <w:r w:rsidR="00014A2B" w:rsidRPr="0010265B">
        <w:t>.</w:t>
      </w:r>
      <w:r w:rsidR="00DB52B3" w:rsidRPr="0010265B">
        <w:t xml:space="preserve"> </w:t>
      </w:r>
      <w:r w:rsidR="00014A2B" w:rsidRPr="0010265B">
        <w:t>С учетом батумского документа</w:t>
      </w:r>
      <w:r w:rsidR="00DB52B3" w:rsidRPr="0010265B">
        <w:t xml:space="preserve"> </w:t>
      </w:r>
      <w:r w:rsidR="00014A2B" w:rsidRPr="0010265B">
        <w:t>и целей, выбранных для глобального обзора 2017 года, при обмене опытом на нынешней сессии можно было бы сосредоточиться на целях 3, 9 и 17, так как работа</w:t>
      </w:r>
      <w:r w:rsidR="00DB52B3" w:rsidRPr="0010265B">
        <w:t xml:space="preserve"> </w:t>
      </w:r>
      <w:r w:rsidR="00014A2B" w:rsidRPr="0010265B">
        <w:t>в рамках Подпрограммы ЕЭК по окружающей среде оказывает сильное влияние именно на эти цели. Заинтересованным странам предлагается заблаговременно инфо</w:t>
      </w:r>
      <w:r w:rsidR="00014A2B" w:rsidRPr="0010265B">
        <w:t>р</w:t>
      </w:r>
      <w:r w:rsidR="00014A2B" w:rsidRPr="0010265B">
        <w:t>мировать секретариат до начала сессии Комитета об их заинтересованности в обмене своим практическим опытом осуществления целей 3, 9 и 17.</w:t>
      </w:r>
    </w:p>
    <w:p w:rsidR="00014A2B" w:rsidRPr="0010265B" w:rsidRDefault="003A69AC" w:rsidP="00014A2B">
      <w:pPr>
        <w:pStyle w:val="SingleTxtGR"/>
      </w:pPr>
      <w:r>
        <w:t>9.</w:t>
      </w:r>
      <w:r w:rsidR="00014A2B" w:rsidRPr="0010265B">
        <w:tab/>
        <w:t>Кроме того, на своей двадцать первой сессии Комитет предложил стр</w:t>
      </w:r>
      <w:r w:rsidR="00014A2B" w:rsidRPr="0010265B">
        <w:t>а</w:t>
      </w:r>
      <w:r w:rsidR="00014A2B" w:rsidRPr="0010265B">
        <w:t>нам рассмотреть роль Комитета в осуществлении Повестки дня 2030 и продо</w:t>
      </w:r>
      <w:r w:rsidR="00014A2B" w:rsidRPr="0010265B">
        <w:t>л</w:t>
      </w:r>
      <w:r w:rsidR="00014A2B" w:rsidRPr="0010265B">
        <w:t>жить обсуждение этого вопроса на будущих совещаниях. Комитет, возможно, пожелает рассмотреть свою роль на нынешней сессии, а также предложить св</w:t>
      </w:r>
      <w:r w:rsidR="00014A2B" w:rsidRPr="0010265B">
        <w:t>о</w:t>
      </w:r>
      <w:r w:rsidR="00014A2B" w:rsidRPr="0010265B">
        <w:t>ему Президиуму подготовить при поддержке секретариата справочную записку для облегчения ее дальнейшего обсуждения на двадцать третьей сессии Ком</w:t>
      </w:r>
      <w:r w:rsidR="00014A2B" w:rsidRPr="0010265B">
        <w:t>и</w:t>
      </w:r>
      <w:r w:rsidR="00014A2B" w:rsidRPr="0010265B">
        <w:t>тета в ноябре 2017 года. Если Комитет</w:t>
      </w:r>
      <w:r w:rsidR="00DB52B3" w:rsidRPr="0010265B">
        <w:t xml:space="preserve"> </w:t>
      </w:r>
      <w:r w:rsidR="00014A2B" w:rsidRPr="0010265B">
        <w:t>примет такое решение, он мог бы обс</w:t>
      </w:r>
      <w:r w:rsidR="00014A2B" w:rsidRPr="0010265B">
        <w:t>у</w:t>
      </w:r>
      <w:r w:rsidR="00014A2B" w:rsidRPr="0010265B">
        <w:t>дить этот вопрос при пересмотре своего круга ведения (пункт 11 повестки дня).</w:t>
      </w:r>
    </w:p>
    <w:p w:rsidR="00014A2B" w:rsidRPr="0010265B" w:rsidRDefault="003A69AC" w:rsidP="00653AE3">
      <w:pPr>
        <w:pStyle w:val="H1GR"/>
      </w:pPr>
      <w:r>
        <w:tab/>
        <w:t>4.</w:t>
      </w:r>
      <w:r w:rsidR="00014A2B" w:rsidRPr="00653AE3">
        <w:tab/>
        <w:t>Многосторонние природоохранные соглашения</w:t>
      </w:r>
    </w:p>
    <w:p w:rsidR="00014A2B" w:rsidRPr="0010265B" w:rsidRDefault="003A69AC" w:rsidP="00014A2B">
      <w:pPr>
        <w:pStyle w:val="SingleTxtGR"/>
      </w:pPr>
      <w:r>
        <w:t>10.</w:t>
      </w:r>
      <w:r>
        <w:tab/>
      </w:r>
      <w:r w:rsidR="00014A2B" w:rsidRPr="0010265B">
        <w:t>На своей двадцать первой сессии Комитет приветствовал интерактивное обсуждение вопроса о том, как многосторонние природоохранные соглашения ЕЭК могли бы облегчить странам достижение целей устойчивого развития. К</w:t>
      </w:r>
      <w:r w:rsidR="00014A2B" w:rsidRPr="0010265B">
        <w:t>о</w:t>
      </w:r>
      <w:r w:rsidR="00014A2B" w:rsidRPr="0010265B">
        <w:t>митет принял в этой связи ряд решений, в том числе решение просить секрет</w:t>
      </w:r>
      <w:r w:rsidR="00014A2B" w:rsidRPr="0010265B">
        <w:t>а</w:t>
      </w:r>
      <w:r w:rsidR="00014A2B" w:rsidRPr="0010265B">
        <w:t xml:space="preserve">риат подготовить информационную записку к Конференции министров в </w:t>
      </w:r>
      <w:r>
        <w:t>Бат</w:t>
      </w:r>
      <w:r>
        <w:t>у</w:t>
      </w:r>
      <w:r>
        <w:t>ми</w:t>
      </w:r>
      <w:r w:rsidR="0053076D" w:rsidRPr="0053076D">
        <w:t>.</w:t>
      </w:r>
      <w:r>
        <w:t xml:space="preserve"> </w:t>
      </w:r>
      <w:r w:rsidR="00014A2B" w:rsidRPr="0010265B">
        <w:t>На своей специальной сессии в феврале 2016 года Комитет приветствовал проект записки</w:t>
      </w:r>
      <w:r w:rsidR="00DB52B3" w:rsidRPr="0010265B">
        <w:t xml:space="preserve"> </w:t>
      </w:r>
      <w:r w:rsidR="00014A2B" w:rsidRPr="0010265B">
        <w:t>об обзоре процессов и мероприятий Подпрограммы по окруж</w:t>
      </w:r>
      <w:r w:rsidR="00014A2B" w:rsidRPr="0010265B">
        <w:t>а</w:t>
      </w:r>
      <w:r w:rsidR="00014A2B" w:rsidRPr="0010265B">
        <w:t>ющей среде,</w:t>
      </w:r>
      <w:r w:rsidR="00DB52B3" w:rsidRPr="0010265B">
        <w:t xml:space="preserve"> </w:t>
      </w:r>
      <w:r w:rsidR="00014A2B" w:rsidRPr="0010265B">
        <w:t>обеспечивающих странам поддержку в достижении целей усто</w:t>
      </w:r>
      <w:r w:rsidR="00014A2B" w:rsidRPr="0010265B">
        <w:t>й</w:t>
      </w:r>
      <w:r w:rsidR="00014A2B" w:rsidRPr="0010265B">
        <w:t>чивого развития, который впоследствии был представлен на Батумской конф</w:t>
      </w:r>
      <w:r w:rsidR="00014A2B" w:rsidRPr="0010265B">
        <w:t>е</w:t>
      </w:r>
      <w:r w:rsidR="00014A2B" w:rsidRPr="0010265B">
        <w:t>ренции</w:t>
      </w:r>
      <w:r w:rsidR="00DB52B3" w:rsidRPr="0010265B">
        <w:t xml:space="preserve"> </w:t>
      </w:r>
      <w:r w:rsidR="00014A2B" w:rsidRPr="0010265B">
        <w:t>(ECE/</w:t>
      </w:r>
      <w:r w:rsidR="0053076D" w:rsidRPr="0053076D">
        <w:t>BATUMI.</w:t>
      </w:r>
      <w:r w:rsidR="00014A2B" w:rsidRPr="0010265B">
        <w:t>CONF/2016/INF/1)</w:t>
      </w:r>
      <w:r w:rsidR="00014A2B" w:rsidRPr="007D1342">
        <w:rPr>
          <w:sz w:val="18"/>
          <w:vertAlign w:val="superscript"/>
        </w:rPr>
        <w:footnoteReference w:id="6"/>
      </w:r>
      <w:r w:rsidR="00014A2B" w:rsidRPr="0010265B">
        <w:t xml:space="preserve">. </w:t>
      </w:r>
    </w:p>
    <w:p w:rsidR="00014A2B" w:rsidRPr="0010265B" w:rsidRDefault="003A69AC" w:rsidP="00014A2B">
      <w:pPr>
        <w:pStyle w:val="SingleTxtGR"/>
      </w:pPr>
      <w:r>
        <w:t>11.</w:t>
      </w:r>
      <w:r>
        <w:tab/>
      </w:r>
      <w:r w:rsidR="00014A2B" w:rsidRPr="0010265B">
        <w:t xml:space="preserve">В </w:t>
      </w:r>
      <w:r w:rsidRPr="003A69AC">
        <w:t>Батуми</w:t>
      </w:r>
      <w:r w:rsidR="00014A2B" w:rsidRPr="0010265B">
        <w:t xml:space="preserve"> министры и другие главы делегаций высоко оценили прогресс, достигнутый по линии многосторонних природоохранных соглашений ЕЭК, и признали необходимость активизации участия гражданского общества и час</w:t>
      </w:r>
      <w:r w:rsidR="00014A2B" w:rsidRPr="0010265B">
        <w:t>т</w:t>
      </w:r>
      <w:r w:rsidR="00014A2B" w:rsidRPr="0010265B">
        <w:t>ного сектора в их осуществлении. Министры предложили странам ратифицир</w:t>
      </w:r>
      <w:r w:rsidR="00014A2B" w:rsidRPr="0010265B">
        <w:t>о</w:t>
      </w:r>
      <w:r w:rsidR="00014A2B" w:rsidRPr="0010265B">
        <w:t>вать и осуществлять соответствующие многосторонние природоохранные</w:t>
      </w:r>
      <w:r w:rsidR="00DB52B3" w:rsidRPr="0010265B">
        <w:t xml:space="preserve"> </w:t>
      </w:r>
      <w:r w:rsidR="00014A2B" w:rsidRPr="0010265B">
        <w:t>с</w:t>
      </w:r>
      <w:r w:rsidR="00014A2B" w:rsidRPr="0010265B">
        <w:t>о</w:t>
      </w:r>
      <w:r w:rsidR="00014A2B" w:rsidRPr="0010265B">
        <w:t>глашения ЕЭК и выделять на них адекватные ресурсы. Они также признали</w:t>
      </w:r>
      <w:r w:rsidR="00DB52B3" w:rsidRPr="0010265B">
        <w:t xml:space="preserve"> </w:t>
      </w:r>
      <w:r w:rsidR="00014A2B" w:rsidRPr="0010265B">
        <w:lastRenderedPageBreak/>
        <w:t xml:space="preserve">обеспечиваемые этими соглашениями </w:t>
      </w:r>
      <w:proofErr w:type="gramStart"/>
      <w:r w:rsidR="00014A2B" w:rsidRPr="0010265B">
        <w:t>возможности осуществления Повестки дня</w:t>
      </w:r>
      <w:proofErr w:type="gramEnd"/>
      <w:r w:rsidR="00014A2B" w:rsidRPr="0010265B">
        <w:t xml:space="preserve"> 2030 (ECE/</w:t>
      </w:r>
      <w:r w:rsidR="0053076D" w:rsidRPr="0053076D">
        <w:t>BATUMI.</w:t>
      </w:r>
      <w:r w:rsidR="00014A2B" w:rsidRPr="0010265B">
        <w:t>CONF/2016/2/Add</w:t>
      </w:r>
      <w:r w:rsidR="0063416C">
        <w:t>.1, пункт</w:t>
      </w:r>
      <w:r w:rsidR="00014A2B" w:rsidRPr="0010265B">
        <w:t xml:space="preserve"> 8). </w:t>
      </w:r>
    </w:p>
    <w:p w:rsidR="00014A2B" w:rsidRPr="0010265B" w:rsidRDefault="00006B12" w:rsidP="00014A2B">
      <w:pPr>
        <w:pStyle w:val="SingleTxtGR"/>
      </w:pPr>
      <w:r>
        <w:t>12.</w:t>
      </w:r>
      <w:r w:rsidR="00014A2B" w:rsidRPr="0010265B">
        <w:tab/>
        <w:t>Комитету будет предложено провести обзор усилий по каждому из мн</w:t>
      </w:r>
      <w:r w:rsidR="00014A2B" w:rsidRPr="0010265B">
        <w:t>о</w:t>
      </w:r>
      <w:r w:rsidR="00014A2B" w:rsidRPr="0010265B">
        <w:t>госторонних природоохранных соглашений ЕЭК для определения их роли в осуществлении Повестки дня 2030. Председателям договорных органов будет предложено представить недавние примеры таких усилий и поделиться инфо</w:t>
      </w:r>
      <w:r w:rsidR="00014A2B" w:rsidRPr="0010265B">
        <w:t>р</w:t>
      </w:r>
      <w:r w:rsidR="00014A2B" w:rsidRPr="0010265B">
        <w:t>мацией об их деятельности и опытом, накопленным к настоящему времени. Т</w:t>
      </w:r>
      <w:r w:rsidR="00014A2B" w:rsidRPr="0010265B">
        <w:t>а</w:t>
      </w:r>
      <w:r w:rsidR="00014A2B" w:rsidRPr="0010265B">
        <w:t>кая деятельность может включать, в частности, корректировку программы р</w:t>
      </w:r>
      <w:r w:rsidR="00014A2B" w:rsidRPr="0010265B">
        <w:t>а</w:t>
      </w:r>
      <w:r w:rsidR="00014A2B" w:rsidRPr="0010265B">
        <w:t>боты по договору</w:t>
      </w:r>
      <w:r w:rsidR="00DB52B3" w:rsidRPr="0010265B">
        <w:t xml:space="preserve"> </w:t>
      </w:r>
      <w:r w:rsidR="00014A2B" w:rsidRPr="0010265B">
        <w:t>для поддержки осуществления Повестки дня 2030 и достиж</w:t>
      </w:r>
      <w:r w:rsidR="00014A2B" w:rsidRPr="0010265B">
        <w:t>е</w:t>
      </w:r>
      <w:r w:rsidR="00014A2B" w:rsidRPr="0010265B">
        <w:t xml:space="preserve">ния целей в области устойчивого развития. Комитет мог бы также рассмотреть эффективные подходы к укреплению сотрудничества между соответствующими секторами (например, </w:t>
      </w:r>
      <w:r w:rsidR="00DB52B3" w:rsidRPr="0010265B">
        <w:t>«</w:t>
      </w:r>
      <w:r w:rsidR="00014A2B" w:rsidRPr="0010265B">
        <w:t>нексусный</w:t>
      </w:r>
      <w:r w:rsidR="00DB52B3" w:rsidRPr="0010265B">
        <w:t>»</w:t>
      </w:r>
      <w:r w:rsidR="0063416C">
        <w:t xml:space="preserve"> подход), включая во</w:t>
      </w:r>
      <w:r w:rsidR="00014A2B" w:rsidRPr="0010265B">
        <w:t>просы эффективного вовлечения заинтересованных сторон и задействования межучрежденческих механизмов, которые имеют первостепенное значение для осуществления П</w:t>
      </w:r>
      <w:r w:rsidR="00014A2B" w:rsidRPr="0010265B">
        <w:t>о</w:t>
      </w:r>
      <w:r w:rsidR="00014A2B" w:rsidRPr="0010265B">
        <w:t xml:space="preserve">вестки дня 2030. </w:t>
      </w:r>
    </w:p>
    <w:p w:rsidR="00014A2B" w:rsidRPr="0010265B" w:rsidRDefault="00006B12" w:rsidP="00014A2B">
      <w:pPr>
        <w:pStyle w:val="SingleTxtGR"/>
      </w:pPr>
      <w:r>
        <w:t>13.</w:t>
      </w:r>
      <w:r w:rsidR="00014A2B" w:rsidRPr="0010265B">
        <w:tab/>
        <w:t>C опорой</w:t>
      </w:r>
      <w:r w:rsidR="00DB52B3" w:rsidRPr="0010265B">
        <w:t xml:space="preserve"> </w:t>
      </w:r>
      <w:r w:rsidR="00014A2B" w:rsidRPr="0010265B">
        <w:t>на опыт, наработанный на двадцать первой сессии, можно было бы организовать обсуждение вопроса о многосторонних природоохранных с</w:t>
      </w:r>
      <w:r w:rsidR="00014A2B" w:rsidRPr="0010265B">
        <w:t>о</w:t>
      </w:r>
      <w:r w:rsidR="00014A2B" w:rsidRPr="0010265B">
        <w:t>глашениях</w:t>
      </w:r>
      <w:r w:rsidR="00DB52B3" w:rsidRPr="0010265B">
        <w:t xml:space="preserve"> </w:t>
      </w:r>
      <w:r w:rsidR="00014A2B" w:rsidRPr="0010265B">
        <w:t xml:space="preserve">в виде дискуссии за круглым столом под руководством ведущего, с </w:t>
      </w:r>
      <w:proofErr w:type="gramStart"/>
      <w:r w:rsidR="00014A2B" w:rsidRPr="0010265B">
        <w:t>тем</w:t>
      </w:r>
      <w:proofErr w:type="gramEnd"/>
      <w:r w:rsidR="00014A2B" w:rsidRPr="0010265B">
        <w:t xml:space="preserve"> чтобы обсудить вышеуказанные вопросы при участии председателей дог</w:t>
      </w:r>
      <w:r w:rsidR="00014A2B" w:rsidRPr="0010265B">
        <w:t>о</w:t>
      </w:r>
      <w:r w:rsidR="00014A2B" w:rsidRPr="0010265B">
        <w:t>ворных органов и делегатов Комитета.</w:t>
      </w:r>
    </w:p>
    <w:p w:rsidR="00014A2B" w:rsidRPr="0010265B" w:rsidRDefault="00006B12" w:rsidP="00014A2B">
      <w:pPr>
        <w:pStyle w:val="SingleTxtGR"/>
      </w:pPr>
      <w:r>
        <w:t>14.</w:t>
      </w:r>
      <w:r>
        <w:tab/>
      </w:r>
      <w:r w:rsidR="00014A2B" w:rsidRPr="0010265B">
        <w:t>Кроме того, Комитет будет проинформирован об основных итогах неоф</w:t>
      </w:r>
      <w:r w:rsidR="00014A2B" w:rsidRPr="0010265B">
        <w:t>и</w:t>
      </w:r>
      <w:r w:rsidR="00014A2B" w:rsidRPr="0010265B">
        <w:t xml:space="preserve">циального совместного </w:t>
      </w:r>
      <w:proofErr w:type="gramStart"/>
      <w:r w:rsidR="00014A2B" w:rsidRPr="0010265B">
        <w:t>совещания</w:t>
      </w:r>
      <w:r w:rsidR="00DB52B3" w:rsidRPr="0010265B">
        <w:t xml:space="preserve"> </w:t>
      </w:r>
      <w:r w:rsidR="00014A2B" w:rsidRPr="0010265B">
        <w:t>представителей руководящих органов мн</w:t>
      </w:r>
      <w:r w:rsidR="00014A2B" w:rsidRPr="0010265B">
        <w:t>о</w:t>
      </w:r>
      <w:r w:rsidR="00014A2B" w:rsidRPr="0010265B">
        <w:t>госторонних природоохранных соглашений</w:t>
      </w:r>
      <w:proofErr w:type="gramEnd"/>
      <w:r w:rsidR="00014A2B" w:rsidRPr="0010265B">
        <w:t xml:space="preserve"> ЕЭК и Комитета по экологической политике (Женева, 24 января 2017 годы). </w:t>
      </w:r>
    </w:p>
    <w:p w:rsidR="00014A2B" w:rsidRPr="0010265B" w:rsidRDefault="00006B12" w:rsidP="00014A2B">
      <w:pPr>
        <w:pStyle w:val="SingleTxtGR"/>
      </w:pPr>
      <w:r>
        <w:t>15.</w:t>
      </w:r>
      <w:r w:rsidR="00014A2B" w:rsidRPr="0010265B">
        <w:tab/>
        <w:t>Комитет, возможно, пожелает рассмотреть представленную информацию.</w:t>
      </w:r>
    </w:p>
    <w:p w:rsidR="00014A2B" w:rsidRPr="0010265B" w:rsidRDefault="00006B12" w:rsidP="00653AE3">
      <w:pPr>
        <w:pStyle w:val="H1GR"/>
      </w:pPr>
      <w:r w:rsidRPr="00F04E36">
        <w:tab/>
      </w:r>
      <w:r w:rsidR="00014A2B" w:rsidRPr="00653AE3">
        <w:t>5.</w:t>
      </w:r>
      <w:r w:rsidR="00014A2B" w:rsidRPr="00653AE3">
        <w:tab/>
        <w:t xml:space="preserve">Последующие меры в связи с восьмой Конференцией министров </w:t>
      </w:r>
      <w:r w:rsidR="00DB52B3" w:rsidRPr="00653AE3">
        <w:t>«</w:t>
      </w:r>
      <w:r w:rsidR="00014A2B" w:rsidRPr="00653AE3">
        <w:t>Окружающая среда для Европы</w:t>
      </w:r>
      <w:r>
        <w:t>»</w:t>
      </w:r>
      <w:r w:rsidR="00014A2B" w:rsidRPr="00653AE3">
        <w:t xml:space="preserve"> и подготовка среднесрочного обзора ос</w:t>
      </w:r>
      <w:r>
        <w:t>новных итогов Конференции</w:t>
      </w:r>
    </w:p>
    <w:p w:rsidR="00014A2B" w:rsidRPr="0010265B" w:rsidRDefault="00006B12" w:rsidP="00014A2B">
      <w:pPr>
        <w:pStyle w:val="SingleTxtGR"/>
      </w:pPr>
      <w:r>
        <w:t>16.</w:t>
      </w:r>
      <w:r w:rsidR="00014A2B" w:rsidRPr="0010265B">
        <w:tab/>
        <w:t>Батумская конференция принесла ряд</w:t>
      </w:r>
      <w:r w:rsidR="00DB52B3" w:rsidRPr="0010265B">
        <w:t xml:space="preserve"> </w:t>
      </w:r>
      <w:r w:rsidR="00014A2B" w:rsidRPr="0010265B">
        <w:t xml:space="preserve">результатов, связанных с ее двумя главными темами, каковыми были </w:t>
      </w:r>
      <w:r w:rsidR="00DB52B3" w:rsidRPr="0010265B">
        <w:t>«</w:t>
      </w:r>
      <w:r w:rsidR="00014A2B" w:rsidRPr="0010265B">
        <w:t>Экологизация экономики в общеевропе</w:t>
      </w:r>
      <w:r w:rsidR="00014A2B" w:rsidRPr="0010265B">
        <w:t>й</w:t>
      </w:r>
      <w:r w:rsidR="00014A2B" w:rsidRPr="0010265B">
        <w:t>ском регионе</w:t>
      </w:r>
      <w:r w:rsidR="00DB52B3" w:rsidRPr="0010265B">
        <w:t>»</w:t>
      </w:r>
      <w:r w:rsidR="00014A2B" w:rsidRPr="0010265B">
        <w:t xml:space="preserve"> и </w:t>
      </w:r>
      <w:r w:rsidR="00DB52B3" w:rsidRPr="0010265B">
        <w:t>«</w:t>
      </w:r>
      <w:r w:rsidR="00014A2B" w:rsidRPr="0010265B">
        <w:t>Повышение качества воздуха для улучшения состояния окр</w:t>
      </w:r>
      <w:r w:rsidR="00014A2B" w:rsidRPr="0010265B">
        <w:t>у</w:t>
      </w:r>
      <w:r w:rsidR="00014A2B" w:rsidRPr="0010265B">
        <w:t>жающей среды и здоровья человека</w:t>
      </w:r>
      <w:r w:rsidR="00DB52B3" w:rsidRPr="0010265B">
        <w:t>»</w:t>
      </w:r>
      <w:r w:rsidR="00014A2B" w:rsidRPr="0010265B">
        <w:t>. Итоговыми документами Конференции являются Декларация министров (ECE/</w:t>
      </w:r>
      <w:r w:rsidR="0053076D" w:rsidRPr="0053076D">
        <w:t>BATUMI.</w:t>
      </w:r>
      <w:r w:rsidR="00014A2B" w:rsidRPr="0010265B">
        <w:t>CONF/2016/2/Add.1), резюме Председателя по итогам Конференции (ECE/</w:t>
      </w:r>
      <w:r w:rsidR="0053076D" w:rsidRPr="0053076D">
        <w:t>BATUMI.</w:t>
      </w:r>
      <w:r w:rsidR="00014A2B" w:rsidRPr="0010265B">
        <w:t>CONF/2016/2/Add.3) и доклад о работе Конференции (ECE/</w:t>
      </w:r>
      <w:r w:rsidR="0053076D" w:rsidRPr="0053076D">
        <w:t>BATUMI.</w:t>
      </w:r>
      <w:r w:rsidR="00014A2B" w:rsidRPr="0010265B">
        <w:t>CONF/2016/2). Результаты се</w:t>
      </w:r>
      <w:r w:rsidR="00014A2B" w:rsidRPr="0010265B">
        <w:t>г</w:t>
      </w:r>
      <w:r w:rsidR="00014A2B" w:rsidRPr="0010265B">
        <w:t>мента, посвященного образованию в интересах устойчивого развития, отраж</w:t>
      </w:r>
      <w:r w:rsidR="00014A2B" w:rsidRPr="0010265B">
        <w:t>е</w:t>
      </w:r>
      <w:r w:rsidR="00014A2B" w:rsidRPr="0010265B">
        <w:t>ны в Батумском заявлении министров об образовании в интересах устойчивого развития и в резюме сопредседателей сегмента Конференции, посвященного</w:t>
      </w:r>
      <w:r w:rsidR="00DB52B3" w:rsidRPr="0010265B">
        <w:t xml:space="preserve"> </w:t>
      </w:r>
      <w:r w:rsidR="00014A2B" w:rsidRPr="0010265B">
        <w:t>образованию в интересах у</w:t>
      </w:r>
      <w:r w:rsidR="003A69AC">
        <w:t>стойчивого развития (ECE/</w:t>
      </w:r>
      <w:r w:rsidR="0053076D" w:rsidRPr="0053076D">
        <w:t>BATUMI.</w:t>
      </w:r>
      <w:r w:rsidR="00014A2B" w:rsidRPr="0010265B">
        <w:t>CONF/2016/2/</w:t>
      </w:r>
      <w:r w:rsidR="003A69AC">
        <w:br/>
      </w:r>
      <w:r w:rsidR="00014A2B" w:rsidRPr="0010265B">
        <w:t xml:space="preserve">Add.2 и Add.4 соответственно). </w:t>
      </w:r>
    </w:p>
    <w:p w:rsidR="00014A2B" w:rsidRPr="0010265B" w:rsidRDefault="003A69AC" w:rsidP="00014A2B">
      <w:pPr>
        <w:pStyle w:val="SingleTxtGR"/>
      </w:pPr>
      <w:r>
        <w:t>17.</w:t>
      </w:r>
      <w:r>
        <w:tab/>
      </w:r>
      <w:r w:rsidR="00014A2B" w:rsidRPr="0010265B">
        <w:t>Секретариат получил</w:t>
      </w:r>
      <w:r w:rsidR="00DB52B3" w:rsidRPr="0010265B">
        <w:t xml:space="preserve"> </w:t>
      </w:r>
      <w:r w:rsidR="00014A2B" w:rsidRPr="0010265B">
        <w:t>от нескольких делегаций устные и письменные о</w:t>
      </w:r>
      <w:r w:rsidR="00014A2B" w:rsidRPr="0010265B">
        <w:t>т</w:t>
      </w:r>
      <w:r w:rsidR="00014A2B" w:rsidRPr="0010265B">
        <w:t>клики, в которых была высоко оценена успе</w:t>
      </w:r>
      <w:r w:rsidR="00006B12">
        <w:t>шная организация Конференции. В </w:t>
      </w:r>
      <w:r w:rsidR="00014A2B" w:rsidRPr="0010265B">
        <w:t>этой связи Комитет, возможно, пожелает рассмотреть вопрос о полезности</w:t>
      </w:r>
      <w:r w:rsidR="00DB52B3" w:rsidRPr="0010265B">
        <w:t xml:space="preserve"> </w:t>
      </w:r>
      <w:r w:rsidR="00014A2B" w:rsidRPr="0010265B">
        <w:t>проведения обследования по оценке уроков, извлеченных из процесса подг</w:t>
      </w:r>
      <w:r w:rsidR="00014A2B" w:rsidRPr="0010265B">
        <w:t>о</w:t>
      </w:r>
      <w:r w:rsidR="00014A2B" w:rsidRPr="0010265B">
        <w:t>товки, организации и проведения Батумской конференции. В дополнение к эт</w:t>
      </w:r>
      <w:r w:rsidR="00014A2B" w:rsidRPr="0010265B">
        <w:t>о</w:t>
      </w:r>
      <w:r w:rsidR="00014A2B" w:rsidRPr="0010265B">
        <w:t>му в ходе обследования можно было бы запросить любые другие мысли или предложения о путях дальнейшего совершенствования организации конфере</w:t>
      </w:r>
      <w:r w:rsidR="00014A2B" w:rsidRPr="0010265B">
        <w:t>н</w:t>
      </w:r>
      <w:r w:rsidR="00014A2B" w:rsidRPr="0010265B">
        <w:t>ций. Было бы полезно своевременно получить результаты такого обследования</w:t>
      </w:r>
      <w:r w:rsidR="00DB52B3" w:rsidRPr="0010265B">
        <w:t xml:space="preserve"> </w:t>
      </w:r>
      <w:r w:rsidR="00014A2B" w:rsidRPr="0010265B">
        <w:lastRenderedPageBreak/>
        <w:t>ко времени проведения</w:t>
      </w:r>
      <w:r w:rsidR="00DB52B3" w:rsidRPr="0010265B">
        <w:t xml:space="preserve"> </w:t>
      </w:r>
      <w:r w:rsidR="00014A2B" w:rsidRPr="0010265B">
        <w:t>двадцать третьей сессии Комитета в ноябре 2017 года с целью поддержки процесса подготовки к следующей конференции. Для обле</w:t>
      </w:r>
      <w:r w:rsidR="00014A2B" w:rsidRPr="0010265B">
        <w:t>г</w:t>
      </w:r>
      <w:r w:rsidR="00014A2B" w:rsidRPr="0010265B">
        <w:t>чения обсуждения в Комитете этого обследования секретариат в соответствии с рекомендацией Президиума</w:t>
      </w:r>
      <w:r w:rsidR="00DB52B3" w:rsidRPr="0010265B">
        <w:t xml:space="preserve"> </w:t>
      </w:r>
      <w:r w:rsidR="00014A2B" w:rsidRPr="0010265B">
        <w:t>подготовил для рассмотрения проект обследования (ECE/CEP/2017/L.3).</w:t>
      </w:r>
    </w:p>
    <w:p w:rsidR="00014A2B" w:rsidRPr="0010265B" w:rsidRDefault="00006B12" w:rsidP="00014A2B">
      <w:pPr>
        <w:pStyle w:val="SingleTxtGR"/>
      </w:pPr>
      <w:r>
        <w:t>18.</w:t>
      </w:r>
      <w:r>
        <w:tab/>
      </w:r>
      <w:r w:rsidR="00014A2B" w:rsidRPr="0010265B">
        <w:t xml:space="preserve">В своей Декларации министры предложили Комитету по экологической политике провести в 2018 году среднесрочный обзор для оценки прогресса в реализации основных итогов Батумской конференции. </w:t>
      </w:r>
      <w:proofErr w:type="gramStart"/>
      <w:r w:rsidR="00014A2B" w:rsidRPr="0010265B">
        <w:t>Среднесрочный обзор можно было бы организовать аналогично тому, как был организован средн</w:t>
      </w:r>
      <w:r w:rsidR="00014A2B" w:rsidRPr="0010265B">
        <w:t>е</w:t>
      </w:r>
      <w:r w:rsidR="00014A2B" w:rsidRPr="0010265B">
        <w:t>срочный обзор основных итогов Астанинской конференции</w:t>
      </w:r>
      <w:r w:rsidR="00DB52B3" w:rsidRPr="0010265B">
        <w:t xml:space="preserve"> </w:t>
      </w:r>
      <w:r>
        <w:t>2013 года (см. </w:t>
      </w:r>
      <w:r w:rsidR="00014A2B" w:rsidRPr="0010265B">
        <w:t>ЕСЕ/СЕР/2012/5)</w:t>
      </w:r>
      <w:r w:rsidR="00014A2B" w:rsidRPr="007D1342">
        <w:rPr>
          <w:sz w:val="18"/>
          <w:vertAlign w:val="superscript"/>
        </w:rPr>
        <w:footnoteReference w:id="7"/>
      </w:r>
      <w:r w:rsidR="00014A2B" w:rsidRPr="0010265B">
        <w:t>, с учетом уроков, извлеченных из этого обзора (</w:t>
      </w:r>
      <w:r w:rsidR="00D16F9B">
        <w:t>см. </w:t>
      </w:r>
      <w:r w:rsidR="00014A2B" w:rsidRPr="0010265B">
        <w:t>ECE/CEP/2014/10)</w:t>
      </w:r>
      <w:r w:rsidR="00014A2B" w:rsidRPr="007D1342">
        <w:rPr>
          <w:sz w:val="18"/>
          <w:vertAlign w:val="superscript"/>
        </w:rPr>
        <w:footnoteReference w:id="8"/>
      </w:r>
      <w:r w:rsidR="00014A2B" w:rsidRPr="0010265B">
        <w:t>.</w:t>
      </w:r>
      <w:r w:rsidR="00DB52B3" w:rsidRPr="0010265B">
        <w:t xml:space="preserve"> </w:t>
      </w:r>
      <w:r w:rsidR="00014A2B" w:rsidRPr="0010265B">
        <w:t>Комитет, возможно, пожелает рассмотреть вопрос о том, чтобы</w:t>
      </w:r>
      <w:r w:rsidR="00DB52B3" w:rsidRPr="0010265B">
        <w:t xml:space="preserve"> </w:t>
      </w:r>
      <w:r w:rsidR="00014A2B" w:rsidRPr="0010265B">
        <w:t>просить Президиум подготовить при поддержке секретариата док</w:t>
      </w:r>
      <w:r w:rsidR="00014A2B" w:rsidRPr="0010265B">
        <w:t>у</w:t>
      </w:r>
      <w:r w:rsidR="00014A2B" w:rsidRPr="0010265B">
        <w:t>мент с предложениями относительно</w:t>
      </w:r>
      <w:r w:rsidR="00DB52B3" w:rsidRPr="0010265B">
        <w:t xml:space="preserve"> </w:t>
      </w:r>
      <w:r w:rsidR="00014A2B" w:rsidRPr="0010265B">
        <w:t>охвата, формата и порядка</w:t>
      </w:r>
      <w:r w:rsidR="00DB52B3" w:rsidRPr="0010265B">
        <w:t xml:space="preserve"> </w:t>
      </w:r>
      <w:r w:rsidR="00014A2B" w:rsidRPr="0010265B">
        <w:t>организации среднесрочного</w:t>
      </w:r>
      <w:proofErr w:type="gramEnd"/>
      <w:r w:rsidR="00014A2B" w:rsidRPr="0010265B">
        <w:t xml:space="preserve"> обзора, который мог бы быть обсужден Комитетом на его дв</w:t>
      </w:r>
      <w:r w:rsidR="00014A2B" w:rsidRPr="0010265B">
        <w:t>а</w:t>
      </w:r>
      <w:r w:rsidR="00014A2B" w:rsidRPr="0010265B">
        <w:t>дцать третьей сессии.</w:t>
      </w:r>
    </w:p>
    <w:p w:rsidR="00014A2B" w:rsidRPr="0010265B" w:rsidRDefault="00014A2B" w:rsidP="00014A2B">
      <w:pPr>
        <w:pStyle w:val="SingleTxtGR"/>
      </w:pPr>
      <w:r w:rsidRPr="0010265B">
        <w:t>19.</w:t>
      </w:r>
      <w:r w:rsidRPr="0010265B">
        <w:tab/>
        <w:t>Заинтересованные страны и организации могут также пожелать воспол</w:t>
      </w:r>
      <w:r w:rsidRPr="0010265B">
        <w:t>ь</w:t>
      </w:r>
      <w:r w:rsidRPr="0010265B">
        <w:t>зоваться нынешней сессией Комитета для того, чтобы поделиться своим оп</w:t>
      </w:r>
      <w:r w:rsidRPr="0010265B">
        <w:t>ы</w:t>
      </w:r>
      <w:r w:rsidRPr="0010265B">
        <w:t>том и информацией об уроках, извлеченных из использования Панъевропе</w:t>
      </w:r>
      <w:r w:rsidRPr="0010265B">
        <w:t>й</w:t>
      </w:r>
      <w:r w:rsidRPr="0010265B">
        <w:t>ских стратегических рамок</w:t>
      </w:r>
      <w:r w:rsidR="00DB52B3" w:rsidRPr="0010265B">
        <w:t xml:space="preserve"> </w:t>
      </w:r>
      <w:r w:rsidRPr="0010265B">
        <w:t>экологизации экономики. Хотя первый обзор пр</w:t>
      </w:r>
      <w:r w:rsidRPr="0010265B">
        <w:t>о</w:t>
      </w:r>
      <w:r w:rsidRPr="0010265B">
        <w:t xml:space="preserve">гресса будет проведен в 2018 году, страны и организации, которые участвуют в Батумской инициативе по </w:t>
      </w:r>
      <w:r w:rsidR="00DB52B3" w:rsidRPr="0010265B">
        <w:t>«</w:t>
      </w:r>
      <w:r w:rsidRPr="0010265B">
        <w:t>зеленой экономике</w:t>
      </w:r>
      <w:r w:rsidR="00DB52B3" w:rsidRPr="0010265B">
        <w:t>»</w:t>
      </w:r>
      <w:r w:rsidRPr="0010265B">
        <w:t xml:space="preserve"> (БИЗ-Э), могут, воспользова</w:t>
      </w:r>
      <w:r w:rsidRPr="0010265B">
        <w:t>в</w:t>
      </w:r>
      <w:r w:rsidRPr="0010265B">
        <w:t>шись</w:t>
      </w:r>
      <w:r w:rsidR="00DB52B3" w:rsidRPr="0010265B">
        <w:t xml:space="preserve"> </w:t>
      </w:r>
      <w:r w:rsidRPr="0010265B">
        <w:t>ею, поделиться первоначальным опытом осуществления своих добр</w:t>
      </w:r>
      <w:r w:rsidRPr="0010265B">
        <w:t>о</w:t>
      </w:r>
      <w:r w:rsidRPr="0010265B">
        <w:t>вольных обязательств по экологизации экономики. Заинтересованным странам и организациям предлагается заблаговременно проинформировать секретариат до начала сессии Комитета о своей заинтересованности в представлении их практического опыта. Двадцать вторая сессия могла бы также стать удобным случаем для присоединения к БИЗ-Э путем представления добровольных обяз</w:t>
      </w:r>
      <w:r w:rsidRPr="0010265B">
        <w:t>а</w:t>
      </w:r>
      <w:r w:rsidRPr="0010265B">
        <w:t>тельств новых стран</w:t>
      </w:r>
      <w:r w:rsidR="00DB52B3" w:rsidRPr="0010265B">
        <w:t xml:space="preserve"> </w:t>
      </w:r>
      <w:r w:rsidRPr="0010265B">
        <w:t>и организаций.</w:t>
      </w:r>
    </w:p>
    <w:p w:rsidR="00014A2B" w:rsidRPr="0010265B" w:rsidRDefault="00014A2B" w:rsidP="00014A2B">
      <w:pPr>
        <w:pStyle w:val="SingleTxtGR"/>
      </w:pPr>
      <w:r w:rsidRPr="0010265B">
        <w:t>20.</w:t>
      </w:r>
      <w:r w:rsidRPr="0010265B">
        <w:tab/>
        <w:t xml:space="preserve"> </w:t>
      </w:r>
      <w:proofErr w:type="gramStart"/>
      <w:r w:rsidRPr="0010265B">
        <w:t>Кроме того, Комитет, возможно, пожелает рассмотреть вопрос об эффе</w:t>
      </w:r>
      <w:r w:rsidRPr="0010265B">
        <w:t>к</w:t>
      </w:r>
      <w:r w:rsidRPr="0010265B">
        <w:t>тивных условиях осуществления Стратегических рамок и БИЗ-Э, а также о р</w:t>
      </w:r>
      <w:r w:rsidRPr="0010265B">
        <w:t>е</w:t>
      </w:r>
      <w:r w:rsidRPr="0010265B">
        <w:t>гулярном мониторинге прогрес</w:t>
      </w:r>
      <w:r w:rsidR="003A69AC">
        <w:t>са в их осуществлении (см. ECE/</w:t>
      </w:r>
      <w:r w:rsidR="0053076D" w:rsidRPr="0053076D">
        <w:t>BATUMI.</w:t>
      </w:r>
      <w:proofErr w:type="gramEnd"/>
      <w:r w:rsidR="00006B12">
        <w:br/>
      </w:r>
      <w:proofErr w:type="gramStart"/>
      <w:r w:rsidRPr="0010265B">
        <w:t>CONF/2016/6, пункт 15).</w:t>
      </w:r>
      <w:proofErr w:type="gramEnd"/>
      <w:r w:rsidRPr="0010265B">
        <w:t xml:space="preserve"> Эти условия будут способствовать</w:t>
      </w:r>
      <w:r w:rsidR="00DB52B3" w:rsidRPr="0010265B">
        <w:t xml:space="preserve"> </w:t>
      </w:r>
      <w:r w:rsidRPr="0010265B">
        <w:t>работе Комитета, в частности созданию возможностей обмена опытом и ноу-хау, выявлению пр</w:t>
      </w:r>
      <w:r w:rsidRPr="0010265B">
        <w:t>о</w:t>
      </w:r>
      <w:r w:rsidRPr="0010265B">
        <w:t>блем и потребностей в развитии потенциала, облегчению партнерства, монит</w:t>
      </w:r>
      <w:r w:rsidRPr="0010265B">
        <w:t>о</w:t>
      </w:r>
      <w:r w:rsidRPr="0010265B">
        <w:t>рингу прогресса и принятию решений о будущей деятельности. Можно было бы схематически сопоставить</w:t>
      </w:r>
      <w:r w:rsidR="00DB52B3" w:rsidRPr="0010265B">
        <w:t xml:space="preserve"> </w:t>
      </w:r>
      <w:r w:rsidRPr="0010265B">
        <w:t xml:space="preserve">актуальную деятельность важнейших партнеров по </w:t>
      </w:r>
      <w:r w:rsidR="00DB52B3" w:rsidRPr="0010265B">
        <w:t>«</w:t>
      </w:r>
      <w:r w:rsidRPr="0010265B">
        <w:t>зеленой</w:t>
      </w:r>
      <w:r w:rsidR="00DB52B3" w:rsidRPr="0010265B">
        <w:t>»</w:t>
      </w:r>
      <w:r w:rsidRPr="0010265B">
        <w:t xml:space="preserve"> экономике с целью усиления синергизма и обеспечения эффективной координации в интересах поддержки усилий, предпринимаемых странами. Предлагаемые условия могли бы включать проведение обсуждений в ходе оч</w:t>
      </w:r>
      <w:r w:rsidRPr="0010265B">
        <w:t>е</w:t>
      </w:r>
      <w:r w:rsidRPr="0010265B">
        <w:t>редных сессий Комитета наряду с возможными дополнительными мероприят</w:t>
      </w:r>
      <w:r w:rsidRPr="0010265B">
        <w:t>и</w:t>
      </w:r>
      <w:r w:rsidRPr="0010265B">
        <w:t>ями (семинары, рабочие совещания), которые могут быть организованы во вр</w:t>
      </w:r>
      <w:r w:rsidRPr="0010265B">
        <w:t>е</w:t>
      </w:r>
      <w:r w:rsidRPr="0010265B">
        <w:t>мя таких сессий Комитета. Комитет, возможно, пожелает поручить Президиуму разработать при поддержке ЕЭК и Программы Организации Объединенных Наций по окружающей среде (ЮНЕП) и в сотрудничестве с другими партнер</w:t>
      </w:r>
      <w:r w:rsidRPr="0010265B">
        <w:t>а</w:t>
      </w:r>
      <w:r w:rsidRPr="0010265B">
        <w:t>ми</w:t>
      </w:r>
      <w:r w:rsidR="00DB52B3" w:rsidRPr="0010265B">
        <w:t xml:space="preserve"> </w:t>
      </w:r>
      <w:r w:rsidRPr="0010265B">
        <w:t>предложение в отношении таких условий, которое должно быть представл</w:t>
      </w:r>
      <w:r w:rsidRPr="0010265B">
        <w:t>е</w:t>
      </w:r>
      <w:r w:rsidRPr="0010265B">
        <w:t>но для рассмотрения Комитетом на его следующей сессии.</w:t>
      </w:r>
    </w:p>
    <w:p w:rsidR="00014A2B" w:rsidRPr="0010265B" w:rsidRDefault="00006B12" w:rsidP="00014A2B">
      <w:pPr>
        <w:pStyle w:val="SingleTxtGR"/>
      </w:pPr>
      <w:r>
        <w:lastRenderedPageBreak/>
        <w:t>21.</w:t>
      </w:r>
      <w:r>
        <w:tab/>
      </w:r>
      <w:proofErr w:type="gramStart"/>
      <w:r w:rsidR="00014A2B" w:rsidRPr="0010265B">
        <w:t>В этой связи Комитет может также при целесообразности пожелать ра</w:t>
      </w:r>
      <w:r w:rsidR="00014A2B" w:rsidRPr="0010265B">
        <w:t>с</w:t>
      </w:r>
      <w:r w:rsidR="00014A2B" w:rsidRPr="0010265B">
        <w:t>смотреть</w:t>
      </w:r>
      <w:r w:rsidR="00DB52B3" w:rsidRPr="0010265B">
        <w:t xml:space="preserve"> </w:t>
      </w:r>
      <w:r w:rsidR="00014A2B" w:rsidRPr="0010265B">
        <w:t>возможность пропаганды БИЗ-Э в других секторальных комитетах ЕЭК</w:t>
      </w:r>
      <w:r w:rsidR="00014A2B" w:rsidRPr="007D1342">
        <w:rPr>
          <w:sz w:val="18"/>
          <w:vertAlign w:val="superscript"/>
        </w:rPr>
        <w:footnoteReference w:id="9"/>
      </w:r>
      <w:r w:rsidR="00014A2B" w:rsidRPr="0010265B">
        <w:t xml:space="preserve"> и руководящих органах, а также изучения их потенциальной заинтерес</w:t>
      </w:r>
      <w:r w:rsidR="00014A2B" w:rsidRPr="0010265B">
        <w:t>о</w:t>
      </w:r>
      <w:r w:rsidR="00014A2B" w:rsidRPr="0010265B">
        <w:t>ванности</w:t>
      </w:r>
      <w:r w:rsidR="00DB52B3" w:rsidRPr="0010265B">
        <w:t xml:space="preserve"> </w:t>
      </w:r>
      <w:r w:rsidR="00014A2B" w:rsidRPr="0010265B">
        <w:t xml:space="preserve">(как органов) в участии в БИЗ-Э в форме представления информации о действиях, относящихся к </w:t>
      </w:r>
      <w:r w:rsidR="00DB52B3" w:rsidRPr="0010265B">
        <w:t>«</w:t>
      </w:r>
      <w:r w:rsidR="00014A2B" w:rsidRPr="0010265B">
        <w:t>зеленой</w:t>
      </w:r>
      <w:r w:rsidR="00DB52B3" w:rsidRPr="0010265B">
        <w:t>»</w:t>
      </w:r>
      <w:r w:rsidR="00014A2B" w:rsidRPr="0010265B">
        <w:t xml:space="preserve"> экономике, и участия в подготовке и представлении отчетности об их осуществлении.</w:t>
      </w:r>
      <w:proofErr w:type="gramEnd"/>
    </w:p>
    <w:p w:rsidR="00014A2B" w:rsidRPr="0010265B" w:rsidRDefault="00006B12" w:rsidP="00653AE3">
      <w:pPr>
        <w:pStyle w:val="H1GR"/>
      </w:pPr>
      <w:r>
        <w:tab/>
        <w:t>6.</w:t>
      </w:r>
      <w:r>
        <w:tab/>
      </w:r>
      <w:proofErr w:type="gramStart"/>
      <w:r w:rsidR="00014A2B" w:rsidRPr="0010265B">
        <w:t>Экологические</w:t>
      </w:r>
      <w:proofErr w:type="gramEnd"/>
      <w:r w:rsidR="00014A2B" w:rsidRPr="0010265B">
        <w:t xml:space="preserve"> мониторинг, оценка и отчетность</w:t>
      </w:r>
    </w:p>
    <w:p w:rsidR="00014A2B" w:rsidRPr="0010265B" w:rsidRDefault="00006B12" w:rsidP="00014A2B">
      <w:pPr>
        <w:pStyle w:val="SingleTxtGR"/>
      </w:pPr>
      <w:r>
        <w:t>22.</w:t>
      </w:r>
      <w:r>
        <w:tab/>
      </w:r>
      <w:r w:rsidR="00014A2B" w:rsidRPr="0010265B">
        <w:t>На своей двадцать первой сессии Комитет поручил Рабочей группе по мониторингу и оценке окружающей среды рассмотреть прогресс в формиров</w:t>
      </w:r>
      <w:r w:rsidR="00014A2B" w:rsidRPr="0010265B">
        <w:t>а</w:t>
      </w:r>
      <w:r w:rsidR="00014A2B" w:rsidRPr="0010265B">
        <w:t>нии Общей системы экологической информации</w:t>
      </w:r>
      <w:r w:rsidR="00DB52B3" w:rsidRPr="0010265B">
        <w:t xml:space="preserve"> </w:t>
      </w:r>
      <w:r w:rsidR="00014A2B" w:rsidRPr="0010265B">
        <w:t>(СЕИС)</w:t>
      </w:r>
      <w:r w:rsidR="00DB52B3" w:rsidRPr="0010265B">
        <w:t xml:space="preserve"> </w:t>
      </w:r>
      <w:r w:rsidR="00014A2B" w:rsidRPr="0010265B">
        <w:t>на основе принятых целевых показателей и индикаторов результативности с целью подготовки д</w:t>
      </w:r>
      <w:r w:rsidR="00014A2B" w:rsidRPr="0010265B">
        <w:t>о</w:t>
      </w:r>
      <w:r w:rsidR="00014A2B" w:rsidRPr="0010265B">
        <w:t>клада об оценке для Батумской конференции. Комитет также утвердил возо</w:t>
      </w:r>
      <w:r w:rsidR="00014A2B" w:rsidRPr="0010265B">
        <w:t>б</w:t>
      </w:r>
      <w:r w:rsidR="00014A2B" w:rsidRPr="0010265B">
        <w:t>новленные мандат и круг ведения Рабочей группы до нынешней сессии и пр</w:t>
      </w:r>
      <w:r w:rsidR="00014A2B" w:rsidRPr="0010265B">
        <w:t>о</w:t>
      </w:r>
      <w:r w:rsidR="00014A2B" w:rsidRPr="0010265B">
        <w:t>сил секретариат подготовить обновленное предложение по кругу ведения Раб</w:t>
      </w:r>
      <w:r w:rsidR="00014A2B" w:rsidRPr="0010265B">
        <w:t>о</w:t>
      </w:r>
      <w:r w:rsidR="00014A2B" w:rsidRPr="0010265B">
        <w:t>чей группы для рассмотрения на нынешней сессии. В предложении</w:t>
      </w:r>
      <w:r w:rsidR="00DB52B3" w:rsidRPr="0010265B">
        <w:t xml:space="preserve"> </w:t>
      </w:r>
      <w:r w:rsidR="00014A2B" w:rsidRPr="0010265B">
        <w:t>должны были быть приняты во внимание итоги Батумской</w:t>
      </w:r>
      <w:r w:rsidR="00DB52B3" w:rsidRPr="0010265B">
        <w:t xml:space="preserve"> </w:t>
      </w:r>
      <w:r w:rsidR="00014A2B" w:rsidRPr="0010265B">
        <w:t>конференции</w:t>
      </w:r>
      <w:r w:rsidR="00DB52B3" w:rsidRPr="0010265B">
        <w:t xml:space="preserve"> </w:t>
      </w:r>
      <w:r w:rsidR="00014A2B" w:rsidRPr="0010265B">
        <w:t>и дальнейших консультаций с членами Комитета и наблюдателями относительно возможной дополнительной деятельности, которая должна осуществляться Рабочей гру</w:t>
      </w:r>
      <w:r w:rsidR="00014A2B" w:rsidRPr="0010265B">
        <w:t>п</w:t>
      </w:r>
      <w:r w:rsidR="00014A2B" w:rsidRPr="0010265B">
        <w:t>пой. В проект круга ведения должно было быть</w:t>
      </w:r>
      <w:r w:rsidR="00DB52B3" w:rsidRPr="0010265B">
        <w:t xml:space="preserve"> </w:t>
      </w:r>
      <w:r w:rsidR="00014A2B" w:rsidRPr="0010265B">
        <w:t>включено и положение, согла</w:t>
      </w:r>
      <w:r w:rsidR="00014A2B" w:rsidRPr="0010265B">
        <w:t>с</w:t>
      </w:r>
      <w:r w:rsidR="00014A2B" w:rsidRPr="0010265B">
        <w:t>но которому</w:t>
      </w:r>
      <w:r w:rsidR="00DB52B3" w:rsidRPr="0010265B">
        <w:t xml:space="preserve"> </w:t>
      </w:r>
      <w:r w:rsidR="00014A2B" w:rsidRPr="0010265B">
        <w:t>Рабочая группа должна отчитываться о деятельности по расшир</w:t>
      </w:r>
      <w:r w:rsidR="00014A2B" w:rsidRPr="0010265B">
        <w:t>е</w:t>
      </w:r>
      <w:r w:rsidR="00014A2B" w:rsidRPr="0010265B">
        <w:t>нию сотрудничества с Совместной целевой группой по экологической стат</w:t>
      </w:r>
      <w:r w:rsidR="00014A2B" w:rsidRPr="0010265B">
        <w:t>и</w:t>
      </w:r>
      <w:r w:rsidR="00014A2B" w:rsidRPr="0010265B">
        <w:t>стике и показателям с целью усиления координации деятельности и рационал</w:t>
      </w:r>
      <w:r w:rsidR="00014A2B" w:rsidRPr="0010265B">
        <w:t>и</w:t>
      </w:r>
      <w:r w:rsidR="00014A2B" w:rsidRPr="0010265B">
        <w:t>зации и укрепления работы по мониторингу и оценке окружающей среды. И</w:t>
      </w:r>
      <w:r w:rsidR="00014A2B" w:rsidRPr="0010265B">
        <w:t>с</w:t>
      </w:r>
      <w:r w:rsidR="00014A2B" w:rsidRPr="0010265B">
        <w:t>полнительный Комитет ЕЭК утвердил возобновленные мандат и круг ведения Рабочей группы на 2016 год на своем совещании 10 мая 2016 года в Женеве (ECE/EX/2016/L.11).</w:t>
      </w:r>
    </w:p>
    <w:p w:rsidR="00014A2B" w:rsidRPr="0010265B" w:rsidRDefault="00006B12" w:rsidP="00014A2B">
      <w:pPr>
        <w:pStyle w:val="SingleTxtGR"/>
      </w:pPr>
      <w:r>
        <w:t>23.</w:t>
      </w:r>
      <w:r w:rsidR="00014A2B" w:rsidRPr="0010265B">
        <w:tab/>
      </w:r>
      <w:proofErr w:type="gramStart"/>
      <w:r w:rsidR="00014A2B" w:rsidRPr="0010265B">
        <w:t xml:space="preserve">В </w:t>
      </w:r>
      <w:r w:rsidR="003A69AC" w:rsidRPr="003A69AC">
        <w:t>Батуми</w:t>
      </w:r>
      <w:r w:rsidR="00014A2B" w:rsidRPr="0010265B">
        <w:t xml:space="preserve"> министры приветствовали прогресс в развитии</w:t>
      </w:r>
      <w:r w:rsidR="00DB52B3" w:rsidRPr="0010265B">
        <w:t xml:space="preserve"> </w:t>
      </w:r>
      <w:r w:rsidR="00014A2B" w:rsidRPr="0010265B">
        <w:t>Общей системы экологической информации для поддержки регулярного процесса экологич</w:t>
      </w:r>
      <w:r w:rsidR="00014A2B" w:rsidRPr="0010265B">
        <w:t>е</w:t>
      </w:r>
      <w:r w:rsidR="00014A2B" w:rsidRPr="0010265B">
        <w:t>ской оценки и предложили странам продолжать свои усилия и далее развивать свои национальные информационные системы таким образом, чтобы Общая с</w:t>
      </w:r>
      <w:r w:rsidR="00014A2B" w:rsidRPr="0010265B">
        <w:t>и</w:t>
      </w:r>
      <w:r w:rsidR="00014A2B" w:rsidRPr="0010265B">
        <w:t>стема экологической информации имелась в наличии</w:t>
      </w:r>
      <w:r w:rsidR="00DB52B3" w:rsidRPr="0010265B">
        <w:t xml:space="preserve"> </w:t>
      </w:r>
      <w:r w:rsidR="00014A2B" w:rsidRPr="0010265B">
        <w:t>в странах Европы и Це</w:t>
      </w:r>
      <w:r w:rsidR="00014A2B" w:rsidRPr="0010265B">
        <w:t>н</w:t>
      </w:r>
      <w:r w:rsidR="00014A2B" w:rsidRPr="0010265B">
        <w:t>тральной Азии к 2021 году.</w:t>
      </w:r>
      <w:proofErr w:type="gramEnd"/>
      <w:r w:rsidR="00014A2B" w:rsidRPr="0010265B">
        <w:t xml:space="preserve"> В этой связи министры отметили значение </w:t>
      </w:r>
      <w:r w:rsidR="00DB52B3" w:rsidRPr="0010265B">
        <w:t>«</w:t>
      </w:r>
      <w:r w:rsidR="00014A2B" w:rsidRPr="0010265B">
        <w:t>ЮНЕП в прямом включении</w:t>
      </w:r>
      <w:r w:rsidR="00DB52B3" w:rsidRPr="0010265B">
        <w:t>»</w:t>
      </w:r>
      <w:r w:rsidR="00014A2B" w:rsidRPr="0010265B">
        <w:t xml:space="preserve"> и Группы по наблюдениям за Землей в качестве глобал</w:t>
      </w:r>
      <w:r w:rsidR="00014A2B" w:rsidRPr="0010265B">
        <w:t>ь</w:t>
      </w:r>
      <w:r w:rsidR="00014A2B" w:rsidRPr="0010265B">
        <w:t>ных платформ по обмену знаниями. Кроме того, министры приветствовали пр</w:t>
      </w:r>
      <w:r w:rsidR="00014A2B" w:rsidRPr="0010265B">
        <w:t>е</w:t>
      </w:r>
      <w:r w:rsidR="00014A2B" w:rsidRPr="0010265B">
        <w:t>зентацию европейской региональной оценки в рамках Глобальной экологич</w:t>
      </w:r>
      <w:r w:rsidR="00014A2B" w:rsidRPr="0010265B">
        <w:t>е</w:t>
      </w:r>
      <w:r w:rsidR="00014A2B" w:rsidRPr="0010265B">
        <w:t xml:space="preserve">ской перспективы как очередной общеевропейской экологической оценки. </w:t>
      </w:r>
    </w:p>
    <w:p w:rsidR="00014A2B" w:rsidRPr="0010265B" w:rsidRDefault="00006B12" w:rsidP="00014A2B">
      <w:pPr>
        <w:pStyle w:val="SingleTxtGR"/>
      </w:pPr>
      <w:r>
        <w:t>24.</w:t>
      </w:r>
      <w:r w:rsidR="00014A2B" w:rsidRPr="0010265B">
        <w:tab/>
        <w:t>Комитет будет проинформирован об итогах восемнадцатого совещания Рабоч</w:t>
      </w:r>
      <w:r>
        <w:t>ей группы (Женева, 28–</w:t>
      </w:r>
      <w:r w:rsidR="00014A2B" w:rsidRPr="0010265B">
        <w:t xml:space="preserve">29 июня 2016 </w:t>
      </w:r>
      <w:r w:rsidR="00014A2B" w:rsidRPr="00006B12">
        <w:t>года)</w:t>
      </w:r>
      <w:r w:rsidR="00014A2B" w:rsidRPr="00006B12">
        <w:rPr>
          <w:sz w:val="18"/>
          <w:vertAlign w:val="superscript"/>
        </w:rPr>
        <w:footnoteReference w:id="10"/>
      </w:r>
      <w:r w:rsidRPr="00006B12">
        <w:t xml:space="preserve">, </w:t>
      </w:r>
      <w:r w:rsidR="00014A2B" w:rsidRPr="00006B12">
        <w:t>и ем</w:t>
      </w:r>
      <w:r w:rsidR="00014A2B" w:rsidRPr="0010265B">
        <w:t>у будет предложено ра</w:t>
      </w:r>
      <w:r w:rsidR="00014A2B" w:rsidRPr="0010265B">
        <w:t>с</w:t>
      </w:r>
      <w:r w:rsidR="00014A2B" w:rsidRPr="0010265B">
        <w:t>смотреть пересмотренные мандат и круг ведения Рабочей группы с целью их возможного утверждения (ECE/CEP/2017/3).</w:t>
      </w:r>
    </w:p>
    <w:p w:rsidR="00014A2B" w:rsidRPr="0010265B" w:rsidRDefault="00006B12" w:rsidP="00014A2B">
      <w:pPr>
        <w:pStyle w:val="SingleTxtGR"/>
      </w:pPr>
      <w:r>
        <w:t>25.</w:t>
      </w:r>
      <w:r>
        <w:tab/>
      </w:r>
      <w:r w:rsidR="00014A2B" w:rsidRPr="0010265B">
        <w:t>Кроме того, на своей двадцать первой сессии Комитет утвердил возо</w:t>
      </w:r>
      <w:r w:rsidR="00014A2B" w:rsidRPr="0010265B">
        <w:t>б</w:t>
      </w:r>
      <w:r w:rsidR="00014A2B" w:rsidRPr="0010265B">
        <w:t>новленный мандат бывшей Совместной целевой группы по экологическим</w:t>
      </w:r>
      <w:r w:rsidR="00DB52B3" w:rsidRPr="0010265B">
        <w:t xml:space="preserve"> </w:t>
      </w:r>
      <w:r w:rsidR="00014A2B" w:rsidRPr="0010265B">
        <w:t>п</w:t>
      </w:r>
      <w:r w:rsidR="00014A2B" w:rsidRPr="0010265B">
        <w:t>о</w:t>
      </w:r>
      <w:r w:rsidR="0063416C">
        <w:t>казателям (2016–</w:t>
      </w:r>
      <w:r w:rsidR="00014A2B" w:rsidRPr="0010265B">
        <w:t xml:space="preserve">2017 годы), переименовав этот орган в Совместную целевую группу по экологической статистике и показателям. </w:t>
      </w:r>
      <w:proofErr w:type="gramStart"/>
      <w:r w:rsidR="00014A2B" w:rsidRPr="0010265B">
        <w:t>После предыдущего сов</w:t>
      </w:r>
      <w:r w:rsidR="00014A2B" w:rsidRPr="0010265B">
        <w:t>е</w:t>
      </w:r>
      <w:r w:rsidR="00014A2B" w:rsidRPr="0010265B">
        <w:t>щания Комитета</w:t>
      </w:r>
      <w:r w:rsidR="00DB52B3" w:rsidRPr="0010265B">
        <w:t xml:space="preserve"> </w:t>
      </w:r>
      <w:r w:rsidR="00014A2B" w:rsidRPr="0010265B">
        <w:t>Совместная целевая группа провела свои одиннадцатое и дв</w:t>
      </w:r>
      <w:r w:rsidR="00014A2B" w:rsidRPr="0010265B">
        <w:t>е</w:t>
      </w:r>
      <w:r w:rsidR="00014A2B" w:rsidRPr="0010265B">
        <w:lastRenderedPageBreak/>
        <w:t>надцатое совещан</w:t>
      </w:r>
      <w:r w:rsidR="0063416C">
        <w:t>ия (Женева, 30 июня – 1 июля и 17–</w:t>
      </w:r>
      <w:r w:rsidR="00014A2B" w:rsidRPr="0010265B">
        <w:t>18 ноября 2016 года</w:t>
      </w:r>
      <w:r w:rsidR="00DB52B3" w:rsidRPr="0010265B">
        <w:t xml:space="preserve"> </w:t>
      </w:r>
      <w:r w:rsidR="00014A2B" w:rsidRPr="0010265B">
        <w:t>соо</w:t>
      </w:r>
      <w:r w:rsidR="00014A2B" w:rsidRPr="0010265B">
        <w:t>т</w:t>
      </w:r>
      <w:r w:rsidR="00014A2B" w:rsidRPr="0010265B">
        <w:t>ветственно)</w:t>
      </w:r>
      <w:r w:rsidR="00014A2B" w:rsidRPr="007D1342">
        <w:rPr>
          <w:sz w:val="18"/>
          <w:vertAlign w:val="superscript"/>
        </w:rPr>
        <w:footnoteReference w:id="11"/>
      </w:r>
      <w:r w:rsidR="00014A2B" w:rsidRPr="0010265B">
        <w:t>. Исполнительный комитет ЕЭК утвердил возобновленные</w:t>
      </w:r>
      <w:r w:rsidR="00DB52B3" w:rsidRPr="0010265B">
        <w:t xml:space="preserve"> </w:t>
      </w:r>
      <w:r w:rsidR="00014A2B" w:rsidRPr="0010265B">
        <w:t>мандат и круг ведения Со</w:t>
      </w:r>
      <w:r w:rsidR="0063416C">
        <w:t>вместной целевой группы на 2016–</w:t>
      </w:r>
      <w:r w:rsidR="00014A2B" w:rsidRPr="0010265B">
        <w:t>2017 годы на своем сов</w:t>
      </w:r>
      <w:r w:rsidR="00014A2B" w:rsidRPr="0010265B">
        <w:t>е</w:t>
      </w:r>
      <w:r w:rsidR="00014A2B" w:rsidRPr="0010265B">
        <w:t>щании 10 мая 2016 года в Женеве (ECE/EX/2016/L.11).</w:t>
      </w:r>
      <w:proofErr w:type="gramEnd"/>
    </w:p>
    <w:p w:rsidR="00014A2B" w:rsidRPr="0010265B" w:rsidRDefault="00293F0F" w:rsidP="00014A2B">
      <w:pPr>
        <w:pStyle w:val="SingleTxtGR"/>
      </w:pPr>
      <w:r>
        <w:t>26.</w:t>
      </w:r>
      <w:r w:rsidR="00014A2B" w:rsidRPr="0010265B">
        <w:tab/>
        <w:t>Комитету будет предложено рассмотреть результаты работы Совместной целевой группы по экологической статистике и показателям.</w:t>
      </w:r>
    </w:p>
    <w:p w:rsidR="00014A2B" w:rsidRPr="0010265B" w:rsidRDefault="00293F0F" w:rsidP="00653AE3">
      <w:pPr>
        <w:pStyle w:val="H1GR"/>
      </w:pPr>
      <w:r>
        <w:tab/>
        <w:t>7.</w:t>
      </w:r>
      <w:r>
        <w:tab/>
      </w:r>
      <w:r w:rsidR="00014A2B" w:rsidRPr="0010265B">
        <w:t>Обзоры результативности экологической деятельности</w:t>
      </w:r>
    </w:p>
    <w:p w:rsidR="00014A2B" w:rsidRPr="0010265B" w:rsidRDefault="00293F0F" w:rsidP="00014A2B">
      <w:pPr>
        <w:pStyle w:val="SingleTxtGR"/>
      </w:pPr>
      <w:r>
        <w:t>27.</w:t>
      </w:r>
      <w:r w:rsidR="00014A2B" w:rsidRPr="0010265B">
        <w:tab/>
        <w:t xml:space="preserve">Опираясь на успех </w:t>
      </w:r>
      <w:proofErr w:type="gramStart"/>
      <w:r w:rsidR="00014A2B" w:rsidRPr="0010265B">
        <w:t>Программы обзоров результативности экологической деятельности</w:t>
      </w:r>
      <w:proofErr w:type="gramEnd"/>
      <w:r w:rsidR="00014A2B" w:rsidRPr="0010265B">
        <w:t xml:space="preserve"> ЕЭК, министры предложили ЕЭК на седьмой Конференции мин</w:t>
      </w:r>
      <w:r w:rsidR="00014A2B" w:rsidRPr="0010265B">
        <w:t>и</w:t>
      </w:r>
      <w:r w:rsidR="00014A2B" w:rsidRPr="0010265B">
        <w:t xml:space="preserve">стров </w:t>
      </w:r>
      <w:r w:rsidR="0063416C">
        <w:t>«Окружающая среда для Европы»</w:t>
      </w:r>
      <w:r w:rsidR="00014A2B" w:rsidRPr="0010265B">
        <w:t xml:space="preserve"> </w:t>
      </w:r>
      <w:r w:rsidR="0063416C">
        <w:t>(Астана, 21–</w:t>
      </w:r>
      <w:r w:rsidR="00014A2B" w:rsidRPr="0010265B">
        <w:t>23 сентября 2011 года) провести третий цикл обзоров результативности экологической деятельности. Новые центральные направления для третьих обзоров могут включать эколог</w:t>
      </w:r>
      <w:r w:rsidR="00014A2B" w:rsidRPr="0010265B">
        <w:t>и</w:t>
      </w:r>
      <w:r w:rsidR="00014A2B" w:rsidRPr="0010265B">
        <w:t xml:space="preserve">ческое руководство и финансирование в контексте </w:t>
      </w:r>
      <w:r w:rsidR="00DB52B3" w:rsidRPr="0010265B">
        <w:t>«</w:t>
      </w:r>
      <w:r w:rsidR="00014A2B" w:rsidRPr="0010265B">
        <w:t>зеленой</w:t>
      </w:r>
      <w:r w:rsidR="00DB52B3" w:rsidRPr="0010265B">
        <w:t>»</w:t>
      </w:r>
      <w:r w:rsidR="00014A2B" w:rsidRPr="0010265B">
        <w:t xml:space="preserve"> экономики, с</w:t>
      </w:r>
      <w:r w:rsidR="00014A2B" w:rsidRPr="0010265B">
        <w:t>о</w:t>
      </w:r>
      <w:r w:rsidR="00014A2B" w:rsidRPr="0010265B">
        <w:t>трудничество стран с международным сообществом и интеграцию экологич</w:t>
      </w:r>
      <w:r w:rsidR="00014A2B" w:rsidRPr="0010265B">
        <w:t>е</w:t>
      </w:r>
      <w:r w:rsidR="00014A2B" w:rsidRPr="0010265B">
        <w:t>ской проблематики в приоритетных секторах (с</w:t>
      </w:r>
      <w:r>
        <w:t>м. </w:t>
      </w:r>
      <w:r w:rsidRPr="00293F0F">
        <w:rPr>
          <w:lang w:val="en-GB"/>
        </w:rPr>
        <w:t>ECE</w:t>
      </w:r>
      <w:r w:rsidRPr="00293F0F">
        <w:t>/</w:t>
      </w:r>
      <w:r w:rsidRPr="00293F0F">
        <w:rPr>
          <w:lang w:val="en-GB"/>
        </w:rPr>
        <w:t>ASTANA</w:t>
      </w:r>
      <w:r w:rsidRPr="00293F0F">
        <w:t>.</w:t>
      </w:r>
      <w:r w:rsidRPr="00293F0F">
        <w:rPr>
          <w:lang w:val="en-GB"/>
        </w:rPr>
        <w:t>CONF</w:t>
      </w:r>
      <w:r w:rsidRPr="00293F0F">
        <w:t>/2011/2/</w:t>
      </w:r>
      <w:r>
        <w:br/>
      </w:r>
      <w:r w:rsidRPr="00293F0F">
        <w:rPr>
          <w:lang w:val="en-GB"/>
        </w:rPr>
        <w:t>Add</w:t>
      </w:r>
      <w:r w:rsidRPr="00293F0F">
        <w:t>.1</w:t>
      </w:r>
      <w:r w:rsidR="00014A2B" w:rsidRPr="0010265B">
        <w:t>)</w:t>
      </w:r>
      <w:r w:rsidR="00014A2B" w:rsidRPr="007D1342">
        <w:rPr>
          <w:sz w:val="18"/>
          <w:vertAlign w:val="superscript"/>
        </w:rPr>
        <w:footnoteReference w:id="12"/>
      </w:r>
      <w:r w:rsidR="00014A2B" w:rsidRPr="0010265B">
        <w:t>.</w:t>
      </w:r>
      <w:r w:rsidR="00DB52B3" w:rsidRPr="0010265B">
        <w:t xml:space="preserve"> </w:t>
      </w:r>
    </w:p>
    <w:p w:rsidR="00014A2B" w:rsidRPr="0010265B" w:rsidRDefault="00293F0F" w:rsidP="00014A2B">
      <w:pPr>
        <w:pStyle w:val="SingleTxtGR"/>
      </w:pPr>
      <w:r>
        <w:t>28.</w:t>
      </w:r>
      <w:r w:rsidR="00014A2B" w:rsidRPr="0010265B">
        <w:tab/>
        <w:t>На своей девятнадцатой сессии в 2013 году Комитет приветствовал д</w:t>
      </w:r>
      <w:r w:rsidR="00014A2B" w:rsidRPr="0010265B">
        <w:t>о</w:t>
      </w:r>
      <w:r w:rsidR="00014A2B" w:rsidRPr="0010265B">
        <w:t>клад секретариата</w:t>
      </w:r>
      <w:r w:rsidR="00DB52B3" w:rsidRPr="0010265B">
        <w:t xml:space="preserve"> «</w:t>
      </w:r>
      <w:r w:rsidR="00014A2B" w:rsidRPr="0010265B">
        <w:t>Обзоры результативности экологической деятельности: прогресс, достигнутый в подготовке третьего цикла</w:t>
      </w:r>
      <w:r w:rsidR="00DB52B3" w:rsidRPr="0010265B">
        <w:t>»</w:t>
      </w:r>
      <w:r>
        <w:t xml:space="preserve"> (ECE/CEP/2013/12)</w:t>
      </w:r>
      <w:r w:rsidR="00014A2B" w:rsidRPr="007D1342">
        <w:rPr>
          <w:sz w:val="18"/>
          <w:vertAlign w:val="superscript"/>
        </w:rPr>
        <w:footnoteReference w:id="13"/>
      </w:r>
      <w:r w:rsidR="00D16F9B">
        <w:t>,</w:t>
      </w:r>
      <w:r w:rsidR="00DB52B3" w:rsidRPr="0010265B">
        <w:t xml:space="preserve"> </w:t>
      </w:r>
      <w:r w:rsidR="00014A2B" w:rsidRPr="0010265B">
        <w:t>и принял к сведению прогресс, достигнутый после Конференции в Астане. Ком</w:t>
      </w:r>
      <w:r w:rsidR="00014A2B" w:rsidRPr="0010265B">
        <w:t>и</w:t>
      </w:r>
      <w:r w:rsidR="00014A2B" w:rsidRPr="0010265B">
        <w:t>тет поддержал подробную структуру, предложенную секретариатом ЕЭК для третьего цикла обзоров результативности экологической деятельности, и решил вернуться к ней в будущем с учетом накопленного опыта ее практического применения.</w:t>
      </w:r>
    </w:p>
    <w:p w:rsidR="00014A2B" w:rsidRPr="0010265B" w:rsidRDefault="00293F0F" w:rsidP="00014A2B">
      <w:pPr>
        <w:pStyle w:val="SingleTxtGR"/>
      </w:pPr>
      <w:r>
        <w:t>29.</w:t>
      </w:r>
      <w:r>
        <w:tab/>
      </w:r>
      <w:proofErr w:type="gramStart"/>
      <w:r w:rsidR="00014A2B" w:rsidRPr="0010265B">
        <w:t>На своей двадцать первой сессии Комитет признал важность обзоров р</w:t>
      </w:r>
      <w:r w:rsidR="00014A2B" w:rsidRPr="0010265B">
        <w:t>е</w:t>
      </w:r>
      <w:r w:rsidR="00014A2B" w:rsidRPr="0010265B">
        <w:t>зультативности экологической деятельности как механизма обзора, обмена опытом и передачи надлежащей практики, который может быть полезным</w:t>
      </w:r>
      <w:r w:rsidR="00DB52B3" w:rsidRPr="0010265B">
        <w:t xml:space="preserve"> </w:t>
      </w:r>
      <w:r w:rsidR="00014A2B" w:rsidRPr="0010265B">
        <w:t>при обзоре осуществления целей устойчивого развития.</w:t>
      </w:r>
      <w:proofErr w:type="gramEnd"/>
      <w:r w:rsidR="00014A2B" w:rsidRPr="0010265B">
        <w:t xml:space="preserve"> Комитет также подчеркнул важность использования существующих инструментов, включая многосторо</w:t>
      </w:r>
      <w:r w:rsidR="00014A2B" w:rsidRPr="0010265B">
        <w:t>н</w:t>
      </w:r>
      <w:r w:rsidR="00014A2B" w:rsidRPr="0010265B">
        <w:t>ние природоохранные соглашения ЕЭК и обзоры результативности экологич</w:t>
      </w:r>
      <w:r w:rsidR="00014A2B" w:rsidRPr="0010265B">
        <w:t>е</w:t>
      </w:r>
      <w:r w:rsidR="00014A2B" w:rsidRPr="0010265B">
        <w:t>ской деятельности, для достижения целей устойчивого развития при одновр</w:t>
      </w:r>
      <w:r w:rsidR="00014A2B" w:rsidRPr="0010265B">
        <w:t>е</w:t>
      </w:r>
      <w:r w:rsidR="00014A2B" w:rsidRPr="0010265B">
        <w:t>менном учете необходимости корректировки деятельности по линии этих с</w:t>
      </w:r>
      <w:r w:rsidR="00014A2B" w:rsidRPr="0010265B">
        <w:t>о</w:t>
      </w:r>
      <w:r w:rsidR="00014A2B" w:rsidRPr="0010265B">
        <w:t>глашений</w:t>
      </w:r>
      <w:r w:rsidR="00DB52B3" w:rsidRPr="0010265B">
        <w:t xml:space="preserve"> </w:t>
      </w:r>
      <w:r w:rsidR="00014A2B" w:rsidRPr="0010265B">
        <w:t>и обзоров ЕЭК с расчетом на поддержку осуществления Повестки дня 2030. Кроме того, Комитет согласился содействовать дальнейшей взаим</w:t>
      </w:r>
      <w:r w:rsidR="00014A2B" w:rsidRPr="0010265B">
        <w:t>о</w:t>
      </w:r>
      <w:r w:rsidR="00014A2B" w:rsidRPr="0010265B">
        <w:t xml:space="preserve">увязке рекомендаций по таким обзорам и многосторонних природоохранных соглашений ЕЭК. </w:t>
      </w:r>
    </w:p>
    <w:p w:rsidR="00014A2B" w:rsidRPr="0010265B" w:rsidRDefault="00293F0F" w:rsidP="00014A2B">
      <w:pPr>
        <w:pStyle w:val="SingleTxtGR"/>
      </w:pPr>
      <w:r>
        <w:t>30.</w:t>
      </w:r>
      <w:r>
        <w:tab/>
      </w:r>
      <w:proofErr w:type="gramStart"/>
      <w:r w:rsidR="00014A2B" w:rsidRPr="0010265B">
        <w:t xml:space="preserve">В </w:t>
      </w:r>
      <w:r w:rsidR="001C2A4E" w:rsidRPr="001C2A4E">
        <w:t xml:space="preserve">Батуми </w:t>
      </w:r>
      <w:r w:rsidR="00014A2B" w:rsidRPr="0010265B">
        <w:t>министры признали важный вклад Программы обзоров резул</w:t>
      </w:r>
      <w:r w:rsidR="00014A2B" w:rsidRPr="0010265B">
        <w:t>ь</w:t>
      </w:r>
      <w:r w:rsidR="00014A2B" w:rsidRPr="0010265B">
        <w:t>тативности экологической деятельности ЕЭК как эффективного и практичного инструмента</w:t>
      </w:r>
      <w:r w:rsidR="00DB52B3" w:rsidRPr="0010265B">
        <w:t xml:space="preserve"> </w:t>
      </w:r>
      <w:r w:rsidR="00014A2B" w:rsidRPr="0010265B">
        <w:t>политики, который был внесен за прошедшие 20 лет, и особо в</w:t>
      </w:r>
      <w:r w:rsidR="00014A2B" w:rsidRPr="0010265B">
        <w:t>ы</w:t>
      </w:r>
      <w:r w:rsidR="00014A2B" w:rsidRPr="0010265B">
        <w:t>делили роль, которую она могла бы играть в деле поддержки деятельности по достижению и мониторингу целей устойчивого развития в общеевропейском регионе.</w:t>
      </w:r>
      <w:proofErr w:type="gramEnd"/>
      <w:r w:rsidR="00014A2B" w:rsidRPr="0010265B">
        <w:t xml:space="preserve"> Министры выразили свое удовлетворение прогрессом в третьем цикле </w:t>
      </w:r>
      <w:r w:rsidR="00014A2B" w:rsidRPr="0010265B">
        <w:lastRenderedPageBreak/>
        <w:t>обзоров и призвали страны извлекать пользу из Программы обзоров результ</w:t>
      </w:r>
      <w:r w:rsidR="00014A2B" w:rsidRPr="0010265B">
        <w:t>а</w:t>
      </w:r>
      <w:r w:rsidR="00014A2B" w:rsidRPr="0010265B">
        <w:t xml:space="preserve">тивности экологической деятельности путем проведения дальнейших обзоров. </w:t>
      </w:r>
    </w:p>
    <w:p w:rsidR="00014A2B" w:rsidRPr="0010265B" w:rsidRDefault="00D22BB7" w:rsidP="00014A2B">
      <w:pPr>
        <w:pStyle w:val="SingleTxtGR"/>
      </w:pPr>
      <w:r>
        <w:t>31.</w:t>
      </w:r>
      <w:r>
        <w:tab/>
      </w:r>
      <w:proofErr w:type="gramStart"/>
      <w:r w:rsidR="00014A2B" w:rsidRPr="0010265B">
        <w:t>Соответственно, Группа экспертов по обзорам результативности эколог</w:t>
      </w:r>
      <w:r w:rsidR="00014A2B" w:rsidRPr="0010265B">
        <w:t>и</w:t>
      </w:r>
      <w:r w:rsidR="00014A2B" w:rsidRPr="0010265B">
        <w:t>ческой деятельности проводит</w:t>
      </w:r>
      <w:r w:rsidR="00DB52B3" w:rsidRPr="0010265B">
        <w:t xml:space="preserve"> </w:t>
      </w:r>
      <w:r w:rsidR="00014A2B" w:rsidRPr="0010265B">
        <w:t>9 декабря 2016 года в расширенном формате с</w:t>
      </w:r>
      <w:r w:rsidR="00014A2B" w:rsidRPr="0010265B">
        <w:t>о</w:t>
      </w:r>
      <w:r w:rsidR="00014A2B" w:rsidRPr="0010265B">
        <w:t>вещание по подготовке первого проекта предложения с</w:t>
      </w:r>
      <w:r w:rsidR="00DB52B3" w:rsidRPr="0010265B">
        <w:t xml:space="preserve"> </w:t>
      </w:r>
      <w:r w:rsidR="00014A2B" w:rsidRPr="0010265B">
        <w:t>изложением</w:t>
      </w:r>
      <w:r w:rsidR="00DB52B3" w:rsidRPr="0010265B">
        <w:t xml:space="preserve"> </w:t>
      </w:r>
      <w:r w:rsidR="00014A2B" w:rsidRPr="0010265B">
        <w:t>различных вариантов того, как по линии Программы можно было бы поддержать деятел</w:t>
      </w:r>
      <w:r w:rsidR="00014A2B" w:rsidRPr="0010265B">
        <w:t>ь</w:t>
      </w:r>
      <w:r w:rsidR="00014A2B" w:rsidRPr="0010265B">
        <w:t>ность по достижению и мониторингу целей устойчивого развития в общеевр</w:t>
      </w:r>
      <w:r w:rsidR="00014A2B" w:rsidRPr="0010265B">
        <w:t>о</w:t>
      </w:r>
      <w:r w:rsidR="00014A2B" w:rsidRPr="0010265B">
        <w:t>пейском регионе, пригласив на него других соответствующих экспертов.</w:t>
      </w:r>
      <w:proofErr w:type="gramEnd"/>
      <w:r w:rsidR="00014A2B" w:rsidRPr="0010265B">
        <w:t xml:space="preserve"> Пер</w:t>
      </w:r>
      <w:r w:rsidR="00014A2B" w:rsidRPr="0010265B">
        <w:t>е</w:t>
      </w:r>
      <w:r w:rsidR="00014A2B" w:rsidRPr="0010265B">
        <w:t>смотренный проект, отражающий результаты работы расширенного состава Группы экспертов по обзорам результативности экологической деятельности, будет представлен Комитету для рассмотрения на его нынешней сессии (ECE/CEP/2017/L.2)</w:t>
      </w:r>
      <w:r w:rsidR="00DB52B3" w:rsidRPr="0010265B">
        <w:t xml:space="preserve"> </w:t>
      </w:r>
      <w:r w:rsidR="00014A2B" w:rsidRPr="0010265B">
        <w:t xml:space="preserve">с расчетом на представление окончательного проекта на утверждение Комитета на его двадцать третьей сессии. </w:t>
      </w:r>
    </w:p>
    <w:p w:rsidR="00014A2B" w:rsidRPr="0010265B" w:rsidRDefault="00D22BB7" w:rsidP="00014A2B">
      <w:pPr>
        <w:pStyle w:val="SingleTxtGR"/>
      </w:pPr>
      <w:r>
        <w:t>32.</w:t>
      </w:r>
      <w:r w:rsidR="00014A2B" w:rsidRPr="0010265B">
        <w:tab/>
        <w:t>На своей нынешней сессии Комитет</w:t>
      </w:r>
      <w:r w:rsidR="00DB52B3" w:rsidRPr="0010265B">
        <w:t xml:space="preserve"> </w:t>
      </w:r>
      <w:r w:rsidR="00014A2B" w:rsidRPr="0010265B">
        <w:t>проведет экспертно-коллегиальные обзоры результативности экологической деятельности Болгарии и Таджикист</w:t>
      </w:r>
      <w:r w:rsidR="00014A2B" w:rsidRPr="0010265B">
        <w:t>а</w:t>
      </w:r>
      <w:r w:rsidR="00014A2B" w:rsidRPr="0010265B">
        <w:t>на. Группа экспертов по обзорам результативности экологической деятельности доработает рекомендации по этим двум обзорам на совещании, которое сост</w:t>
      </w:r>
      <w:r w:rsidR="00014A2B" w:rsidRPr="0010265B">
        <w:t>о</w:t>
      </w:r>
      <w:r w:rsidR="00823B13">
        <w:t>ится 6–</w:t>
      </w:r>
      <w:r w:rsidR="00014A2B" w:rsidRPr="0010265B">
        <w:t>8 декабря 2016 года в Женеве. Комитету будет предложено рассмотреть рекомендации, представленные в информационных документах №№ 2 и 3, на предмет их возможного принятия. Проекты этих двух обзоров результативности экологической деятельности размещаются на веб-сайте ЕЭК</w:t>
      </w:r>
      <w:r w:rsidR="00014A2B" w:rsidRPr="007D1342">
        <w:rPr>
          <w:sz w:val="18"/>
          <w:vertAlign w:val="superscript"/>
        </w:rPr>
        <w:footnoteReference w:id="14"/>
      </w:r>
      <w:r w:rsidR="00014A2B" w:rsidRPr="0010265B">
        <w:t>.</w:t>
      </w:r>
      <w:r w:rsidR="00DB52B3" w:rsidRPr="0010265B">
        <w:t xml:space="preserve"> </w:t>
      </w:r>
    </w:p>
    <w:p w:rsidR="00014A2B" w:rsidRPr="0010265B" w:rsidRDefault="00D22BB7" w:rsidP="00014A2B">
      <w:pPr>
        <w:pStyle w:val="SingleTxtGR"/>
      </w:pPr>
      <w:r>
        <w:t>33.</w:t>
      </w:r>
      <w:r w:rsidR="00014A2B" w:rsidRPr="0010265B">
        <w:tab/>
        <w:t>Кроме того, Комитету будет предложено рассмотреть недавно осущест</w:t>
      </w:r>
      <w:r w:rsidR="00014A2B" w:rsidRPr="0010265B">
        <w:t>в</w:t>
      </w:r>
      <w:r w:rsidR="00014A2B" w:rsidRPr="0010265B">
        <w:t xml:space="preserve">лявшуюся и планируемую деятельность по линии </w:t>
      </w:r>
      <w:proofErr w:type="gramStart"/>
      <w:r w:rsidR="00014A2B" w:rsidRPr="0010265B">
        <w:t>Программы обзоров резул</w:t>
      </w:r>
      <w:r w:rsidR="00014A2B" w:rsidRPr="0010265B">
        <w:t>ь</w:t>
      </w:r>
      <w:r w:rsidR="00014A2B" w:rsidRPr="0010265B">
        <w:t>тативно</w:t>
      </w:r>
      <w:r>
        <w:t>сти экологической деятельности</w:t>
      </w:r>
      <w:proofErr w:type="gramEnd"/>
      <w:r>
        <w:t>.</w:t>
      </w:r>
    </w:p>
    <w:p w:rsidR="00014A2B" w:rsidRPr="0010265B" w:rsidRDefault="00014A2B" w:rsidP="00014A2B">
      <w:pPr>
        <w:pStyle w:val="SingleTxtGR"/>
      </w:pPr>
      <w:r w:rsidRPr="0010265B">
        <w:t>34.</w:t>
      </w:r>
      <w:r w:rsidRPr="0010265B">
        <w:tab/>
        <w:t>С опорой</w:t>
      </w:r>
      <w:r w:rsidR="00DB52B3" w:rsidRPr="0010265B">
        <w:t xml:space="preserve"> </w:t>
      </w:r>
      <w:r w:rsidRPr="0010265B">
        <w:t>на успешную организацию интерактивных обсуждений по о</w:t>
      </w:r>
      <w:r w:rsidRPr="0010265B">
        <w:t>б</w:t>
      </w:r>
      <w:r w:rsidRPr="0010265B">
        <w:t>зорам результативности экологической деятельности</w:t>
      </w:r>
      <w:r w:rsidR="00DB52B3" w:rsidRPr="0010265B">
        <w:t xml:space="preserve"> </w:t>
      </w:r>
      <w:r w:rsidRPr="0010265B">
        <w:t>в ходе двадцать первой сессии Комитета предлагается</w:t>
      </w:r>
      <w:r w:rsidR="00DB52B3" w:rsidRPr="0010265B">
        <w:t xml:space="preserve"> </w:t>
      </w:r>
      <w:r w:rsidRPr="0010265B">
        <w:t>организовать обсуждения на нынешней сессии аналогичным образом в соответствии со следующей программой:</w:t>
      </w:r>
    </w:p>
    <w:p w:rsidR="00014A2B" w:rsidRPr="0010265B" w:rsidRDefault="00014A2B" w:rsidP="00014A2B">
      <w:pPr>
        <w:pStyle w:val="SingleTxtGR"/>
      </w:pPr>
      <w:r w:rsidRPr="0010265B">
        <w:tab/>
        <w:t>a)</w:t>
      </w:r>
      <w:r w:rsidR="00823B13">
        <w:tab/>
      </w:r>
      <w:r w:rsidRPr="0010265B">
        <w:t>общий обзор деятельности;</w:t>
      </w:r>
    </w:p>
    <w:p w:rsidR="00014A2B" w:rsidRPr="0010265B" w:rsidRDefault="00823B13" w:rsidP="00014A2B">
      <w:pPr>
        <w:pStyle w:val="SingleTxtGR"/>
      </w:pPr>
      <w:r>
        <w:tab/>
        <w:t>b)</w:t>
      </w:r>
      <w:r>
        <w:tab/>
      </w:r>
      <w:r w:rsidR="00014A2B" w:rsidRPr="0010265B">
        <w:t>третий обзор результативности экологической деятельности Т</w:t>
      </w:r>
      <w:r w:rsidR="00014A2B" w:rsidRPr="0010265B">
        <w:t>а</w:t>
      </w:r>
      <w:r w:rsidR="00014A2B" w:rsidRPr="0010265B">
        <w:t>джикистана;</w:t>
      </w:r>
    </w:p>
    <w:p w:rsidR="00014A2B" w:rsidRPr="0010265B" w:rsidRDefault="00823B13" w:rsidP="00014A2B">
      <w:pPr>
        <w:pStyle w:val="SingleTxtGR"/>
      </w:pPr>
      <w:r>
        <w:tab/>
        <w:t>c)</w:t>
      </w:r>
      <w:r>
        <w:tab/>
      </w:r>
      <w:r w:rsidR="00014A2B" w:rsidRPr="0010265B">
        <w:t>третий обзор результативности экологической деятельности Болг</w:t>
      </w:r>
      <w:r w:rsidR="00014A2B" w:rsidRPr="0010265B">
        <w:t>а</w:t>
      </w:r>
      <w:r w:rsidR="00014A2B" w:rsidRPr="0010265B">
        <w:t>рии;</w:t>
      </w:r>
    </w:p>
    <w:p w:rsidR="00014A2B" w:rsidRPr="0010265B" w:rsidRDefault="00014A2B" w:rsidP="00014A2B">
      <w:pPr>
        <w:pStyle w:val="SingleTxtGR"/>
      </w:pPr>
      <w:r w:rsidRPr="0010265B">
        <w:tab/>
        <w:t>d)</w:t>
      </w:r>
      <w:r w:rsidR="00823B13">
        <w:tab/>
      </w:r>
      <w:r w:rsidRPr="0010265B">
        <w:t>обсуждение сотрудничества стран с международным сообществом в порядке коллегиального обучения: уроки, извлеченные из обзоров результ</w:t>
      </w:r>
      <w:r w:rsidRPr="0010265B">
        <w:t>а</w:t>
      </w:r>
      <w:r w:rsidRPr="0010265B">
        <w:t>тивности экологической деятельности;</w:t>
      </w:r>
    </w:p>
    <w:p w:rsidR="00014A2B" w:rsidRPr="0010265B" w:rsidRDefault="00014A2B" w:rsidP="00014A2B">
      <w:pPr>
        <w:pStyle w:val="SingleTxtGR"/>
      </w:pPr>
      <w:r w:rsidRPr="0010265B">
        <w:tab/>
        <w:t>e)</w:t>
      </w:r>
      <w:r w:rsidR="00823B13">
        <w:tab/>
      </w:r>
      <w:r w:rsidRPr="0010265B">
        <w:t>отчетность о выполнении рекомендаций по обзорам, завершенным несколько лет назад;</w:t>
      </w:r>
    </w:p>
    <w:p w:rsidR="00014A2B" w:rsidRPr="0010265B" w:rsidRDefault="00823B13" w:rsidP="00014A2B">
      <w:pPr>
        <w:pStyle w:val="SingleTxtGR"/>
      </w:pPr>
      <w:r>
        <w:tab/>
        <w:t>f)</w:t>
      </w:r>
      <w:r>
        <w:tab/>
      </w:r>
      <w:r w:rsidR="00014A2B" w:rsidRPr="0010265B">
        <w:t xml:space="preserve">возможная роль </w:t>
      </w:r>
      <w:proofErr w:type="gramStart"/>
      <w:r w:rsidR="00014A2B" w:rsidRPr="0010265B">
        <w:t>Программы обзоров результативности экологич</w:t>
      </w:r>
      <w:r w:rsidR="00014A2B" w:rsidRPr="0010265B">
        <w:t>е</w:t>
      </w:r>
      <w:r w:rsidR="00014A2B" w:rsidRPr="0010265B">
        <w:t>ской деятельности</w:t>
      </w:r>
      <w:proofErr w:type="gramEnd"/>
      <w:r w:rsidR="00014A2B" w:rsidRPr="0010265B">
        <w:t xml:space="preserve"> ЕЭК в поддержке деятельности по достижению и монит</w:t>
      </w:r>
      <w:r w:rsidR="00014A2B" w:rsidRPr="0010265B">
        <w:t>о</w:t>
      </w:r>
      <w:r w:rsidR="00014A2B" w:rsidRPr="0010265B">
        <w:t xml:space="preserve">рингу целей устойчивого развития в общеевропейском регионе. </w:t>
      </w:r>
    </w:p>
    <w:p w:rsidR="00014A2B" w:rsidRPr="0010265B" w:rsidRDefault="00D22BB7" w:rsidP="00653AE3">
      <w:pPr>
        <w:pStyle w:val="H1GR"/>
      </w:pPr>
      <w:r>
        <w:lastRenderedPageBreak/>
        <w:tab/>
        <w:t>8.</w:t>
      </w:r>
      <w:r>
        <w:tab/>
      </w:r>
      <w:proofErr w:type="spellStart"/>
      <w:r w:rsidR="00014A2B" w:rsidRPr="00653AE3">
        <w:t>Межсекторальная</w:t>
      </w:r>
      <w:proofErr w:type="spellEnd"/>
      <w:r w:rsidR="00014A2B" w:rsidRPr="00653AE3">
        <w:t xml:space="preserve"> деятельность</w:t>
      </w:r>
    </w:p>
    <w:p w:rsidR="00014A2B" w:rsidRPr="0010265B" w:rsidRDefault="00014A2B" w:rsidP="00014A2B">
      <w:pPr>
        <w:pStyle w:val="SingleTxtGR"/>
      </w:pPr>
      <w:r w:rsidRPr="0010265B">
        <w:t xml:space="preserve">35. </w:t>
      </w:r>
      <w:r w:rsidRPr="0010265B">
        <w:tab/>
        <w:t>Существует ряд видов</w:t>
      </w:r>
      <w:r w:rsidR="00DB52B3" w:rsidRPr="0010265B">
        <w:t xml:space="preserve"> </w:t>
      </w:r>
      <w:r w:rsidRPr="0010265B">
        <w:t>деятельности, которые осуществляются под эгидой Подпрограммы ЕЭК по окружающей среде</w:t>
      </w:r>
      <w:r w:rsidR="00DB52B3" w:rsidRPr="0010265B">
        <w:t xml:space="preserve"> </w:t>
      </w:r>
      <w:r w:rsidRPr="0010265B">
        <w:t>в основном совместно или в пар</w:t>
      </w:r>
      <w:r w:rsidRPr="0010265B">
        <w:t>т</w:t>
      </w:r>
      <w:r w:rsidRPr="0010265B">
        <w:t>нерстве с участниками других подпрограмм ЕЭК и другими организациями-партнерами. Комитету будет предложено рассмотреть недавние изменения и планы на будущее, относящиеся к этим межсекторальным видам деятельности.</w:t>
      </w:r>
    </w:p>
    <w:p w:rsidR="00014A2B" w:rsidRPr="0010265B" w:rsidRDefault="00442A33" w:rsidP="00442A33">
      <w:pPr>
        <w:pStyle w:val="H23GR"/>
      </w:pPr>
      <w:r>
        <w:tab/>
        <w:t>a)</w:t>
      </w:r>
      <w:r>
        <w:tab/>
      </w:r>
      <w:r w:rsidR="00014A2B" w:rsidRPr="0010265B">
        <w:t>Образование для устойчивого развития</w:t>
      </w:r>
    </w:p>
    <w:p w:rsidR="00014A2B" w:rsidRPr="0010265B" w:rsidRDefault="00442A33" w:rsidP="00014A2B">
      <w:pPr>
        <w:pStyle w:val="SingleTxtGR"/>
      </w:pPr>
      <w:r>
        <w:t>36.</w:t>
      </w:r>
      <w:r w:rsidR="00014A2B" w:rsidRPr="0010265B">
        <w:tab/>
        <w:t>Комитет будет проинформирован об изменениях, происшедших в рамках Стратегии ЕЭК</w:t>
      </w:r>
      <w:r w:rsidR="00DB52B3" w:rsidRPr="0010265B">
        <w:t xml:space="preserve"> </w:t>
      </w:r>
      <w:r w:rsidR="00014A2B" w:rsidRPr="0010265B">
        <w:t>для образования в интересах устойчивого развития после дв</w:t>
      </w:r>
      <w:r w:rsidR="00014A2B" w:rsidRPr="0010265B">
        <w:t>а</w:t>
      </w:r>
      <w:r w:rsidR="00014A2B" w:rsidRPr="0010265B">
        <w:t>дцать первой сессии, в частности об основных итогах сегмента Батумской ко</w:t>
      </w:r>
      <w:r w:rsidR="00014A2B" w:rsidRPr="0010265B">
        <w:t>н</w:t>
      </w:r>
      <w:r w:rsidR="00014A2B" w:rsidRPr="0010265B">
        <w:t>ференции, посвященного образованию в инте</w:t>
      </w:r>
      <w:r>
        <w:t>ресах устойчивого развития (см. </w:t>
      </w:r>
      <w:r w:rsidR="00014A2B" w:rsidRPr="0010265B">
        <w:t>ECE/BATUMI.CONF/2016/2/Add.2).</w:t>
      </w:r>
    </w:p>
    <w:p w:rsidR="00014A2B" w:rsidRPr="0010265B" w:rsidRDefault="00442A33" w:rsidP="00014A2B">
      <w:pPr>
        <w:pStyle w:val="SingleTxtGR"/>
      </w:pPr>
      <w:r>
        <w:t>37.</w:t>
      </w:r>
      <w:r>
        <w:tab/>
      </w:r>
      <w:r w:rsidR="00014A2B" w:rsidRPr="0010265B">
        <w:t>Комитет, возможно, пожелает рассмотреть представленную информацию.</w:t>
      </w:r>
    </w:p>
    <w:p w:rsidR="00DB52B3" w:rsidRPr="0010265B" w:rsidRDefault="00442A33" w:rsidP="00442A33">
      <w:pPr>
        <w:pStyle w:val="H23GR"/>
      </w:pPr>
      <w:r>
        <w:tab/>
        <w:t>b)</w:t>
      </w:r>
      <w:r>
        <w:tab/>
      </w:r>
      <w:r w:rsidR="00014A2B" w:rsidRPr="0010265B">
        <w:t>Общеевропейская программа п</w:t>
      </w:r>
      <w:r>
        <w:t>о транспорту, охране здоровья и </w:t>
      </w:r>
      <w:r w:rsidR="00014A2B" w:rsidRPr="0010265B">
        <w:t>окружающей среде</w:t>
      </w:r>
    </w:p>
    <w:p w:rsidR="00014A2B" w:rsidRPr="0010265B" w:rsidRDefault="00442A33" w:rsidP="00014A2B">
      <w:pPr>
        <w:pStyle w:val="SingleTxtGR"/>
      </w:pPr>
      <w:r>
        <w:t>38.</w:t>
      </w:r>
      <w:r w:rsidR="00014A2B" w:rsidRPr="0010265B">
        <w:tab/>
      </w:r>
      <w:proofErr w:type="gramStart"/>
      <w:r w:rsidR="00014A2B" w:rsidRPr="0010265B">
        <w:t>Комитет будет проинформирован об изменениях, происшедших в рамках Общеевропейской программы по транспорту, охране здоровья и окружающей среде после двадцать первой сессии Комитета, в частности об основных итогах тринадцатой и четырнадцатой сессий Руководящего комитета по транспорту, окружающей среде и охране здоровья Общеевро</w:t>
      </w:r>
      <w:r w:rsidR="0063416C">
        <w:t>пейской программы (Женева, 17–18 ноября 2015 года и 7–</w:t>
      </w:r>
      <w:r w:rsidR="00014A2B" w:rsidRPr="0010265B">
        <w:t>9 ноября 2016 года</w:t>
      </w:r>
      <w:r w:rsidR="00DB52B3" w:rsidRPr="0010265B">
        <w:t xml:space="preserve"> </w:t>
      </w:r>
      <w:r w:rsidR="00014A2B" w:rsidRPr="0010265B">
        <w:t>соответственно)</w:t>
      </w:r>
      <w:r w:rsidR="00014A2B" w:rsidRPr="007D1342">
        <w:rPr>
          <w:sz w:val="18"/>
          <w:vertAlign w:val="superscript"/>
        </w:rPr>
        <w:footnoteReference w:id="15"/>
      </w:r>
      <w:r w:rsidR="00014A2B" w:rsidRPr="0010265B">
        <w:t>.</w:t>
      </w:r>
      <w:r w:rsidR="00DB52B3" w:rsidRPr="0010265B">
        <w:t xml:space="preserve"> </w:t>
      </w:r>
      <w:proofErr w:type="gramEnd"/>
    </w:p>
    <w:p w:rsidR="00014A2B" w:rsidRPr="0010265B" w:rsidRDefault="00442A33" w:rsidP="00014A2B">
      <w:pPr>
        <w:pStyle w:val="SingleTxtGR"/>
      </w:pPr>
      <w:r>
        <w:t>39.</w:t>
      </w:r>
      <w:r>
        <w:tab/>
      </w:r>
      <w:r w:rsidR="00014A2B" w:rsidRPr="0010265B">
        <w:t>Комитет, возможно, пожелает рассмотреть представленную информацию.</w:t>
      </w:r>
    </w:p>
    <w:p w:rsidR="00014A2B" w:rsidRPr="0010265B" w:rsidRDefault="009574C5" w:rsidP="009574C5">
      <w:pPr>
        <w:pStyle w:val="H23GR"/>
      </w:pPr>
      <w:r>
        <w:tab/>
        <w:t>c)</w:t>
      </w:r>
      <w:r>
        <w:tab/>
      </w:r>
      <w:r w:rsidR="00014A2B" w:rsidRPr="0010265B">
        <w:t>Окружающая среда и безопасность</w:t>
      </w:r>
    </w:p>
    <w:p w:rsidR="00014A2B" w:rsidRPr="0010265B" w:rsidRDefault="009574C5" w:rsidP="00014A2B">
      <w:pPr>
        <w:pStyle w:val="SingleTxtGR"/>
      </w:pPr>
      <w:r>
        <w:t>40.</w:t>
      </w:r>
      <w:r>
        <w:tab/>
      </w:r>
      <w:r w:rsidR="00014A2B" w:rsidRPr="0010265B">
        <w:t>На своей двадцать первой сессии Комитет принял к сведению и приве</w:t>
      </w:r>
      <w:r w:rsidR="00014A2B" w:rsidRPr="0010265B">
        <w:t>т</w:t>
      </w:r>
      <w:r w:rsidR="00014A2B" w:rsidRPr="0010265B">
        <w:t xml:space="preserve">ствовал представленную информацию относительно Инициативы </w:t>
      </w:r>
      <w:r w:rsidR="00DB52B3" w:rsidRPr="0010265B">
        <w:t>«</w:t>
      </w:r>
      <w:r w:rsidR="00014A2B" w:rsidRPr="0010265B">
        <w:t>Окружа</w:t>
      </w:r>
      <w:r w:rsidR="00014A2B" w:rsidRPr="0010265B">
        <w:t>ю</w:t>
      </w:r>
      <w:r w:rsidR="00014A2B" w:rsidRPr="0010265B">
        <w:t>щая среда и безопасность</w:t>
      </w:r>
      <w:r w:rsidR="00DB52B3" w:rsidRPr="0010265B">
        <w:t>»</w:t>
      </w:r>
      <w:r w:rsidR="00014A2B" w:rsidRPr="0010265B">
        <w:t>. На его нынешней</w:t>
      </w:r>
      <w:r w:rsidR="00DB52B3" w:rsidRPr="0010265B">
        <w:t xml:space="preserve"> </w:t>
      </w:r>
      <w:r w:rsidR="00014A2B" w:rsidRPr="0010265B">
        <w:t>сессии Комитету будет предлож</w:t>
      </w:r>
      <w:r w:rsidR="00014A2B" w:rsidRPr="0010265B">
        <w:t>е</w:t>
      </w:r>
      <w:r w:rsidR="00014A2B" w:rsidRPr="0010265B">
        <w:t>но рассмотреть</w:t>
      </w:r>
      <w:r w:rsidR="00DB52B3" w:rsidRPr="0010265B">
        <w:t xml:space="preserve"> </w:t>
      </w:r>
      <w:r w:rsidR="00014A2B" w:rsidRPr="0010265B">
        <w:t>вклад, который продолжает вносить ЕЭК в эту инициативу (и</w:t>
      </w:r>
      <w:r w:rsidR="00014A2B" w:rsidRPr="0010265B">
        <w:t>н</w:t>
      </w:r>
      <w:r w:rsidR="00014A2B" w:rsidRPr="0010265B">
        <w:t>формационный документ № 4).</w:t>
      </w:r>
    </w:p>
    <w:p w:rsidR="00DB52B3" w:rsidRPr="0010265B" w:rsidRDefault="009574C5" w:rsidP="009574C5">
      <w:pPr>
        <w:pStyle w:val="H23GR"/>
      </w:pPr>
      <w:r>
        <w:tab/>
        <w:t>d)</w:t>
      </w:r>
      <w:r>
        <w:tab/>
      </w:r>
      <w:r w:rsidR="00014A2B" w:rsidRPr="0010265B">
        <w:t xml:space="preserve">Европейский процесс </w:t>
      </w:r>
      <w:r w:rsidR="00DB52B3" w:rsidRPr="0010265B">
        <w:t>«</w:t>
      </w:r>
      <w:r w:rsidR="00014A2B" w:rsidRPr="0010265B">
        <w:t>Окружающая среда и здоровье</w:t>
      </w:r>
      <w:r w:rsidR="00DB52B3" w:rsidRPr="0010265B">
        <w:t>»</w:t>
      </w:r>
    </w:p>
    <w:p w:rsidR="00014A2B" w:rsidRPr="0010265B" w:rsidRDefault="009574C5" w:rsidP="00014A2B">
      <w:pPr>
        <w:pStyle w:val="SingleTxtGR"/>
      </w:pPr>
      <w:r>
        <w:t>41.</w:t>
      </w:r>
      <w:r w:rsidR="00014A2B" w:rsidRPr="0010265B">
        <w:tab/>
      </w:r>
      <w:proofErr w:type="gramStart"/>
      <w:r w:rsidR="00014A2B" w:rsidRPr="0010265B">
        <w:t>На своей двадцать первой сессии Комитет приветствовал представле</w:t>
      </w:r>
      <w:r w:rsidR="00014A2B" w:rsidRPr="0010265B">
        <w:t>н</w:t>
      </w:r>
      <w:r w:rsidR="00014A2B" w:rsidRPr="0010265B">
        <w:t>ную информацию</w:t>
      </w:r>
      <w:r w:rsidR="00DB52B3" w:rsidRPr="0010265B">
        <w:t xml:space="preserve"> </w:t>
      </w:r>
      <w:r w:rsidR="00014A2B" w:rsidRPr="0010265B">
        <w:t>об изменениях, происшедших в рамках европейского проце</w:t>
      </w:r>
      <w:r w:rsidR="00014A2B" w:rsidRPr="0010265B">
        <w:t>с</w:t>
      </w:r>
      <w:r w:rsidR="00014A2B" w:rsidRPr="0010265B">
        <w:t xml:space="preserve">са </w:t>
      </w:r>
      <w:r w:rsidR="00DB52B3" w:rsidRPr="0010265B">
        <w:t>«</w:t>
      </w:r>
      <w:r w:rsidR="00014A2B" w:rsidRPr="0010265B">
        <w:t>Окружающая среда и здоровье</w:t>
      </w:r>
      <w:r w:rsidR="00DB52B3" w:rsidRPr="0010265B">
        <w:t>»</w:t>
      </w:r>
      <w:r w:rsidR="00014A2B" w:rsidRPr="0010265B">
        <w:t>, и согласился выделить в повестке дня св</w:t>
      </w:r>
      <w:r w:rsidR="00014A2B" w:rsidRPr="0010265B">
        <w:t>о</w:t>
      </w:r>
      <w:r w:rsidR="00014A2B" w:rsidRPr="0010265B">
        <w:t>ей двадцать второй сессии больше времени на</w:t>
      </w:r>
      <w:r w:rsidR="00DB52B3" w:rsidRPr="0010265B">
        <w:t xml:space="preserve"> </w:t>
      </w:r>
      <w:r w:rsidR="00014A2B" w:rsidRPr="0010265B">
        <w:t>обсуждение хода подготовки ш</w:t>
      </w:r>
      <w:r w:rsidR="00014A2B" w:rsidRPr="0010265B">
        <w:t>е</w:t>
      </w:r>
      <w:r w:rsidR="00014A2B" w:rsidRPr="0010265B">
        <w:t>стой Конференции министров по окружающей среде и охране здоровья.</w:t>
      </w:r>
      <w:proofErr w:type="gramEnd"/>
    </w:p>
    <w:p w:rsidR="00014A2B" w:rsidRPr="0010265B" w:rsidRDefault="00014A2B" w:rsidP="00014A2B">
      <w:pPr>
        <w:pStyle w:val="SingleTxtGR"/>
      </w:pPr>
      <w:r w:rsidRPr="0010265B">
        <w:t>42.</w:t>
      </w:r>
      <w:r w:rsidRPr="0010265B">
        <w:tab/>
        <w:t xml:space="preserve"> Кроме того, Комитет просил секре</w:t>
      </w:r>
      <w:r w:rsidR="009574C5">
        <w:t xml:space="preserve">тариат выяснить у 53 государств </w:t>
      </w:r>
      <w:proofErr w:type="gramStart"/>
      <w:r w:rsidR="009574C5">
        <w:t>–</w:t>
      </w:r>
      <w:r w:rsidRPr="0010265B">
        <w:t>ч</w:t>
      </w:r>
      <w:proofErr w:type="gramEnd"/>
      <w:r w:rsidRPr="0010265B">
        <w:t>ленов ЕЭК, являющихся</w:t>
      </w:r>
      <w:r w:rsidR="00DB52B3" w:rsidRPr="0010265B">
        <w:t xml:space="preserve"> </w:t>
      </w:r>
      <w:r w:rsidRPr="0010265B">
        <w:t>также членами</w:t>
      </w:r>
      <w:r w:rsidR="00DB52B3" w:rsidRPr="0010265B">
        <w:t xml:space="preserve"> </w:t>
      </w:r>
      <w:r w:rsidRPr="0010265B">
        <w:t>Европейского регионального бюро</w:t>
      </w:r>
      <w:r w:rsidR="00DB52B3" w:rsidRPr="0010265B">
        <w:t xml:space="preserve"> </w:t>
      </w:r>
      <w:r w:rsidRPr="0010265B">
        <w:t>Всемирной организации здравоохранения, заинтересованы ли они в том, чтобы в течение сл</w:t>
      </w:r>
      <w:r w:rsidR="009574C5">
        <w:t>едующего срока полномочий (2017–</w:t>
      </w:r>
      <w:r w:rsidRPr="0010265B">
        <w:t>2018 годы) быть представле</w:t>
      </w:r>
      <w:r w:rsidRPr="0010265B">
        <w:t>н</w:t>
      </w:r>
      <w:r w:rsidRPr="0010265B">
        <w:t>ными в составе Европейского совета министров по окружающей среде и здор</w:t>
      </w:r>
      <w:r w:rsidRPr="0010265B">
        <w:t>о</w:t>
      </w:r>
      <w:r w:rsidRPr="0010265B">
        <w:t>вью, направив</w:t>
      </w:r>
      <w:r w:rsidR="00DB52B3" w:rsidRPr="0010265B">
        <w:t xml:space="preserve"> </w:t>
      </w:r>
      <w:r w:rsidRPr="0010265B">
        <w:t>официальные письма министрам окружающей среды, с тем чт</w:t>
      </w:r>
      <w:r w:rsidRPr="0010265B">
        <w:t>о</w:t>
      </w:r>
      <w:r w:rsidRPr="0010265B">
        <w:t xml:space="preserve">бы узнать их мнения на этот счет. В соответствии с этой просьбой 1 сентября </w:t>
      </w:r>
      <w:r w:rsidRPr="0010265B">
        <w:lastRenderedPageBreak/>
        <w:t>2016 года секретариат направил эти официальные письма через постоянн</w:t>
      </w:r>
      <w:r w:rsidR="00D16F9B">
        <w:t xml:space="preserve">ые представительства государств – </w:t>
      </w:r>
      <w:r w:rsidRPr="0010265B">
        <w:t xml:space="preserve">членов ЕЭК в Женеве. </w:t>
      </w:r>
    </w:p>
    <w:p w:rsidR="00014A2B" w:rsidRPr="0010265B" w:rsidRDefault="00014A2B" w:rsidP="00014A2B">
      <w:pPr>
        <w:pStyle w:val="SingleTxtGR"/>
      </w:pPr>
      <w:r w:rsidRPr="0010265B">
        <w:t>43.</w:t>
      </w:r>
      <w:r w:rsidRPr="0010265B">
        <w:tab/>
        <w:t>В свете вышеизложенного Комитету будет предложено рассмотреть изм</w:t>
      </w:r>
      <w:r w:rsidRPr="0010265B">
        <w:t>е</w:t>
      </w:r>
      <w:r w:rsidRPr="0010265B">
        <w:t xml:space="preserve">нения, происшедшие в рамках европейского процесса </w:t>
      </w:r>
      <w:r w:rsidR="00DB52B3" w:rsidRPr="0010265B">
        <w:t>«</w:t>
      </w:r>
      <w:r w:rsidRPr="0010265B">
        <w:t>Окружающая среда и здоровье</w:t>
      </w:r>
      <w:r w:rsidR="00DB52B3" w:rsidRPr="0010265B">
        <w:t>»</w:t>
      </w:r>
      <w:r w:rsidRPr="0010265B">
        <w:t>, в частности ход подготовки к шестой Конференции министров, к</w:t>
      </w:r>
      <w:r w:rsidRPr="0010265B">
        <w:t>о</w:t>
      </w:r>
      <w:r w:rsidRPr="0010265B">
        <w:t>торая состоится в Остраве</w:t>
      </w:r>
      <w:r w:rsidR="0063416C">
        <w:t>, Чехия,</w:t>
      </w:r>
      <w:r w:rsidR="00DE5CAC">
        <w:t xml:space="preserve"> </w:t>
      </w:r>
      <w:r w:rsidR="0063416C">
        <w:t>13–</w:t>
      </w:r>
      <w:r w:rsidRPr="0010265B">
        <w:t>15 июня 2017 года</w:t>
      </w:r>
      <w:r w:rsidRPr="007D1342">
        <w:rPr>
          <w:sz w:val="18"/>
          <w:vertAlign w:val="superscript"/>
        </w:rPr>
        <w:footnoteReference w:id="16"/>
      </w:r>
      <w:r w:rsidRPr="0010265B">
        <w:t>.</w:t>
      </w:r>
      <w:r w:rsidR="00DB52B3" w:rsidRPr="0010265B">
        <w:t xml:space="preserve"> </w:t>
      </w:r>
    </w:p>
    <w:p w:rsidR="00014A2B" w:rsidRPr="0010265B" w:rsidRDefault="00014A2B" w:rsidP="00014A2B">
      <w:pPr>
        <w:pStyle w:val="SingleTxtGR"/>
      </w:pPr>
      <w:r w:rsidRPr="0010265B">
        <w:t>44.</w:t>
      </w:r>
      <w:r w:rsidRPr="0010265B">
        <w:tab/>
        <w:t xml:space="preserve"> Кроме того, Комитету будет предложено рассмотреть</w:t>
      </w:r>
      <w:r w:rsidR="00DB52B3" w:rsidRPr="0010265B">
        <w:t xml:space="preserve"> </w:t>
      </w:r>
      <w:r w:rsidRPr="0010265B">
        <w:t>кандидатуры и назначить четырех членов совета от с</w:t>
      </w:r>
      <w:r w:rsidR="0063416C">
        <w:t xml:space="preserve">ектора окружающей среды на </w:t>
      </w:r>
      <w:r w:rsidR="0063416C">
        <w:br/>
        <w:t>2017–2018 </w:t>
      </w:r>
      <w:r w:rsidRPr="0010265B">
        <w:t>годы (информационный документ № 5).</w:t>
      </w:r>
    </w:p>
    <w:p w:rsidR="00014A2B" w:rsidRPr="0010265B" w:rsidRDefault="00A93D2F" w:rsidP="00696B80">
      <w:pPr>
        <w:pStyle w:val="H23GR"/>
      </w:pPr>
      <w:r w:rsidRPr="0010265B">
        <w:tab/>
      </w:r>
      <w:r w:rsidR="00014A2B" w:rsidRPr="0010265B">
        <w:t>f</w:t>
      </w:r>
      <w:r w:rsidRPr="0010265B">
        <w:t>)</w:t>
      </w:r>
      <w:r w:rsidRPr="0010265B">
        <w:tab/>
      </w:r>
      <w:r w:rsidR="00014A2B" w:rsidRPr="0010265B">
        <w:t xml:space="preserve">Строительство </w:t>
      </w:r>
      <w:r w:rsidR="00DB52B3" w:rsidRPr="0010265B">
        <w:t>«</w:t>
      </w:r>
      <w:r w:rsidR="00014A2B" w:rsidRPr="0010265B">
        <w:t>зеленых</w:t>
      </w:r>
      <w:r w:rsidR="00DB52B3" w:rsidRPr="0010265B">
        <w:t>»</w:t>
      </w:r>
      <w:r w:rsidR="00014A2B" w:rsidRPr="0010265B">
        <w:t xml:space="preserve"> зданий</w:t>
      </w:r>
    </w:p>
    <w:p w:rsidR="00014A2B" w:rsidRPr="0010265B" w:rsidRDefault="00014A2B" w:rsidP="00014A2B">
      <w:pPr>
        <w:pStyle w:val="SingleTxtGR"/>
      </w:pPr>
      <w:r w:rsidRPr="0010265B">
        <w:t>45.</w:t>
      </w:r>
      <w:r w:rsidRPr="0010265B">
        <w:tab/>
        <w:t xml:space="preserve">На своей специальной сессии в мае 2011 года Комитет решил участвовать в работе целевой группы по строительству </w:t>
      </w:r>
      <w:r w:rsidR="00DB52B3" w:rsidRPr="0010265B">
        <w:t>«</w:t>
      </w:r>
      <w:r w:rsidRPr="0010265B">
        <w:t>зеленых</w:t>
      </w:r>
      <w:r w:rsidR="00DB52B3" w:rsidRPr="0010265B">
        <w:t>»</w:t>
      </w:r>
      <w:r w:rsidRPr="0010265B">
        <w:t xml:space="preserve"> зданий, в состав которой должны войти эксперты Комитета по лесам и лесной промышленности (ранее известного как Комитет по лесоматериалам), Комитета по жилищному хозя</w:t>
      </w:r>
      <w:r w:rsidRPr="0010265B">
        <w:t>й</w:t>
      </w:r>
      <w:r w:rsidRPr="0010265B">
        <w:t>ству и землепользованию, Комитета по экологической политике и Комитета по устойчивой энергетике вместе с представителями организаций-партнеров. С тех пор Комитет регулярно информировался об изменениях в области</w:t>
      </w:r>
      <w:r w:rsidR="00DB52B3" w:rsidRPr="0010265B">
        <w:t xml:space="preserve"> </w:t>
      </w:r>
      <w:r w:rsidRPr="0010265B">
        <w:t>строител</w:t>
      </w:r>
      <w:r w:rsidRPr="0010265B">
        <w:t>ь</w:t>
      </w:r>
      <w:r w:rsidRPr="0010265B">
        <w:t xml:space="preserve">ства </w:t>
      </w:r>
      <w:r w:rsidR="00DB52B3" w:rsidRPr="0010265B">
        <w:t>«</w:t>
      </w:r>
      <w:r w:rsidRPr="0010265B">
        <w:t>зеленых</w:t>
      </w:r>
      <w:r w:rsidR="00DB52B3" w:rsidRPr="0010265B">
        <w:t>»</w:t>
      </w:r>
      <w:r w:rsidRPr="0010265B">
        <w:t xml:space="preserve"> зданий и, в частности, был проинформирован о задержке с с</w:t>
      </w:r>
      <w:r w:rsidRPr="0010265B">
        <w:t>о</w:t>
      </w:r>
      <w:r w:rsidRPr="0010265B">
        <w:t>зданием целевой группы, вызванной заве</w:t>
      </w:r>
      <w:r w:rsidR="00696B80">
        <w:t>ршением обзора реформы ЕЭК 2005 </w:t>
      </w:r>
      <w:r w:rsidRPr="0010265B">
        <w:t xml:space="preserve">года. В то же время работа по теме строительства </w:t>
      </w:r>
      <w:r w:rsidR="00DB52B3" w:rsidRPr="0010265B">
        <w:t>«</w:t>
      </w:r>
      <w:r w:rsidRPr="0010265B">
        <w:t>зеленых</w:t>
      </w:r>
      <w:r w:rsidR="00DB52B3" w:rsidRPr="0010265B">
        <w:t>»</w:t>
      </w:r>
      <w:r w:rsidRPr="0010265B">
        <w:t xml:space="preserve"> зданий, в частности в контексте экологизации экономики, продвигается хорошо.</w:t>
      </w:r>
    </w:p>
    <w:p w:rsidR="00014A2B" w:rsidRPr="0010265B" w:rsidRDefault="00A93D2F" w:rsidP="00014A2B">
      <w:pPr>
        <w:pStyle w:val="SingleTxtGR"/>
      </w:pPr>
      <w:r w:rsidRPr="0010265B">
        <w:t>46.</w:t>
      </w:r>
      <w:r w:rsidR="00014A2B" w:rsidRPr="0010265B">
        <w:tab/>
        <w:t>На своей сессии в октябре 2015 года Комитет принял к сведению де</w:t>
      </w:r>
      <w:r w:rsidR="00014A2B" w:rsidRPr="0010265B">
        <w:t>я</w:t>
      </w:r>
      <w:r w:rsidR="00014A2B" w:rsidRPr="0010265B">
        <w:t>тельность Комитета ЕЭК по жилищному хозяйству и землепользованию и К</w:t>
      </w:r>
      <w:r w:rsidR="00014A2B" w:rsidRPr="0010265B">
        <w:t>о</w:t>
      </w:r>
      <w:r w:rsidR="00014A2B" w:rsidRPr="0010265B">
        <w:t xml:space="preserve">митета ЕЭК по лесам и лесной промышленности, в частности прогресс в работе по темам строительства </w:t>
      </w:r>
      <w:r w:rsidR="00DB52B3" w:rsidRPr="0010265B">
        <w:t>«</w:t>
      </w:r>
      <w:r w:rsidR="00014A2B" w:rsidRPr="0010265B">
        <w:t>зеленых</w:t>
      </w:r>
      <w:r w:rsidR="00DB52B3" w:rsidRPr="0010265B">
        <w:t>»</w:t>
      </w:r>
      <w:r w:rsidR="00014A2B" w:rsidRPr="0010265B">
        <w:t xml:space="preserve"> зданий и экологизации лесохозяйственного сектора. На своей нынешней сессии Комитет будет проинформирован об изм</w:t>
      </w:r>
      <w:r w:rsidR="00014A2B" w:rsidRPr="0010265B">
        <w:t>е</w:t>
      </w:r>
      <w:r w:rsidR="00014A2B" w:rsidRPr="0010265B">
        <w:t>нениях в этих областях.</w:t>
      </w:r>
    </w:p>
    <w:p w:rsidR="00014A2B" w:rsidRPr="0010265B" w:rsidRDefault="00A93D2F" w:rsidP="00014A2B">
      <w:pPr>
        <w:pStyle w:val="SingleTxtGR"/>
      </w:pPr>
      <w:r w:rsidRPr="0010265B">
        <w:t>47.</w:t>
      </w:r>
      <w:r w:rsidRPr="0010265B">
        <w:tab/>
      </w:r>
      <w:r w:rsidR="00014A2B" w:rsidRPr="0010265B">
        <w:t>Комитет, возможно, пожелает рассмотреть представленную информацию.</w:t>
      </w:r>
    </w:p>
    <w:p w:rsidR="00014A2B" w:rsidRPr="0010265B" w:rsidRDefault="00A93D2F" w:rsidP="00653AE3">
      <w:pPr>
        <w:pStyle w:val="H1GR"/>
      </w:pPr>
      <w:r w:rsidRPr="0010265B">
        <w:tab/>
      </w:r>
      <w:r w:rsidRPr="00653AE3">
        <w:t>9.</w:t>
      </w:r>
      <w:r w:rsidRPr="00653AE3">
        <w:tab/>
      </w:r>
      <w:r w:rsidR="00014A2B" w:rsidRPr="00653AE3">
        <w:t>Программа работы Подпрограммы по окружающей среде</w:t>
      </w:r>
    </w:p>
    <w:p w:rsidR="00014A2B" w:rsidRPr="0010265B" w:rsidRDefault="00A93D2F" w:rsidP="00696B80">
      <w:pPr>
        <w:pStyle w:val="H23GR"/>
      </w:pPr>
      <w:r w:rsidRPr="0010265B">
        <w:tab/>
      </w:r>
      <w:r w:rsidR="00014A2B" w:rsidRPr="0010265B">
        <w:t>a</w:t>
      </w:r>
      <w:r w:rsidRPr="0010265B">
        <w:t>)</w:t>
      </w:r>
      <w:r w:rsidRPr="0010265B">
        <w:tab/>
      </w:r>
      <w:r w:rsidR="00014A2B" w:rsidRPr="0010265B">
        <w:t>Учет гендерной проблематики в природоохранной деятельности</w:t>
      </w:r>
    </w:p>
    <w:p w:rsidR="00014A2B" w:rsidRPr="0010265B" w:rsidRDefault="00696B80" w:rsidP="00014A2B">
      <w:pPr>
        <w:pStyle w:val="SingleTxtGR"/>
      </w:pPr>
      <w:r>
        <w:t>48.</w:t>
      </w:r>
      <w:r w:rsidR="00014A2B" w:rsidRPr="0010265B">
        <w:tab/>
      </w:r>
      <w:proofErr w:type="gramStart"/>
      <w:r w:rsidR="00014A2B" w:rsidRPr="0010265B">
        <w:t>В Плане реформы ЕЭК 2005 года (E/ECE/1434/Rev.1, пункт 79)</w:t>
      </w:r>
      <w:r w:rsidR="00014A2B" w:rsidRPr="007D1342">
        <w:rPr>
          <w:sz w:val="18"/>
          <w:vertAlign w:val="superscript"/>
        </w:rPr>
        <w:footnoteReference w:id="17"/>
      </w:r>
      <w:r w:rsidR="00DB52B3" w:rsidRPr="0010265B">
        <w:t xml:space="preserve"> </w:t>
      </w:r>
      <w:r w:rsidR="00014A2B" w:rsidRPr="0010265B">
        <w:t>говори</w:t>
      </w:r>
      <w:r w:rsidR="00014A2B" w:rsidRPr="0010265B">
        <w:t>т</w:t>
      </w:r>
      <w:r w:rsidR="00014A2B" w:rsidRPr="0010265B">
        <w:t xml:space="preserve">ся, что ЕЭК </w:t>
      </w:r>
      <w:r w:rsidR="00DB52B3" w:rsidRPr="0010265B">
        <w:t>«</w:t>
      </w:r>
      <w:r w:rsidR="00014A2B" w:rsidRPr="0010265B">
        <w:t>будет уделять особое внимание гендерному измерению развития как приоритетной сквозной теме на основе выявления передового опыта соде</w:t>
      </w:r>
      <w:r w:rsidR="00014A2B" w:rsidRPr="0010265B">
        <w:t>й</w:t>
      </w:r>
      <w:r w:rsidR="00014A2B" w:rsidRPr="0010265B">
        <w:t xml:space="preserve">ствия отражению гендерной проблематики в своих различных подпрограммах и деятельности, принимая во внимание экономические области, затрагиваемые региональным обзором </w:t>
      </w:r>
      <w:r w:rsidR="00DB52B3" w:rsidRPr="0010265B">
        <w:t>«</w:t>
      </w:r>
      <w:r w:rsidR="00014A2B" w:rsidRPr="0010265B">
        <w:t>Пекин+10</w:t>
      </w:r>
      <w:r w:rsidR="00DB52B3" w:rsidRPr="0010265B">
        <w:t>»</w:t>
      </w:r>
      <w:r w:rsidR="00014A2B" w:rsidRPr="0010265B">
        <w:t>.</w:t>
      </w:r>
      <w:proofErr w:type="gramEnd"/>
    </w:p>
    <w:p w:rsidR="00014A2B" w:rsidRPr="0010265B" w:rsidRDefault="00696B80" w:rsidP="00014A2B">
      <w:pPr>
        <w:pStyle w:val="SingleTxtGR"/>
      </w:pPr>
      <w:r>
        <w:t>49.</w:t>
      </w:r>
      <w:r w:rsidR="00014A2B" w:rsidRPr="0010265B">
        <w:tab/>
      </w:r>
      <w:proofErr w:type="gramStart"/>
      <w:r w:rsidR="00014A2B" w:rsidRPr="0010265B">
        <w:t>С учетом Плана реформы ЕЭК секретариат разработал новую политику по вопросам гендерного равенства и расширения прав и возможностей женщин, которая развивает дальше</w:t>
      </w:r>
      <w:r w:rsidR="00DB52B3" w:rsidRPr="0010265B">
        <w:t xml:space="preserve"> </w:t>
      </w:r>
      <w:r w:rsidR="00014A2B" w:rsidRPr="0010265B">
        <w:t xml:space="preserve">стратегию учета гендерной проблематики для всех </w:t>
      </w:r>
      <w:r w:rsidR="00014A2B" w:rsidRPr="0010265B">
        <w:lastRenderedPageBreak/>
        <w:t>областей работы.</w:t>
      </w:r>
      <w:proofErr w:type="gramEnd"/>
      <w:r w:rsidR="00014A2B" w:rsidRPr="0010265B">
        <w:t xml:space="preserve"> Исполнительный Комитет ЕЭК приветствовал новую полит</w:t>
      </w:r>
      <w:r w:rsidR="00014A2B" w:rsidRPr="0010265B">
        <w:t>и</w:t>
      </w:r>
      <w:r w:rsidR="00014A2B" w:rsidRPr="0010265B">
        <w:t>ку в сентябре 2016 года. Политика ЕЭК по вопросам гендерного равенства направлена на поддержку деятельности по достижению равенства между же</w:t>
      </w:r>
      <w:r w:rsidR="00014A2B" w:rsidRPr="0010265B">
        <w:t>н</w:t>
      </w:r>
      <w:r w:rsidR="00014A2B" w:rsidRPr="0010265B">
        <w:t>щинами и мужчинами при одновременном стимулировании экономической и</w:t>
      </w:r>
      <w:r w:rsidR="00014A2B" w:rsidRPr="0010265B">
        <w:t>н</w:t>
      </w:r>
      <w:r w:rsidR="00014A2B" w:rsidRPr="0010265B">
        <w:t>теграции на субрегиональном и региональном уровнях, содействии регионал</w:t>
      </w:r>
      <w:r w:rsidR="00014A2B" w:rsidRPr="0010265B">
        <w:t>ь</w:t>
      </w:r>
      <w:r w:rsidR="00014A2B" w:rsidRPr="0010265B">
        <w:t>ному осуществлению международно согласованных целей развития</w:t>
      </w:r>
      <w:r w:rsidR="00DB52B3" w:rsidRPr="0010265B">
        <w:t xml:space="preserve"> </w:t>
      </w:r>
      <w:r w:rsidR="00014A2B" w:rsidRPr="0010265B">
        <w:t>и обесп</w:t>
      </w:r>
      <w:r w:rsidR="00014A2B" w:rsidRPr="0010265B">
        <w:t>е</w:t>
      </w:r>
      <w:r w:rsidR="00014A2B" w:rsidRPr="0010265B">
        <w:t>чении поддержки устойчивого регионального развития в ее странах-членах и субрегионах. Ключевой элемент политики ЕЭК заключается в учете гендерной проблематики в сущностной работе секторальных комитетов.</w:t>
      </w:r>
    </w:p>
    <w:p w:rsidR="00014A2B" w:rsidRPr="0010265B" w:rsidRDefault="00696B80" w:rsidP="00014A2B">
      <w:pPr>
        <w:pStyle w:val="SingleTxtGR"/>
      </w:pPr>
      <w:r>
        <w:t>50.</w:t>
      </w:r>
      <w:r w:rsidR="00014A2B" w:rsidRPr="0010265B">
        <w:tab/>
        <w:t xml:space="preserve">В качестве инструмента осуществления гендерной политики ЕЭК был разработан План действий </w:t>
      </w:r>
      <w:r>
        <w:t>ЕЭК в гендерной области на 2016–</w:t>
      </w:r>
      <w:r w:rsidR="00014A2B" w:rsidRPr="0010265B">
        <w:t>2017 годы. Пред</w:t>
      </w:r>
      <w:r w:rsidR="00014A2B" w:rsidRPr="0010265B">
        <w:t>у</w:t>
      </w:r>
      <w:r w:rsidR="00014A2B" w:rsidRPr="0010265B">
        <w:t>смотренные в Плане стратегические действия</w:t>
      </w:r>
      <w:r w:rsidR="00DB52B3" w:rsidRPr="0010265B">
        <w:t xml:space="preserve"> </w:t>
      </w:r>
      <w:r w:rsidR="00014A2B" w:rsidRPr="0010265B">
        <w:t>включают продвижение генде</w:t>
      </w:r>
      <w:r w:rsidR="00014A2B" w:rsidRPr="0010265B">
        <w:t>р</w:t>
      </w:r>
      <w:r w:rsidR="00014A2B" w:rsidRPr="0010265B">
        <w:t>ной проблематики и повышение важности учета гендерной проблематики в ра</w:t>
      </w:r>
      <w:r w:rsidR="00014A2B" w:rsidRPr="0010265B">
        <w:t>з</w:t>
      </w:r>
      <w:r w:rsidR="00014A2B" w:rsidRPr="0010265B">
        <w:t>личных видах деятельности и на различных мероприятиях Подпрограммы по окружающей среде при наличии такой целесообразности.</w:t>
      </w:r>
    </w:p>
    <w:p w:rsidR="00014A2B" w:rsidRPr="0010265B" w:rsidRDefault="00696B80" w:rsidP="00014A2B">
      <w:pPr>
        <w:pStyle w:val="SingleTxtGR"/>
      </w:pPr>
      <w:r>
        <w:t>51.</w:t>
      </w:r>
      <w:r>
        <w:tab/>
      </w:r>
      <w:r w:rsidR="00014A2B" w:rsidRPr="0010265B">
        <w:t>На своих прошлых очередных сессиях Комитет принимал к сведению представлявшуюся секретариатом информацию об учете гендерных аспектов в природоохранной деятельности, осуществляемой Отделом окружающей среды. В частности, на своей девятнадцатой сессии в 2013 году Комитет признал ва</w:t>
      </w:r>
      <w:r w:rsidR="00014A2B" w:rsidRPr="0010265B">
        <w:t>ж</w:t>
      </w:r>
      <w:r w:rsidR="00014A2B" w:rsidRPr="0010265B">
        <w:t>ность учета гендерной проблематики при подготовке мероприятий и политич</w:t>
      </w:r>
      <w:r w:rsidR="00014A2B" w:rsidRPr="0010265B">
        <w:t>е</w:t>
      </w:r>
      <w:r w:rsidR="00014A2B" w:rsidRPr="0010265B">
        <w:t>ских дискуссий в рамках системы экологического руководства ЕЭК и приве</w:t>
      </w:r>
      <w:r w:rsidR="00014A2B" w:rsidRPr="0010265B">
        <w:t>т</w:t>
      </w:r>
      <w:r w:rsidR="00014A2B" w:rsidRPr="0010265B">
        <w:t>ствовал</w:t>
      </w:r>
      <w:r w:rsidR="00DB52B3" w:rsidRPr="0010265B">
        <w:t xml:space="preserve"> </w:t>
      </w:r>
      <w:r w:rsidR="00014A2B" w:rsidRPr="0010265B">
        <w:t>усилия по учету гендерной проблематики, уже предпринимаемые Отд</w:t>
      </w:r>
      <w:r w:rsidR="00014A2B" w:rsidRPr="0010265B">
        <w:t>е</w:t>
      </w:r>
      <w:r w:rsidR="00014A2B" w:rsidRPr="0010265B">
        <w:t>лом окружающей среды.</w:t>
      </w:r>
    </w:p>
    <w:p w:rsidR="00014A2B" w:rsidRPr="0010265B" w:rsidRDefault="00696B80" w:rsidP="00014A2B">
      <w:pPr>
        <w:pStyle w:val="SingleTxtGR"/>
      </w:pPr>
      <w:r>
        <w:t>52.</w:t>
      </w:r>
      <w:r>
        <w:tab/>
      </w:r>
      <w:r w:rsidR="00014A2B" w:rsidRPr="0010265B">
        <w:t>Комитету будет предложено рассмотреть вопрос о том, как лучше учит</w:t>
      </w:r>
      <w:r w:rsidR="00014A2B" w:rsidRPr="0010265B">
        <w:t>ы</w:t>
      </w:r>
      <w:r w:rsidR="00014A2B" w:rsidRPr="0010265B">
        <w:t>вать гендерную проблематику в экологической деятельности, осуществляемой под его эгидой, в частности</w:t>
      </w:r>
      <w:r w:rsidR="00DB52B3" w:rsidRPr="0010265B">
        <w:t xml:space="preserve"> </w:t>
      </w:r>
      <w:r w:rsidR="00014A2B" w:rsidRPr="0010265B">
        <w:t>в свете</w:t>
      </w:r>
      <w:r w:rsidR="00DB52B3" w:rsidRPr="0010265B">
        <w:t xml:space="preserve"> </w:t>
      </w:r>
      <w:r w:rsidR="00014A2B" w:rsidRPr="0010265B">
        <w:t>Повестки дня 2030 и целей устойчивого развития.</w:t>
      </w:r>
    </w:p>
    <w:p w:rsidR="00014A2B" w:rsidRPr="0010265B" w:rsidRDefault="00A93D2F" w:rsidP="00696B80">
      <w:pPr>
        <w:pStyle w:val="H23GR"/>
      </w:pPr>
      <w:r w:rsidRPr="0010265B">
        <w:tab/>
      </w:r>
      <w:r w:rsidR="00014A2B" w:rsidRPr="0010265B">
        <w:t>b</w:t>
      </w:r>
      <w:r w:rsidRPr="0010265B">
        <w:t>)</w:t>
      </w:r>
      <w:r w:rsidRPr="0010265B">
        <w:tab/>
      </w:r>
      <w:r w:rsidR="00014A2B" w:rsidRPr="0010265B">
        <w:t>Обзор ресурсов для осуществления природоохранной деятель</w:t>
      </w:r>
      <w:r w:rsidR="00696B80">
        <w:t>ности и </w:t>
      </w:r>
      <w:r w:rsidR="00014A2B" w:rsidRPr="0010265B">
        <w:t>критерии оказания финансовой поддержки для участия в совеща</w:t>
      </w:r>
      <w:r w:rsidR="00696B80">
        <w:t>ниях и </w:t>
      </w:r>
      <w:r w:rsidR="00014A2B" w:rsidRPr="0010265B">
        <w:t>мероприятиях</w:t>
      </w:r>
    </w:p>
    <w:p w:rsidR="00014A2B" w:rsidRPr="0010265B" w:rsidRDefault="00696B80" w:rsidP="00014A2B">
      <w:pPr>
        <w:pStyle w:val="SingleTxtGR"/>
      </w:pPr>
      <w:r>
        <w:t>53.</w:t>
      </w:r>
      <w:r w:rsidR="00014A2B" w:rsidRPr="0010265B">
        <w:tab/>
      </w:r>
      <w:proofErr w:type="gramStart"/>
      <w:r w:rsidR="00014A2B" w:rsidRPr="0010265B">
        <w:t>На своей двадцать первой сессии Комитет принял программу работы Подпрогра</w:t>
      </w:r>
      <w:r w:rsidR="00DE5CAC">
        <w:t>ммы по окружающей среде на 2016–</w:t>
      </w:r>
      <w:r w:rsidR="00014A2B" w:rsidRPr="0010265B">
        <w:t>2017 годов и просил секретариат представить информацию о состоянии ресурсов Подпрограммы по окружающей ср</w:t>
      </w:r>
      <w:r w:rsidR="00DE5CAC">
        <w:t>еде на двухгодичный период 2014–</w:t>
      </w:r>
      <w:r w:rsidR="00014A2B" w:rsidRPr="0010265B">
        <w:t>2015 годов на специальной сессии Ком</w:t>
      </w:r>
      <w:r w:rsidR="00014A2B" w:rsidRPr="0010265B">
        <w:t>и</w:t>
      </w:r>
      <w:r w:rsidR="00014A2B" w:rsidRPr="0010265B">
        <w:t>тета в феврале 2016 года.</w:t>
      </w:r>
      <w:proofErr w:type="gramEnd"/>
    </w:p>
    <w:p w:rsidR="00014A2B" w:rsidRPr="0010265B" w:rsidRDefault="00696B80" w:rsidP="00014A2B">
      <w:pPr>
        <w:pStyle w:val="SingleTxtGR"/>
      </w:pPr>
      <w:r>
        <w:t>54.</w:t>
      </w:r>
      <w:r w:rsidR="00014A2B" w:rsidRPr="0010265B">
        <w:tab/>
        <w:t>На своей специальной сессии в феврале 2016 года Комитет принял к св</w:t>
      </w:r>
      <w:r w:rsidR="00014A2B" w:rsidRPr="0010265B">
        <w:t>е</w:t>
      </w:r>
      <w:r w:rsidR="00014A2B" w:rsidRPr="0010265B">
        <w:t>дению представленную секретариатом информацию о доступе к финансовым данным в период перехода на новую систему общеорганизационного планир</w:t>
      </w:r>
      <w:r w:rsidR="00014A2B" w:rsidRPr="0010265B">
        <w:t>о</w:t>
      </w:r>
      <w:r w:rsidR="00014A2B" w:rsidRPr="0010265B">
        <w:t xml:space="preserve">вания ресурсов Организации Объединенных Наций </w:t>
      </w:r>
      <w:r w:rsidR="00DB52B3" w:rsidRPr="0010265B">
        <w:t>«</w:t>
      </w:r>
      <w:r w:rsidR="00014A2B" w:rsidRPr="0010265B">
        <w:t>Умоджа</w:t>
      </w:r>
      <w:r w:rsidR="00DB52B3" w:rsidRPr="0010265B">
        <w:t>»</w:t>
      </w:r>
      <w:r w:rsidR="00014A2B" w:rsidRPr="0010265B">
        <w:t>, которая была внедрена для ЕЭК в ноябре 2015 года, а также вербальную ноту от 18 февраля 2016 года, направленную всем постоянны</w:t>
      </w:r>
      <w:r w:rsidR="00D16F9B">
        <w:t xml:space="preserve">м представительствам государств </w:t>
      </w:r>
      <w:proofErr w:type="gramStart"/>
      <w:r w:rsidR="00D16F9B">
        <w:t>–</w:t>
      </w:r>
      <w:r w:rsidR="00014A2B" w:rsidRPr="0010265B">
        <w:t>ч</w:t>
      </w:r>
      <w:proofErr w:type="gramEnd"/>
      <w:r w:rsidR="00014A2B" w:rsidRPr="0010265B">
        <w:t xml:space="preserve">ленов ЕЭК Канцелярией Исполнительного секретаря. В этой связи Комитет выразил обеспокоенность по поводу трудностей, возникающих из-за того, что система </w:t>
      </w:r>
      <w:r w:rsidR="00DB52B3" w:rsidRPr="0010265B">
        <w:t>«</w:t>
      </w:r>
      <w:r w:rsidR="00014A2B" w:rsidRPr="0010265B">
        <w:t>Умоджа</w:t>
      </w:r>
      <w:r w:rsidR="00DB52B3" w:rsidRPr="0010265B">
        <w:t>»</w:t>
      </w:r>
      <w:r w:rsidR="00014A2B" w:rsidRPr="0010265B">
        <w:t xml:space="preserve"> не полностью функциональна, и просил секретариат пре</w:t>
      </w:r>
      <w:r w:rsidR="00014A2B" w:rsidRPr="0010265B">
        <w:t>д</w:t>
      </w:r>
      <w:r w:rsidR="00014A2B" w:rsidRPr="0010265B">
        <w:t>ставить на двадцать второй сессии Комитета информацию о состоянии ресурсов</w:t>
      </w:r>
      <w:r w:rsidR="00DB52B3" w:rsidRPr="0010265B">
        <w:t xml:space="preserve"> </w:t>
      </w:r>
      <w:r w:rsidR="00014A2B" w:rsidRPr="0010265B">
        <w:t>Подпрограммы по окружающей ср</w:t>
      </w:r>
      <w:r w:rsidR="00DE5CAC">
        <w:t>еде на двухгодичный период 2014–</w:t>
      </w:r>
      <w:r w:rsidR="00014A2B" w:rsidRPr="0010265B">
        <w:t>2015 г</w:t>
      </w:r>
      <w:r w:rsidR="00014A2B" w:rsidRPr="0010265B">
        <w:t>о</w:t>
      </w:r>
      <w:r w:rsidR="00014A2B" w:rsidRPr="0010265B">
        <w:t>ды</w:t>
      </w:r>
      <w:r w:rsidR="00DE5CAC">
        <w:t> – </w:t>
      </w:r>
      <w:r w:rsidR="00014A2B" w:rsidRPr="0010265B">
        <w:t xml:space="preserve">возможно, в пересмотренном формате с учетом функций системы </w:t>
      </w:r>
      <w:r w:rsidR="00DB52B3" w:rsidRPr="0010265B">
        <w:t>«</w:t>
      </w:r>
      <w:r w:rsidR="00014A2B" w:rsidRPr="0010265B">
        <w:t>Умо</w:t>
      </w:r>
      <w:r w:rsidR="00014A2B" w:rsidRPr="0010265B">
        <w:t>д</w:t>
      </w:r>
      <w:r w:rsidR="00014A2B" w:rsidRPr="0010265B">
        <w:t>жа</w:t>
      </w:r>
      <w:r w:rsidR="00DB52B3" w:rsidRPr="0010265B">
        <w:t>»</w:t>
      </w:r>
      <w:r w:rsidR="00014A2B" w:rsidRPr="0010265B">
        <w:t xml:space="preserve"> и доступной через нее информации.</w:t>
      </w:r>
    </w:p>
    <w:p w:rsidR="00014A2B" w:rsidRPr="0010265B" w:rsidRDefault="00DA623A" w:rsidP="00014A2B">
      <w:pPr>
        <w:pStyle w:val="SingleTxtGR"/>
      </w:pPr>
      <w:r>
        <w:lastRenderedPageBreak/>
        <w:t>55.</w:t>
      </w:r>
      <w:r>
        <w:tab/>
      </w:r>
      <w:r w:rsidR="00014A2B" w:rsidRPr="0010265B">
        <w:t>Секретариат представит запрошенную информацию, если ее можно сво</w:t>
      </w:r>
      <w:r w:rsidR="00014A2B" w:rsidRPr="0010265B">
        <w:t>е</w:t>
      </w:r>
      <w:r w:rsidR="00014A2B" w:rsidRPr="0010265B">
        <w:t xml:space="preserve">временно получить через систему </w:t>
      </w:r>
      <w:r w:rsidR="00DB52B3" w:rsidRPr="0010265B">
        <w:t>«</w:t>
      </w:r>
      <w:r w:rsidR="00014A2B" w:rsidRPr="0010265B">
        <w:t>Умоджа</w:t>
      </w:r>
      <w:r w:rsidR="00DB52B3" w:rsidRPr="0010265B">
        <w:t>»</w:t>
      </w:r>
      <w:r w:rsidR="00014A2B" w:rsidRPr="0010265B">
        <w:t xml:space="preserve"> ко времени проведения двадцать второй сессии. Соответственно, Комитету будет предложено рассмотреть на о</w:t>
      </w:r>
      <w:r w:rsidR="00014A2B" w:rsidRPr="0010265B">
        <w:t>с</w:t>
      </w:r>
      <w:r w:rsidR="00014A2B" w:rsidRPr="0010265B">
        <w:t>нове</w:t>
      </w:r>
      <w:r w:rsidR="00DB52B3" w:rsidRPr="0010265B">
        <w:t xml:space="preserve"> </w:t>
      </w:r>
      <w:r w:rsidR="00014A2B" w:rsidRPr="0010265B">
        <w:t>заблаговременно полученной информации</w:t>
      </w:r>
      <w:r w:rsidR="00DB52B3" w:rsidRPr="0010265B">
        <w:t xml:space="preserve"> </w:t>
      </w:r>
      <w:r w:rsidR="00014A2B" w:rsidRPr="0010265B">
        <w:t>вопрос о ресурсах регулярного бюджета и внебюджетных источников</w:t>
      </w:r>
      <w:r w:rsidR="00DB52B3" w:rsidRPr="0010265B">
        <w:t xml:space="preserve"> </w:t>
      </w:r>
      <w:r w:rsidR="00014A2B" w:rsidRPr="0010265B">
        <w:t>для деятельности, относящейся к По</w:t>
      </w:r>
      <w:r w:rsidR="00014A2B" w:rsidRPr="0010265B">
        <w:t>д</w:t>
      </w:r>
      <w:r w:rsidR="00014A2B" w:rsidRPr="0010265B">
        <w:t>программе по окружающей среде (информационный документ № 6). Странам-донорам будет предложено объявить о внесении дополнительных взносов в ц</w:t>
      </w:r>
      <w:r w:rsidR="00014A2B" w:rsidRPr="0010265B">
        <w:t>е</w:t>
      </w:r>
      <w:r w:rsidR="00014A2B" w:rsidRPr="0010265B">
        <w:t>левые фонды.</w:t>
      </w:r>
    </w:p>
    <w:p w:rsidR="00014A2B" w:rsidRPr="0010265B" w:rsidRDefault="00DA623A" w:rsidP="00014A2B">
      <w:pPr>
        <w:pStyle w:val="SingleTxtGR"/>
      </w:pPr>
      <w:r>
        <w:t>56.</w:t>
      </w:r>
      <w:r w:rsidR="00014A2B" w:rsidRPr="0010265B">
        <w:tab/>
      </w:r>
      <w:proofErr w:type="gramStart"/>
      <w:r w:rsidR="00014A2B" w:rsidRPr="0010265B">
        <w:t>В соответствии с рекомендациями относительно критериев финансовой поддержки для участия в совещаниях</w:t>
      </w:r>
      <w:proofErr w:type="gramEnd"/>
      <w:r w:rsidR="00014A2B" w:rsidRPr="0010265B">
        <w:t xml:space="preserve"> и мероприятиях, которые были утвержд</w:t>
      </w:r>
      <w:r w:rsidR="00014A2B" w:rsidRPr="0010265B">
        <w:t>е</w:t>
      </w:r>
      <w:r w:rsidR="00014A2B" w:rsidRPr="0010265B">
        <w:t>ны Комитетом на его двадцать первой сессии, Президиум</w:t>
      </w:r>
      <w:r w:rsidR="00DB52B3" w:rsidRPr="0010265B">
        <w:t xml:space="preserve"> </w:t>
      </w:r>
      <w:r w:rsidR="00014A2B" w:rsidRPr="0010265B">
        <w:t>рекомендовал обн</w:t>
      </w:r>
      <w:r w:rsidR="00014A2B" w:rsidRPr="0010265B">
        <w:t>о</w:t>
      </w:r>
      <w:r w:rsidR="00014A2B" w:rsidRPr="0010265B">
        <w:t>вить</w:t>
      </w:r>
      <w:r w:rsidR="00DB52B3" w:rsidRPr="0010265B">
        <w:t xml:space="preserve"> </w:t>
      </w:r>
      <w:r w:rsidR="00014A2B" w:rsidRPr="0010265B">
        <w:t xml:space="preserve">при поддержке секретариата критерии финансовой поддержки. Комитет, возможно, рассмотрит вопрос об обновлении критериев финансовой поддержки на основе рекомендации Президиума (информационный документ № 7). </w:t>
      </w:r>
    </w:p>
    <w:p w:rsidR="00014A2B" w:rsidRPr="0001452C" w:rsidRDefault="00DA623A" w:rsidP="0001452C">
      <w:pPr>
        <w:pStyle w:val="H1GR"/>
      </w:pPr>
      <w:r>
        <w:tab/>
      </w:r>
      <w:r w:rsidR="00A93D2F" w:rsidRPr="0001452C">
        <w:t>10.</w:t>
      </w:r>
      <w:r w:rsidR="00A93D2F" w:rsidRPr="0001452C">
        <w:tab/>
      </w:r>
      <w:r w:rsidR="00014A2B" w:rsidRPr="0001452C">
        <w:t>Представление мнений и обмен мнениями о второй и третьей сессиях Ассамблеи Ор</w:t>
      </w:r>
      <w:r>
        <w:t>ганизации Объединенных Наций по </w:t>
      </w:r>
      <w:r w:rsidR="00014A2B" w:rsidRPr="0001452C">
        <w:t>окружающей среде</w:t>
      </w:r>
    </w:p>
    <w:p w:rsidR="00014A2B" w:rsidRPr="0010265B" w:rsidRDefault="00DA623A" w:rsidP="00014A2B">
      <w:pPr>
        <w:pStyle w:val="SingleTxtGR"/>
      </w:pPr>
      <w:r>
        <w:t>57.</w:t>
      </w:r>
      <w:r w:rsidR="00014A2B" w:rsidRPr="0010265B">
        <w:tab/>
      </w:r>
      <w:proofErr w:type="gramStart"/>
      <w:r w:rsidR="00014A2B" w:rsidRPr="0010265B">
        <w:t>На своих двадцать первой сессии и сп</w:t>
      </w:r>
      <w:r w:rsidR="00DE5CAC">
        <w:t>ециальной сессии в феврале 2016 </w:t>
      </w:r>
      <w:r w:rsidR="00014A2B" w:rsidRPr="0010265B">
        <w:t>года Комитет принял к сведению информацию, предоставленную ЮНЕП, и приветствовал изменения, происшедшие в процессе подготовки второй се</w:t>
      </w:r>
      <w:r w:rsidR="00014A2B" w:rsidRPr="0010265B">
        <w:t>с</w:t>
      </w:r>
      <w:r w:rsidR="00014A2B" w:rsidRPr="0010265B">
        <w:t>сии Ассамблеи Организации Объединенных Наций по окружающей среде (Найро</w:t>
      </w:r>
      <w:r w:rsidR="00DE5CAC">
        <w:t>би, 23–</w:t>
      </w:r>
      <w:r w:rsidR="00014A2B" w:rsidRPr="0010265B">
        <w:t>27 мая 2016 года).</w:t>
      </w:r>
      <w:proofErr w:type="gramEnd"/>
    </w:p>
    <w:p w:rsidR="00014A2B" w:rsidRPr="0010265B" w:rsidRDefault="00DA623A" w:rsidP="00014A2B">
      <w:pPr>
        <w:pStyle w:val="SingleTxtGR"/>
      </w:pPr>
      <w:r>
        <w:t>58.</w:t>
      </w:r>
      <w:r w:rsidR="00014A2B" w:rsidRPr="0010265B">
        <w:tab/>
        <w:t>Комитету будет предложено рассмотреть информацию, предоставленную ЮНЕП, и обменяться мнениями о последующей деятельности по итогам второй сессии Ассамблеи по окружающей среде, а также о подготовке к третьей сессии (Найроби,</w:t>
      </w:r>
      <w:r>
        <w:t xml:space="preserve"> 4–</w:t>
      </w:r>
      <w:r w:rsidR="00014A2B" w:rsidRPr="0010265B">
        <w:t>6 декабря 2017 года).</w:t>
      </w:r>
    </w:p>
    <w:p w:rsidR="00014A2B" w:rsidRPr="0010265B" w:rsidRDefault="00DA623A" w:rsidP="0001452C">
      <w:pPr>
        <w:pStyle w:val="H1GR"/>
      </w:pPr>
      <w:r>
        <w:tab/>
      </w:r>
      <w:r w:rsidR="00A93D2F" w:rsidRPr="0001452C">
        <w:t>11.</w:t>
      </w:r>
      <w:r w:rsidR="00A93D2F" w:rsidRPr="0001452C">
        <w:tab/>
      </w:r>
      <w:r w:rsidR="00014A2B" w:rsidRPr="0001452C">
        <w:t>Круг ведения</w:t>
      </w:r>
    </w:p>
    <w:p w:rsidR="00014A2B" w:rsidRPr="0010265B" w:rsidRDefault="00014A2B" w:rsidP="00014A2B">
      <w:pPr>
        <w:pStyle w:val="SingleTxtGR"/>
      </w:pPr>
      <w:r w:rsidRPr="0010265B">
        <w:t>59.</w:t>
      </w:r>
      <w:r w:rsidRPr="0010265B">
        <w:tab/>
        <w:t>Нынешний круг ведения Комитета (E/ECE/1447/Add.1), который был</w:t>
      </w:r>
      <w:r w:rsidR="00DB52B3" w:rsidRPr="0010265B">
        <w:t xml:space="preserve"> </w:t>
      </w:r>
      <w:r w:rsidRPr="0010265B">
        <w:t>принят</w:t>
      </w:r>
      <w:r w:rsidR="00DB52B3" w:rsidRPr="0010265B">
        <w:t xml:space="preserve"> </w:t>
      </w:r>
      <w:r w:rsidRPr="0010265B">
        <w:t>Комиссией в 2007 году, в значительной степени основывается на док</w:t>
      </w:r>
      <w:r w:rsidRPr="0010265B">
        <w:t>у</w:t>
      </w:r>
      <w:r w:rsidRPr="0010265B">
        <w:t>менте 2003 года о будущих стратегических направлениях деятельности в обл</w:t>
      </w:r>
      <w:r w:rsidRPr="0010265B">
        <w:t>а</w:t>
      </w:r>
      <w:r w:rsidRPr="0010265B">
        <w:t>сти окружающей среды. Комитету будет предложено рассмотреть вопрос о необходимости пересмотра его круга ведения с целью его представления для возможного принятия</w:t>
      </w:r>
      <w:r w:rsidR="00DB52B3" w:rsidRPr="0010265B">
        <w:t xml:space="preserve"> </w:t>
      </w:r>
      <w:r w:rsidRPr="0010265B">
        <w:t>ЕЭК на ее шестьдесят восьмой сессии в 2019 году. В этой связи Комитет, возможно, пожелает рассмотреть вопрос о том, чтобы поручить</w:t>
      </w:r>
      <w:r w:rsidR="00DB52B3" w:rsidRPr="0010265B">
        <w:t xml:space="preserve"> </w:t>
      </w:r>
      <w:r w:rsidRPr="0010265B">
        <w:t xml:space="preserve">своему Президиуму подготовить при поддержке секретариата первый проект пересмотренного круга ведения для рассмотрения Комитетом на его двадцать третьей сессии в ноябре 2017 года. </w:t>
      </w:r>
    </w:p>
    <w:p w:rsidR="00014A2B" w:rsidRPr="0010265B" w:rsidRDefault="00DA623A" w:rsidP="0001452C">
      <w:pPr>
        <w:pStyle w:val="H1GR"/>
      </w:pPr>
      <w:r>
        <w:tab/>
      </w:r>
      <w:r w:rsidR="00A93D2F" w:rsidRPr="0001452C">
        <w:t>12.</w:t>
      </w:r>
      <w:r w:rsidR="00A93D2F" w:rsidRPr="0001452C">
        <w:tab/>
      </w:r>
      <w:r w:rsidR="00014A2B" w:rsidRPr="0001452C">
        <w:t>Правила процедуры</w:t>
      </w:r>
    </w:p>
    <w:p w:rsidR="00014A2B" w:rsidRPr="0010265B" w:rsidRDefault="00DA623A" w:rsidP="00014A2B">
      <w:pPr>
        <w:pStyle w:val="SingleTxtGR"/>
      </w:pPr>
      <w:r>
        <w:t>60.</w:t>
      </w:r>
      <w:r w:rsidR="00014A2B" w:rsidRPr="0010265B">
        <w:tab/>
      </w:r>
      <w:proofErr w:type="gramStart"/>
      <w:r w:rsidR="00014A2B" w:rsidRPr="0010265B">
        <w:t>На своей двадцать первой сессии Комитет выразил признательность Пр</w:t>
      </w:r>
      <w:r w:rsidR="00014A2B" w:rsidRPr="0010265B">
        <w:t>е</w:t>
      </w:r>
      <w:r w:rsidR="00014A2B" w:rsidRPr="0010265B">
        <w:t>зидиуму и секретариату за работу над проектом правил процедуры Комитета (ECE/CEP/2015/L.6), принял</w:t>
      </w:r>
      <w:r w:rsidR="00DB52B3" w:rsidRPr="0010265B">
        <w:t xml:space="preserve"> </w:t>
      </w:r>
      <w:r w:rsidR="00014A2B" w:rsidRPr="0010265B">
        <w:t>к сведению замечания, представленные делегац</w:t>
      </w:r>
      <w:r w:rsidR="00014A2B" w:rsidRPr="0010265B">
        <w:t>и</w:t>
      </w:r>
      <w:r w:rsidR="00014A2B" w:rsidRPr="0010265B">
        <w:t>ями в ходе совещания, и постановил отложить рассмотрение проекта правил процедуры до двадцать второй сессии Комитета, основываясь на</w:t>
      </w:r>
      <w:r w:rsidR="00DB52B3" w:rsidRPr="0010265B">
        <w:t xml:space="preserve"> </w:t>
      </w:r>
      <w:r w:rsidR="00014A2B" w:rsidRPr="0010265B">
        <w:t>пересмотре</w:t>
      </w:r>
      <w:r w:rsidR="00014A2B" w:rsidRPr="0010265B">
        <w:t>н</w:t>
      </w:r>
      <w:r w:rsidR="00014A2B" w:rsidRPr="0010265B">
        <w:t>ном предложении Президиума.</w:t>
      </w:r>
      <w:proofErr w:type="gramEnd"/>
    </w:p>
    <w:p w:rsidR="00014A2B" w:rsidRPr="0010265B" w:rsidRDefault="00014A2B" w:rsidP="00014A2B">
      <w:pPr>
        <w:pStyle w:val="SingleTxtGR"/>
      </w:pPr>
      <w:r w:rsidRPr="0010265B">
        <w:lastRenderedPageBreak/>
        <w:t>61.</w:t>
      </w:r>
      <w:r w:rsidRPr="0010265B">
        <w:tab/>
        <w:t>В соответствии с этой просьбой Президиум продолжил при поддержке секретариата пересмотр проекта правил процедуры Комитета (ECE/CEP/2017/</w:t>
      </w:r>
      <w:r w:rsidR="00DA623A">
        <w:br/>
      </w:r>
      <w:r w:rsidRPr="0010265B">
        <w:t>L.1). Комитету будет предложено рассмотреть вопрос о принятии проекта пр</w:t>
      </w:r>
      <w:r w:rsidRPr="0010265B">
        <w:t>а</w:t>
      </w:r>
      <w:r w:rsidRPr="0010265B">
        <w:t>вил процедуры.</w:t>
      </w:r>
    </w:p>
    <w:p w:rsidR="00014A2B" w:rsidRPr="0010265B" w:rsidRDefault="00DA623A" w:rsidP="0001452C">
      <w:pPr>
        <w:pStyle w:val="H1GR"/>
      </w:pPr>
      <w:r>
        <w:tab/>
      </w:r>
      <w:r w:rsidR="00014A2B" w:rsidRPr="0001452C">
        <w:t>13.</w:t>
      </w:r>
      <w:r w:rsidR="00014A2B" w:rsidRPr="0001452C">
        <w:tab/>
        <w:t>Выборы должностных лиц</w:t>
      </w:r>
    </w:p>
    <w:p w:rsidR="00014A2B" w:rsidRPr="0010265B" w:rsidRDefault="00DA623A" w:rsidP="00014A2B">
      <w:pPr>
        <w:pStyle w:val="SingleTxtGR"/>
      </w:pPr>
      <w:r>
        <w:t>62.</w:t>
      </w:r>
      <w:r w:rsidR="00014A2B" w:rsidRPr="0010265B">
        <w:tab/>
        <w:t>Комитету будет предложено избрать Председателя и других членов Пр</w:t>
      </w:r>
      <w:r w:rsidR="00014A2B" w:rsidRPr="0010265B">
        <w:t>е</w:t>
      </w:r>
      <w:r w:rsidR="00014A2B" w:rsidRPr="0010265B">
        <w:t>зидиума. Список предложенных кандидатов будет заблаговременно распр</w:t>
      </w:r>
      <w:r w:rsidR="00014A2B" w:rsidRPr="0010265B">
        <w:t>о</w:t>
      </w:r>
      <w:r w:rsidR="00014A2B" w:rsidRPr="0010265B">
        <w:t>странен по электронной почте</w:t>
      </w:r>
      <w:r w:rsidR="00DB52B3" w:rsidRPr="0010265B">
        <w:t xml:space="preserve"> </w:t>
      </w:r>
      <w:r w:rsidR="00014A2B" w:rsidRPr="0010265B">
        <w:t>до начала совещания (информационный док</w:t>
      </w:r>
      <w:r w:rsidR="00014A2B" w:rsidRPr="0010265B">
        <w:t>у</w:t>
      </w:r>
      <w:r w:rsidR="00014A2B" w:rsidRPr="0010265B">
        <w:t>мент № 8).</w:t>
      </w:r>
    </w:p>
    <w:p w:rsidR="00014A2B" w:rsidRPr="0010265B" w:rsidRDefault="00DA623A" w:rsidP="0001452C">
      <w:pPr>
        <w:pStyle w:val="H1GR"/>
      </w:pPr>
      <w:r>
        <w:tab/>
      </w:r>
      <w:r w:rsidR="00014A2B" w:rsidRPr="0001452C">
        <w:t>14.</w:t>
      </w:r>
      <w:r w:rsidR="00014A2B" w:rsidRPr="0001452C">
        <w:tab/>
        <w:t>Расписание совещаний</w:t>
      </w:r>
    </w:p>
    <w:p w:rsidR="00014A2B" w:rsidRPr="0010265B" w:rsidRDefault="00DA623A" w:rsidP="00014A2B">
      <w:pPr>
        <w:pStyle w:val="SingleTxtGR"/>
      </w:pPr>
      <w:r>
        <w:t>63.</w:t>
      </w:r>
      <w:r w:rsidR="00014A2B" w:rsidRPr="0010265B">
        <w:tab/>
        <w:t>Комитету будет предложено рассмотреть на предмет утверждения обно</w:t>
      </w:r>
      <w:r w:rsidR="00014A2B" w:rsidRPr="0010265B">
        <w:t>в</w:t>
      </w:r>
      <w:r w:rsidR="00014A2B" w:rsidRPr="0010265B">
        <w:t>ленный график совещаний на</w:t>
      </w:r>
      <w:r w:rsidR="00DB52B3" w:rsidRPr="0010265B">
        <w:t xml:space="preserve"> </w:t>
      </w:r>
      <w:r>
        <w:t>2017–</w:t>
      </w:r>
      <w:r w:rsidR="00014A2B" w:rsidRPr="0010265B">
        <w:t>2019 годы, который был подготовлен секр</w:t>
      </w:r>
      <w:r w:rsidR="00014A2B" w:rsidRPr="0010265B">
        <w:t>е</w:t>
      </w:r>
      <w:r w:rsidR="00014A2B" w:rsidRPr="0010265B">
        <w:t>тариатом (информационный документ № 9). Двадцать третью сессию Комитета п</w:t>
      </w:r>
      <w:r>
        <w:t>ланируется провести в Женеве 14–</w:t>
      </w:r>
      <w:r w:rsidR="00014A2B" w:rsidRPr="0010265B">
        <w:t>17 ноября 2017 года.</w:t>
      </w:r>
    </w:p>
    <w:p w:rsidR="00014A2B" w:rsidRPr="0010265B" w:rsidRDefault="00DA623A" w:rsidP="0001452C">
      <w:pPr>
        <w:pStyle w:val="H1GR"/>
      </w:pPr>
      <w:r>
        <w:tab/>
      </w:r>
      <w:r w:rsidR="00014A2B" w:rsidRPr="0001452C">
        <w:t>15.</w:t>
      </w:r>
      <w:r w:rsidR="00014A2B" w:rsidRPr="0001452C">
        <w:tab/>
        <w:t>Прочие вопросы</w:t>
      </w:r>
    </w:p>
    <w:p w:rsidR="00014A2B" w:rsidRPr="0010265B" w:rsidRDefault="00014A2B" w:rsidP="00014A2B">
      <w:pPr>
        <w:pStyle w:val="SingleTxtGR"/>
      </w:pPr>
      <w:r w:rsidRPr="0010265B">
        <w:t>64.</w:t>
      </w:r>
      <w:r w:rsidRPr="0010265B">
        <w:tab/>
        <w:t>Комитету будет предложено обсудить любые другие вопросы, которые могут быть доведены до его сведения. Делегациям, желающим вынести на о</w:t>
      </w:r>
      <w:r w:rsidRPr="0010265B">
        <w:t>б</w:t>
      </w:r>
      <w:r w:rsidRPr="0010265B">
        <w:t>суждение те или иные вопросы, предлагается как можно скорее проинформир</w:t>
      </w:r>
      <w:r w:rsidRPr="0010265B">
        <w:t>о</w:t>
      </w:r>
      <w:r w:rsidRPr="0010265B">
        <w:t>вать об этом секретариат.</w:t>
      </w:r>
    </w:p>
    <w:p w:rsidR="00014A2B" w:rsidRPr="0010265B" w:rsidRDefault="00DA623A" w:rsidP="0001452C">
      <w:pPr>
        <w:pStyle w:val="H1GR"/>
      </w:pPr>
      <w:r>
        <w:tab/>
      </w:r>
      <w:r w:rsidR="00014A2B" w:rsidRPr="0010265B">
        <w:t>16.</w:t>
      </w:r>
      <w:r w:rsidR="00014A2B" w:rsidRPr="0010265B">
        <w:tab/>
        <w:t>Закрытие совещания</w:t>
      </w:r>
    </w:p>
    <w:p w:rsidR="00014A2B" w:rsidRPr="0010265B" w:rsidRDefault="00014A2B" w:rsidP="00014A2B">
      <w:pPr>
        <w:pStyle w:val="SingleTxtGR"/>
      </w:pPr>
      <w:r w:rsidRPr="0010265B">
        <w:t xml:space="preserve">65. </w:t>
      </w:r>
      <w:r w:rsidRPr="0010265B">
        <w:tab/>
        <w:t>Председатель при содействии секретариата подытожит выводы и реш</w:t>
      </w:r>
      <w:r w:rsidRPr="0010265B">
        <w:t>е</w:t>
      </w:r>
      <w:r w:rsidRPr="0010265B">
        <w:t>ния Комитета и</w:t>
      </w:r>
      <w:r w:rsidR="00DB52B3" w:rsidRPr="0010265B">
        <w:t xml:space="preserve"> </w:t>
      </w:r>
      <w:r w:rsidRPr="0010265B">
        <w:t>объявит совещание закрытым.</w:t>
      </w:r>
      <w:r w:rsidR="00DB52B3" w:rsidRPr="0010265B">
        <w:t xml:space="preserve"> </w:t>
      </w:r>
      <w:r w:rsidRPr="0010265B">
        <w:t>Доклад о работе совещания и список участников будут доработаны секретариатом в консультации с Презид</w:t>
      </w:r>
      <w:r w:rsidRPr="0010265B">
        <w:t>и</w:t>
      </w:r>
      <w:r w:rsidRPr="0010265B">
        <w:t>умом для распространения среди членов Комитета после совещания. Эти док</w:t>
      </w:r>
      <w:r w:rsidRPr="0010265B">
        <w:t>у</w:t>
      </w:r>
      <w:r w:rsidRPr="0010265B">
        <w:t xml:space="preserve">менты будут размещены на веб-сайте совещания. </w:t>
      </w:r>
    </w:p>
    <w:p w:rsidR="00A658DB" w:rsidRPr="0010265B" w:rsidRDefault="00014A2B" w:rsidP="00014A2B">
      <w:pPr>
        <w:spacing w:before="240"/>
        <w:jc w:val="center"/>
        <w:rPr>
          <w:u w:val="single"/>
        </w:rPr>
      </w:pPr>
      <w:r w:rsidRPr="0010265B">
        <w:rPr>
          <w:u w:val="single"/>
        </w:rPr>
        <w:tab/>
      </w:r>
      <w:r w:rsidRPr="0010265B">
        <w:rPr>
          <w:u w:val="single"/>
        </w:rPr>
        <w:tab/>
      </w:r>
      <w:r w:rsidRPr="0010265B">
        <w:rPr>
          <w:u w:val="single"/>
        </w:rPr>
        <w:tab/>
      </w:r>
    </w:p>
    <w:sectPr w:rsidR="00A658DB" w:rsidRPr="0010265B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E1" w:rsidRDefault="00A760E1" w:rsidP="00B471C5">
      <w:r>
        <w:separator/>
      </w:r>
    </w:p>
  </w:endnote>
  <w:endnote w:type="continuationSeparator" w:id="0">
    <w:p w:rsidR="00A760E1" w:rsidRDefault="00A760E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E1" w:rsidRPr="009A6F4A" w:rsidRDefault="00A760E1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F10C7">
      <w:rPr>
        <w:b/>
        <w:noProof/>
        <w:sz w:val="18"/>
        <w:szCs w:val="18"/>
      </w:rPr>
      <w:t>14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4904FB">
      <w:rPr>
        <w:lang w:val="ru-RU"/>
      </w:rPr>
      <w:t>19372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E1" w:rsidRPr="009A6F4A" w:rsidRDefault="00A760E1" w:rsidP="007005EE">
    <w:pPr>
      <w:pStyle w:val="a7"/>
      <w:rPr>
        <w:lang w:val="en-US"/>
      </w:rPr>
    </w:pPr>
    <w:r>
      <w:rPr>
        <w:lang w:val="en-US"/>
      </w:rPr>
      <w:t>GE.16-</w:t>
    </w:r>
    <w:r w:rsidRPr="004904FB">
      <w:t>19372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F10C7">
      <w:rPr>
        <w:b/>
        <w:noProof/>
        <w:sz w:val="18"/>
        <w:szCs w:val="18"/>
      </w:rPr>
      <w:t>13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760E1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760E1" w:rsidRPr="004904FB" w:rsidRDefault="00A760E1" w:rsidP="00014A2B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Pr="004904FB">
            <w:t>19372</w:t>
          </w:r>
          <w:r w:rsidRPr="001C3ABC">
            <w:rPr>
              <w:lang w:val="en-US"/>
            </w:rPr>
            <w:t xml:space="preserve"> (R)</w:t>
          </w:r>
          <w:r w:rsidR="009F10C7">
            <w:t xml:space="preserve">  281116  2</w:t>
          </w:r>
          <w:r w:rsidR="009F10C7">
            <w:rPr>
              <w:lang w:val="en-US"/>
            </w:rPr>
            <w:t>9</w:t>
          </w:r>
          <w:r>
            <w:t>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760E1" w:rsidRDefault="00A760E1" w:rsidP="00014A2B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760E1" w:rsidRDefault="00A760E1" w:rsidP="00014A2B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CEP/2017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CEP/2017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60E1" w:rsidRPr="00797A78" w:rsidTr="00014A2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760E1" w:rsidRPr="004904FB" w:rsidRDefault="00A760E1" w:rsidP="00014A2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904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904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904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904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904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904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904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904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904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760E1" w:rsidRDefault="00A760E1" w:rsidP="00014A2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760E1" w:rsidRDefault="00A760E1" w:rsidP="00014A2B"/>
      </w:tc>
    </w:tr>
  </w:tbl>
  <w:p w:rsidR="00A760E1" w:rsidRPr="007005EE" w:rsidRDefault="00A760E1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E1" w:rsidRPr="009141DC" w:rsidRDefault="00A760E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760E1" w:rsidRPr="00D1261C" w:rsidRDefault="00A760E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B64D8" w:rsidRDefault="00A760E1" w:rsidP="00014A2B">
      <w:pPr>
        <w:pStyle w:val="aa"/>
        <w:rPr>
          <w:szCs w:val="18"/>
          <w:lang w:val="ru-RU"/>
        </w:rPr>
      </w:pPr>
      <w:r w:rsidRPr="00902076">
        <w:rPr>
          <w:b/>
          <w:bCs/>
        </w:rPr>
        <w:tab/>
      </w:r>
      <w:r w:rsidRPr="004B4E98">
        <w:rPr>
          <w:rStyle w:val="a6"/>
          <w:spacing w:val="4"/>
          <w:w w:val="103"/>
          <w:sz w:val="20"/>
          <w:vertAlign w:val="baseline"/>
          <w:lang w:val="ru-RU" w:eastAsia="en-US"/>
        </w:rPr>
        <w:t>*</w:t>
      </w:r>
      <w:r w:rsidRPr="009B08B2">
        <w:rPr>
          <w:b/>
          <w:bCs/>
          <w:lang w:val="ru-RU"/>
        </w:rPr>
        <w:tab/>
      </w:r>
      <w:r w:rsidRPr="00D1686F">
        <w:rPr>
          <w:szCs w:val="18"/>
          <w:lang w:val="ru-RU"/>
        </w:rPr>
        <w:t xml:space="preserve">Для всех делегатов, участвующих в работе совещаний, проводимых во Дворце Наций, существуют процедуры аккредитации. В этой связи делегатам предлагается не </w:t>
      </w:r>
      <w:proofErr w:type="gramStart"/>
      <w:r w:rsidRPr="00D1686F">
        <w:rPr>
          <w:szCs w:val="18"/>
          <w:lang w:val="ru-RU"/>
        </w:rPr>
        <w:t>позднее</w:t>
      </w:r>
      <w:proofErr w:type="gramEnd"/>
      <w:r w:rsidRPr="00D1686F">
        <w:rPr>
          <w:szCs w:val="18"/>
          <w:lang w:val="ru-RU"/>
        </w:rPr>
        <w:t xml:space="preserve"> чем за две недели до начала совещания заполнить онлайновый регистрационный бланк, размещенный в Интернете (</w:t>
      </w:r>
      <w:hyperlink r:id="rId1" w:history="1">
        <w:r w:rsidRPr="00D1686F">
          <w:rPr>
            <w:szCs w:val="18"/>
            <w:lang w:val="ru-RU"/>
          </w:rPr>
          <w:t>https://www2.unece.org/uncdb/app/ext/meeting-registration?id=v_rv39</w:t>
        </w:r>
      </w:hyperlink>
      <w:r w:rsidRPr="00D1686F">
        <w:rPr>
          <w:szCs w:val="18"/>
          <w:lang w:val="ru-RU"/>
        </w:rPr>
        <w:t xml:space="preserve">). Направляясь на совещание, делегаты должны получить пропуск в Бюро выдачи пропусков и удостоверений Секции охраны и безопасности Отделения </w:t>
      </w:r>
      <w:proofErr w:type="gramStart"/>
      <w:r w:rsidRPr="00D1686F">
        <w:rPr>
          <w:szCs w:val="18"/>
          <w:lang w:val="ru-RU"/>
        </w:rPr>
        <w:t>Организации</w:t>
      </w:r>
      <w:proofErr w:type="gramEnd"/>
      <w:r w:rsidRPr="00D1686F">
        <w:rPr>
          <w:szCs w:val="18"/>
          <w:lang w:val="ru-RU"/>
        </w:rPr>
        <w:t xml:space="preserve"> Объединенных Наций в Женеве, которое находится на въезде со стороны Прени по адресу 14, Avenue de la Paix (см. план и другую практическую информацию на веб-сайте Европейской экономической комиссии Организации Объединенных Наций по адресу </w:t>
      </w:r>
      <w:hyperlink r:id="rId2" w:history="1">
        <w:r w:rsidRPr="00D1686F">
          <w:rPr>
            <w:szCs w:val="18"/>
            <w:lang w:val="ru-RU"/>
          </w:rPr>
          <w:t>http://www.unece.org/meetings/practical.html</w:t>
        </w:r>
      </w:hyperlink>
      <w:r w:rsidRPr="00D1686F">
        <w:rPr>
          <w:szCs w:val="18"/>
          <w:lang w:val="ru-RU"/>
        </w:rPr>
        <w:t xml:space="preserve">). </w:t>
      </w:r>
    </w:p>
    <w:p w:rsidR="00A760E1" w:rsidRPr="00D1686F" w:rsidRDefault="006B64D8" w:rsidP="00014A2B">
      <w:pPr>
        <w:pStyle w:val="aa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szCs w:val="18"/>
          <w:lang w:val="ru-RU"/>
        </w:rPr>
        <w:tab/>
      </w:r>
      <w:r w:rsidR="00A760E1" w:rsidRPr="00D1686F">
        <w:rPr>
          <w:szCs w:val="18"/>
          <w:lang w:val="ru-RU"/>
        </w:rPr>
        <w:t xml:space="preserve">В случае каких-либо затруднений просьба связаться с секретариатом по телефону </w:t>
      </w:r>
      <w:r>
        <w:rPr>
          <w:szCs w:val="18"/>
          <w:lang w:val="ru-RU"/>
        </w:rPr>
        <w:br/>
      </w:r>
      <w:r w:rsidR="00A760E1" w:rsidRPr="00D1686F">
        <w:rPr>
          <w:szCs w:val="18"/>
          <w:lang w:val="ru-RU"/>
        </w:rPr>
        <w:t xml:space="preserve">+41 22 917 2682. </w:t>
      </w:r>
    </w:p>
  </w:footnote>
  <w:footnote w:id="2">
    <w:p w:rsidR="00A760E1" w:rsidRPr="00B53449" w:rsidRDefault="00A760E1" w:rsidP="00014A2B">
      <w:pPr>
        <w:pStyle w:val="aa"/>
        <w:rPr>
          <w:lang w:val="ru-RU"/>
        </w:rPr>
      </w:pPr>
      <w:r w:rsidRPr="00B53449">
        <w:rPr>
          <w:lang w:val="ru-RU"/>
        </w:rPr>
        <w:tab/>
      </w:r>
      <w:r>
        <w:rPr>
          <w:rStyle w:val="a6"/>
        </w:rPr>
        <w:footnoteRef/>
      </w:r>
      <w:r w:rsidRPr="00B53449">
        <w:rPr>
          <w:lang w:val="ru-RU"/>
        </w:rPr>
        <w:tab/>
      </w:r>
      <w:r>
        <w:rPr>
          <w:lang w:val="ru-RU"/>
        </w:rPr>
        <w:t>С</w:t>
      </w:r>
      <w:r w:rsidRPr="00B53449">
        <w:rPr>
          <w:lang w:val="ru-RU"/>
        </w:rPr>
        <w:t xml:space="preserve"> </w:t>
      </w:r>
      <w:r>
        <w:rPr>
          <w:lang w:val="ru-RU"/>
        </w:rPr>
        <w:t>к</w:t>
      </w:r>
      <w:r w:rsidRPr="00B53449">
        <w:rPr>
          <w:lang w:val="ru-RU"/>
        </w:rPr>
        <w:t>руг</w:t>
      </w:r>
      <w:r>
        <w:rPr>
          <w:lang w:val="ru-RU"/>
        </w:rPr>
        <w:t>ом</w:t>
      </w:r>
      <w:r w:rsidRPr="00B53449">
        <w:rPr>
          <w:lang w:val="ru-RU"/>
        </w:rPr>
        <w:t xml:space="preserve"> ведения можно ознакомиться на веб-сайте ЕЭК</w:t>
      </w:r>
      <w:r>
        <w:rPr>
          <w:lang w:val="ru-RU"/>
        </w:rPr>
        <w:t xml:space="preserve"> </w:t>
      </w:r>
      <w:r w:rsidRPr="00B53449">
        <w:rPr>
          <w:lang w:val="ru-RU"/>
        </w:rPr>
        <w:t>(</w:t>
      </w:r>
      <w:hyperlink r:id="rId3" w:history="1">
        <w:r w:rsidR="007D1342" w:rsidRPr="007D1342">
          <w:rPr>
            <w:lang w:val="ru-RU"/>
          </w:rPr>
          <w:t>http://www.unece.org/env/</w:t>
        </w:r>
        <w:r w:rsidR="00025F5B">
          <w:rPr>
            <w:lang w:val="ru-RU"/>
          </w:rPr>
          <w:br/>
        </w:r>
        <w:proofErr w:type="spellStart"/>
        <w:r w:rsidR="007D1342" w:rsidRPr="007D1342">
          <w:rPr>
            <w:lang w:val="ru-RU"/>
          </w:rPr>
          <w:t>cep</w:t>
        </w:r>
        <w:proofErr w:type="spellEnd"/>
        <w:r w:rsidR="007D1342" w:rsidRPr="007D1342">
          <w:rPr>
            <w:lang w:val="ru-RU"/>
          </w:rPr>
          <w:t>/</w:t>
        </w:r>
        <w:proofErr w:type="spellStart"/>
        <w:r w:rsidR="007D1342" w:rsidRPr="007D1342">
          <w:rPr>
            <w:lang w:val="ru-RU"/>
          </w:rPr>
          <w:t>tor</w:t>
        </w:r>
        <w:proofErr w:type="spellEnd"/>
      </w:hyperlink>
      <w:r w:rsidRPr="00B53449">
        <w:rPr>
          <w:lang w:val="ru-RU"/>
        </w:rPr>
        <w:t xml:space="preserve">). </w:t>
      </w:r>
    </w:p>
  </w:footnote>
  <w:footnote w:id="3">
    <w:p w:rsidR="00A760E1" w:rsidRPr="00236D01" w:rsidRDefault="00A760E1" w:rsidP="00014A2B">
      <w:pPr>
        <w:pStyle w:val="aa"/>
        <w:rPr>
          <w:lang w:val="ru-RU"/>
        </w:rPr>
      </w:pPr>
      <w:r w:rsidRPr="00B53449">
        <w:rPr>
          <w:lang w:val="ru-RU"/>
        </w:rPr>
        <w:tab/>
      </w:r>
      <w:r w:rsidRPr="005B2D1E">
        <w:rPr>
          <w:rStyle w:val="a6"/>
        </w:rPr>
        <w:footnoteRef/>
      </w:r>
      <w:r w:rsidRPr="006414CE">
        <w:rPr>
          <w:lang w:val="ru-RU"/>
        </w:rPr>
        <w:tab/>
      </w:r>
      <w:r w:rsidRPr="00236D01">
        <w:rPr>
          <w:lang w:val="ru-RU"/>
        </w:rPr>
        <w:t xml:space="preserve">Информацию и материалы для совещания см. на </w:t>
      </w:r>
      <w:proofErr w:type="gramStart"/>
      <w:r w:rsidRPr="00236D01">
        <w:rPr>
          <w:lang w:val="ru-RU"/>
        </w:rPr>
        <w:t>специальной</w:t>
      </w:r>
      <w:proofErr w:type="gramEnd"/>
      <w:r w:rsidRPr="00236D01">
        <w:rPr>
          <w:lang w:val="ru-RU"/>
        </w:rPr>
        <w:t xml:space="preserve"> веб-странице веб-сайта ЕЭК (</w:t>
      </w:r>
      <w:hyperlink r:id="rId4" w:history="1">
        <w:r w:rsidRPr="00236D01">
          <w:rPr>
            <w:lang w:val="ru-RU"/>
          </w:rPr>
          <w:t>http://www.unece.org/index.php?id=42766</w:t>
        </w:r>
      </w:hyperlink>
      <w:r w:rsidRPr="00236D01">
        <w:rPr>
          <w:lang w:val="ru-RU"/>
        </w:rPr>
        <w:t>).</w:t>
      </w:r>
    </w:p>
  </w:footnote>
  <w:footnote w:id="4">
    <w:p w:rsidR="00A760E1" w:rsidRPr="006414CE" w:rsidRDefault="00A760E1" w:rsidP="00236D01">
      <w:pPr>
        <w:pStyle w:val="aa"/>
        <w:rPr>
          <w:lang w:val="ru-RU"/>
        </w:rPr>
      </w:pPr>
      <w:r w:rsidRPr="006414CE">
        <w:rPr>
          <w:lang w:val="ru-RU"/>
        </w:rPr>
        <w:tab/>
      </w:r>
      <w:r>
        <w:rPr>
          <w:rStyle w:val="a6"/>
        </w:rPr>
        <w:footnoteRef/>
      </w:r>
      <w:r w:rsidRPr="006414CE">
        <w:rPr>
          <w:lang w:val="ru-RU"/>
        </w:rPr>
        <w:tab/>
      </w:r>
      <w:r>
        <w:rPr>
          <w:lang w:val="ru-RU"/>
        </w:rPr>
        <w:t xml:space="preserve">Документ доступен на веб-сайте Конференции </w:t>
      </w:r>
      <w:r w:rsidRPr="006414CE">
        <w:rPr>
          <w:lang w:val="ru-RU"/>
        </w:rPr>
        <w:t>(</w:t>
      </w:r>
      <w:hyperlink r:id="rId5" w:history="1">
        <w:r w:rsidR="00935EEA" w:rsidRPr="00935EEA">
          <w:rPr>
            <w:lang w:val="ru-RU"/>
          </w:rPr>
          <w:t>http://www.unece.org/environmental-policy/environment-for-europe/efe-conferences/batumi-conference/documents-and-materials</w:t>
        </w:r>
      </w:hyperlink>
      <w:r w:rsidRPr="006414CE">
        <w:rPr>
          <w:lang w:val="ru-RU"/>
        </w:rPr>
        <w:t xml:space="preserve">). </w:t>
      </w:r>
    </w:p>
  </w:footnote>
  <w:footnote w:id="5">
    <w:p w:rsidR="00A760E1" w:rsidRPr="00040186" w:rsidRDefault="00A760E1" w:rsidP="00236D01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6414CE">
        <w:rPr>
          <w:lang w:val="ru-RU"/>
        </w:rPr>
        <w:tab/>
      </w:r>
      <w:r>
        <w:rPr>
          <w:rStyle w:val="a6"/>
        </w:rPr>
        <w:footnoteRef/>
      </w:r>
      <w:r w:rsidRPr="00040186">
        <w:rPr>
          <w:lang w:val="ru-RU"/>
        </w:rPr>
        <w:tab/>
      </w:r>
      <w:proofErr w:type="gramStart"/>
      <w:r>
        <w:rPr>
          <w:lang w:val="ru-RU"/>
        </w:rPr>
        <w:t xml:space="preserve">См. резолюцию </w:t>
      </w:r>
      <w:r w:rsidRPr="00040186">
        <w:rPr>
          <w:lang w:val="ru-RU"/>
        </w:rPr>
        <w:t xml:space="preserve">70/299 </w:t>
      </w:r>
      <w:r>
        <w:rPr>
          <w:lang w:val="ru-RU"/>
        </w:rPr>
        <w:t>Генеральной Ассамблеи об о</w:t>
      </w:r>
      <w:r w:rsidRPr="00040186">
        <w:rPr>
          <w:lang w:val="ru-RU"/>
        </w:rPr>
        <w:t>существлени</w:t>
      </w:r>
      <w:r>
        <w:rPr>
          <w:lang w:val="ru-RU"/>
        </w:rPr>
        <w:t>и</w:t>
      </w:r>
      <w:r w:rsidRPr="00040186">
        <w:rPr>
          <w:lang w:val="ru-RU"/>
        </w:rPr>
        <w:t xml:space="preserve"> последующей деятельности в связи с Повесткой дня в области ус</w:t>
      </w:r>
      <w:r w:rsidR="00006B12">
        <w:rPr>
          <w:lang w:val="ru-RU"/>
        </w:rPr>
        <w:t>тойчивого развития на период до</w:t>
      </w:r>
      <w:r w:rsidR="00006B12">
        <w:rPr>
          <w:lang w:val="en-US"/>
        </w:rPr>
        <w:t> </w:t>
      </w:r>
      <w:r w:rsidRPr="00040186">
        <w:rPr>
          <w:lang w:val="ru-RU"/>
        </w:rPr>
        <w:t>2030 года и проведени</w:t>
      </w:r>
      <w:r>
        <w:rPr>
          <w:lang w:val="ru-RU"/>
        </w:rPr>
        <w:t>и</w:t>
      </w:r>
      <w:r w:rsidRPr="00040186">
        <w:rPr>
          <w:lang w:val="ru-RU"/>
        </w:rPr>
        <w:t xml:space="preserve"> обзора хода ее реализации на глобальном уровне. </w:t>
      </w:r>
      <w:proofErr w:type="gramEnd"/>
    </w:p>
  </w:footnote>
  <w:footnote w:id="6">
    <w:p w:rsidR="00A760E1" w:rsidRPr="00236D01" w:rsidRDefault="00A760E1" w:rsidP="00236D01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040186">
        <w:rPr>
          <w:lang w:val="ru-RU"/>
        </w:rPr>
        <w:tab/>
      </w:r>
      <w:r>
        <w:rPr>
          <w:rStyle w:val="a6"/>
        </w:rPr>
        <w:footnoteRef/>
      </w:r>
      <w:r w:rsidRPr="00352A4F">
        <w:rPr>
          <w:lang w:val="ru-RU"/>
        </w:rPr>
        <w:tab/>
      </w:r>
      <w:r w:rsidRPr="00236D01">
        <w:rPr>
          <w:lang w:val="ru-RU"/>
        </w:rPr>
        <w:t xml:space="preserve">Документы совещания доступны на веб-сайте Конференции по адресу </w:t>
      </w:r>
      <w:hyperlink r:id="rId6" w:history="1">
        <w:r w:rsidRPr="00236D01">
          <w:rPr>
            <w:lang w:val="ru-RU"/>
          </w:rPr>
          <w:t>http://www.unece.org/environmental-policy/environment-for-europe/efe-conferences/batumi-conference/documents-and-materials</w:t>
        </w:r>
      </w:hyperlink>
      <w:r w:rsidRPr="00236D01">
        <w:rPr>
          <w:lang w:val="ru-RU"/>
        </w:rPr>
        <w:t xml:space="preserve">. </w:t>
      </w:r>
    </w:p>
  </w:footnote>
  <w:footnote w:id="7">
    <w:p w:rsidR="00A760E1" w:rsidRPr="00CF49B7" w:rsidRDefault="00A760E1" w:rsidP="00CF49B7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352A4F">
        <w:rPr>
          <w:lang w:val="ru-RU"/>
        </w:rPr>
        <w:tab/>
      </w:r>
      <w:r>
        <w:rPr>
          <w:rStyle w:val="a6"/>
        </w:rPr>
        <w:footnoteRef/>
      </w:r>
      <w:r w:rsidRPr="00352A4F">
        <w:rPr>
          <w:lang w:val="ru-RU"/>
        </w:rPr>
        <w:tab/>
      </w:r>
      <w:proofErr w:type="gramStart"/>
      <w:r>
        <w:rPr>
          <w:lang w:val="ru-RU"/>
        </w:rPr>
        <w:t>Доступен</w:t>
      </w:r>
      <w:proofErr w:type="gramEnd"/>
      <w:r>
        <w:rPr>
          <w:lang w:val="ru-RU"/>
        </w:rPr>
        <w:t xml:space="preserve"> по </w:t>
      </w:r>
      <w:r w:rsidRPr="00CF49B7">
        <w:rPr>
          <w:lang w:val="ru-RU"/>
        </w:rPr>
        <w:t>адресу http://</w:t>
      </w:r>
      <w:hyperlink r:id="rId7" w:history="1">
        <w:r w:rsidRPr="00CF49B7">
          <w:rPr>
            <w:lang w:val="ru-RU"/>
          </w:rPr>
          <w:t>www.unece.org/index.php?id=28552</w:t>
        </w:r>
      </w:hyperlink>
      <w:r w:rsidRPr="00CF49B7">
        <w:rPr>
          <w:lang w:val="ru-RU"/>
        </w:rPr>
        <w:t>.</w:t>
      </w:r>
    </w:p>
  </w:footnote>
  <w:footnote w:id="8">
    <w:p w:rsidR="00A760E1" w:rsidRPr="00352A4F" w:rsidRDefault="00A760E1" w:rsidP="00CF49B7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352A4F">
        <w:rPr>
          <w:lang w:val="ru-RU"/>
        </w:rPr>
        <w:tab/>
      </w:r>
      <w:r>
        <w:rPr>
          <w:rStyle w:val="a6"/>
        </w:rPr>
        <w:footnoteRef/>
      </w:r>
      <w:r w:rsidRPr="00352A4F">
        <w:rPr>
          <w:lang w:val="ru-RU"/>
        </w:rPr>
        <w:tab/>
      </w:r>
      <w:proofErr w:type="gramStart"/>
      <w:r>
        <w:rPr>
          <w:lang w:val="ru-RU"/>
        </w:rPr>
        <w:t>Дос</w:t>
      </w:r>
      <w:r w:rsidR="00D16F9B">
        <w:rPr>
          <w:lang w:val="ru-RU"/>
        </w:rPr>
        <w:t>т</w:t>
      </w:r>
      <w:r>
        <w:rPr>
          <w:lang w:val="ru-RU"/>
        </w:rPr>
        <w:t>упны</w:t>
      </w:r>
      <w:proofErr w:type="gramEnd"/>
      <w:r>
        <w:rPr>
          <w:lang w:val="ru-RU"/>
        </w:rPr>
        <w:t xml:space="preserve"> по </w:t>
      </w:r>
      <w:r w:rsidRPr="00CF49B7">
        <w:rPr>
          <w:lang w:val="ru-RU"/>
        </w:rPr>
        <w:t xml:space="preserve">адресу </w:t>
      </w:r>
      <w:hyperlink r:id="rId8" w:history="1">
        <w:r w:rsidRPr="00CF49B7">
          <w:rPr>
            <w:lang w:val="ru-RU"/>
          </w:rPr>
          <w:t>http://www.unece.org/index.php?id=35032</w:t>
        </w:r>
      </w:hyperlink>
      <w:r w:rsidRPr="00352A4F">
        <w:rPr>
          <w:lang w:val="ru-RU"/>
        </w:rPr>
        <w:t>.</w:t>
      </w:r>
    </w:p>
  </w:footnote>
  <w:footnote w:id="9">
    <w:p w:rsidR="00A760E1" w:rsidRPr="00CF49B7" w:rsidRDefault="00A760E1" w:rsidP="00014A2B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352A4F">
        <w:rPr>
          <w:lang w:val="ru-RU"/>
        </w:rPr>
        <w:tab/>
      </w:r>
      <w:r>
        <w:rPr>
          <w:rStyle w:val="a6"/>
        </w:rPr>
        <w:footnoteRef/>
      </w:r>
      <w:r w:rsidRPr="00C427D8">
        <w:rPr>
          <w:lang w:val="ru-RU"/>
        </w:rPr>
        <w:tab/>
      </w:r>
      <w:r>
        <w:rPr>
          <w:lang w:val="ru-RU"/>
        </w:rPr>
        <w:t xml:space="preserve">Общий </w:t>
      </w:r>
      <w:r w:rsidRPr="00CF49B7">
        <w:rPr>
          <w:lang w:val="ru-RU"/>
        </w:rPr>
        <w:t>обзор деятельности секторальных комитет</w:t>
      </w:r>
      <w:r w:rsidR="00D16F9B">
        <w:rPr>
          <w:lang w:val="ru-RU"/>
        </w:rPr>
        <w:t>ов ЕЭК имеется на веб-сайте ЕЭК </w:t>
      </w:r>
      <w:r w:rsidRPr="00CF49B7">
        <w:rPr>
          <w:lang w:val="ru-RU"/>
        </w:rPr>
        <w:t>ООН (</w:t>
      </w:r>
      <w:hyperlink r:id="rId9" w:history="1">
        <w:r w:rsidRPr="00CF49B7">
          <w:rPr>
            <w:lang w:val="ru-RU"/>
          </w:rPr>
          <w:t>http://www.unece.org/oes/nutshell/governing_bodies</w:t>
        </w:r>
      </w:hyperlink>
      <w:r w:rsidRPr="00CF49B7">
        <w:rPr>
          <w:lang w:val="ru-RU"/>
        </w:rPr>
        <w:t xml:space="preserve">). </w:t>
      </w:r>
    </w:p>
  </w:footnote>
  <w:footnote w:id="10">
    <w:p w:rsidR="00A760E1" w:rsidRPr="00CF49B7" w:rsidRDefault="00A760E1" w:rsidP="00CF49B7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C427D8">
        <w:rPr>
          <w:lang w:val="ru-RU"/>
        </w:rPr>
        <w:tab/>
      </w:r>
      <w:r>
        <w:rPr>
          <w:rStyle w:val="a6"/>
        </w:rPr>
        <w:footnoteRef/>
      </w:r>
      <w:r w:rsidRPr="00CC26CE">
        <w:rPr>
          <w:lang w:val="ru-RU"/>
        </w:rPr>
        <w:tab/>
      </w:r>
      <w:r w:rsidRPr="00CF49B7">
        <w:rPr>
          <w:lang w:val="ru-RU"/>
        </w:rPr>
        <w:t xml:space="preserve">См. </w:t>
      </w:r>
      <w:hyperlink r:id="rId10" w:history="1">
        <w:r w:rsidRPr="00CF49B7">
          <w:rPr>
            <w:lang w:val="ru-RU"/>
          </w:rPr>
          <w:t>http://www.unece.org/index.php?id=42166</w:t>
        </w:r>
      </w:hyperlink>
      <w:r w:rsidRPr="00CF49B7">
        <w:rPr>
          <w:lang w:val="ru-RU"/>
        </w:rPr>
        <w:t>.</w:t>
      </w:r>
    </w:p>
  </w:footnote>
  <w:footnote w:id="11">
    <w:p w:rsidR="00A760E1" w:rsidRPr="00CF49B7" w:rsidRDefault="00A760E1" w:rsidP="00CF49B7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CC26CE">
        <w:rPr>
          <w:lang w:val="ru-RU"/>
        </w:rPr>
        <w:tab/>
      </w:r>
      <w:r>
        <w:rPr>
          <w:rStyle w:val="a6"/>
        </w:rPr>
        <w:footnoteRef/>
      </w:r>
      <w:r w:rsidRPr="00CC26CE">
        <w:rPr>
          <w:lang w:val="ru-RU"/>
        </w:rPr>
        <w:tab/>
      </w:r>
      <w:r w:rsidRPr="00CF49B7">
        <w:rPr>
          <w:lang w:val="ru-RU"/>
        </w:rPr>
        <w:t>Документы совещания размещены на http://</w:t>
      </w:r>
      <w:hyperlink r:id="rId11" w:history="1">
        <w:r w:rsidRPr="00CF49B7">
          <w:rPr>
            <w:lang w:val="ru-RU"/>
          </w:rPr>
          <w:t>www.unece.org/index.php?id=35518</w:t>
        </w:r>
      </w:hyperlink>
      <w:r w:rsidRPr="00CF49B7">
        <w:rPr>
          <w:lang w:val="ru-RU"/>
        </w:rPr>
        <w:t xml:space="preserve"> и </w:t>
      </w:r>
      <w:hyperlink r:id="rId12" w:history="1">
        <w:r w:rsidRPr="00CF49B7">
          <w:rPr>
            <w:lang w:val="ru-RU"/>
          </w:rPr>
          <w:t>http://www.unece.org/index.php?id=43450</w:t>
        </w:r>
      </w:hyperlink>
      <w:r w:rsidR="00293F0F">
        <w:rPr>
          <w:lang w:val="ru-RU"/>
        </w:rPr>
        <w:t>.</w:t>
      </w:r>
    </w:p>
  </w:footnote>
  <w:footnote w:id="12">
    <w:p w:rsidR="00A760E1" w:rsidRPr="009E3A77" w:rsidRDefault="00A760E1" w:rsidP="00CF49B7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CC26CE">
        <w:rPr>
          <w:lang w:val="ru-RU"/>
        </w:rPr>
        <w:tab/>
      </w:r>
      <w:r>
        <w:rPr>
          <w:rStyle w:val="a6"/>
        </w:rPr>
        <w:footnoteRef/>
      </w:r>
      <w:r w:rsidRPr="009E3A77">
        <w:rPr>
          <w:lang w:val="ru-RU"/>
        </w:rPr>
        <w:tab/>
      </w:r>
      <w:r>
        <w:rPr>
          <w:lang w:val="ru-RU"/>
        </w:rPr>
        <w:t>Доступно по адресу</w:t>
      </w:r>
      <w:r w:rsidRPr="009E3A77">
        <w:rPr>
          <w:lang w:val="ru-RU"/>
        </w:rPr>
        <w:t xml:space="preserve"> </w:t>
      </w:r>
      <w:hyperlink r:id="rId13" w:history="1">
        <w:r w:rsidRPr="00293F0F">
          <w:rPr>
            <w:lang w:val="ru-RU"/>
          </w:rPr>
          <w:t>http://www.unece.org/env/efe/astana/welcome</w:t>
        </w:r>
      </w:hyperlink>
      <w:r w:rsidRPr="00CF49B7">
        <w:rPr>
          <w:lang w:val="ru-RU"/>
        </w:rPr>
        <w:t>.</w:t>
      </w:r>
    </w:p>
  </w:footnote>
  <w:footnote w:id="13">
    <w:p w:rsidR="00A760E1" w:rsidRPr="009E3A77" w:rsidRDefault="00A760E1" w:rsidP="00CF49B7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9E3A77">
        <w:rPr>
          <w:lang w:val="ru-RU"/>
        </w:rPr>
        <w:tab/>
      </w:r>
      <w:r>
        <w:rPr>
          <w:rStyle w:val="a6"/>
        </w:rPr>
        <w:footnoteRef/>
      </w:r>
      <w:r w:rsidRPr="009E3A77">
        <w:rPr>
          <w:lang w:val="ru-RU"/>
        </w:rPr>
        <w:tab/>
      </w:r>
      <w:proofErr w:type="gramStart"/>
      <w:r>
        <w:rPr>
          <w:lang w:val="ru-RU"/>
        </w:rPr>
        <w:t>Доступен</w:t>
      </w:r>
      <w:proofErr w:type="gramEnd"/>
      <w:r>
        <w:rPr>
          <w:lang w:val="ru-RU"/>
        </w:rPr>
        <w:t xml:space="preserve"> по </w:t>
      </w:r>
      <w:r w:rsidRPr="00CF49B7">
        <w:rPr>
          <w:lang w:val="ru-RU"/>
        </w:rPr>
        <w:t xml:space="preserve">адресу </w:t>
      </w:r>
      <w:hyperlink r:id="rId14" w:history="1">
        <w:r w:rsidRPr="00CF49B7">
          <w:rPr>
            <w:lang w:val="ru-RU"/>
          </w:rPr>
          <w:t>http://www.unece.org/index.php?id=32257</w:t>
        </w:r>
      </w:hyperlink>
      <w:r w:rsidRPr="00CF49B7">
        <w:rPr>
          <w:lang w:val="ru-RU"/>
        </w:rPr>
        <w:t>.</w:t>
      </w:r>
      <w:r w:rsidRPr="009E3A77">
        <w:rPr>
          <w:lang w:val="ru-RU"/>
        </w:rPr>
        <w:t xml:space="preserve"> </w:t>
      </w:r>
    </w:p>
  </w:footnote>
  <w:footnote w:id="14">
    <w:p w:rsidR="00A760E1" w:rsidRPr="00554DAC" w:rsidRDefault="00A760E1" w:rsidP="00CF49B7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9E3A77">
        <w:rPr>
          <w:lang w:val="ru-RU"/>
        </w:rPr>
        <w:tab/>
      </w:r>
      <w:r>
        <w:rPr>
          <w:rStyle w:val="a6"/>
        </w:rPr>
        <w:footnoteRef/>
      </w:r>
      <w:r w:rsidRPr="00554DAC">
        <w:rPr>
          <w:lang w:val="ru-RU"/>
        </w:rPr>
        <w:tab/>
      </w:r>
      <w:r w:rsidRPr="00CF49B7">
        <w:rPr>
          <w:lang w:val="ru-RU"/>
        </w:rPr>
        <w:t xml:space="preserve">См. </w:t>
      </w:r>
      <w:hyperlink r:id="rId15" w:history="1">
        <w:r w:rsidRPr="00CF49B7">
          <w:rPr>
            <w:lang w:val="ru-RU"/>
          </w:rPr>
          <w:t>http://www.unece.org/environmental-policy/environmental-performance-reviews/ongoing-reviews</w:t>
        </w:r>
      </w:hyperlink>
      <w:r w:rsidRPr="00CF49B7">
        <w:rPr>
          <w:lang w:val="ru-RU"/>
        </w:rPr>
        <w:t>.</w:t>
      </w:r>
      <w:r w:rsidRPr="00554DAC">
        <w:rPr>
          <w:lang w:val="ru-RU"/>
        </w:rPr>
        <w:t xml:space="preserve"> </w:t>
      </w:r>
    </w:p>
  </w:footnote>
  <w:footnote w:id="15">
    <w:p w:rsidR="00A760E1" w:rsidRPr="00E761BF" w:rsidRDefault="00A760E1" w:rsidP="00CF49B7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554DAC">
        <w:rPr>
          <w:lang w:val="ru-RU"/>
        </w:rPr>
        <w:tab/>
      </w:r>
      <w:r>
        <w:rPr>
          <w:rStyle w:val="a6"/>
        </w:rPr>
        <w:footnoteRef/>
      </w:r>
      <w:r w:rsidRPr="00E761BF">
        <w:rPr>
          <w:lang w:val="ru-RU"/>
        </w:rPr>
        <w:tab/>
      </w:r>
      <w:r>
        <w:rPr>
          <w:lang w:val="ru-RU"/>
        </w:rPr>
        <w:t>См</w:t>
      </w:r>
      <w:r w:rsidRPr="00E761BF">
        <w:rPr>
          <w:lang w:val="ru-RU"/>
        </w:rPr>
        <w:t xml:space="preserve">. </w:t>
      </w:r>
      <w:hyperlink r:id="rId16" w:anchor="/" w:history="1">
        <w:r w:rsidRPr="009574C5">
          <w:rPr>
            <w:lang w:val="ru-RU"/>
          </w:rPr>
          <w:t>http://www.unece.org/index.php?id=43119#/</w:t>
        </w:r>
      </w:hyperlink>
      <w:r w:rsidRPr="00E761BF">
        <w:rPr>
          <w:lang w:val="ru-RU"/>
        </w:rPr>
        <w:t xml:space="preserve"> </w:t>
      </w:r>
      <w:r>
        <w:rPr>
          <w:lang w:val="ru-RU"/>
        </w:rPr>
        <w:t xml:space="preserve">и </w:t>
      </w:r>
      <w:hyperlink r:id="rId17" w:anchor="/" w:history="1">
        <w:r w:rsidRPr="009574C5">
          <w:rPr>
            <w:lang w:val="ru-RU"/>
          </w:rPr>
          <w:t>http://www.unece.org/index.php?</w:t>
        </w:r>
        <w:r w:rsidR="00D16F9B">
          <w:rPr>
            <w:lang w:val="ru-RU"/>
          </w:rPr>
          <w:br/>
        </w:r>
        <w:proofErr w:type="spellStart"/>
        <w:r w:rsidRPr="009574C5">
          <w:rPr>
            <w:lang w:val="ru-RU"/>
          </w:rPr>
          <w:t>id</w:t>
        </w:r>
        <w:proofErr w:type="spellEnd"/>
        <w:r w:rsidRPr="009574C5">
          <w:rPr>
            <w:lang w:val="ru-RU"/>
          </w:rPr>
          <w:t>=40554#/</w:t>
        </w:r>
      </w:hyperlink>
      <w:r w:rsidRPr="00E761BF">
        <w:rPr>
          <w:lang w:val="ru-RU"/>
        </w:rPr>
        <w:t>.</w:t>
      </w:r>
    </w:p>
  </w:footnote>
  <w:footnote w:id="16">
    <w:p w:rsidR="00A760E1" w:rsidRPr="00CF49B7" w:rsidRDefault="00A760E1" w:rsidP="00CF49B7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E761BF">
        <w:rPr>
          <w:lang w:val="ru-RU"/>
        </w:rPr>
        <w:tab/>
      </w:r>
      <w:r>
        <w:rPr>
          <w:rStyle w:val="a6"/>
        </w:rPr>
        <w:footnoteRef/>
      </w:r>
      <w:r w:rsidRPr="00E761BF">
        <w:rPr>
          <w:lang w:val="ru-RU"/>
        </w:rPr>
        <w:tab/>
      </w:r>
      <w:proofErr w:type="gramStart"/>
      <w:r w:rsidRPr="00E761BF">
        <w:rPr>
          <w:lang w:val="ru-RU"/>
        </w:rPr>
        <w:t xml:space="preserve">Информация и материалы о </w:t>
      </w:r>
      <w:r>
        <w:rPr>
          <w:lang w:val="ru-RU"/>
        </w:rPr>
        <w:t>е</w:t>
      </w:r>
      <w:r w:rsidRPr="00E761BF">
        <w:rPr>
          <w:lang w:val="ru-RU"/>
        </w:rPr>
        <w:t>вропейско</w:t>
      </w:r>
      <w:r>
        <w:rPr>
          <w:lang w:val="ru-RU"/>
        </w:rPr>
        <w:t>м</w:t>
      </w:r>
      <w:r w:rsidRPr="00E761BF">
        <w:rPr>
          <w:lang w:val="ru-RU"/>
        </w:rPr>
        <w:t xml:space="preserve"> процесс</w:t>
      </w:r>
      <w:r>
        <w:rPr>
          <w:lang w:val="ru-RU"/>
        </w:rPr>
        <w:t>е «</w:t>
      </w:r>
      <w:r w:rsidRPr="00E761BF">
        <w:rPr>
          <w:lang w:val="ru-RU"/>
        </w:rPr>
        <w:t>Окружающая среда и здоровье</w:t>
      </w:r>
      <w:r>
        <w:rPr>
          <w:lang w:val="ru-RU"/>
        </w:rPr>
        <w:t xml:space="preserve">», в частности о </w:t>
      </w:r>
      <w:r w:rsidRPr="00E761BF">
        <w:rPr>
          <w:lang w:val="ru-RU"/>
        </w:rPr>
        <w:t>работ</w:t>
      </w:r>
      <w:r>
        <w:rPr>
          <w:lang w:val="ru-RU"/>
        </w:rPr>
        <w:t>е</w:t>
      </w:r>
      <w:r w:rsidRPr="00E761BF">
        <w:rPr>
          <w:lang w:val="ru-RU"/>
        </w:rPr>
        <w:t xml:space="preserve"> Европейского совета министров по окружающей среде и здоровью и Целевой группы по окружающей среде и здоровью, размещены на веб-сайте Всемирной организации </w:t>
      </w:r>
      <w:r w:rsidRPr="00CF49B7">
        <w:rPr>
          <w:lang w:val="ru-RU"/>
        </w:rPr>
        <w:t>здравоохранения (</w:t>
      </w:r>
      <w:hyperlink r:id="rId18" w:history="1">
        <w:r w:rsidRPr="00CF49B7">
          <w:rPr>
            <w:lang w:val="ru-RU"/>
          </w:rPr>
          <w:t>http://www.euro.who.int/en/health-topics/environment-and-health/pages/european-environment-and-health-process-ehp</w:t>
        </w:r>
      </w:hyperlink>
      <w:r w:rsidRPr="00CF49B7">
        <w:rPr>
          <w:lang w:val="ru-RU"/>
        </w:rPr>
        <w:t>).</w:t>
      </w:r>
      <w:proofErr w:type="gramEnd"/>
    </w:p>
  </w:footnote>
  <w:footnote w:id="17">
    <w:p w:rsidR="00A760E1" w:rsidRPr="0042554D" w:rsidRDefault="00A760E1" w:rsidP="00CF49B7">
      <w:pPr>
        <w:pStyle w:val="aa"/>
        <w:tabs>
          <w:tab w:val="clear" w:pos="1021"/>
          <w:tab w:val="right" w:pos="1020"/>
        </w:tabs>
        <w:rPr>
          <w:lang w:val="ru-RU"/>
        </w:rPr>
      </w:pPr>
      <w:r w:rsidRPr="00E761BF">
        <w:rPr>
          <w:lang w:val="ru-RU"/>
        </w:rPr>
        <w:tab/>
      </w:r>
      <w:r>
        <w:rPr>
          <w:rStyle w:val="a6"/>
        </w:rPr>
        <w:footnoteRef/>
      </w:r>
      <w:r w:rsidRPr="0042554D">
        <w:rPr>
          <w:lang w:val="ru-RU"/>
        </w:rPr>
        <w:tab/>
      </w:r>
      <w:proofErr w:type="gramStart"/>
      <w:r>
        <w:rPr>
          <w:lang w:val="ru-RU"/>
        </w:rPr>
        <w:t>Доступен</w:t>
      </w:r>
      <w:proofErr w:type="gramEnd"/>
      <w:r>
        <w:rPr>
          <w:lang w:val="ru-RU"/>
        </w:rPr>
        <w:t xml:space="preserve"> по </w:t>
      </w:r>
      <w:r w:rsidRPr="00CF49B7">
        <w:rPr>
          <w:lang w:val="ru-RU"/>
        </w:rPr>
        <w:t xml:space="preserve">адресу </w:t>
      </w:r>
      <w:hyperlink r:id="rId19" w:history="1">
        <w:r w:rsidRPr="00CF49B7">
          <w:rPr>
            <w:lang w:val="ru-RU"/>
          </w:rPr>
          <w:t>http://www.unece.org/index.php?id=24004</w:t>
        </w:r>
      </w:hyperlink>
      <w:r w:rsidRPr="00CF49B7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E1" w:rsidRPr="004904FB" w:rsidRDefault="00A760E1">
    <w:pPr>
      <w:pStyle w:val="a3"/>
      <w:rPr>
        <w:lang w:val="ru-RU"/>
      </w:rPr>
    </w:pPr>
    <w:r w:rsidRPr="004904FB">
      <w:rPr>
        <w:lang w:val="ru-RU"/>
      </w:rPr>
      <w:t>ECE/CEP/2017/1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E1" w:rsidRPr="004904FB" w:rsidRDefault="00A760E1" w:rsidP="007005EE">
    <w:pPr>
      <w:pStyle w:val="a3"/>
      <w:jc w:val="right"/>
      <w:rPr>
        <w:lang w:val="ru-RU"/>
      </w:rPr>
    </w:pPr>
    <w:r w:rsidRPr="004904FB">
      <w:rPr>
        <w:lang w:val="ru-RU"/>
      </w:rPr>
      <w:t>ECE/CEP/2017/1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E1" w:rsidRDefault="00A760E1" w:rsidP="004904F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3"/>
    <w:rsid w:val="00006B12"/>
    <w:rsid w:val="0001452C"/>
    <w:rsid w:val="00014A2B"/>
    <w:rsid w:val="00025F5B"/>
    <w:rsid w:val="000450D1"/>
    <w:rsid w:val="000B1FD5"/>
    <w:rsid w:val="000F2A4F"/>
    <w:rsid w:val="0010265B"/>
    <w:rsid w:val="001C2A4E"/>
    <w:rsid w:val="002030CC"/>
    <w:rsid w:val="00203F84"/>
    <w:rsid w:val="00236D01"/>
    <w:rsid w:val="00275188"/>
    <w:rsid w:val="0028687D"/>
    <w:rsid w:val="00293F0F"/>
    <w:rsid w:val="002B091C"/>
    <w:rsid w:val="002B3D40"/>
    <w:rsid w:val="002D0CCB"/>
    <w:rsid w:val="002F3E9B"/>
    <w:rsid w:val="00310F27"/>
    <w:rsid w:val="00345C79"/>
    <w:rsid w:val="00366A39"/>
    <w:rsid w:val="003A69AC"/>
    <w:rsid w:val="00442A33"/>
    <w:rsid w:val="0048005C"/>
    <w:rsid w:val="004904FB"/>
    <w:rsid w:val="004B4E98"/>
    <w:rsid w:val="004D639B"/>
    <w:rsid w:val="004E242B"/>
    <w:rsid w:val="0053076D"/>
    <w:rsid w:val="00544379"/>
    <w:rsid w:val="00566944"/>
    <w:rsid w:val="005D56BF"/>
    <w:rsid w:val="0062027E"/>
    <w:rsid w:val="006222A3"/>
    <w:rsid w:val="0063416C"/>
    <w:rsid w:val="00643644"/>
    <w:rsid w:val="00653AE3"/>
    <w:rsid w:val="00665D8D"/>
    <w:rsid w:val="00696B80"/>
    <w:rsid w:val="006A7A3B"/>
    <w:rsid w:val="006B64D8"/>
    <w:rsid w:val="006B6B57"/>
    <w:rsid w:val="006F49F1"/>
    <w:rsid w:val="007005EE"/>
    <w:rsid w:val="00705394"/>
    <w:rsid w:val="00743F62"/>
    <w:rsid w:val="00760D3A"/>
    <w:rsid w:val="00766610"/>
    <w:rsid w:val="00773BA8"/>
    <w:rsid w:val="007A1F42"/>
    <w:rsid w:val="007D1342"/>
    <w:rsid w:val="007D76DD"/>
    <w:rsid w:val="00823B13"/>
    <w:rsid w:val="008717E8"/>
    <w:rsid w:val="008D01AE"/>
    <w:rsid w:val="008E0423"/>
    <w:rsid w:val="009141DC"/>
    <w:rsid w:val="009174A1"/>
    <w:rsid w:val="00935EEA"/>
    <w:rsid w:val="009574C5"/>
    <w:rsid w:val="0098674D"/>
    <w:rsid w:val="00997ACA"/>
    <w:rsid w:val="009F10C7"/>
    <w:rsid w:val="00A03FB7"/>
    <w:rsid w:val="00A366B8"/>
    <w:rsid w:val="00A55C56"/>
    <w:rsid w:val="00A658DB"/>
    <w:rsid w:val="00A75A11"/>
    <w:rsid w:val="00A760E1"/>
    <w:rsid w:val="00A8465C"/>
    <w:rsid w:val="00A93D2F"/>
    <w:rsid w:val="00A9606E"/>
    <w:rsid w:val="00AC32BA"/>
    <w:rsid w:val="00AD7EAD"/>
    <w:rsid w:val="00B35A32"/>
    <w:rsid w:val="00B35BC5"/>
    <w:rsid w:val="00B432C6"/>
    <w:rsid w:val="00B471C5"/>
    <w:rsid w:val="00B6474A"/>
    <w:rsid w:val="00B723D9"/>
    <w:rsid w:val="00B7258C"/>
    <w:rsid w:val="00BE1742"/>
    <w:rsid w:val="00BF78BE"/>
    <w:rsid w:val="00C05588"/>
    <w:rsid w:val="00CF49B7"/>
    <w:rsid w:val="00D1261C"/>
    <w:rsid w:val="00D1686F"/>
    <w:rsid w:val="00D16F9B"/>
    <w:rsid w:val="00D22BB7"/>
    <w:rsid w:val="00D26030"/>
    <w:rsid w:val="00D75DCE"/>
    <w:rsid w:val="00DA623A"/>
    <w:rsid w:val="00DB52B3"/>
    <w:rsid w:val="00DD35AC"/>
    <w:rsid w:val="00DD479F"/>
    <w:rsid w:val="00DE5CAC"/>
    <w:rsid w:val="00DF5B9E"/>
    <w:rsid w:val="00E15E48"/>
    <w:rsid w:val="00EB0723"/>
    <w:rsid w:val="00EB2957"/>
    <w:rsid w:val="00ED41CE"/>
    <w:rsid w:val="00EE6F37"/>
    <w:rsid w:val="00EF23E2"/>
    <w:rsid w:val="00F04E36"/>
    <w:rsid w:val="00F1599F"/>
    <w:rsid w:val="00F31EF2"/>
    <w:rsid w:val="00F6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uiPriority w:val="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4A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ußnote,Footnote Text Char Char,single space,footnote text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ußnote Знак,Footnote Text Char Char Знак,single space Знак,footnote text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4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Подзаголовок Знак"/>
    <w:basedOn w:val="a0"/>
    <w:link w:val="af0"/>
    <w:uiPriority w:val="11"/>
    <w:rsid w:val="00014A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Subtitle"/>
    <w:basedOn w:val="a"/>
    <w:next w:val="a"/>
    <w:link w:val="af"/>
    <w:uiPriority w:val="11"/>
    <w:qFormat/>
    <w:rsid w:val="00014A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100"/>
      <w:kern w:val="0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014A2B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14A2B"/>
    <w:pPr>
      <w:spacing w:line="240" w:lineRule="auto"/>
    </w:pPr>
    <w:rPr>
      <w:rFonts w:ascii="Tahoma" w:eastAsiaTheme="minorHAnsi" w:hAnsi="Tahoma" w:cs="Tahoma"/>
      <w:spacing w:val="0"/>
      <w:w w:val="100"/>
      <w:kern w:val="0"/>
      <w:sz w:val="16"/>
      <w:szCs w:val="16"/>
    </w:rPr>
  </w:style>
  <w:style w:type="character" w:styleId="af3">
    <w:name w:val="Hyperlink"/>
    <w:rsid w:val="00014A2B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D13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uiPriority w:val="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4A2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ußnote,Footnote Text Char Char,single space,footnote text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ußnote Знак,Footnote Text Char Char Знак,single space Знак,footnote text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4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Подзаголовок Знак"/>
    <w:basedOn w:val="a0"/>
    <w:link w:val="af0"/>
    <w:uiPriority w:val="11"/>
    <w:rsid w:val="00014A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Subtitle"/>
    <w:basedOn w:val="a"/>
    <w:next w:val="a"/>
    <w:link w:val="af"/>
    <w:uiPriority w:val="11"/>
    <w:qFormat/>
    <w:rsid w:val="00014A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100"/>
      <w:kern w:val="0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014A2B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14A2B"/>
    <w:pPr>
      <w:spacing w:line="240" w:lineRule="auto"/>
    </w:pPr>
    <w:rPr>
      <w:rFonts w:ascii="Tahoma" w:eastAsiaTheme="minorHAnsi" w:hAnsi="Tahoma" w:cs="Tahoma"/>
      <w:spacing w:val="0"/>
      <w:w w:val="100"/>
      <w:kern w:val="0"/>
      <w:sz w:val="16"/>
      <w:szCs w:val="16"/>
    </w:rPr>
  </w:style>
  <w:style w:type="character" w:styleId="af3">
    <w:name w:val="Hyperlink"/>
    <w:rsid w:val="00014A2B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D1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index.php?id=35032" TargetMode="External"/><Relationship Id="rId13" Type="http://schemas.openxmlformats.org/officeDocument/2006/relationships/hyperlink" Target="http://www.unece.org/env/efe/astana/welcome" TargetMode="External"/><Relationship Id="rId18" Type="http://schemas.openxmlformats.org/officeDocument/2006/relationships/hyperlink" Target="http://www.euro.who.int/en/health-topics/environment-and-health/pages/european-environment-and-health-process-ehp" TargetMode="External"/><Relationship Id="rId3" Type="http://schemas.openxmlformats.org/officeDocument/2006/relationships/hyperlink" Target="http://www.unece.org/env/cep/tor" TargetMode="External"/><Relationship Id="rId7" Type="http://schemas.openxmlformats.org/officeDocument/2006/relationships/hyperlink" Target="http://www.unece.org/index.php?id=28552" TargetMode="External"/><Relationship Id="rId12" Type="http://schemas.openxmlformats.org/officeDocument/2006/relationships/hyperlink" Target="http://www.unece.org/index.php?id=43450" TargetMode="External"/><Relationship Id="rId17" Type="http://schemas.openxmlformats.org/officeDocument/2006/relationships/hyperlink" Target="http://www.unece.org/index.php?id=40554" TargetMode="External"/><Relationship Id="rId2" Type="http://schemas.openxmlformats.org/officeDocument/2006/relationships/hyperlink" Target="http://www.unece.org/meetings/practical.html" TargetMode="External"/><Relationship Id="rId16" Type="http://schemas.openxmlformats.org/officeDocument/2006/relationships/hyperlink" Target="http://www.unece.org/index.php?id=43119" TargetMode="External"/><Relationship Id="rId1" Type="http://schemas.openxmlformats.org/officeDocument/2006/relationships/hyperlink" Target="https://www2.unece.org/uncdb/app/ext/meeting-registration?id=v_rv39" TargetMode="External"/><Relationship Id="rId6" Type="http://schemas.openxmlformats.org/officeDocument/2006/relationships/hyperlink" Target="http://www.unece.org/environmental-policy/environment-for-europe/efe-conferences/batumi-conference/documents-and-materials" TargetMode="External"/><Relationship Id="rId11" Type="http://schemas.openxmlformats.org/officeDocument/2006/relationships/hyperlink" Target="http://www.unece.org/index.php?id=35518" TargetMode="External"/><Relationship Id="rId5" Type="http://schemas.openxmlformats.org/officeDocument/2006/relationships/hyperlink" Target="http://www.unece.org/environmental-policy/environment-for-europe/efe-conferences/batumi-conference/documents-and-materials" TargetMode="External"/><Relationship Id="rId15" Type="http://schemas.openxmlformats.org/officeDocument/2006/relationships/hyperlink" Target="http://www.unece.org/environmental-policy/environmental-performance-reviews/ongoing-reviews" TargetMode="External"/><Relationship Id="rId10" Type="http://schemas.openxmlformats.org/officeDocument/2006/relationships/hyperlink" Target="http://www.unece.org/index.php?id=42166" TargetMode="External"/><Relationship Id="rId19" Type="http://schemas.openxmlformats.org/officeDocument/2006/relationships/hyperlink" Target="http://www.unece.org/index.php?id=24004" TargetMode="External"/><Relationship Id="rId4" Type="http://schemas.openxmlformats.org/officeDocument/2006/relationships/hyperlink" Target="http://www.unece.org/index.php?id=42766" TargetMode="External"/><Relationship Id="rId9" Type="http://schemas.openxmlformats.org/officeDocument/2006/relationships/hyperlink" Target="http://www.unece.org/oes/nutshell/governing_bodies" TargetMode="External"/><Relationship Id="rId14" Type="http://schemas.openxmlformats.org/officeDocument/2006/relationships/hyperlink" Target="http://www.unece.org/index.php?id=322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E0D2-CB6A-49B2-8D59-45B16113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14</Pages>
  <Words>5283</Words>
  <Characters>30118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Nina Stepanova</cp:lastModifiedBy>
  <cp:revision>4</cp:revision>
  <cp:lastPrinted>2016-11-28T16:25:00Z</cp:lastPrinted>
  <dcterms:created xsi:type="dcterms:W3CDTF">2016-11-28T16:29:00Z</dcterms:created>
  <dcterms:modified xsi:type="dcterms:W3CDTF">2016-11-29T09:09:00Z</dcterms:modified>
</cp:coreProperties>
</file>