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B7" w:rsidRPr="007C4E01" w:rsidRDefault="001B53B7" w:rsidP="001B53B7">
      <w:pPr>
        <w:spacing w:line="240" w:lineRule="auto"/>
        <w:rPr>
          <w:sz w:val="2"/>
          <w:lang w:val="fr-CH"/>
        </w:rPr>
        <w:sectPr w:rsidR="001B53B7" w:rsidRPr="007C4E01" w:rsidSect="004B506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1B53B7" w:rsidRPr="007C4E01" w:rsidRDefault="001B53B7" w:rsidP="001B53B7">
      <w:pPr>
        <w:pStyle w:val="H1"/>
        <w:spacing w:after="120"/>
        <w:rPr>
          <w:sz w:val="28"/>
          <w:lang w:val="fr-CH"/>
        </w:rPr>
      </w:pPr>
      <w:r w:rsidRPr="007C4E01">
        <w:rPr>
          <w:sz w:val="28"/>
          <w:lang w:val="fr-CH"/>
        </w:rPr>
        <w:lastRenderedPageBreak/>
        <w:t>Commission économique pour l’Europe</w:t>
      </w:r>
    </w:p>
    <w:p w:rsidR="001B53B7" w:rsidRPr="007C4E01" w:rsidRDefault="001B53B7" w:rsidP="001B53B7">
      <w:pPr>
        <w:pStyle w:val="H1"/>
        <w:spacing w:after="120"/>
        <w:rPr>
          <w:b w:val="0"/>
          <w:sz w:val="28"/>
          <w:lang w:val="fr-CH"/>
        </w:rPr>
      </w:pPr>
      <w:r w:rsidRPr="007C4E01">
        <w:rPr>
          <w:b w:val="0"/>
          <w:sz w:val="28"/>
          <w:lang w:val="fr-CH"/>
        </w:rPr>
        <w:t>Comité des politiques de l’environnement</w:t>
      </w:r>
    </w:p>
    <w:p w:rsidR="00F66F95" w:rsidRPr="007C4E01" w:rsidRDefault="00F66F95" w:rsidP="00F66F9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E01">
        <w:rPr>
          <w:lang w:val="fr-CH"/>
        </w:rPr>
        <w:t>Session extraordinaire</w:t>
      </w:r>
    </w:p>
    <w:p w:rsidR="009B0AFC" w:rsidRPr="007C4E01" w:rsidRDefault="009B0AFC" w:rsidP="00F66F9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E01">
        <w:rPr>
          <w:lang w:val="fr-CH"/>
        </w:rPr>
        <w:t>Genève, 23-25 février 2016</w:t>
      </w:r>
    </w:p>
    <w:p w:rsidR="009B0AFC" w:rsidRPr="007C4E01" w:rsidRDefault="00F66F95" w:rsidP="00F66F9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E01">
        <w:rPr>
          <w:lang w:val="fr-CH"/>
        </w:rPr>
        <w:t>Point 3 </w:t>
      </w:r>
      <w:r w:rsidR="009B0AFC" w:rsidRPr="007C4E01">
        <w:rPr>
          <w:lang w:val="fr-CH"/>
        </w:rPr>
        <w:t>c) de l’ordre du jour provisoire</w:t>
      </w:r>
    </w:p>
    <w:p w:rsidR="009B0AFC" w:rsidRPr="007C4E01" w:rsidRDefault="009B0AFC" w:rsidP="00F66F95">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CH"/>
        </w:rPr>
      </w:pPr>
      <w:r w:rsidRPr="007C4E01">
        <w:rPr>
          <w:b/>
          <w:lang w:val="fr-CH"/>
        </w:rPr>
        <w:t>Huit</w:t>
      </w:r>
      <w:r w:rsidR="00F66F95" w:rsidRPr="007C4E01">
        <w:rPr>
          <w:b/>
          <w:lang w:val="fr-CH"/>
        </w:rPr>
        <w:t>ième Conférence ministérielle « </w:t>
      </w:r>
      <w:r w:rsidRPr="007C4E01">
        <w:rPr>
          <w:b/>
          <w:lang w:val="fr-CH"/>
        </w:rPr>
        <w:t xml:space="preserve">Un environnement </w:t>
      </w:r>
      <w:r w:rsidR="00F66F95" w:rsidRPr="007C4E01">
        <w:rPr>
          <w:b/>
          <w:lang w:val="fr-CH"/>
        </w:rPr>
        <w:br/>
      </w:r>
      <w:r w:rsidRPr="007C4E01">
        <w:rPr>
          <w:b/>
          <w:lang w:val="fr-CH"/>
        </w:rPr>
        <w:t>pour l’Europe »</w:t>
      </w:r>
      <w:r w:rsidR="00F66F95" w:rsidRPr="007C4E01">
        <w:rPr>
          <w:b/>
          <w:lang w:val="fr-CH"/>
        </w:rPr>
        <w:t> </w:t>
      </w:r>
      <w:r w:rsidRPr="007C4E01">
        <w:rPr>
          <w:b/>
          <w:lang w:val="fr-CH"/>
        </w:rPr>
        <w:t>:</w:t>
      </w:r>
      <w:r w:rsidR="00F66F95" w:rsidRPr="007C4E01">
        <w:rPr>
          <w:b/>
          <w:lang w:val="fr-CH"/>
        </w:rPr>
        <w:t xml:space="preserve"> </w:t>
      </w:r>
      <w:r w:rsidRPr="007C4E01">
        <w:rPr>
          <w:b/>
          <w:lang w:val="fr-CH"/>
        </w:rPr>
        <w:t xml:space="preserve">Développer le Système de partage </w:t>
      </w:r>
      <w:r w:rsidR="00F66F95" w:rsidRPr="007C4E01">
        <w:rPr>
          <w:b/>
          <w:lang w:val="fr-CH"/>
        </w:rPr>
        <w:br/>
      </w:r>
      <w:r w:rsidRPr="007C4E01">
        <w:rPr>
          <w:b/>
          <w:lang w:val="fr-CH"/>
        </w:rPr>
        <w:t xml:space="preserve">d’informations sur l’environnement et mettre en place </w:t>
      </w:r>
      <w:r w:rsidR="00F66F95" w:rsidRPr="007C4E01">
        <w:rPr>
          <w:b/>
          <w:lang w:val="fr-CH"/>
        </w:rPr>
        <w:br/>
      </w:r>
      <w:r w:rsidRPr="007C4E01">
        <w:rPr>
          <w:b/>
          <w:lang w:val="fr-CH"/>
        </w:rPr>
        <w:t xml:space="preserve">un processus d’évaluation périodique de l’environnement </w:t>
      </w:r>
      <w:r w:rsidR="00F66F95" w:rsidRPr="007C4E01">
        <w:rPr>
          <w:b/>
          <w:lang w:val="fr-CH"/>
        </w:rPr>
        <w:br/>
      </w:r>
      <w:r w:rsidRPr="007C4E01">
        <w:rPr>
          <w:b/>
          <w:lang w:val="fr-CH"/>
        </w:rPr>
        <w:t xml:space="preserve">dans la région paneuropéenne </w:t>
      </w:r>
      <w:r w:rsidR="00F66F95" w:rsidRPr="007C4E01">
        <w:rPr>
          <w:b/>
          <w:lang w:val="fr-CH"/>
        </w:rPr>
        <w:t>–</w:t>
      </w:r>
      <w:r w:rsidRPr="007C4E01">
        <w:rPr>
          <w:b/>
          <w:lang w:val="fr-CH"/>
        </w:rPr>
        <w:t xml:space="preserve"> évaluation régionale paneuropéenne </w:t>
      </w:r>
      <w:r w:rsidR="00F66F95" w:rsidRPr="007C4E01">
        <w:rPr>
          <w:b/>
          <w:lang w:val="fr-CH"/>
        </w:rPr>
        <w:br/>
      </w:r>
      <w:r w:rsidRPr="007C4E01">
        <w:rPr>
          <w:b/>
          <w:lang w:val="fr-CH"/>
        </w:rPr>
        <w:t>dans le cadre du sixième Rapport mondial sur l’environnement</w:t>
      </w:r>
    </w:p>
    <w:p w:rsidR="00F66F95" w:rsidRPr="007C4E01" w:rsidRDefault="00F66F95" w:rsidP="00F66F95">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sz w:val="10"/>
          <w:lang w:val="fr-CH"/>
        </w:rPr>
      </w:pPr>
    </w:p>
    <w:p w:rsidR="00F66F95" w:rsidRPr="007C4E01" w:rsidRDefault="00F66F95" w:rsidP="00F66F95">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sz w:val="10"/>
          <w:lang w:val="fr-CH"/>
        </w:rPr>
      </w:pPr>
    </w:p>
    <w:p w:rsidR="00F66F95" w:rsidRPr="007C4E01" w:rsidRDefault="00F66F95" w:rsidP="00F66F95">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sz w:val="10"/>
          <w:lang w:val="fr-CH"/>
        </w:rPr>
      </w:pPr>
    </w:p>
    <w:p w:rsidR="009B0AFC" w:rsidRPr="007C4E01" w:rsidRDefault="009B0AFC" w:rsidP="00F66F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r>
      <w:r w:rsidRPr="007C4E01">
        <w:rPr>
          <w:lang w:val="fr-CH"/>
        </w:rPr>
        <w:tab/>
        <w:t xml:space="preserve">Projet de rapport concernant l’état d’avancement </w:t>
      </w:r>
      <w:r w:rsidR="00F66F95" w:rsidRPr="007C4E01">
        <w:rPr>
          <w:lang w:val="fr-CH"/>
        </w:rPr>
        <w:br/>
      </w:r>
      <w:r w:rsidRPr="007C4E01">
        <w:rPr>
          <w:lang w:val="fr-CH"/>
        </w:rPr>
        <w:t xml:space="preserve">de la mise en place du Système de partage d’informations </w:t>
      </w:r>
      <w:r w:rsidR="00F66F95" w:rsidRPr="007C4E01">
        <w:rPr>
          <w:lang w:val="fr-CH"/>
        </w:rPr>
        <w:br/>
      </w:r>
      <w:r w:rsidRPr="007C4E01">
        <w:rPr>
          <w:lang w:val="fr-CH"/>
        </w:rPr>
        <w:t xml:space="preserve">sur l’environnement (SEIS) devant favoriser l’établissement périodique de rapports dans la région paneuropéenne </w:t>
      </w:r>
    </w:p>
    <w:p w:rsidR="00F66F95" w:rsidRPr="007C4E01" w:rsidRDefault="00F66F95" w:rsidP="00F66F95">
      <w:pPr>
        <w:pStyle w:val="SingleTxt"/>
        <w:spacing w:after="0" w:line="120" w:lineRule="exact"/>
        <w:rPr>
          <w:sz w:val="10"/>
          <w:lang w:val="fr-CH"/>
        </w:rPr>
      </w:pPr>
    </w:p>
    <w:p w:rsidR="00F66F95" w:rsidRPr="007C4E01" w:rsidRDefault="00F66F95" w:rsidP="00F66F95">
      <w:pPr>
        <w:pStyle w:val="SingleTxt"/>
        <w:spacing w:after="0" w:line="120" w:lineRule="exact"/>
        <w:rPr>
          <w:sz w:val="10"/>
          <w:lang w:val="fr-CH"/>
        </w:rPr>
      </w:pPr>
    </w:p>
    <w:p w:rsidR="009B0AFC" w:rsidRPr="007C4E01" w:rsidRDefault="009B0AFC" w:rsidP="00F66F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r>
      <w:r w:rsidRPr="007C4E01">
        <w:rPr>
          <w:lang w:val="fr-CH"/>
        </w:rPr>
        <w:tab/>
        <w:t xml:space="preserve">Note du Groupe de travail de la surveillance et de l’évaluation </w:t>
      </w:r>
      <w:r w:rsidR="00F66F95" w:rsidRPr="007C4E01">
        <w:rPr>
          <w:lang w:val="fr-CH"/>
        </w:rPr>
        <w:br/>
      </w:r>
      <w:r w:rsidRPr="007C4E01">
        <w:rPr>
          <w:lang w:val="fr-CH"/>
        </w:rPr>
        <w:t>de l’environnement, établie avec l’aide du secrétariat</w:t>
      </w:r>
      <w:r w:rsidRPr="007C4E01">
        <w:rPr>
          <w:rStyle w:val="FootnoteReference"/>
          <w:b w:val="0"/>
          <w:sz w:val="20"/>
          <w:szCs w:val="20"/>
          <w:vertAlign w:val="baseline"/>
          <w:lang w:val="fr-CH"/>
        </w:rPr>
        <w:footnoteReference w:customMarkFollows="1" w:id="1"/>
        <w:t>*</w:t>
      </w:r>
      <w:r w:rsidRPr="007C4E01">
        <w:rPr>
          <w:b w:val="0"/>
          <w:position w:val="6"/>
          <w:lang w:val="fr-CH"/>
        </w:rPr>
        <w:t>,</w:t>
      </w:r>
      <w:r w:rsidR="00F66F95" w:rsidRPr="007C4E01">
        <w:rPr>
          <w:b w:val="0"/>
          <w:sz w:val="20"/>
          <w:szCs w:val="20"/>
          <w:lang w:val="fr-CH"/>
        </w:rPr>
        <w:t xml:space="preserve"> </w:t>
      </w:r>
      <w:r w:rsidRPr="007C4E01">
        <w:rPr>
          <w:rStyle w:val="FootnoteReference"/>
          <w:b w:val="0"/>
          <w:sz w:val="20"/>
          <w:szCs w:val="20"/>
          <w:vertAlign w:val="baseline"/>
          <w:lang w:val="fr-CH"/>
        </w:rPr>
        <w:footnoteReference w:customMarkFollows="1" w:id="2"/>
        <w:t>**</w:t>
      </w:r>
      <w:r w:rsidRPr="007C4E01">
        <w:rPr>
          <w:lang w:val="fr-CH"/>
        </w:rPr>
        <w:t xml:space="preserve"> </w:t>
      </w:r>
    </w:p>
    <w:p w:rsidR="001B53B7" w:rsidRPr="007C4E01" w:rsidRDefault="001B53B7" w:rsidP="009B0AFC">
      <w:pPr>
        <w:pStyle w:val="SingleTxt"/>
        <w:spacing w:after="0" w:line="120" w:lineRule="exact"/>
        <w:rPr>
          <w:sz w:val="10"/>
          <w:lang w:val="fr-CH"/>
        </w:rPr>
      </w:pPr>
    </w:p>
    <w:p w:rsidR="009B0AFC" w:rsidRPr="007C4E01" w:rsidRDefault="009B0AFC" w:rsidP="009B0AFC">
      <w:pPr>
        <w:pStyle w:val="SingleTxt"/>
        <w:spacing w:after="0" w:line="120" w:lineRule="exact"/>
        <w:rPr>
          <w:sz w:val="10"/>
          <w:lang w:val="fr-CH"/>
        </w:rPr>
      </w:pPr>
    </w:p>
    <w:p w:rsidR="009B0AFC" w:rsidRPr="007C4E01" w:rsidRDefault="009B0AFC" w:rsidP="009B0AFC">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9B0AFC" w:rsidRPr="007C4E01" w:rsidTr="009B0AFC">
        <w:tc>
          <w:tcPr>
            <w:tcW w:w="10051" w:type="dxa"/>
            <w:tcBorders>
              <w:top w:val="single" w:sz="2" w:space="0" w:color="auto"/>
            </w:tcBorders>
            <w:shd w:val="clear" w:color="auto" w:fill="auto"/>
          </w:tcPr>
          <w:p w:rsidR="009B0AFC" w:rsidRPr="007C4E01" w:rsidRDefault="009B0AFC" w:rsidP="009B0AFC">
            <w:pPr>
              <w:tabs>
                <w:tab w:val="left" w:pos="240"/>
              </w:tabs>
              <w:spacing w:before="240" w:after="120"/>
              <w:rPr>
                <w:i/>
                <w:sz w:val="24"/>
                <w:lang w:val="fr-CH"/>
              </w:rPr>
            </w:pPr>
            <w:r w:rsidRPr="007C4E01">
              <w:rPr>
                <w:i/>
                <w:sz w:val="24"/>
                <w:lang w:val="fr-CH"/>
              </w:rPr>
              <w:tab/>
              <w:t>Résumé</w:t>
            </w:r>
          </w:p>
        </w:tc>
      </w:tr>
      <w:tr w:rsidR="009B0AFC" w:rsidRPr="007C4E01" w:rsidTr="009B0AFC">
        <w:tc>
          <w:tcPr>
            <w:tcW w:w="10051" w:type="dxa"/>
            <w:shd w:val="clear" w:color="auto" w:fill="auto"/>
          </w:tcPr>
          <w:p w:rsidR="009B0AFC" w:rsidRPr="007C4E01" w:rsidRDefault="009B0AFC" w:rsidP="009B0AFC">
            <w:pPr>
              <w:pStyle w:val="SingleTxt"/>
              <w:rPr>
                <w:lang w:val="fr-CH"/>
              </w:rPr>
            </w:pPr>
            <w:r w:rsidRPr="007C4E01">
              <w:rPr>
                <w:lang w:val="fr-CH"/>
              </w:rPr>
              <w:tab/>
              <w:t>À sa vingt e</w:t>
            </w:r>
            <w:r w:rsidR="00F66F95" w:rsidRPr="007C4E01">
              <w:rPr>
                <w:lang w:val="fr-CH"/>
              </w:rPr>
              <w:t>t unième session (Genève, 27-30 </w:t>
            </w:r>
            <w:r w:rsidRPr="007C4E01">
              <w:rPr>
                <w:lang w:val="fr-CH"/>
              </w:rPr>
              <w:t>octobre 2015), le Comité s’est félicité des travaux du Groupe de travail de la surveillance et de l’évaluation de l’environnement visant à mesurer les progrès accomplis dans le développement du Système de partage d’informations sur l’environnement (SEIS) pour l’ensemble de la région paneuropéenne, et a chargé le Groupe de travail de collaborer avec les pays et l’Agence européenne pour l’environnement (AEE) pour valider les données et les informations visées, et de continuer à suivre les progrès réalisés dans le développement du SEIS en vue de soumettre un rapport actualisé au Comité à sa session</w:t>
            </w:r>
            <w:r w:rsidR="00A76620" w:rsidRPr="007C4E01">
              <w:rPr>
                <w:lang w:val="fr-CH"/>
              </w:rPr>
              <w:t xml:space="preserve"> extraordinaire en février 2016</w:t>
            </w:r>
            <w:r w:rsidRPr="007C4E01">
              <w:rPr>
                <w:lang w:val="fr-CH"/>
              </w:rPr>
              <w:t xml:space="preserve"> (voir ECE/CEP/2015/2, Rapport sur la vingt et unième session, à paraître).</w:t>
            </w:r>
          </w:p>
        </w:tc>
      </w:tr>
      <w:tr w:rsidR="009B0AFC" w:rsidRPr="007C4E01" w:rsidTr="009B0AFC">
        <w:tc>
          <w:tcPr>
            <w:tcW w:w="10051" w:type="dxa"/>
            <w:shd w:val="clear" w:color="auto" w:fill="auto"/>
          </w:tcPr>
          <w:p w:rsidR="009B0AFC" w:rsidRPr="007C4E01" w:rsidRDefault="009B0AFC" w:rsidP="000D20EE">
            <w:pPr>
              <w:pStyle w:val="SingleTxt"/>
              <w:keepNext/>
              <w:keepLines/>
              <w:rPr>
                <w:lang w:val="fr-CH"/>
              </w:rPr>
            </w:pPr>
            <w:r w:rsidRPr="007C4E01">
              <w:rPr>
                <w:lang w:val="fr-CH"/>
              </w:rPr>
              <w:lastRenderedPageBreak/>
              <w:tab/>
              <w:t xml:space="preserve">Le présent document a été établi par le Groupe de travail avec le concours du secrétariat, conformément au mandat précité. Le Comité sera invité à examiner le projet révisé en vue de le soumettre à la huitième Conférence </w:t>
            </w:r>
            <w:r w:rsidR="000D20EE" w:rsidRPr="007C4E01">
              <w:rPr>
                <w:lang w:val="fr-CH"/>
              </w:rPr>
              <w:t>« </w:t>
            </w:r>
            <w:r w:rsidRPr="007C4E01">
              <w:rPr>
                <w:lang w:val="fr-CH"/>
              </w:rPr>
              <w:t>Un environnement pour l’</w:t>
            </w:r>
            <w:r w:rsidR="000D20EE" w:rsidRPr="007C4E01">
              <w:rPr>
                <w:lang w:val="fr-CH"/>
              </w:rPr>
              <w:t>Europe » (Batumi, Géorgie, 8-10 </w:t>
            </w:r>
            <w:r w:rsidRPr="007C4E01">
              <w:rPr>
                <w:lang w:val="fr-CH"/>
              </w:rPr>
              <w:t>juin 2016) pour alimenter le débat ministériel sur la mise en place d’un processus d’évaluation périodique de l’environnement dans la région paneuropéenne.</w:t>
            </w:r>
          </w:p>
        </w:tc>
      </w:tr>
      <w:tr w:rsidR="009B0AFC" w:rsidRPr="007C4E01" w:rsidTr="009B0AFC">
        <w:tc>
          <w:tcPr>
            <w:tcW w:w="10051" w:type="dxa"/>
            <w:tcBorders>
              <w:bottom w:val="single" w:sz="2" w:space="0" w:color="auto"/>
            </w:tcBorders>
            <w:shd w:val="clear" w:color="auto" w:fill="auto"/>
          </w:tcPr>
          <w:p w:rsidR="009B0AFC" w:rsidRPr="007C4E01" w:rsidRDefault="009B0AFC" w:rsidP="009B0AFC">
            <w:pPr>
              <w:pStyle w:val="SingleTxt"/>
              <w:rPr>
                <w:lang w:val="fr-CH"/>
              </w:rPr>
            </w:pPr>
          </w:p>
        </w:tc>
      </w:tr>
    </w:tbl>
    <w:p w:rsidR="009B0AFC" w:rsidRPr="007C4E01" w:rsidRDefault="009B0AFC" w:rsidP="009B0AFC">
      <w:pPr>
        <w:pStyle w:val="SingleTxt"/>
        <w:rPr>
          <w:lang w:val="fr-CH"/>
        </w:rPr>
      </w:pPr>
    </w:p>
    <w:p w:rsidR="009B0AFC" w:rsidRPr="007C4E01" w:rsidRDefault="009B0AFC">
      <w:pPr>
        <w:spacing w:line="240" w:lineRule="auto"/>
        <w:rPr>
          <w:lang w:val="fr-CH"/>
        </w:rPr>
      </w:pPr>
      <w:r w:rsidRPr="007C4E01">
        <w:rPr>
          <w:lang w:val="fr-CH"/>
        </w:rPr>
        <w:br w:type="page"/>
      </w:r>
    </w:p>
    <w:p w:rsidR="009B0AFC" w:rsidRPr="007C4E01" w:rsidRDefault="009B0AFC" w:rsidP="009B0AFC">
      <w:pPr>
        <w:pStyle w:val="HCH"/>
        <w:spacing w:after="120"/>
        <w:rPr>
          <w:lang w:val="fr-CH"/>
        </w:rPr>
      </w:pPr>
      <w:r w:rsidRPr="007C4E01">
        <w:rPr>
          <w:lang w:val="fr-CH"/>
        </w:rP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9B0AFC" w:rsidRPr="007C4E01" w:rsidTr="009B0AFC">
        <w:tc>
          <w:tcPr>
            <w:tcW w:w="1060" w:type="dxa"/>
            <w:shd w:val="clear" w:color="auto" w:fill="auto"/>
          </w:tcPr>
          <w:p w:rsidR="009B0AFC" w:rsidRPr="007C4E01" w:rsidRDefault="009B0AFC" w:rsidP="009B0AFC">
            <w:pPr>
              <w:spacing w:after="120" w:line="240" w:lineRule="auto"/>
              <w:jc w:val="right"/>
              <w:rPr>
                <w:i/>
                <w:sz w:val="14"/>
                <w:lang w:val="fr-CH"/>
              </w:rPr>
            </w:pPr>
          </w:p>
        </w:tc>
        <w:tc>
          <w:tcPr>
            <w:tcW w:w="7315" w:type="dxa"/>
            <w:shd w:val="clear" w:color="auto" w:fill="auto"/>
          </w:tcPr>
          <w:p w:rsidR="009B0AFC" w:rsidRPr="007C4E01" w:rsidRDefault="009B0AFC" w:rsidP="009B0AFC">
            <w:pPr>
              <w:spacing w:after="120" w:line="240" w:lineRule="auto"/>
              <w:rPr>
                <w:i/>
                <w:sz w:val="14"/>
                <w:lang w:val="fr-CH"/>
              </w:rPr>
            </w:pPr>
          </w:p>
        </w:tc>
        <w:tc>
          <w:tcPr>
            <w:tcW w:w="994" w:type="dxa"/>
            <w:shd w:val="clear" w:color="auto" w:fill="auto"/>
          </w:tcPr>
          <w:p w:rsidR="009B0AFC" w:rsidRPr="007C4E01" w:rsidRDefault="009B0AFC" w:rsidP="009B0AFC">
            <w:pPr>
              <w:spacing w:after="120" w:line="240" w:lineRule="auto"/>
              <w:jc w:val="right"/>
              <w:rPr>
                <w:i/>
                <w:sz w:val="14"/>
                <w:lang w:val="fr-CH"/>
              </w:rPr>
            </w:pPr>
          </w:p>
        </w:tc>
        <w:tc>
          <w:tcPr>
            <w:tcW w:w="675" w:type="dxa"/>
            <w:shd w:val="clear" w:color="auto" w:fill="auto"/>
          </w:tcPr>
          <w:p w:rsidR="009B0AFC" w:rsidRPr="007C4E01" w:rsidRDefault="009B0AFC" w:rsidP="009B0AFC">
            <w:pPr>
              <w:spacing w:after="120" w:line="240" w:lineRule="auto"/>
              <w:jc w:val="right"/>
              <w:rPr>
                <w:i/>
                <w:sz w:val="14"/>
                <w:lang w:val="fr-CH"/>
              </w:rPr>
            </w:pPr>
            <w:r w:rsidRPr="007C4E01">
              <w:rPr>
                <w:i/>
                <w:sz w:val="14"/>
                <w:lang w:val="fr-CH"/>
              </w:rPr>
              <w:t>Page</w:t>
            </w:r>
          </w:p>
        </w:tc>
      </w:tr>
      <w:tr w:rsidR="000D20EE" w:rsidRPr="007C4E01" w:rsidTr="009B0AFC">
        <w:tc>
          <w:tcPr>
            <w:tcW w:w="9369" w:type="dxa"/>
            <w:gridSpan w:val="3"/>
            <w:shd w:val="clear" w:color="auto" w:fill="auto"/>
          </w:tcPr>
          <w:p w:rsidR="000D20EE" w:rsidRPr="007C4E01" w:rsidRDefault="000D20EE" w:rsidP="000D20EE">
            <w:pPr>
              <w:pStyle w:val="ListParagraph"/>
              <w:tabs>
                <w:tab w:val="left" w:pos="1296"/>
                <w:tab w:val="left" w:pos="1728"/>
                <w:tab w:val="left" w:pos="2160"/>
                <w:tab w:val="right" w:leader="dot" w:pos="9360"/>
              </w:tabs>
              <w:suppressAutoHyphens/>
              <w:spacing w:after="120"/>
              <w:ind w:left="1296"/>
              <w:rPr>
                <w:spacing w:val="60"/>
                <w:sz w:val="17"/>
                <w:lang w:val="fr-CH"/>
              </w:rPr>
            </w:pPr>
            <w:r w:rsidRPr="007C4E01">
              <w:rPr>
                <w:lang w:val="fr-CH"/>
              </w:rPr>
              <w:t>Introduction</w:t>
            </w:r>
            <w:r w:rsidRPr="007C4E01">
              <w:rPr>
                <w:spacing w:val="60"/>
                <w:sz w:val="17"/>
                <w:lang w:val="fr-CH"/>
              </w:rPr>
              <w:tab/>
            </w:r>
          </w:p>
        </w:tc>
        <w:tc>
          <w:tcPr>
            <w:tcW w:w="675" w:type="dxa"/>
            <w:shd w:val="clear" w:color="auto" w:fill="auto"/>
            <w:vAlign w:val="bottom"/>
          </w:tcPr>
          <w:p w:rsidR="000D20EE" w:rsidRPr="007C4E01" w:rsidRDefault="001A04EF" w:rsidP="009B0AFC">
            <w:pPr>
              <w:spacing w:after="120"/>
              <w:ind w:right="40"/>
              <w:jc w:val="right"/>
              <w:rPr>
                <w:lang w:val="fr-CH"/>
              </w:rPr>
            </w:pPr>
            <w:r w:rsidRPr="007C4E01">
              <w:rPr>
                <w:lang w:val="fr-CH"/>
              </w:rPr>
              <w:t>4</w:t>
            </w:r>
          </w:p>
        </w:tc>
      </w:tr>
      <w:tr w:rsidR="009B0AFC" w:rsidRPr="007C4E01" w:rsidTr="009B0AFC">
        <w:tc>
          <w:tcPr>
            <w:tcW w:w="9369" w:type="dxa"/>
            <w:gridSpan w:val="3"/>
            <w:shd w:val="clear" w:color="auto" w:fill="auto"/>
          </w:tcPr>
          <w:p w:rsidR="009B0AFC" w:rsidRPr="007C4E01" w:rsidRDefault="009B0AFC" w:rsidP="00F041C3">
            <w:pPr>
              <w:pStyle w:val="ListParagraph"/>
              <w:numPr>
                <w:ilvl w:val="0"/>
                <w:numId w:val="6"/>
              </w:numPr>
              <w:tabs>
                <w:tab w:val="left" w:pos="1296"/>
                <w:tab w:val="left" w:pos="1728"/>
                <w:tab w:val="right" w:leader="dot" w:pos="9360"/>
              </w:tabs>
              <w:suppressAutoHyphens/>
              <w:spacing w:after="120"/>
              <w:rPr>
                <w:spacing w:val="7"/>
                <w:szCs w:val="20"/>
                <w:lang w:val="fr-CH"/>
              </w:rPr>
            </w:pPr>
            <w:r w:rsidRPr="007C4E01">
              <w:rPr>
                <w:spacing w:val="7"/>
                <w:szCs w:val="20"/>
                <w:lang w:val="fr-CH"/>
              </w:rPr>
              <w:t>Contexte</w:t>
            </w:r>
            <w:r w:rsidR="00F041C3" w:rsidRPr="007C4E01">
              <w:rPr>
                <w:spacing w:val="60"/>
                <w:sz w:val="17"/>
                <w:szCs w:val="20"/>
                <w:lang w:val="fr-CH"/>
              </w:rPr>
              <w:tab/>
            </w:r>
          </w:p>
        </w:tc>
        <w:tc>
          <w:tcPr>
            <w:tcW w:w="675" w:type="dxa"/>
            <w:shd w:val="clear" w:color="auto" w:fill="auto"/>
            <w:vAlign w:val="bottom"/>
          </w:tcPr>
          <w:p w:rsidR="009B0AFC" w:rsidRPr="007C4E01" w:rsidRDefault="001A04EF" w:rsidP="009B0AFC">
            <w:pPr>
              <w:spacing w:after="120"/>
              <w:ind w:right="40"/>
              <w:jc w:val="right"/>
              <w:rPr>
                <w:lang w:val="fr-CH"/>
              </w:rPr>
            </w:pPr>
            <w:r w:rsidRPr="007C4E01">
              <w:rPr>
                <w:lang w:val="fr-CH"/>
              </w:rPr>
              <w:t>4</w:t>
            </w:r>
          </w:p>
        </w:tc>
      </w:tr>
      <w:tr w:rsidR="000D20EE" w:rsidRPr="007C4E01" w:rsidTr="009B0AFC">
        <w:tc>
          <w:tcPr>
            <w:tcW w:w="9369" w:type="dxa"/>
            <w:gridSpan w:val="3"/>
            <w:shd w:val="clear" w:color="auto" w:fill="auto"/>
          </w:tcPr>
          <w:p w:rsidR="000D20EE" w:rsidRPr="007C4E01" w:rsidRDefault="003241F6" w:rsidP="003241F6">
            <w:pPr>
              <w:pStyle w:val="ListParagraph"/>
              <w:numPr>
                <w:ilvl w:val="0"/>
                <w:numId w:val="6"/>
              </w:numPr>
              <w:tabs>
                <w:tab w:val="left" w:pos="1296"/>
                <w:tab w:val="right" w:leader="dot" w:pos="9360"/>
              </w:tabs>
              <w:suppressAutoHyphens/>
              <w:spacing w:after="120"/>
              <w:rPr>
                <w:lang w:val="fr-CH"/>
              </w:rPr>
            </w:pPr>
            <w:r w:rsidRPr="007C4E01">
              <w:rPr>
                <w:lang w:val="fr-CH"/>
              </w:rPr>
              <w:t>État d’avancement de la mise en place du Système de partage d’informations sur l’environnement dans la région paneuropéenne</w:t>
            </w:r>
            <w:r w:rsidR="000D20EE" w:rsidRPr="007C4E01">
              <w:rPr>
                <w:spacing w:val="60"/>
                <w:sz w:val="17"/>
                <w:lang w:val="fr-CH"/>
              </w:rPr>
              <w:tab/>
            </w:r>
          </w:p>
        </w:tc>
        <w:tc>
          <w:tcPr>
            <w:tcW w:w="675" w:type="dxa"/>
            <w:shd w:val="clear" w:color="auto" w:fill="auto"/>
            <w:vAlign w:val="bottom"/>
          </w:tcPr>
          <w:p w:rsidR="000D20EE" w:rsidRPr="007C4E01" w:rsidRDefault="00F0557A" w:rsidP="009B0AFC">
            <w:pPr>
              <w:spacing w:after="120"/>
              <w:ind w:right="40"/>
              <w:jc w:val="right"/>
              <w:rPr>
                <w:lang w:val="fr-CH"/>
              </w:rPr>
            </w:pPr>
            <w:r w:rsidRPr="007C4E01">
              <w:rPr>
                <w:lang w:val="fr-CH"/>
              </w:rPr>
              <w:t>7</w:t>
            </w:r>
          </w:p>
        </w:tc>
      </w:tr>
      <w:tr w:rsidR="000D20EE" w:rsidRPr="007C4E01" w:rsidTr="009B0AFC">
        <w:tc>
          <w:tcPr>
            <w:tcW w:w="9369" w:type="dxa"/>
            <w:gridSpan w:val="3"/>
            <w:shd w:val="clear" w:color="auto" w:fill="auto"/>
          </w:tcPr>
          <w:p w:rsidR="000D20EE" w:rsidRPr="007C4E01" w:rsidRDefault="003241F6" w:rsidP="000D20EE">
            <w:pPr>
              <w:pStyle w:val="ListParagraph"/>
              <w:numPr>
                <w:ilvl w:val="1"/>
                <w:numId w:val="6"/>
              </w:numPr>
              <w:tabs>
                <w:tab w:val="left" w:pos="1296"/>
                <w:tab w:val="left" w:pos="1728"/>
                <w:tab w:val="right" w:leader="dot" w:pos="9360"/>
              </w:tabs>
              <w:suppressAutoHyphens/>
              <w:spacing w:after="120"/>
              <w:rPr>
                <w:spacing w:val="60"/>
                <w:sz w:val="17"/>
                <w:lang w:val="fr-CH"/>
              </w:rPr>
            </w:pPr>
            <w:r w:rsidRPr="007C4E01">
              <w:rPr>
                <w:lang w:val="fr-CH"/>
              </w:rPr>
              <w:t>Processus d’examen</w:t>
            </w:r>
            <w:r w:rsidR="000D20EE" w:rsidRPr="007C4E01">
              <w:rPr>
                <w:spacing w:val="60"/>
                <w:sz w:val="17"/>
                <w:lang w:val="fr-CH"/>
              </w:rPr>
              <w:tab/>
            </w:r>
          </w:p>
        </w:tc>
        <w:tc>
          <w:tcPr>
            <w:tcW w:w="675" w:type="dxa"/>
            <w:shd w:val="clear" w:color="auto" w:fill="auto"/>
            <w:vAlign w:val="bottom"/>
          </w:tcPr>
          <w:p w:rsidR="000D20EE" w:rsidRPr="007C4E01" w:rsidRDefault="00F0557A" w:rsidP="009B0AFC">
            <w:pPr>
              <w:spacing w:after="120"/>
              <w:ind w:right="40"/>
              <w:jc w:val="right"/>
              <w:rPr>
                <w:lang w:val="fr-CH"/>
              </w:rPr>
            </w:pPr>
            <w:r w:rsidRPr="007C4E01">
              <w:rPr>
                <w:lang w:val="fr-CH"/>
              </w:rPr>
              <w:t>7</w:t>
            </w:r>
          </w:p>
        </w:tc>
      </w:tr>
      <w:tr w:rsidR="000D20EE" w:rsidRPr="007C4E01" w:rsidTr="009B0AFC">
        <w:tc>
          <w:tcPr>
            <w:tcW w:w="9369" w:type="dxa"/>
            <w:gridSpan w:val="3"/>
            <w:shd w:val="clear" w:color="auto" w:fill="auto"/>
          </w:tcPr>
          <w:p w:rsidR="000D20EE" w:rsidRPr="007C4E01" w:rsidRDefault="000A06AD" w:rsidP="000A06AD">
            <w:pPr>
              <w:pStyle w:val="ListParagraph"/>
              <w:numPr>
                <w:ilvl w:val="1"/>
                <w:numId w:val="6"/>
              </w:numPr>
              <w:tabs>
                <w:tab w:val="left" w:pos="1296"/>
                <w:tab w:val="left" w:pos="1728"/>
                <w:tab w:val="right" w:leader="dot" w:pos="9360"/>
              </w:tabs>
              <w:suppressAutoHyphens/>
              <w:spacing w:after="120"/>
              <w:rPr>
                <w:spacing w:val="60"/>
                <w:sz w:val="17"/>
                <w:lang w:val="fr-CH"/>
              </w:rPr>
            </w:pPr>
            <w:r w:rsidRPr="007C4E01">
              <w:rPr>
                <w:lang w:val="fr-CH"/>
              </w:rPr>
              <w:t>Progression de l’entreprise de collecte de données et de</w:t>
            </w:r>
            <w:r w:rsidR="00B87A86">
              <w:rPr>
                <w:lang w:val="fr-CH"/>
              </w:rPr>
              <w:t xml:space="preserve"> la mise en place du Système de </w:t>
            </w:r>
            <w:r w:rsidRPr="007C4E01">
              <w:rPr>
                <w:lang w:val="fr-CH"/>
              </w:rPr>
              <w:t>partage d’informations sur l’environnement</w:t>
            </w:r>
            <w:r w:rsidR="000D20EE" w:rsidRPr="007C4E01">
              <w:rPr>
                <w:spacing w:val="60"/>
                <w:sz w:val="17"/>
                <w:lang w:val="fr-CH"/>
              </w:rPr>
              <w:tab/>
            </w:r>
          </w:p>
        </w:tc>
        <w:tc>
          <w:tcPr>
            <w:tcW w:w="675" w:type="dxa"/>
            <w:shd w:val="clear" w:color="auto" w:fill="auto"/>
            <w:vAlign w:val="bottom"/>
          </w:tcPr>
          <w:p w:rsidR="000D20EE" w:rsidRPr="007C4E01" w:rsidRDefault="002A513E" w:rsidP="009B0AFC">
            <w:pPr>
              <w:spacing w:after="120"/>
              <w:ind w:right="40"/>
              <w:jc w:val="right"/>
              <w:rPr>
                <w:lang w:val="fr-CH"/>
              </w:rPr>
            </w:pPr>
            <w:r w:rsidRPr="007C4E01">
              <w:rPr>
                <w:lang w:val="fr-CH"/>
              </w:rPr>
              <w:t>10</w:t>
            </w:r>
          </w:p>
        </w:tc>
      </w:tr>
      <w:tr w:rsidR="000D20EE" w:rsidRPr="007C4E01" w:rsidTr="009B0AFC">
        <w:tc>
          <w:tcPr>
            <w:tcW w:w="9369" w:type="dxa"/>
            <w:gridSpan w:val="3"/>
            <w:shd w:val="clear" w:color="auto" w:fill="auto"/>
          </w:tcPr>
          <w:p w:rsidR="000D20EE" w:rsidRPr="007C4E01" w:rsidRDefault="000A06AD" w:rsidP="000A06AD">
            <w:pPr>
              <w:pStyle w:val="ListParagraph"/>
              <w:numPr>
                <w:ilvl w:val="1"/>
                <w:numId w:val="6"/>
              </w:numPr>
              <w:tabs>
                <w:tab w:val="left" w:pos="1296"/>
                <w:tab w:val="left" w:pos="1728"/>
                <w:tab w:val="right" w:leader="dot" w:pos="9360"/>
              </w:tabs>
              <w:suppressAutoHyphens/>
              <w:spacing w:after="120"/>
              <w:rPr>
                <w:spacing w:val="60"/>
                <w:sz w:val="17"/>
                <w:lang w:val="fr-CH"/>
              </w:rPr>
            </w:pPr>
            <w:r w:rsidRPr="007C4E01">
              <w:rPr>
                <w:lang w:val="fr-CH"/>
              </w:rPr>
              <w:t>Résultats par domaine thématique et par ensemble de données</w:t>
            </w:r>
            <w:r w:rsidR="000D20EE" w:rsidRPr="007C4E01">
              <w:rPr>
                <w:spacing w:val="60"/>
                <w:sz w:val="17"/>
                <w:lang w:val="fr-CH"/>
              </w:rPr>
              <w:tab/>
            </w:r>
          </w:p>
        </w:tc>
        <w:tc>
          <w:tcPr>
            <w:tcW w:w="675" w:type="dxa"/>
            <w:shd w:val="clear" w:color="auto" w:fill="auto"/>
            <w:vAlign w:val="bottom"/>
          </w:tcPr>
          <w:p w:rsidR="000D20EE" w:rsidRPr="007C4E01" w:rsidRDefault="002A513E" w:rsidP="009B0AFC">
            <w:pPr>
              <w:spacing w:after="120"/>
              <w:ind w:right="40"/>
              <w:jc w:val="right"/>
              <w:rPr>
                <w:lang w:val="fr-CH"/>
              </w:rPr>
            </w:pPr>
            <w:r w:rsidRPr="007C4E01">
              <w:rPr>
                <w:lang w:val="fr-CH"/>
              </w:rPr>
              <w:t>13</w:t>
            </w:r>
          </w:p>
        </w:tc>
      </w:tr>
      <w:tr w:rsidR="000D20EE" w:rsidRPr="007C4E01" w:rsidTr="009B0AFC">
        <w:tc>
          <w:tcPr>
            <w:tcW w:w="9369" w:type="dxa"/>
            <w:gridSpan w:val="3"/>
            <w:shd w:val="clear" w:color="auto" w:fill="auto"/>
          </w:tcPr>
          <w:p w:rsidR="000D20EE" w:rsidRPr="007C4E01" w:rsidRDefault="00645E65" w:rsidP="000D20EE">
            <w:pPr>
              <w:pStyle w:val="ListParagraph"/>
              <w:numPr>
                <w:ilvl w:val="1"/>
                <w:numId w:val="6"/>
              </w:numPr>
              <w:tabs>
                <w:tab w:val="left" w:pos="1296"/>
                <w:tab w:val="left" w:pos="1728"/>
                <w:tab w:val="right" w:leader="dot" w:pos="9360"/>
              </w:tabs>
              <w:suppressAutoHyphens/>
              <w:spacing w:after="120"/>
              <w:rPr>
                <w:spacing w:val="60"/>
                <w:sz w:val="17"/>
                <w:lang w:val="fr-CH"/>
              </w:rPr>
            </w:pPr>
            <w:r w:rsidRPr="007C4E01">
              <w:rPr>
                <w:lang w:val="fr-CH"/>
              </w:rPr>
              <w:t>Résultats par critère d’examen</w:t>
            </w:r>
            <w:r w:rsidR="000D20EE" w:rsidRPr="007C4E01">
              <w:rPr>
                <w:spacing w:val="60"/>
                <w:sz w:val="17"/>
                <w:lang w:val="fr-CH"/>
              </w:rPr>
              <w:tab/>
            </w:r>
          </w:p>
        </w:tc>
        <w:tc>
          <w:tcPr>
            <w:tcW w:w="675" w:type="dxa"/>
            <w:shd w:val="clear" w:color="auto" w:fill="auto"/>
            <w:vAlign w:val="bottom"/>
          </w:tcPr>
          <w:p w:rsidR="000D20EE" w:rsidRPr="007C4E01" w:rsidRDefault="001A04EF" w:rsidP="009B0AFC">
            <w:pPr>
              <w:spacing w:after="120"/>
              <w:ind w:right="40"/>
              <w:jc w:val="right"/>
              <w:rPr>
                <w:lang w:val="fr-CH"/>
              </w:rPr>
            </w:pPr>
            <w:r w:rsidRPr="007C4E01">
              <w:rPr>
                <w:lang w:val="fr-CH"/>
              </w:rPr>
              <w:t>17</w:t>
            </w:r>
          </w:p>
        </w:tc>
      </w:tr>
      <w:tr w:rsidR="000D20EE" w:rsidRPr="007C4E01" w:rsidTr="009B0AFC">
        <w:tc>
          <w:tcPr>
            <w:tcW w:w="9369" w:type="dxa"/>
            <w:gridSpan w:val="3"/>
            <w:shd w:val="clear" w:color="auto" w:fill="auto"/>
          </w:tcPr>
          <w:p w:rsidR="000D20EE" w:rsidRPr="007C4E01" w:rsidRDefault="001A04EF" w:rsidP="000D20EE">
            <w:pPr>
              <w:pStyle w:val="ListParagraph"/>
              <w:numPr>
                <w:ilvl w:val="1"/>
                <w:numId w:val="6"/>
              </w:numPr>
              <w:tabs>
                <w:tab w:val="left" w:pos="1296"/>
                <w:tab w:val="left" w:pos="1728"/>
                <w:tab w:val="right" w:leader="dot" w:pos="9360"/>
              </w:tabs>
              <w:suppressAutoHyphens/>
              <w:spacing w:after="120"/>
              <w:rPr>
                <w:spacing w:val="60"/>
                <w:sz w:val="17"/>
                <w:lang w:val="fr-CH"/>
              </w:rPr>
            </w:pPr>
            <w:r w:rsidRPr="007C4E01">
              <w:rPr>
                <w:lang w:val="fr-CH"/>
              </w:rPr>
              <w:t>Analyse approfondie de l’accessibilité des données</w:t>
            </w:r>
            <w:r w:rsidR="000D20EE" w:rsidRPr="007C4E01">
              <w:rPr>
                <w:spacing w:val="60"/>
                <w:sz w:val="17"/>
                <w:lang w:val="fr-CH"/>
              </w:rPr>
              <w:tab/>
            </w:r>
          </w:p>
        </w:tc>
        <w:tc>
          <w:tcPr>
            <w:tcW w:w="675" w:type="dxa"/>
            <w:shd w:val="clear" w:color="auto" w:fill="auto"/>
            <w:vAlign w:val="bottom"/>
          </w:tcPr>
          <w:p w:rsidR="000D20EE" w:rsidRPr="007C4E01" w:rsidRDefault="001A04EF" w:rsidP="009B0AFC">
            <w:pPr>
              <w:spacing w:after="120"/>
              <w:ind w:right="40"/>
              <w:jc w:val="right"/>
              <w:rPr>
                <w:lang w:val="fr-CH"/>
              </w:rPr>
            </w:pPr>
            <w:r w:rsidRPr="007C4E01">
              <w:rPr>
                <w:lang w:val="fr-CH"/>
              </w:rPr>
              <w:t>17</w:t>
            </w:r>
          </w:p>
        </w:tc>
      </w:tr>
      <w:tr w:rsidR="009B0AFC" w:rsidRPr="007C4E01" w:rsidTr="009B0AFC">
        <w:tc>
          <w:tcPr>
            <w:tcW w:w="9369" w:type="dxa"/>
            <w:gridSpan w:val="3"/>
            <w:shd w:val="clear" w:color="auto" w:fill="auto"/>
          </w:tcPr>
          <w:p w:rsidR="009B0AFC" w:rsidRPr="007C4E01" w:rsidRDefault="002A513E" w:rsidP="000D20EE">
            <w:pPr>
              <w:pStyle w:val="ListParagraph"/>
              <w:numPr>
                <w:ilvl w:val="0"/>
                <w:numId w:val="6"/>
              </w:numPr>
              <w:tabs>
                <w:tab w:val="left" w:pos="1296"/>
                <w:tab w:val="right" w:leader="dot" w:pos="9360"/>
              </w:tabs>
              <w:suppressAutoHyphens/>
              <w:spacing w:after="120"/>
              <w:rPr>
                <w:lang w:val="fr-CH"/>
              </w:rPr>
            </w:pPr>
            <w:r w:rsidRPr="007C4E01">
              <w:rPr>
                <w:lang w:val="fr-CH"/>
              </w:rPr>
              <w:t>Conclusions et voie à suivre</w:t>
            </w:r>
            <w:r w:rsidR="000D20EE" w:rsidRPr="007C4E01">
              <w:rPr>
                <w:spacing w:val="60"/>
                <w:sz w:val="17"/>
                <w:lang w:val="fr-CH"/>
              </w:rPr>
              <w:tab/>
            </w:r>
          </w:p>
        </w:tc>
        <w:tc>
          <w:tcPr>
            <w:tcW w:w="675" w:type="dxa"/>
            <w:shd w:val="clear" w:color="auto" w:fill="auto"/>
            <w:vAlign w:val="bottom"/>
          </w:tcPr>
          <w:p w:rsidR="009B0AFC" w:rsidRPr="007C4E01" w:rsidRDefault="002A513E" w:rsidP="009B0AFC">
            <w:pPr>
              <w:spacing w:after="120"/>
              <w:ind w:right="40"/>
              <w:jc w:val="right"/>
              <w:rPr>
                <w:lang w:val="fr-CH"/>
              </w:rPr>
            </w:pPr>
            <w:r w:rsidRPr="007C4E01">
              <w:rPr>
                <w:lang w:val="fr-CH"/>
              </w:rPr>
              <w:t>23</w:t>
            </w:r>
          </w:p>
        </w:tc>
      </w:tr>
      <w:tr w:rsidR="000D20EE" w:rsidRPr="007C4E01" w:rsidTr="009B0AFC">
        <w:tc>
          <w:tcPr>
            <w:tcW w:w="9369" w:type="dxa"/>
            <w:gridSpan w:val="3"/>
            <w:shd w:val="clear" w:color="auto" w:fill="auto"/>
          </w:tcPr>
          <w:p w:rsidR="000D20EE" w:rsidRPr="007C4E01" w:rsidRDefault="002A513E" w:rsidP="002A513E">
            <w:pPr>
              <w:pStyle w:val="ListParagraph"/>
              <w:numPr>
                <w:ilvl w:val="1"/>
                <w:numId w:val="6"/>
              </w:numPr>
              <w:tabs>
                <w:tab w:val="left" w:pos="1296"/>
                <w:tab w:val="left" w:pos="1728"/>
                <w:tab w:val="right" w:leader="dot" w:pos="9360"/>
              </w:tabs>
              <w:suppressAutoHyphens/>
              <w:spacing w:after="120"/>
              <w:rPr>
                <w:spacing w:val="60"/>
                <w:sz w:val="17"/>
                <w:lang w:val="fr-CH"/>
              </w:rPr>
            </w:pPr>
            <w:r w:rsidRPr="007C4E01">
              <w:rPr>
                <w:lang w:val="fr-CH"/>
              </w:rPr>
              <w:t>Principaux messages à retenir et questions à prendre en considération</w:t>
            </w:r>
            <w:r w:rsidR="000D20EE" w:rsidRPr="007C4E01">
              <w:rPr>
                <w:spacing w:val="60"/>
                <w:sz w:val="17"/>
                <w:lang w:val="fr-CH"/>
              </w:rPr>
              <w:tab/>
            </w:r>
          </w:p>
        </w:tc>
        <w:tc>
          <w:tcPr>
            <w:tcW w:w="675" w:type="dxa"/>
            <w:shd w:val="clear" w:color="auto" w:fill="auto"/>
            <w:vAlign w:val="bottom"/>
          </w:tcPr>
          <w:p w:rsidR="000D20EE" w:rsidRPr="007C4E01" w:rsidRDefault="002A513E" w:rsidP="009B0AFC">
            <w:pPr>
              <w:spacing w:after="120"/>
              <w:ind w:right="40"/>
              <w:jc w:val="right"/>
              <w:rPr>
                <w:lang w:val="fr-CH"/>
              </w:rPr>
            </w:pPr>
            <w:r w:rsidRPr="007C4E01">
              <w:rPr>
                <w:lang w:val="fr-CH"/>
              </w:rPr>
              <w:t>24</w:t>
            </w:r>
          </w:p>
        </w:tc>
      </w:tr>
      <w:tr w:rsidR="009B0AFC" w:rsidRPr="007C4E01" w:rsidTr="009B0AFC">
        <w:tc>
          <w:tcPr>
            <w:tcW w:w="9369" w:type="dxa"/>
            <w:gridSpan w:val="3"/>
            <w:shd w:val="clear" w:color="auto" w:fill="auto"/>
          </w:tcPr>
          <w:p w:rsidR="009B0AFC" w:rsidRPr="007C4E01" w:rsidRDefault="000D20EE" w:rsidP="000D20EE">
            <w:pPr>
              <w:pStyle w:val="ListParagraph"/>
              <w:tabs>
                <w:tab w:val="right" w:pos="1080"/>
                <w:tab w:val="left" w:pos="1296"/>
                <w:tab w:val="right" w:pos="1714"/>
                <w:tab w:val="left" w:pos="2160"/>
                <w:tab w:val="left" w:pos="2592"/>
                <w:tab w:val="left" w:pos="3024"/>
                <w:tab w:val="left" w:pos="3456"/>
              </w:tabs>
              <w:suppressAutoHyphens/>
              <w:spacing w:after="120"/>
              <w:ind w:left="0"/>
              <w:rPr>
                <w:spacing w:val="6"/>
                <w:szCs w:val="20"/>
                <w:lang w:val="fr-CH"/>
              </w:rPr>
            </w:pPr>
            <w:r w:rsidRPr="007C4E01">
              <w:rPr>
                <w:spacing w:val="60"/>
                <w:sz w:val="17"/>
                <w:lang w:val="fr-CH"/>
              </w:rPr>
              <w:tab/>
            </w:r>
            <w:r w:rsidRPr="007C4E01">
              <w:rPr>
                <w:spacing w:val="6"/>
                <w:szCs w:val="20"/>
                <w:lang w:val="fr-CH"/>
              </w:rPr>
              <w:t>Annexe</w:t>
            </w:r>
            <w:r w:rsidR="004B5060" w:rsidRPr="007C4E01">
              <w:rPr>
                <w:spacing w:val="6"/>
                <w:szCs w:val="20"/>
                <w:lang w:val="fr-CH"/>
              </w:rPr>
              <w:t>s</w:t>
            </w:r>
          </w:p>
        </w:tc>
        <w:tc>
          <w:tcPr>
            <w:tcW w:w="675" w:type="dxa"/>
            <w:shd w:val="clear" w:color="auto" w:fill="auto"/>
            <w:vAlign w:val="bottom"/>
          </w:tcPr>
          <w:p w:rsidR="009B0AFC" w:rsidRPr="007C4E01" w:rsidRDefault="009B0AFC" w:rsidP="009B0AFC">
            <w:pPr>
              <w:spacing w:after="120"/>
              <w:ind w:right="40"/>
              <w:jc w:val="right"/>
              <w:rPr>
                <w:lang w:val="fr-CH"/>
              </w:rPr>
            </w:pPr>
          </w:p>
        </w:tc>
      </w:tr>
      <w:tr w:rsidR="009B0AFC" w:rsidRPr="007C4E01" w:rsidTr="009B0AFC">
        <w:tc>
          <w:tcPr>
            <w:tcW w:w="9369" w:type="dxa"/>
            <w:gridSpan w:val="3"/>
            <w:shd w:val="clear" w:color="auto" w:fill="auto"/>
          </w:tcPr>
          <w:p w:rsidR="009B0AFC" w:rsidRPr="007C4E01" w:rsidRDefault="00022D9C" w:rsidP="005C60C1">
            <w:pPr>
              <w:pStyle w:val="ListParagraph"/>
              <w:numPr>
                <w:ilvl w:val="0"/>
                <w:numId w:val="7"/>
              </w:numPr>
              <w:tabs>
                <w:tab w:val="right" w:leader="dot" w:pos="9360"/>
              </w:tabs>
              <w:suppressAutoHyphens/>
              <w:spacing w:after="120"/>
              <w:rPr>
                <w:lang w:val="fr-CH"/>
              </w:rPr>
            </w:pPr>
            <w:r w:rsidRPr="007C4E01">
              <w:rPr>
                <w:lang w:val="fr-CH"/>
              </w:rPr>
              <w:t>Examen de l’accessibilité en ligne</w:t>
            </w:r>
            <w:r w:rsidR="000D20EE" w:rsidRPr="007C4E01">
              <w:rPr>
                <w:spacing w:val="60"/>
                <w:sz w:val="17"/>
                <w:lang w:val="fr-CH"/>
              </w:rPr>
              <w:tab/>
            </w:r>
          </w:p>
        </w:tc>
        <w:tc>
          <w:tcPr>
            <w:tcW w:w="675" w:type="dxa"/>
            <w:shd w:val="clear" w:color="auto" w:fill="auto"/>
            <w:vAlign w:val="bottom"/>
          </w:tcPr>
          <w:p w:rsidR="009B0AFC" w:rsidRPr="007C4E01" w:rsidRDefault="00022D9C" w:rsidP="009B0AFC">
            <w:pPr>
              <w:spacing w:after="120"/>
              <w:ind w:right="40"/>
              <w:jc w:val="right"/>
              <w:rPr>
                <w:lang w:val="fr-CH"/>
              </w:rPr>
            </w:pPr>
            <w:r w:rsidRPr="007C4E01">
              <w:rPr>
                <w:lang w:val="fr-CH"/>
              </w:rPr>
              <w:t>27</w:t>
            </w:r>
          </w:p>
        </w:tc>
      </w:tr>
      <w:tr w:rsidR="000D20EE" w:rsidRPr="007C4E01" w:rsidTr="009B0AFC">
        <w:tc>
          <w:tcPr>
            <w:tcW w:w="9369" w:type="dxa"/>
            <w:gridSpan w:val="3"/>
            <w:shd w:val="clear" w:color="auto" w:fill="auto"/>
          </w:tcPr>
          <w:p w:rsidR="000D20EE" w:rsidRPr="007C4E01" w:rsidRDefault="00022D9C" w:rsidP="005C60C1">
            <w:pPr>
              <w:pStyle w:val="ListParagraph"/>
              <w:numPr>
                <w:ilvl w:val="0"/>
                <w:numId w:val="7"/>
              </w:numPr>
              <w:tabs>
                <w:tab w:val="right" w:leader="dot" w:pos="9360"/>
              </w:tabs>
              <w:suppressAutoHyphens/>
              <w:spacing w:after="120"/>
              <w:rPr>
                <w:spacing w:val="60"/>
                <w:sz w:val="17"/>
                <w:lang w:val="fr-CH"/>
              </w:rPr>
            </w:pPr>
            <w:r w:rsidRPr="007C4E01">
              <w:rPr>
                <w:lang w:val="fr-CH"/>
              </w:rPr>
              <w:t>Ensembles de données du SEIS présentant les meilleurs résultats</w:t>
            </w:r>
            <w:r w:rsidR="000D20EE" w:rsidRPr="007C4E01">
              <w:rPr>
                <w:spacing w:val="60"/>
                <w:sz w:val="17"/>
                <w:lang w:val="fr-CH"/>
              </w:rPr>
              <w:tab/>
            </w:r>
          </w:p>
        </w:tc>
        <w:tc>
          <w:tcPr>
            <w:tcW w:w="675" w:type="dxa"/>
            <w:shd w:val="clear" w:color="auto" w:fill="auto"/>
            <w:vAlign w:val="bottom"/>
          </w:tcPr>
          <w:p w:rsidR="000D20EE" w:rsidRPr="007C4E01" w:rsidRDefault="00022D9C" w:rsidP="00022D9C">
            <w:pPr>
              <w:spacing w:after="120"/>
              <w:ind w:right="40"/>
              <w:jc w:val="right"/>
              <w:rPr>
                <w:spacing w:val="60"/>
                <w:sz w:val="17"/>
                <w:lang w:val="fr-CH"/>
              </w:rPr>
            </w:pPr>
            <w:r w:rsidRPr="007C4E01">
              <w:rPr>
                <w:lang w:val="fr-CH"/>
              </w:rPr>
              <w:t>28</w:t>
            </w:r>
          </w:p>
        </w:tc>
      </w:tr>
      <w:tr w:rsidR="000D20EE" w:rsidRPr="007C4E01" w:rsidTr="009B0AFC">
        <w:tc>
          <w:tcPr>
            <w:tcW w:w="9369" w:type="dxa"/>
            <w:gridSpan w:val="3"/>
            <w:shd w:val="clear" w:color="auto" w:fill="auto"/>
          </w:tcPr>
          <w:p w:rsidR="000D20EE" w:rsidRPr="007C4E01" w:rsidRDefault="00637F12" w:rsidP="005C60C1">
            <w:pPr>
              <w:pStyle w:val="ListParagraph"/>
              <w:numPr>
                <w:ilvl w:val="0"/>
                <w:numId w:val="7"/>
              </w:numPr>
              <w:tabs>
                <w:tab w:val="right" w:leader="dot" w:pos="9360"/>
              </w:tabs>
              <w:suppressAutoHyphens/>
              <w:spacing w:after="120"/>
              <w:rPr>
                <w:spacing w:val="60"/>
                <w:sz w:val="17"/>
                <w:lang w:val="fr-CH"/>
              </w:rPr>
            </w:pPr>
            <w:r w:rsidRPr="007C4E01">
              <w:rPr>
                <w:lang w:val="fr-CH"/>
              </w:rPr>
              <w:t>Ensembles de données du SEIS présentant les moins bons résultats</w:t>
            </w:r>
            <w:r w:rsidR="000D20EE" w:rsidRPr="007C4E01">
              <w:rPr>
                <w:spacing w:val="60"/>
                <w:sz w:val="17"/>
                <w:lang w:val="fr-CH"/>
              </w:rPr>
              <w:tab/>
            </w:r>
          </w:p>
        </w:tc>
        <w:tc>
          <w:tcPr>
            <w:tcW w:w="675" w:type="dxa"/>
            <w:shd w:val="clear" w:color="auto" w:fill="auto"/>
            <w:vAlign w:val="bottom"/>
          </w:tcPr>
          <w:p w:rsidR="000D20EE" w:rsidRPr="007C4E01" w:rsidRDefault="00637F12" w:rsidP="00637F12">
            <w:pPr>
              <w:spacing w:after="120"/>
              <w:ind w:right="40"/>
              <w:jc w:val="right"/>
              <w:rPr>
                <w:lang w:val="fr-CH"/>
              </w:rPr>
            </w:pPr>
            <w:r w:rsidRPr="007C4E01">
              <w:rPr>
                <w:lang w:val="fr-CH"/>
              </w:rPr>
              <w:t>31</w:t>
            </w:r>
          </w:p>
        </w:tc>
      </w:tr>
      <w:tr w:rsidR="009B0AFC" w:rsidRPr="007C4E01" w:rsidTr="009B0AFC">
        <w:tc>
          <w:tcPr>
            <w:tcW w:w="9369" w:type="dxa"/>
            <w:gridSpan w:val="3"/>
            <w:shd w:val="clear" w:color="auto" w:fill="auto"/>
          </w:tcPr>
          <w:p w:rsidR="009B0AFC" w:rsidRPr="007C4E01" w:rsidRDefault="00794759" w:rsidP="00794759">
            <w:pPr>
              <w:pStyle w:val="ListParagraph"/>
              <w:tabs>
                <w:tab w:val="right" w:pos="1080"/>
                <w:tab w:val="left" w:pos="1296"/>
                <w:tab w:val="right" w:pos="1714"/>
                <w:tab w:val="left" w:pos="2160"/>
                <w:tab w:val="left" w:pos="2592"/>
                <w:tab w:val="left" w:pos="3024"/>
                <w:tab w:val="left" w:pos="3456"/>
              </w:tabs>
              <w:suppressAutoHyphens/>
              <w:spacing w:after="120"/>
              <w:ind w:left="0"/>
              <w:rPr>
                <w:spacing w:val="6"/>
                <w:szCs w:val="20"/>
                <w:lang w:val="fr-CH"/>
              </w:rPr>
            </w:pPr>
            <w:r w:rsidRPr="007C4E01">
              <w:rPr>
                <w:spacing w:val="6"/>
                <w:szCs w:val="20"/>
                <w:lang w:val="fr-CH"/>
              </w:rPr>
              <w:tab/>
              <w:t>Tableaux</w:t>
            </w:r>
          </w:p>
        </w:tc>
        <w:tc>
          <w:tcPr>
            <w:tcW w:w="675" w:type="dxa"/>
            <w:shd w:val="clear" w:color="auto" w:fill="auto"/>
            <w:vAlign w:val="bottom"/>
          </w:tcPr>
          <w:p w:rsidR="009B0AFC" w:rsidRPr="007C4E01" w:rsidRDefault="009B0AFC" w:rsidP="009B0AFC">
            <w:pPr>
              <w:spacing w:after="120"/>
              <w:ind w:right="40"/>
              <w:jc w:val="right"/>
              <w:rPr>
                <w:lang w:val="fr-CH"/>
              </w:rPr>
            </w:pPr>
          </w:p>
        </w:tc>
      </w:tr>
      <w:tr w:rsidR="00794759" w:rsidRPr="007C4E01" w:rsidTr="009B0AFC">
        <w:tc>
          <w:tcPr>
            <w:tcW w:w="9369" w:type="dxa"/>
            <w:gridSpan w:val="3"/>
            <w:shd w:val="clear" w:color="auto" w:fill="auto"/>
          </w:tcPr>
          <w:p w:rsidR="00794759" w:rsidRPr="007C4E01" w:rsidRDefault="00794759" w:rsidP="00794759">
            <w:pPr>
              <w:pStyle w:val="ListParagraph"/>
              <w:tabs>
                <w:tab w:val="left" w:pos="1296"/>
                <w:tab w:val="right" w:leader="dot" w:pos="9360"/>
              </w:tabs>
              <w:suppressAutoHyphens/>
              <w:spacing w:after="120"/>
              <w:ind w:left="950"/>
              <w:rPr>
                <w:spacing w:val="60"/>
                <w:sz w:val="17"/>
                <w:szCs w:val="20"/>
                <w:lang w:val="fr-CH"/>
              </w:rPr>
            </w:pPr>
            <w:r w:rsidRPr="007C4E01">
              <w:rPr>
                <w:spacing w:val="6"/>
                <w:szCs w:val="20"/>
                <w:lang w:val="fr-CH"/>
              </w:rPr>
              <w:t>1.</w:t>
            </w:r>
            <w:r w:rsidRPr="007C4E01">
              <w:rPr>
                <w:spacing w:val="6"/>
                <w:szCs w:val="20"/>
                <w:lang w:val="fr-CH"/>
              </w:rPr>
              <w:tab/>
            </w:r>
            <w:r w:rsidR="005F6D2B" w:rsidRPr="007C4E01">
              <w:rPr>
                <w:lang w:val="fr-CH"/>
              </w:rPr>
              <w:t>Critères d’examen</w:t>
            </w:r>
            <w:r w:rsidRPr="007C4E01">
              <w:rPr>
                <w:spacing w:val="60"/>
                <w:sz w:val="17"/>
                <w:szCs w:val="20"/>
                <w:lang w:val="fr-CH"/>
              </w:rPr>
              <w:tab/>
            </w:r>
          </w:p>
        </w:tc>
        <w:tc>
          <w:tcPr>
            <w:tcW w:w="675" w:type="dxa"/>
            <w:shd w:val="clear" w:color="auto" w:fill="auto"/>
            <w:vAlign w:val="bottom"/>
          </w:tcPr>
          <w:p w:rsidR="00794759" w:rsidRPr="007C4E01" w:rsidRDefault="005F6D2B" w:rsidP="009B0AFC">
            <w:pPr>
              <w:spacing w:after="120"/>
              <w:ind w:right="40"/>
              <w:jc w:val="right"/>
              <w:rPr>
                <w:lang w:val="fr-CH"/>
              </w:rPr>
            </w:pPr>
            <w:r w:rsidRPr="007C4E01">
              <w:rPr>
                <w:lang w:val="fr-CH"/>
              </w:rPr>
              <w:t>8</w:t>
            </w:r>
          </w:p>
        </w:tc>
      </w:tr>
      <w:tr w:rsidR="00794759" w:rsidRPr="007C4E01" w:rsidTr="009B0AFC">
        <w:tc>
          <w:tcPr>
            <w:tcW w:w="9369" w:type="dxa"/>
            <w:gridSpan w:val="3"/>
            <w:shd w:val="clear" w:color="auto" w:fill="auto"/>
          </w:tcPr>
          <w:p w:rsidR="00794759" w:rsidRPr="007C4E01" w:rsidRDefault="00794759" w:rsidP="00794759">
            <w:pPr>
              <w:pStyle w:val="ListParagraph"/>
              <w:tabs>
                <w:tab w:val="left" w:pos="1296"/>
                <w:tab w:val="right" w:leader="dot" w:pos="9360"/>
              </w:tabs>
              <w:suppressAutoHyphens/>
              <w:spacing w:after="120"/>
              <w:ind w:left="950"/>
              <w:rPr>
                <w:spacing w:val="60"/>
                <w:sz w:val="17"/>
                <w:szCs w:val="20"/>
                <w:lang w:val="fr-CH"/>
              </w:rPr>
            </w:pPr>
            <w:r w:rsidRPr="007C4E01">
              <w:rPr>
                <w:spacing w:val="6"/>
                <w:szCs w:val="20"/>
                <w:lang w:val="fr-CH"/>
              </w:rPr>
              <w:t>2.</w:t>
            </w:r>
            <w:r w:rsidRPr="007C4E01">
              <w:rPr>
                <w:spacing w:val="6"/>
                <w:szCs w:val="20"/>
                <w:lang w:val="fr-CH"/>
              </w:rPr>
              <w:tab/>
            </w:r>
            <w:r w:rsidR="005F6D2B" w:rsidRPr="007C4E01">
              <w:rPr>
                <w:lang w:val="fr-CH"/>
              </w:rPr>
              <w:t>Résultats de l’analyse approfondie</w:t>
            </w:r>
            <w:r w:rsidRPr="007C4E01">
              <w:rPr>
                <w:spacing w:val="60"/>
                <w:sz w:val="17"/>
                <w:szCs w:val="20"/>
                <w:lang w:val="fr-CH"/>
              </w:rPr>
              <w:tab/>
            </w:r>
          </w:p>
        </w:tc>
        <w:tc>
          <w:tcPr>
            <w:tcW w:w="675" w:type="dxa"/>
            <w:shd w:val="clear" w:color="auto" w:fill="auto"/>
            <w:vAlign w:val="bottom"/>
          </w:tcPr>
          <w:p w:rsidR="00794759" w:rsidRPr="007C4E01" w:rsidRDefault="005F6D2B" w:rsidP="009B0AFC">
            <w:pPr>
              <w:spacing w:after="120"/>
              <w:ind w:right="40"/>
              <w:jc w:val="right"/>
              <w:rPr>
                <w:lang w:val="fr-CH"/>
              </w:rPr>
            </w:pPr>
            <w:r w:rsidRPr="007C4E01">
              <w:rPr>
                <w:lang w:val="fr-CH"/>
              </w:rPr>
              <w:t>23</w:t>
            </w:r>
          </w:p>
        </w:tc>
      </w:tr>
      <w:tr w:rsidR="00794759" w:rsidRPr="007C4E01" w:rsidTr="009B0AFC">
        <w:tc>
          <w:tcPr>
            <w:tcW w:w="9369" w:type="dxa"/>
            <w:gridSpan w:val="3"/>
            <w:shd w:val="clear" w:color="auto" w:fill="auto"/>
          </w:tcPr>
          <w:p w:rsidR="00794759" w:rsidRPr="007C4E01" w:rsidRDefault="00794759" w:rsidP="00794759">
            <w:pPr>
              <w:pStyle w:val="ListParagraph"/>
              <w:tabs>
                <w:tab w:val="right" w:pos="1080"/>
                <w:tab w:val="left" w:pos="1296"/>
                <w:tab w:val="right" w:pos="1714"/>
                <w:tab w:val="left" w:pos="2160"/>
                <w:tab w:val="left" w:pos="2592"/>
                <w:tab w:val="left" w:pos="3024"/>
                <w:tab w:val="left" w:pos="3456"/>
              </w:tabs>
              <w:suppressAutoHyphens/>
              <w:spacing w:after="120"/>
              <w:ind w:left="0"/>
              <w:rPr>
                <w:spacing w:val="60"/>
                <w:sz w:val="17"/>
                <w:szCs w:val="20"/>
                <w:lang w:val="fr-CH"/>
              </w:rPr>
            </w:pPr>
            <w:r w:rsidRPr="007C4E01">
              <w:rPr>
                <w:spacing w:val="60"/>
                <w:sz w:val="17"/>
                <w:szCs w:val="20"/>
                <w:lang w:val="fr-CH"/>
              </w:rPr>
              <w:tab/>
            </w:r>
            <w:r w:rsidRPr="007C4E01">
              <w:rPr>
                <w:spacing w:val="6"/>
                <w:szCs w:val="20"/>
                <w:lang w:val="fr-CH"/>
              </w:rPr>
              <w:t>Figures</w:t>
            </w:r>
          </w:p>
        </w:tc>
        <w:tc>
          <w:tcPr>
            <w:tcW w:w="675" w:type="dxa"/>
            <w:shd w:val="clear" w:color="auto" w:fill="auto"/>
            <w:vAlign w:val="bottom"/>
          </w:tcPr>
          <w:p w:rsidR="00794759" w:rsidRPr="007C4E01" w:rsidRDefault="00794759" w:rsidP="009B0AFC">
            <w:pPr>
              <w:spacing w:after="120"/>
              <w:ind w:right="40"/>
              <w:jc w:val="right"/>
              <w:rPr>
                <w:lang w:val="fr-CH"/>
              </w:rPr>
            </w:pPr>
          </w:p>
        </w:tc>
      </w:tr>
      <w:tr w:rsidR="00794759" w:rsidRPr="007C4E01" w:rsidTr="009B0AFC">
        <w:tc>
          <w:tcPr>
            <w:tcW w:w="9369" w:type="dxa"/>
            <w:gridSpan w:val="3"/>
            <w:shd w:val="clear" w:color="auto" w:fill="auto"/>
          </w:tcPr>
          <w:p w:rsidR="00794759" w:rsidRPr="007C4E01" w:rsidRDefault="00794759" w:rsidP="00484A70">
            <w:pPr>
              <w:pStyle w:val="ListParagraph"/>
              <w:tabs>
                <w:tab w:val="left" w:pos="1296"/>
                <w:tab w:val="right" w:leader="dot" w:pos="9360"/>
              </w:tabs>
              <w:suppressAutoHyphens/>
              <w:spacing w:after="120"/>
              <w:ind w:left="950"/>
              <w:rPr>
                <w:spacing w:val="60"/>
                <w:sz w:val="17"/>
                <w:szCs w:val="20"/>
                <w:lang w:val="fr-CH"/>
              </w:rPr>
            </w:pPr>
            <w:r w:rsidRPr="007C4E01">
              <w:rPr>
                <w:spacing w:val="6"/>
                <w:szCs w:val="20"/>
                <w:lang w:val="fr-CH"/>
              </w:rPr>
              <w:t>1.</w:t>
            </w:r>
            <w:r w:rsidRPr="007C4E01">
              <w:rPr>
                <w:spacing w:val="6"/>
                <w:szCs w:val="20"/>
                <w:lang w:val="fr-CH"/>
              </w:rPr>
              <w:tab/>
            </w:r>
            <w:r w:rsidR="007E799E" w:rsidRPr="007C4E01">
              <w:rPr>
                <w:lang w:val="fr-CH"/>
              </w:rPr>
              <w:t>Écarts de résultats par rapport à la moyenne générale</w:t>
            </w:r>
            <w:r w:rsidRPr="007C4E01">
              <w:rPr>
                <w:spacing w:val="60"/>
                <w:sz w:val="17"/>
                <w:szCs w:val="20"/>
                <w:lang w:val="fr-CH"/>
              </w:rPr>
              <w:tab/>
            </w:r>
          </w:p>
        </w:tc>
        <w:tc>
          <w:tcPr>
            <w:tcW w:w="675" w:type="dxa"/>
            <w:shd w:val="clear" w:color="auto" w:fill="auto"/>
            <w:vAlign w:val="bottom"/>
          </w:tcPr>
          <w:p w:rsidR="00794759" w:rsidRPr="007C4E01" w:rsidRDefault="007E799E" w:rsidP="009B0AFC">
            <w:pPr>
              <w:spacing w:after="120"/>
              <w:ind w:right="40"/>
              <w:jc w:val="right"/>
              <w:rPr>
                <w:lang w:val="fr-CH"/>
              </w:rPr>
            </w:pPr>
            <w:r w:rsidRPr="007C4E01">
              <w:rPr>
                <w:lang w:val="fr-CH"/>
              </w:rPr>
              <w:t>13</w:t>
            </w:r>
          </w:p>
        </w:tc>
      </w:tr>
      <w:tr w:rsidR="00794759" w:rsidRPr="007C4E01" w:rsidTr="009B0AFC">
        <w:tc>
          <w:tcPr>
            <w:tcW w:w="9369" w:type="dxa"/>
            <w:gridSpan w:val="3"/>
            <w:shd w:val="clear" w:color="auto" w:fill="auto"/>
          </w:tcPr>
          <w:p w:rsidR="00794759" w:rsidRPr="007C4E01" w:rsidRDefault="00794759" w:rsidP="00484A70">
            <w:pPr>
              <w:pStyle w:val="ListParagraph"/>
              <w:tabs>
                <w:tab w:val="left" w:pos="1296"/>
                <w:tab w:val="right" w:leader="dot" w:pos="9360"/>
              </w:tabs>
              <w:suppressAutoHyphens/>
              <w:spacing w:after="120"/>
              <w:ind w:left="950"/>
              <w:rPr>
                <w:spacing w:val="60"/>
                <w:sz w:val="17"/>
                <w:szCs w:val="20"/>
                <w:lang w:val="fr-CH"/>
              </w:rPr>
            </w:pPr>
            <w:r w:rsidRPr="007C4E01">
              <w:rPr>
                <w:spacing w:val="6"/>
                <w:szCs w:val="20"/>
                <w:lang w:val="fr-CH"/>
              </w:rPr>
              <w:t>2.</w:t>
            </w:r>
            <w:r w:rsidRPr="007C4E01">
              <w:rPr>
                <w:spacing w:val="6"/>
                <w:szCs w:val="20"/>
                <w:lang w:val="fr-CH"/>
              </w:rPr>
              <w:tab/>
            </w:r>
            <w:r w:rsidR="00CD7C49" w:rsidRPr="007C4E01">
              <w:rPr>
                <w:spacing w:val="6"/>
                <w:szCs w:val="20"/>
                <w:lang w:val="fr-CH"/>
              </w:rPr>
              <w:t>Ensembles de données du SEIS présentant les meilleurs résultats</w:t>
            </w:r>
            <w:r w:rsidRPr="007C4E01">
              <w:rPr>
                <w:spacing w:val="60"/>
                <w:sz w:val="17"/>
                <w:szCs w:val="20"/>
                <w:lang w:val="fr-CH"/>
              </w:rPr>
              <w:tab/>
            </w:r>
          </w:p>
        </w:tc>
        <w:tc>
          <w:tcPr>
            <w:tcW w:w="675" w:type="dxa"/>
            <w:shd w:val="clear" w:color="auto" w:fill="auto"/>
            <w:vAlign w:val="bottom"/>
          </w:tcPr>
          <w:p w:rsidR="00794759" w:rsidRPr="007C4E01" w:rsidRDefault="00CD7C49" w:rsidP="009B0AFC">
            <w:pPr>
              <w:spacing w:after="120"/>
              <w:ind w:right="40"/>
              <w:jc w:val="right"/>
              <w:rPr>
                <w:lang w:val="fr-CH"/>
              </w:rPr>
            </w:pPr>
            <w:r w:rsidRPr="007C4E01">
              <w:rPr>
                <w:lang w:val="fr-CH"/>
              </w:rPr>
              <w:t>15</w:t>
            </w:r>
          </w:p>
        </w:tc>
      </w:tr>
      <w:tr w:rsidR="00794759" w:rsidRPr="007C4E01" w:rsidTr="009B0AFC">
        <w:tc>
          <w:tcPr>
            <w:tcW w:w="9369" w:type="dxa"/>
            <w:gridSpan w:val="3"/>
            <w:shd w:val="clear" w:color="auto" w:fill="auto"/>
          </w:tcPr>
          <w:p w:rsidR="00794759" w:rsidRPr="007C4E01" w:rsidRDefault="00794759" w:rsidP="00794759">
            <w:pPr>
              <w:pStyle w:val="ListParagraph"/>
              <w:tabs>
                <w:tab w:val="left" w:pos="1296"/>
                <w:tab w:val="right" w:leader="dot" w:pos="9360"/>
              </w:tabs>
              <w:suppressAutoHyphens/>
              <w:spacing w:after="120"/>
              <w:ind w:left="950"/>
              <w:rPr>
                <w:spacing w:val="60"/>
                <w:sz w:val="17"/>
                <w:szCs w:val="20"/>
                <w:lang w:val="fr-CH"/>
              </w:rPr>
            </w:pPr>
            <w:r w:rsidRPr="007C4E01">
              <w:rPr>
                <w:spacing w:val="6"/>
                <w:szCs w:val="20"/>
                <w:lang w:val="fr-CH"/>
              </w:rPr>
              <w:t>3.</w:t>
            </w:r>
            <w:r w:rsidRPr="007C4E01">
              <w:rPr>
                <w:spacing w:val="6"/>
                <w:szCs w:val="20"/>
                <w:lang w:val="fr-CH"/>
              </w:rPr>
              <w:tab/>
            </w:r>
            <w:r w:rsidR="00B83075" w:rsidRPr="007C4E01">
              <w:rPr>
                <w:lang w:val="fr-CH"/>
              </w:rPr>
              <w:t>Ensembles de données du SEIS présentant les plus faibles résultats</w:t>
            </w:r>
            <w:r w:rsidRPr="007C4E01">
              <w:rPr>
                <w:spacing w:val="60"/>
                <w:sz w:val="17"/>
                <w:szCs w:val="20"/>
                <w:lang w:val="fr-CH"/>
              </w:rPr>
              <w:tab/>
            </w:r>
          </w:p>
        </w:tc>
        <w:tc>
          <w:tcPr>
            <w:tcW w:w="675" w:type="dxa"/>
            <w:shd w:val="clear" w:color="auto" w:fill="auto"/>
            <w:vAlign w:val="bottom"/>
          </w:tcPr>
          <w:p w:rsidR="00794759" w:rsidRPr="007C4E01" w:rsidRDefault="00B83075" w:rsidP="009B0AFC">
            <w:pPr>
              <w:spacing w:after="120"/>
              <w:ind w:right="40"/>
              <w:jc w:val="right"/>
              <w:rPr>
                <w:lang w:val="fr-CH"/>
              </w:rPr>
            </w:pPr>
            <w:r w:rsidRPr="007C4E01">
              <w:rPr>
                <w:lang w:val="fr-CH"/>
              </w:rPr>
              <w:t>16</w:t>
            </w:r>
          </w:p>
        </w:tc>
      </w:tr>
      <w:tr w:rsidR="00794759" w:rsidRPr="007C4E01" w:rsidTr="009B0AFC">
        <w:tc>
          <w:tcPr>
            <w:tcW w:w="9369" w:type="dxa"/>
            <w:gridSpan w:val="3"/>
            <w:shd w:val="clear" w:color="auto" w:fill="auto"/>
          </w:tcPr>
          <w:p w:rsidR="00794759" w:rsidRPr="007C4E01" w:rsidRDefault="00794759" w:rsidP="00794759">
            <w:pPr>
              <w:pStyle w:val="ListParagraph"/>
              <w:tabs>
                <w:tab w:val="right" w:pos="1080"/>
                <w:tab w:val="left" w:pos="1296"/>
                <w:tab w:val="right" w:pos="1714"/>
                <w:tab w:val="left" w:pos="2160"/>
                <w:tab w:val="left" w:pos="2592"/>
                <w:tab w:val="left" w:pos="3024"/>
                <w:tab w:val="left" w:pos="3456"/>
              </w:tabs>
              <w:suppressAutoHyphens/>
              <w:spacing w:after="120"/>
              <w:ind w:left="0"/>
              <w:rPr>
                <w:spacing w:val="6"/>
                <w:szCs w:val="20"/>
                <w:lang w:val="fr-CH"/>
              </w:rPr>
            </w:pPr>
            <w:r w:rsidRPr="007C4E01">
              <w:rPr>
                <w:spacing w:val="6"/>
                <w:szCs w:val="20"/>
                <w:lang w:val="fr-CH"/>
              </w:rPr>
              <w:tab/>
              <w:t>Encadrés</w:t>
            </w:r>
          </w:p>
        </w:tc>
        <w:tc>
          <w:tcPr>
            <w:tcW w:w="675" w:type="dxa"/>
            <w:shd w:val="clear" w:color="auto" w:fill="auto"/>
            <w:vAlign w:val="bottom"/>
          </w:tcPr>
          <w:p w:rsidR="00794759" w:rsidRPr="007C4E01" w:rsidRDefault="00794759" w:rsidP="009B0AFC">
            <w:pPr>
              <w:spacing w:after="120"/>
              <w:ind w:right="40"/>
              <w:jc w:val="right"/>
              <w:rPr>
                <w:lang w:val="fr-CH"/>
              </w:rPr>
            </w:pPr>
          </w:p>
        </w:tc>
      </w:tr>
      <w:tr w:rsidR="00794759" w:rsidRPr="007C4E01" w:rsidTr="00484A70">
        <w:tc>
          <w:tcPr>
            <w:tcW w:w="9369" w:type="dxa"/>
            <w:gridSpan w:val="3"/>
            <w:shd w:val="clear" w:color="auto" w:fill="auto"/>
          </w:tcPr>
          <w:p w:rsidR="00794759" w:rsidRPr="007C4E01" w:rsidRDefault="00794759" w:rsidP="00484A70">
            <w:pPr>
              <w:pStyle w:val="ListParagraph"/>
              <w:tabs>
                <w:tab w:val="left" w:pos="1296"/>
                <w:tab w:val="right" w:leader="dot" w:pos="9360"/>
              </w:tabs>
              <w:suppressAutoHyphens/>
              <w:spacing w:after="120"/>
              <w:ind w:left="950"/>
              <w:rPr>
                <w:spacing w:val="60"/>
                <w:sz w:val="17"/>
                <w:szCs w:val="20"/>
                <w:lang w:val="fr-CH"/>
              </w:rPr>
            </w:pPr>
            <w:r w:rsidRPr="007C4E01">
              <w:rPr>
                <w:spacing w:val="6"/>
                <w:szCs w:val="20"/>
                <w:lang w:val="fr-CH"/>
              </w:rPr>
              <w:t>1.</w:t>
            </w:r>
            <w:r w:rsidRPr="007C4E01">
              <w:rPr>
                <w:spacing w:val="6"/>
                <w:szCs w:val="20"/>
                <w:lang w:val="fr-CH"/>
              </w:rPr>
              <w:tab/>
            </w:r>
            <w:r w:rsidR="0049603D" w:rsidRPr="007C4E01">
              <w:rPr>
                <w:lang w:val="fr-CH"/>
              </w:rPr>
              <w:t>Exemples d’études de cas montrant une amélioration des résultats</w:t>
            </w:r>
            <w:r w:rsidRPr="007C4E01">
              <w:rPr>
                <w:spacing w:val="60"/>
                <w:sz w:val="17"/>
                <w:szCs w:val="20"/>
                <w:lang w:val="fr-CH"/>
              </w:rPr>
              <w:tab/>
            </w:r>
          </w:p>
        </w:tc>
        <w:tc>
          <w:tcPr>
            <w:tcW w:w="675" w:type="dxa"/>
            <w:shd w:val="clear" w:color="auto" w:fill="auto"/>
            <w:vAlign w:val="bottom"/>
          </w:tcPr>
          <w:p w:rsidR="00794759" w:rsidRPr="007C4E01" w:rsidRDefault="0049603D" w:rsidP="00484A70">
            <w:pPr>
              <w:spacing w:after="120"/>
              <w:ind w:right="40"/>
              <w:jc w:val="right"/>
              <w:rPr>
                <w:lang w:val="fr-CH"/>
              </w:rPr>
            </w:pPr>
            <w:r w:rsidRPr="007C4E01">
              <w:rPr>
                <w:lang w:val="fr-CH"/>
              </w:rPr>
              <w:t>12</w:t>
            </w:r>
          </w:p>
        </w:tc>
      </w:tr>
      <w:tr w:rsidR="00794759" w:rsidRPr="007C4E01" w:rsidTr="00484A70">
        <w:tc>
          <w:tcPr>
            <w:tcW w:w="9369" w:type="dxa"/>
            <w:gridSpan w:val="3"/>
            <w:shd w:val="clear" w:color="auto" w:fill="auto"/>
          </w:tcPr>
          <w:p w:rsidR="00794759" w:rsidRPr="007C4E01" w:rsidRDefault="00794759" w:rsidP="0049603D">
            <w:pPr>
              <w:pStyle w:val="ListParagraph"/>
              <w:tabs>
                <w:tab w:val="left" w:pos="1296"/>
                <w:tab w:val="right" w:leader="dot" w:pos="9360"/>
              </w:tabs>
              <w:suppressAutoHyphens/>
              <w:spacing w:after="120"/>
              <w:ind w:left="950"/>
              <w:rPr>
                <w:spacing w:val="60"/>
                <w:sz w:val="17"/>
                <w:szCs w:val="20"/>
                <w:lang w:val="fr-CH"/>
              </w:rPr>
            </w:pPr>
            <w:r w:rsidRPr="007C4E01">
              <w:rPr>
                <w:spacing w:val="6"/>
                <w:szCs w:val="20"/>
                <w:lang w:val="fr-CH"/>
              </w:rPr>
              <w:t>2.</w:t>
            </w:r>
            <w:r w:rsidRPr="007C4E01">
              <w:rPr>
                <w:spacing w:val="6"/>
                <w:szCs w:val="20"/>
                <w:lang w:val="fr-CH"/>
              </w:rPr>
              <w:tab/>
            </w:r>
            <w:r w:rsidR="0049603D" w:rsidRPr="007C4E01">
              <w:rPr>
                <w:spacing w:val="6"/>
                <w:szCs w:val="20"/>
                <w:lang w:val="fr-CH"/>
              </w:rPr>
              <w:t>Résumé des résultats de l’analyse approfondie sur l’accessibilité des données en ligne</w:t>
            </w:r>
            <w:r w:rsidRPr="007C4E01">
              <w:rPr>
                <w:spacing w:val="60"/>
                <w:sz w:val="17"/>
                <w:szCs w:val="20"/>
                <w:lang w:val="fr-CH"/>
              </w:rPr>
              <w:tab/>
            </w:r>
          </w:p>
        </w:tc>
        <w:tc>
          <w:tcPr>
            <w:tcW w:w="675" w:type="dxa"/>
            <w:shd w:val="clear" w:color="auto" w:fill="auto"/>
            <w:vAlign w:val="bottom"/>
          </w:tcPr>
          <w:p w:rsidR="00794759" w:rsidRPr="007C4E01" w:rsidRDefault="0049603D" w:rsidP="00484A70">
            <w:pPr>
              <w:spacing w:after="120"/>
              <w:ind w:right="40"/>
              <w:jc w:val="right"/>
              <w:rPr>
                <w:lang w:val="fr-CH"/>
              </w:rPr>
            </w:pPr>
            <w:r w:rsidRPr="007C4E01">
              <w:rPr>
                <w:lang w:val="fr-CH"/>
              </w:rPr>
              <w:t>18</w:t>
            </w:r>
          </w:p>
        </w:tc>
      </w:tr>
    </w:tbl>
    <w:p w:rsidR="009B0AFC" w:rsidRPr="007C4E01" w:rsidRDefault="009B0AFC" w:rsidP="009B0AFC">
      <w:pPr>
        <w:rPr>
          <w:lang w:val="fr-CH"/>
        </w:rPr>
      </w:pPr>
    </w:p>
    <w:p w:rsidR="009B0AFC" w:rsidRPr="007C4E01" w:rsidRDefault="009B0AFC">
      <w:pPr>
        <w:spacing w:line="240" w:lineRule="auto"/>
        <w:rPr>
          <w:lang w:val="fr-CH"/>
        </w:rPr>
      </w:pPr>
      <w:r w:rsidRPr="007C4E01">
        <w:rPr>
          <w:lang w:val="fr-CH"/>
        </w:rPr>
        <w:br w:type="page"/>
      </w:r>
    </w:p>
    <w:p w:rsidR="009B0AFC" w:rsidRPr="007C4E01" w:rsidRDefault="004B5060" w:rsidP="004B50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lastRenderedPageBreak/>
        <w:tab/>
      </w:r>
      <w:r w:rsidRPr="007C4E01">
        <w:rPr>
          <w:lang w:val="fr-CH"/>
        </w:rPr>
        <w:tab/>
      </w:r>
      <w:r w:rsidR="009B0AFC" w:rsidRPr="007C4E01">
        <w:rPr>
          <w:lang w:val="fr-CH"/>
        </w:rPr>
        <w:t>Introduction</w:t>
      </w:r>
    </w:p>
    <w:p w:rsidR="004B5060" w:rsidRPr="007C4E01" w:rsidRDefault="004B5060" w:rsidP="004B5060">
      <w:pPr>
        <w:pStyle w:val="SingleTxt"/>
        <w:spacing w:after="0" w:line="120" w:lineRule="exact"/>
        <w:rPr>
          <w:sz w:val="10"/>
          <w:lang w:val="fr-CH"/>
        </w:rPr>
      </w:pPr>
    </w:p>
    <w:p w:rsidR="004B5060" w:rsidRPr="007C4E01" w:rsidRDefault="004B5060" w:rsidP="004B5060">
      <w:pPr>
        <w:pStyle w:val="SingleTxt"/>
        <w:spacing w:after="0" w:line="120" w:lineRule="exact"/>
        <w:rPr>
          <w:sz w:val="10"/>
          <w:lang w:val="fr-CH"/>
        </w:rPr>
      </w:pPr>
    </w:p>
    <w:p w:rsidR="009B0AFC" w:rsidRPr="007C4E01" w:rsidRDefault="009B0AFC" w:rsidP="004B5060">
      <w:pPr>
        <w:pStyle w:val="SingleTxt"/>
        <w:numPr>
          <w:ilvl w:val="0"/>
          <w:numId w:val="10"/>
        </w:numPr>
        <w:rPr>
          <w:lang w:val="fr-CH"/>
        </w:rPr>
      </w:pPr>
      <w:r w:rsidRPr="007C4E01">
        <w:rPr>
          <w:lang w:val="fr-CH"/>
        </w:rPr>
        <w:t xml:space="preserve">Le Plan de réforme du processus </w:t>
      </w:r>
      <w:r w:rsidR="004B5060" w:rsidRPr="007C4E01">
        <w:rPr>
          <w:lang w:val="fr-CH"/>
        </w:rPr>
        <w:t>« </w:t>
      </w:r>
      <w:r w:rsidRPr="007C4E01">
        <w:rPr>
          <w:lang w:val="fr-CH"/>
        </w:rPr>
        <w:t>Un environnement pour l’</w:t>
      </w:r>
      <w:r w:rsidR="004B5060" w:rsidRPr="007C4E01">
        <w:rPr>
          <w:lang w:val="fr-CH"/>
        </w:rPr>
        <w:t>Europe » (ECE/CEP/S/152, annexe </w:t>
      </w:r>
      <w:r w:rsidRPr="007C4E01">
        <w:rPr>
          <w:lang w:val="fr-CH"/>
        </w:rPr>
        <w:t xml:space="preserve">I, et Corr.1) adopté en 2009 par le Comité des politiques de l’environnement de la CEE et entériné par la CEE, désigne le Comité des politiques de l’environnement comme l’organisme chargé d’organiser les préparatifs des conférences ministérielles </w:t>
      </w:r>
      <w:r w:rsidR="00F041C3" w:rsidRPr="007C4E01">
        <w:rPr>
          <w:lang w:val="fr-CH"/>
        </w:rPr>
        <w:t>« </w:t>
      </w:r>
      <w:r w:rsidRPr="007C4E01">
        <w:rPr>
          <w:lang w:val="fr-CH"/>
        </w:rPr>
        <w:t>Un environnement pour l’Europe ».</w:t>
      </w:r>
    </w:p>
    <w:p w:rsidR="009B0AFC" w:rsidRPr="007C4E01" w:rsidRDefault="009B0AFC" w:rsidP="004B5060">
      <w:pPr>
        <w:pStyle w:val="SingleTxt"/>
        <w:numPr>
          <w:ilvl w:val="0"/>
          <w:numId w:val="10"/>
        </w:numPr>
        <w:rPr>
          <w:lang w:val="fr-CH"/>
        </w:rPr>
      </w:pPr>
      <w:r w:rsidRPr="007C4E01">
        <w:rPr>
          <w:lang w:val="fr-CH"/>
        </w:rPr>
        <w:t>À sa v</w:t>
      </w:r>
      <w:r w:rsidR="00F041C3" w:rsidRPr="007C4E01">
        <w:rPr>
          <w:lang w:val="fr-CH"/>
        </w:rPr>
        <w:t>ingtième session (Genève, 28-31 </w:t>
      </w:r>
      <w:r w:rsidRPr="007C4E01">
        <w:rPr>
          <w:lang w:val="fr-CH"/>
        </w:rPr>
        <w:t xml:space="preserve">octobre 2014), le Comité a chargé le Groupe de travail de la surveillance et de l’évaluation de l’environnement, conformément à son mandat reconduit pour 2015, de faire le point des avancées dans le développement du SEIS par référence aux cibles et indicateurs de résultats adoptés par le Comité, en vue d’établir un rapport d’évaluation sur les progrès accomplis dans le développement du SEIS dans la région paneuropéenne pour la prochaine Conférence ministérielle </w:t>
      </w:r>
      <w:r w:rsidR="00F041C3" w:rsidRPr="007C4E01">
        <w:rPr>
          <w:lang w:val="fr-CH"/>
        </w:rPr>
        <w:t>« </w:t>
      </w:r>
      <w:r w:rsidRPr="007C4E01">
        <w:rPr>
          <w:lang w:val="fr-CH"/>
        </w:rPr>
        <w:t>Un environnement pour l’Europe » (Batumi, Géorgie, 8-10 juin 2016). Le Comité a en outre demandé qu’un premier rapport concernant cette activité soit présenté à sa prochaine session</w:t>
      </w:r>
      <w:r w:rsidR="00F041C3" w:rsidRPr="007C4E01">
        <w:rPr>
          <w:lang w:val="fr-CH"/>
        </w:rPr>
        <w:t xml:space="preserve"> (voir ECE/CEP/2014/2, par. 98 ff) </w:t>
      </w:r>
      <w:r w:rsidRPr="007C4E01">
        <w:rPr>
          <w:lang w:val="fr-CH"/>
        </w:rPr>
        <w:t>iii)).</w:t>
      </w:r>
    </w:p>
    <w:p w:rsidR="009B0AFC" w:rsidRPr="007C4E01" w:rsidRDefault="009B0AFC" w:rsidP="004B5060">
      <w:pPr>
        <w:pStyle w:val="SingleTxt"/>
        <w:numPr>
          <w:ilvl w:val="0"/>
          <w:numId w:val="10"/>
        </w:numPr>
        <w:rPr>
          <w:lang w:val="fr-CH"/>
        </w:rPr>
      </w:pPr>
      <w:r w:rsidRPr="007C4E01">
        <w:rPr>
          <w:lang w:val="fr-CH"/>
        </w:rPr>
        <w:t>À sa vingt et unième session (Genève, 27-30</w:t>
      </w:r>
      <w:r w:rsidR="00F041C3" w:rsidRPr="007C4E01">
        <w:rPr>
          <w:lang w:val="fr-CH"/>
        </w:rPr>
        <w:t> </w:t>
      </w:r>
      <w:r w:rsidRPr="007C4E01">
        <w:rPr>
          <w:lang w:val="fr-CH"/>
        </w:rPr>
        <w:t>octobre 2015), le Comité s’est félicité des travaux du Groupe de travail de la surveillance et de l’évaluation de l’environnement visant à mesurer les progrès accomplis dans le développement du Système de partage d’informations sur l’environnement (SEIS) pour l’ensemble de la région paneuropéenne, et a chargé le Groupe de travail de collaborer avec les pays et l’Agence européenne pour l’environnement (AEE) pour valider les données et les informations visées, et de continuer à suivre les progrès réalisés dans le développement du SEIS en vue de soumettre un rapport actualisé au Comité à sa session</w:t>
      </w:r>
      <w:r w:rsidR="00F041C3" w:rsidRPr="007C4E01">
        <w:rPr>
          <w:lang w:val="fr-CH"/>
        </w:rPr>
        <w:t xml:space="preserve"> extraordinaire en février 2016</w:t>
      </w:r>
      <w:r w:rsidRPr="007C4E01">
        <w:rPr>
          <w:lang w:val="fr-CH"/>
        </w:rPr>
        <w:t xml:space="preserve"> (voir ECE/CEP/2015/2, Rapport sur la vingt et unième session, à paraître). </w:t>
      </w:r>
    </w:p>
    <w:p w:rsidR="009B0AFC" w:rsidRPr="007C4E01" w:rsidRDefault="009B0AFC" w:rsidP="004B5060">
      <w:pPr>
        <w:pStyle w:val="SingleTxt"/>
        <w:numPr>
          <w:ilvl w:val="0"/>
          <w:numId w:val="10"/>
        </w:numPr>
        <w:rPr>
          <w:lang w:val="fr-CH"/>
        </w:rPr>
      </w:pPr>
      <w:r w:rsidRPr="007C4E01">
        <w:rPr>
          <w:lang w:val="fr-CH"/>
        </w:rPr>
        <w:t>Le présent document a été établi par le Groupe de travail avec le concours du secrétariat et en consultation avec l’AEE, conformément au mandat précité.</w:t>
      </w:r>
    </w:p>
    <w:p w:rsidR="009B0AFC" w:rsidRPr="007C4E01" w:rsidRDefault="009B0AFC" w:rsidP="004B5060">
      <w:pPr>
        <w:pStyle w:val="SingleTxt"/>
        <w:numPr>
          <w:ilvl w:val="0"/>
          <w:numId w:val="10"/>
        </w:numPr>
        <w:rPr>
          <w:lang w:val="fr-CH"/>
        </w:rPr>
      </w:pPr>
      <w:r w:rsidRPr="007C4E01">
        <w:rPr>
          <w:lang w:val="fr-CH"/>
        </w:rPr>
        <w:t xml:space="preserve">Le Comité sera invité à examiner le projet révisé en vue de le soumettre à la Conférence ministérielle de Batumi, pour alimenter les débats ministériels sur la mise en place d’un processus d’évaluation périodique de l’environnement dans la région paneuropéenne. </w:t>
      </w:r>
    </w:p>
    <w:p w:rsidR="004B5060" w:rsidRPr="007C4E01" w:rsidRDefault="004B5060" w:rsidP="004B5060">
      <w:pPr>
        <w:pStyle w:val="SingleTxt"/>
        <w:spacing w:after="0" w:line="120" w:lineRule="exact"/>
        <w:rPr>
          <w:sz w:val="10"/>
          <w:lang w:val="fr-CH"/>
        </w:rPr>
      </w:pPr>
    </w:p>
    <w:p w:rsidR="004B5060" w:rsidRPr="007C4E01" w:rsidRDefault="004B5060" w:rsidP="004B5060">
      <w:pPr>
        <w:pStyle w:val="SingleTxt"/>
        <w:spacing w:after="0" w:line="120" w:lineRule="exact"/>
        <w:rPr>
          <w:sz w:val="10"/>
          <w:lang w:val="fr-CH"/>
        </w:rPr>
      </w:pPr>
    </w:p>
    <w:p w:rsidR="009B0AFC" w:rsidRPr="007C4E01" w:rsidRDefault="009B0AFC" w:rsidP="004B50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 w:name="_Toc439754725"/>
      <w:bookmarkStart w:id="2" w:name="_Toc439765032"/>
      <w:bookmarkStart w:id="3" w:name="_Toc439771993"/>
      <w:bookmarkStart w:id="4" w:name="_Toc439775995"/>
      <w:bookmarkStart w:id="5" w:name="_Toc439783406"/>
      <w:bookmarkStart w:id="6" w:name="_Toc439859081"/>
      <w:bookmarkStart w:id="7" w:name="_Toc439861947"/>
      <w:bookmarkStart w:id="8" w:name="_Toc439863754"/>
      <w:bookmarkStart w:id="9" w:name="_Toc439688148"/>
      <w:bookmarkStart w:id="10" w:name="_Toc439754726"/>
      <w:bookmarkStart w:id="11" w:name="_Toc439765033"/>
      <w:bookmarkStart w:id="12" w:name="_Toc439771994"/>
      <w:bookmarkStart w:id="13" w:name="_Toc439775996"/>
      <w:bookmarkStart w:id="14" w:name="_Toc439783407"/>
      <w:bookmarkStart w:id="15" w:name="_Toc439859082"/>
      <w:bookmarkStart w:id="16" w:name="_Toc439861948"/>
      <w:bookmarkStart w:id="17" w:name="_Toc439863755"/>
      <w:bookmarkStart w:id="18" w:name="_Toc439688149"/>
      <w:bookmarkStart w:id="19" w:name="_Toc439754727"/>
      <w:bookmarkStart w:id="20" w:name="_Toc439765034"/>
      <w:bookmarkStart w:id="21" w:name="_Toc439771995"/>
      <w:bookmarkStart w:id="22" w:name="_Toc439775997"/>
      <w:bookmarkStart w:id="23" w:name="_Toc439783408"/>
      <w:bookmarkStart w:id="24" w:name="_Toc439859083"/>
      <w:bookmarkStart w:id="25" w:name="_Toc439861949"/>
      <w:bookmarkStart w:id="26" w:name="_Toc439863756"/>
      <w:bookmarkStart w:id="27" w:name="_Toc439688150"/>
      <w:bookmarkStart w:id="28" w:name="_Toc439754728"/>
      <w:bookmarkStart w:id="29" w:name="_Toc439765035"/>
      <w:bookmarkStart w:id="30" w:name="_Toc439771996"/>
      <w:bookmarkStart w:id="31" w:name="_Toc439775998"/>
      <w:bookmarkStart w:id="32" w:name="_Toc439783409"/>
      <w:bookmarkStart w:id="33" w:name="_Toc439859084"/>
      <w:bookmarkStart w:id="34" w:name="_Toc439861950"/>
      <w:bookmarkStart w:id="35" w:name="_Toc439863757"/>
      <w:bookmarkStart w:id="36" w:name="_Toc439688151"/>
      <w:bookmarkStart w:id="37" w:name="_Toc439754729"/>
      <w:bookmarkStart w:id="38" w:name="_Toc439765036"/>
      <w:bookmarkStart w:id="39" w:name="_Toc439771997"/>
      <w:bookmarkStart w:id="40" w:name="_Toc439775999"/>
      <w:bookmarkStart w:id="41" w:name="_Toc439783410"/>
      <w:bookmarkStart w:id="42" w:name="_Toc439859085"/>
      <w:bookmarkStart w:id="43" w:name="_Toc439861951"/>
      <w:bookmarkStart w:id="44" w:name="_Toc439863758"/>
      <w:bookmarkStart w:id="45" w:name="_Toc439688152"/>
      <w:bookmarkStart w:id="46" w:name="_Toc439754730"/>
      <w:bookmarkStart w:id="47" w:name="_Toc439765037"/>
      <w:bookmarkStart w:id="48" w:name="_Toc439771998"/>
      <w:bookmarkStart w:id="49" w:name="_Toc439776000"/>
      <w:bookmarkStart w:id="50" w:name="_Toc439783411"/>
      <w:bookmarkStart w:id="51" w:name="_Toc439859086"/>
      <w:bookmarkStart w:id="52" w:name="_Toc439861952"/>
      <w:bookmarkStart w:id="53" w:name="_Toc439863759"/>
      <w:bookmarkStart w:id="54" w:name="_Toc439688153"/>
      <w:bookmarkStart w:id="55" w:name="_Toc439754731"/>
      <w:bookmarkStart w:id="56" w:name="_Toc439765038"/>
      <w:bookmarkStart w:id="57" w:name="_Toc439771999"/>
      <w:bookmarkStart w:id="58" w:name="_Toc439776001"/>
      <w:bookmarkStart w:id="59" w:name="_Toc439783412"/>
      <w:bookmarkStart w:id="60" w:name="_Toc439859087"/>
      <w:bookmarkStart w:id="61" w:name="_Toc439861953"/>
      <w:bookmarkStart w:id="62" w:name="_Toc439863760"/>
      <w:bookmarkStart w:id="63" w:name="_Toc439688154"/>
      <w:bookmarkStart w:id="64" w:name="_Toc439754732"/>
      <w:bookmarkStart w:id="65" w:name="_Toc439765039"/>
      <w:bookmarkStart w:id="66" w:name="_Toc439772000"/>
      <w:bookmarkStart w:id="67" w:name="_Toc439776002"/>
      <w:bookmarkStart w:id="68" w:name="_Toc439783413"/>
      <w:bookmarkStart w:id="69" w:name="_Toc439859088"/>
      <w:bookmarkStart w:id="70" w:name="_Toc439861954"/>
      <w:bookmarkStart w:id="71" w:name="_Toc439863761"/>
      <w:bookmarkStart w:id="72" w:name="_Toc439688155"/>
      <w:bookmarkStart w:id="73" w:name="_Toc439754733"/>
      <w:bookmarkStart w:id="74" w:name="_Toc439765040"/>
      <w:bookmarkStart w:id="75" w:name="_Toc439772001"/>
      <w:bookmarkStart w:id="76" w:name="_Toc439776003"/>
      <w:bookmarkStart w:id="77" w:name="_Toc439783414"/>
      <w:bookmarkStart w:id="78" w:name="_Toc439859089"/>
      <w:bookmarkStart w:id="79" w:name="_Toc439861955"/>
      <w:bookmarkStart w:id="80" w:name="_Toc439863762"/>
      <w:bookmarkStart w:id="81" w:name="_Toc4404614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7C4E01">
        <w:rPr>
          <w:lang w:val="fr-CH"/>
        </w:rPr>
        <w:tab/>
        <w:t>I.</w:t>
      </w:r>
      <w:r w:rsidRPr="007C4E01">
        <w:rPr>
          <w:lang w:val="fr-CH"/>
        </w:rPr>
        <w:tab/>
      </w:r>
      <w:bookmarkEnd w:id="81"/>
      <w:r w:rsidRPr="007C4E01">
        <w:rPr>
          <w:lang w:val="fr-CH"/>
        </w:rPr>
        <w:t>Contexte</w:t>
      </w:r>
    </w:p>
    <w:p w:rsidR="004B5060" w:rsidRPr="007C4E01" w:rsidRDefault="004B5060" w:rsidP="004B5060">
      <w:pPr>
        <w:pStyle w:val="SingleTxt"/>
        <w:spacing w:after="0" w:line="120" w:lineRule="exact"/>
        <w:rPr>
          <w:sz w:val="10"/>
          <w:lang w:val="fr-CH"/>
        </w:rPr>
      </w:pPr>
    </w:p>
    <w:p w:rsidR="004B5060" w:rsidRPr="007C4E01" w:rsidRDefault="004B5060" w:rsidP="004B5060">
      <w:pPr>
        <w:pStyle w:val="SingleTxt"/>
        <w:spacing w:after="0" w:line="120" w:lineRule="exact"/>
        <w:rPr>
          <w:sz w:val="10"/>
          <w:lang w:val="fr-CH"/>
        </w:rPr>
      </w:pPr>
    </w:p>
    <w:p w:rsidR="009B0AFC" w:rsidRPr="007C4E01" w:rsidRDefault="009B0AFC" w:rsidP="004B5060">
      <w:pPr>
        <w:pStyle w:val="SingleTxt"/>
        <w:numPr>
          <w:ilvl w:val="0"/>
          <w:numId w:val="10"/>
        </w:numPr>
        <w:rPr>
          <w:lang w:val="fr-CH"/>
        </w:rPr>
      </w:pPr>
      <w:r w:rsidRPr="007C4E01">
        <w:rPr>
          <w:lang w:val="fr-CH"/>
        </w:rPr>
        <w:t>Une grande quantité de données sur l’environnement dans la région paneuropéenne, sur ses tendances, sur les pressions dont il est l’objet et sur les facteurs qui le modèlent sont recueillies non seulement à l’intention des décideurs, mais aussi pour rendre public l’accès aux données. Dans le cadre de ce processus, et pour maximiser l’utilisation des données sur l’environnement, la Commission européenne a chargé en 2008 le SEIS de mettre en relation les bases de données existantes et de rendre ces données plus acces</w:t>
      </w:r>
      <w:r w:rsidR="00CC382E" w:rsidRPr="007C4E01">
        <w:rPr>
          <w:lang w:val="fr-CH"/>
        </w:rPr>
        <w:t>sibles (COM(2008) 46; SWD(2013) </w:t>
      </w:r>
      <w:r w:rsidRPr="007C4E01">
        <w:rPr>
          <w:lang w:val="fr-CH"/>
        </w:rPr>
        <w:t xml:space="preserve">18). </w:t>
      </w:r>
    </w:p>
    <w:p w:rsidR="009B0AFC" w:rsidRPr="007C4E01" w:rsidRDefault="009B0AFC" w:rsidP="004B5060">
      <w:pPr>
        <w:pStyle w:val="SingleTxt"/>
        <w:numPr>
          <w:ilvl w:val="0"/>
          <w:numId w:val="10"/>
        </w:numPr>
        <w:rPr>
          <w:lang w:val="fr-CH"/>
        </w:rPr>
      </w:pPr>
      <w:r w:rsidRPr="007C4E01">
        <w:rPr>
          <w:lang w:val="fr-CH"/>
        </w:rPr>
        <w:t xml:space="preserve">Le SEIS offre le moyen de faciliter les évaluations périodiques concernant l’environnement et d’en rendre compte. Il relie les données et flux d’informations existants qui présentent un intérêt pour les autorités nationales dans leurs activités de surveillance et d’évaluation avec les technologies de l’information et de la communication. Il favorise la diffusion, l’application et la comparabilité des indicateurs environnementaux et des ensembles de données s’y rapportant dans une optique de partage des réseaux d’information existants et d’harmonisation des besoins de surveillance dans le domaine de l’environnement. </w:t>
      </w:r>
    </w:p>
    <w:p w:rsidR="009B0AFC" w:rsidRPr="007C4E01" w:rsidRDefault="009B0AFC" w:rsidP="004B5060">
      <w:pPr>
        <w:pStyle w:val="SingleTxt"/>
        <w:numPr>
          <w:ilvl w:val="0"/>
          <w:numId w:val="10"/>
        </w:numPr>
        <w:rPr>
          <w:lang w:val="fr-CH"/>
        </w:rPr>
      </w:pPr>
      <w:r w:rsidRPr="007C4E01">
        <w:rPr>
          <w:lang w:val="fr-CH"/>
        </w:rPr>
        <w:t>Dans la région paneuropéenne</w:t>
      </w:r>
      <w:r w:rsidRPr="007C4E01">
        <w:rPr>
          <w:rStyle w:val="FootnoteReference"/>
          <w:lang w:val="fr-CH"/>
        </w:rPr>
        <w:footnoteReference w:id="3"/>
      </w:r>
      <w:r w:rsidRPr="007C4E01">
        <w:rPr>
          <w:lang w:val="fr-CH"/>
        </w:rPr>
        <w:t xml:space="preserve">, le SEIS est censé agir dans ce contexte de réseautage renforcé et de coopération avec les autorités nationales demandeuses d’informations et de statistiques en matière d’environnement et entre ces mêmes autorités. Ce système poursuit de multiples objectifs, dont celui d’établir des rapports devant servir pour les accords multilatéraux relatifs à l’environnement. </w:t>
      </w:r>
    </w:p>
    <w:p w:rsidR="009B0AFC" w:rsidRPr="007C4E01" w:rsidRDefault="009B0AFC" w:rsidP="004B5060">
      <w:pPr>
        <w:pStyle w:val="SingleTxt"/>
        <w:numPr>
          <w:ilvl w:val="0"/>
          <w:numId w:val="10"/>
        </w:numPr>
        <w:rPr>
          <w:lang w:val="fr-CH"/>
        </w:rPr>
      </w:pPr>
      <w:r w:rsidRPr="007C4E01">
        <w:rPr>
          <w:lang w:val="fr-CH"/>
        </w:rPr>
        <w:t xml:space="preserve">Conscients des difficultés que pose l’accès aux types de données et d’informations sur lesquelles devront s’appuyer les futures évaluations environnementales (relatives à l’Union européenne et aux Nations Unies), les ministres de l’environnement de la région paneuropéenne présents à la septième Conférence ministérielle </w:t>
      </w:r>
      <w:r w:rsidR="00F041C3" w:rsidRPr="007C4E01">
        <w:rPr>
          <w:lang w:val="fr-CH"/>
        </w:rPr>
        <w:t>« </w:t>
      </w:r>
      <w:r w:rsidRPr="007C4E01">
        <w:rPr>
          <w:lang w:val="fr-CH"/>
        </w:rPr>
        <w:t>Un environnement pour l’Europe » (Astana, 21-23</w:t>
      </w:r>
      <w:r w:rsidR="00F041C3" w:rsidRPr="007C4E01">
        <w:rPr>
          <w:lang w:val="fr-CH"/>
        </w:rPr>
        <w:t> </w:t>
      </w:r>
      <w:r w:rsidRPr="007C4E01">
        <w:rPr>
          <w:lang w:val="fr-CH"/>
        </w:rPr>
        <w:t xml:space="preserve">septembre 2011) ont décidé de mettre en place un processus d’évaluation périodique de l’environnement et de développer le SEIS dans l’ensemble de la région paneuropéenne (ECE/ASTANA.CONF/2011/2/Add.1). </w:t>
      </w:r>
    </w:p>
    <w:p w:rsidR="009B0AFC" w:rsidRPr="007C4E01" w:rsidRDefault="009B0AFC" w:rsidP="004B5060">
      <w:pPr>
        <w:pStyle w:val="SingleTxt"/>
        <w:numPr>
          <w:ilvl w:val="0"/>
          <w:numId w:val="10"/>
        </w:numPr>
        <w:rPr>
          <w:lang w:val="fr-CH"/>
        </w:rPr>
      </w:pPr>
      <w:r w:rsidRPr="007C4E01">
        <w:rPr>
          <w:lang w:val="fr-CH"/>
        </w:rPr>
        <w:t xml:space="preserve">En réponse à cette décision des ministres, conformément aux cibles et aux indicateurs de résultats approuvés pour la région paneuropéenne pour le SEIS (voir ECE/CEP/AC.10/2015/2), et sur la base du mandat que lui a donné le Comité des politiques de l’environnement, le Groupe de travail de la surveillance et de l’évaluation de l’environnement a élaboré le présent document, conçu comme une étape préparatoire et comme un moyen de faire le point, le but étant de mesurer le niveau d’investissement des États membres dans la mise en place du SEIS en vue de la Conférence ministérielle de Batumi. </w:t>
      </w:r>
    </w:p>
    <w:p w:rsidR="009B0AFC" w:rsidRPr="007C4E01" w:rsidRDefault="009B0AFC" w:rsidP="004B5060">
      <w:pPr>
        <w:pStyle w:val="SingleTxt"/>
        <w:numPr>
          <w:ilvl w:val="0"/>
          <w:numId w:val="10"/>
        </w:numPr>
        <w:rPr>
          <w:lang w:val="fr-CH"/>
        </w:rPr>
      </w:pPr>
      <w:r w:rsidRPr="007C4E01">
        <w:rPr>
          <w:lang w:val="fr-CH"/>
        </w:rPr>
        <w:t>Dans la phase préparatoire, le Groupe de travail a défini un cadre d’évaluation des progrès réalisés dans la voie du SEIS. À cet effet, il a fallu déterminer des ensembles de données spécifiques</w:t>
      </w:r>
      <w:r w:rsidRPr="007C4E01">
        <w:rPr>
          <w:rStyle w:val="FootnoteReference"/>
          <w:lang w:val="fr-CH"/>
        </w:rPr>
        <w:footnoteReference w:id="4"/>
      </w:r>
      <w:r w:rsidRPr="007C4E01">
        <w:rPr>
          <w:lang w:val="fr-CH"/>
        </w:rPr>
        <w:t xml:space="preserve"> pour le SEIS paneuropéen et proposer un mécanisme d’établissement de rapports devant permettre aux États membres de recueillir des données pertinentes eu égard aux cibles et aux indicateurs de résultats du SEIS. À sa seizième session (Istanbul, Turquie, 16-17</w:t>
      </w:r>
      <w:r w:rsidR="00F041C3" w:rsidRPr="007C4E01">
        <w:rPr>
          <w:lang w:val="fr-CH"/>
        </w:rPr>
        <w:t> </w:t>
      </w:r>
      <w:r w:rsidRPr="007C4E01">
        <w:rPr>
          <w:lang w:val="fr-CH"/>
        </w:rPr>
        <w:t>avril 2015), le Groupe de travail a décidé que le SEIS devrait faciliter l’accès aux données et aux informations produites dans des formats et selon des modèles communs, pour 67</w:t>
      </w:r>
      <w:r w:rsidR="00EE5429" w:rsidRPr="007C4E01">
        <w:rPr>
          <w:lang w:val="fr-CH"/>
        </w:rPr>
        <w:t> </w:t>
      </w:r>
      <w:r w:rsidRPr="007C4E01">
        <w:rPr>
          <w:lang w:val="fr-CH"/>
        </w:rPr>
        <w:t>ensembles de données regroupés à l’intérieur de sept domaines thématiques, comme suit</w:t>
      </w:r>
      <w:r w:rsidR="00F041C3" w:rsidRPr="007C4E01">
        <w:rPr>
          <w:lang w:val="fr-CH"/>
        </w:rPr>
        <w:t> </w:t>
      </w:r>
      <w:r w:rsidRPr="007C4E01">
        <w:rPr>
          <w:lang w:val="fr-CH"/>
        </w:rPr>
        <w:t xml:space="preserve">: </w:t>
      </w:r>
    </w:p>
    <w:p w:rsidR="009B0AFC" w:rsidRPr="007C4E01" w:rsidRDefault="009B0AFC" w:rsidP="009B0AFC">
      <w:pPr>
        <w:pStyle w:val="SingleTxt"/>
        <w:rPr>
          <w:lang w:val="fr-CH"/>
        </w:rPr>
      </w:pPr>
      <w:r w:rsidRPr="007C4E01">
        <w:rPr>
          <w:lang w:val="fr-CH"/>
        </w:rPr>
        <w:tab/>
        <w:t>a)</w:t>
      </w:r>
      <w:r w:rsidRPr="007C4E01">
        <w:rPr>
          <w:lang w:val="fr-CH"/>
        </w:rPr>
        <w:tab/>
        <w:t>Pollution atmosphérique, qualité de l’air et appauvrissement de la couche d’ozone</w:t>
      </w:r>
      <w:r w:rsidR="00F041C3" w:rsidRPr="007C4E01">
        <w:rPr>
          <w:lang w:val="fr-CH"/>
        </w:rPr>
        <w:t> </w:t>
      </w:r>
      <w:r w:rsidRPr="007C4E01">
        <w:rPr>
          <w:lang w:val="fr-CH"/>
        </w:rPr>
        <w:t>: 25</w:t>
      </w:r>
      <w:r w:rsidR="00F041C3" w:rsidRPr="007C4E01">
        <w:rPr>
          <w:lang w:val="fr-CH"/>
        </w:rPr>
        <w:t> </w:t>
      </w:r>
      <w:r w:rsidRPr="007C4E01">
        <w:rPr>
          <w:lang w:val="fr-CH"/>
        </w:rPr>
        <w:t xml:space="preserve">ensembles de données concernant les émissions de polluants dans l’atmosphère, la qualité de l’air ambiant, la consommation de substances contribuant à l’appauvrissement de la couche d’ozone, etc. </w:t>
      </w:r>
    </w:p>
    <w:p w:rsidR="009B0AFC" w:rsidRPr="007C4E01" w:rsidRDefault="009B0AFC" w:rsidP="009B0AFC">
      <w:pPr>
        <w:pStyle w:val="SingleTxt"/>
        <w:rPr>
          <w:lang w:val="fr-CH"/>
        </w:rPr>
      </w:pPr>
      <w:r w:rsidRPr="007C4E01">
        <w:rPr>
          <w:lang w:val="fr-CH"/>
        </w:rPr>
        <w:tab/>
        <w:t>b)</w:t>
      </w:r>
      <w:r w:rsidRPr="007C4E01">
        <w:rPr>
          <w:lang w:val="fr-CH"/>
        </w:rPr>
        <w:tab/>
        <w:t>Changements climatiques</w:t>
      </w:r>
      <w:r w:rsidR="00F041C3" w:rsidRPr="007C4E01">
        <w:rPr>
          <w:lang w:val="fr-CH"/>
        </w:rPr>
        <w:t> </w:t>
      </w:r>
      <w:r w:rsidRPr="007C4E01">
        <w:rPr>
          <w:lang w:val="fr-CH"/>
        </w:rPr>
        <w:t>: 4</w:t>
      </w:r>
      <w:r w:rsidR="00EE5429" w:rsidRPr="007C4E01">
        <w:rPr>
          <w:lang w:val="fr-CH"/>
        </w:rPr>
        <w:t> </w:t>
      </w:r>
      <w:r w:rsidRPr="007C4E01">
        <w:rPr>
          <w:lang w:val="fr-CH"/>
        </w:rPr>
        <w:t xml:space="preserve">ensembles de données portant sur la température de l’air, les précipitations atmosphériques, les émissions de gaz à effet de serre, etc. </w:t>
      </w:r>
    </w:p>
    <w:p w:rsidR="009B0AFC" w:rsidRPr="007C4E01" w:rsidRDefault="009B0AFC" w:rsidP="009B0AFC">
      <w:pPr>
        <w:pStyle w:val="SingleTxt"/>
        <w:rPr>
          <w:lang w:val="fr-CH"/>
        </w:rPr>
      </w:pPr>
      <w:r w:rsidRPr="007C4E01">
        <w:rPr>
          <w:lang w:val="fr-CH"/>
        </w:rPr>
        <w:tab/>
        <w:t>c)</w:t>
      </w:r>
      <w:r w:rsidRPr="007C4E01">
        <w:rPr>
          <w:lang w:val="fr-CH"/>
        </w:rPr>
        <w:tab/>
        <w:t>Eau</w:t>
      </w:r>
      <w:r w:rsidR="00F041C3" w:rsidRPr="007C4E01">
        <w:rPr>
          <w:lang w:val="fr-CH"/>
        </w:rPr>
        <w:t> </w:t>
      </w:r>
      <w:r w:rsidRPr="007C4E01">
        <w:rPr>
          <w:lang w:val="fr-CH"/>
        </w:rPr>
        <w:t>: 20</w:t>
      </w:r>
      <w:r w:rsidR="00EE5429" w:rsidRPr="007C4E01">
        <w:rPr>
          <w:lang w:val="fr-CH"/>
        </w:rPr>
        <w:t> </w:t>
      </w:r>
      <w:r w:rsidRPr="007C4E01">
        <w:rPr>
          <w:lang w:val="fr-CH"/>
        </w:rPr>
        <w:t xml:space="preserve">ensembles de données portant sur les sources renouvelables d’eau douce, les prélèvements d’eau douce, la consommation totale d’eau, la part de la population desservie par des réseaux de distribution d’eau, </w:t>
      </w:r>
      <w:bookmarkStart w:id="82" w:name="hit1"/>
      <w:bookmarkEnd w:id="82"/>
      <w:r w:rsidRPr="007C4E01">
        <w:rPr>
          <w:lang w:val="fr-CH"/>
        </w:rPr>
        <w:t xml:space="preserve">la demande biochimique en oxygène sur </w:t>
      </w:r>
      <w:r w:rsidR="00EE5429" w:rsidRPr="007C4E01">
        <w:rPr>
          <w:lang w:val="fr-CH"/>
        </w:rPr>
        <w:t>cinq</w:t>
      </w:r>
      <w:r w:rsidRPr="007C4E01">
        <w:rPr>
          <w:lang w:val="fr-CH"/>
        </w:rPr>
        <w:t xml:space="preserve"> jours (DBO5), la concentration d’ammoniac dans les rivières, les nutriments présents dans l’eau douce, la part de la population bénéficiant du traitement des eaux usées, etc. </w:t>
      </w:r>
    </w:p>
    <w:p w:rsidR="009B0AFC" w:rsidRPr="007C4E01" w:rsidRDefault="009B0AFC" w:rsidP="009B0AFC">
      <w:pPr>
        <w:pStyle w:val="SingleTxt"/>
        <w:rPr>
          <w:lang w:val="fr-CH"/>
        </w:rPr>
      </w:pPr>
      <w:r w:rsidRPr="007C4E01">
        <w:rPr>
          <w:lang w:val="fr-CH"/>
        </w:rPr>
        <w:tab/>
        <w:t>d)</w:t>
      </w:r>
      <w:r w:rsidRPr="007C4E01">
        <w:rPr>
          <w:lang w:val="fr-CH"/>
        </w:rPr>
        <w:tab/>
        <w:t>Biodiversité</w:t>
      </w:r>
      <w:r w:rsidR="00F041C3" w:rsidRPr="007C4E01">
        <w:rPr>
          <w:lang w:val="fr-CH"/>
        </w:rPr>
        <w:t> </w:t>
      </w:r>
      <w:r w:rsidRPr="007C4E01">
        <w:rPr>
          <w:lang w:val="fr-CH"/>
        </w:rPr>
        <w:t>: 4</w:t>
      </w:r>
      <w:r w:rsidR="00EE5429" w:rsidRPr="007C4E01">
        <w:rPr>
          <w:lang w:val="fr-CH"/>
        </w:rPr>
        <w:t> </w:t>
      </w:r>
      <w:r w:rsidRPr="007C4E01">
        <w:rPr>
          <w:lang w:val="fr-CH"/>
        </w:rPr>
        <w:t xml:space="preserve">ensembles de données portant sur les zones protégées, les forêts et autres espaces boisés, les espèces menacées et protégées, etc. </w:t>
      </w:r>
    </w:p>
    <w:p w:rsidR="009B0AFC" w:rsidRPr="007C4E01" w:rsidRDefault="009B0AFC" w:rsidP="009B0AFC">
      <w:pPr>
        <w:pStyle w:val="SingleTxt"/>
        <w:rPr>
          <w:lang w:val="fr-CH"/>
        </w:rPr>
      </w:pPr>
      <w:r w:rsidRPr="007C4E01">
        <w:rPr>
          <w:lang w:val="fr-CH"/>
        </w:rPr>
        <w:tab/>
        <w:t>e)</w:t>
      </w:r>
      <w:r w:rsidRPr="007C4E01">
        <w:rPr>
          <w:lang w:val="fr-CH"/>
        </w:rPr>
        <w:tab/>
        <w:t>Terres et sols</w:t>
      </w:r>
      <w:r w:rsidR="00F041C3" w:rsidRPr="007C4E01">
        <w:rPr>
          <w:lang w:val="fr-CH"/>
        </w:rPr>
        <w:t> </w:t>
      </w:r>
      <w:r w:rsidRPr="007C4E01">
        <w:rPr>
          <w:lang w:val="fr-CH"/>
        </w:rPr>
        <w:t>: 2</w:t>
      </w:r>
      <w:r w:rsidR="00941CD5" w:rsidRPr="007C4E01">
        <w:rPr>
          <w:lang w:val="fr-CH"/>
        </w:rPr>
        <w:t> </w:t>
      </w:r>
      <w:r w:rsidRPr="007C4E01">
        <w:rPr>
          <w:lang w:val="fr-CH"/>
        </w:rPr>
        <w:t xml:space="preserve">ensembles de données concernant </w:t>
      </w:r>
      <w:r w:rsidR="00C0130E" w:rsidRPr="007C4E01">
        <w:rPr>
          <w:lang w:val="fr-CH"/>
        </w:rPr>
        <w:t>les prélèvements de terre, etc.</w:t>
      </w:r>
    </w:p>
    <w:p w:rsidR="009B0AFC" w:rsidRPr="007C4E01" w:rsidRDefault="009B0AFC" w:rsidP="009B0AFC">
      <w:pPr>
        <w:pStyle w:val="SingleTxt"/>
        <w:rPr>
          <w:lang w:val="fr-CH"/>
        </w:rPr>
      </w:pPr>
      <w:r w:rsidRPr="007C4E01">
        <w:rPr>
          <w:lang w:val="fr-CH"/>
        </w:rPr>
        <w:tab/>
        <w:t>f)</w:t>
      </w:r>
      <w:r w:rsidRPr="007C4E01">
        <w:rPr>
          <w:lang w:val="fr-CH"/>
        </w:rPr>
        <w:tab/>
        <w:t>Énergie</w:t>
      </w:r>
      <w:r w:rsidR="00F041C3" w:rsidRPr="007C4E01">
        <w:rPr>
          <w:lang w:val="fr-CH"/>
        </w:rPr>
        <w:t> </w:t>
      </w:r>
      <w:r w:rsidRPr="007C4E01">
        <w:rPr>
          <w:lang w:val="fr-CH"/>
        </w:rPr>
        <w:t>: 4</w:t>
      </w:r>
      <w:r w:rsidR="00941CD5" w:rsidRPr="007C4E01">
        <w:rPr>
          <w:lang w:val="fr-CH"/>
        </w:rPr>
        <w:t> </w:t>
      </w:r>
      <w:r w:rsidRPr="007C4E01">
        <w:rPr>
          <w:lang w:val="fr-CH"/>
        </w:rPr>
        <w:t>ensembles de données concernant la consommation finale d’énergie, la fourniture globale d’énergie primaire, etc.</w:t>
      </w:r>
    </w:p>
    <w:p w:rsidR="009B0AFC" w:rsidRPr="007C4E01" w:rsidRDefault="009B0AFC" w:rsidP="009B0AFC">
      <w:pPr>
        <w:pStyle w:val="SingleTxt"/>
        <w:rPr>
          <w:lang w:val="fr-CH"/>
        </w:rPr>
      </w:pPr>
      <w:r w:rsidRPr="007C4E01">
        <w:rPr>
          <w:lang w:val="fr-CH"/>
        </w:rPr>
        <w:tab/>
        <w:t>g)</w:t>
      </w:r>
      <w:r w:rsidRPr="007C4E01">
        <w:rPr>
          <w:lang w:val="fr-CH"/>
        </w:rPr>
        <w:tab/>
        <w:t>Déchets</w:t>
      </w:r>
      <w:r w:rsidR="00F041C3" w:rsidRPr="007C4E01">
        <w:rPr>
          <w:lang w:val="fr-CH"/>
        </w:rPr>
        <w:t> </w:t>
      </w:r>
      <w:r w:rsidRPr="007C4E01">
        <w:rPr>
          <w:lang w:val="fr-CH"/>
        </w:rPr>
        <w:t>: 8</w:t>
      </w:r>
      <w:r w:rsidR="00941CD5" w:rsidRPr="007C4E01">
        <w:rPr>
          <w:lang w:val="fr-CH"/>
        </w:rPr>
        <w:t> </w:t>
      </w:r>
      <w:r w:rsidRPr="007C4E01">
        <w:rPr>
          <w:lang w:val="fr-CH"/>
        </w:rPr>
        <w:t xml:space="preserve">ensembles de données concernant la production de déchets, la gestion des déchets dangereux, etc. </w:t>
      </w:r>
    </w:p>
    <w:p w:rsidR="009B0AFC" w:rsidRPr="007C4E01" w:rsidRDefault="009B0AFC" w:rsidP="004B5060">
      <w:pPr>
        <w:pStyle w:val="SingleTxt"/>
        <w:numPr>
          <w:ilvl w:val="0"/>
          <w:numId w:val="10"/>
        </w:numPr>
        <w:rPr>
          <w:lang w:val="fr-CH"/>
        </w:rPr>
      </w:pPr>
      <w:r w:rsidRPr="007C4E01">
        <w:rPr>
          <w:lang w:val="fr-CH"/>
        </w:rPr>
        <w:t>Les domaines thématiques et les ensembles de données sont liés aux résultats de chaque État membre de la CEE pour ce qui concerne la fourniture de données et d’informations prioritaires s’inscrivant dans la ligne des accords multilatéraux sur l’environnement (AME) mondiaux et régionaux et sujettes à de nouvelles négociations. Les domaines thématiques ont d’ailleurs emporté l’adhésion générale car ils correspondent aux priorités régionales et aux objectifs environnementaux mondiaux</w:t>
      </w:r>
      <w:r w:rsidRPr="007C4E01">
        <w:rPr>
          <w:rStyle w:val="FootnoteReference"/>
          <w:lang w:val="fr-CH"/>
        </w:rPr>
        <w:footnoteReference w:id="5"/>
      </w:r>
      <w:r w:rsidRPr="007C4E01">
        <w:rPr>
          <w:lang w:val="fr-CH"/>
        </w:rPr>
        <w:t>. Le document ECE/CEP/AC.10/2015/2 donne davantage de détails sur les ensembles de données.</w:t>
      </w:r>
    </w:p>
    <w:p w:rsidR="009B0AFC" w:rsidRPr="007C4E01" w:rsidRDefault="009B0AFC" w:rsidP="004B5060">
      <w:pPr>
        <w:pStyle w:val="SingleTxt"/>
        <w:numPr>
          <w:ilvl w:val="0"/>
          <w:numId w:val="10"/>
        </w:numPr>
        <w:rPr>
          <w:lang w:val="fr-CH"/>
        </w:rPr>
      </w:pPr>
      <w:r w:rsidRPr="007C4E01">
        <w:rPr>
          <w:lang w:val="fr-CH"/>
        </w:rPr>
        <w:t>Les grandes lignes d’un mécanisme d’établissement de rapports ont été acceptées à l’occasion d’une réunion extraordinaire du sous-groupe constitué pour l’élaboration d’un mécanisme d’établissement de rapports du Groupe de travail (Genève, 3</w:t>
      </w:r>
      <w:r w:rsidR="00941CD5" w:rsidRPr="007C4E01">
        <w:rPr>
          <w:lang w:val="fr-CH"/>
        </w:rPr>
        <w:t> </w:t>
      </w:r>
      <w:r w:rsidRPr="007C4E01">
        <w:rPr>
          <w:lang w:val="fr-CH"/>
        </w:rPr>
        <w:t>juillet 2015) aux fins d’évaluer la production effective et l’échange en ligne d’ensembles de données convenus, conformément aux cibles et aux indicateurs de résultats du SEIS (voir ECE/CEP/AC.10/2015/2). Le mécanisme établissement de rapports requiert que chaque ensemble de données du SEIS soit évalué sur la base de cinq critères d’examen, à savoir l’accessibilité en ligne, la périodicité d’actualisation, la méthodologie de production, l’interprétation et l’utilisation des données, et les sources des données (voir le tableau</w:t>
      </w:r>
      <w:r w:rsidR="00941CD5" w:rsidRPr="007C4E01">
        <w:rPr>
          <w:lang w:val="fr-CH"/>
        </w:rPr>
        <w:t> </w:t>
      </w:r>
      <w:r w:rsidRPr="007C4E01">
        <w:rPr>
          <w:lang w:val="fr-CH"/>
        </w:rPr>
        <w:t xml:space="preserve">1). </w:t>
      </w:r>
    </w:p>
    <w:p w:rsidR="009B0AFC" w:rsidRPr="007C4E01" w:rsidRDefault="009B0AFC" w:rsidP="004B5060">
      <w:pPr>
        <w:pStyle w:val="SingleTxt"/>
        <w:numPr>
          <w:ilvl w:val="0"/>
          <w:numId w:val="10"/>
        </w:numPr>
        <w:rPr>
          <w:lang w:val="fr-CH"/>
        </w:rPr>
      </w:pPr>
      <w:r w:rsidRPr="007C4E01">
        <w:rPr>
          <w:lang w:val="fr-CH"/>
        </w:rPr>
        <w:t>Les participants à la session extraordinaire ont en outre recommandé au Groupe de travail de donner la possibilité à chaque pays, dans le cadre d’un mécanisme national de coordination, de décider quelle entité serait chargée du SEIS, ou de lui donner la possibilité de désigner un point focal du SEIS pour l’auto</w:t>
      </w:r>
      <w:r w:rsidR="00B87A86">
        <w:rPr>
          <w:lang w:val="fr-CH"/>
        </w:rPr>
        <w:t>-</w:t>
      </w:r>
      <w:r w:rsidRPr="007C4E01">
        <w:rPr>
          <w:lang w:val="fr-CH"/>
        </w:rPr>
        <w:t>évaluation</w:t>
      </w:r>
      <w:r w:rsidRPr="007C4E01">
        <w:rPr>
          <w:rStyle w:val="FootnoteReference"/>
          <w:lang w:val="fr-CH"/>
        </w:rPr>
        <w:footnoteReference w:id="6"/>
      </w:r>
      <w:r w:rsidRPr="007C4E01">
        <w:rPr>
          <w:lang w:val="fr-CH"/>
        </w:rPr>
        <w:t>. Cette recommandation a été acceptée à la dix-septième session (Genève, 7</w:t>
      </w:r>
      <w:r w:rsidR="00941CD5" w:rsidRPr="007C4E01">
        <w:rPr>
          <w:lang w:val="fr-CH"/>
        </w:rPr>
        <w:t>-</w:t>
      </w:r>
      <w:r w:rsidRPr="007C4E01">
        <w:rPr>
          <w:lang w:val="fr-CH"/>
        </w:rPr>
        <w:t>8</w:t>
      </w:r>
      <w:r w:rsidR="00941CD5" w:rsidRPr="007C4E01">
        <w:rPr>
          <w:lang w:val="fr-CH"/>
        </w:rPr>
        <w:t> </w:t>
      </w:r>
      <w:r w:rsidRPr="007C4E01">
        <w:rPr>
          <w:lang w:val="fr-CH"/>
        </w:rPr>
        <w:t>septembre 2015) du Groupe de travail, et il a été décidé de l’inclure dans le rapport au Comité des politiques de l’environnement. Le Groupe de travail a en outre recommandé que l’auto-évaluation soit effectuée par chaque point focal du SEIS et que l’examen par les examinateurs soit effectué par l’AEE</w:t>
      </w:r>
      <w:r w:rsidRPr="007C4E01">
        <w:rPr>
          <w:rStyle w:val="FootnoteReference"/>
          <w:lang w:val="fr-CH"/>
        </w:rPr>
        <w:footnoteReference w:id="7"/>
      </w:r>
      <w:r w:rsidRPr="007C4E01">
        <w:rPr>
          <w:lang w:val="fr-CH"/>
        </w:rPr>
        <w:t xml:space="preserve"> pour les États membres paneuropéens et par le secrétariat de la CEE pour les États membres du Caucase, de l’Asie centrale, de l’Europe orientale et de l’Europe du Sud-Est, ainsi que pour d’autres pays paneuropéens ne relevant pas de l’AEE (ECE/CEP/AC.10/2015/4).</w:t>
      </w:r>
    </w:p>
    <w:p w:rsidR="009B0AFC" w:rsidRPr="007C4E01" w:rsidRDefault="009B0AFC" w:rsidP="004B5060">
      <w:pPr>
        <w:pStyle w:val="SingleTxt"/>
        <w:numPr>
          <w:ilvl w:val="0"/>
          <w:numId w:val="10"/>
        </w:numPr>
        <w:rPr>
          <w:lang w:val="fr-CH"/>
        </w:rPr>
      </w:pPr>
      <w:r w:rsidRPr="007C4E01">
        <w:rPr>
          <w:lang w:val="fr-CH"/>
        </w:rPr>
        <w:t>Il est prévu que le mécanisme d’établissement paneuropéen du SEIS soit mis au point sous la forme d’une application en ligne, permettant à chaque entité ou point focal au niveau national de fournir des comptes rendus analytiques et des informations pour chaque ensemble de données. Il se transformerait pour chaque pays en outil d’auto-évaluation, permettant de mettre le doigt sur les lacunes par rapport aux cibles et aux indicateurs de résultats du SEIS, et de suivre dans le temps la correction desdites lacunes. La mise au point de l’application en ligne, cependant, ne pourrait se faire qu’à moyen terme. Par conséquent, pour l’examen en cours, le sous-groupe constitué pour l’élaboration du mécanisme d’établissement de rapports du Groupe de travail a laissé le soin au secrétariat de créer un tableau Excel et de le préremplir pour chaque pays et chaque ensemble de données, sur la base des cinq critères d’e</w:t>
      </w:r>
      <w:r w:rsidR="00941CD5" w:rsidRPr="007C4E01">
        <w:rPr>
          <w:lang w:val="fr-CH"/>
        </w:rPr>
        <w:t>xamen précités (voir le tableau </w:t>
      </w:r>
      <w:r w:rsidRPr="007C4E01">
        <w:rPr>
          <w:lang w:val="fr-CH"/>
        </w:rPr>
        <w:t xml:space="preserve">1). Cette façon de faire a permis de rassembler la majeure partie des données du présent document, élaboré en guise de répétition générale pour la mise en œuvre du mécanisme d’établissement de rapports du SEIS. </w:t>
      </w:r>
    </w:p>
    <w:p w:rsidR="009B0AFC" w:rsidRPr="007C4E01" w:rsidRDefault="009B0AFC" w:rsidP="004B5060">
      <w:pPr>
        <w:pStyle w:val="SingleTxt"/>
        <w:numPr>
          <w:ilvl w:val="0"/>
          <w:numId w:val="10"/>
        </w:numPr>
        <w:rPr>
          <w:lang w:val="fr-CH"/>
        </w:rPr>
      </w:pPr>
      <w:r w:rsidRPr="007C4E01">
        <w:rPr>
          <w:lang w:val="fr-CH"/>
        </w:rPr>
        <w:t>La proposition a été émise par le Groupe de travail d’utiliser la plate-forme UNEP Live</w:t>
      </w:r>
      <w:r w:rsidRPr="007C4E01">
        <w:rPr>
          <w:rStyle w:val="FootnoteReference"/>
          <w:lang w:val="fr-CH"/>
        </w:rPr>
        <w:footnoteReference w:id="8"/>
      </w:r>
      <w:r w:rsidRPr="007C4E01">
        <w:rPr>
          <w:lang w:val="fr-CH"/>
        </w:rPr>
        <w:t xml:space="preserve"> du PNUE pour élaborer le simple mécanisme en ligne à partir duquel s’effectueront les opérations régulières de surveillance et d’évaluation par l’entremise des Systèmes nationaux de notification. À sa vingt et unième session, le Comité a approuvé l’organisation et la structure proposées pour le processus d’évaluation périodique de l’environnement sur la base du SEIS (ECE/CEP/2015/10), et notamment l’adoption de UNEP Live comme principale plate-forme paneuropéenne, faisant la liaison avec les plates-formes nationales aux fins d’assurer un accès centralisé à la base de connaissances, y compris aux évaluations, aux données et aux informations régulièrement publiées par les pays. Les données et les flux d’informations au niveau des États membres permettraient aux pays de suivre les changements apportés dans l’ensemble des domaines thématiques et de mesurer tout changement survenu par rapport au cadre de politique générale, tout en fournissant des informations sur les progrès réalisés aux plans des engagements pris au niveau régional ou mondial. Il est prévu que l’accessibilité, la production et l’échange de données par les pays paneuropéens soient du ressort du Groupe de travail, dans le cadre d’un processus d’examen annuel des résultats obtenus par les pays dans la mise en place et l’utilisation du SEIS, sur la base des cibles et des indicateurs de résultats adoptés par le Comité (voir ECE/CEP/2015/10 et UNEP/GEO-6/REIN/1.2).</w:t>
      </w:r>
    </w:p>
    <w:p w:rsidR="009B0AFC" w:rsidRPr="007C4E01" w:rsidRDefault="009B0AFC" w:rsidP="004B5060">
      <w:pPr>
        <w:pStyle w:val="SingleTxt"/>
        <w:numPr>
          <w:ilvl w:val="0"/>
          <w:numId w:val="10"/>
        </w:numPr>
        <w:rPr>
          <w:lang w:val="fr-CH"/>
        </w:rPr>
      </w:pPr>
      <w:r w:rsidRPr="007C4E01">
        <w:rPr>
          <w:lang w:val="fr-CH"/>
        </w:rPr>
        <w:t xml:space="preserve">Les sections ci-après rendent compte de l’examen initial actualisé du développement du SEIS dans la région paneuropéenne. Seuls y sont évalués et présentés les ensembles de données et autres informations connexes publiés en ligne sur les sites Web nationaux des pays de la région paneuropéenne. </w:t>
      </w:r>
    </w:p>
    <w:p w:rsidR="004B5060" w:rsidRPr="007C4E01" w:rsidRDefault="004B5060" w:rsidP="004B5060">
      <w:pPr>
        <w:pStyle w:val="SingleTxt"/>
        <w:spacing w:after="0" w:line="120" w:lineRule="exact"/>
        <w:rPr>
          <w:sz w:val="10"/>
          <w:lang w:val="fr-CH"/>
        </w:rPr>
      </w:pPr>
    </w:p>
    <w:p w:rsidR="004B5060" w:rsidRPr="007C4E01" w:rsidRDefault="004B5060" w:rsidP="004B5060">
      <w:pPr>
        <w:pStyle w:val="SingleTxt"/>
        <w:spacing w:after="0" w:line="120" w:lineRule="exact"/>
        <w:rPr>
          <w:sz w:val="10"/>
          <w:lang w:val="fr-CH"/>
        </w:rPr>
      </w:pPr>
    </w:p>
    <w:p w:rsidR="009B0AFC" w:rsidRPr="007C4E01" w:rsidRDefault="009B0AFC" w:rsidP="004B50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83" w:name="_Toc440461423"/>
      <w:r w:rsidRPr="007C4E01">
        <w:rPr>
          <w:lang w:val="fr-CH"/>
        </w:rPr>
        <w:tab/>
        <w:t>II.</w:t>
      </w:r>
      <w:r w:rsidRPr="007C4E01">
        <w:rPr>
          <w:lang w:val="fr-CH"/>
        </w:rPr>
        <w:tab/>
        <w:t xml:space="preserve">État d’avancement de la mise en place du Système </w:t>
      </w:r>
      <w:r w:rsidR="004B5060" w:rsidRPr="007C4E01">
        <w:rPr>
          <w:lang w:val="fr-CH"/>
        </w:rPr>
        <w:br/>
      </w:r>
      <w:r w:rsidRPr="007C4E01">
        <w:rPr>
          <w:lang w:val="fr-CH"/>
        </w:rPr>
        <w:t xml:space="preserve">de partage d’informations sur l’environnement </w:t>
      </w:r>
      <w:r w:rsidR="004B5060" w:rsidRPr="007C4E01">
        <w:rPr>
          <w:lang w:val="fr-CH"/>
        </w:rPr>
        <w:br/>
      </w:r>
      <w:r w:rsidRPr="007C4E01">
        <w:rPr>
          <w:lang w:val="fr-CH"/>
        </w:rPr>
        <w:t>dans la région paneuropéenne</w:t>
      </w:r>
      <w:bookmarkEnd w:id="83"/>
    </w:p>
    <w:p w:rsidR="004B5060" w:rsidRPr="007C4E01" w:rsidRDefault="004B5060" w:rsidP="004B5060">
      <w:pPr>
        <w:pStyle w:val="SingleTxt"/>
        <w:spacing w:after="0" w:line="120" w:lineRule="exact"/>
        <w:rPr>
          <w:sz w:val="10"/>
          <w:lang w:val="fr-CH"/>
        </w:rPr>
      </w:pPr>
    </w:p>
    <w:p w:rsidR="004B5060" w:rsidRPr="007C4E01" w:rsidRDefault="004B5060" w:rsidP="004B5060">
      <w:pPr>
        <w:pStyle w:val="SingleTxt"/>
        <w:spacing w:after="0" w:line="120" w:lineRule="exact"/>
        <w:rPr>
          <w:sz w:val="10"/>
          <w:lang w:val="fr-CH"/>
        </w:rPr>
      </w:pPr>
    </w:p>
    <w:p w:rsidR="009B0AFC" w:rsidRPr="007C4E01" w:rsidRDefault="009B0AFC" w:rsidP="004B50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84" w:name="_Toc439688158"/>
      <w:bookmarkStart w:id="85" w:name="_Toc439754736"/>
      <w:bookmarkStart w:id="86" w:name="_Toc439765043"/>
      <w:bookmarkStart w:id="87" w:name="_Toc439772004"/>
      <w:bookmarkStart w:id="88" w:name="_Toc439776006"/>
      <w:bookmarkStart w:id="89" w:name="_Toc439783417"/>
      <w:bookmarkStart w:id="90" w:name="_Toc439859092"/>
      <w:bookmarkStart w:id="91" w:name="_Toc439861958"/>
      <w:bookmarkStart w:id="92" w:name="_Toc439863765"/>
      <w:bookmarkStart w:id="93" w:name="_Toc439688159"/>
      <w:bookmarkStart w:id="94" w:name="_Toc439754737"/>
      <w:bookmarkStart w:id="95" w:name="_Toc439765044"/>
      <w:bookmarkStart w:id="96" w:name="_Toc439772005"/>
      <w:bookmarkStart w:id="97" w:name="_Toc439776007"/>
      <w:bookmarkStart w:id="98" w:name="_Toc439783418"/>
      <w:bookmarkStart w:id="99" w:name="_Toc439859093"/>
      <w:bookmarkStart w:id="100" w:name="_Toc439861959"/>
      <w:bookmarkStart w:id="101" w:name="_Toc439863766"/>
      <w:bookmarkStart w:id="102" w:name="_Toc439688160"/>
      <w:bookmarkStart w:id="103" w:name="_Toc439754738"/>
      <w:bookmarkStart w:id="104" w:name="_Toc439765045"/>
      <w:bookmarkStart w:id="105" w:name="_Toc439772006"/>
      <w:bookmarkStart w:id="106" w:name="_Toc439776008"/>
      <w:bookmarkStart w:id="107" w:name="_Toc439783419"/>
      <w:bookmarkStart w:id="108" w:name="_Toc439859094"/>
      <w:bookmarkStart w:id="109" w:name="_Toc439861960"/>
      <w:bookmarkStart w:id="110" w:name="_Toc439863767"/>
      <w:bookmarkStart w:id="111" w:name="_Toc44046142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7C4E01">
        <w:rPr>
          <w:lang w:val="fr-CH"/>
        </w:rPr>
        <w:tab/>
        <w:t>A.</w:t>
      </w:r>
      <w:r w:rsidRPr="007C4E01">
        <w:rPr>
          <w:lang w:val="fr-CH"/>
        </w:rPr>
        <w:tab/>
        <w:t>Processus d’examen</w:t>
      </w:r>
      <w:bookmarkEnd w:id="111"/>
    </w:p>
    <w:p w:rsidR="004B5060" w:rsidRPr="007C4E01" w:rsidRDefault="004B5060" w:rsidP="004B5060">
      <w:pPr>
        <w:pStyle w:val="SingleTxt"/>
        <w:spacing w:after="0" w:line="120" w:lineRule="exact"/>
        <w:rPr>
          <w:sz w:val="10"/>
          <w:lang w:val="fr-CH"/>
        </w:rPr>
      </w:pPr>
    </w:p>
    <w:p w:rsidR="004B5060" w:rsidRPr="007C4E01" w:rsidRDefault="004B5060" w:rsidP="004B5060">
      <w:pPr>
        <w:pStyle w:val="SingleTxt"/>
        <w:spacing w:after="0" w:line="120" w:lineRule="exact"/>
        <w:rPr>
          <w:sz w:val="10"/>
          <w:lang w:val="fr-CH"/>
        </w:rPr>
      </w:pPr>
    </w:p>
    <w:p w:rsidR="009B0AFC" w:rsidRPr="007C4E01" w:rsidRDefault="009B0AFC" w:rsidP="004B5060">
      <w:pPr>
        <w:pStyle w:val="SingleTxt"/>
        <w:numPr>
          <w:ilvl w:val="0"/>
          <w:numId w:val="10"/>
        </w:numPr>
        <w:rPr>
          <w:lang w:val="fr-CH"/>
        </w:rPr>
      </w:pPr>
      <w:r w:rsidRPr="007C4E01">
        <w:rPr>
          <w:lang w:val="fr-CH"/>
        </w:rPr>
        <w:t>La collecte et l’analyse de données (dans le cadre d’une étude documentaire) en vue du rapport d’activité en cours ont été réalisées durant la période août-décembre 2015. Elles ont été effectuées en deux temps</w:t>
      </w:r>
      <w:r w:rsidR="00941CD5" w:rsidRPr="007C4E01">
        <w:rPr>
          <w:rStyle w:val="FootnoteReference"/>
          <w:lang w:val="fr-CH"/>
        </w:rPr>
        <w:t> </w:t>
      </w:r>
      <w:r w:rsidR="00F041C3" w:rsidRPr="007C4E01">
        <w:rPr>
          <w:lang w:val="fr-CH"/>
        </w:rPr>
        <w:t>:</w:t>
      </w:r>
      <w:r w:rsidRPr="007C4E01">
        <w:rPr>
          <w:lang w:val="fr-CH"/>
        </w:rPr>
        <w:t xml:space="preserve"> </w:t>
      </w:r>
    </w:p>
    <w:p w:rsidR="009B0AFC" w:rsidRPr="007C4E01" w:rsidRDefault="009B0AFC" w:rsidP="009B0AFC">
      <w:pPr>
        <w:pStyle w:val="SingleTxt"/>
        <w:rPr>
          <w:lang w:val="fr-CH"/>
        </w:rPr>
      </w:pPr>
      <w:r w:rsidRPr="007C4E01">
        <w:rPr>
          <w:lang w:val="fr-CH"/>
        </w:rPr>
        <w:tab/>
        <w:t>a)</w:t>
      </w:r>
      <w:r w:rsidRPr="007C4E01">
        <w:rPr>
          <w:lang w:val="fr-CH"/>
        </w:rPr>
        <w:tab/>
        <w:t>Dans un premier temps, le secrétariat a recueilli toutes les informations pertinentes se rapportant à chaque ensemble de données sur l’environnement disponible en</w:t>
      </w:r>
      <w:r w:rsidR="00D3650F">
        <w:rPr>
          <w:lang w:val="fr-CH"/>
        </w:rPr>
        <w:t xml:space="preserve"> ligne et sur toutes les plate</w:t>
      </w:r>
      <w:r w:rsidRPr="007C4E01">
        <w:rPr>
          <w:lang w:val="fr-CH"/>
        </w:rPr>
        <w:t>formes nationales, auprès des entités et/ou des points focaux responsabl</w:t>
      </w:r>
      <w:r w:rsidR="00941CD5" w:rsidRPr="007C4E01">
        <w:rPr>
          <w:lang w:val="fr-CH"/>
        </w:rPr>
        <w:t>es de la mise en œuvre du SEIS;</w:t>
      </w:r>
    </w:p>
    <w:p w:rsidR="009B0AFC" w:rsidRPr="007C4E01" w:rsidRDefault="009B0AFC" w:rsidP="009B0AFC">
      <w:pPr>
        <w:pStyle w:val="SingleTxt"/>
        <w:rPr>
          <w:lang w:val="fr-CH"/>
        </w:rPr>
      </w:pPr>
      <w:r w:rsidRPr="007C4E01">
        <w:rPr>
          <w:lang w:val="fr-CH"/>
        </w:rPr>
        <w:tab/>
        <w:t>b)</w:t>
      </w:r>
      <w:r w:rsidRPr="007C4E01">
        <w:rPr>
          <w:lang w:val="fr-CH"/>
        </w:rPr>
        <w:tab/>
        <w:t xml:space="preserve">Dans un deuxième temps, tous les ensembles de données se sont vu attribuer un classement selon les cinq critères d’examen proposés par le secrétariat conformément au modèle de mécanisme qu’il avait mis au point. Ce processus de classement a été réalisé sur base de l’évaluation du matériel recueilli et des réponses reçues à des questions dichotomiques simples (oui/non) en regard de chaque critère d’examen. Le classement s’est effectué en donnant à chaque réponse </w:t>
      </w:r>
      <w:r w:rsidR="00941CD5" w:rsidRPr="007C4E01">
        <w:rPr>
          <w:lang w:val="fr-CH"/>
        </w:rPr>
        <w:t>« </w:t>
      </w:r>
      <w:r w:rsidRPr="007C4E01">
        <w:rPr>
          <w:lang w:val="fr-CH"/>
        </w:rPr>
        <w:t xml:space="preserve">oui » une </w:t>
      </w:r>
      <w:r w:rsidR="00941CD5" w:rsidRPr="007C4E01">
        <w:rPr>
          <w:lang w:val="fr-CH"/>
        </w:rPr>
        <w:t>valeur </w:t>
      </w:r>
      <w:r w:rsidRPr="007C4E01">
        <w:rPr>
          <w:lang w:val="fr-CH"/>
        </w:rPr>
        <w:t xml:space="preserve">1 et à chaque réponse </w:t>
      </w:r>
      <w:r w:rsidR="004B5060" w:rsidRPr="007C4E01">
        <w:rPr>
          <w:lang w:val="fr-CH"/>
        </w:rPr>
        <w:t>« </w:t>
      </w:r>
      <w:r w:rsidRPr="007C4E01">
        <w:rPr>
          <w:lang w:val="fr-CH"/>
        </w:rPr>
        <w:t>non » une valeur 0, indiquant que le critère d’examen considéré était ou non rempli. Il en a résulté une valeur générale comprise entre 0 et 5</w:t>
      </w:r>
      <w:r w:rsidR="00941CD5" w:rsidRPr="007C4E01">
        <w:rPr>
          <w:lang w:val="fr-CH"/>
        </w:rPr>
        <w:t> </w:t>
      </w:r>
      <w:r w:rsidRPr="007C4E01">
        <w:rPr>
          <w:lang w:val="fr-CH"/>
        </w:rPr>
        <w:t xml:space="preserve">pour chaque ensemble de données. </w:t>
      </w:r>
    </w:p>
    <w:p w:rsidR="009B0AFC" w:rsidRPr="007C4E01" w:rsidRDefault="009B0AFC" w:rsidP="004B5060">
      <w:pPr>
        <w:pStyle w:val="SingleTxt"/>
        <w:numPr>
          <w:ilvl w:val="0"/>
          <w:numId w:val="10"/>
        </w:numPr>
        <w:rPr>
          <w:lang w:val="fr-CH"/>
        </w:rPr>
      </w:pPr>
      <w:r w:rsidRPr="007C4E01">
        <w:rPr>
          <w:lang w:val="fr-CH"/>
        </w:rPr>
        <w:t>Le tableau</w:t>
      </w:r>
      <w:r w:rsidR="004B5060" w:rsidRPr="007C4E01">
        <w:rPr>
          <w:lang w:val="fr-CH"/>
        </w:rPr>
        <w:t> </w:t>
      </w:r>
      <w:r w:rsidRPr="007C4E01">
        <w:rPr>
          <w:lang w:val="fr-CH"/>
        </w:rPr>
        <w:t>1 énonce les critères d’examen retenus par le Groupe de travail</w:t>
      </w:r>
      <w:r w:rsidR="00941CD5" w:rsidRPr="007C4E01">
        <w:rPr>
          <w:rStyle w:val="FootnoteReference"/>
          <w:lang w:val="fr-CH"/>
        </w:rPr>
        <w:t> </w:t>
      </w:r>
      <w:r w:rsidR="00F041C3" w:rsidRPr="007C4E01">
        <w:rPr>
          <w:lang w:val="fr-CH"/>
        </w:rPr>
        <w:t>:</w:t>
      </w:r>
    </w:p>
    <w:p w:rsidR="009B0AFC" w:rsidRPr="007C4E01" w:rsidRDefault="009B0AFC" w:rsidP="004B5060">
      <w:pPr>
        <w:pStyle w:val="SingleTxt"/>
        <w:spacing w:after="0" w:line="120" w:lineRule="exact"/>
        <w:rPr>
          <w:sz w:val="10"/>
          <w:lang w:val="fr-CH"/>
        </w:rPr>
      </w:pPr>
    </w:p>
    <w:p w:rsidR="009B0AFC" w:rsidRPr="007C4E01" w:rsidRDefault="004B5060" w:rsidP="004B50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r>
      <w:r w:rsidRPr="007C4E01">
        <w:rPr>
          <w:lang w:val="fr-CH"/>
        </w:rPr>
        <w:tab/>
      </w:r>
      <w:r w:rsidR="009B0AFC" w:rsidRPr="007C4E01">
        <w:rPr>
          <w:b w:val="0"/>
          <w:lang w:val="fr-CH"/>
        </w:rPr>
        <w:t>Tableau 1</w:t>
      </w:r>
      <w:r w:rsidRPr="007C4E01">
        <w:rPr>
          <w:lang w:val="fr-CH"/>
        </w:rPr>
        <w:t xml:space="preserve"> </w:t>
      </w:r>
      <w:r w:rsidR="009B0AFC" w:rsidRPr="007C4E01">
        <w:rPr>
          <w:lang w:val="fr-CH"/>
        </w:rPr>
        <w:br/>
        <w:t>Critères d’examen</w:t>
      </w:r>
    </w:p>
    <w:p w:rsidR="004B5060" w:rsidRPr="007C4E01" w:rsidRDefault="004B5060" w:rsidP="004B5060">
      <w:pPr>
        <w:pStyle w:val="SingleTxt"/>
        <w:spacing w:after="0" w:line="120" w:lineRule="exact"/>
        <w:rPr>
          <w:sz w:val="10"/>
          <w:lang w:val="fr-CH"/>
        </w:rPr>
      </w:pPr>
    </w:p>
    <w:p w:rsidR="004B5060" w:rsidRPr="007C4E01" w:rsidRDefault="004B5060" w:rsidP="004B5060">
      <w:pPr>
        <w:pStyle w:val="SingleTxt"/>
        <w:spacing w:after="0" w:line="120" w:lineRule="exact"/>
        <w:rPr>
          <w:sz w:val="10"/>
          <w:lang w:val="fr-CH"/>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245"/>
        <w:gridCol w:w="5333"/>
      </w:tblGrid>
      <w:tr w:rsidR="009B0AFC" w:rsidRPr="007C4E01" w:rsidTr="004B5060">
        <w:trPr>
          <w:tblHeader/>
        </w:trPr>
        <w:tc>
          <w:tcPr>
            <w:tcW w:w="2245" w:type="dxa"/>
            <w:tcBorders>
              <w:top w:val="single" w:sz="4" w:space="0" w:color="auto"/>
              <w:bottom w:val="single" w:sz="12" w:space="0" w:color="auto"/>
            </w:tcBorders>
            <w:shd w:val="clear" w:color="auto" w:fill="auto"/>
            <w:vAlign w:val="bottom"/>
            <w:hideMark/>
          </w:tcPr>
          <w:p w:rsidR="009B0AFC" w:rsidRPr="007C4E01" w:rsidRDefault="009B0AFC" w:rsidP="004B5060">
            <w:pPr>
              <w:pStyle w:val="SingleTxt"/>
              <w:suppressAutoHyphens/>
              <w:spacing w:before="80" w:after="80" w:line="160" w:lineRule="exact"/>
              <w:ind w:left="0" w:right="40"/>
              <w:jc w:val="left"/>
              <w:rPr>
                <w:i/>
                <w:sz w:val="14"/>
                <w:lang w:val="fr-CH"/>
              </w:rPr>
            </w:pPr>
            <w:r w:rsidRPr="007C4E01">
              <w:rPr>
                <w:i/>
                <w:sz w:val="14"/>
                <w:lang w:val="fr-CH"/>
              </w:rPr>
              <w:t>Éléments d’appréciation</w:t>
            </w:r>
          </w:p>
        </w:tc>
        <w:tc>
          <w:tcPr>
            <w:tcW w:w="5333" w:type="dxa"/>
            <w:tcBorders>
              <w:top w:val="single" w:sz="4" w:space="0" w:color="auto"/>
              <w:bottom w:val="single" w:sz="12" w:space="0" w:color="auto"/>
            </w:tcBorders>
            <w:shd w:val="clear" w:color="auto" w:fill="auto"/>
            <w:vAlign w:val="bottom"/>
            <w:hideMark/>
          </w:tcPr>
          <w:p w:rsidR="009B0AFC" w:rsidRPr="007C4E01" w:rsidRDefault="009B0AFC" w:rsidP="004B5060">
            <w:pPr>
              <w:pStyle w:val="SingleTxt"/>
              <w:suppressAutoHyphens/>
              <w:spacing w:before="80" w:after="80" w:line="160" w:lineRule="exact"/>
              <w:ind w:left="0" w:right="397"/>
              <w:jc w:val="left"/>
              <w:rPr>
                <w:i/>
                <w:sz w:val="14"/>
                <w:lang w:val="fr-CH"/>
              </w:rPr>
            </w:pPr>
            <w:r w:rsidRPr="007C4E01">
              <w:rPr>
                <w:i/>
                <w:sz w:val="14"/>
                <w:lang w:val="fr-CH"/>
              </w:rPr>
              <w:t>Description</w:t>
            </w:r>
          </w:p>
        </w:tc>
      </w:tr>
      <w:tr w:rsidR="009B0AFC" w:rsidRPr="007C4E01" w:rsidTr="004B5060">
        <w:trPr>
          <w:trHeight w:hRule="exact" w:val="113"/>
          <w:tblHeader/>
        </w:trPr>
        <w:tc>
          <w:tcPr>
            <w:tcW w:w="2245" w:type="dxa"/>
            <w:tcBorders>
              <w:top w:val="single" w:sz="12" w:space="0" w:color="auto"/>
            </w:tcBorders>
            <w:shd w:val="clear" w:color="auto" w:fill="auto"/>
            <w:vAlign w:val="bottom"/>
          </w:tcPr>
          <w:p w:rsidR="009B0AFC" w:rsidRPr="007C4E01" w:rsidRDefault="009B0AFC" w:rsidP="004B5060">
            <w:pPr>
              <w:pStyle w:val="SingleTxt"/>
              <w:suppressAutoHyphens/>
              <w:spacing w:before="40" w:after="80"/>
              <w:ind w:left="0" w:right="40"/>
              <w:jc w:val="left"/>
              <w:rPr>
                <w:lang w:val="fr-CH"/>
              </w:rPr>
            </w:pPr>
          </w:p>
        </w:tc>
        <w:tc>
          <w:tcPr>
            <w:tcW w:w="5333" w:type="dxa"/>
            <w:tcBorders>
              <w:top w:val="single" w:sz="12" w:space="0" w:color="auto"/>
            </w:tcBorders>
            <w:shd w:val="clear" w:color="auto" w:fill="auto"/>
            <w:vAlign w:val="bottom"/>
          </w:tcPr>
          <w:p w:rsidR="009B0AFC" w:rsidRPr="007C4E01" w:rsidRDefault="009B0AFC" w:rsidP="004B5060">
            <w:pPr>
              <w:pStyle w:val="SingleTxt"/>
              <w:suppressAutoHyphens/>
              <w:spacing w:before="40" w:after="80"/>
              <w:ind w:left="0" w:right="397"/>
              <w:jc w:val="left"/>
              <w:rPr>
                <w:lang w:val="fr-CH"/>
              </w:rPr>
            </w:pPr>
          </w:p>
        </w:tc>
      </w:tr>
      <w:tr w:rsidR="009B0AFC" w:rsidRPr="007C4E01" w:rsidTr="004B5060">
        <w:tc>
          <w:tcPr>
            <w:tcW w:w="2245" w:type="dxa"/>
            <w:shd w:val="clear" w:color="auto" w:fill="auto"/>
            <w:hideMark/>
          </w:tcPr>
          <w:p w:rsidR="009B0AFC" w:rsidRPr="007C4E01" w:rsidRDefault="009B0AFC" w:rsidP="00E10849">
            <w:pPr>
              <w:pStyle w:val="SingleTxt"/>
              <w:tabs>
                <w:tab w:val="left" w:pos="353"/>
                <w:tab w:val="left" w:pos="864"/>
                <w:tab w:val="left" w:pos="1152"/>
              </w:tabs>
              <w:suppressAutoHyphens/>
              <w:spacing w:before="40" w:after="80"/>
              <w:ind w:left="353" w:right="40" w:hanging="353"/>
              <w:jc w:val="left"/>
              <w:rPr>
                <w:b/>
                <w:lang w:val="fr-CH"/>
              </w:rPr>
            </w:pPr>
            <w:r w:rsidRPr="007C4E01">
              <w:rPr>
                <w:b/>
                <w:lang w:val="fr-CH"/>
              </w:rPr>
              <w:t xml:space="preserve">I. </w:t>
            </w:r>
            <w:r w:rsidR="004B5060" w:rsidRPr="007C4E01">
              <w:rPr>
                <w:b/>
                <w:lang w:val="fr-CH"/>
              </w:rPr>
              <w:tab/>
            </w:r>
            <w:r w:rsidRPr="007C4E01">
              <w:rPr>
                <w:b/>
                <w:lang w:val="fr-CH"/>
              </w:rPr>
              <w:t xml:space="preserve">Accessibilité </w:t>
            </w:r>
            <w:r w:rsidR="00F041C3" w:rsidRPr="007C4E01">
              <w:rPr>
                <w:b/>
                <w:lang w:val="fr-CH"/>
              </w:rPr>
              <w:br/>
            </w:r>
            <w:r w:rsidRPr="007C4E01">
              <w:rPr>
                <w:b/>
                <w:lang w:val="fr-CH"/>
              </w:rPr>
              <w:t>en ligne</w:t>
            </w:r>
          </w:p>
        </w:tc>
        <w:tc>
          <w:tcPr>
            <w:tcW w:w="5333" w:type="dxa"/>
            <w:shd w:val="clear" w:color="auto" w:fill="auto"/>
            <w:hideMark/>
          </w:tcPr>
          <w:p w:rsidR="009B0AFC" w:rsidRPr="007C4E01" w:rsidRDefault="009B0AFC" w:rsidP="004B5060">
            <w:pPr>
              <w:pStyle w:val="SingleTxt"/>
              <w:tabs>
                <w:tab w:val="left" w:pos="288"/>
                <w:tab w:val="left" w:pos="576"/>
                <w:tab w:val="left" w:pos="864"/>
                <w:tab w:val="left" w:pos="1152"/>
              </w:tabs>
              <w:suppressAutoHyphens/>
              <w:spacing w:before="40" w:after="80"/>
              <w:ind w:left="0" w:right="397"/>
              <w:jc w:val="left"/>
              <w:rPr>
                <w:lang w:val="fr-CH"/>
              </w:rPr>
            </w:pPr>
            <w:r w:rsidRPr="007C4E01">
              <w:rPr>
                <w:lang w:val="fr-CH"/>
              </w:rPr>
              <w:t>Accès facile en ligne à l’ensemble de données, par quiconque et à tout moment.</w:t>
            </w:r>
          </w:p>
        </w:tc>
      </w:tr>
      <w:tr w:rsidR="009B0AFC" w:rsidRPr="007C4E01" w:rsidTr="004B5060">
        <w:tc>
          <w:tcPr>
            <w:tcW w:w="2245" w:type="dxa"/>
            <w:shd w:val="clear" w:color="auto" w:fill="auto"/>
            <w:hideMark/>
          </w:tcPr>
          <w:p w:rsidR="009B0AFC" w:rsidRPr="007C4E01" w:rsidRDefault="009B0AFC" w:rsidP="00E10849">
            <w:pPr>
              <w:pStyle w:val="SingleTxt"/>
              <w:tabs>
                <w:tab w:val="left" w:pos="353"/>
                <w:tab w:val="left" w:pos="864"/>
                <w:tab w:val="left" w:pos="1152"/>
              </w:tabs>
              <w:suppressAutoHyphens/>
              <w:spacing w:before="40" w:after="80"/>
              <w:ind w:left="353" w:right="40" w:hanging="353"/>
              <w:jc w:val="left"/>
              <w:rPr>
                <w:b/>
                <w:lang w:val="fr-CH"/>
              </w:rPr>
            </w:pPr>
            <w:r w:rsidRPr="007C4E01">
              <w:rPr>
                <w:b/>
                <w:lang w:val="fr-CH"/>
              </w:rPr>
              <w:t xml:space="preserve">II. </w:t>
            </w:r>
            <w:r w:rsidR="00E10849" w:rsidRPr="007C4E01">
              <w:rPr>
                <w:b/>
                <w:lang w:val="fr-CH"/>
              </w:rPr>
              <w:tab/>
            </w:r>
            <w:r w:rsidRPr="007C4E01">
              <w:rPr>
                <w:b/>
                <w:lang w:val="fr-CH"/>
              </w:rPr>
              <w:t>Périodicité d’actualisation</w:t>
            </w:r>
          </w:p>
        </w:tc>
        <w:tc>
          <w:tcPr>
            <w:tcW w:w="5333" w:type="dxa"/>
            <w:shd w:val="clear" w:color="auto" w:fill="auto"/>
            <w:hideMark/>
          </w:tcPr>
          <w:p w:rsidR="009B0AFC" w:rsidRPr="007C4E01" w:rsidRDefault="009B0AFC" w:rsidP="004B5060">
            <w:pPr>
              <w:pStyle w:val="SingleTxt"/>
              <w:tabs>
                <w:tab w:val="left" w:pos="288"/>
                <w:tab w:val="left" w:pos="576"/>
                <w:tab w:val="left" w:pos="864"/>
                <w:tab w:val="left" w:pos="1152"/>
              </w:tabs>
              <w:suppressAutoHyphens/>
              <w:spacing w:before="40" w:after="80"/>
              <w:ind w:left="0" w:right="397"/>
              <w:jc w:val="left"/>
              <w:rPr>
                <w:lang w:val="fr-CH"/>
              </w:rPr>
            </w:pPr>
            <w:r w:rsidRPr="007C4E01">
              <w:rPr>
                <w:lang w:val="fr-CH"/>
              </w:rPr>
              <w:t>Actualisation de l’ensemble de données à l’aide des chiffres de la dernière période de production convenue.</w:t>
            </w:r>
          </w:p>
        </w:tc>
      </w:tr>
      <w:tr w:rsidR="009B0AFC" w:rsidRPr="007C4E01" w:rsidTr="004B5060">
        <w:tc>
          <w:tcPr>
            <w:tcW w:w="2245" w:type="dxa"/>
            <w:shd w:val="clear" w:color="auto" w:fill="auto"/>
            <w:hideMark/>
          </w:tcPr>
          <w:p w:rsidR="009B0AFC" w:rsidRPr="007C4E01" w:rsidRDefault="00E10849" w:rsidP="00E10849">
            <w:pPr>
              <w:pStyle w:val="SingleTxt"/>
              <w:tabs>
                <w:tab w:val="left" w:pos="353"/>
                <w:tab w:val="left" w:pos="864"/>
                <w:tab w:val="left" w:pos="1152"/>
              </w:tabs>
              <w:suppressAutoHyphens/>
              <w:spacing w:before="40" w:after="80"/>
              <w:ind w:left="353" w:right="40" w:hanging="353"/>
              <w:jc w:val="left"/>
              <w:rPr>
                <w:b/>
                <w:lang w:val="fr-CH"/>
              </w:rPr>
            </w:pPr>
            <w:r w:rsidRPr="007C4E01">
              <w:rPr>
                <w:b/>
                <w:lang w:val="fr-CH"/>
              </w:rPr>
              <w:t>III.</w:t>
            </w:r>
            <w:r w:rsidRPr="007C4E01">
              <w:rPr>
                <w:b/>
                <w:lang w:val="fr-CH"/>
              </w:rPr>
              <w:tab/>
            </w:r>
            <w:r w:rsidR="009B0AFC" w:rsidRPr="007C4E01">
              <w:rPr>
                <w:b/>
                <w:lang w:val="fr-CH"/>
              </w:rPr>
              <w:t>Méthodologie de</w:t>
            </w:r>
            <w:r w:rsidR="00F041C3" w:rsidRPr="007C4E01">
              <w:rPr>
                <w:b/>
                <w:lang w:val="fr-CH"/>
              </w:rPr>
              <w:t> </w:t>
            </w:r>
            <w:r w:rsidR="009B0AFC" w:rsidRPr="007C4E01">
              <w:rPr>
                <w:b/>
                <w:lang w:val="fr-CH"/>
              </w:rPr>
              <w:t>production</w:t>
            </w:r>
            <w:r w:rsidR="009B0AFC" w:rsidRPr="007C4E01">
              <w:rPr>
                <w:b/>
                <w:i/>
                <w:vertAlign w:val="superscript"/>
                <w:lang w:val="fr-CH"/>
              </w:rPr>
              <w:t>a</w:t>
            </w:r>
          </w:p>
        </w:tc>
        <w:tc>
          <w:tcPr>
            <w:tcW w:w="5333" w:type="dxa"/>
            <w:shd w:val="clear" w:color="auto" w:fill="auto"/>
            <w:hideMark/>
          </w:tcPr>
          <w:p w:rsidR="009B0AFC" w:rsidRPr="007C4E01" w:rsidRDefault="009B0AFC" w:rsidP="004B5060">
            <w:pPr>
              <w:pStyle w:val="SingleTxt"/>
              <w:tabs>
                <w:tab w:val="left" w:pos="288"/>
                <w:tab w:val="left" w:pos="576"/>
                <w:tab w:val="left" w:pos="864"/>
                <w:tab w:val="left" w:pos="1152"/>
              </w:tabs>
              <w:suppressAutoHyphens/>
              <w:spacing w:before="40" w:after="80"/>
              <w:ind w:left="0" w:right="397"/>
              <w:jc w:val="left"/>
              <w:rPr>
                <w:lang w:val="fr-CH"/>
              </w:rPr>
            </w:pPr>
            <w:r w:rsidRPr="007C4E01">
              <w:rPr>
                <w:lang w:val="fr-CH"/>
              </w:rPr>
              <w:t>Fourniture d’informations détaillées sur les méthodologies types et les méthodes de calcul pour la production des ensembles de données. Ces informations détaillées confirment que la méthodologie appliquée est celle qui a été convenue pour la production de l’ensemble de données concerné.</w:t>
            </w:r>
          </w:p>
        </w:tc>
      </w:tr>
      <w:tr w:rsidR="009B0AFC" w:rsidRPr="007C4E01" w:rsidTr="004B5060">
        <w:tc>
          <w:tcPr>
            <w:tcW w:w="2245" w:type="dxa"/>
            <w:shd w:val="clear" w:color="auto" w:fill="auto"/>
            <w:hideMark/>
          </w:tcPr>
          <w:p w:rsidR="009B0AFC" w:rsidRPr="007C4E01" w:rsidRDefault="00E10849" w:rsidP="00E10849">
            <w:pPr>
              <w:pStyle w:val="SingleTxt"/>
              <w:tabs>
                <w:tab w:val="left" w:pos="353"/>
                <w:tab w:val="left" w:pos="864"/>
                <w:tab w:val="left" w:pos="1152"/>
              </w:tabs>
              <w:suppressAutoHyphens/>
              <w:spacing w:before="40" w:after="80"/>
              <w:ind w:left="353" w:right="40" w:hanging="353"/>
              <w:jc w:val="left"/>
              <w:rPr>
                <w:b/>
                <w:lang w:val="fr-CH"/>
              </w:rPr>
            </w:pPr>
            <w:r w:rsidRPr="007C4E01">
              <w:rPr>
                <w:b/>
                <w:lang w:val="fr-CH"/>
              </w:rPr>
              <w:t>IV</w:t>
            </w:r>
            <w:r w:rsidR="00C0130E" w:rsidRPr="007C4E01">
              <w:rPr>
                <w:b/>
                <w:lang w:val="fr-CH"/>
              </w:rPr>
              <w:t>.</w:t>
            </w:r>
            <w:r w:rsidR="00C0130E" w:rsidRPr="007C4E01">
              <w:rPr>
                <w:b/>
                <w:lang w:val="fr-CH"/>
              </w:rPr>
              <w:tab/>
            </w:r>
            <w:r w:rsidR="009B0AFC" w:rsidRPr="007C4E01">
              <w:rPr>
                <w:b/>
                <w:lang w:val="fr-CH"/>
              </w:rPr>
              <w:t>Interprétation et</w:t>
            </w:r>
            <w:r w:rsidRPr="007C4E01">
              <w:rPr>
                <w:b/>
                <w:lang w:val="fr-CH"/>
              </w:rPr>
              <w:t> </w:t>
            </w:r>
            <w:r w:rsidR="009B0AFC" w:rsidRPr="007C4E01">
              <w:rPr>
                <w:b/>
                <w:lang w:val="fr-CH"/>
              </w:rPr>
              <w:t>utilisation des</w:t>
            </w:r>
            <w:r w:rsidRPr="007C4E01">
              <w:rPr>
                <w:b/>
                <w:lang w:val="fr-CH"/>
              </w:rPr>
              <w:t> </w:t>
            </w:r>
            <w:r w:rsidR="009B0AFC" w:rsidRPr="007C4E01">
              <w:rPr>
                <w:b/>
                <w:lang w:val="fr-CH"/>
              </w:rPr>
              <w:t>données</w:t>
            </w:r>
            <w:r w:rsidR="009B0AFC" w:rsidRPr="007C4E01">
              <w:rPr>
                <w:b/>
                <w:i/>
                <w:vertAlign w:val="superscript"/>
                <w:lang w:val="fr-CH"/>
              </w:rPr>
              <w:t>a</w:t>
            </w:r>
          </w:p>
        </w:tc>
        <w:tc>
          <w:tcPr>
            <w:tcW w:w="5333" w:type="dxa"/>
            <w:shd w:val="clear" w:color="auto" w:fill="auto"/>
            <w:hideMark/>
          </w:tcPr>
          <w:p w:rsidR="009B0AFC" w:rsidRPr="007C4E01" w:rsidRDefault="009B0AFC" w:rsidP="00C0130E">
            <w:pPr>
              <w:pStyle w:val="SingleTxt"/>
              <w:tabs>
                <w:tab w:val="left" w:pos="288"/>
                <w:tab w:val="left" w:pos="576"/>
                <w:tab w:val="left" w:pos="864"/>
                <w:tab w:val="left" w:pos="1152"/>
              </w:tabs>
              <w:suppressAutoHyphens/>
              <w:spacing w:before="40" w:after="80"/>
              <w:ind w:left="0" w:right="397"/>
              <w:jc w:val="left"/>
              <w:rPr>
                <w:lang w:val="fr-CH"/>
              </w:rPr>
            </w:pPr>
            <w:r w:rsidRPr="007C4E01">
              <w:rPr>
                <w:lang w:val="fr-CH"/>
              </w:rPr>
              <w:t>L’ensemble de données s’accompagne d’informations sur le contenu et la manière dont il faut interpréter les changements intervenus avec le temps. Des informations doivent également figurer concernant la manière dont les données recueillies ont été interprétées et utilisées (par exemple en vue des rapports à établir sur l’état de l’environnement ou pour étayer des décisions politiques concernant l’environnement). Ces</w:t>
            </w:r>
            <w:r w:rsidR="00F041C3" w:rsidRPr="007C4E01">
              <w:rPr>
                <w:lang w:val="fr-CH"/>
              </w:rPr>
              <w:t> </w:t>
            </w:r>
            <w:r w:rsidRPr="007C4E01">
              <w:rPr>
                <w:lang w:val="fr-CH"/>
              </w:rPr>
              <w:t xml:space="preserve">informations sont à communiquer dans la langue du pays pour ce qui concerne le public national et dans une langue véhiculaire </w:t>
            </w:r>
            <w:r w:rsidR="00C0130E" w:rsidRPr="007C4E01">
              <w:rPr>
                <w:lang w:val="fr-CH"/>
              </w:rPr>
              <w:t>–</w:t>
            </w:r>
            <w:r w:rsidRPr="007C4E01">
              <w:rPr>
                <w:lang w:val="fr-CH"/>
              </w:rPr>
              <w:t xml:space="preserve"> anglais et/ou russe – pour être accessible à la communauté internationale.</w:t>
            </w:r>
          </w:p>
        </w:tc>
      </w:tr>
      <w:tr w:rsidR="009B0AFC" w:rsidRPr="007C4E01" w:rsidTr="004B5060">
        <w:tc>
          <w:tcPr>
            <w:tcW w:w="2245" w:type="dxa"/>
            <w:tcBorders>
              <w:bottom w:val="single" w:sz="12" w:space="0" w:color="auto"/>
            </w:tcBorders>
            <w:shd w:val="clear" w:color="auto" w:fill="auto"/>
            <w:hideMark/>
          </w:tcPr>
          <w:p w:rsidR="009B0AFC" w:rsidRPr="007C4E01" w:rsidRDefault="009B0AFC" w:rsidP="00E10849">
            <w:pPr>
              <w:pStyle w:val="SingleTxt"/>
              <w:tabs>
                <w:tab w:val="left" w:pos="353"/>
                <w:tab w:val="left" w:pos="864"/>
                <w:tab w:val="left" w:pos="1152"/>
              </w:tabs>
              <w:suppressAutoHyphens/>
              <w:spacing w:before="40" w:after="80"/>
              <w:ind w:left="353" w:right="40" w:hanging="353"/>
              <w:jc w:val="left"/>
              <w:rPr>
                <w:b/>
                <w:lang w:val="fr-CH"/>
              </w:rPr>
            </w:pPr>
            <w:r w:rsidRPr="007C4E01">
              <w:rPr>
                <w:b/>
                <w:lang w:val="fr-CH"/>
              </w:rPr>
              <w:t xml:space="preserve">V. </w:t>
            </w:r>
            <w:r w:rsidR="00F041C3" w:rsidRPr="007C4E01">
              <w:rPr>
                <w:b/>
                <w:lang w:val="fr-CH"/>
              </w:rPr>
              <w:tab/>
            </w:r>
            <w:r w:rsidRPr="007C4E01">
              <w:rPr>
                <w:b/>
                <w:lang w:val="fr-CH"/>
              </w:rPr>
              <w:t xml:space="preserve">Sources </w:t>
            </w:r>
            <w:r w:rsidR="00F041C3" w:rsidRPr="007C4E01">
              <w:rPr>
                <w:b/>
                <w:lang w:val="fr-CH"/>
              </w:rPr>
              <w:br/>
            </w:r>
            <w:r w:rsidRPr="007C4E01">
              <w:rPr>
                <w:b/>
                <w:lang w:val="fr-CH"/>
              </w:rPr>
              <w:t>des données</w:t>
            </w:r>
            <w:r w:rsidRPr="007C4E01">
              <w:rPr>
                <w:b/>
                <w:i/>
                <w:vertAlign w:val="superscript"/>
                <w:lang w:val="fr-CH"/>
              </w:rPr>
              <w:t>a</w:t>
            </w:r>
          </w:p>
        </w:tc>
        <w:tc>
          <w:tcPr>
            <w:tcW w:w="5333" w:type="dxa"/>
            <w:tcBorders>
              <w:bottom w:val="single" w:sz="12" w:space="0" w:color="auto"/>
            </w:tcBorders>
            <w:shd w:val="clear" w:color="auto" w:fill="auto"/>
            <w:hideMark/>
          </w:tcPr>
          <w:p w:rsidR="009B0AFC" w:rsidRPr="007C4E01" w:rsidRDefault="009B0AFC" w:rsidP="004B5060">
            <w:pPr>
              <w:pStyle w:val="SingleTxt"/>
              <w:tabs>
                <w:tab w:val="left" w:pos="288"/>
                <w:tab w:val="left" w:pos="576"/>
                <w:tab w:val="left" w:pos="864"/>
                <w:tab w:val="left" w:pos="1152"/>
              </w:tabs>
              <w:suppressAutoHyphens/>
              <w:spacing w:before="40" w:after="80"/>
              <w:ind w:left="0" w:right="397"/>
              <w:jc w:val="left"/>
              <w:rPr>
                <w:lang w:val="fr-CH"/>
              </w:rPr>
            </w:pPr>
            <w:r w:rsidRPr="007C4E01">
              <w:rPr>
                <w:lang w:val="fr-CH"/>
              </w:rPr>
              <w:t>Disponibilité d’informations concernant l’institution chargée de la production de l’ensemble de données, ses sources, et les coordonnées des contacts.</w:t>
            </w:r>
          </w:p>
        </w:tc>
      </w:tr>
    </w:tbl>
    <w:p w:rsidR="00F041C3" w:rsidRPr="007C4E01" w:rsidRDefault="00F041C3" w:rsidP="00F041C3">
      <w:pPr>
        <w:pStyle w:val="SingleTxt"/>
        <w:spacing w:after="0" w:line="120" w:lineRule="exact"/>
        <w:rPr>
          <w:i/>
          <w:sz w:val="10"/>
          <w:lang w:val="fr-CH"/>
        </w:rPr>
      </w:pPr>
    </w:p>
    <w:p w:rsidR="009B0AFC" w:rsidRPr="007C4E01" w:rsidRDefault="009B0AFC" w:rsidP="00F041C3">
      <w:pPr>
        <w:pStyle w:val="FootnoteText"/>
        <w:tabs>
          <w:tab w:val="right" w:pos="1476"/>
          <w:tab w:val="left" w:pos="1548"/>
          <w:tab w:val="right" w:pos="1836"/>
          <w:tab w:val="left" w:pos="1908"/>
        </w:tabs>
        <w:ind w:left="1548" w:right="1267" w:hanging="288"/>
        <w:rPr>
          <w:lang w:val="fr-CH"/>
        </w:rPr>
      </w:pPr>
      <w:r w:rsidRPr="007C4E01">
        <w:rPr>
          <w:i/>
          <w:lang w:val="fr-CH"/>
        </w:rPr>
        <w:t>Remarque</w:t>
      </w:r>
      <w:r w:rsidR="00F041C3" w:rsidRPr="007C4E01">
        <w:rPr>
          <w:i/>
          <w:lang w:val="fr-CH"/>
        </w:rPr>
        <w:t xml:space="preserve"> </w:t>
      </w:r>
      <w:r w:rsidR="00F041C3" w:rsidRPr="007C4E01">
        <w:rPr>
          <w:lang w:val="fr-CH"/>
        </w:rPr>
        <w:t>:</w:t>
      </w:r>
      <w:r w:rsidRPr="007C4E01">
        <w:rPr>
          <w:i/>
          <w:lang w:val="fr-CH"/>
        </w:rPr>
        <w:t xml:space="preserve"> </w:t>
      </w:r>
      <w:r w:rsidRPr="007C4E01">
        <w:rPr>
          <w:lang w:val="fr-CH"/>
        </w:rPr>
        <w:t>Accepté à la dix-septième session du Groupe de travail et poursuivi par le sous-groupe constitué pour l’élaboration du mécanisme d’établissement de rapports (voir ECE/CEP/AC.10/2015/4).</w:t>
      </w:r>
    </w:p>
    <w:p w:rsidR="009B0AFC" w:rsidRPr="007C4E01" w:rsidRDefault="009B0AFC" w:rsidP="00F041C3">
      <w:pPr>
        <w:pStyle w:val="FootnoteText"/>
        <w:tabs>
          <w:tab w:val="right" w:pos="1476"/>
          <w:tab w:val="left" w:pos="1548"/>
          <w:tab w:val="right" w:pos="1836"/>
          <w:tab w:val="left" w:pos="1908"/>
        </w:tabs>
        <w:ind w:left="1548" w:right="1267" w:hanging="288"/>
        <w:rPr>
          <w:lang w:val="fr-CH"/>
        </w:rPr>
      </w:pPr>
      <w:r w:rsidRPr="007C4E01">
        <w:rPr>
          <w:i/>
          <w:vertAlign w:val="superscript"/>
          <w:lang w:val="fr-CH"/>
        </w:rPr>
        <w:t>a</w:t>
      </w:r>
      <w:r w:rsidR="00F041C3" w:rsidRPr="007C4E01">
        <w:rPr>
          <w:i/>
          <w:lang w:val="fr-CH"/>
        </w:rPr>
        <w:t xml:space="preserve"> </w:t>
      </w:r>
      <w:r w:rsidRPr="007C4E01">
        <w:rPr>
          <w:lang w:val="fr-CH"/>
        </w:rPr>
        <w:t xml:space="preserve">Durant le processus de validation, la nécessité de préciser la signification des critères est apparue. En conséquence, les éléments de classement ont été actualisés pour refléter les observations reçues. </w:t>
      </w:r>
    </w:p>
    <w:p w:rsidR="00F041C3" w:rsidRPr="007C4E01" w:rsidRDefault="00F041C3" w:rsidP="00F041C3">
      <w:pPr>
        <w:pStyle w:val="FootnoteText"/>
        <w:tabs>
          <w:tab w:val="right" w:pos="1476"/>
          <w:tab w:val="left" w:pos="1548"/>
          <w:tab w:val="right" w:pos="1836"/>
          <w:tab w:val="left" w:pos="1908"/>
        </w:tabs>
        <w:spacing w:line="120" w:lineRule="exact"/>
        <w:ind w:left="1548" w:right="1267" w:hanging="288"/>
        <w:rPr>
          <w:sz w:val="10"/>
          <w:lang w:val="fr-CH"/>
        </w:rPr>
      </w:pPr>
    </w:p>
    <w:p w:rsidR="00F041C3" w:rsidRPr="007C4E01" w:rsidRDefault="00F041C3" w:rsidP="00F041C3">
      <w:pPr>
        <w:pStyle w:val="FootnoteText"/>
        <w:tabs>
          <w:tab w:val="right" w:pos="1476"/>
          <w:tab w:val="left" w:pos="1548"/>
          <w:tab w:val="right" w:pos="1836"/>
          <w:tab w:val="left" w:pos="1908"/>
        </w:tabs>
        <w:spacing w:line="120" w:lineRule="exact"/>
        <w:ind w:left="1548" w:right="1267" w:hanging="288"/>
        <w:rPr>
          <w:i/>
          <w:sz w:val="10"/>
          <w:lang w:val="fr-CH"/>
        </w:rPr>
      </w:pPr>
    </w:p>
    <w:p w:rsidR="009B0AFC" w:rsidRPr="007C4E01" w:rsidRDefault="009B0AFC" w:rsidP="00F041C3">
      <w:pPr>
        <w:pStyle w:val="SingleTxt"/>
        <w:numPr>
          <w:ilvl w:val="0"/>
          <w:numId w:val="10"/>
        </w:numPr>
        <w:rPr>
          <w:lang w:val="fr-CH"/>
        </w:rPr>
      </w:pPr>
      <w:r w:rsidRPr="007C4E01">
        <w:rPr>
          <w:b/>
          <w:lang w:val="fr-CH"/>
        </w:rPr>
        <w:t>Accessibilité en ligne</w:t>
      </w:r>
      <w:r w:rsidRPr="007C4E01">
        <w:rPr>
          <w:lang w:val="fr-CH"/>
        </w:rPr>
        <w:t>. Le processus de classement a consisté à attribuer la valeur 1 lorsque l’information nécessaire pour chaque ensemble de données était di</w:t>
      </w:r>
      <w:r w:rsidR="00F041C3" w:rsidRPr="007C4E01">
        <w:rPr>
          <w:lang w:val="fr-CH"/>
        </w:rPr>
        <w:t>sponible en ligne, et la valeur </w:t>
      </w:r>
      <w:r w:rsidRPr="007C4E01">
        <w:rPr>
          <w:lang w:val="fr-CH"/>
        </w:rPr>
        <w:t xml:space="preserve">0 lorsqu’elle était absente. Chaque ensemble de données a d’abord été jaugé du point de vue de l’accessibilité en ligne et ensuite, pour autant qu’il ait satisfait à ce premier critère, du point de vue également des quatre autres. Si un ensemble de données n’était pas disponible en ligne, il ne pouvait pas être évalué et le processus d’examen ne pouvait pas être poursuivi pour cet </w:t>
      </w:r>
      <w:r w:rsidR="00941CD5" w:rsidRPr="007C4E01">
        <w:rPr>
          <w:lang w:val="fr-CH"/>
        </w:rPr>
        <w:t>ensemble-là. La valeur générale </w:t>
      </w:r>
      <w:r w:rsidRPr="007C4E01">
        <w:rPr>
          <w:lang w:val="fr-CH"/>
        </w:rPr>
        <w:t xml:space="preserve">0 était alors attribuée à cet ensemble de données. Il est à noter que, lorsqu’on se réfère à l’état d’avancement du SEIS au niveau paneuropéen, il s’agit principalement, à ce stade, de la disponibilité des données en ligne. Cet aspect a été reconnu et pris en compte dans l’analyse approfondie (voir la section E), ainsi que dans les principaux messages à retenir concernant le moyen d’améliorer le processus d’examen. </w:t>
      </w:r>
    </w:p>
    <w:p w:rsidR="009B0AFC" w:rsidRPr="007C4E01" w:rsidRDefault="009B0AFC" w:rsidP="00941CD5">
      <w:pPr>
        <w:pStyle w:val="SingleTxt"/>
        <w:numPr>
          <w:ilvl w:val="0"/>
          <w:numId w:val="10"/>
        </w:numPr>
        <w:rPr>
          <w:lang w:val="fr-CH"/>
        </w:rPr>
      </w:pPr>
      <w:r w:rsidRPr="007C4E01">
        <w:rPr>
          <w:lang w:val="fr-CH"/>
        </w:rPr>
        <w:t xml:space="preserve">Il importe également de noter que les pays membres de l’AEE transmettent leurs données sur le SEIS directement à l’AEE, mais souvent sans les avoir publiées sur leurs sites officiels. Ces ensembles de données n’ont pas été pris en considération dans le cadre du présent examen, et ce pour deux raisons. Premièrement, ils ne répondent pas aux principes du SEIS concernant la gestion des données et leur accessibilité pour les utilisateurs finals. La publication d’informations et de données par les réseaux publics de télécommunications est </w:t>
      </w:r>
      <w:r w:rsidR="00941CD5" w:rsidRPr="007C4E01">
        <w:rPr>
          <w:lang w:val="fr-CH"/>
        </w:rPr>
        <w:t>aussi une exigence de l’article </w:t>
      </w:r>
      <w:r w:rsidRPr="007C4E01">
        <w:rPr>
          <w:lang w:val="fr-CH"/>
        </w:rPr>
        <w:t xml:space="preserve">5 de la Convention de la CEE sur l’accès à l’information, la participation du public au processus décisionnel et l’accès à la justice en matière d’environnement (Convention d’Aarhus) et de son Protocole sur les registres des rejets et transferts de polluants (Protocole sur les RRTP), ainsi que des Recommandations sur une utilisation plus efficace des outils d’information électronique. Deuxièmement, ils n’ont pas été pris en compte dans le présent examen parce qu’ils n’étaient pas en conformité avec l’approche approuvée par le Comité lorsqu’il a adopté les cibles et les indicateurs de résultats du SEIS pour la région paneuropéenne. </w:t>
      </w:r>
    </w:p>
    <w:p w:rsidR="009B0AFC" w:rsidRPr="007C4E01" w:rsidRDefault="009B0AFC" w:rsidP="00941CD5">
      <w:pPr>
        <w:pStyle w:val="SingleTxt"/>
        <w:numPr>
          <w:ilvl w:val="0"/>
          <w:numId w:val="10"/>
        </w:numPr>
        <w:rPr>
          <w:lang w:val="fr-CH"/>
        </w:rPr>
      </w:pPr>
      <w:r w:rsidRPr="007C4E01">
        <w:rPr>
          <w:b/>
          <w:lang w:val="fr-CH"/>
        </w:rPr>
        <w:t>Périodicité d’actualisation</w:t>
      </w:r>
      <w:r w:rsidRPr="007C4E01">
        <w:rPr>
          <w:lang w:val="fr-CH"/>
        </w:rPr>
        <w:t>. Dans le pro</w:t>
      </w:r>
      <w:r w:rsidR="00941CD5" w:rsidRPr="007C4E01">
        <w:rPr>
          <w:lang w:val="fr-CH"/>
        </w:rPr>
        <w:t>cessus de classement, la valeur </w:t>
      </w:r>
      <w:r w:rsidRPr="007C4E01">
        <w:rPr>
          <w:lang w:val="fr-CH"/>
        </w:rPr>
        <w:t>1 a été attribuée là où les séries chronologiques étaient complètes pour chaque ensemble de données et pour autant qu’el</w:t>
      </w:r>
      <w:r w:rsidR="00941CD5" w:rsidRPr="007C4E01">
        <w:rPr>
          <w:lang w:val="fr-CH"/>
        </w:rPr>
        <w:t>les ne soient pas antérieures à </w:t>
      </w:r>
      <w:r w:rsidRPr="007C4E01">
        <w:rPr>
          <w:lang w:val="fr-CH"/>
        </w:rPr>
        <w:t>2012. Ce critère d’examen s’accorde avec les principes du SEIS sur l’accès en temps opportun à l’information et avec les oblig</w:t>
      </w:r>
      <w:r w:rsidR="00941CD5" w:rsidRPr="007C4E01">
        <w:rPr>
          <w:lang w:val="fr-CH"/>
        </w:rPr>
        <w:t>ations énoncées aux paragraphes 1 et 4 de l’article </w:t>
      </w:r>
      <w:r w:rsidRPr="007C4E01">
        <w:rPr>
          <w:lang w:val="fr-CH"/>
        </w:rPr>
        <w:t xml:space="preserve">5 de la Convention d’Aarhus, qui prescrivent de tenir à jour les informations en matière d’environnement et de publier périodiquement des rapports nationaux sur l’état de l’environnement, à des intervalles de temps ne dépassant pas trois ou quatre années. La plupart des ensembles de données font l’objet d’une actualisation annuelle; cependant, il existe des ensembles pour lesquels la périodicité d’actualisation reste à préciser, et dont la disponibilité et l’accessibilité sur les sites Web nationaux sont tributaires des politiques nationales relatives à la communication des données. </w:t>
      </w:r>
    </w:p>
    <w:p w:rsidR="009B0AFC" w:rsidRPr="007C4E01" w:rsidRDefault="009B0AFC" w:rsidP="00941CD5">
      <w:pPr>
        <w:pStyle w:val="SingleTxt"/>
        <w:numPr>
          <w:ilvl w:val="0"/>
          <w:numId w:val="10"/>
        </w:numPr>
        <w:rPr>
          <w:lang w:val="fr-CH"/>
        </w:rPr>
      </w:pPr>
      <w:r w:rsidRPr="007C4E01">
        <w:rPr>
          <w:b/>
          <w:lang w:val="fr-CH"/>
        </w:rPr>
        <w:t>Méthodologie de production</w:t>
      </w:r>
      <w:r w:rsidRPr="007C4E01">
        <w:rPr>
          <w:lang w:val="fr-CH"/>
        </w:rPr>
        <w:t>. Il n’a pas été possible de classer de manière satisfaisante l’application de la méthodologie de production type compte tenu de l’impossibilité de vérifier si la méthodologie propre à chaque pays s’accordait avec la méthodologie internationale reconnue pour chaque ensemble de données. Dans ce cas, c’est la valeur</w:t>
      </w:r>
      <w:r w:rsidR="00941CD5" w:rsidRPr="007C4E01">
        <w:rPr>
          <w:lang w:val="fr-CH"/>
        </w:rPr>
        <w:t> </w:t>
      </w:r>
      <w:r w:rsidRPr="007C4E01">
        <w:rPr>
          <w:lang w:val="fr-CH"/>
        </w:rPr>
        <w:t xml:space="preserve">1 qui a été retenue dès lors que des informations détaillées sur la méthodologie de production étaient accessibles sur les sites Web nationaux. Ce critère d’examen pourra faire l’objet d’une analyse complémentaire lors de la prochaine évaluation. </w:t>
      </w:r>
    </w:p>
    <w:p w:rsidR="009B0AFC" w:rsidRPr="007C4E01" w:rsidRDefault="009B0AFC" w:rsidP="00941CD5">
      <w:pPr>
        <w:pStyle w:val="SingleTxt"/>
        <w:numPr>
          <w:ilvl w:val="0"/>
          <w:numId w:val="10"/>
        </w:numPr>
        <w:rPr>
          <w:lang w:val="fr-CH"/>
        </w:rPr>
      </w:pPr>
      <w:r w:rsidRPr="007C4E01">
        <w:rPr>
          <w:b/>
          <w:lang w:val="fr-CH"/>
        </w:rPr>
        <w:t>Interprétation et utilisation des données</w:t>
      </w:r>
      <w:r w:rsidRPr="007C4E01">
        <w:rPr>
          <w:lang w:val="fr-CH"/>
        </w:rPr>
        <w:t xml:space="preserve">. Il n’a pas été possible de procéder à un classement de la qualité du contenu disponible pour chaque ensemble de données, s’agissant notamment de mesurer comment les données étaient interprétées et utilisées (par exemple aux fins d’établissement de rapports sur l’état de l’environnement) ou de déterminer si elles étaient utilisées pour répondre à des questions politiques essentielles et/ou pour étayer une politique en matière d’environnement (consistant par exemple à fixer des objectifs), ni de tenir compte du fait que les interprétations de données avaient été ou non mises à disposition dans d’autres langues internationales (l’anglais ou le russe). Dans ce cas, c’est la valeur 1 qui a été retenue dès lors que des informations étaient jointes aux ensembles de données. Les questions de l’accessibilité en ligne et de l’interprétation et de l’utilisation des données font l’objet d’une analyse approfondie dans la section E ci-dessous. </w:t>
      </w:r>
    </w:p>
    <w:p w:rsidR="009B0AFC" w:rsidRPr="007C4E01" w:rsidRDefault="009B0AFC" w:rsidP="00941CD5">
      <w:pPr>
        <w:pStyle w:val="SingleTxt"/>
        <w:numPr>
          <w:ilvl w:val="0"/>
          <w:numId w:val="10"/>
        </w:numPr>
        <w:rPr>
          <w:lang w:val="fr-CH"/>
        </w:rPr>
      </w:pPr>
      <w:r w:rsidRPr="007C4E01">
        <w:rPr>
          <w:b/>
          <w:lang w:val="fr-CH"/>
        </w:rPr>
        <w:t>Sources des données</w:t>
      </w:r>
      <w:r w:rsidRPr="007C4E01">
        <w:rPr>
          <w:lang w:val="fr-CH"/>
        </w:rPr>
        <w:t>. La valeur</w:t>
      </w:r>
      <w:r w:rsidR="00941CD5" w:rsidRPr="007C4E01">
        <w:rPr>
          <w:lang w:val="fr-CH"/>
        </w:rPr>
        <w:t> </w:t>
      </w:r>
      <w:r w:rsidRPr="007C4E01">
        <w:rPr>
          <w:lang w:val="fr-CH"/>
        </w:rPr>
        <w:t>1 a été attribuée lorsque l’institution responsable était désignée et que des détails étaient fournis sur les contacts pour chaque ensemble de données. Ce critère d’examen s’accorde avec les principes du SEIS concernant l’accessibilité des données pour les utilisateurs finals, notamment les autorités, le public et les autres parties prenantes, de même qu’avec les obligations énoncées à l’article</w:t>
      </w:r>
      <w:r w:rsidR="00941CD5" w:rsidRPr="007C4E01">
        <w:rPr>
          <w:lang w:val="fr-CH"/>
        </w:rPr>
        <w:t> </w:t>
      </w:r>
      <w:r w:rsidRPr="007C4E01">
        <w:rPr>
          <w:lang w:val="fr-CH"/>
        </w:rPr>
        <w:t>3 et au paragraphe</w:t>
      </w:r>
      <w:r w:rsidR="00941CD5" w:rsidRPr="007C4E01">
        <w:rPr>
          <w:lang w:val="fr-CH"/>
        </w:rPr>
        <w:t> </w:t>
      </w:r>
      <w:r w:rsidRPr="007C4E01">
        <w:rPr>
          <w:lang w:val="fr-CH"/>
        </w:rPr>
        <w:t>2</w:t>
      </w:r>
      <w:r w:rsidR="00941CD5" w:rsidRPr="007C4E01">
        <w:rPr>
          <w:lang w:val="fr-CH"/>
        </w:rPr>
        <w:t> </w:t>
      </w:r>
      <w:r w:rsidRPr="007C4E01">
        <w:rPr>
          <w:lang w:val="fr-CH"/>
        </w:rPr>
        <w:t>b) de l’article</w:t>
      </w:r>
      <w:r w:rsidR="00941CD5" w:rsidRPr="007C4E01">
        <w:rPr>
          <w:lang w:val="fr-CH"/>
        </w:rPr>
        <w:t> </w:t>
      </w:r>
      <w:r w:rsidRPr="007C4E01">
        <w:rPr>
          <w:lang w:val="fr-CH"/>
        </w:rPr>
        <w:t xml:space="preserve">5 de la Convention d’Aarhus qui prescrivent d’apporter soutien et conseils au public en quête d’informations et de désigner des points de contact. </w:t>
      </w:r>
    </w:p>
    <w:p w:rsidR="009B0AFC" w:rsidRPr="007C4E01" w:rsidRDefault="009B0AFC" w:rsidP="00941CD5">
      <w:pPr>
        <w:pStyle w:val="SingleTxt"/>
        <w:numPr>
          <w:ilvl w:val="0"/>
          <w:numId w:val="10"/>
        </w:numPr>
        <w:rPr>
          <w:lang w:val="fr-CH"/>
        </w:rPr>
      </w:pPr>
      <w:r w:rsidRPr="007C4E01">
        <w:rPr>
          <w:lang w:val="fr-CH"/>
        </w:rPr>
        <w:t>Chaque critère d’examen s’est vu attribuer le même poids dans l’évaluation de la production effective et du partage d’ensembles de données. C’est sur cette base qu’a été calculé le résultat général, qui est traduit quantitativement sous la forme d’un pourcentage censé refléter l’état d’avancement de la mise en place du SEIS dans les pays de la région paneuropéenne.</w:t>
      </w:r>
    </w:p>
    <w:p w:rsidR="009B0AFC" w:rsidRPr="007C4E01" w:rsidRDefault="009B0AFC" w:rsidP="00941CD5">
      <w:pPr>
        <w:pStyle w:val="SingleTxt"/>
        <w:numPr>
          <w:ilvl w:val="0"/>
          <w:numId w:val="10"/>
        </w:numPr>
        <w:rPr>
          <w:lang w:val="fr-CH"/>
        </w:rPr>
      </w:pPr>
      <w:r w:rsidRPr="007C4E01">
        <w:rPr>
          <w:lang w:val="fr-CH"/>
        </w:rPr>
        <w:t>Au gré du processus d’examen qui a conduit au présent rapport, des consultations avec les partenaires et les pays, et du fonctionnement du mécanisme d’établissement périodique de rapports, il est apparu qu’une valeur</w:t>
      </w:r>
      <w:r w:rsidR="00941CD5" w:rsidRPr="007C4E01">
        <w:rPr>
          <w:lang w:val="fr-CH"/>
        </w:rPr>
        <w:t> </w:t>
      </w:r>
      <w:r w:rsidRPr="007C4E01">
        <w:rPr>
          <w:lang w:val="fr-CH"/>
        </w:rPr>
        <w:t>0 ou</w:t>
      </w:r>
      <w:r w:rsidR="00941CD5" w:rsidRPr="007C4E01">
        <w:rPr>
          <w:lang w:val="fr-CH"/>
        </w:rPr>
        <w:t> </w:t>
      </w:r>
      <w:r w:rsidRPr="007C4E01">
        <w:rPr>
          <w:lang w:val="fr-CH"/>
        </w:rPr>
        <w:t xml:space="preserve">1 pour traduire l’accessibilité en ligne ne rendait pas justice à la diversité de la publication des ensembles de données et des informations connexes dans la pratique. Cette prise de conscience a conduit à compléter le présent examen par une analyse approfondie qui rend mieux compte du partage en ligne des ensembles de données convenus et des informations connexes. En l’occurrence, il s’est agi non pas de modifier les critères d’examen sur lesquels les membres du Comité s’étaient entendus, mais de préciser ce qu’il faut entendre par accessibilité en ligne dans la pratique. </w:t>
      </w:r>
    </w:p>
    <w:p w:rsidR="009B0AFC" w:rsidRPr="007C4E01" w:rsidRDefault="009B0AFC" w:rsidP="00941CD5">
      <w:pPr>
        <w:pStyle w:val="SingleTxt"/>
        <w:numPr>
          <w:ilvl w:val="0"/>
          <w:numId w:val="10"/>
        </w:numPr>
        <w:rPr>
          <w:lang w:val="fr-CH"/>
        </w:rPr>
      </w:pPr>
      <w:r w:rsidRPr="007C4E01">
        <w:rPr>
          <w:lang w:val="fr-CH"/>
        </w:rPr>
        <w:t>Dix études de cas</w:t>
      </w:r>
      <w:r w:rsidRPr="007C4E01">
        <w:rPr>
          <w:rStyle w:val="FootnoteReference"/>
          <w:lang w:val="fr-CH"/>
        </w:rPr>
        <w:footnoteReference w:id="9"/>
      </w:r>
      <w:r w:rsidRPr="007C4E01">
        <w:rPr>
          <w:lang w:val="fr-CH"/>
        </w:rPr>
        <w:t xml:space="preserve"> ont été effectuées à propos de l’accessibilité en ligne des ensembles de données sur l’environnement tels qu’ils figurent sur les sites Web nationaux des pays de la région paneuropéenne dans le but d’étoffer le contenu et la qualité des informations obt</w:t>
      </w:r>
      <w:r w:rsidR="007F43D6">
        <w:rPr>
          <w:lang w:val="fr-CH"/>
        </w:rPr>
        <w:t>enues, reprises dans la section </w:t>
      </w:r>
      <w:r w:rsidRPr="007C4E01">
        <w:rPr>
          <w:lang w:val="fr-CH"/>
        </w:rPr>
        <w:t>E ci-dessous. Pour cela, l’évaluation a porté sur le nombre de langues dans lesquelles les ensembles de données nationaux et les informations connexes ont été p</w:t>
      </w:r>
      <w:r w:rsidR="007F43D6">
        <w:rPr>
          <w:lang w:val="fr-CH"/>
        </w:rPr>
        <w:t>ubliés, sur le nombre de plate</w:t>
      </w:r>
      <w:r w:rsidRPr="007C4E01">
        <w:rPr>
          <w:lang w:val="fr-CH"/>
        </w:rPr>
        <w:t>formes en ligne où figurent ces données, sur les formats utilisés pour ce faire, et sur la facilitation de consultation pour les utilisateurs des différentes plates-formes en ligne. Ces questions d’examen supplémentaires ont fait l’objet d’un ensemble composite sur la base duquel une valeur générale de</w:t>
      </w:r>
      <w:r w:rsidR="00941CD5" w:rsidRPr="007C4E01">
        <w:rPr>
          <w:lang w:val="fr-CH"/>
        </w:rPr>
        <w:t> </w:t>
      </w:r>
      <w:r w:rsidRPr="007C4E01">
        <w:rPr>
          <w:lang w:val="fr-CH"/>
        </w:rPr>
        <w:t>1 a été dégagée pour l’accessibili</w:t>
      </w:r>
      <w:r w:rsidR="00941CD5" w:rsidRPr="007C4E01">
        <w:rPr>
          <w:lang w:val="fr-CH"/>
        </w:rPr>
        <w:t>té en ligne, correspondant à 20 %</w:t>
      </w:r>
      <w:r w:rsidRPr="007C4E01">
        <w:rPr>
          <w:lang w:val="fr-CH"/>
        </w:rPr>
        <w:t xml:space="preserve"> du résultat général (voir les trois sections de l’annexe au présent document). </w:t>
      </w:r>
    </w:p>
    <w:p w:rsidR="00941CD5" w:rsidRPr="007C4E01" w:rsidRDefault="00941CD5" w:rsidP="00941CD5">
      <w:pPr>
        <w:pStyle w:val="SingleTxt"/>
        <w:spacing w:after="0" w:line="120" w:lineRule="exact"/>
        <w:rPr>
          <w:sz w:val="10"/>
          <w:lang w:val="fr-CH"/>
        </w:rPr>
      </w:pPr>
    </w:p>
    <w:p w:rsidR="00941CD5" w:rsidRPr="007C4E01" w:rsidRDefault="00941CD5" w:rsidP="00941CD5">
      <w:pPr>
        <w:pStyle w:val="SingleTxt"/>
        <w:spacing w:after="0" w:line="120" w:lineRule="exact"/>
        <w:rPr>
          <w:sz w:val="10"/>
          <w:lang w:val="fr-CH"/>
        </w:rPr>
      </w:pPr>
    </w:p>
    <w:p w:rsidR="009B0AFC" w:rsidRPr="007C4E01" w:rsidRDefault="009B0AFC" w:rsidP="00941C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12" w:name="_Toc440461425"/>
      <w:r w:rsidRPr="007C4E01">
        <w:rPr>
          <w:lang w:val="fr-CH"/>
        </w:rPr>
        <w:tab/>
        <w:t>B.</w:t>
      </w:r>
      <w:r w:rsidRPr="007C4E01">
        <w:rPr>
          <w:lang w:val="fr-CH"/>
        </w:rPr>
        <w:tab/>
        <w:t xml:space="preserve">Progression de l’entreprise de collecte de données </w:t>
      </w:r>
      <w:r w:rsidR="00941CD5" w:rsidRPr="007C4E01">
        <w:rPr>
          <w:lang w:val="fr-CH"/>
        </w:rPr>
        <w:br/>
      </w:r>
      <w:r w:rsidRPr="007C4E01">
        <w:rPr>
          <w:lang w:val="fr-CH"/>
        </w:rPr>
        <w:t xml:space="preserve">et de la mise en place du Système de partage </w:t>
      </w:r>
      <w:r w:rsidR="00941CD5" w:rsidRPr="007C4E01">
        <w:rPr>
          <w:lang w:val="fr-CH"/>
        </w:rPr>
        <w:br/>
      </w:r>
      <w:r w:rsidRPr="007C4E01">
        <w:rPr>
          <w:lang w:val="fr-CH"/>
        </w:rPr>
        <w:t>d’informations sur l’environnement</w:t>
      </w:r>
      <w:bookmarkEnd w:id="112"/>
    </w:p>
    <w:p w:rsidR="00941CD5" w:rsidRPr="007C4E01" w:rsidRDefault="00941CD5" w:rsidP="00941CD5">
      <w:pPr>
        <w:pStyle w:val="SingleTxt"/>
        <w:spacing w:after="0" w:line="120" w:lineRule="exact"/>
        <w:rPr>
          <w:sz w:val="10"/>
          <w:lang w:val="fr-CH"/>
        </w:rPr>
      </w:pPr>
    </w:p>
    <w:p w:rsidR="00941CD5" w:rsidRPr="007C4E01" w:rsidRDefault="00941CD5" w:rsidP="00941CD5">
      <w:pPr>
        <w:pStyle w:val="SingleTxt"/>
        <w:spacing w:after="0" w:line="120" w:lineRule="exact"/>
        <w:rPr>
          <w:sz w:val="10"/>
          <w:lang w:val="fr-CH"/>
        </w:rPr>
      </w:pPr>
    </w:p>
    <w:p w:rsidR="009B0AFC" w:rsidRPr="007C4E01" w:rsidRDefault="009B0AFC" w:rsidP="00941CD5">
      <w:pPr>
        <w:pStyle w:val="SingleTxt"/>
        <w:numPr>
          <w:ilvl w:val="0"/>
          <w:numId w:val="10"/>
        </w:numPr>
        <w:rPr>
          <w:lang w:val="fr-CH"/>
        </w:rPr>
      </w:pPr>
      <w:r w:rsidRPr="007C4E01">
        <w:rPr>
          <w:lang w:val="fr-CH"/>
        </w:rPr>
        <w:t xml:space="preserve">Le secrétariat a évalué les résultats obtenus par chaque pays sur la base des domaines thématiques, des ensembles de données recueillies et des critères d’examen. Procéder à cet examen sous ces différents aspects revêtait une réelle importance dans la mesure où le SEIS paneuropéen, qui organise, régule et coordonne la base de données paneuropéenne sur l’environnement, est censé fournir des données et des informations devant déboucher sur des évaluations concernant soit l’environnement considéré comme un tout, soit chacun des domaines thématiques visés. </w:t>
      </w:r>
    </w:p>
    <w:p w:rsidR="009B0AFC" w:rsidRPr="007C4E01" w:rsidRDefault="009B0AFC" w:rsidP="00941CD5">
      <w:pPr>
        <w:pStyle w:val="SingleTxt"/>
        <w:numPr>
          <w:ilvl w:val="0"/>
          <w:numId w:val="10"/>
        </w:numPr>
        <w:rPr>
          <w:lang w:val="fr-CH"/>
        </w:rPr>
      </w:pPr>
      <w:r w:rsidRPr="007C4E01">
        <w:rPr>
          <w:lang w:val="fr-CH"/>
        </w:rPr>
        <w:t>Au cours de ce test, la disponibilité et l’accessibilité des 67</w:t>
      </w:r>
      <w:r w:rsidR="00941CD5" w:rsidRPr="007C4E01">
        <w:rPr>
          <w:lang w:val="fr-CH"/>
        </w:rPr>
        <w:t> </w:t>
      </w:r>
      <w:r w:rsidRPr="007C4E01">
        <w:rPr>
          <w:lang w:val="fr-CH"/>
        </w:rPr>
        <w:t>ensembles de données et informations connexes ont ainsi été évaluées pour 53</w:t>
      </w:r>
      <w:r w:rsidR="00941CD5" w:rsidRPr="007C4E01">
        <w:rPr>
          <w:lang w:val="fr-CH"/>
        </w:rPr>
        <w:t> </w:t>
      </w:r>
      <w:r w:rsidRPr="007C4E01">
        <w:rPr>
          <w:lang w:val="fr-CH"/>
        </w:rPr>
        <w:t>pays de la région paneuropéenne</w:t>
      </w:r>
      <w:r w:rsidR="00941CD5" w:rsidRPr="007C4E01">
        <w:rPr>
          <w:rStyle w:val="FootnoteReference"/>
          <w:lang w:val="fr-CH"/>
        </w:rPr>
        <w:t> </w:t>
      </w:r>
      <w:r w:rsidR="00F041C3" w:rsidRPr="007C4E01">
        <w:rPr>
          <w:lang w:val="fr-CH"/>
        </w:rPr>
        <w:t>:</w:t>
      </w:r>
      <w:r w:rsidR="00F10E6B">
        <w:rPr>
          <w:lang w:val="fr-CH"/>
        </w:rPr>
        <w:t xml:space="preserve"> Albanie, Allemagne,</w:t>
      </w:r>
      <w:r w:rsidRPr="007C4E01">
        <w:rPr>
          <w:lang w:val="fr-CH"/>
        </w:rPr>
        <w:t xml:space="preserve"> Arménie, Autriche, Azerbaïdjan, Bélarus, Belgique, Bosnie-Herzégovine, Bulgarie, Canada, Chypre, Croatie, Danemark, Espagne, Estonie, États-Unis d’Amérique, ex-République yougoslave de Macédoine, Fédération de Russie, Finlande, France, Géorgie, Grèce, Hongrie, Irlande, Islande, Israël, Italie, Kazakhstan, Kirghizistan, Lettonie, </w:t>
      </w:r>
      <w:r w:rsidR="00F10E6B">
        <w:rPr>
          <w:lang w:val="fr-CH"/>
        </w:rPr>
        <w:t xml:space="preserve">Lichtenstein, </w:t>
      </w:r>
      <w:r w:rsidRPr="007C4E01">
        <w:rPr>
          <w:lang w:val="fr-CH"/>
        </w:rPr>
        <w:t>Lituanie, Luxembourg, Malte, Monténégro, Norvège, Ouzbékistan, Pays-Bas, Pologne, Portugal, République de Moldova, République tchèque, Roumanie, Royaume-Uni de Grande-Bretagne et d’Irlande du Nord, Serbie, Slovaquie, Slovénie, Suèd</w:t>
      </w:r>
      <w:r w:rsidR="00F10E6B">
        <w:rPr>
          <w:lang w:val="fr-CH"/>
        </w:rPr>
        <w:t xml:space="preserve">e, Suisse, Tadjikistan, Turquie, Turkménistan </w:t>
      </w:r>
      <w:r w:rsidRPr="007C4E01">
        <w:rPr>
          <w:lang w:val="fr-CH"/>
        </w:rPr>
        <w:t>et Ukraine, ainsi que pour le Kosovo</w:t>
      </w:r>
      <w:r w:rsidRPr="007C4E01">
        <w:rPr>
          <w:rStyle w:val="FootnoteReference"/>
          <w:lang w:val="fr-CH"/>
        </w:rPr>
        <w:footnoteReference w:id="10"/>
      </w:r>
      <w:r w:rsidRPr="007C4E01">
        <w:rPr>
          <w:lang w:val="fr-CH"/>
        </w:rPr>
        <w:t>.</w:t>
      </w:r>
    </w:p>
    <w:p w:rsidR="009B0AFC" w:rsidRPr="007C4E01" w:rsidRDefault="009B0AFC" w:rsidP="00941CD5">
      <w:pPr>
        <w:pStyle w:val="SingleTxt"/>
        <w:numPr>
          <w:ilvl w:val="0"/>
          <w:numId w:val="10"/>
        </w:numPr>
        <w:rPr>
          <w:lang w:val="fr-CH"/>
        </w:rPr>
      </w:pPr>
      <w:r w:rsidRPr="007C4E01">
        <w:rPr>
          <w:lang w:val="fr-CH"/>
        </w:rPr>
        <w:t>Chaque pays a été invité à valider les résultats de l’examen. Au moment où le présent document était en cours de préparation, en décembre 2015, 22 pays</w:t>
      </w:r>
      <w:r w:rsidRPr="007C4E01">
        <w:rPr>
          <w:rStyle w:val="FootnoteReference"/>
          <w:lang w:val="fr-CH"/>
        </w:rPr>
        <w:footnoteReference w:id="11"/>
      </w:r>
      <w:r w:rsidRPr="007C4E01">
        <w:rPr>
          <w:lang w:val="fr-CH"/>
        </w:rPr>
        <w:t xml:space="preserve"> avaient fait part de leurs observations au secrétariat et, ce faisant, avaient validé leur situation au regard du SEIS pour les 67</w:t>
      </w:r>
      <w:r w:rsidR="00941CD5" w:rsidRPr="007C4E01">
        <w:rPr>
          <w:lang w:val="fr-CH"/>
        </w:rPr>
        <w:t> </w:t>
      </w:r>
      <w:r w:rsidRPr="007C4E01">
        <w:rPr>
          <w:lang w:val="fr-CH"/>
        </w:rPr>
        <w:t>ensembles de données, de même que les résultats généraux présentés ci-dessous et dans les sections suivantes. Neuf autres pays</w:t>
      </w:r>
      <w:r w:rsidRPr="007C4E01">
        <w:rPr>
          <w:rStyle w:val="FootnoteReference"/>
          <w:lang w:val="fr-CH"/>
        </w:rPr>
        <w:footnoteReference w:id="12"/>
      </w:r>
      <w:r w:rsidRPr="007C4E01">
        <w:rPr>
          <w:lang w:val="fr-CH"/>
        </w:rPr>
        <w:t xml:space="preserve"> ont entrepris d’examiner les données mais n’ont pas encore fait part de leurs commentaires au secrétariat. </w:t>
      </w:r>
    </w:p>
    <w:p w:rsidR="009B0AFC" w:rsidRPr="007C4E01" w:rsidRDefault="009B0AFC" w:rsidP="00941CD5">
      <w:pPr>
        <w:pStyle w:val="SingleTxt"/>
        <w:numPr>
          <w:ilvl w:val="0"/>
          <w:numId w:val="10"/>
        </w:numPr>
        <w:rPr>
          <w:lang w:val="fr-CH"/>
        </w:rPr>
      </w:pPr>
      <w:r w:rsidRPr="007C4E01">
        <w:rPr>
          <w:lang w:val="fr-CH"/>
        </w:rPr>
        <w:t>Il ressort de l’examen que, sur les 67</w:t>
      </w:r>
      <w:r w:rsidR="00941CD5" w:rsidRPr="007C4E01">
        <w:rPr>
          <w:lang w:val="fr-CH"/>
        </w:rPr>
        <w:t> </w:t>
      </w:r>
      <w:r w:rsidRPr="007C4E01">
        <w:rPr>
          <w:lang w:val="fr-CH"/>
        </w:rPr>
        <w:t xml:space="preserve">ensembles de données </w:t>
      </w:r>
      <w:r w:rsidR="00941CD5" w:rsidRPr="007C4E01">
        <w:rPr>
          <w:lang w:val="fr-CH"/>
        </w:rPr>
        <w:t xml:space="preserve">considérés au titre du SEIS, 51 % </w:t>
      </w:r>
      <w:r w:rsidRPr="007C4E01">
        <w:rPr>
          <w:lang w:val="fr-CH"/>
        </w:rPr>
        <w:t>en moyenne générale étaient disponibles sur l’ensemble des sites Web nationaux pour 53</w:t>
      </w:r>
      <w:r w:rsidRPr="007C4E01">
        <w:rPr>
          <w:rStyle w:val="FootnoteReference"/>
          <w:lang w:val="fr-CH"/>
        </w:rPr>
        <w:footnoteReference w:id="13"/>
      </w:r>
      <w:r w:rsidRPr="007C4E01">
        <w:rPr>
          <w:lang w:val="fr-CH"/>
        </w:rPr>
        <w:t xml:space="preserve"> des États membres de la CEE et le Kosovo.</w:t>
      </w:r>
    </w:p>
    <w:p w:rsidR="009B0AFC" w:rsidRPr="007C4E01" w:rsidRDefault="009B0AFC" w:rsidP="00941CD5">
      <w:pPr>
        <w:pStyle w:val="SingleTxt"/>
        <w:numPr>
          <w:ilvl w:val="0"/>
          <w:numId w:val="10"/>
        </w:numPr>
        <w:rPr>
          <w:lang w:val="fr-CH"/>
        </w:rPr>
      </w:pPr>
      <w:r w:rsidRPr="007C4E01">
        <w:rPr>
          <w:lang w:val="fr-CH"/>
        </w:rPr>
        <w:t>Il existe plusieurs États membres pour lesquels pratiquement tous les 67</w:t>
      </w:r>
      <w:r w:rsidR="00941CD5" w:rsidRPr="007C4E01">
        <w:rPr>
          <w:lang w:val="fr-CH"/>
        </w:rPr>
        <w:t> </w:t>
      </w:r>
      <w:r w:rsidRPr="007C4E01">
        <w:rPr>
          <w:lang w:val="fr-CH"/>
        </w:rPr>
        <w:t>ensembles de données, ou une majorité d’entre eux, ont été jugés disponibles et accessibles en ligne. Il s’agit des pays suivants</w:t>
      </w:r>
      <w:r w:rsidR="00941CD5" w:rsidRPr="007C4E01">
        <w:rPr>
          <w:rStyle w:val="FootnoteReference"/>
          <w:lang w:val="fr-CH"/>
        </w:rPr>
        <w:t> </w:t>
      </w:r>
      <w:r w:rsidR="00F041C3" w:rsidRPr="007C4E01">
        <w:rPr>
          <w:lang w:val="fr-CH"/>
        </w:rPr>
        <w:t>:</w:t>
      </w:r>
      <w:r w:rsidRPr="007C4E01">
        <w:rPr>
          <w:lang w:val="fr-CH"/>
        </w:rPr>
        <w:t xml:space="preserve"> Arm</w:t>
      </w:r>
      <w:r w:rsidR="00346832" w:rsidRPr="007C4E01">
        <w:rPr>
          <w:lang w:val="fr-CH"/>
        </w:rPr>
        <w:t>énie</w:t>
      </w:r>
      <w:r w:rsidRPr="007C4E01">
        <w:rPr>
          <w:lang w:val="fr-CH"/>
        </w:rPr>
        <w:t>, Au</w:t>
      </w:r>
      <w:r w:rsidR="00346832" w:rsidRPr="007C4E01">
        <w:rPr>
          <w:lang w:val="fr-CH"/>
        </w:rPr>
        <w:t>riche</w:t>
      </w:r>
      <w:r w:rsidRPr="007C4E01">
        <w:rPr>
          <w:lang w:val="fr-CH"/>
        </w:rPr>
        <w:t>, B</w:t>
      </w:r>
      <w:r w:rsidR="00346832" w:rsidRPr="007C4E01">
        <w:rPr>
          <w:lang w:val="fr-CH"/>
        </w:rPr>
        <w:t>élarus, Fédération de Russie, Ir</w:t>
      </w:r>
      <w:r w:rsidRPr="007C4E01">
        <w:rPr>
          <w:lang w:val="fr-CH"/>
        </w:rPr>
        <w:t>land</w:t>
      </w:r>
      <w:r w:rsidR="00346832" w:rsidRPr="007C4E01">
        <w:rPr>
          <w:lang w:val="fr-CH"/>
        </w:rPr>
        <w:t>e</w:t>
      </w:r>
      <w:r w:rsidRPr="007C4E01">
        <w:rPr>
          <w:lang w:val="fr-CH"/>
        </w:rPr>
        <w:t>, Ital</w:t>
      </w:r>
      <w:r w:rsidR="00346832" w:rsidRPr="007C4E01">
        <w:rPr>
          <w:lang w:val="fr-CH"/>
        </w:rPr>
        <w:t>ie</w:t>
      </w:r>
      <w:r w:rsidRPr="007C4E01">
        <w:rPr>
          <w:lang w:val="fr-CH"/>
        </w:rPr>
        <w:t xml:space="preserve">, Kazakhstan, </w:t>
      </w:r>
      <w:r w:rsidR="00346832" w:rsidRPr="007C4E01">
        <w:rPr>
          <w:lang w:val="fr-CH"/>
        </w:rPr>
        <w:t>Ré</w:t>
      </w:r>
      <w:r w:rsidRPr="007C4E01">
        <w:rPr>
          <w:lang w:val="fr-CH"/>
        </w:rPr>
        <w:t>publi</w:t>
      </w:r>
      <w:r w:rsidR="00346832" w:rsidRPr="007C4E01">
        <w:rPr>
          <w:lang w:val="fr-CH"/>
        </w:rPr>
        <w:t>que</w:t>
      </w:r>
      <w:r w:rsidRPr="007C4E01">
        <w:rPr>
          <w:lang w:val="fr-CH"/>
        </w:rPr>
        <w:t xml:space="preserve"> </w:t>
      </w:r>
      <w:r w:rsidR="00346832" w:rsidRPr="007C4E01">
        <w:rPr>
          <w:lang w:val="fr-CH"/>
        </w:rPr>
        <w:t>de</w:t>
      </w:r>
      <w:r w:rsidRPr="007C4E01">
        <w:rPr>
          <w:lang w:val="fr-CH"/>
        </w:rPr>
        <w:t xml:space="preserve"> Moldova, Slova</w:t>
      </w:r>
      <w:r w:rsidR="00346832" w:rsidRPr="007C4E01">
        <w:rPr>
          <w:lang w:val="fr-CH"/>
        </w:rPr>
        <w:t>qu</w:t>
      </w:r>
      <w:r w:rsidRPr="007C4E01">
        <w:rPr>
          <w:lang w:val="fr-CH"/>
        </w:rPr>
        <w:t>i</w:t>
      </w:r>
      <w:r w:rsidR="00346832" w:rsidRPr="007C4E01">
        <w:rPr>
          <w:lang w:val="fr-CH"/>
        </w:rPr>
        <w:t>e</w:t>
      </w:r>
      <w:r w:rsidRPr="007C4E01">
        <w:rPr>
          <w:lang w:val="fr-CH"/>
        </w:rPr>
        <w:t xml:space="preserve"> </w:t>
      </w:r>
      <w:r w:rsidR="00346832" w:rsidRPr="007C4E01">
        <w:rPr>
          <w:lang w:val="fr-CH"/>
        </w:rPr>
        <w:t>et</w:t>
      </w:r>
      <w:r w:rsidRPr="007C4E01">
        <w:rPr>
          <w:lang w:val="fr-CH"/>
        </w:rPr>
        <w:t xml:space="preserve"> S</w:t>
      </w:r>
      <w:r w:rsidR="00346832" w:rsidRPr="007C4E01">
        <w:rPr>
          <w:lang w:val="fr-CH"/>
        </w:rPr>
        <w:t>uède</w:t>
      </w:r>
      <w:r w:rsidRPr="007C4E01">
        <w:rPr>
          <w:lang w:val="fr-CH"/>
        </w:rPr>
        <w:t>. À</w:t>
      </w:r>
      <w:r w:rsidR="00941CD5" w:rsidRPr="007C4E01">
        <w:rPr>
          <w:lang w:val="fr-CH"/>
        </w:rPr>
        <w:t> </w:t>
      </w:r>
      <w:r w:rsidRPr="007C4E01">
        <w:rPr>
          <w:lang w:val="fr-CH"/>
        </w:rPr>
        <w:t xml:space="preserve">l’inverse, il existe plusieurs pays dont aucun des ensembles de données n’est disponible sur les sites Web nationaux, ou alors seulement un petit nombre de ces ensembles. Il leur reste cependant à valider l’examen et à confirmer leur situation au regard du SEIS. Les résultats sont donc susceptibles de changer. </w:t>
      </w:r>
    </w:p>
    <w:p w:rsidR="0023065F" w:rsidRPr="007C4E01" w:rsidRDefault="0023065F" w:rsidP="00941CD5">
      <w:pPr>
        <w:pStyle w:val="SingleTxt"/>
        <w:numPr>
          <w:ilvl w:val="0"/>
          <w:numId w:val="10"/>
        </w:numPr>
        <w:rPr>
          <w:lang w:val="fr-CH"/>
        </w:rPr>
      </w:pPr>
      <w:bookmarkStart w:id="113" w:name="insstart"/>
      <w:r w:rsidRPr="007C4E01">
        <w:rPr>
          <w:lang w:val="fr-CH"/>
        </w:rPr>
        <w:t>D’ici à ce qu’un mécanisme formel d’établissement de rapports soit instauré, le processus de validation, partie intégrante de l’examen en cours, permet d’analyser l’état d’avancement du SEIS pour ce qui est de la production et de l’échange en ligne des ensembles de données sur l’environnement. Ces premiers résultats devraient en principe servir de référence pour surveiller et évaluer les progrès futurs.</w:t>
      </w:r>
    </w:p>
    <w:p w:rsidR="00941CD5" w:rsidRPr="007C4E01" w:rsidRDefault="0023065F" w:rsidP="00941CD5">
      <w:pPr>
        <w:pStyle w:val="SingleTxt"/>
        <w:numPr>
          <w:ilvl w:val="0"/>
          <w:numId w:val="10"/>
        </w:numPr>
        <w:rPr>
          <w:lang w:val="fr-CH"/>
        </w:rPr>
      </w:pPr>
      <w:r w:rsidRPr="007C4E01">
        <w:rPr>
          <w:lang w:val="fr-CH"/>
        </w:rPr>
        <w:t>Il est intéressant de noter que des progrès significatifs ont été réalisés depuis que le Groupe de travail a été chargé de passer en revue les progrès accomplis par les pays étudiés dans la mise en place du SEIS. Les</w:t>
      </w:r>
      <w:r w:rsidR="00941CD5" w:rsidRPr="007C4E01">
        <w:rPr>
          <w:lang w:val="fr-CH"/>
        </w:rPr>
        <w:t xml:space="preserve"> exemples donnés dans l’encadré </w:t>
      </w:r>
      <w:r w:rsidRPr="007C4E01">
        <w:rPr>
          <w:lang w:val="fr-CH"/>
        </w:rPr>
        <w:t>1 ci-dessous montrent les mesures que deux pays ont prises pour améliorer la disponibilité et l’accessibilité des ensembles de données du SEIS et des informations connexes. Ils n’ont pas pour but d’établir des comparaisons mais plutôt de montrer, dans le cadre du processus d’examen, que la situation s’améliore.</w:t>
      </w:r>
    </w:p>
    <w:p w:rsidR="00941CD5" w:rsidRPr="00B33E67" w:rsidRDefault="00941CD5" w:rsidP="00B33E67">
      <w:pPr>
        <w:spacing w:line="240" w:lineRule="auto"/>
        <w:rPr>
          <w:lang w:val="fr-CH"/>
        </w:rPr>
      </w:pPr>
      <w:r w:rsidRPr="007C4E01">
        <w:rPr>
          <w:lang w:val="fr-CH"/>
        </w:rPr>
        <w:br w:type="page"/>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41CD5" w:rsidRPr="007C4E01">
        <w:tc>
          <w:tcPr>
            <w:tcW w:w="7321" w:type="dxa"/>
            <w:shd w:val="clear" w:color="auto" w:fill="auto"/>
          </w:tcPr>
          <w:p w:rsidR="00941CD5" w:rsidRPr="007C4E01" w:rsidRDefault="00941CD5" w:rsidP="00484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941CD5" w:rsidRPr="007C4E01" w:rsidRDefault="00B33E67" w:rsidP="00B33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rPr>
                <w:lang w:val="fr-CH"/>
              </w:rPr>
            </w:pPr>
            <w:r w:rsidRPr="00B33E67">
              <w:rPr>
                <w:lang w:val="fr-CH"/>
              </w:rPr>
              <w:t>Encadré 1</w:t>
            </w:r>
            <w:r w:rsidRPr="007C4E01">
              <w:rPr>
                <w:b/>
                <w:lang w:val="fr-CH"/>
              </w:rPr>
              <w:t xml:space="preserve"> </w:t>
            </w:r>
            <w:r w:rsidRPr="007C4E01">
              <w:rPr>
                <w:b/>
                <w:lang w:val="fr-CH"/>
              </w:rPr>
              <w:br/>
            </w:r>
            <w:r w:rsidRPr="00B33E67">
              <w:rPr>
                <w:b/>
                <w:lang w:val="fr-CH"/>
              </w:rPr>
              <w:t>Exemples d’études de cas montrant une amélioration des résultats</w:t>
            </w:r>
          </w:p>
        </w:tc>
      </w:tr>
      <w:tr w:rsidR="00B33E67" w:rsidRPr="007C4E01">
        <w:tc>
          <w:tcPr>
            <w:tcW w:w="7321" w:type="dxa"/>
            <w:shd w:val="clear" w:color="auto" w:fill="auto"/>
          </w:tcPr>
          <w:p w:rsidR="00B33E67" w:rsidRPr="007C4E01" w:rsidRDefault="00B33E67" w:rsidP="00B33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z w:val="10"/>
                <w:lang w:val="fr-CH"/>
              </w:rPr>
            </w:pPr>
            <w:r>
              <w:rPr>
                <w:sz w:val="10"/>
                <w:lang w:val="fr-CH"/>
              </w:rPr>
              <w:tab/>
            </w:r>
            <w:r w:rsidRPr="007C4E01">
              <w:rPr>
                <w:lang w:val="fr-CH"/>
              </w:rPr>
              <w:t xml:space="preserve">Le </w:t>
            </w:r>
            <w:r w:rsidRPr="007C4E01">
              <w:rPr>
                <w:b/>
                <w:lang w:val="fr-CH"/>
              </w:rPr>
              <w:t>Bélarus</w:t>
            </w:r>
            <w:r w:rsidRPr="007C4E01">
              <w:rPr>
                <w:lang w:val="fr-CH"/>
              </w:rPr>
              <w:t xml:space="preserve"> avait obtenu un résultat général de 36 % en septembre 2015. Ce résultat faisait référence à la publication, sur les sites Web nationaux, des ensembles de données sur l’environnement. Lorsque la situation a été réévaluée en décembre 2015, le Bélarus avait considérablement amélioré l’accessibilité en ligne de ces ensembles en actualisant les informations disponibles et en ajoutant de nouvelles informations pertinentes. Les changements apportés ont permis au pays de porter ce résultat à 77 %, grâce en grande partie au fait que les données sur l’environnement étaient désormais collectées et accessibles sur un seul site Web national (par le biais du Système national de surveillance continue de l’environnement mis en place), qu’elles étaient présentées en deux langues (russe et anglais) et que les ensembles de données étaient maintenant actualisés conformément aux prescriptions de la CEE. Le site Web national fournit également des informations de base sur la méthodologie appliquée, propose une brève analyse des données et indique les sources de données. Les ensembles de données peuvent facilement être consultés sur la page principale du Comité national de statistique de la République du Bélarus et sont clairement présentés dans une section distincte du site.</w:t>
            </w:r>
          </w:p>
        </w:tc>
      </w:tr>
      <w:tr w:rsidR="00941CD5" w:rsidRPr="007C4E01">
        <w:tc>
          <w:tcPr>
            <w:tcW w:w="7321" w:type="dxa"/>
            <w:shd w:val="clear" w:color="auto" w:fill="auto"/>
          </w:tcPr>
          <w:p w:rsidR="00941CD5" w:rsidRPr="007C4E01" w:rsidRDefault="00941CD5" w:rsidP="00484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7C4E01">
              <w:rPr>
                <w:lang w:val="fr-CH"/>
              </w:rPr>
              <w:tab/>
              <w:t>Évaluée au cours de la même période, l’</w:t>
            </w:r>
            <w:r w:rsidRPr="007C4E01">
              <w:rPr>
                <w:b/>
                <w:lang w:val="fr-CH"/>
              </w:rPr>
              <w:t>Italie</w:t>
            </w:r>
            <w:r w:rsidRPr="007C4E01">
              <w:rPr>
                <w:lang w:val="fr-CH"/>
              </w:rPr>
              <w:t xml:space="preserve"> avait obtenu un résultat général tout juste supérieur à la moyenne, soit 56 %. En revanche, entre septembre et décembre 2015, ce pays est parvenu à porter ce résultat à 87 %, grâce à l’actualisation des données disponibles et des informations connexes ainsi qu’à l’ajout de nouveaux ensembles de données. Après avoir été collectées, les données de ces ensembles ont été partagées sur une plate-forme qui peut être consultée à l’aide d’un menu clairement présenté sur le site Web de l’Institut de recherche sur la protection de l’environnement. Le site fournit notamment des informations de base sur tous les indicateurs environnementaux et les ensembles de données connexes; des informations sur la structure et la présentation des données et la méthodologie appliquée; ainsi qu’une brève interprétation des données. Les ensembles de données ne sont présentés qu’en une langue (italien), ce qui peut empêcher la communauté internationale d’y avoir accès.</w:t>
            </w:r>
          </w:p>
        </w:tc>
      </w:tr>
      <w:tr w:rsidR="00941CD5" w:rsidRPr="007C4E01">
        <w:trPr>
          <w:trHeight w:hRule="exact" w:val="115"/>
        </w:trPr>
        <w:tc>
          <w:tcPr>
            <w:tcW w:w="7321" w:type="dxa"/>
            <w:shd w:val="clear" w:color="auto" w:fill="auto"/>
          </w:tcPr>
          <w:p w:rsidR="00941CD5" w:rsidRPr="007C4E01" w:rsidRDefault="00941CD5" w:rsidP="00484A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941CD5" w:rsidRPr="007C4E01" w:rsidRDefault="00941CD5" w:rsidP="00941CD5">
      <w:pPr>
        <w:pStyle w:val="SingleTxt"/>
        <w:tabs>
          <w:tab w:val="right" w:pos="1685"/>
        </w:tabs>
        <w:spacing w:after="0" w:line="120" w:lineRule="exact"/>
        <w:ind w:left="1742" w:hanging="475"/>
        <w:rPr>
          <w:sz w:val="10"/>
          <w:lang w:val="fr-CH"/>
        </w:rPr>
      </w:pPr>
    </w:p>
    <w:p w:rsidR="00941CD5" w:rsidRPr="007C4E01" w:rsidRDefault="00941CD5" w:rsidP="00941CD5">
      <w:pPr>
        <w:pStyle w:val="SingleTxt"/>
        <w:tabs>
          <w:tab w:val="right" w:pos="1685"/>
        </w:tabs>
        <w:spacing w:after="0" w:line="120" w:lineRule="exact"/>
        <w:ind w:left="1742" w:hanging="475"/>
        <w:rPr>
          <w:sz w:val="10"/>
          <w:lang w:val="fr-CH"/>
        </w:rPr>
      </w:pPr>
    </w:p>
    <w:p w:rsidR="0023065F" w:rsidRPr="007C4E01" w:rsidRDefault="0023065F" w:rsidP="00F47184">
      <w:pPr>
        <w:pStyle w:val="SingleTxt"/>
        <w:numPr>
          <w:ilvl w:val="0"/>
          <w:numId w:val="10"/>
        </w:numPr>
        <w:rPr>
          <w:lang w:val="fr-CH"/>
        </w:rPr>
      </w:pPr>
      <w:bookmarkStart w:id="114" w:name="TmpSave"/>
      <w:bookmarkEnd w:id="114"/>
      <w:r w:rsidRPr="007C4E01">
        <w:rPr>
          <w:lang w:val="fr-CH"/>
        </w:rPr>
        <w:t>Les deux exemples d’études de cas figurant dans l’encadré</w:t>
      </w:r>
      <w:r w:rsidR="00941CD5" w:rsidRPr="007C4E01">
        <w:rPr>
          <w:lang w:val="fr-CH"/>
        </w:rPr>
        <w:t> </w:t>
      </w:r>
      <w:r w:rsidRPr="007C4E01">
        <w:rPr>
          <w:lang w:val="fr-CH"/>
        </w:rPr>
        <w:t>1 appellent l’attention sur certaines des mesures prises pour améliorer l’accessibilité des données et des informations pertinentes du SEIS. Ils montrent aussi qu’il suffit, en principe, de télécharger et d’actualiser les informations sur des plateformes en ligne qui facilitent déjà le partage et l’échange de données. Ce problème concerne plusieurs pays. Il convient en outre de noter que la solution ne réside souvent pas dans la modernisation de l’infrastructure, susceptible d’exiger beaucoup de ressources, mais bien dans la diffusion en ligne des informations. Il est ainsi encourageant de souligner que le rapport actuel sur l’état d’avancement du SEIS a non seulement permis de mieux répertorier les principales lacunes, mais aussi de confirmer que les données et informations pertinentes pouvaient être téléchargées relativement facilement et rapidement.</w:t>
      </w:r>
    </w:p>
    <w:p w:rsidR="00941CD5" w:rsidRPr="007C4E01" w:rsidRDefault="00941CD5" w:rsidP="00941CD5">
      <w:pPr>
        <w:pStyle w:val="SingleTxt"/>
        <w:spacing w:after="0" w:line="120" w:lineRule="exact"/>
        <w:rPr>
          <w:sz w:val="10"/>
          <w:lang w:val="fr-CH"/>
        </w:rPr>
      </w:pPr>
    </w:p>
    <w:p w:rsidR="00941CD5" w:rsidRPr="007C4E01" w:rsidRDefault="00941CD5" w:rsidP="00941CD5">
      <w:pPr>
        <w:pStyle w:val="SingleTxt"/>
        <w:spacing w:after="0" w:line="120" w:lineRule="exact"/>
        <w:rPr>
          <w:sz w:val="10"/>
          <w:lang w:val="fr-CH"/>
        </w:rPr>
      </w:pPr>
    </w:p>
    <w:p w:rsidR="0023065F" w:rsidRPr="007C4E01" w:rsidRDefault="00941CD5" w:rsidP="00BA14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r>
      <w:r w:rsidR="0023065F" w:rsidRPr="007C4E01">
        <w:rPr>
          <w:lang w:val="fr-CH"/>
        </w:rPr>
        <w:t xml:space="preserve">C. </w:t>
      </w:r>
      <w:r w:rsidRPr="007C4E01">
        <w:rPr>
          <w:lang w:val="fr-CH"/>
        </w:rPr>
        <w:tab/>
      </w:r>
      <w:r w:rsidR="0023065F" w:rsidRPr="007C4E01">
        <w:rPr>
          <w:lang w:val="fr-CH"/>
        </w:rPr>
        <w:t xml:space="preserve">Résultats par domaine thématique et par ensemble </w:t>
      </w:r>
      <w:r w:rsidRPr="007C4E01">
        <w:rPr>
          <w:lang w:val="fr-CH"/>
        </w:rPr>
        <w:br/>
      </w:r>
      <w:r w:rsidR="0023065F" w:rsidRPr="007C4E01">
        <w:rPr>
          <w:lang w:val="fr-CH"/>
        </w:rPr>
        <w:t xml:space="preserve">de données </w:t>
      </w:r>
    </w:p>
    <w:p w:rsidR="00941CD5" w:rsidRPr="007C4E01" w:rsidRDefault="00941CD5" w:rsidP="00941CD5">
      <w:pPr>
        <w:pStyle w:val="SingleTxt"/>
        <w:spacing w:after="0" w:line="120" w:lineRule="exact"/>
        <w:rPr>
          <w:sz w:val="10"/>
          <w:lang w:val="fr-CH"/>
        </w:rPr>
      </w:pPr>
    </w:p>
    <w:p w:rsidR="00941CD5" w:rsidRPr="007C4E01" w:rsidRDefault="00941CD5" w:rsidP="00941CD5">
      <w:pPr>
        <w:pStyle w:val="SingleTxt"/>
        <w:spacing w:after="0" w:line="120" w:lineRule="exact"/>
        <w:rPr>
          <w:sz w:val="10"/>
          <w:lang w:val="fr-CH"/>
        </w:rPr>
      </w:pPr>
    </w:p>
    <w:p w:rsidR="0023065F" w:rsidRPr="007C4E01" w:rsidRDefault="0023065F" w:rsidP="00941CD5">
      <w:pPr>
        <w:pStyle w:val="SingleTxt"/>
        <w:numPr>
          <w:ilvl w:val="0"/>
          <w:numId w:val="10"/>
        </w:numPr>
        <w:rPr>
          <w:lang w:val="fr-CH"/>
        </w:rPr>
      </w:pPr>
      <w:r w:rsidRPr="007C4E01">
        <w:rPr>
          <w:lang w:val="fr-CH"/>
        </w:rPr>
        <w:t>La disponibilité et l’accessibilité des ensembles de données et des informations connexes varient considérablement selon les domaines thématiques</w:t>
      </w:r>
      <w:r w:rsidRPr="007C4E01">
        <w:rPr>
          <w:rStyle w:val="FootnoteReference"/>
          <w:lang w:val="fr-CH"/>
        </w:rPr>
        <w:footnoteReference w:id="14"/>
      </w:r>
      <w:r w:rsidR="00941CD5" w:rsidRPr="007C4E01">
        <w:rPr>
          <w:lang w:val="fr-CH"/>
        </w:rPr>
        <w:t>.</w:t>
      </w:r>
      <w:r w:rsidRPr="007C4E01">
        <w:rPr>
          <w:lang w:val="fr-CH"/>
        </w:rPr>
        <w:t xml:space="preserve"> Les résultats obtenus sont supérieurs ou égaux à la moyenne générale pour les ensembles de données suivants</w:t>
      </w:r>
      <w:r w:rsidR="00BA1409">
        <w:rPr>
          <w:rStyle w:val="FootnoteReference"/>
          <w:lang w:val="fr-CH"/>
        </w:rPr>
        <w:t> </w:t>
      </w:r>
      <w:r w:rsidR="00F041C3" w:rsidRPr="00BA1409">
        <w:t>:</w:t>
      </w:r>
      <w:r w:rsidRPr="007C4E01">
        <w:rPr>
          <w:lang w:val="fr-CH"/>
        </w:rPr>
        <w:t xml:space="preserve"> biodiversité (63 %), changements climatiques (63 %), énergie (61 %), pollution atmosphérique et appauvrissement de la couche d’ozone (53 %), et déchets (51 %). Ils sont toutefois inférieurs à cette moyenne dans les domaines de la terre et des sols (45 %), et de l’eau (42 %).</w:t>
      </w:r>
    </w:p>
    <w:p w:rsidR="0023065F" w:rsidRPr="007C4E01" w:rsidRDefault="0023065F" w:rsidP="00941CD5">
      <w:pPr>
        <w:pStyle w:val="SingleTxt"/>
        <w:numPr>
          <w:ilvl w:val="0"/>
          <w:numId w:val="10"/>
        </w:numPr>
        <w:rPr>
          <w:lang w:val="fr-CH"/>
        </w:rPr>
      </w:pPr>
      <w:r w:rsidRPr="007C4E01">
        <w:rPr>
          <w:lang w:val="fr-CH"/>
        </w:rPr>
        <w:t xml:space="preserve">Les écarts de résultats observés pour les différents domaines thématiques par rapport à la moyenne générale de </w:t>
      </w:r>
      <w:r w:rsidR="00941CD5" w:rsidRPr="007C4E01">
        <w:rPr>
          <w:lang w:val="fr-CH"/>
        </w:rPr>
        <w:t>51 % sont illustrés à la figure </w:t>
      </w:r>
      <w:r w:rsidRPr="007C4E01">
        <w:rPr>
          <w:lang w:val="fr-CH"/>
        </w:rPr>
        <w:t>1.</w:t>
      </w:r>
    </w:p>
    <w:p w:rsidR="00941CD5" w:rsidRPr="007C4E01" w:rsidRDefault="00941CD5" w:rsidP="00941CD5">
      <w:pPr>
        <w:pStyle w:val="SingleTxt"/>
        <w:spacing w:after="0" w:line="120" w:lineRule="exact"/>
        <w:rPr>
          <w:sz w:val="10"/>
          <w:lang w:val="fr-CH"/>
        </w:rPr>
      </w:pPr>
    </w:p>
    <w:p w:rsidR="0023065F" w:rsidRPr="007C4E01" w:rsidRDefault="0023065F" w:rsidP="00941C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r>
      <w:r w:rsidRPr="007C4E01">
        <w:rPr>
          <w:lang w:val="fr-CH"/>
        </w:rPr>
        <w:tab/>
      </w:r>
      <w:r w:rsidRPr="007C4E01">
        <w:rPr>
          <w:b w:val="0"/>
          <w:lang w:val="fr-CH"/>
        </w:rPr>
        <w:t xml:space="preserve">Figure 1 </w:t>
      </w:r>
      <w:r w:rsidR="00941CD5" w:rsidRPr="007C4E01">
        <w:rPr>
          <w:b w:val="0"/>
          <w:lang w:val="fr-CH"/>
        </w:rPr>
        <w:br/>
      </w:r>
      <w:r w:rsidRPr="007C4E01">
        <w:rPr>
          <w:lang w:val="fr-CH"/>
        </w:rPr>
        <w:t xml:space="preserve">Écarts de résultats par rapport à la moyenne générale </w:t>
      </w:r>
    </w:p>
    <w:p w:rsidR="00941CD5" w:rsidRPr="007C4E01" w:rsidRDefault="00941CD5" w:rsidP="00941CD5">
      <w:pPr>
        <w:pStyle w:val="SingleTxt"/>
        <w:spacing w:after="0" w:line="120" w:lineRule="exact"/>
        <w:rPr>
          <w:sz w:val="10"/>
          <w:lang w:val="fr-CH"/>
        </w:rPr>
      </w:pPr>
    </w:p>
    <w:p w:rsidR="00941CD5" w:rsidRPr="007C4E01" w:rsidRDefault="00941CD5" w:rsidP="00941CD5">
      <w:pPr>
        <w:pStyle w:val="SingleTxt"/>
        <w:spacing w:after="0" w:line="120" w:lineRule="exact"/>
        <w:rPr>
          <w:sz w:val="10"/>
          <w:lang w:val="fr-CH"/>
        </w:rPr>
      </w:pPr>
    </w:p>
    <w:p w:rsidR="00941CD5" w:rsidRPr="007C4E01" w:rsidRDefault="002B7EDC" w:rsidP="00941CD5">
      <w:pPr>
        <w:pStyle w:val="SingleTxt"/>
        <w:spacing w:after="0" w:line="240" w:lineRule="auto"/>
        <w:rPr>
          <w:lang w:val="fr-CH"/>
        </w:rPr>
      </w:pPr>
      <w:r w:rsidRPr="007C4E01">
        <w:rPr>
          <w:noProof/>
          <w:w w:val="100"/>
          <w:lang w:val="en-GB" w:eastAsia="en-GB"/>
        </w:rPr>
        <mc:AlternateContent>
          <mc:Choice Requires="wps">
            <w:drawing>
              <wp:anchor distT="0" distB="0" distL="114300" distR="114300" simplePos="0" relativeHeight="251670528" behindDoc="0" locked="0" layoutInCell="1" allowOverlap="1" wp14:anchorId="2614EB1E" wp14:editId="0B8CAE86">
                <wp:simplePos x="0" y="0"/>
                <wp:positionH relativeFrom="column">
                  <wp:posOffset>1036320</wp:posOffset>
                </wp:positionH>
                <wp:positionV relativeFrom="paragraph">
                  <wp:posOffset>1073150</wp:posOffset>
                </wp:positionV>
                <wp:extent cx="2152650" cy="3270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5265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right"/>
                              <w:rPr>
                                <w:sz w:val="16"/>
                                <w:szCs w:val="16"/>
                              </w:rPr>
                            </w:pPr>
                            <w:r w:rsidRPr="001E0BC2">
                              <w:rPr>
                                <w:sz w:val="16"/>
                                <w:szCs w:val="16"/>
                                <w:lang w:val="fr-FR"/>
                              </w:rPr>
                              <w:t>Pollution atmosphérique, qualité de l’air et appauvrissement de la couche d’ozone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1.6pt;margin-top:84.5pt;width:169.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" fillcolor="white [3201]" stroked="f" strokeweight=".5pt">
                <v:textbox inset="0,0,0,0">
                  <w:txbxContent>
                    <w:p w:rsidR="00D3650F" w:rsidRPr="001E0BC2" w:rsidRDefault="00D3650F" w:rsidP="001E0BC2">
                      <w:pPr>
                        <w:jc w:val="right"/>
                        <w:rPr>
                          <w:sz w:val="16"/>
                          <w:szCs w:val="16"/>
                        </w:rPr>
                      </w:pPr>
                      <w:r w:rsidRPr="001E0BC2">
                        <w:rPr>
                          <w:sz w:val="16"/>
                          <w:szCs w:val="16"/>
                          <w:lang w:val="fr-FR"/>
                        </w:rPr>
                        <w:t>Pollution atmosphérique, qualité de l’air et appauvrissement de la couche d’ozone</w:t>
                      </w:r>
                    </w:p>
                  </w:txbxContent>
                </v:textbox>
              </v:shape>
            </w:pict>
          </mc:Fallback>
        </mc:AlternateContent>
      </w:r>
      <w:r w:rsidRPr="007C4E01">
        <w:rPr>
          <w:noProof/>
          <w:w w:val="100"/>
          <w:lang w:val="en-GB" w:eastAsia="en-GB"/>
        </w:rPr>
        <mc:AlternateContent>
          <mc:Choice Requires="wps">
            <w:drawing>
              <wp:anchor distT="0" distB="0" distL="114300" distR="114300" simplePos="0" relativeHeight="251676672" behindDoc="0" locked="0" layoutInCell="1" allowOverlap="1" wp14:anchorId="2F100F3E" wp14:editId="162578B8">
                <wp:simplePos x="0" y="0"/>
                <wp:positionH relativeFrom="column">
                  <wp:posOffset>1386205</wp:posOffset>
                </wp:positionH>
                <wp:positionV relativeFrom="paragraph">
                  <wp:posOffset>1859280</wp:posOffset>
                </wp:positionV>
                <wp:extent cx="1772920" cy="1974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7292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right"/>
                              <w:rPr>
                                <w:sz w:val="16"/>
                                <w:szCs w:val="16"/>
                              </w:rPr>
                            </w:pPr>
                            <w:r w:rsidRPr="001E0BC2">
                              <w:rPr>
                                <w:sz w:val="16"/>
                                <w:szCs w:val="16"/>
                                <w:lang w:val="fr-FR"/>
                              </w:rPr>
                              <w:t>Biodiversité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09.15pt;margin-top:146.4pt;width:139.6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" fillcolor="white [3201]" stroked="f" strokeweight=".5pt">
                <v:textbox inset="0,0,0,0">
                  <w:txbxContent>
                    <w:p w:rsidR="00D3650F" w:rsidRPr="001E0BC2" w:rsidRDefault="00D3650F" w:rsidP="001E0BC2">
                      <w:pPr>
                        <w:jc w:val="right"/>
                        <w:rPr>
                          <w:sz w:val="16"/>
                          <w:szCs w:val="16"/>
                        </w:rPr>
                      </w:pPr>
                      <w:r w:rsidRPr="001E0BC2">
                        <w:rPr>
                          <w:sz w:val="16"/>
                          <w:szCs w:val="16"/>
                          <w:lang w:val="fr-FR"/>
                        </w:rPr>
                        <w:t>Biodiversité</w:t>
                      </w:r>
                    </w:p>
                  </w:txbxContent>
                </v:textbox>
              </v:shape>
            </w:pict>
          </mc:Fallback>
        </mc:AlternateContent>
      </w:r>
      <w:r w:rsidRPr="007C4E01">
        <w:rPr>
          <w:noProof/>
          <w:w w:val="100"/>
          <w:lang w:val="en-GB" w:eastAsia="en-GB"/>
        </w:rPr>
        <mc:AlternateContent>
          <mc:Choice Requires="wps">
            <w:drawing>
              <wp:anchor distT="0" distB="0" distL="114300" distR="114300" simplePos="0" relativeHeight="251674624" behindDoc="0" locked="0" layoutInCell="1" allowOverlap="1" wp14:anchorId="3694F15A" wp14:editId="0AFBE09E">
                <wp:simplePos x="0" y="0"/>
                <wp:positionH relativeFrom="column">
                  <wp:posOffset>1387475</wp:posOffset>
                </wp:positionH>
                <wp:positionV relativeFrom="paragraph">
                  <wp:posOffset>1617980</wp:posOffset>
                </wp:positionV>
                <wp:extent cx="1772920" cy="1974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7292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right"/>
                              <w:rPr>
                                <w:sz w:val="16"/>
                                <w:szCs w:val="16"/>
                              </w:rPr>
                            </w:pPr>
                            <w:r w:rsidRPr="001E0BC2">
                              <w:rPr>
                                <w:sz w:val="16"/>
                                <w:szCs w:val="16"/>
                                <w:lang w:val="fr-FR"/>
                              </w:rPr>
                              <w:t>Changements climatiques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09.25pt;margin-top:127.4pt;width:139.6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" fillcolor="white [3201]" stroked="f" strokeweight=".5pt">
                <v:textbox inset="0,0,0,0">
                  <w:txbxContent>
                    <w:p w:rsidR="00D3650F" w:rsidRPr="001E0BC2" w:rsidRDefault="00D3650F" w:rsidP="001E0BC2">
                      <w:pPr>
                        <w:jc w:val="right"/>
                        <w:rPr>
                          <w:sz w:val="16"/>
                          <w:szCs w:val="16"/>
                        </w:rPr>
                      </w:pPr>
                      <w:r w:rsidRPr="001E0BC2">
                        <w:rPr>
                          <w:sz w:val="16"/>
                          <w:szCs w:val="16"/>
                          <w:lang w:val="fr-FR"/>
                        </w:rPr>
                        <w:t>Changements climatiques</w:t>
                      </w:r>
                    </w:p>
                  </w:txbxContent>
                </v:textbox>
              </v:shape>
            </w:pict>
          </mc:Fallback>
        </mc:AlternateContent>
      </w:r>
      <w:r w:rsidRPr="007C4E01">
        <w:rPr>
          <w:noProof/>
          <w:w w:val="100"/>
          <w:lang w:val="en-GB" w:eastAsia="en-GB"/>
        </w:rPr>
        <mc:AlternateContent>
          <mc:Choice Requires="wps">
            <w:drawing>
              <wp:anchor distT="0" distB="0" distL="114300" distR="114300" simplePos="0" relativeHeight="251672576" behindDoc="0" locked="0" layoutInCell="1" allowOverlap="1" wp14:anchorId="7BE4B57B" wp14:editId="101336B5">
                <wp:simplePos x="0" y="0"/>
                <wp:positionH relativeFrom="column">
                  <wp:posOffset>1388745</wp:posOffset>
                </wp:positionH>
                <wp:positionV relativeFrom="paragraph">
                  <wp:posOffset>1408430</wp:posOffset>
                </wp:positionV>
                <wp:extent cx="1772920" cy="1974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7292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right"/>
                              <w:rPr>
                                <w:sz w:val="16"/>
                                <w:szCs w:val="16"/>
                              </w:rPr>
                            </w:pPr>
                            <w:r w:rsidRPr="001E0BC2">
                              <w:rPr>
                                <w:sz w:val="16"/>
                                <w:szCs w:val="16"/>
                                <w:lang w:val="fr-FR"/>
                              </w:rPr>
                              <w:t>Énergie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09.35pt;margin-top:110.9pt;width:139.6pt;height:1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" fillcolor="white [3201]" stroked="f" strokeweight=".5pt">
                <v:textbox inset="0,0,0,0">
                  <w:txbxContent>
                    <w:p w:rsidR="00D3650F" w:rsidRPr="001E0BC2" w:rsidRDefault="00D3650F" w:rsidP="001E0BC2">
                      <w:pPr>
                        <w:jc w:val="right"/>
                        <w:rPr>
                          <w:sz w:val="16"/>
                          <w:szCs w:val="16"/>
                        </w:rPr>
                      </w:pPr>
                      <w:r w:rsidRPr="001E0BC2">
                        <w:rPr>
                          <w:sz w:val="16"/>
                          <w:szCs w:val="16"/>
                          <w:lang w:val="fr-FR"/>
                        </w:rPr>
                        <w:t>Énergie</w:t>
                      </w:r>
                    </w:p>
                  </w:txbxContent>
                </v:textbox>
              </v:shape>
            </w:pict>
          </mc:Fallback>
        </mc:AlternateContent>
      </w:r>
      <w:r w:rsidRPr="007C4E01">
        <w:rPr>
          <w:noProof/>
          <w:w w:val="100"/>
          <w:lang w:val="en-GB" w:eastAsia="en-GB"/>
        </w:rPr>
        <mc:AlternateContent>
          <mc:Choice Requires="wps">
            <w:drawing>
              <wp:anchor distT="0" distB="0" distL="114300" distR="114300" simplePos="0" relativeHeight="251668480" behindDoc="0" locked="0" layoutInCell="1" allowOverlap="1" wp14:anchorId="4C267D5E" wp14:editId="7BA46127">
                <wp:simplePos x="0" y="0"/>
                <wp:positionH relativeFrom="column">
                  <wp:posOffset>1414145</wp:posOffset>
                </wp:positionH>
                <wp:positionV relativeFrom="paragraph">
                  <wp:posOffset>862965</wp:posOffset>
                </wp:positionV>
                <wp:extent cx="1772920" cy="1974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77292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right"/>
                              <w:rPr>
                                <w:sz w:val="16"/>
                                <w:szCs w:val="16"/>
                              </w:rPr>
                            </w:pPr>
                            <w:r w:rsidRPr="001E0BC2">
                              <w:rPr>
                                <w:sz w:val="16"/>
                                <w:szCs w:val="16"/>
                                <w:lang w:val="fr-FR"/>
                              </w:rPr>
                              <w:t>Déchets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111.35pt;margin-top:67.95pt;width:139.6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" fillcolor="white [3201]" stroked="f" strokeweight=".5pt">
                <v:textbox inset="0,0,0,0">
                  <w:txbxContent>
                    <w:p w:rsidR="00D3650F" w:rsidRPr="001E0BC2" w:rsidRDefault="00D3650F" w:rsidP="001E0BC2">
                      <w:pPr>
                        <w:jc w:val="right"/>
                        <w:rPr>
                          <w:sz w:val="16"/>
                          <w:szCs w:val="16"/>
                        </w:rPr>
                      </w:pPr>
                      <w:r w:rsidRPr="001E0BC2">
                        <w:rPr>
                          <w:sz w:val="16"/>
                          <w:szCs w:val="16"/>
                          <w:lang w:val="fr-FR"/>
                        </w:rPr>
                        <w:t>Déchets</w:t>
                      </w:r>
                    </w:p>
                  </w:txbxContent>
                </v:textbox>
              </v:shape>
            </w:pict>
          </mc:Fallback>
        </mc:AlternateContent>
      </w:r>
      <w:r w:rsidRPr="007C4E01">
        <w:rPr>
          <w:noProof/>
          <w:w w:val="100"/>
          <w:lang w:val="en-GB" w:eastAsia="en-GB"/>
        </w:rPr>
        <mc:AlternateContent>
          <mc:Choice Requires="wps">
            <w:drawing>
              <wp:anchor distT="0" distB="0" distL="114300" distR="114300" simplePos="0" relativeHeight="251664384" behindDoc="0" locked="0" layoutInCell="1" allowOverlap="1" wp14:anchorId="6C30057C" wp14:editId="094F4AAE">
                <wp:simplePos x="0" y="0"/>
                <wp:positionH relativeFrom="column">
                  <wp:posOffset>1405890</wp:posOffset>
                </wp:positionH>
                <wp:positionV relativeFrom="paragraph">
                  <wp:posOffset>407035</wp:posOffset>
                </wp:positionV>
                <wp:extent cx="1772920" cy="1974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7292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right"/>
                              <w:rPr>
                                <w:sz w:val="16"/>
                                <w:szCs w:val="16"/>
                              </w:rPr>
                            </w:pPr>
                            <w:r w:rsidRPr="001E0BC2">
                              <w:rPr>
                                <w:sz w:val="16"/>
                                <w:szCs w:val="16"/>
                                <w:lang w:val="fr-FR"/>
                              </w:rPr>
                              <w:t>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10.7pt;margin-top:32.05pt;width:139.6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" fillcolor="white [3201]" stroked="f" strokeweight=".5pt">
                <v:textbox inset="0,0,0,0">
                  <w:txbxContent>
                    <w:p w:rsidR="00D3650F" w:rsidRPr="001E0BC2" w:rsidRDefault="00D3650F" w:rsidP="001E0BC2">
                      <w:pPr>
                        <w:jc w:val="right"/>
                        <w:rPr>
                          <w:sz w:val="16"/>
                          <w:szCs w:val="16"/>
                        </w:rPr>
                      </w:pPr>
                      <w:r w:rsidRPr="001E0BC2">
                        <w:rPr>
                          <w:sz w:val="16"/>
                          <w:szCs w:val="16"/>
                          <w:lang w:val="fr-FR"/>
                        </w:rPr>
                        <w:t>Eau</w:t>
                      </w:r>
                    </w:p>
                  </w:txbxContent>
                </v:textbox>
              </v:shape>
            </w:pict>
          </mc:Fallback>
        </mc:AlternateContent>
      </w:r>
      <w:r w:rsidRPr="007C4E01">
        <w:rPr>
          <w:noProof/>
          <w:w w:val="100"/>
          <w:lang w:val="en-GB" w:eastAsia="en-GB"/>
        </w:rPr>
        <mc:AlternateContent>
          <mc:Choice Requires="wps">
            <w:drawing>
              <wp:anchor distT="0" distB="0" distL="114300" distR="114300" simplePos="0" relativeHeight="251666432" behindDoc="0" locked="0" layoutInCell="1" allowOverlap="1" wp14:anchorId="41F0A697" wp14:editId="4833BD3B">
                <wp:simplePos x="0" y="0"/>
                <wp:positionH relativeFrom="column">
                  <wp:posOffset>1403680</wp:posOffset>
                </wp:positionH>
                <wp:positionV relativeFrom="paragraph">
                  <wp:posOffset>629285</wp:posOffset>
                </wp:positionV>
                <wp:extent cx="1772920" cy="1974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7292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right"/>
                              <w:rPr>
                                <w:sz w:val="16"/>
                                <w:szCs w:val="16"/>
                              </w:rPr>
                            </w:pPr>
                            <w:r w:rsidRPr="001E0BC2">
                              <w:rPr>
                                <w:sz w:val="16"/>
                                <w:szCs w:val="16"/>
                                <w:lang w:val="fr-FR"/>
                              </w:rPr>
                              <w:t>Terre et sols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10.55pt;margin-top:49.55pt;width:139.6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" fillcolor="white [3201]" stroked="f" strokeweight=".5pt">
                <v:textbox inset="0,0,0,0">
                  <w:txbxContent>
                    <w:p w:rsidR="00D3650F" w:rsidRPr="001E0BC2" w:rsidRDefault="00D3650F" w:rsidP="001E0BC2">
                      <w:pPr>
                        <w:jc w:val="right"/>
                        <w:rPr>
                          <w:sz w:val="16"/>
                          <w:szCs w:val="16"/>
                        </w:rPr>
                      </w:pPr>
                      <w:r w:rsidRPr="001E0BC2">
                        <w:rPr>
                          <w:sz w:val="16"/>
                          <w:szCs w:val="16"/>
                          <w:lang w:val="fr-FR"/>
                        </w:rPr>
                        <w:t>Terre et sols</w:t>
                      </w:r>
                    </w:p>
                  </w:txbxContent>
                </v:textbox>
              </v:shape>
            </w:pict>
          </mc:Fallback>
        </mc:AlternateContent>
      </w:r>
      <w:r w:rsidR="00255EF7" w:rsidRPr="007C4E01">
        <w:rPr>
          <w:noProof/>
          <w:w w:val="100"/>
          <w:lang w:val="en-GB" w:eastAsia="en-GB"/>
        </w:rPr>
        <mc:AlternateContent>
          <mc:Choice Requires="wps">
            <w:drawing>
              <wp:anchor distT="0" distB="0" distL="114300" distR="114300" simplePos="0" relativeHeight="251678720" behindDoc="0" locked="0" layoutInCell="1" allowOverlap="1" wp14:anchorId="03EF5A20" wp14:editId="1061415D">
                <wp:simplePos x="0" y="0"/>
                <wp:positionH relativeFrom="column">
                  <wp:posOffset>3413760</wp:posOffset>
                </wp:positionH>
                <wp:positionV relativeFrom="paragraph">
                  <wp:posOffset>2302510</wp:posOffset>
                </wp:positionV>
                <wp:extent cx="1834515" cy="189865"/>
                <wp:effectExtent l="0" t="0" r="0" b="635"/>
                <wp:wrapNone/>
                <wp:docPr id="19" name="Text Box 19"/>
                <wp:cNvGraphicFramePr/>
                <a:graphic xmlns:a="http://schemas.openxmlformats.org/drawingml/2006/main">
                  <a:graphicData uri="http://schemas.microsoft.com/office/word/2010/wordprocessingShape">
                    <wps:wsp>
                      <wps:cNvSpPr txBox="1"/>
                      <wps:spPr>
                        <a:xfrm>
                          <a:off x="0" y="0"/>
                          <a:ext cx="1834515"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center"/>
                              <w:rPr>
                                <w:sz w:val="16"/>
                                <w:szCs w:val="16"/>
                              </w:rPr>
                            </w:pPr>
                            <w:r w:rsidRPr="001E0BC2">
                              <w:rPr>
                                <w:sz w:val="16"/>
                                <w:szCs w:val="16"/>
                              </w:rPr>
                              <w:t>Pour cent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268.8pt;margin-top:181.3pt;width:144.45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" fillcolor="white [3201]" stroked="f" strokeweight=".5pt">
                <v:textbox inset="0,0,0,0">
                  <w:txbxContent>
                    <w:p w:rsidR="00D3650F" w:rsidRPr="001E0BC2" w:rsidRDefault="00D3650F" w:rsidP="001E0BC2">
                      <w:pPr>
                        <w:jc w:val="center"/>
                        <w:rPr>
                          <w:sz w:val="16"/>
                          <w:szCs w:val="16"/>
                        </w:rPr>
                      </w:pPr>
                      <w:r w:rsidRPr="001E0BC2">
                        <w:rPr>
                          <w:sz w:val="16"/>
                          <w:szCs w:val="16"/>
                        </w:rPr>
                        <w:t>Pour cent (%)</w:t>
                      </w:r>
                    </w:p>
                  </w:txbxContent>
                </v:textbox>
              </v:shape>
            </w:pict>
          </mc:Fallback>
        </mc:AlternateContent>
      </w:r>
      <w:r w:rsidR="00255EF7" w:rsidRPr="007C4E01">
        <w:rPr>
          <w:noProof/>
          <w:w w:val="100"/>
          <w:lang w:val="en-GB" w:eastAsia="en-GB"/>
        </w:rPr>
        <mc:AlternateContent>
          <mc:Choice Requires="wps">
            <w:drawing>
              <wp:anchor distT="0" distB="0" distL="114300" distR="114300" simplePos="0" relativeHeight="251662336" behindDoc="0" locked="0" layoutInCell="1" allowOverlap="1" wp14:anchorId="7E15480D" wp14:editId="117A0E91">
                <wp:simplePos x="0" y="0"/>
                <wp:positionH relativeFrom="column">
                  <wp:posOffset>3348355</wp:posOffset>
                </wp:positionH>
                <wp:positionV relativeFrom="paragraph">
                  <wp:posOffset>101295</wp:posOffset>
                </wp:positionV>
                <wp:extent cx="1834515" cy="2381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83451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center"/>
                              <w:rPr>
                                <w:sz w:val="16"/>
                                <w:szCs w:val="16"/>
                              </w:rPr>
                            </w:pPr>
                            <w:r w:rsidRPr="001E0BC2">
                              <w:rPr>
                                <w:sz w:val="16"/>
                                <w:szCs w:val="16"/>
                                <w:lang w:val="fr-FR"/>
                              </w:rPr>
                              <w:t>Moyenne générale (51 %)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263.65pt;margin-top:8pt;width:144.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" fillcolor="white [3201]" stroked="f" strokeweight=".5pt">
                <v:textbox inset="0,0,0,0">
                  <w:txbxContent>
                    <w:p w:rsidR="00D3650F" w:rsidRPr="001E0BC2" w:rsidRDefault="00D3650F" w:rsidP="001E0BC2">
                      <w:pPr>
                        <w:jc w:val="center"/>
                        <w:rPr>
                          <w:sz w:val="16"/>
                          <w:szCs w:val="16"/>
                        </w:rPr>
                      </w:pPr>
                      <w:r w:rsidRPr="001E0BC2">
                        <w:rPr>
                          <w:sz w:val="16"/>
                          <w:szCs w:val="16"/>
                          <w:lang w:val="fr-FR"/>
                        </w:rPr>
                        <w:t>Moyenne générale (51 %)</w:t>
                      </w:r>
                    </w:p>
                  </w:txbxContent>
                </v:textbox>
              </v:shape>
            </w:pict>
          </mc:Fallback>
        </mc:AlternateContent>
      </w:r>
      <w:r w:rsidR="00705F17" w:rsidRPr="007C4E01">
        <w:rPr>
          <w:noProof/>
          <w:w w:val="100"/>
          <w:lang w:val="en-GB" w:eastAsia="en-GB"/>
        </w:rPr>
        <mc:AlternateContent>
          <mc:Choice Requires="wps">
            <w:drawing>
              <wp:anchor distT="0" distB="0" distL="114300" distR="114300" simplePos="0" relativeHeight="251660288" behindDoc="0" locked="0" layoutInCell="1" allowOverlap="1" wp14:anchorId="128D7D1D" wp14:editId="590569FF">
                <wp:simplePos x="0" y="0"/>
                <wp:positionH relativeFrom="column">
                  <wp:posOffset>836134</wp:posOffset>
                </wp:positionH>
                <wp:positionV relativeFrom="paragraph">
                  <wp:posOffset>591185</wp:posOffset>
                </wp:positionV>
                <wp:extent cx="204470" cy="1158875"/>
                <wp:effectExtent l="0" t="0" r="5080" b="3175"/>
                <wp:wrapNone/>
                <wp:docPr id="6" name="Text Box 6"/>
                <wp:cNvGraphicFramePr/>
                <a:graphic xmlns:a="http://schemas.openxmlformats.org/drawingml/2006/main">
                  <a:graphicData uri="http://schemas.microsoft.com/office/word/2010/wordprocessingShape">
                    <wps:wsp>
                      <wps:cNvSpPr txBox="1"/>
                      <wps:spPr>
                        <a:xfrm>
                          <a:off x="0" y="0"/>
                          <a:ext cx="204470" cy="115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0F" w:rsidRPr="001E0BC2" w:rsidRDefault="00D3650F" w:rsidP="001E0BC2">
                            <w:pPr>
                              <w:jc w:val="center"/>
                              <w:rPr>
                                <w:sz w:val="16"/>
                                <w:szCs w:val="16"/>
                              </w:rPr>
                            </w:pPr>
                            <w:r w:rsidRPr="001E0BC2">
                              <w:rPr>
                                <w:b/>
                                <w:sz w:val="16"/>
                                <w:szCs w:val="16"/>
                                <w:lang w:val="fr-FR"/>
                              </w:rPr>
                              <w:t>Domaines thématiques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65.85pt;margin-top:46.55pt;width:16.1pt;height: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" fillcolor="white [3201]" stroked="f" strokeweight=".5pt">
                <v:textbox style="layout-flow:vertical;mso-layout-flow-alt:bottom-to-top" inset="0,0,0,0">
                  <w:txbxContent>
                    <w:p w:rsidR="00D3650F" w:rsidRPr="001E0BC2" w:rsidRDefault="00D3650F" w:rsidP="001E0BC2">
                      <w:pPr>
                        <w:jc w:val="center"/>
                        <w:rPr>
                          <w:sz w:val="16"/>
                          <w:szCs w:val="16"/>
                        </w:rPr>
                      </w:pPr>
                      <w:r w:rsidRPr="001E0BC2">
                        <w:rPr>
                          <w:b/>
                          <w:sz w:val="16"/>
                          <w:szCs w:val="16"/>
                          <w:lang w:val="fr-FR"/>
                        </w:rPr>
                        <w:t>Domaines thématiques</w:t>
                      </w:r>
                    </w:p>
                  </w:txbxContent>
                </v:textbox>
              </v:shape>
            </w:pict>
          </mc:Fallback>
        </mc:AlternateContent>
      </w:r>
      <w:r w:rsidR="00941CD5" w:rsidRPr="007C4E01">
        <w:rPr>
          <w:noProof/>
          <w:lang w:val="en-GB" w:eastAsia="en-GB"/>
        </w:rPr>
        <w:drawing>
          <wp:inline distT="0" distB="0" distL="0" distR="0" wp14:anchorId="3FC038C6" wp14:editId="4C4ED54D">
            <wp:extent cx="4747565" cy="2494483"/>
            <wp:effectExtent l="19050" t="19050" r="15240" b="2032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5638" cy="2498725"/>
                    </a:xfrm>
                    <a:prstGeom prst="rect">
                      <a:avLst/>
                    </a:prstGeom>
                    <a:solidFill>
                      <a:schemeClr val="tx1"/>
                    </a:solidFill>
                    <a:ln>
                      <a:solidFill>
                        <a:schemeClr val="bg1"/>
                      </a:solidFill>
                    </a:ln>
                  </pic:spPr>
                </pic:pic>
              </a:graphicData>
            </a:graphic>
          </wp:inline>
        </w:drawing>
      </w:r>
    </w:p>
    <w:p w:rsidR="00DB5D50" w:rsidRPr="007C4E01" w:rsidRDefault="00DB5D50" w:rsidP="00DB5D50">
      <w:pPr>
        <w:pStyle w:val="SingleTxt"/>
        <w:spacing w:after="0" w:line="120" w:lineRule="exact"/>
        <w:rPr>
          <w:sz w:val="10"/>
          <w:lang w:val="fr-CH"/>
        </w:rPr>
      </w:pPr>
    </w:p>
    <w:p w:rsidR="00DB5D50" w:rsidRPr="007C4E01" w:rsidRDefault="00DB5D50" w:rsidP="00DB5D50">
      <w:pPr>
        <w:pStyle w:val="SingleTxt"/>
        <w:spacing w:after="0" w:line="120" w:lineRule="exact"/>
        <w:rPr>
          <w:sz w:val="10"/>
          <w:lang w:val="fr-CH"/>
        </w:rPr>
      </w:pPr>
    </w:p>
    <w:p w:rsidR="0023065F" w:rsidRPr="007C4E01" w:rsidRDefault="0023065F" w:rsidP="00DB5D50">
      <w:pPr>
        <w:pStyle w:val="SingleTxt"/>
        <w:numPr>
          <w:ilvl w:val="0"/>
          <w:numId w:val="10"/>
        </w:numPr>
        <w:rPr>
          <w:lang w:val="fr-CH"/>
        </w:rPr>
      </w:pPr>
      <w:r w:rsidRPr="007C4E01">
        <w:rPr>
          <w:lang w:val="fr-CH"/>
        </w:rPr>
        <w:t>Un examen des ensembles de données pris individuellement et des informations connexes montre que les ensembles les plus accessibles sont ceux qui concernent les émissions d’oxyde d’azote et de dioxyde de soufre dans l’atmosphère. Ces données sont en effet accessibles en ligne (88 et 83 %, respectivement) dans huit pays sur dix</w:t>
      </w:r>
      <w:r w:rsidRPr="007C4E01">
        <w:rPr>
          <w:rStyle w:val="FootnoteReference"/>
          <w:lang w:val="fr-CH"/>
        </w:rPr>
        <w:footnoteReference w:id="15"/>
      </w:r>
      <w:r w:rsidR="00DB5D50" w:rsidRPr="007C4E01">
        <w:rPr>
          <w:lang w:val="fr-CH"/>
        </w:rPr>
        <w:t>.</w:t>
      </w:r>
      <w:r w:rsidRPr="007C4E01">
        <w:rPr>
          <w:lang w:val="fr-CH"/>
        </w:rPr>
        <w:t xml:space="preserve"> Ces ensembles sont suivis par ceux qui concernent d’autres types d’émissions atmosphériques (monoxyde de carbone, composés organiques volatils non méthaniques et ammoniac, par exemple), les déchets (production totale de déchets, par exemple), les gaz à effet de serre, la biodiversité (superficie totale protégée, par exemple) et la qualité de l’air (concentration de dioxyde d’azote, par exemple), qui sont accessibles, en moyenne, dans plus de six</w:t>
      </w:r>
      <w:r w:rsidR="00DB5D50" w:rsidRPr="007C4E01">
        <w:rPr>
          <w:lang w:val="fr-CH"/>
        </w:rPr>
        <w:t xml:space="preserve"> pays sur dix (62 %). La figure </w:t>
      </w:r>
      <w:r w:rsidRPr="007C4E01">
        <w:rPr>
          <w:lang w:val="fr-CH"/>
        </w:rPr>
        <w:t>2 présente les 20</w:t>
      </w:r>
      <w:r w:rsidR="00DB5D50" w:rsidRPr="007C4E01">
        <w:rPr>
          <w:lang w:val="fr-CH"/>
        </w:rPr>
        <w:t> </w:t>
      </w:r>
      <w:r w:rsidRPr="007C4E01">
        <w:rPr>
          <w:lang w:val="fr-CH"/>
        </w:rPr>
        <w:t xml:space="preserve">ensembles de données pour lesquels les meilleurs résultats ont été obtenus. Voir aussi </w:t>
      </w:r>
      <w:r w:rsidR="004D33EA">
        <w:rPr>
          <w:lang w:val="fr-CH"/>
        </w:rPr>
        <w:t xml:space="preserve">la section B de </w:t>
      </w:r>
      <w:r w:rsidRPr="007C4E01">
        <w:rPr>
          <w:lang w:val="fr-CH"/>
        </w:rPr>
        <w:t>l’annexe pour les obligations juridiques associées à chaque ensemble de données évalué.</w:t>
      </w:r>
    </w:p>
    <w:p w:rsidR="0023065F" w:rsidRPr="007C4E01" w:rsidRDefault="0023065F" w:rsidP="00DB5D50">
      <w:pPr>
        <w:pStyle w:val="SingleTxt"/>
        <w:numPr>
          <w:ilvl w:val="0"/>
          <w:numId w:val="10"/>
        </w:numPr>
        <w:rPr>
          <w:lang w:val="fr-CH"/>
        </w:rPr>
      </w:pPr>
      <w:r w:rsidRPr="007C4E01">
        <w:rPr>
          <w:lang w:val="fr-CH"/>
        </w:rPr>
        <w:t xml:space="preserve">Les ensembles de données les moins accessibles sont ceux sur l’eau (population reliée et non reliée aux réseaux de distribution d’eau, et indice d’exploitation des ressources en eau, par exemple). Viennent ensuite d’autres ensembles de données sur l’eau, sur les rejets de polluants organiques persistants (POP) dans l’atmosphère et sur les déchets, qui sont accessibles, en moyenne, dans 30 à 39 % des pays. La figure 3 présente les 20 ensembles de données présentant les plus faibles résultats. Voir aussi </w:t>
      </w:r>
      <w:r w:rsidR="00D2740C">
        <w:rPr>
          <w:lang w:val="fr-CH"/>
        </w:rPr>
        <w:t>la section C l’annexe</w:t>
      </w:r>
      <w:r w:rsidRPr="007C4E01">
        <w:rPr>
          <w:lang w:val="fr-CH"/>
        </w:rPr>
        <w:t xml:space="preserve"> pour les obligations juridiques associées à chaque ensemble de données évalué.</w:t>
      </w:r>
    </w:p>
    <w:p w:rsidR="0023065F" w:rsidRPr="007C4E01" w:rsidRDefault="0023065F" w:rsidP="00F47184">
      <w:pPr>
        <w:pStyle w:val="SingleTxt"/>
        <w:numPr>
          <w:ilvl w:val="0"/>
          <w:numId w:val="10"/>
        </w:numPr>
        <w:rPr>
          <w:lang w:val="fr-CH"/>
        </w:rPr>
      </w:pPr>
      <w:r w:rsidRPr="007C4E01">
        <w:rPr>
          <w:lang w:val="fr-CH"/>
        </w:rPr>
        <w:t>Les ensembles de données sur l’eau ne sont apparemment pas publiés en ligne de façon appropriée, tout comme les informations de base sur la méthodologie appliquée, les analyses de données et les sources de données. Ces résultats ne correspondent pas entièrement aux conclusions formulées dans le rapport de synthèse sur le SEIS de l’Instrument européen de voisinage et de partenariat pour l’Europe orientale, selon lequel les indicateurs environnementaux associés aux ensembles de données sur l’eau sont de plus en plus accessibles</w:t>
      </w:r>
      <w:r w:rsidRPr="007C4E01">
        <w:rPr>
          <w:rStyle w:val="FootnoteReference"/>
          <w:lang w:val="fr-CH"/>
        </w:rPr>
        <w:footnoteReference w:id="16"/>
      </w:r>
      <w:r w:rsidR="00BA1409">
        <w:rPr>
          <w:lang w:val="fr-CH"/>
        </w:rPr>
        <w:t>.</w:t>
      </w:r>
      <w:r w:rsidRPr="007C4E01">
        <w:rPr>
          <w:lang w:val="fr-CH"/>
        </w:rPr>
        <w:t xml:space="preserve"> Les écarts observés sur le plan de l’accessibilité ne peuvent à l’heure actuelle être totalement imputés aux différences qui existent entre les obligations juridiques en matière d’établissement de rapports, entre les législations nationales ou entre les prescriptions relatives à la confidentialité. Il a en outre été observé que quelques pays ne recueillent plus certains ensembles de données (ceux sur les substances appauvrissant la couche d’ozone, par exemple). Ce fait a sans doute une incidence sur le résultat général de chaque pays et laisse entendre que les ensembles visés par l’examen devraient peut-être prendre en compte la diversité des obligations en matière d’établissement de rapports.</w:t>
      </w:r>
    </w:p>
    <w:p w:rsidR="0023065F" w:rsidRPr="007C4E01" w:rsidRDefault="0023065F" w:rsidP="0023065F">
      <w:pPr>
        <w:pStyle w:val="SingleTxt"/>
        <w:rPr>
          <w:lang w:val="fr-CH"/>
        </w:rPr>
      </w:pPr>
    </w:p>
    <w:p w:rsidR="00705F17" w:rsidRPr="007C4E01" w:rsidRDefault="00705F17" w:rsidP="0023065F">
      <w:pPr>
        <w:pStyle w:val="SingleTxt"/>
        <w:rPr>
          <w:lang w:val="fr-CH"/>
        </w:rPr>
        <w:sectPr w:rsidR="00705F17" w:rsidRPr="007C4E01" w:rsidSect="004B5060">
          <w:endnotePr>
            <w:numFmt w:val="decimal"/>
          </w:endnotePr>
          <w:type w:val="continuous"/>
          <w:pgSz w:w="11909" w:h="16834"/>
          <w:pgMar w:top="1742" w:right="936" w:bottom="1898" w:left="936" w:header="576" w:footer="1030" w:gutter="0"/>
          <w:cols w:space="720"/>
          <w:noEndnote/>
          <w:docGrid w:linePitch="360"/>
        </w:sectPr>
      </w:pPr>
    </w:p>
    <w:p w:rsidR="00705F17" w:rsidRPr="007C4E01" w:rsidRDefault="00FD1CE3" w:rsidP="00FD1CE3">
      <w:pPr>
        <w:pStyle w:val="SingleTxt"/>
        <w:ind w:left="0" w:right="0"/>
        <w:jc w:val="left"/>
        <w:rPr>
          <w:lang w:val="fr-CH"/>
        </w:rPr>
      </w:pPr>
      <w:r w:rsidRPr="007C4E01">
        <w:rPr>
          <w:lang w:val="fr-CH"/>
        </w:rPr>
        <w:t>Figure 2</w:t>
      </w:r>
      <w:r w:rsidRPr="007C4E01">
        <w:rPr>
          <w:b/>
          <w:lang w:val="fr-CH"/>
        </w:rPr>
        <w:t xml:space="preserve"> </w:t>
      </w:r>
      <w:r w:rsidRPr="007C4E01">
        <w:rPr>
          <w:b/>
          <w:lang w:val="fr-CH"/>
        </w:rPr>
        <w:br/>
        <w:t>Ensembles de données du SEIS présentant les meilleurs résultats</w:t>
      </w:r>
    </w:p>
    <w:p w:rsidR="00705F17" w:rsidRPr="007C4E01" w:rsidRDefault="00705F17" w:rsidP="00CD7C49">
      <w:pPr>
        <w:spacing w:line="120" w:lineRule="exact"/>
        <w:rPr>
          <w:sz w:val="10"/>
          <w:lang w:val="fr-CH"/>
        </w:rPr>
      </w:pPr>
    </w:p>
    <w:p w:rsidR="00CD7C49" w:rsidRPr="007C4E01" w:rsidRDefault="00CD7C49" w:rsidP="00CD7C49">
      <w:pPr>
        <w:spacing w:line="120" w:lineRule="exact"/>
        <w:rPr>
          <w:sz w:val="10"/>
          <w:lang w:val="fr-CH"/>
        </w:rPr>
      </w:pPr>
    </w:p>
    <w:p w:rsidR="00705F17" w:rsidRPr="007C4E01" w:rsidRDefault="003651E4">
      <w:pPr>
        <w:spacing w:line="240" w:lineRule="auto"/>
        <w:rPr>
          <w:lang w:val="fr-CH"/>
        </w:rPr>
      </w:pPr>
      <w:r w:rsidRPr="007C4E01">
        <w:rPr>
          <w:noProof/>
          <w:w w:val="100"/>
          <w:lang w:val="en-GB" w:eastAsia="en-GB"/>
        </w:rPr>
        <mc:AlternateContent>
          <mc:Choice Requires="wps">
            <w:drawing>
              <wp:anchor distT="0" distB="0" distL="0" distR="0" simplePos="0" relativeHeight="251721728" behindDoc="0" locked="0" layoutInCell="1" allowOverlap="1" wp14:anchorId="0759CEDB" wp14:editId="1B615FE8">
                <wp:simplePos x="0" y="0"/>
                <wp:positionH relativeFrom="column">
                  <wp:posOffset>4035120</wp:posOffset>
                </wp:positionH>
                <wp:positionV relativeFrom="paragraph">
                  <wp:posOffset>3623310</wp:posOffset>
                </wp:positionV>
                <wp:extent cx="3978910" cy="245110"/>
                <wp:effectExtent l="0" t="0" r="254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8910" cy="2451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3651E4" w:rsidRDefault="00D3650F" w:rsidP="00F71D66">
                            <w:pPr>
                              <w:spacing w:line="240" w:lineRule="auto"/>
                              <w:jc w:val="center"/>
                              <w:rPr>
                                <w:b/>
                                <w:spacing w:val="0"/>
                                <w:w w:val="100"/>
                                <w:kern w:val="0"/>
                                <w:szCs w:val="20"/>
                                <w:lang w:val="fr-CH"/>
                              </w:rPr>
                            </w:pPr>
                            <w:r w:rsidRPr="003651E4">
                              <w:rPr>
                                <w:b/>
                                <w:spacing w:val="0"/>
                                <w:w w:val="100"/>
                                <w:kern w:val="0"/>
                                <w:szCs w:val="20"/>
                                <w:lang w:val="fr-CH"/>
                              </w:rPr>
                              <w:t>Résultat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6" type="#_x0000_t202" style="position:absolute;margin-left:317.75pt;margin-top:285.3pt;width:313.3pt;height:19.3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" stroked="f">
                <v:stroke joinstyle="round"/>
                <v:path arrowok="t"/>
                <v:textbox inset="0,0,0,0">
                  <w:txbxContent>
                    <w:p w:rsidR="00D3650F" w:rsidRPr="003651E4" w:rsidRDefault="00D3650F" w:rsidP="00F71D66">
                      <w:pPr>
                        <w:spacing w:line="240" w:lineRule="auto"/>
                        <w:jc w:val="center"/>
                        <w:rPr>
                          <w:b/>
                          <w:spacing w:val="0"/>
                          <w:w w:val="100"/>
                          <w:kern w:val="0"/>
                          <w:szCs w:val="20"/>
                          <w:lang w:val="fr-CH"/>
                        </w:rPr>
                      </w:pPr>
                      <w:r w:rsidRPr="003651E4">
                        <w:rPr>
                          <w:b/>
                          <w:spacing w:val="0"/>
                          <w:w w:val="100"/>
                          <w:kern w:val="0"/>
                          <w:szCs w:val="20"/>
                          <w:lang w:val="fr-CH"/>
                        </w:rPr>
                        <w:t>Résultat (%)</w:t>
                      </w:r>
                    </w:p>
                  </w:txbxContent>
                </v:textbox>
              </v:shape>
            </w:pict>
          </mc:Fallback>
        </mc:AlternateContent>
      </w:r>
      <w:r w:rsidR="00255EF7" w:rsidRPr="007C4E01">
        <w:rPr>
          <w:noProof/>
          <w:w w:val="100"/>
          <w:lang w:val="en-GB" w:eastAsia="en-GB"/>
        </w:rPr>
        <mc:AlternateContent>
          <mc:Choice Requires="wps">
            <w:drawing>
              <wp:anchor distT="0" distB="0" distL="0" distR="0" simplePos="0" relativeHeight="251719680" behindDoc="0" locked="0" layoutInCell="1" allowOverlap="1" wp14:anchorId="01A9118A" wp14:editId="4E128ED5">
                <wp:simplePos x="0" y="0"/>
                <wp:positionH relativeFrom="column">
                  <wp:posOffset>320040</wp:posOffset>
                </wp:positionH>
                <wp:positionV relativeFrom="paragraph">
                  <wp:posOffset>3235325</wp:posOffset>
                </wp:positionV>
                <wp:extent cx="3636010" cy="135890"/>
                <wp:effectExtent l="0" t="0" r="254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484A70" w:rsidRDefault="00D3650F" w:rsidP="00484A70">
                            <w:pPr>
                              <w:spacing w:line="240" w:lineRule="auto"/>
                              <w:jc w:val="right"/>
                              <w:rPr>
                                <w:spacing w:val="0"/>
                                <w:w w:val="100"/>
                                <w:kern w:val="0"/>
                                <w:sz w:val="16"/>
                                <w:szCs w:val="16"/>
                              </w:rPr>
                            </w:pPr>
                            <w:r w:rsidRPr="00484A70">
                              <w:rPr>
                                <w:sz w:val="16"/>
                                <w:szCs w:val="16"/>
                                <w:lang w:val="fr-FR"/>
                              </w:rPr>
                              <w:t>42. Concentration moyenne de nitrate dans les principaux cours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25.2pt;margin-top:254.75pt;width:286.3pt;height:10.7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" stroked="f">
                <v:stroke joinstyle="round"/>
                <v:path arrowok="t"/>
                <v:textbox inset="0,0,0,0">
                  <w:txbxContent>
                    <w:p w:rsidR="00D3650F" w:rsidRPr="00484A70" w:rsidRDefault="00D3650F" w:rsidP="00484A70">
                      <w:pPr>
                        <w:spacing w:line="240" w:lineRule="auto"/>
                        <w:jc w:val="right"/>
                        <w:rPr>
                          <w:spacing w:val="0"/>
                          <w:w w:val="100"/>
                          <w:kern w:val="0"/>
                          <w:sz w:val="16"/>
                          <w:szCs w:val="16"/>
                        </w:rPr>
                      </w:pPr>
                      <w:r w:rsidRPr="00484A70">
                        <w:rPr>
                          <w:sz w:val="16"/>
                          <w:szCs w:val="16"/>
                          <w:lang w:val="fr-FR"/>
                        </w:rPr>
                        <w:t>42. Concentration moyenne de nitrate dans les principaux cours d’eau</w:t>
                      </w:r>
                    </w:p>
                  </w:txbxContent>
                </v:textbox>
              </v:shape>
            </w:pict>
          </mc:Fallback>
        </mc:AlternateContent>
      </w:r>
      <w:r w:rsidR="00255EF7" w:rsidRPr="007C4E01">
        <w:rPr>
          <w:noProof/>
          <w:w w:val="100"/>
          <w:lang w:val="en-GB" w:eastAsia="en-GB"/>
        </w:rPr>
        <mc:AlternateContent>
          <mc:Choice Requires="wps">
            <w:drawing>
              <wp:anchor distT="0" distB="0" distL="0" distR="0" simplePos="0" relativeHeight="251711488" behindDoc="0" locked="0" layoutInCell="1" allowOverlap="1" wp14:anchorId="38FE67F5" wp14:editId="12E6FA7F">
                <wp:simplePos x="0" y="0"/>
                <wp:positionH relativeFrom="column">
                  <wp:posOffset>328930</wp:posOffset>
                </wp:positionH>
                <wp:positionV relativeFrom="paragraph">
                  <wp:posOffset>2592070</wp:posOffset>
                </wp:positionV>
                <wp:extent cx="3636010" cy="135890"/>
                <wp:effectExtent l="0" t="0" r="254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29. Émissions globales de GES par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25.9pt;margin-top:204.1pt;width:286.3pt;height:10.7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SVRgMAAL4HAAAOAAAAZHJzL2Uyb0RvYy54bWzEVVtP2zAUfp+0/2D5vaRpS6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29. Émissions globales de GES par source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23776" behindDoc="0" locked="0" layoutInCell="1" allowOverlap="1" wp14:anchorId="4224A178" wp14:editId="12534F70">
                <wp:simplePos x="0" y="0"/>
                <wp:positionH relativeFrom="column">
                  <wp:posOffset>55283</wp:posOffset>
                </wp:positionH>
                <wp:positionV relativeFrom="paragraph">
                  <wp:posOffset>1150250</wp:posOffset>
                </wp:positionV>
                <wp:extent cx="184017" cy="1159273"/>
                <wp:effectExtent l="0" t="0" r="698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017" cy="115927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6B1E65" w:rsidRDefault="00D3650F" w:rsidP="00E87268">
                            <w:pPr>
                              <w:spacing w:line="240" w:lineRule="auto"/>
                              <w:rPr>
                                <w:spacing w:val="0"/>
                                <w:w w:val="100"/>
                                <w:kern w:val="0"/>
                                <w:sz w:val="16"/>
                                <w:szCs w:val="16"/>
                              </w:rPr>
                            </w:pPr>
                            <w:r w:rsidRPr="006B1E65">
                              <w:rPr>
                                <w:b/>
                                <w:sz w:val="16"/>
                                <w:szCs w:val="16"/>
                                <w:lang w:val="fr-FR"/>
                              </w:rPr>
                              <w:t>Ensembles de données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margin-left:4.35pt;margin-top:90.55pt;width:14.5pt;height:91.3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" stroked="f">
                <v:stroke joinstyle="round"/>
                <v:path arrowok="t"/>
                <v:textbox style="layout-flow:vertical;mso-layout-flow-alt:bottom-to-top" inset="0,0,0,0">
                  <w:txbxContent>
                    <w:p w:rsidR="00D3650F" w:rsidRPr="006B1E65" w:rsidRDefault="00D3650F" w:rsidP="00E87268">
                      <w:pPr>
                        <w:spacing w:line="240" w:lineRule="auto"/>
                        <w:rPr>
                          <w:spacing w:val="0"/>
                          <w:w w:val="100"/>
                          <w:kern w:val="0"/>
                          <w:sz w:val="16"/>
                          <w:szCs w:val="16"/>
                        </w:rPr>
                      </w:pPr>
                      <w:r w:rsidRPr="006B1E65">
                        <w:rPr>
                          <w:b/>
                          <w:sz w:val="16"/>
                          <w:szCs w:val="16"/>
                          <w:lang w:val="fr-FR"/>
                        </w:rPr>
                        <w:t>Ensembles de données</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15584" behindDoc="0" locked="0" layoutInCell="1" allowOverlap="1" wp14:anchorId="211B432C" wp14:editId="2DECAD67">
                <wp:simplePos x="0" y="0"/>
                <wp:positionH relativeFrom="column">
                  <wp:posOffset>323850</wp:posOffset>
                </wp:positionH>
                <wp:positionV relativeFrom="paragraph">
                  <wp:posOffset>2913380</wp:posOffset>
                </wp:positionV>
                <wp:extent cx="3636010" cy="135890"/>
                <wp:effectExtent l="0"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62. Déchets dangereux produits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margin-left:25.5pt;margin-top:229.4pt;width:286.3pt;height:10.7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62. Déchets dangereux produits</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17632" behindDoc="0" locked="0" layoutInCell="1" allowOverlap="1" wp14:anchorId="6BC507A8" wp14:editId="00C39D90">
                <wp:simplePos x="0" y="0"/>
                <wp:positionH relativeFrom="column">
                  <wp:posOffset>337820</wp:posOffset>
                </wp:positionH>
                <wp:positionV relativeFrom="paragraph">
                  <wp:posOffset>3071495</wp:posOffset>
                </wp:positionV>
                <wp:extent cx="3636010" cy="135890"/>
                <wp:effectExtent l="0" t="0" r="254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18. Concentrations annuelles moyennes de PM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1" type="#_x0000_t202" style="position:absolute;margin-left:26.6pt;margin-top:241.85pt;width:286.3pt;height:10.7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BcRgMAAL4HAAAOAAAAZHJzL2Uyb0RvYy54bWzEVVtP2zAUfp+0/2D5vaQpba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18. Concentrations annuelles moyennes de PM</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13536" behindDoc="0" locked="0" layoutInCell="1" allowOverlap="1" wp14:anchorId="6B805595" wp14:editId="35601EC8">
                <wp:simplePos x="0" y="0"/>
                <wp:positionH relativeFrom="column">
                  <wp:posOffset>62107</wp:posOffset>
                </wp:positionH>
                <wp:positionV relativeFrom="paragraph">
                  <wp:posOffset>2753862</wp:posOffset>
                </wp:positionV>
                <wp:extent cx="3902141" cy="156950"/>
                <wp:effectExtent l="0" t="0" r="317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2141" cy="1569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484A70" w:rsidRDefault="00D3650F" w:rsidP="00484A70">
                            <w:pPr>
                              <w:spacing w:line="240" w:lineRule="auto"/>
                              <w:jc w:val="right"/>
                              <w:rPr>
                                <w:spacing w:val="0"/>
                                <w:w w:val="100"/>
                                <w:kern w:val="0"/>
                                <w:sz w:val="16"/>
                                <w:szCs w:val="16"/>
                              </w:rPr>
                            </w:pPr>
                            <w:r w:rsidRPr="00484A70">
                              <w:rPr>
                                <w:sz w:val="16"/>
                                <w:szCs w:val="16"/>
                                <w:lang w:val="fr-FR"/>
                              </w:rPr>
                              <w:t>26. Déviation annuelle moyenne par rapport à la température moyenne sur le long terme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4.9pt;margin-top:216.85pt;width:307.25pt;height:12.35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" stroked="f">
                <v:stroke joinstyle="round"/>
                <v:path arrowok="t"/>
                <v:textbox inset="0,0,0,0">
                  <w:txbxContent>
                    <w:p w:rsidR="00D3650F" w:rsidRPr="00484A70" w:rsidRDefault="00D3650F" w:rsidP="00484A70">
                      <w:pPr>
                        <w:spacing w:line="240" w:lineRule="auto"/>
                        <w:jc w:val="right"/>
                        <w:rPr>
                          <w:spacing w:val="0"/>
                          <w:w w:val="100"/>
                          <w:kern w:val="0"/>
                          <w:sz w:val="16"/>
                          <w:szCs w:val="16"/>
                        </w:rPr>
                      </w:pPr>
                      <w:r w:rsidRPr="00484A70">
                        <w:rPr>
                          <w:sz w:val="16"/>
                          <w:szCs w:val="16"/>
                          <w:lang w:val="fr-FR"/>
                        </w:rPr>
                        <w:t>26. Déviation annuelle moyenne par rapport à la température moyenne sur le long terme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09440" behindDoc="0" locked="0" layoutInCell="1" allowOverlap="1" wp14:anchorId="4389A204" wp14:editId="1219589C">
                <wp:simplePos x="0" y="0"/>
                <wp:positionH relativeFrom="column">
                  <wp:posOffset>336550</wp:posOffset>
                </wp:positionH>
                <wp:positionV relativeFrom="paragraph">
                  <wp:posOffset>2419985</wp:posOffset>
                </wp:positionV>
                <wp:extent cx="3636010" cy="135890"/>
                <wp:effectExtent l="0" t="0" r="254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57. Consommation finale d’énergie par catégorie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26.5pt;margin-top:190.55pt;width:286.3pt;height:10.7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XwRg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57. Consommation finale d’énergie par catégorie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07392" behindDoc="0" locked="0" layoutInCell="1" allowOverlap="1" wp14:anchorId="71691463" wp14:editId="67401140">
                <wp:simplePos x="0" y="0"/>
                <wp:positionH relativeFrom="column">
                  <wp:posOffset>350520</wp:posOffset>
                </wp:positionH>
                <wp:positionV relativeFrom="paragraph">
                  <wp:posOffset>2255994</wp:posOffset>
                </wp:positionV>
                <wp:extent cx="3636010" cy="135890"/>
                <wp:effectExtent l="0" t="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15. Concentration annuelle moyenne de dioxyde de soufre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margin-left:27.6pt;margin-top:177.65pt;width:286.3pt;height:10.7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deSA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15. Concentration annuelle moyenne de dioxyde de soufre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03296" behindDoc="0" locked="0" layoutInCell="1" allowOverlap="1" wp14:anchorId="1FE2A4AF" wp14:editId="54D49EA5">
                <wp:simplePos x="0" y="0"/>
                <wp:positionH relativeFrom="column">
                  <wp:posOffset>331309</wp:posOffset>
                </wp:positionH>
                <wp:positionV relativeFrom="paragraph">
                  <wp:posOffset>1936750</wp:posOffset>
                </wp:positionV>
                <wp:extent cx="3636010" cy="135890"/>
                <wp:effectExtent l="0" t="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51. Superficie forestière totale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style="position:absolute;margin-left:26.1pt;margin-top:152.5pt;width:286.3pt;height:10.7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51. Superficie forestière totale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05344" behindDoc="0" locked="0" layoutInCell="1" allowOverlap="1" wp14:anchorId="7BD70E4F" wp14:editId="044CDBE6">
                <wp:simplePos x="0" y="0"/>
                <wp:positionH relativeFrom="column">
                  <wp:posOffset>336550</wp:posOffset>
                </wp:positionH>
                <wp:positionV relativeFrom="paragraph">
                  <wp:posOffset>2086610</wp:posOffset>
                </wp:positionV>
                <wp:extent cx="3636010" cy="135890"/>
                <wp:effectExtent l="0" t="0" r="25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13. Émissions de PM10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style="position:absolute;margin-left:26.5pt;margin-top:164.3pt;width:286.3pt;height:10.7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13. Émissions de PM10</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701248" behindDoc="0" locked="0" layoutInCell="1" allowOverlap="1" wp14:anchorId="139CA8F3" wp14:editId="7C0A3410">
                <wp:simplePos x="0" y="0"/>
                <wp:positionH relativeFrom="column">
                  <wp:posOffset>325755</wp:posOffset>
                </wp:positionH>
                <wp:positionV relativeFrom="paragraph">
                  <wp:posOffset>1779905</wp:posOffset>
                </wp:positionV>
                <wp:extent cx="3636010" cy="13589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16. Concentration annuelle moyenne de dioxyde d’azote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margin-left:25.65pt;margin-top:140.15pt;width:286.3pt;height:10.7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NFRA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16. Concentration annuelle moyenne de dioxyde d’azote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99200" behindDoc="0" locked="0" layoutInCell="1" allowOverlap="1" wp14:anchorId="2E7C3616" wp14:editId="6E33AF99">
                <wp:simplePos x="0" y="0"/>
                <wp:positionH relativeFrom="column">
                  <wp:posOffset>331470</wp:posOffset>
                </wp:positionH>
                <wp:positionV relativeFrom="paragraph">
                  <wp:posOffset>1608929</wp:posOffset>
                </wp:positionV>
                <wp:extent cx="3636010" cy="135890"/>
                <wp:effectExtent l="0" t="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56. Consommation d’énergie finale totale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26.1pt;margin-top:126.7pt;width:286.3pt;height:10.7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N8RQ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56. Consommation d’énergie finale totale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97152" behindDoc="0" locked="0" layoutInCell="1" allowOverlap="1" wp14:anchorId="4FE476F8" wp14:editId="0AB4E1A3">
                <wp:simplePos x="0" y="0"/>
                <wp:positionH relativeFrom="column">
                  <wp:posOffset>327025</wp:posOffset>
                </wp:positionH>
                <wp:positionV relativeFrom="paragraph">
                  <wp:posOffset>1444464</wp:posOffset>
                </wp:positionV>
                <wp:extent cx="3636010" cy="135890"/>
                <wp:effectExtent l="0" t="0" r="254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17. Concentration annuelle moyenne d’ozone troposphérique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25.75pt;margin-top:113.75pt;width:286.3pt;height:10.7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NRQ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17. Concentration annuelle moyenne d’ozone troposphérique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95104" behindDoc="0" locked="0" layoutInCell="1" allowOverlap="1" wp14:anchorId="5840E003" wp14:editId="4BDEBCF7">
                <wp:simplePos x="0" y="0"/>
                <wp:positionH relativeFrom="column">
                  <wp:posOffset>326390</wp:posOffset>
                </wp:positionH>
                <wp:positionV relativeFrom="paragraph">
                  <wp:posOffset>1295561</wp:posOffset>
                </wp:positionV>
                <wp:extent cx="3636010" cy="135890"/>
                <wp:effectExtent l="0" t="0"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50. Superficie totale protégée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margin-left:25.7pt;margin-top:102pt;width:286.3pt;height:10.7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50. Superficie totale protégée</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93056" behindDoc="0" locked="0" layoutInCell="1" allowOverlap="1" wp14:anchorId="3B041C75" wp14:editId="27C48E58">
                <wp:simplePos x="0" y="0"/>
                <wp:positionH relativeFrom="column">
                  <wp:posOffset>340360</wp:posOffset>
                </wp:positionH>
                <wp:positionV relativeFrom="paragraph">
                  <wp:posOffset>1119344</wp:posOffset>
                </wp:positionV>
                <wp:extent cx="3636010" cy="135890"/>
                <wp:effectExtent l="0" t="0" r="254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28. Émissions globales de 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1" type="#_x0000_t202" style="position:absolute;margin-left:26.8pt;margin-top:88.15pt;width:286.3pt;height:10.7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UgRQMAAL4HAAAOAAAAZHJzL2Uyb0RvYy54bWzEVVtP2zAUfp+0/2D5vaQpba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28. Émissions globales de GES</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91008" behindDoc="0" locked="0" layoutInCell="1" allowOverlap="1" wp14:anchorId="3A9597A4" wp14:editId="17E747F8">
                <wp:simplePos x="0" y="0"/>
                <wp:positionH relativeFrom="column">
                  <wp:posOffset>347506</wp:posOffset>
                </wp:positionH>
                <wp:positionV relativeFrom="paragraph">
                  <wp:posOffset>953770</wp:posOffset>
                </wp:positionV>
                <wp:extent cx="3636010" cy="135890"/>
                <wp:effectExtent l="0" t="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60. Production totale de déchets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2" type="#_x0000_t202" style="position:absolute;margin-left:27.35pt;margin-top:75.1pt;width:286.3pt;height:10.7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0ORQ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60. Production totale de déchets</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88960" behindDoc="0" locked="0" layoutInCell="1" allowOverlap="1" wp14:anchorId="1EC0C352" wp14:editId="6411EC8A">
                <wp:simplePos x="0" y="0"/>
                <wp:positionH relativeFrom="column">
                  <wp:posOffset>347506</wp:posOffset>
                </wp:positionH>
                <wp:positionV relativeFrom="paragraph">
                  <wp:posOffset>775970</wp:posOffset>
                </wp:positionV>
                <wp:extent cx="3636010" cy="135890"/>
                <wp:effectExtent l="0" t="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484A70" w:rsidRDefault="00D3650F" w:rsidP="00484A70">
                            <w:pPr>
                              <w:spacing w:line="240" w:lineRule="auto"/>
                              <w:jc w:val="right"/>
                              <w:rPr>
                                <w:spacing w:val="0"/>
                                <w:w w:val="100"/>
                                <w:kern w:val="0"/>
                                <w:sz w:val="16"/>
                                <w:szCs w:val="16"/>
                              </w:rPr>
                            </w:pPr>
                            <w:r w:rsidRPr="00484A70">
                              <w:rPr>
                                <w:sz w:val="16"/>
                                <w:szCs w:val="16"/>
                                <w:lang w:val="fr-FR"/>
                              </w:rPr>
                              <w:t>4. Émissions d’ammoniac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3" type="#_x0000_t202" style="position:absolute;margin-left:27.35pt;margin-top:61.1pt;width:286.3pt;height:10.7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7/RQ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" stroked="f">
                <v:stroke joinstyle="round"/>
                <v:path arrowok="t"/>
                <v:textbox inset="0,0,0,0">
                  <w:txbxContent>
                    <w:p w:rsidR="00D3650F" w:rsidRPr="00484A70" w:rsidRDefault="00D3650F" w:rsidP="00484A70">
                      <w:pPr>
                        <w:spacing w:line="240" w:lineRule="auto"/>
                        <w:jc w:val="right"/>
                        <w:rPr>
                          <w:spacing w:val="0"/>
                          <w:w w:val="100"/>
                          <w:kern w:val="0"/>
                          <w:sz w:val="16"/>
                          <w:szCs w:val="16"/>
                        </w:rPr>
                      </w:pPr>
                      <w:r w:rsidRPr="00484A70">
                        <w:rPr>
                          <w:sz w:val="16"/>
                          <w:szCs w:val="16"/>
                          <w:lang w:val="fr-FR"/>
                        </w:rPr>
                        <w:t>4. Émissions d’ammoniac</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86912" behindDoc="0" locked="0" layoutInCell="1" allowOverlap="1" wp14:anchorId="1EAC5C7A" wp14:editId="55646ED7">
                <wp:simplePos x="0" y="0"/>
                <wp:positionH relativeFrom="column">
                  <wp:posOffset>340521</wp:posOffset>
                </wp:positionH>
                <wp:positionV relativeFrom="paragraph">
                  <wp:posOffset>623570</wp:posOffset>
                </wp:positionV>
                <wp:extent cx="3636010" cy="135890"/>
                <wp:effectExtent l="0" t="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3. Émissions de COVNM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4" type="#_x0000_t202" style="position:absolute;margin-left:26.8pt;margin-top:49.1pt;width:286.3pt;height:10.7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" stroked="f">
                <v:stroke joinstyle="round"/>
                <v:path arrowok="t"/>
                <v:textbox inset="0,0,0,0">
                  <w:txbxContent>
                    <w:p w:rsidR="00D3650F" w:rsidRPr="00FD1CE3" w:rsidRDefault="00D3650F" w:rsidP="00484A70">
                      <w:pPr>
                        <w:spacing w:line="240" w:lineRule="auto"/>
                        <w:jc w:val="right"/>
                        <w:rPr>
                          <w:spacing w:val="0"/>
                          <w:w w:val="100"/>
                          <w:kern w:val="0"/>
                          <w:sz w:val="16"/>
                          <w:szCs w:val="16"/>
                        </w:rPr>
                      </w:pPr>
                      <w:r w:rsidRPr="00484A70">
                        <w:rPr>
                          <w:spacing w:val="0"/>
                          <w:w w:val="100"/>
                          <w:kern w:val="0"/>
                          <w:sz w:val="16"/>
                          <w:szCs w:val="16"/>
                          <w:lang w:val="fr-FR"/>
                        </w:rPr>
                        <w:t>3. Émissions de COVNM</w:t>
                      </w: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84864" behindDoc="0" locked="0" layoutInCell="1" allowOverlap="1" wp14:anchorId="08FD02A1" wp14:editId="6D5A89C4">
                <wp:simplePos x="0" y="0"/>
                <wp:positionH relativeFrom="column">
                  <wp:posOffset>347506</wp:posOffset>
                </wp:positionH>
                <wp:positionV relativeFrom="paragraph">
                  <wp:posOffset>445770</wp:posOffset>
                </wp:positionV>
                <wp:extent cx="3636010" cy="135890"/>
                <wp:effectExtent l="0"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E87268">
                            <w:pPr>
                              <w:spacing w:line="240" w:lineRule="auto"/>
                              <w:jc w:val="right"/>
                              <w:rPr>
                                <w:spacing w:val="0"/>
                                <w:w w:val="100"/>
                                <w:kern w:val="0"/>
                                <w:sz w:val="16"/>
                                <w:szCs w:val="16"/>
                              </w:rPr>
                            </w:pPr>
                            <w:r w:rsidRPr="006B1E65">
                              <w:rPr>
                                <w:spacing w:val="0"/>
                                <w:w w:val="100"/>
                                <w:kern w:val="0"/>
                                <w:sz w:val="16"/>
                                <w:szCs w:val="16"/>
                                <w:lang w:val="fr-FR"/>
                              </w:rPr>
                              <w:t>5. Émissions de monoxyde de carbone</w:t>
                            </w:r>
                          </w:p>
                          <w:p w:rsidR="00D3650F" w:rsidRPr="00FD1CE3" w:rsidRDefault="00D3650F" w:rsidP="00FD1CE3">
                            <w:pPr>
                              <w:spacing w:line="240" w:lineRule="auto"/>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5" type="#_x0000_t202" style="position:absolute;margin-left:27.35pt;margin-top:35.1pt;width:286.3pt;height:10.7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" stroked="f">
                <v:stroke joinstyle="round"/>
                <v:path arrowok="t"/>
                <v:textbox inset="0,0,0,0">
                  <w:txbxContent>
                    <w:p w:rsidR="00D3650F" w:rsidRPr="00FD1CE3" w:rsidRDefault="00D3650F" w:rsidP="00E87268">
                      <w:pPr>
                        <w:spacing w:line="240" w:lineRule="auto"/>
                        <w:jc w:val="right"/>
                        <w:rPr>
                          <w:spacing w:val="0"/>
                          <w:w w:val="100"/>
                          <w:kern w:val="0"/>
                          <w:sz w:val="16"/>
                          <w:szCs w:val="16"/>
                        </w:rPr>
                      </w:pPr>
                      <w:r w:rsidRPr="006B1E65">
                        <w:rPr>
                          <w:spacing w:val="0"/>
                          <w:w w:val="100"/>
                          <w:kern w:val="0"/>
                          <w:sz w:val="16"/>
                          <w:szCs w:val="16"/>
                          <w:lang w:val="fr-FR"/>
                        </w:rPr>
                        <w:t>5. Émissions de monoxyde de carbone</w:t>
                      </w:r>
                    </w:p>
                    <w:p w:rsidR="00D3650F" w:rsidRPr="00FD1CE3" w:rsidRDefault="00D3650F" w:rsidP="00FD1CE3">
                      <w:pPr>
                        <w:spacing w:line="240" w:lineRule="auto"/>
                        <w:rPr>
                          <w:spacing w:val="0"/>
                          <w:w w:val="100"/>
                          <w:kern w:val="0"/>
                          <w:sz w:val="16"/>
                          <w:szCs w:val="16"/>
                        </w:rPr>
                      </w:pP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82816" behindDoc="0" locked="0" layoutInCell="1" allowOverlap="1" wp14:anchorId="456415A5" wp14:editId="2B9F34EF">
                <wp:simplePos x="0" y="0"/>
                <wp:positionH relativeFrom="column">
                  <wp:posOffset>338929</wp:posOffset>
                </wp:positionH>
                <wp:positionV relativeFrom="paragraph">
                  <wp:posOffset>306070</wp:posOffset>
                </wp:positionV>
                <wp:extent cx="3636010" cy="135890"/>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E87268">
                            <w:pPr>
                              <w:spacing w:line="240" w:lineRule="auto"/>
                              <w:jc w:val="right"/>
                              <w:rPr>
                                <w:spacing w:val="0"/>
                                <w:w w:val="100"/>
                                <w:kern w:val="0"/>
                                <w:sz w:val="16"/>
                                <w:szCs w:val="16"/>
                              </w:rPr>
                            </w:pPr>
                            <w:r w:rsidRPr="006B1E65">
                              <w:rPr>
                                <w:spacing w:val="0"/>
                                <w:w w:val="100"/>
                                <w:kern w:val="0"/>
                                <w:sz w:val="16"/>
                                <w:szCs w:val="16"/>
                                <w:lang w:val="fr-FR"/>
                              </w:rPr>
                              <w:t>1. Émissions de soufre</w:t>
                            </w:r>
                          </w:p>
                          <w:p w:rsidR="00D3650F" w:rsidRPr="00FD1CE3" w:rsidRDefault="00D3650F" w:rsidP="00FD1CE3">
                            <w:pPr>
                              <w:spacing w:line="240" w:lineRule="auto"/>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6" type="#_x0000_t202" style="position:absolute;margin-left:26.7pt;margin-top:24.1pt;width:286.3pt;height:10.7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" stroked="f">
                <v:stroke joinstyle="round"/>
                <v:path arrowok="t"/>
                <v:textbox inset="0,0,0,0">
                  <w:txbxContent>
                    <w:p w:rsidR="00D3650F" w:rsidRPr="00FD1CE3" w:rsidRDefault="00D3650F" w:rsidP="00E87268">
                      <w:pPr>
                        <w:spacing w:line="240" w:lineRule="auto"/>
                        <w:jc w:val="right"/>
                        <w:rPr>
                          <w:spacing w:val="0"/>
                          <w:w w:val="100"/>
                          <w:kern w:val="0"/>
                          <w:sz w:val="16"/>
                          <w:szCs w:val="16"/>
                        </w:rPr>
                      </w:pPr>
                      <w:r w:rsidRPr="006B1E65">
                        <w:rPr>
                          <w:spacing w:val="0"/>
                          <w:w w:val="100"/>
                          <w:kern w:val="0"/>
                          <w:sz w:val="16"/>
                          <w:szCs w:val="16"/>
                          <w:lang w:val="fr-FR"/>
                        </w:rPr>
                        <w:t>1. Émissions de soufre</w:t>
                      </w:r>
                    </w:p>
                    <w:p w:rsidR="00D3650F" w:rsidRPr="00FD1CE3" w:rsidRDefault="00D3650F" w:rsidP="00FD1CE3">
                      <w:pPr>
                        <w:spacing w:line="240" w:lineRule="auto"/>
                        <w:rPr>
                          <w:spacing w:val="0"/>
                          <w:w w:val="100"/>
                          <w:kern w:val="0"/>
                          <w:sz w:val="16"/>
                          <w:szCs w:val="16"/>
                        </w:rPr>
                      </w:pPr>
                    </w:p>
                  </w:txbxContent>
                </v:textbox>
              </v:shape>
            </w:pict>
          </mc:Fallback>
        </mc:AlternateContent>
      </w:r>
      <w:r w:rsidR="00FD1CE3" w:rsidRPr="007C4E01">
        <w:rPr>
          <w:noProof/>
          <w:w w:val="100"/>
          <w:lang w:val="en-GB" w:eastAsia="en-GB"/>
        </w:rPr>
        <mc:AlternateContent>
          <mc:Choice Requires="wps">
            <w:drawing>
              <wp:anchor distT="0" distB="0" distL="0" distR="0" simplePos="0" relativeHeight="251680768" behindDoc="0" locked="0" layoutInCell="1" allowOverlap="1" wp14:anchorId="15BE6E13" wp14:editId="459179B0">
                <wp:simplePos x="0" y="0"/>
                <wp:positionH relativeFrom="column">
                  <wp:posOffset>341886</wp:posOffset>
                </wp:positionH>
                <wp:positionV relativeFrom="paragraph">
                  <wp:posOffset>153963</wp:posOffset>
                </wp:positionV>
                <wp:extent cx="3636588" cy="136477"/>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588" cy="13647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E87268">
                            <w:pPr>
                              <w:spacing w:line="240" w:lineRule="auto"/>
                              <w:jc w:val="right"/>
                              <w:rPr>
                                <w:spacing w:val="0"/>
                                <w:w w:val="100"/>
                                <w:kern w:val="0"/>
                                <w:sz w:val="16"/>
                                <w:szCs w:val="16"/>
                              </w:rPr>
                            </w:pPr>
                            <w:r w:rsidRPr="006B1E65">
                              <w:rPr>
                                <w:spacing w:val="0"/>
                                <w:w w:val="100"/>
                                <w:kern w:val="0"/>
                                <w:sz w:val="16"/>
                                <w:szCs w:val="16"/>
                                <w:lang w:val="fr-FR"/>
                              </w:rPr>
                              <w:t>2. Émissions d’oxyde d’azote</w:t>
                            </w:r>
                          </w:p>
                          <w:p w:rsidR="00D3650F" w:rsidRPr="00FD1CE3" w:rsidRDefault="00D3650F" w:rsidP="00FD1CE3">
                            <w:pPr>
                              <w:spacing w:line="240" w:lineRule="auto"/>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7" type="#_x0000_t202" style="position:absolute;margin-left:26.9pt;margin-top:12.1pt;width:286.35pt;height:10.7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" stroked="f">
                <v:stroke joinstyle="round"/>
                <v:path arrowok="t"/>
                <v:textbox inset="0,0,0,0">
                  <w:txbxContent>
                    <w:p w:rsidR="00D3650F" w:rsidRPr="00FD1CE3" w:rsidRDefault="00D3650F" w:rsidP="00E87268">
                      <w:pPr>
                        <w:spacing w:line="240" w:lineRule="auto"/>
                        <w:jc w:val="right"/>
                        <w:rPr>
                          <w:spacing w:val="0"/>
                          <w:w w:val="100"/>
                          <w:kern w:val="0"/>
                          <w:sz w:val="16"/>
                          <w:szCs w:val="16"/>
                        </w:rPr>
                      </w:pPr>
                      <w:r w:rsidRPr="006B1E65">
                        <w:rPr>
                          <w:spacing w:val="0"/>
                          <w:w w:val="100"/>
                          <w:kern w:val="0"/>
                          <w:sz w:val="16"/>
                          <w:szCs w:val="16"/>
                          <w:lang w:val="fr-FR"/>
                        </w:rPr>
                        <w:t>2. Émissions d’oxyde d’azote</w:t>
                      </w:r>
                    </w:p>
                    <w:p w:rsidR="00D3650F" w:rsidRPr="00FD1CE3" w:rsidRDefault="00D3650F" w:rsidP="00FD1CE3">
                      <w:pPr>
                        <w:spacing w:line="240" w:lineRule="auto"/>
                        <w:rPr>
                          <w:spacing w:val="0"/>
                          <w:w w:val="100"/>
                          <w:kern w:val="0"/>
                          <w:sz w:val="16"/>
                          <w:szCs w:val="16"/>
                        </w:rPr>
                      </w:pPr>
                    </w:p>
                  </w:txbxContent>
                </v:textbox>
              </v:shape>
            </w:pict>
          </mc:Fallback>
        </mc:AlternateContent>
      </w:r>
      <w:r w:rsidR="00FD1CE3" w:rsidRPr="007C4E01">
        <w:rPr>
          <w:noProof/>
          <w:lang w:val="en-GB" w:eastAsia="en-GB"/>
        </w:rPr>
        <w:drawing>
          <wp:inline distT="0" distB="0" distL="0" distR="0" wp14:anchorId="78F623E9" wp14:editId="15CC8CB8">
            <wp:extent cx="8173085" cy="3794483"/>
            <wp:effectExtent l="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3085" cy="3794483"/>
                    </a:xfrm>
                    <a:prstGeom prst="rect">
                      <a:avLst/>
                    </a:prstGeom>
                    <a:noFill/>
                    <a:ln>
                      <a:noFill/>
                    </a:ln>
                  </pic:spPr>
                </pic:pic>
              </a:graphicData>
            </a:graphic>
          </wp:inline>
        </w:drawing>
      </w:r>
    </w:p>
    <w:p w:rsidR="00484A70" w:rsidRPr="007C4E01" w:rsidRDefault="00484A70" w:rsidP="00484A70">
      <w:pPr>
        <w:spacing w:line="120" w:lineRule="exact"/>
        <w:rPr>
          <w:sz w:val="10"/>
          <w:lang w:val="fr-CH"/>
        </w:rPr>
      </w:pPr>
    </w:p>
    <w:p w:rsidR="00484A70" w:rsidRPr="007C4E01" w:rsidRDefault="00484A70" w:rsidP="00484A70">
      <w:pPr>
        <w:spacing w:line="120" w:lineRule="exact"/>
        <w:rPr>
          <w:sz w:val="10"/>
          <w:lang w:val="fr-CH"/>
        </w:rPr>
      </w:pPr>
    </w:p>
    <w:p w:rsidR="00484A70" w:rsidRPr="007C4E01" w:rsidRDefault="00484A70" w:rsidP="00484A70">
      <w:pPr>
        <w:pStyle w:val="FootnoteText"/>
        <w:tabs>
          <w:tab w:val="right" w:pos="216"/>
          <w:tab w:val="left" w:pos="288"/>
          <w:tab w:val="right" w:pos="576"/>
          <w:tab w:val="left" w:pos="648"/>
        </w:tabs>
        <w:ind w:left="288" w:hanging="288"/>
        <w:rPr>
          <w:lang w:val="fr-CH"/>
        </w:rPr>
      </w:pPr>
      <w:r w:rsidRPr="007C4E01">
        <w:rPr>
          <w:i/>
          <w:lang w:val="fr-CH"/>
        </w:rPr>
        <w:tab/>
        <w:t>Note</w:t>
      </w:r>
      <w:r w:rsidR="00D96436" w:rsidRPr="007C4E01">
        <w:rPr>
          <w:rStyle w:val="FootnoteReference"/>
          <w:lang w:val="fr-CH"/>
        </w:rPr>
        <w:t> </w:t>
      </w:r>
      <w:r w:rsidRPr="007C4E01">
        <w:rPr>
          <w:lang w:val="fr-CH"/>
        </w:rPr>
        <w:t>:</w:t>
      </w:r>
      <w:r w:rsidRPr="007C4E01">
        <w:rPr>
          <w:i/>
          <w:lang w:val="fr-CH"/>
        </w:rPr>
        <w:tab/>
      </w:r>
      <w:r w:rsidRPr="007C4E01">
        <w:rPr>
          <w:lang w:val="fr-CH"/>
        </w:rPr>
        <w:t xml:space="preserve">Voir </w:t>
      </w:r>
      <w:r w:rsidR="00313044">
        <w:rPr>
          <w:lang w:val="fr-CH"/>
        </w:rPr>
        <w:t xml:space="preserve">la section B </w:t>
      </w:r>
      <w:r w:rsidRPr="007C4E01">
        <w:rPr>
          <w:lang w:val="fr-CH"/>
        </w:rPr>
        <w:t>l’</w:t>
      </w:r>
      <w:r w:rsidRPr="00313044">
        <w:t>annexe</w:t>
      </w:r>
      <w:r w:rsidRPr="007C4E01">
        <w:rPr>
          <w:lang w:val="fr-CH"/>
        </w:rPr>
        <w:t xml:space="preserve"> pour les obligations juridiques associées à chaque ensemble de données.</w:t>
      </w:r>
    </w:p>
    <w:p w:rsidR="00484A70" w:rsidRPr="007C4E01" w:rsidRDefault="00484A70" w:rsidP="00D96436">
      <w:pPr>
        <w:pStyle w:val="FootnoteText"/>
        <w:tabs>
          <w:tab w:val="right" w:pos="216"/>
          <w:tab w:val="left" w:pos="288"/>
          <w:tab w:val="right" w:pos="576"/>
          <w:tab w:val="left" w:pos="648"/>
        </w:tabs>
        <w:ind w:left="288" w:hanging="288"/>
        <w:rPr>
          <w:lang w:val="fr-CH"/>
        </w:rPr>
      </w:pPr>
      <w:r w:rsidRPr="007C4E01">
        <w:rPr>
          <w:i/>
          <w:lang w:val="fr-CH"/>
        </w:rPr>
        <w:tab/>
        <w:t>Abréviations</w:t>
      </w:r>
      <w:r w:rsidRPr="007C4E01">
        <w:rPr>
          <w:rStyle w:val="FootnoteReference"/>
          <w:lang w:val="fr-CH"/>
        </w:rPr>
        <w:t> </w:t>
      </w:r>
      <w:r w:rsidRPr="007C4E01">
        <w:rPr>
          <w:lang w:val="fr-CH"/>
        </w:rPr>
        <w:t>: COVNM : composés organiques volatils non méthaniques; GES</w:t>
      </w:r>
      <w:r w:rsidRPr="007C4E01">
        <w:rPr>
          <w:rStyle w:val="FootnoteReference"/>
          <w:lang w:val="fr-CH"/>
        </w:rPr>
        <w:t xml:space="preserve"> </w:t>
      </w:r>
      <w:r w:rsidRPr="007C4E01">
        <w:rPr>
          <w:lang w:val="fr-CH"/>
        </w:rPr>
        <w:t>: gaz à effet de serre; PM : particules.</w:t>
      </w:r>
    </w:p>
    <w:p w:rsidR="00484A70" w:rsidRPr="007C4E01" w:rsidRDefault="00484A70" w:rsidP="00484A70">
      <w:pPr>
        <w:spacing w:line="120" w:lineRule="exact"/>
        <w:rPr>
          <w:sz w:val="10"/>
          <w:lang w:val="fr-CH"/>
        </w:rPr>
      </w:pPr>
    </w:p>
    <w:p w:rsidR="00FD1CE3" w:rsidRPr="007C4E01" w:rsidRDefault="00FD1CE3">
      <w:pPr>
        <w:spacing w:line="240" w:lineRule="auto"/>
        <w:rPr>
          <w:lang w:val="fr-CH"/>
        </w:rPr>
      </w:pPr>
      <w:r w:rsidRPr="007C4E01">
        <w:rPr>
          <w:lang w:val="fr-CH"/>
        </w:rPr>
        <w:br w:type="page"/>
      </w:r>
    </w:p>
    <w:p w:rsidR="00FD1CE3" w:rsidRPr="007C4E01" w:rsidRDefault="00FD1CE3" w:rsidP="00FD1CE3">
      <w:pPr>
        <w:pStyle w:val="H23G"/>
        <w:ind w:left="0" w:firstLine="0"/>
        <w:rPr>
          <w:lang w:val="fr-CH"/>
        </w:rPr>
      </w:pPr>
      <w:r w:rsidRPr="007C4E01">
        <w:rPr>
          <w:b w:val="0"/>
          <w:lang w:val="fr-CH"/>
        </w:rPr>
        <w:t>Figure 3</w:t>
      </w:r>
      <w:r w:rsidR="00F71D66" w:rsidRPr="007C4E01">
        <w:rPr>
          <w:b w:val="0"/>
          <w:lang w:val="fr-CH"/>
        </w:rPr>
        <w:t xml:space="preserve"> </w:t>
      </w:r>
      <w:r w:rsidRPr="007C4E01">
        <w:rPr>
          <w:lang w:val="fr-CH"/>
        </w:rPr>
        <w:br/>
      </w:r>
      <w:r w:rsidR="00F71D66" w:rsidRPr="007C4E01">
        <w:rPr>
          <w:lang w:val="fr-CH"/>
        </w:rPr>
        <w:t>Ensembles de données du SEIS présentant les plus faibles résultats</w:t>
      </w:r>
      <w:r w:rsidR="00B83075" w:rsidRPr="007C4E01">
        <w:rPr>
          <w:lang w:val="fr-CH"/>
        </w:rPr>
        <w:t xml:space="preserve"> </w:t>
      </w:r>
    </w:p>
    <w:p w:rsidR="00B83075" w:rsidRPr="007C4E01" w:rsidRDefault="00B83075" w:rsidP="00B83075">
      <w:pPr>
        <w:spacing w:line="120" w:lineRule="exact"/>
        <w:rPr>
          <w:sz w:val="10"/>
          <w:lang w:val="fr-CH"/>
        </w:rPr>
      </w:pPr>
    </w:p>
    <w:p w:rsidR="00B83075" w:rsidRPr="007C4E01" w:rsidRDefault="00B83075" w:rsidP="00B83075">
      <w:pPr>
        <w:spacing w:line="120" w:lineRule="exact"/>
        <w:rPr>
          <w:sz w:val="10"/>
          <w:lang w:val="fr-CH"/>
        </w:rPr>
      </w:pPr>
    </w:p>
    <w:p w:rsidR="00FD1CE3" w:rsidRPr="007C4E01" w:rsidRDefault="005545F5" w:rsidP="00FD1CE3">
      <w:pPr>
        <w:spacing w:line="240" w:lineRule="auto"/>
        <w:rPr>
          <w:lang w:val="fr-CH"/>
        </w:rPr>
      </w:pPr>
      <w:r w:rsidRPr="007C4E01">
        <w:rPr>
          <w:noProof/>
          <w:w w:val="100"/>
          <w:lang w:val="en-GB" w:eastAsia="en-GB"/>
        </w:rPr>
        <mc:AlternateContent>
          <mc:Choice Requires="wps">
            <w:drawing>
              <wp:anchor distT="0" distB="0" distL="0" distR="0" simplePos="0" relativeHeight="251749376" behindDoc="0" locked="0" layoutInCell="1" allowOverlap="1" wp14:anchorId="633F380C" wp14:editId="0B560FF6">
                <wp:simplePos x="0" y="0"/>
                <wp:positionH relativeFrom="column">
                  <wp:posOffset>4013200</wp:posOffset>
                </wp:positionH>
                <wp:positionV relativeFrom="paragraph">
                  <wp:posOffset>3664255</wp:posOffset>
                </wp:positionV>
                <wp:extent cx="4011930" cy="245110"/>
                <wp:effectExtent l="0" t="0" r="762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1930" cy="2451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3651E4" w:rsidRDefault="00D3650F" w:rsidP="00F21F71">
                            <w:pPr>
                              <w:spacing w:line="240" w:lineRule="auto"/>
                              <w:jc w:val="center"/>
                              <w:rPr>
                                <w:b/>
                                <w:spacing w:val="0"/>
                                <w:w w:val="100"/>
                                <w:kern w:val="0"/>
                                <w:szCs w:val="20"/>
                                <w:lang w:val="fr-CH"/>
                              </w:rPr>
                            </w:pPr>
                            <w:r w:rsidRPr="003651E4">
                              <w:rPr>
                                <w:b/>
                                <w:spacing w:val="0"/>
                                <w:w w:val="100"/>
                                <w:kern w:val="0"/>
                                <w:szCs w:val="20"/>
                                <w:lang w:val="fr-CH"/>
                              </w:rPr>
                              <w:t>Résultat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8" type="#_x0000_t202" style="position:absolute;margin-left:316pt;margin-top:288.5pt;width:315.9pt;height:19.3pt;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" stroked="f">
                <v:stroke joinstyle="round"/>
                <v:path arrowok="t"/>
                <v:textbox inset="0,0,0,0">
                  <w:txbxContent>
                    <w:p w:rsidR="00D3650F" w:rsidRPr="003651E4" w:rsidRDefault="00D3650F" w:rsidP="00F21F71">
                      <w:pPr>
                        <w:spacing w:line="240" w:lineRule="auto"/>
                        <w:jc w:val="center"/>
                        <w:rPr>
                          <w:b/>
                          <w:spacing w:val="0"/>
                          <w:w w:val="100"/>
                          <w:kern w:val="0"/>
                          <w:szCs w:val="20"/>
                          <w:lang w:val="fr-CH"/>
                        </w:rPr>
                      </w:pPr>
                      <w:r w:rsidRPr="003651E4">
                        <w:rPr>
                          <w:b/>
                          <w:spacing w:val="0"/>
                          <w:w w:val="100"/>
                          <w:kern w:val="0"/>
                          <w:szCs w:val="20"/>
                          <w:lang w:val="fr-CH"/>
                        </w:rPr>
                        <w:t>Résultat (%)</w:t>
                      </w:r>
                    </w:p>
                  </w:txbxContent>
                </v:textbox>
              </v:shape>
            </w:pict>
          </mc:Fallback>
        </mc:AlternateContent>
      </w:r>
      <w:r w:rsidR="00F71D66" w:rsidRPr="007C4E01">
        <w:rPr>
          <w:noProof/>
          <w:lang w:val="en-GB" w:eastAsia="en-GB"/>
        </w:rPr>
        <mc:AlternateContent>
          <mc:Choice Requires="wps">
            <w:drawing>
              <wp:anchor distT="0" distB="0" distL="0" distR="0" simplePos="0" relativeHeight="251743232" behindDoc="0" locked="0" layoutInCell="1" allowOverlap="1" wp14:anchorId="7FAEFD8C" wp14:editId="7741D200">
                <wp:simplePos x="0" y="0"/>
                <wp:positionH relativeFrom="column">
                  <wp:posOffset>340995</wp:posOffset>
                </wp:positionH>
                <wp:positionV relativeFrom="paragraph">
                  <wp:posOffset>2924175</wp:posOffset>
                </wp:positionV>
                <wp:extent cx="3636010" cy="168910"/>
                <wp:effectExtent l="0" t="0" r="2540" b="25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689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755D9B" w:rsidP="00F21F71">
                            <w:pPr>
                              <w:spacing w:line="240" w:lineRule="auto"/>
                              <w:jc w:val="right"/>
                              <w:rPr>
                                <w:spacing w:val="0"/>
                                <w:w w:val="100"/>
                                <w:kern w:val="0"/>
                                <w:sz w:val="16"/>
                                <w:szCs w:val="16"/>
                              </w:rPr>
                            </w:pPr>
                            <w:r>
                              <w:rPr>
                                <w:spacing w:val="0"/>
                                <w:w w:val="100"/>
                                <w:kern w:val="0"/>
                                <w:sz w:val="16"/>
                                <w:szCs w:val="16"/>
                              </w:rPr>
                              <w:t>46. Population reliée à un système de collecte d’eaux usées</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9" type="#_x0000_t202" style="position:absolute;margin-left:26.85pt;margin-top:230.25pt;width:286.3pt;height:13.3pt;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" stroked="f">
                <v:stroke joinstyle="round"/>
                <v:path arrowok="t"/>
                <v:textbox inset="0,0,0,0">
                  <w:txbxContent>
                    <w:p w:rsidR="00D3650F" w:rsidRPr="00FD1CE3" w:rsidRDefault="00755D9B" w:rsidP="00F21F71">
                      <w:pPr>
                        <w:spacing w:line="240" w:lineRule="auto"/>
                        <w:jc w:val="right"/>
                        <w:rPr>
                          <w:spacing w:val="0"/>
                          <w:w w:val="100"/>
                          <w:kern w:val="0"/>
                          <w:sz w:val="16"/>
                          <w:szCs w:val="16"/>
                        </w:rPr>
                      </w:pPr>
                      <w:r>
                        <w:rPr>
                          <w:spacing w:val="0"/>
                          <w:w w:val="100"/>
                          <w:kern w:val="0"/>
                          <w:sz w:val="16"/>
                          <w:szCs w:val="16"/>
                        </w:rPr>
                        <w:t>46. Population reliée à un système de collecte d’eaux usées</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F71D66" w:rsidRPr="007C4E01">
        <w:rPr>
          <w:noProof/>
          <w:lang w:val="en-GB" w:eastAsia="en-GB"/>
        </w:rPr>
        <mc:AlternateContent>
          <mc:Choice Requires="wps">
            <w:drawing>
              <wp:anchor distT="0" distB="0" distL="0" distR="0" simplePos="0" relativeHeight="251726848" behindDoc="0" locked="0" layoutInCell="1" allowOverlap="1" wp14:anchorId="33224AA7" wp14:editId="4596BDDD">
                <wp:simplePos x="0" y="0"/>
                <wp:positionH relativeFrom="column">
                  <wp:posOffset>356870</wp:posOffset>
                </wp:positionH>
                <wp:positionV relativeFrom="paragraph">
                  <wp:posOffset>323421</wp:posOffset>
                </wp:positionV>
                <wp:extent cx="3636010" cy="151130"/>
                <wp:effectExtent l="0" t="0" r="254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511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71D66" w:rsidRDefault="00D3650F" w:rsidP="006B1E65">
                            <w:pPr>
                              <w:spacing w:line="240" w:lineRule="auto"/>
                              <w:jc w:val="right"/>
                              <w:rPr>
                                <w:spacing w:val="0"/>
                                <w:w w:val="100"/>
                                <w:kern w:val="0"/>
                                <w:sz w:val="16"/>
                                <w:szCs w:val="16"/>
                              </w:rPr>
                            </w:pPr>
                            <w:r w:rsidRPr="00F71D66">
                              <w:rPr>
                                <w:sz w:val="16"/>
                                <w:szCs w:val="16"/>
                                <w:lang w:val="fr-FR"/>
                              </w:rPr>
                              <w:t>9. Émissions de HAP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0" type="#_x0000_t202" style="position:absolute;margin-left:28.1pt;margin-top:25.45pt;width:286.3pt;height:11.9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" stroked="f">
                <v:stroke joinstyle="round"/>
                <v:path arrowok="t"/>
                <v:textbox inset="0,0,0,0">
                  <w:txbxContent>
                    <w:p w:rsidR="00D3650F" w:rsidRPr="00F71D66" w:rsidRDefault="00D3650F" w:rsidP="006B1E65">
                      <w:pPr>
                        <w:spacing w:line="240" w:lineRule="auto"/>
                        <w:jc w:val="right"/>
                        <w:rPr>
                          <w:spacing w:val="0"/>
                          <w:w w:val="100"/>
                          <w:kern w:val="0"/>
                          <w:sz w:val="16"/>
                          <w:szCs w:val="16"/>
                        </w:rPr>
                      </w:pPr>
                      <w:r w:rsidRPr="00F71D66">
                        <w:rPr>
                          <w:sz w:val="16"/>
                          <w:szCs w:val="16"/>
                          <w:lang w:val="fr-FR"/>
                        </w:rPr>
                        <w:t>9. Émissions de HAP</w:t>
                      </w:r>
                    </w:p>
                  </w:txbxContent>
                </v:textbox>
              </v:shape>
            </w:pict>
          </mc:Fallback>
        </mc:AlternateContent>
      </w:r>
      <w:r w:rsidR="00F71D66" w:rsidRPr="007C4E01">
        <w:rPr>
          <w:noProof/>
          <w:lang w:val="en-GB" w:eastAsia="en-GB"/>
        </w:rPr>
        <mc:AlternateContent>
          <mc:Choice Requires="wps">
            <w:drawing>
              <wp:anchor distT="0" distB="0" distL="0" distR="0" simplePos="0" relativeHeight="251725824" behindDoc="0" locked="0" layoutInCell="1" allowOverlap="1" wp14:anchorId="42FE8EEB" wp14:editId="3ABD99B9">
                <wp:simplePos x="0" y="0"/>
                <wp:positionH relativeFrom="column">
                  <wp:posOffset>61397</wp:posOffset>
                </wp:positionH>
                <wp:positionV relativeFrom="paragraph">
                  <wp:posOffset>81137</wp:posOffset>
                </wp:positionV>
                <wp:extent cx="3935730" cy="227275"/>
                <wp:effectExtent l="0" t="0" r="7620"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5730" cy="2272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71D66" w:rsidRDefault="00D3650F" w:rsidP="00F71D66">
                            <w:pPr>
                              <w:spacing w:line="180" w:lineRule="exact"/>
                              <w:jc w:val="right"/>
                              <w:rPr>
                                <w:spacing w:val="0"/>
                                <w:w w:val="100"/>
                                <w:kern w:val="0"/>
                                <w:sz w:val="16"/>
                                <w:szCs w:val="16"/>
                              </w:rPr>
                            </w:pPr>
                            <w:r w:rsidRPr="00F71D66">
                              <w:rPr>
                                <w:sz w:val="16"/>
                                <w:szCs w:val="16"/>
                                <w:lang w:val="fr-FR"/>
                              </w:rPr>
                              <w:t xml:space="preserve">55. Prélèvements de terres imputables aux exploitations de mines et de carrières, </w:t>
                            </w:r>
                            <w:r>
                              <w:rPr>
                                <w:sz w:val="16"/>
                                <w:szCs w:val="16"/>
                                <w:lang w:val="fr-FR"/>
                              </w:rPr>
                              <w:br/>
                            </w:r>
                            <w:r w:rsidRPr="00F71D66">
                              <w:rPr>
                                <w:sz w:val="16"/>
                                <w:szCs w:val="16"/>
                                <w:lang w:val="fr-FR"/>
                              </w:rPr>
                              <w:t>au secteur de la construction, au secteur manufacturier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1" type="#_x0000_t202" style="position:absolute;margin-left:4.85pt;margin-top:6.4pt;width:309.9pt;height:17.9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" stroked="f">
                <v:stroke joinstyle="round"/>
                <v:path arrowok="t"/>
                <v:textbox inset="0,0,0,0">
                  <w:txbxContent>
                    <w:p w:rsidR="00D3650F" w:rsidRPr="00F71D66" w:rsidRDefault="00D3650F" w:rsidP="00F71D66">
                      <w:pPr>
                        <w:spacing w:line="180" w:lineRule="exact"/>
                        <w:jc w:val="right"/>
                        <w:rPr>
                          <w:spacing w:val="0"/>
                          <w:w w:val="100"/>
                          <w:kern w:val="0"/>
                          <w:sz w:val="16"/>
                          <w:szCs w:val="16"/>
                        </w:rPr>
                      </w:pPr>
                      <w:r w:rsidRPr="00F71D66">
                        <w:rPr>
                          <w:sz w:val="16"/>
                          <w:szCs w:val="16"/>
                          <w:lang w:val="fr-FR"/>
                        </w:rPr>
                        <w:t xml:space="preserve">55. Prélèvements de terres imputables aux exploitations de mines et de carrières, </w:t>
                      </w:r>
                      <w:r>
                        <w:rPr>
                          <w:sz w:val="16"/>
                          <w:szCs w:val="16"/>
                          <w:lang w:val="fr-FR"/>
                        </w:rPr>
                        <w:br/>
                      </w:r>
                      <w:r w:rsidRPr="00F71D66">
                        <w:rPr>
                          <w:sz w:val="16"/>
                          <w:szCs w:val="16"/>
                          <w:lang w:val="fr-FR"/>
                        </w:rPr>
                        <w:t>au secteur de la construction, au secteur manufacturier</w:t>
                      </w:r>
                    </w:p>
                  </w:txbxContent>
                </v:textbox>
              </v:shape>
            </w:pict>
          </mc:Fallback>
        </mc:AlternateContent>
      </w:r>
      <w:r w:rsidR="00F71D66" w:rsidRPr="007C4E01">
        <w:rPr>
          <w:noProof/>
          <w:lang w:val="en-GB" w:eastAsia="en-GB"/>
        </w:rPr>
        <mc:AlternateContent>
          <mc:Choice Requires="wps">
            <w:drawing>
              <wp:anchor distT="0" distB="0" distL="0" distR="0" simplePos="0" relativeHeight="251730944" behindDoc="0" locked="0" layoutInCell="1" allowOverlap="1" wp14:anchorId="16BF2B92" wp14:editId="3EF73FF4">
                <wp:simplePos x="0" y="0"/>
                <wp:positionH relativeFrom="column">
                  <wp:posOffset>367665</wp:posOffset>
                </wp:positionH>
                <wp:positionV relativeFrom="paragraph">
                  <wp:posOffset>963295</wp:posOffset>
                </wp:positionV>
                <wp:extent cx="3636010" cy="153035"/>
                <wp:effectExtent l="0" t="0"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530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63. Déchets dangereux importés</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2" type="#_x0000_t202" style="position:absolute;margin-left:28.95pt;margin-top:75.85pt;width:286.3pt;height:12.05pt;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63. Déchets dangereux importés</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F71D66" w:rsidRPr="007C4E01">
        <w:rPr>
          <w:noProof/>
          <w:lang w:val="en-GB" w:eastAsia="en-GB"/>
        </w:rPr>
        <mc:AlternateContent>
          <mc:Choice Requires="wps">
            <w:drawing>
              <wp:anchor distT="0" distB="0" distL="0" distR="0" simplePos="0" relativeHeight="251731968" behindDoc="0" locked="0" layoutInCell="1" allowOverlap="1" wp14:anchorId="2E5D4B29" wp14:editId="4C191D5D">
                <wp:simplePos x="0" y="0"/>
                <wp:positionH relativeFrom="column">
                  <wp:posOffset>362585</wp:posOffset>
                </wp:positionH>
                <wp:positionV relativeFrom="paragraph">
                  <wp:posOffset>1127125</wp:posOffset>
                </wp:positionV>
                <wp:extent cx="3636010" cy="173990"/>
                <wp:effectExtent l="0" t="0" r="254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739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25. PDO total du bromure de méthyle</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3" type="#_x0000_t202" style="position:absolute;margin-left:28.55pt;margin-top:88.75pt;width:286.3pt;height:13.7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25. PDO total du bromure de méthyle</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F71D66" w:rsidRPr="007C4E01">
        <w:rPr>
          <w:noProof/>
          <w:lang w:val="en-GB" w:eastAsia="en-GB"/>
        </w:rPr>
        <mc:AlternateContent>
          <mc:Choice Requires="wps">
            <w:drawing>
              <wp:anchor distT="0" distB="0" distL="0" distR="0" simplePos="0" relativeHeight="251734016" behindDoc="0" locked="0" layoutInCell="1" allowOverlap="1" wp14:anchorId="7A885ED6" wp14:editId="5CAB20B7">
                <wp:simplePos x="0" y="0"/>
                <wp:positionH relativeFrom="column">
                  <wp:posOffset>346710</wp:posOffset>
                </wp:positionH>
                <wp:positionV relativeFrom="paragraph">
                  <wp:posOffset>1454785</wp:posOffset>
                </wp:positionV>
                <wp:extent cx="3636010" cy="147955"/>
                <wp:effectExtent l="0" t="0" r="2540" b="444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79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49. Eaux usées non traitées ou non traitées de manière adéquate</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64" type="#_x0000_t202" style="position:absolute;margin-left:27.3pt;margin-top:114.55pt;width:286.3pt;height:11.65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49. Eaux usées non traitées ou non traitées de manière adéquate</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6B1E65" w:rsidRPr="007C4E01">
        <w:rPr>
          <w:noProof/>
          <w:w w:val="100"/>
          <w:lang w:val="en-GB" w:eastAsia="en-GB"/>
        </w:rPr>
        <mc:AlternateContent>
          <mc:Choice Requires="wps">
            <w:drawing>
              <wp:anchor distT="0" distB="0" distL="0" distR="0" simplePos="0" relativeHeight="251747328" behindDoc="0" locked="0" layoutInCell="1" allowOverlap="1" wp14:anchorId="2C12F8C1" wp14:editId="6EDDC9A5">
                <wp:simplePos x="0" y="0"/>
                <wp:positionH relativeFrom="column">
                  <wp:posOffset>88900</wp:posOffset>
                </wp:positionH>
                <wp:positionV relativeFrom="paragraph">
                  <wp:posOffset>1261745</wp:posOffset>
                </wp:positionV>
                <wp:extent cx="183515" cy="1118235"/>
                <wp:effectExtent l="0" t="0" r="6985"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 cy="11182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6B1E65" w:rsidRDefault="00D3650F" w:rsidP="00BB15B1">
                            <w:pPr>
                              <w:spacing w:line="240" w:lineRule="auto"/>
                              <w:rPr>
                                <w:spacing w:val="0"/>
                                <w:w w:val="100"/>
                                <w:kern w:val="0"/>
                                <w:sz w:val="16"/>
                                <w:szCs w:val="16"/>
                              </w:rPr>
                            </w:pPr>
                            <w:r w:rsidRPr="00F21F71">
                              <w:rPr>
                                <w:b/>
                                <w:spacing w:val="0"/>
                                <w:w w:val="100"/>
                                <w:kern w:val="0"/>
                                <w:sz w:val="16"/>
                                <w:szCs w:val="16"/>
                                <w:lang w:val="fr-FR"/>
                              </w:rPr>
                              <w:t>Ensembles de données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65" type="#_x0000_t202" style="position:absolute;margin-left:7pt;margin-top:99.35pt;width:14.45pt;height:88.05pt;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" stroked="f">
                <v:stroke joinstyle="round"/>
                <v:path arrowok="t"/>
                <v:textbox style="layout-flow:vertical;mso-layout-flow-alt:bottom-to-top" inset="0,0,0,0">
                  <w:txbxContent>
                    <w:p w:rsidR="00D3650F" w:rsidRPr="006B1E65" w:rsidRDefault="00D3650F" w:rsidP="00BB15B1">
                      <w:pPr>
                        <w:spacing w:line="240" w:lineRule="auto"/>
                        <w:rPr>
                          <w:spacing w:val="0"/>
                          <w:w w:val="100"/>
                          <w:kern w:val="0"/>
                          <w:sz w:val="16"/>
                          <w:szCs w:val="16"/>
                        </w:rPr>
                      </w:pPr>
                      <w:r w:rsidRPr="00F21F71">
                        <w:rPr>
                          <w:b/>
                          <w:spacing w:val="0"/>
                          <w:w w:val="100"/>
                          <w:kern w:val="0"/>
                          <w:sz w:val="16"/>
                          <w:szCs w:val="16"/>
                          <w:lang w:val="fr-FR"/>
                        </w:rPr>
                        <w:t>Ensembles de données</w:t>
                      </w:r>
                    </w:p>
                  </w:txbxContent>
                </v:textbox>
              </v:shape>
            </w:pict>
          </mc:Fallback>
        </mc:AlternateContent>
      </w:r>
      <w:r w:rsidR="00BB15B1" w:rsidRPr="007C4E01">
        <w:rPr>
          <w:noProof/>
          <w:lang w:val="en-GB" w:eastAsia="en-GB"/>
        </w:rPr>
        <mc:AlternateContent>
          <mc:Choice Requires="wps">
            <w:drawing>
              <wp:anchor distT="0" distB="0" distL="0" distR="0" simplePos="0" relativeHeight="251745280" behindDoc="0" locked="0" layoutInCell="1" allowOverlap="1" wp14:anchorId="4D8DAE5C" wp14:editId="4F66DD28">
                <wp:simplePos x="0" y="0"/>
                <wp:positionH relativeFrom="column">
                  <wp:posOffset>137160</wp:posOffset>
                </wp:positionH>
                <wp:positionV relativeFrom="paragraph">
                  <wp:posOffset>3213735</wp:posOffset>
                </wp:positionV>
                <wp:extent cx="3840480" cy="204470"/>
                <wp:effectExtent l="0" t="0" r="762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0480" cy="2044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71D66">
                            <w:pPr>
                              <w:spacing w:line="240" w:lineRule="auto"/>
                              <w:jc w:val="right"/>
                              <w:rPr>
                                <w:spacing w:val="0"/>
                                <w:w w:val="100"/>
                                <w:kern w:val="0"/>
                                <w:sz w:val="16"/>
                                <w:szCs w:val="16"/>
                              </w:rPr>
                            </w:pPr>
                            <w:r w:rsidRPr="00F71D66">
                              <w:rPr>
                                <w:spacing w:val="0"/>
                                <w:w w:val="100"/>
                                <w:kern w:val="0"/>
                                <w:sz w:val="16"/>
                                <w:szCs w:val="16"/>
                              </w:rPr>
                              <w:t>38. Population reliée et non reliée aux réseaux de distribution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6" type="#_x0000_t202" style="position:absolute;margin-left:10.8pt;margin-top:253.05pt;width:302.4pt;height:16.1pt;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" stroked="f">
                <v:stroke joinstyle="round"/>
                <v:path arrowok="t"/>
                <v:textbox inset="0,0,0,0">
                  <w:txbxContent>
                    <w:p w:rsidR="00D3650F" w:rsidRPr="00FD1CE3" w:rsidRDefault="00D3650F" w:rsidP="00F71D66">
                      <w:pPr>
                        <w:spacing w:line="240" w:lineRule="auto"/>
                        <w:jc w:val="right"/>
                        <w:rPr>
                          <w:spacing w:val="0"/>
                          <w:w w:val="100"/>
                          <w:kern w:val="0"/>
                          <w:sz w:val="16"/>
                          <w:szCs w:val="16"/>
                        </w:rPr>
                      </w:pPr>
                      <w:r w:rsidRPr="00F71D66">
                        <w:rPr>
                          <w:spacing w:val="0"/>
                          <w:w w:val="100"/>
                          <w:kern w:val="0"/>
                          <w:sz w:val="16"/>
                          <w:szCs w:val="16"/>
                        </w:rPr>
                        <w:t>38. Population reliée et non reliée aux réseaux de distribution d’eau</w:t>
                      </w:r>
                    </w:p>
                  </w:txbxContent>
                </v:textbox>
              </v:shape>
            </w:pict>
          </mc:Fallback>
        </mc:AlternateContent>
      </w:r>
      <w:r w:rsidR="00BB15B1" w:rsidRPr="007C4E01">
        <w:rPr>
          <w:noProof/>
          <w:lang w:val="en-GB" w:eastAsia="en-GB"/>
        </w:rPr>
        <mc:AlternateContent>
          <mc:Choice Requires="wps">
            <w:drawing>
              <wp:anchor distT="0" distB="0" distL="0" distR="0" simplePos="0" relativeHeight="251729920" behindDoc="0" locked="0" layoutInCell="1" allowOverlap="1" wp14:anchorId="383F2A4A" wp14:editId="6A461BCB">
                <wp:simplePos x="0" y="0"/>
                <wp:positionH relativeFrom="column">
                  <wp:posOffset>368935</wp:posOffset>
                </wp:positionH>
                <wp:positionV relativeFrom="paragraph">
                  <wp:posOffset>784225</wp:posOffset>
                </wp:positionV>
                <wp:extent cx="3636010" cy="170180"/>
                <wp:effectExtent l="0" t="0" r="2540"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70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47. Eaux usées traitées dans les installations de traitement des eaux usées urbaines</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7" type="#_x0000_t202" style="position:absolute;margin-left:29.05pt;margin-top:61.75pt;width:286.3pt;height:13.4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47. Eaux usées traitées dans les installations de traitement des eaux usées urbaines</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41184" behindDoc="0" locked="0" layoutInCell="1" allowOverlap="1" wp14:anchorId="1EA51C74" wp14:editId="3F416296">
                <wp:simplePos x="0" y="0"/>
                <wp:positionH relativeFrom="column">
                  <wp:posOffset>348615</wp:posOffset>
                </wp:positionH>
                <wp:positionV relativeFrom="paragraph">
                  <wp:posOffset>2599055</wp:posOffset>
                </wp:positionV>
                <wp:extent cx="3636010" cy="149860"/>
                <wp:effectExtent l="0" t="0" r="2540" b="25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498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21. PDO total d’autres CFC entièrement halogénés</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8" type="#_x0000_t202" style="position:absolute;margin-left:27.45pt;margin-top:204.65pt;width:286.3pt;height:11.8pt;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21. PDO total d’autres CFC entièrement halogénés</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35040" behindDoc="0" locked="0" layoutInCell="1" allowOverlap="1" wp14:anchorId="4A6FE32B" wp14:editId="416AB7D2">
                <wp:simplePos x="0" y="0"/>
                <wp:positionH relativeFrom="column">
                  <wp:posOffset>348710</wp:posOffset>
                </wp:positionH>
                <wp:positionV relativeFrom="paragraph">
                  <wp:posOffset>1596551</wp:posOffset>
                </wp:positionV>
                <wp:extent cx="3636010" cy="197637"/>
                <wp:effectExtent l="0" t="0" r="254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9763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36. Pertes d’eau pendant le transport</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9" type="#_x0000_t202" style="position:absolute;margin-left:27.45pt;margin-top:125.7pt;width:286.3pt;height:15.55pt;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36. Pertes d’eau pendant le transport</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27872" behindDoc="0" locked="0" layoutInCell="1" allowOverlap="1" wp14:anchorId="361ACCE7" wp14:editId="3D339D0C">
                <wp:simplePos x="0" y="0"/>
                <wp:positionH relativeFrom="column">
                  <wp:posOffset>368935</wp:posOffset>
                </wp:positionH>
                <wp:positionV relativeFrom="paragraph">
                  <wp:posOffset>456565</wp:posOffset>
                </wp:positionV>
                <wp:extent cx="3636010" cy="184150"/>
                <wp:effectExtent l="0" t="0" r="254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841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32. Prélèvements d’eau douce par les entreprises de distribution d’eau […]</w:t>
                            </w:r>
                          </w:p>
                          <w:p w:rsidR="00D3650F" w:rsidRPr="00F71D66" w:rsidRDefault="00D3650F" w:rsidP="006B1E65">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70" type="#_x0000_t202" style="position:absolute;margin-left:29.05pt;margin-top:35.95pt;width:286.3pt;height:14.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32. Prélèvements d’eau douce par les entreprises de distribution d’eau […]</w:t>
                      </w:r>
                    </w:p>
                    <w:p w:rsidR="00D3650F" w:rsidRPr="00F71D66" w:rsidRDefault="00D3650F" w:rsidP="006B1E65">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28896" behindDoc="0" locked="0" layoutInCell="1" allowOverlap="1" wp14:anchorId="001CBB1E" wp14:editId="694314A2">
                <wp:simplePos x="0" y="0"/>
                <wp:positionH relativeFrom="column">
                  <wp:posOffset>360045</wp:posOffset>
                </wp:positionH>
                <wp:positionV relativeFrom="paragraph">
                  <wp:posOffset>635000</wp:posOffset>
                </wp:positionV>
                <wp:extent cx="3636010" cy="135890"/>
                <wp:effectExtent l="0" t="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64.</w:t>
                            </w:r>
                            <w:r w:rsidR="00755D9B">
                              <w:rPr>
                                <w:spacing w:val="0"/>
                                <w:w w:val="100"/>
                                <w:kern w:val="0"/>
                                <w:sz w:val="16"/>
                                <w:szCs w:val="16"/>
                              </w:rPr>
                              <w:t xml:space="preserve"> </w:t>
                            </w:r>
                            <w:r w:rsidRPr="00F71D66">
                              <w:rPr>
                                <w:spacing w:val="0"/>
                                <w:w w:val="100"/>
                                <w:kern w:val="0"/>
                                <w:sz w:val="16"/>
                                <w:szCs w:val="16"/>
                              </w:rPr>
                              <w:t>Déchets dangereux exportés</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71" type="#_x0000_t202" style="position:absolute;margin-left:28.35pt;margin-top:50pt;width:286.3pt;height:10.7pt;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JIRQMAAL4HAAAOAAAAZHJzL2Uyb0RvYy54bWzEVVtP2zAUfp+0/2D5vaQpba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64.</w:t>
                      </w:r>
                      <w:r w:rsidR="00755D9B">
                        <w:rPr>
                          <w:spacing w:val="0"/>
                          <w:w w:val="100"/>
                          <w:kern w:val="0"/>
                          <w:sz w:val="16"/>
                          <w:szCs w:val="16"/>
                        </w:rPr>
                        <w:t xml:space="preserve"> </w:t>
                      </w:r>
                      <w:r w:rsidRPr="00F71D66">
                        <w:rPr>
                          <w:spacing w:val="0"/>
                          <w:w w:val="100"/>
                          <w:kern w:val="0"/>
                          <w:sz w:val="16"/>
                          <w:szCs w:val="16"/>
                        </w:rPr>
                        <w:t>Déchets dangereux exportés</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32992" behindDoc="0" locked="0" layoutInCell="1" allowOverlap="1" wp14:anchorId="4D7B8789" wp14:editId="170B5E3A">
                <wp:simplePos x="0" y="0"/>
                <wp:positionH relativeFrom="column">
                  <wp:posOffset>346075</wp:posOffset>
                </wp:positionH>
                <wp:positionV relativeFrom="paragraph">
                  <wp:posOffset>1306830</wp:posOffset>
                </wp:positionV>
                <wp:extent cx="3636010" cy="135890"/>
                <wp:effectExtent l="0" t="0" r="254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67. Stock de déchets dangereux</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7.25pt;margin-top:102.9pt;width:286.3pt;height:10.7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67. Stock de déchets dangereux</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36064" behindDoc="0" locked="0" layoutInCell="1" allowOverlap="1" wp14:anchorId="2A2A872D" wp14:editId="3C90945A">
                <wp:simplePos x="0" y="0"/>
                <wp:positionH relativeFrom="column">
                  <wp:posOffset>345440</wp:posOffset>
                </wp:positionH>
                <wp:positionV relativeFrom="paragraph">
                  <wp:posOffset>1791335</wp:posOffset>
                </wp:positionV>
                <wp:extent cx="3636010" cy="135890"/>
                <wp:effectExtent l="0" t="0" r="254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11. Émissions de PCDD/F</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3" type="#_x0000_t202" style="position:absolute;margin-left:27.2pt;margin-top:141.05pt;width:286.3pt;height:10.7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feRQMAAL4HAAAOAAAAZHJzL2Uyb0RvYy54bWzEVVtP2zAUfp+0/2D5vaQpba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11. Émissions de PCDD/F</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37088" behindDoc="0" locked="0" layoutInCell="1" allowOverlap="1" wp14:anchorId="119813B8" wp14:editId="12393737">
                <wp:simplePos x="0" y="0"/>
                <wp:positionH relativeFrom="column">
                  <wp:posOffset>350520</wp:posOffset>
                </wp:positionH>
                <wp:positionV relativeFrom="paragraph">
                  <wp:posOffset>1948180</wp:posOffset>
                </wp:positionV>
                <wp:extent cx="3636010" cy="135890"/>
                <wp:effectExtent l="0" t="0" r="254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20. PDO total des halons</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74" type="#_x0000_t202" style="position:absolute;margin-left:27.6pt;margin-top:153.4pt;width:286.3pt;height:10.7pt;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20. PDO total des halons</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38112" behindDoc="0" locked="0" layoutInCell="1" allowOverlap="1" wp14:anchorId="3807E364" wp14:editId="21AB45D4">
                <wp:simplePos x="0" y="0"/>
                <wp:positionH relativeFrom="column">
                  <wp:posOffset>356235</wp:posOffset>
                </wp:positionH>
                <wp:positionV relativeFrom="paragraph">
                  <wp:posOffset>2098040</wp:posOffset>
                </wp:positionV>
                <wp:extent cx="3636010" cy="135890"/>
                <wp:effectExtent l="0" t="0" r="254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10. Émissions de PCB</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5" type="#_x0000_t202" style="position:absolute;margin-left:28.05pt;margin-top:165.2pt;width:286.3pt;height:10.7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10. Émissions de PCB</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39136" behindDoc="0" locked="0" layoutInCell="1" allowOverlap="1" wp14:anchorId="42A288F8" wp14:editId="706D5959">
                <wp:simplePos x="0" y="0"/>
                <wp:positionH relativeFrom="column">
                  <wp:posOffset>370205</wp:posOffset>
                </wp:positionH>
                <wp:positionV relativeFrom="paragraph">
                  <wp:posOffset>2266950</wp:posOffset>
                </wp:positionV>
                <wp:extent cx="3636010" cy="135890"/>
                <wp:effectExtent l="0" t="0" r="254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23. PDO total du trichloro-1,1,1 éthane</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6" type="#_x0000_t202" style="position:absolute;margin-left:29.15pt;margin-top:178.5pt;width:286.3pt;height:10.7pt;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sYRQMAAL4HAAAOAAAAZHJzL2Uyb0RvYy54bWzEVVtP2zAUfp+0/2D5vaQpba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23. PDO total du trichloro-1,1,1 éthane</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40160" behindDoc="0" locked="0" layoutInCell="1" allowOverlap="1" wp14:anchorId="2E09A192" wp14:editId="428829A4">
                <wp:simplePos x="0" y="0"/>
                <wp:positionH relativeFrom="column">
                  <wp:posOffset>356235</wp:posOffset>
                </wp:positionH>
                <wp:positionV relativeFrom="paragraph">
                  <wp:posOffset>2431415</wp:posOffset>
                </wp:positionV>
                <wp:extent cx="3636010" cy="135890"/>
                <wp:effectExtent l="0" t="0" r="254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22. PDO total du tétrachlorure de carbone</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7" type="#_x0000_t202" style="position:absolute;margin-left:28.05pt;margin-top:191.45pt;width:286.3pt;height:10.7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p8RAMAAL4HAAAOAAAAZHJzL2Uyb0RvYy54bWzEVVtP2zAUfp+0/2D5vaQpba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22. PDO total du tétrachlorure de carbone</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42208" behindDoc="0" locked="0" layoutInCell="1" allowOverlap="1" wp14:anchorId="7CB25CFB" wp14:editId="61A5F24E">
                <wp:simplePos x="0" y="0"/>
                <wp:positionH relativeFrom="column">
                  <wp:posOffset>81280</wp:posOffset>
                </wp:positionH>
                <wp:positionV relativeFrom="paragraph">
                  <wp:posOffset>2764790</wp:posOffset>
                </wp:positionV>
                <wp:extent cx="3902075" cy="156845"/>
                <wp:effectExtent l="0" t="0" r="317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2075"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30. Ressources renouvelables en eau douce</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78" type="#_x0000_t202" style="position:absolute;margin-left:6.4pt;margin-top:217.7pt;width:307.25pt;height:12.35pt;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30. Ressources renouvelables en eau douce</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BB15B1" w:rsidRPr="007C4E01">
        <w:rPr>
          <w:noProof/>
          <w:lang w:val="en-GB" w:eastAsia="en-GB"/>
        </w:rPr>
        <mc:AlternateContent>
          <mc:Choice Requires="wps">
            <w:drawing>
              <wp:anchor distT="0" distB="0" distL="0" distR="0" simplePos="0" relativeHeight="251744256" behindDoc="0" locked="0" layoutInCell="1" allowOverlap="1" wp14:anchorId="364D948B" wp14:editId="59487C26">
                <wp:simplePos x="0" y="0"/>
                <wp:positionH relativeFrom="column">
                  <wp:posOffset>357505</wp:posOffset>
                </wp:positionH>
                <wp:positionV relativeFrom="paragraph">
                  <wp:posOffset>3082925</wp:posOffset>
                </wp:positionV>
                <wp:extent cx="3636010" cy="135890"/>
                <wp:effectExtent l="0" t="0" r="254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010" cy="135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33. Indice d’exploitation des ressources en eau</w:t>
                            </w:r>
                          </w:p>
                          <w:p w:rsidR="00D3650F" w:rsidRPr="00FD1CE3" w:rsidRDefault="00D3650F" w:rsidP="00F71D66">
                            <w:pPr>
                              <w:spacing w:line="240" w:lineRule="auto"/>
                              <w:jc w:val="right"/>
                              <w:rPr>
                                <w:spacing w:val="0"/>
                                <w:w w:val="100"/>
                                <w:kern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9" type="#_x0000_t202" style="position:absolute;margin-left:28.15pt;margin-top:242.75pt;width:286.3pt;height:10.7pt;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" stroked="f">
                <v:stroke joinstyle="round"/>
                <v:path arrowok="t"/>
                <v:textbox inset="0,0,0,0">
                  <w:txbxContent>
                    <w:p w:rsidR="00D3650F" w:rsidRPr="00FD1CE3" w:rsidRDefault="00D3650F" w:rsidP="00F21F71">
                      <w:pPr>
                        <w:spacing w:line="240" w:lineRule="auto"/>
                        <w:jc w:val="right"/>
                        <w:rPr>
                          <w:spacing w:val="0"/>
                          <w:w w:val="100"/>
                          <w:kern w:val="0"/>
                          <w:sz w:val="16"/>
                          <w:szCs w:val="16"/>
                        </w:rPr>
                      </w:pPr>
                      <w:r w:rsidRPr="00F71D66">
                        <w:rPr>
                          <w:spacing w:val="0"/>
                          <w:w w:val="100"/>
                          <w:kern w:val="0"/>
                          <w:sz w:val="16"/>
                          <w:szCs w:val="16"/>
                        </w:rPr>
                        <w:t>33. Indice d’exploitation des ressources en eau</w:t>
                      </w:r>
                    </w:p>
                    <w:p w:rsidR="00D3650F" w:rsidRPr="00FD1CE3" w:rsidRDefault="00D3650F" w:rsidP="00F71D66">
                      <w:pPr>
                        <w:spacing w:line="240" w:lineRule="auto"/>
                        <w:jc w:val="right"/>
                        <w:rPr>
                          <w:spacing w:val="0"/>
                          <w:w w:val="100"/>
                          <w:kern w:val="0"/>
                          <w:sz w:val="16"/>
                          <w:szCs w:val="16"/>
                        </w:rPr>
                      </w:pPr>
                    </w:p>
                  </w:txbxContent>
                </v:textbox>
              </v:shape>
            </w:pict>
          </mc:Fallback>
        </mc:AlternateContent>
      </w:r>
      <w:r w:rsidR="00FD1CE3" w:rsidRPr="007C4E01">
        <w:rPr>
          <w:lang w:val="fr-CH"/>
        </w:rPr>
        <w:t xml:space="preserve"> </w:t>
      </w:r>
      <w:r w:rsidR="00FD1CE3" w:rsidRPr="007C4E01">
        <w:rPr>
          <w:noProof/>
          <w:lang w:val="en-GB" w:eastAsia="en-GB"/>
        </w:rPr>
        <w:drawing>
          <wp:inline distT="0" distB="0" distL="0" distR="0" wp14:anchorId="4CCFADF9" wp14:editId="56520013">
            <wp:extent cx="8173085" cy="3827400"/>
            <wp:effectExtent l="0" t="0" r="5715"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3085" cy="3827400"/>
                    </a:xfrm>
                    <a:prstGeom prst="rect">
                      <a:avLst/>
                    </a:prstGeom>
                    <a:noFill/>
                    <a:ln>
                      <a:noFill/>
                    </a:ln>
                  </pic:spPr>
                </pic:pic>
              </a:graphicData>
            </a:graphic>
          </wp:inline>
        </w:drawing>
      </w:r>
    </w:p>
    <w:p w:rsidR="00705F17" w:rsidRPr="007C4E01" w:rsidRDefault="00705F17" w:rsidP="00F21F71">
      <w:pPr>
        <w:pStyle w:val="SingleTxt"/>
        <w:spacing w:after="0" w:line="120" w:lineRule="exact"/>
        <w:ind w:left="0" w:right="0"/>
        <w:rPr>
          <w:sz w:val="10"/>
          <w:lang w:val="fr-CH"/>
        </w:rPr>
      </w:pPr>
    </w:p>
    <w:p w:rsidR="00F21F71" w:rsidRPr="007C4E01" w:rsidRDefault="00F21F71" w:rsidP="00F21F71">
      <w:pPr>
        <w:pStyle w:val="SingleTxt"/>
        <w:spacing w:after="0" w:line="120" w:lineRule="exact"/>
        <w:ind w:left="0" w:right="0"/>
        <w:rPr>
          <w:sz w:val="10"/>
          <w:lang w:val="fr-CH"/>
        </w:rPr>
      </w:pPr>
    </w:p>
    <w:p w:rsidR="00F21F71" w:rsidRPr="007C4E01" w:rsidRDefault="00F21F71" w:rsidP="00F21F71">
      <w:pPr>
        <w:pStyle w:val="FootnoteText"/>
        <w:tabs>
          <w:tab w:val="right" w:pos="216"/>
          <w:tab w:val="left" w:pos="288"/>
          <w:tab w:val="right" w:pos="576"/>
          <w:tab w:val="left" w:pos="648"/>
        </w:tabs>
        <w:ind w:left="288" w:hanging="288"/>
        <w:rPr>
          <w:lang w:val="fr-CH"/>
        </w:rPr>
      </w:pPr>
      <w:r w:rsidRPr="007C4E01">
        <w:rPr>
          <w:i/>
          <w:lang w:val="fr-CH"/>
        </w:rPr>
        <w:t>Note </w:t>
      </w:r>
      <w:r w:rsidRPr="007C4E01">
        <w:rPr>
          <w:lang w:val="fr-CH"/>
        </w:rPr>
        <w:t>:</w:t>
      </w:r>
      <w:r w:rsidRPr="007C4E01">
        <w:rPr>
          <w:i/>
          <w:lang w:val="fr-CH"/>
        </w:rPr>
        <w:t xml:space="preserve"> </w:t>
      </w:r>
      <w:r w:rsidRPr="007C4E01">
        <w:rPr>
          <w:lang w:val="fr-CH"/>
        </w:rPr>
        <w:t xml:space="preserve">Voir </w:t>
      </w:r>
      <w:r w:rsidR="00313044">
        <w:rPr>
          <w:lang w:val="fr-CH"/>
        </w:rPr>
        <w:t xml:space="preserve">la section C l’annexe </w:t>
      </w:r>
      <w:r w:rsidRPr="007C4E01">
        <w:rPr>
          <w:lang w:val="fr-CH"/>
        </w:rPr>
        <w:t>pour les obligations juridiques associées à chaque ensemble de données.</w:t>
      </w:r>
    </w:p>
    <w:p w:rsidR="00F21F71" w:rsidRPr="007C4E01" w:rsidRDefault="00F21F71" w:rsidP="00F21F71">
      <w:pPr>
        <w:pStyle w:val="FootnoteText"/>
        <w:tabs>
          <w:tab w:val="right" w:pos="216"/>
          <w:tab w:val="left" w:pos="288"/>
          <w:tab w:val="right" w:pos="576"/>
          <w:tab w:val="left" w:pos="648"/>
        </w:tabs>
        <w:ind w:left="288" w:hanging="288"/>
        <w:rPr>
          <w:lang w:val="fr-CH"/>
        </w:rPr>
      </w:pPr>
      <w:r w:rsidRPr="007C4E01">
        <w:rPr>
          <w:i/>
          <w:lang w:val="fr-CH"/>
        </w:rPr>
        <w:t>Abréviations</w:t>
      </w:r>
      <w:r w:rsidRPr="007C4E01">
        <w:rPr>
          <w:lang w:val="fr-CH"/>
        </w:rPr>
        <w:t> : PDO : potentiel d’appauvrissement de l’ozone; HAP : hydrocarbures aromatiques polycycliques; PCB : biphényle polychloré; PCCD/F : polychlorodibenzo-p-dioxines et polychlorodibenzo-p-furanes; CFC : chlorofluorocarbone.</w:t>
      </w:r>
    </w:p>
    <w:p w:rsidR="00705F17" w:rsidRPr="007C4E01" w:rsidRDefault="00705F17" w:rsidP="0023065F">
      <w:pPr>
        <w:pStyle w:val="SingleTxt"/>
        <w:rPr>
          <w:lang w:val="fr-CH"/>
        </w:rPr>
      </w:pPr>
    </w:p>
    <w:p w:rsidR="00705F17" w:rsidRPr="007C4E01" w:rsidRDefault="00705F17" w:rsidP="0023065F">
      <w:pPr>
        <w:pStyle w:val="SingleTxt"/>
        <w:rPr>
          <w:lang w:val="fr-CH"/>
        </w:rPr>
        <w:sectPr w:rsidR="00705F17" w:rsidRPr="007C4E01" w:rsidSect="00705F17">
          <w:headerReference w:type="even" r:id="rId18"/>
          <w:headerReference w:type="default" r:id="rId19"/>
          <w:footerReference w:type="even" r:id="rId20"/>
          <w:footerReference w:type="default" r:id="rId21"/>
          <w:endnotePr>
            <w:numFmt w:val="decimal"/>
          </w:endnotePr>
          <w:pgSz w:w="16834" w:h="11909" w:orient="landscape"/>
          <w:pgMar w:top="1195" w:right="1742" w:bottom="1195" w:left="1901" w:header="576" w:footer="1037" w:gutter="0"/>
          <w:cols w:space="720"/>
          <w:noEndnote/>
          <w:bidi/>
          <w:rtlGutter/>
          <w:docGrid w:linePitch="360"/>
        </w:sectPr>
      </w:pPr>
    </w:p>
    <w:p w:rsidR="0023065F" w:rsidRPr="007C4E01" w:rsidRDefault="00F47184" w:rsidP="00F471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15" w:name="_Toc440461427"/>
      <w:r w:rsidRPr="007C4E01">
        <w:rPr>
          <w:lang w:val="fr-CH"/>
        </w:rPr>
        <w:tab/>
      </w:r>
      <w:r w:rsidR="0023065F" w:rsidRPr="007C4E01">
        <w:rPr>
          <w:lang w:val="fr-CH"/>
        </w:rPr>
        <w:t>D.</w:t>
      </w:r>
      <w:r w:rsidR="0023065F" w:rsidRPr="007C4E01">
        <w:rPr>
          <w:lang w:val="fr-CH"/>
        </w:rPr>
        <w:tab/>
        <w:t>Résultats par critère d’examen</w:t>
      </w:r>
      <w:bookmarkEnd w:id="115"/>
    </w:p>
    <w:p w:rsidR="00F47184" w:rsidRPr="007C4E01" w:rsidRDefault="00F47184" w:rsidP="00F47184">
      <w:pPr>
        <w:pStyle w:val="SingleTxt"/>
        <w:spacing w:after="0" w:line="120" w:lineRule="exact"/>
        <w:rPr>
          <w:sz w:val="10"/>
          <w:lang w:val="fr-CH"/>
        </w:rPr>
      </w:pPr>
    </w:p>
    <w:p w:rsidR="00F47184" w:rsidRPr="007C4E01" w:rsidRDefault="00F47184" w:rsidP="00F47184">
      <w:pPr>
        <w:pStyle w:val="SingleTxt"/>
        <w:spacing w:after="0" w:line="120" w:lineRule="exact"/>
        <w:rPr>
          <w:sz w:val="10"/>
          <w:lang w:val="fr-CH"/>
        </w:rPr>
      </w:pPr>
    </w:p>
    <w:p w:rsidR="0023065F" w:rsidRPr="007C4E01" w:rsidRDefault="0023065F" w:rsidP="00F47184">
      <w:pPr>
        <w:pStyle w:val="SingleTxt"/>
        <w:numPr>
          <w:ilvl w:val="0"/>
          <w:numId w:val="10"/>
        </w:numPr>
        <w:rPr>
          <w:lang w:val="fr-CH"/>
        </w:rPr>
      </w:pPr>
      <w:r w:rsidRPr="007C4E01">
        <w:rPr>
          <w:lang w:val="fr-CH"/>
        </w:rPr>
        <w:t>Il est encourageant de noter que, pour presque tous les ensembles de données publiés en ligne (lesquels représentent 51 % des ensembles), les États membres donnent aussi des informations sur la méthodologie appliquée, sur l’interprétation et l’utilisation des données ainsi que sur les sources de données. Il a ainsi été constaté que les informations sur les sources et sur l’interprétation des données sont fournies en moyenne dans 96 et 97 % des cas, respectivement, et qu’un lien vers la méthodologie appliquée est indiqué pour 90 % des ensembles publiés. Comme on l’</w:t>
      </w:r>
      <w:r w:rsidR="00F47184" w:rsidRPr="007C4E01">
        <w:rPr>
          <w:lang w:val="fr-CH"/>
        </w:rPr>
        <w:t>a fait observer dans la section </w:t>
      </w:r>
      <w:r w:rsidRPr="007C4E01">
        <w:rPr>
          <w:lang w:val="fr-CH"/>
        </w:rPr>
        <w:t>A, l’examen ne permet de faire aucune déduction quant à la qualité des informations; il se limite à confirmer leur accessibilité en ligne.</w:t>
      </w:r>
    </w:p>
    <w:p w:rsidR="0023065F" w:rsidRPr="007C4E01" w:rsidRDefault="0023065F" w:rsidP="00F47184">
      <w:pPr>
        <w:pStyle w:val="SingleTxt"/>
        <w:numPr>
          <w:ilvl w:val="0"/>
          <w:numId w:val="10"/>
        </w:numPr>
        <w:rPr>
          <w:lang w:val="fr-CH"/>
        </w:rPr>
      </w:pPr>
      <w:r w:rsidRPr="007C4E01">
        <w:rPr>
          <w:lang w:val="fr-CH"/>
        </w:rPr>
        <w:t xml:space="preserve">De même que dans la section précédente, les résultats varient en fonction du domaine thématique et de l’ensemble de données. S’agissant de la disponibilité des informations sur l’interprétation et l’utilisation des données, le </w:t>
      </w:r>
      <w:r w:rsidR="00F47184" w:rsidRPr="007C4E01">
        <w:rPr>
          <w:lang w:val="fr-CH"/>
        </w:rPr>
        <w:t>résultat se situe entre 84 % (3 </w:t>
      </w:r>
      <w:r w:rsidRPr="007C4E01">
        <w:rPr>
          <w:lang w:val="fr-CH"/>
        </w:rPr>
        <w:t>ens</w:t>
      </w:r>
      <w:r w:rsidR="00F47184" w:rsidRPr="007C4E01">
        <w:rPr>
          <w:lang w:val="fr-CH"/>
        </w:rPr>
        <w:t>embles de données) et 100 % (31 </w:t>
      </w:r>
      <w:r w:rsidRPr="007C4E01">
        <w:rPr>
          <w:lang w:val="fr-CH"/>
        </w:rPr>
        <w:t xml:space="preserve">ensembles de données). Pour ce qui est des informations sur les sources de </w:t>
      </w:r>
      <w:r w:rsidR="00F47184" w:rsidRPr="007C4E01">
        <w:rPr>
          <w:lang w:val="fr-CH"/>
        </w:rPr>
        <w:t>données, il varie entre 81 % (1 </w:t>
      </w:r>
      <w:r w:rsidRPr="007C4E01">
        <w:rPr>
          <w:lang w:val="fr-CH"/>
        </w:rPr>
        <w:t>ensemble de données) et 100 % (27 ensembles de données), et pour ce qui est de celles sur la méthodologie appli</w:t>
      </w:r>
      <w:r w:rsidR="00F47184" w:rsidRPr="007C4E01">
        <w:rPr>
          <w:lang w:val="fr-CH"/>
        </w:rPr>
        <w:t>quée, il se situe entre 77 % (1 </w:t>
      </w:r>
      <w:r w:rsidRPr="007C4E01">
        <w:rPr>
          <w:lang w:val="fr-CH"/>
        </w:rPr>
        <w:t>ensemble de données) et 100 % (4 ensembles de données).</w:t>
      </w:r>
    </w:p>
    <w:p w:rsidR="0023065F" w:rsidRPr="007C4E01" w:rsidRDefault="0023065F" w:rsidP="00F47184">
      <w:pPr>
        <w:pStyle w:val="SingleTxt"/>
        <w:numPr>
          <w:ilvl w:val="0"/>
          <w:numId w:val="10"/>
        </w:numPr>
        <w:rPr>
          <w:lang w:val="fr-CH"/>
        </w:rPr>
      </w:pPr>
      <w:r w:rsidRPr="007C4E01">
        <w:rPr>
          <w:lang w:val="fr-CH"/>
        </w:rPr>
        <w:t>Le résultat obtenu concernant les informations sur la méthodologie appliquée pourrait baisser s’il était mesuré à l’aune des normes internationalement reconnues. Le même raisonnement vaut pour les informations sur l’interprétation et l’utilisation des données, le résultat étant susceptible d’être inférieur si des facteurs tels que la langue et les objectifs politiques étaient pris en compte.</w:t>
      </w:r>
    </w:p>
    <w:p w:rsidR="0023065F" w:rsidRPr="007C4E01" w:rsidRDefault="0023065F" w:rsidP="00F47184">
      <w:pPr>
        <w:pStyle w:val="SingleTxt"/>
        <w:numPr>
          <w:ilvl w:val="0"/>
          <w:numId w:val="10"/>
        </w:numPr>
        <w:rPr>
          <w:lang w:val="fr-CH"/>
        </w:rPr>
      </w:pPr>
      <w:r w:rsidRPr="007C4E01">
        <w:rPr>
          <w:lang w:val="fr-CH"/>
        </w:rPr>
        <w:t>Il convient de souligner que les États membres n’ont pas obtenu d’aussi bons résultats pour ce qui est d’actualiser régulièrement les informations disponibles en ligne. Il a ainsi été observé à maintes reprises que les séries chronologiques n’étaient pas à jour, ce qui signifie que les séries postérieures à 2012 n’avaient pas été rendues disponibles. On a constaté à cet égard qu’en moyenne, 79 % des données étaient à jour, ce pourcentage variant entre 64 % (1</w:t>
      </w:r>
      <w:r w:rsidR="00F47184" w:rsidRPr="007C4E01">
        <w:rPr>
          <w:lang w:val="fr-CH"/>
        </w:rPr>
        <w:t> </w:t>
      </w:r>
      <w:r w:rsidRPr="007C4E01">
        <w:rPr>
          <w:lang w:val="fr-CH"/>
        </w:rPr>
        <w:t>ensemble de données) et 95 % (1</w:t>
      </w:r>
      <w:r w:rsidR="00F47184" w:rsidRPr="007C4E01">
        <w:rPr>
          <w:lang w:val="fr-CH"/>
        </w:rPr>
        <w:t> </w:t>
      </w:r>
      <w:r w:rsidRPr="007C4E01">
        <w:rPr>
          <w:lang w:val="fr-CH"/>
        </w:rPr>
        <w:t>ensemble de données). En fait, il n’existait aucun ensemble de données pour lequel tous les pays avaient fourni des séries chronologiques actualisées satisfaisant aux critères d’examen établis.</w:t>
      </w:r>
    </w:p>
    <w:p w:rsidR="0023065F" w:rsidRPr="007C4E01" w:rsidRDefault="0023065F" w:rsidP="00F47184">
      <w:pPr>
        <w:pStyle w:val="SingleTxt"/>
        <w:numPr>
          <w:ilvl w:val="0"/>
          <w:numId w:val="10"/>
        </w:numPr>
        <w:rPr>
          <w:lang w:val="fr-CH"/>
        </w:rPr>
      </w:pPr>
      <w:r w:rsidRPr="007C4E01">
        <w:rPr>
          <w:lang w:val="fr-CH"/>
        </w:rPr>
        <w:t>Enfin, comme le montrent les exemples donnés dans l’encadré</w:t>
      </w:r>
      <w:r w:rsidR="00F47184" w:rsidRPr="007C4E01">
        <w:rPr>
          <w:lang w:val="fr-CH"/>
        </w:rPr>
        <w:t> </w:t>
      </w:r>
      <w:r w:rsidRPr="007C4E01">
        <w:rPr>
          <w:lang w:val="fr-CH"/>
        </w:rPr>
        <w:t>1, l’absence d’informations à jour pourrait simplement être attribuable à un retard dans la publication d’informations auxquelles ont déjà accès les entités ou points focaux de chaque pays. Le mécanisme d’établissement de rapports qui est prévu pourrait alors favoriser une actualisation plus régulière des informations et la surveillance des progrès accomplis à cet égard.</w:t>
      </w:r>
    </w:p>
    <w:p w:rsidR="00F47184" w:rsidRPr="007C4E01" w:rsidRDefault="00F47184" w:rsidP="00F47184">
      <w:pPr>
        <w:pStyle w:val="SingleTxt"/>
        <w:spacing w:after="0" w:line="120" w:lineRule="exact"/>
        <w:rPr>
          <w:sz w:val="10"/>
          <w:lang w:val="fr-CH"/>
        </w:rPr>
      </w:pPr>
    </w:p>
    <w:p w:rsidR="00F47184" w:rsidRPr="007C4E01" w:rsidRDefault="00F47184" w:rsidP="00F47184">
      <w:pPr>
        <w:pStyle w:val="SingleTxt"/>
        <w:spacing w:after="0" w:line="120" w:lineRule="exact"/>
        <w:rPr>
          <w:sz w:val="10"/>
          <w:lang w:val="fr-CH"/>
        </w:rPr>
      </w:pPr>
    </w:p>
    <w:p w:rsidR="0023065F" w:rsidRPr="007C4E01" w:rsidRDefault="0023065F" w:rsidP="00F471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16" w:name="_Toc440461428"/>
      <w:r w:rsidRPr="007C4E01">
        <w:rPr>
          <w:lang w:val="fr-CH"/>
        </w:rPr>
        <w:tab/>
        <w:t>E.</w:t>
      </w:r>
      <w:r w:rsidRPr="007C4E01">
        <w:rPr>
          <w:lang w:val="fr-CH"/>
        </w:rPr>
        <w:tab/>
        <w:t>Analyse approfondie de l’accessibilité des données</w:t>
      </w:r>
      <w:bookmarkEnd w:id="116"/>
    </w:p>
    <w:p w:rsidR="00F47184" w:rsidRPr="007C4E01" w:rsidRDefault="00F47184" w:rsidP="00F47184">
      <w:pPr>
        <w:pStyle w:val="SingleTxt"/>
        <w:spacing w:after="0" w:line="120" w:lineRule="exact"/>
        <w:rPr>
          <w:sz w:val="10"/>
          <w:lang w:val="fr-CH"/>
        </w:rPr>
      </w:pPr>
    </w:p>
    <w:p w:rsidR="00F47184" w:rsidRPr="007C4E01" w:rsidRDefault="00F47184" w:rsidP="00F47184">
      <w:pPr>
        <w:pStyle w:val="SingleTxt"/>
        <w:spacing w:after="0" w:line="120" w:lineRule="exact"/>
        <w:rPr>
          <w:sz w:val="10"/>
          <w:lang w:val="fr-CH"/>
        </w:rPr>
      </w:pPr>
    </w:p>
    <w:p w:rsidR="0023065F" w:rsidRPr="007C4E01" w:rsidRDefault="0023065F" w:rsidP="00F47184">
      <w:pPr>
        <w:pStyle w:val="SingleTxt"/>
        <w:numPr>
          <w:ilvl w:val="0"/>
          <w:numId w:val="10"/>
        </w:numPr>
        <w:rPr>
          <w:lang w:val="fr-CH"/>
        </w:rPr>
      </w:pPr>
      <w:r w:rsidRPr="007C4E01">
        <w:rPr>
          <w:lang w:val="fr-CH"/>
        </w:rPr>
        <w:t>Dans le cadre du processus d’examen, le secrétariat a constaté que les approches adoptées par les États membres pour partager et présenter des informations en ligne varient considérablement. Cette situation résulte de la diversité des cadres législatifs, des structures ministérielles, des compétences et des stratégies existant au niveau national. Puisqu’il n’est pas du ressort de l’examen d’analyser les conditions contextuelles de chaque pays de la région paneuropéenne, les résultats recensés ne témoignent pas totalement de la diversité avec laquelle les ensembles de données du SEIS sont publiés en ligne. Ainsi, un État membre peut publier toutes les données sur un seul site Web alors qu’un autre peut diffuser les informations par l’intermédiaire de plusieurs points focaux, plates-formes et types de médias. Il va de soi qu’il est difficile, dans ce dernier cas, de chercher et de trouver les données pertinentes.</w:t>
      </w:r>
    </w:p>
    <w:p w:rsidR="0023065F" w:rsidRPr="007C4E01" w:rsidRDefault="0023065F" w:rsidP="00F47184">
      <w:pPr>
        <w:pStyle w:val="SingleTxt"/>
        <w:numPr>
          <w:ilvl w:val="0"/>
          <w:numId w:val="10"/>
        </w:numPr>
        <w:rPr>
          <w:lang w:val="fr-CH"/>
        </w:rPr>
      </w:pPr>
      <w:r w:rsidRPr="007C4E01">
        <w:rPr>
          <w:lang w:val="fr-CH"/>
        </w:rPr>
        <w:t>Qui plus est, la plupart des sites Web ne présentent encore toutes les informations publiques que dans la langue nationale du pays concerné. En effet, ces informations ne sont que rarement diffusées dans une ou plusieurs langues secondes (anglais, russe), ce qui peut empêcher la communauté internationale d’utiliser les données publiées. Citons également à titre d’exemple le fait que la majorité des sites Web semblent indiquer clairement les coordonnées des points focaux compétents (tel que prévu par la Convention d’Aarhus), mais que leur facilité d’utilisation varie considérablement pour ce qui est de la clarté des données et de leur présentation en ligne (s’agissant dans le cas présent de la forme). Le Groupe de travail n’avait à l’origine pas pris en compte ces types d’écarts.</w:t>
      </w:r>
    </w:p>
    <w:p w:rsidR="0023065F" w:rsidRPr="007C4E01" w:rsidRDefault="0023065F" w:rsidP="00F47184">
      <w:pPr>
        <w:pStyle w:val="SingleTxt"/>
        <w:numPr>
          <w:ilvl w:val="0"/>
          <w:numId w:val="10"/>
        </w:numPr>
        <w:rPr>
          <w:lang w:val="fr-CH"/>
        </w:rPr>
      </w:pPr>
      <w:r w:rsidRPr="007C4E01">
        <w:rPr>
          <w:lang w:val="fr-CH"/>
        </w:rPr>
        <w:t>Pour remédier à cette lacune, le Groupe de travail a procédé à une analyse approfondie de la situation sur la base des questions posées aux fins de l’examen (</w:t>
      </w:r>
      <w:r w:rsidR="00313044">
        <w:rPr>
          <w:lang w:val="fr-CH"/>
        </w:rPr>
        <w:t>la section  </w:t>
      </w:r>
      <w:r w:rsidRPr="007C4E01">
        <w:rPr>
          <w:lang w:val="fr-CH"/>
        </w:rPr>
        <w:t xml:space="preserve"> de l’annexe). Cette analyse a été effectuée pour les pays suivants</w:t>
      </w:r>
      <w:r w:rsidR="00F041C3" w:rsidRPr="007C4E01">
        <w:rPr>
          <w:lang w:val="fr-CH"/>
        </w:rPr>
        <w:t xml:space="preserve"> :</w:t>
      </w:r>
      <w:r w:rsidRPr="007C4E01">
        <w:rPr>
          <w:lang w:val="fr-CH"/>
        </w:rPr>
        <w:t xml:space="preserve"> Autriche, Bosnie-Herzégovine, France, Géorgie, Allemagne, Kirghizistan, Lituanie, Fédération de Russie, Suède et Suisse. L’encadré</w:t>
      </w:r>
      <w:r w:rsidR="00F47184" w:rsidRPr="007C4E01">
        <w:rPr>
          <w:lang w:val="fr-CH"/>
        </w:rPr>
        <w:t> </w:t>
      </w:r>
      <w:r w:rsidRPr="007C4E01">
        <w:rPr>
          <w:lang w:val="fr-CH"/>
        </w:rPr>
        <w:t>2 présente un résumé des résultats obtenus pour chaque pays.</w:t>
      </w:r>
    </w:p>
    <w:p w:rsidR="00F47184" w:rsidRPr="007C4E01" w:rsidRDefault="00F47184" w:rsidP="00F47184">
      <w:pPr>
        <w:pStyle w:val="SingleTxt"/>
        <w:spacing w:after="0" w:line="120" w:lineRule="exact"/>
        <w:rPr>
          <w:sz w:val="10"/>
          <w:lang w:val="fr-CH"/>
        </w:rPr>
      </w:pPr>
    </w:p>
    <w:p w:rsidR="00F47184" w:rsidRPr="007C4E01" w:rsidRDefault="00F47184" w:rsidP="00F47184">
      <w:pPr>
        <w:pStyle w:val="SingleTxt"/>
        <w:spacing w:after="0" w:line="120" w:lineRule="exact"/>
        <w:rPr>
          <w:sz w:val="10"/>
          <w:lang w:val="fr-CH"/>
        </w:rPr>
      </w:pP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F47184" w:rsidRPr="007C4E01" w:rsidTr="00255EF7">
        <w:tc>
          <w:tcPr>
            <w:tcW w:w="7511" w:type="dxa"/>
            <w:shd w:val="clear" w:color="auto" w:fill="auto"/>
          </w:tcPr>
          <w:p w:rsidR="00F47184" w:rsidRPr="007C4E01" w:rsidRDefault="00F47184"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F47184" w:rsidRPr="007C4E01" w:rsidRDefault="006E084E" w:rsidP="008722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rPr>
                <w:lang w:val="fr-CH"/>
              </w:rPr>
            </w:pPr>
            <w:r w:rsidRPr="007C4E01">
              <w:rPr>
                <w:lang w:val="fr-CH"/>
              </w:rPr>
              <w:t xml:space="preserve">Encadré 2 </w:t>
            </w:r>
            <w:r w:rsidRPr="007C4E01">
              <w:rPr>
                <w:lang w:val="fr-CH"/>
              </w:rPr>
              <w:br/>
            </w:r>
            <w:r w:rsidRPr="007C4E01">
              <w:rPr>
                <w:b/>
                <w:lang w:val="fr-CH"/>
              </w:rPr>
              <w:t xml:space="preserve">Résumé des résultats de l’analyse approfondie sur l’accessibilité </w:t>
            </w:r>
            <w:r w:rsidRPr="007C4E01">
              <w:rPr>
                <w:b/>
                <w:lang w:val="fr-CH"/>
              </w:rPr>
              <w:br/>
              <w:t>des données en ligne</w:t>
            </w:r>
          </w:p>
        </w:tc>
      </w:tr>
      <w:tr w:rsidR="006E084E" w:rsidRPr="007C4E01" w:rsidTr="00255EF7">
        <w:tc>
          <w:tcPr>
            <w:tcW w:w="7511" w:type="dxa"/>
            <w:shd w:val="clear" w:color="auto" w:fill="auto"/>
          </w:tcPr>
          <w:p w:rsidR="006E084E" w:rsidRPr="006E084E" w:rsidRDefault="006E084E" w:rsidP="006E08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7C4E01">
              <w:rPr>
                <w:b/>
                <w:lang w:val="fr-CH"/>
              </w:rPr>
              <w:t>Autriche</w:t>
            </w:r>
          </w:p>
        </w:tc>
      </w:tr>
      <w:tr w:rsidR="00F47184" w:rsidRPr="007C4E01" w:rsidTr="00255EF7">
        <w:tc>
          <w:tcPr>
            <w:tcW w:w="7511" w:type="dxa"/>
            <w:shd w:val="clear" w:color="auto" w:fill="auto"/>
          </w:tcPr>
          <w:p w:rsidR="00F47184" w:rsidRPr="007C4E01" w:rsidRDefault="00C95ED5"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r>
            <w:r w:rsidR="0023065F" w:rsidRPr="007C4E01">
              <w:rPr>
                <w:lang w:val="fr-CH"/>
              </w:rPr>
              <w:t xml:space="preserve">La plupart des ensembles de données (80 %) sont publiés en ligne. </w:t>
            </w:r>
          </w:p>
        </w:tc>
      </w:tr>
      <w:tr w:rsidR="00B73987" w:rsidRPr="007C4E01" w:rsidTr="00255EF7">
        <w:tc>
          <w:tcPr>
            <w:tcW w:w="7511" w:type="dxa"/>
            <w:shd w:val="clear" w:color="auto" w:fill="auto"/>
          </w:tcPr>
          <w:p w:rsidR="00B73987" w:rsidRPr="007C4E01" w:rsidRDefault="00B73987" w:rsidP="00C95E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Les informations se trouvent principalement sur deux plates-formes (87 %), mais une partie d’entre elles sont réparties entre quatre plates-formes additionnelles (nationales et internationales).</w:t>
            </w:r>
          </w:p>
        </w:tc>
      </w:tr>
      <w:tr w:rsidR="00B73987" w:rsidRPr="007C4E01" w:rsidTr="00255EF7">
        <w:tc>
          <w:tcPr>
            <w:tcW w:w="7511" w:type="dxa"/>
            <w:shd w:val="clear" w:color="auto" w:fill="auto"/>
          </w:tcPr>
          <w:p w:rsidR="00B73987" w:rsidRPr="007C4E01" w:rsidRDefault="00B73987" w:rsidP="00C95E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Les ensembles de données sont publiés en ligne sous des formes variées, telles que des textes, des graphiques (statiques et dynamiques) et des rapports.</w:t>
            </w:r>
          </w:p>
        </w:tc>
      </w:tr>
      <w:tr w:rsidR="00B73987" w:rsidRPr="007C4E01" w:rsidTr="00255EF7">
        <w:tc>
          <w:tcPr>
            <w:tcW w:w="7511" w:type="dxa"/>
            <w:shd w:val="clear" w:color="auto" w:fill="auto"/>
          </w:tcPr>
          <w:p w:rsidR="00B73987" w:rsidRPr="007C4E01" w:rsidRDefault="00B73987" w:rsidP="00C95E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 xml:space="preserve">Presque tous les ensembles de données indiquent clairement les coordonnées des points focaux, mais la facilité d’utilisation varie </w:t>
            </w:r>
            <w:r w:rsidR="00872250">
              <w:rPr>
                <w:lang w:val="fr-CH"/>
              </w:rPr>
              <w:t>considérablement selon la plate</w:t>
            </w:r>
            <w:r w:rsidRPr="007C4E01">
              <w:rPr>
                <w:lang w:val="fr-CH"/>
              </w:rPr>
              <w:t>forme.</w:t>
            </w:r>
          </w:p>
        </w:tc>
      </w:tr>
      <w:tr w:rsidR="00B73987" w:rsidRPr="007C4E01" w:rsidTr="00255EF7">
        <w:tc>
          <w:tcPr>
            <w:tcW w:w="7511" w:type="dxa"/>
            <w:shd w:val="clear" w:color="auto" w:fill="auto"/>
          </w:tcPr>
          <w:p w:rsidR="00B73987" w:rsidRPr="007C4E01" w:rsidRDefault="00B73987" w:rsidP="00C95E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Il n’existe pas d’ensemble de données sur l’utilisation de l’eau, les prélèvements d’eau douce et l’émission de substances appauvrissant la couche d’ozone. Les rejets ont cependant entièrement cessé d’être mesurés dans ce dernier cas.</w:t>
            </w:r>
          </w:p>
        </w:tc>
      </w:tr>
      <w:tr w:rsidR="00B73987" w:rsidRPr="007C4E01" w:rsidTr="00255EF7">
        <w:tc>
          <w:tcPr>
            <w:tcW w:w="7511" w:type="dxa"/>
            <w:shd w:val="clear" w:color="auto" w:fill="auto"/>
          </w:tcPr>
          <w:p w:rsidR="00B73987" w:rsidRPr="007C4E01" w:rsidRDefault="00B73987" w:rsidP="00C95E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La plupart des informations ne sont présentées qu’en une langue, ce qui rend la recherche de données plus difficile.</w:t>
            </w:r>
          </w:p>
        </w:tc>
      </w:tr>
      <w:tr w:rsidR="00F47184" w:rsidRPr="007C4E01" w:rsidTr="00255EF7">
        <w:tc>
          <w:tcPr>
            <w:tcW w:w="7511" w:type="dxa"/>
            <w:shd w:val="clear" w:color="auto" w:fill="auto"/>
          </w:tcPr>
          <w:p w:rsidR="00F47184" w:rsidRPr="007C4E01" w:rsidRDefault="00872250"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907"/>
                <w:tab w:val="left" w:pos="965"/>
                <w:tab w:val="left" w:pos="1440"/>
                <w:tab w:val="left" w:pos="1915"/>
                <w:tab w:val="left" w:pos="2405"/>
                <w:tab w:val="left" w:pos="2880"/>
                <w:tab w:val="left" w:pos="3355"/>
              </w:tabs>
              <w:ind w:left="965" w:right="475" w:hanging="490"/>
              <w:rPr>
                <w:lang w:val="fr-CH"/>
              </w:rPr>
            </w:pPr>
            <w:r>
              <w:rPr>
                <w:b/>
                <w:lang w:val="fr-CH"/>
              </w:rPr>
              <w:t>Bosnie-</w:t>
            </w:r>
            <w:r w:rsidR="00C95ED5" w:rsidRPr="007C4E01">
              <w:rPr>
                <w:b/>
                <w:lang w:val="fr-CH"/>
              </w:rPr>
              <w:t>Herzégovine</w:t>
            </w:r>
          </w:p>
        </w:tc>
      </w:tr>
      <w:tr w:rsidR="00F47184" w:rsidRPr="007C4E01" w:rsidTr="00255EF7">
        <w:tc>
          <w:tcPr>
            <w:tcW w:w="7511" w:type="dxa"/>
            <w:tcBorders>
              <w:bottom w:val="nil"/>
            </w:tcBorders>
            <w:shd w:val="clear" w:color="auto" w:fill="auto"/>
          </w:tcPr>
          <w:p w:rsidR="00F47184" w:rsidRPr="007C4E01" w:rsidRDefault="00F47184"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r>
            <w:r w:rsidR="00B73987" w:rsidRPr="007C4E01">
              <w:rPr>
                <w:lang w:val="fr-CH"/>
              </w:rPr>
              <w:t>Plus de la moitié des ensembles de données (63 %) sont publiés en ligne.</w:t>
            </w:r>
          </w:p>
        </w:tc>
      </w:tr>
      <w:tr w:rsidR="00B73987" w:rsidRPr="007C4E01" w:rsidTr="00255EF7">
        <w:tc>
          <w:tcPr>
            <w:tcW w:w="7511" w:type="dxa"/>
            <w:tcBorders>
              <w:top w:val="nil"/>
              <w:bottom w:val="nil"/>
            </w:tcBorders>
            <w:shd w:val="clear" w:color="auto" w:fill="auto"/>
          </w:tcPr>
          <w:p w:rsidR="00B73987" w:rsidRPr="007C4E01" w:rsidRDefault="00B73987"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Les informations se trouvent sur une plate-forme qui permet d’avoir facilement accès aux ensembles de données publiés.</w:t>
            </w:r>
          </w:p>
        </w:tc>
      </w:tr>
      <w:tr w:rsidR="00B73987" w:rsidRPr="007C4E01" w:rsidTr="00255EF7">
        <w:tc>
          <w:tcPr>
            <w:tcW w:w="7511" w:type="dxa"/>
            <w:tcBorders>
              <w:top w:val="nil"/>
            </w:tcBorders>
            <w:shd w:val="clear" w:color="auto" w:fill="auto"/>
          </w:tcPr>
          <w:p w:rsidR="00B73987" w:rsidRPr="007C4E01" w:rsidRDefault="00B73987" w:rsidP="00B0717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09" w:right="475" w:hanging="634"/>
              <w:rPr>
                <w:lang w:val="fr-CH"/>
              </w:rPr>
            </w:pPr>
            <w:r w:rsidRPr="007C4E01">
              <w:rPr>
                <w:lang w:val="fr-CH"/>
              </w:rPr>
              <w:tab/>
              <w:t>•</w:t>
            </w:r>
            <w:r w:rsidRPr="007C4E01">
              <w:rPr>
                <w:lang w:val="fr-CH"/>
              </w:rPr>
              <w:tab/>
              <w:t>Tous les ensembles de données sont présentés en ligne sous forme de texte et de graphique.</w:t>
            </w:r>
          </w:p>
        </w:tc>
      </w:tr>
      <w:tr w:rsidR="00B73987" w:rsidRPr="007C4E01" w:rsidTr="00255EF7">
        <w:tc>
          <w:tcPr>
            <w:tcW w:w="7511" w:type="dxa"/>
            <w:shd w:val="clear" w:color="auto" w:fill="auto"/>
          </w:tcPr>
          <w:p w:rsidR="00B73987" w:rsidRPr="007C4E01" w:rsidRDefault="00B73987"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Tous les ensembles de données indiquent clairement les coordonnées des points focaux, mais seulement environ 60 % d’entre eux peuvent être considérés comme faciles à utiliser.</w:t>
            </w:r>
          </w:p>
        </w:tc>
      </w:tr>
      <w:tr w:rsidR="00B73987" w:rsidRPr="007C4E01" w:rsidTr="00255EF7">
        <w:tc>
          <w:tcPr>
            <w:tcW w:w="7511" w:type="dxa"/>
            <w:shd w:val="clear" w:color="auto" w:fill="auto"/>
          </w:tcPr>
          <w:p w:rsidR="00B73987" w:rsidRPr="007C4E01" w:rsidRDefault="00B73987"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Tous les ensembles de données sur la biodiversité et les déchets sont publiés; toutefois, ceux sur la terre et les sols ainsi que sur la pollution atmosphérique et l’appauvrissement de la couche d’ozone ne sont pas complets.</w:t>
            </w:r>
          </w:p>
        </w:tc>
      </w:tr>
      <w:tr w:rsidR="00B73987" w:rsidRPr="007C4E01" w:rsidTr="00255EF7">
        <w:tc>
          <w:tcPr>
            <w:tcW w:w="7511" w:type="dxa"/>
            <w:shd w:val="clear" w:color="auto" w:fill="auto"/>
          </w:tcPr>
          <w:p w:rsidR="00B73987" w:rsidRPr="007C4E01" w:rsidRDefault="00B73987"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Les communautés nationale et internationale peuvent facilement avoir accès aux informations puisque tous les ensembles de données publiés sont présentés en quatre langues.</w:t>
            </w:r>
          </w:p>
        </w:tc>
      </w:tr>
      <w:tr w:rsidR="00B73987" w:rsidRPr="007C4E01" w:rsidTr="00255EF7">
        <w:tc>
          <w:tcPr>
            <w:tcW w:w="7511" w:type="dxa"/>
            <w:shd w:val="clear" w:color="auto" w:fill="auto"/>
          </w:tcPr>
          <w:p w:rsidR="00B73987" w:rsidRPr="007C4E01" w:rsidRDefault="00B73987"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b/>
                <w:lang w:val="fr-CH"/>
              </w:rPr>
              <w:t>France</w:t>
            </w:r>
          </w:p>
        </w:tc>
      </w:tr>
      <w:tr w:rsidR="00B73987" w:rsidRPr="007C4E01" w:rsidTr="00255EF7">
        <w:tc>
          <w:tcPr>
            <w:tcW w:w="7511" w:type="dxa"/>
            <w:shd w:val="clear" w:color="auto" w:fill="auto"/>
          </w:tcPr>
          <w:p w:rsidR="00B73987" w:rsidRPr="007C4E01" w:rsidRDefault="00B73987"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rPr>
                <w:lang w:val="fr-CH"/>
              </w:rPr>
            </w:pPr>
            <w:r w:rsidRPr="007C4E01">
              <w:rPr>
                <w:lang w:val="fr-CH"/>
              </w:rPr>
              <w:tab/>
              <w:t>•</w:t>
            </w:r>
            <w:r w:rsidRPr="007C4E01">
              <w:rPr>
                <w:lang w:val="fr-CH"/>
              </w:rPr>
              <w:tab/>
              <w:t>Environ la moitié des ensembles de données (57 %) sont publiés en ligne.</w:t>
            </w:r>
          </w:p>
        </w:tc>
      </w:tr>
      <w:tr w:rsidR="00B73987" w:rsidRPr="007C4E01" w:rsidTr="00255EF7">
        <w:tc>
          <w:tcPr>
            <w:tcW w:w="7511" w:type="dxa"/>
            <w:shd w:val="clear" w:color="auto" w:fill="auto"/>
          </w:tcPr>
          <w:p w:rsidR="00B73987" w:rsidRPr="007C4E01" w:rsidRDefault="00B73987" w:rsidP="008722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sont réparties entre deux plateformes qui ne peuvent être considérées comme faciles à utiliser (s’agissant dans le cas présent des plateformes).</w:t>
            </w:r>
          </w:p>
        </w:tc>
      </w:tr>
      <w:tr w:rsidR="00B73987" w:rsidRPr="007C4E01" w:rsidTr="00255EF7">
        <w:tc>
          <w:tcPr>
            <w:tcW w:w="7511" w:type="dxa"/>
            <w:shd w:val="clear" w:color="auto" w:fill="auto"/>
          </w:tcPr>
          <w:p w:rsidR="00B73987" w:rsidRPr="007C4E01" w:rsidRDefault="00B73987"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La plupart des informations ne sont présentées qu’en une langue (79 %), ce qui rend plus difficile la recherche de données.</w:t>
            </w:r>
          </w:p>
        </w:tc>
      </w:tr>
      <w:tr w:rsidR="00B73987" w:rsidRPr="007C4E01" w:rsidTr="00255EF7">
        <w:tc>
          <w:tcPr>
            <w:tcW w:w="7511" w:type="dxa"/>
            <w:shd w:val="clear" w:color="auto" w:fill="auto"/>
          </w:tcPr>
          <w:p w:rsidR="00B73987" w:rsidRPr="007C4E01" w:rsidRDefault="00B73987"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La plupart des ensembles de données n’indiquent pas clairement les coordonnées des points focaux.</w:t>
            </w:r>
          </w:p>
        </w:tc>
      </w:tr>
      <w:tr w:rsidR="00B73987" w:rsidRPr="007C4E01" w:rsidTr="00255EF7">
        <w:tc>
          <w:tcPr>
            <w:tcW w:w="7511" w:type="dxa"/>
            <w:shd w:val="clear" w:color="auto" w:fill="auto"/>
          </w:tcPr>
          <w:p w:rsidR="00B73987" w:rsidRPr="007C4E01" w:rsidRDefault="00B73987"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Tous les ensembles de données sur l’énergie et la plupart de ceux sur la pollution atmosphérique et l’appauvrissement de la couche d’ozone sont publiés en ligne, tandis que ceux sur les changements climatiques, l’eau, la biodiversité, la terre et les sols et les déchets le sont moins souvent que la moyenne (de 35 à 50 %).</w:t>
            </w:r>
          </w:p>
        </w:tc>
      </w:tr>
      <w:tr w:rsidR="00B73987" w:rsidRPr="007C4E01" w:rsidTr="00255EF7">
        <w:tc>
          <w:tcPr>
            <w:tcW w:w="7511" w:type="dxa"/>
            <w:shd w:val="clear" w:color="auto" w:fill="auto"/>
          </w:tcPr>
          <w:p w:rsidR="00B73987" w:rsidRPr="007C4E01" w:rsidRDefault="00B73987" w:rsidP="008722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r>
            <w:r w:rsidR="00872250">
              <w:rPr>
                <w:lang w:val="fr-CH"/>
              </w:rPr>
              <w:t>L</w:t>
            </w:r>
            <w:r w:rsidRPr="007C4E01">
              <w:rPr>
                <w:lang w:val="fr-CH"/>
              </w:rPr>
              <w:t>us de la moitié des ensembles de données sont publiés dans des rapports ainsi qu’en ligne sous forme de tableau, de graphique et de texte.</w:t>
            </w:r>
          </w:p>
        </w:tc>
      </w:tr>
      <w:tr w:rsidR="00B73987" w:rsidRPr="007C4E01" w:rsidTr="00255EF7">
        <w:tc>
          <w:tcPr>
            <w:tcW w:w="7511" w:type="dxa"/>
            <w:shd w:val="clear" w:color="auto" w:fill="auto"/>
          </w:tcPr>
          <w:p w:rsidR="00B73987" w:rsidRPr="007C4E01" w:rsidRDefault="00B73987"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b/>
                <w:lang w:val="fr-CH"/>
              </w:rPr>
              <w:t>Géorgie</w:t>
            </w:r>
          </w:p>
        </w:tc>
      </w:tr>
      <w:tr w:rsidR="00B73987" w:rsidRPr="007C4E01" w:rsidTr="00255EF7">
        <w:tc>
          <w:tcPr>
            <w:tcW w:w="7511" w:type="dxa"/>
            <w:shd w:val="clear" w:color="auto" w:fill="auto"/>
          </w:tcPr>
          <w:p w:rsidR="00B73987" w:rsidRPr="007C4E01" w:rsidRDefault="00A83577"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Moins de la moitié des ensembles de données (45 %) sont publiés en ligne.</w:t>
            </w:r>
          </w:p>
        </w:tc>
      </w:tr>
      <w:tr w:rsidR="00A83577" w:rsidRPr="007C4E01" w:rsidTr="00255EF7">
        <w:tc>
          <w:tcPr>
            <w:tcW w:w="7511" w:type="dxa"/>
            <w:shd w:val="clear" w:color="auto" w:fill="auto"/>
          </w:tcPr>
          <w:p w:rsidR="00A83577" w:rsidRPr="007C4E01" w:rsidRDefault="00A83577"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se trouvent sur une plate-forme qui permet d’avoir facilement accès aux ensembles de données publiés.</w:t>
            </w:r>
          </w:p>
        </w:tc>
      </w:tr>
      <w:tr w:rsidR="00A83577" w:rsidRPr="007C4E01" w:rsidTr="00255EF7">
        <w:tc>
          <w:tcPr>
            <w:tcW w:w="7511" w:type="dxa"/>
            <w:shd w:val="clear" w:color="auto" w:fill="auto"/>
          </w:tcPr>
          <w:p w:rsidR="00A83577" w:rsidRPr="007C4E01" w:rsidRDefault="00A83577" w:rsidP="00A835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Tous les ensembles de données sont publiés en ligne sous forme de texte ou de tableau Excel.</w:t>
            </w:r>
          </w:p>
        </w:tc>
      </w:tr>
      <w:tr w:rsidR="00A83577" w:rsidRPr="007C4E01" w:rsidTr="00255EF7">
        <w:tc>
          <w:tcPr>
            <w:tcW w:w="7511" w:type="dxa"/>
            <w:tcBorders>
              <w:bottom w:val="nil"/>
            </w:tcBorders>
            <w:shd w:val="clear" w:color="auto" w:fill="auto"/>
          </w:tcPr>
          <w:p w:rsidR="00A83577" w:rsidRPr="007C4E01" w:rsidRDefault="00A83577"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Aucun rapport n’a été établi pour les ensembles de données sur les déchets, la terre et les sols, et l’énergie.</w:t>
            </w:r>
          </w:p>
        </w:tc>
      </w:tr>
      <w:tr w:rsidR="001D0B22" w:rsidRPr="007C4E01" w:rsidTr="00255EF7">
        <w:tc>
          <w:tcPr>
            <w:tcW w:w="7511" w:type="dxa"/>
            <w:tcBorders>
              <w:top w:val="nil"/>
              <w:bottom w:val="nil"/>
            </w:tcBorders>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ensembles de données disponibles ne sont pas totalement faciles à utiliser mais tous indiquent clairement les coordonnées des points focaux.</w:t>
            </w:r>
          </w:p>
        </w:tc>
      </w:tr>
      <w:tr w:rsidR="001D0B22" w:rsidRPr="007C4E01" w:rsidTr="00255EF7">
        <w:tc>
          <w:tcPr>
            <w:tcW w:w="7511" w:type="dxa"/>
            <w:tcBorders>
              <w:top w:val="nil"/>
            </w:tcBorders>
            <w:shd w:val="clear" w:color="auto" w:fill="auto"/>
          </w:tcPr>
          <w:p w:rsidR="001D0B22" w:rsidRPr="007C4E01" w:rsidRDefault="001D0B22" w:rsidP="000F51B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sont présentées en deux langues, ce qui permet aux communautés nationale et internationale d’avoir plus facilement accès aux données.</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b/>
                <w:lang w:val="fr-CH"/>
              </w:rPr>
              <w:t>Allemagne</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Plus de la moitié des ensembles de données (60 %) sont publiés en ligne.</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sont largement réparties entre quatre sites Web, ce qui rend plus difficile l’accès aux ensembles de données publiés.</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Presque toutes les informations sont présentées sous forme de texte et de graphique.</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Seulement 20 % des ensembles de données publiés peuvent être considérés comme faciles à utiliser, mais tous indiquent clairement les coordonnées des points focaux.</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 partage des ensembles de données sur l’eau et la biodiversité est très faible (entre 25 et 30 %).</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Plus de la moitié des informations sont présentées en deux langues, ce qui permet aux communautés nationale et internationale d’y avoir accès relativement facilement.</w:t>
            </w:r>
          </w:p>
        </w:tc>
      </w:tr>
      <w:tr w:rsidR="001D0B22" w:rsidRPr="007C4E01" w:rsidTr="00255EF7">
        <w:tc>
          <w:tcPr>
            <w:tcW w:w="7511" w:type="dxa"/>
            <w:shd w:val="clear" w:color="auto" w:fill="auto"/>
          </w:tcPr>
          <w:p w:rsidR="001D0B22"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b/>
                <w:lang w:val="fr-CH"/>
              </w:rPr>
              <w:t>Kirghizistan</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r>
            <w:r w:rsidR="00B0717D" w:rsidRPr="007C4E01">
              <w:rPr>
                <w:lang w:val="fr-CH"/>
              </w:rPr>
              <w:t>La plupart des ensembles de données (70 %) sont publiés en ligne.</w:t>
            </w:r>
          </w:p>
        </w:tc>
      </w:tr>
      <w:tr w:rsidR="00B0717D" w:rsidRPr="007C4E01" w:rsidTr="00255EF7">
        <w:tc>
          <w:tcPr>
            <w:tcW w:w="7511" w:type="dxa"/>
            <w:shd w:val="clear" w:color="auto" w:fill="auto"/>
          </w:tcPr>
          <w:p w:rsidR="00B0717D" w:rsidRPr="007C4E01" w:rsidRDefault="00B0717D" w:rsidP="008722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sont réparties entre deux plateformes qui ne peuvent être considérées comme faciles à utiliser (s’agissant dans le cas présent des plateformes).</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r>
            <w:r w:rsidR="00B0717D" w:rsidRPr="007C4E01">
              <w:rPr>
                <w:lang w:val="fr-CH"/>
              </w:rPr>
              <w:t>Toutes les informations ne sont présentées qu’en une langue, ce qui rend la recherche de données plus difficile.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Tous les ensembles de données indiquent clairement les coordonnées des points focaux.</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Seuls les ensembles de données sur l’énergie ainsi que sur la terre et les sols ne sont pas entièrement publiés en ligne.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b/>
                <w:lang w:val="fr-CH"/>
              </w:rPr>
              <w:t>Lituanie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Plus de la moitié des ensembles de données (67 %) sont publiés en ligne.</w:t>
            </w:r>
          </w:p>
        </w:tc>
      </w:tr>
      <w:tr w:rsidR="001D0B22" w:rsidRPr="007C4E01" w:rsidTr="00255EF7">
        <w:tc>
          <w:tcPr>
            <w:tcW w:w="7511" w:type="dxa"/>
            <w:shd w:val="clear" w:color="auto" w:fill="auto"/>
          </w:tcPr>
          <w:p w:rsidR="001D0B22" w:rsidRPr="007C4E01" w:rsidRDefault="001D0B22"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r>
            <w:r w:rsidR="00B0717D" w:rsidRPr="007C4E01">
              <w:rPr>
                <w:lang w:val="fr-CH"/>
              </w:rPr>
              <w:t>Les informations sont réparties entre deux plates-formes et seulement l’une d’entre elles peut être considérée comme facile à utiliser.</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Près de la moitié des informations sont présentées sous forme de texte et de graphique.</w:t>
            </w:r>
          </w:p>
        </w:tc>
      </w:tr>
      <w:tr w:rsidR="00B0717D" w:rsidRPr="007C4E01" w:rsidTr="00255EF7">
        <w:tc>
          <w:tcPr>
            <w:tcW w:w="7511" w:type="dxa"/>
            <w:tcBorders>
              <w:bottom w:val="nil"/>
            </w:tcBorders>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Aucune coordonnée sur les points focaux n’est clairement indiquée.</w:t>
            </w:r>
          </w:p>
        </w:tc>
      </w:tr>
      <w:tr w:rsidR="00B0717D" w:rsidRPr="007C4E01" w:rsidTr="000F51BE">
        <w:tc>
          <w:tcPr>
            <w:tcW w:w="7511" w:type="dxa"/>
            <w:tcBorders>
              <w:top w:val="nil"/>
              <w:bottom w:val="nil"/>
            </w:tcBorders>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Aucun des ensembles de données sur l’énergie n’est publié et seulement la moitié des ensembles de données sur les déchets ainsi que sur la terre et les sols ne sont pas publiés en ligne.</w:t>
            </w:r>
          </w:p>
        </w:tc>
      </w:tr>
      <w:tr w:rsidR="00B0717D" w:rsidRPr="007C4E01" w:rsidTr="000F51BE">
        <w:tc>
          <w:tcPr>
            <w:tcW w:w="7511" w:type="dxa"/>
            <w:tcBorders>
              <w:top w:val="nil"/>
              <w:bottom w:val="nil"/>
            </w:tcBorders>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La moitié des informations sont présentées en deux langues, ce qui permet aux communautés nationale et internationale d’y avoir accès relativement facilement.</w:t>
            </w:r>
          </w:p>
        </w:tc>
      </w:tr>
      <w:tr w:rsidR="00B0717D" w:rsidRPr="007C4E01" w:rsidTr="000F51BE">
        <w:tc>
          <w:tcPr>
            <w:tcW w:w="7511" w:type="dxa"/>
            <w:tcBorders>
              <w:top w:val="nil"/>
            </w:tcBorders>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b/>
                <w:lang w:val="fr-CH"/>
              </w:rPr>
              <w:t>Fédération de Russie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Presque tous les ensembles de données (91 %) sont publiés en ligne.</w:t>
            </w:r>
          </w:p>
        </w:tc>
      </w:tr>
      <w:tr w:rsidR="00B0717D" w:rsidRPr="007C4E01" w:rsidTr="00255EF7">
        <w:tc>
          <w:tcPr>
            <w:tcW w:w="7511" w:type="dxa"/>
            <w:shd w:val="clear" w:color="auto" w:fill="auto"/>
          </w:tcPr>
          <w:p w:rsidR="00B0717D" w:rsidRPr="007C4E01" w:rsidRDefault="00B0717D" w:rsidP="008722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se trouvent principalement sur une seule plateforme (85 %), mais certaines d’entre elles sont réparties entre trois plateformes additionnelles (nationales).</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sont présentées sous forme de graphique et de texte.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Aucune coordonnée sur les points focaux n’est clairement indiquée.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Seuls les ensembles de données sur les émissions ne sont pas entièrement publiés en ligne.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Toutes les informations ne sont présentées qu’en une langue, ce qui peut empêcher la communauté internationale d’avoir accès aux ensembles de données.</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b/>
                <w:lang w:val="fr-CH"/>
              </w:rPr>
              <w:t>Suède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Presque tous les ensembles de données (98 %) sont publiés en ligne.</w:t>
            </w:r>
          </w:p>
        </w:tc>
      </w:tr>
      <w:tr w:rsidR="00B0717D" w:rsidRPr="007C4E01" w:rsidTr="00255EF7">
        <w:tc>
          <w:tcPr>
            <w:tcW w:w="7511" w:type="dxa"/>
            <w:shd w:val="clear" w:color="auto" w:fill="auto"/>
          </w:tcPr>
          <w:p w:rsidR="00B0717D" w:rsidRPr="007C4E01" w:rsidRDefault="00B0717D" w:rsidP="008722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se trouvent sur une plateforme qui permet d’avoir facilement accès aux ensembles de données publiés. Le site Web est interactif et intégralement facile à utiliser.</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Toutes les informations sont présentées sous forme de texte et de graphique.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Tous les ensembles de données indiquent clairement les coordonnées des points focaux.</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La plupart des informations ne sont présentées qu’en une langue, ce qui peut empêcher la communauté internationale d’avoir accès aux ensembles de données.</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b/>
                <w:lang w:val="fr-CH"/>
              </w:rPr>
              <w:t>Suisse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Plus de la moitié des ensembles de données (67 %) sont publiés en ligne.</w:t>
            </w:r>
          </w:p>
        </w:tc>
      </w:tr>
      <w:tr w:rsidR="00B0717D" w:rsidRPr="007C4E01" w:rsidTr="00255EF7">
        <w:tc>
          <w:tcPr>
            <w:tcW w:w="7511" w:type="dxa"/>
            <w:shd w:val="clear" w:color="auto" w:fill="auto"/>
          </w:tcPr>
          <w:p w:rsidR="00B0717D" w:rsidRPr="007C4E01" w:rsidRDefault="00B0717D" w:rsidP="008722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informations se trouvent sur une plateforme qui permet d’avoir facilement accès aux ensembles de données publiés.</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Toutes les informations sont partagées par le biais du site Web du point focal sous forme de rapport, de texte, de tableau et de graphique.</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Seuls les ensembles de données sur l’eau ont obtenu un résultat inférieur à la moyenne (40 %).</w:t>
            </w:r>
          </w:p>
        </w:tc>
      </w:tr>
      <w:tr w:rsidR="00B0717D" w:rsidRPr="007C4E01" w:rsidTr="00255EF7">
        <w:tc>
          <w:tcPr>
            <w:tcW w:w="7511" w:type="dxa"/>
            <w:shd w:val="clear" w:color="auto" w:fill="auto"/>
          </w:tcPr>
          <w:p w:rsidR="00B0717D" w:rsidRPr="007C4E01" w:rsidRDefault="00B0717D" w:rsidP="00B739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1109" w:right="475" w:hanging="634"/>
              <w:rPr>
                <w:lang w:val="fr-CH"/>
              </w:rPr>
            </w:pPr>
            <w:r w:rsidRPr="007C4E01">
              <w:rPr>
                <w:lang w:val="fr-CH"/>
              </w:rPr>
              <w:tab/>
              <w:t>•</w:t>
            </w:r>
            <w:r w:rsidRPr="007C4E01">
              <w:rPr>
                <w:lang w:val="fr-CH"/>
              </w:rPr>
              <w:tab/>
              <w:t>Les communautés nationale et internationale peuvent avoir facilement accès aux informations puisque tous les ensembles de données publiés sont présentés en quatre langues.</w:t>
            </w:r>
          </w:p>
        </w:tc>
      </w:tr>
      <w:tr w:rsidR="00F47184" w:rsidRPr="007C4E01" w:rsidTr="00255EF7">
        <w:trPr>
          <w:trHeight w:hRule="exact" w:val="115"/>
        </w:trPr>
        <w:tc>
          <w:tcPr>
            <w:tcW w:w="7511" w:type="dxa"/>
            <w:shd w:val="clear" w:color="auto" w:fill="auto"/>
          </w:tcPr>
          <w:p w:rsidR="00F47184" w:rsidRPr="007C4E01" w:rsidRDefault="00F47184" w:rsidP="005060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875FBB" w:rsidRPr="007C4E01" w:rsidRDefault="00875FBB" w:rsidP="00875FBB">
      <w:pPr>
        <w:pStyle w:val="SingleTxt"/>
        <w:spacing w:after="0" w:line="120" w:lineRule="exact"/>
        <w:rPr>
          <w:sz w:val="10"/>
          <w:lang w:val="fr-CH"/>
        </w:rPr>
      </w:pPr>
    </w:p>
    <w:p w:rsidR="00875FBB" w:rsidRPr="007C4E01" w:rsidRDefault="00875FBB" w:rsidP="00875FBB">
      <w:pPr>
        <w:pStyle w:val="SingleTxt"/>
        <w:spacing w:after="0" w:line="120" w:lineRule="exact"/>
        <w:rPr>
          <w:sz w:val="10"/>
          <w:lang w:val="fr-CH"/>
        </w:rPr>
      </w:pPr>
    </w:p>
    <w:p w:rsidR="0023065F" w:rsidRPr="007C4E01" w:rsidRDefault="0023065F" w:rsidP="0023065F">
      <w:pPr>
        <w:pStyle w:val="SingleTxt"/>
        <w:rPr>
          <w:lang w:val="fr-CH"/>
        </w:rPr>
      </w:pPr>
      <w:r w:rsidRPr="007C4E01">
        <w:rPr>
          <w:lang w:val="fr-CH"/>
        </w:rPr>
        <w:t>50.</w:t>
      </w:r>
      <w:r w:rsidRPr="007C4E01">
        <w:rPr>
          <w:lang w:val="fr-CH"/>
        </w:rPr>
        <w:tab/>
        <w:t xml:space="preserve">Les résultats présentés dans </w:t>
      </w:r>
      <w:r w:rsidR="00875FBB" w:rsidRPr="007C4E01">
        <w:rPr>
          <w:lang w:val="fr-CH"/>
        </w:rPr>
        <w:t>l’encadré </w:t>
      </w:r>
      <w:r w:rsidRPr="007C4E01">
        <w:rPr>
          <w:lang w:val="fr-CH"/>
        </w:rPr>
        <w:t>2 et le tableau</w:t>
      </w:r>
      <w:r w:rsidR="00875FBB" w:rsidRPr="007C4E01">
        <w:rPr>
          <w:lang w:val="fr-CH"/>
        </w:rPr>
        <w:t> </w:t>
      </w:r>
      <w:r w:rsidRPr="007C4E01">
        <w:rPr>
          <w:lang w:val="fr-CH"/>
        </w:rPr>
        <w:t>2 font ressortir certains des écarts qui existent sur les plans de la teneur et de la qualité des ensembles de données de tous les États membres, notamment pour ce qui est du nombre d’ensembles publiés, de la facilité d’utilisation des sites Web, des domaines thématiques visés et des langues utilisées. Cette analyse approfondie a donné lieu à deux conclusions. Elle montre avant tout que l’approche initialement adoptée n’a pas permis d’aplanir les écarts observés concernant l’accessibilité en ligne. Elle souligne également qu’il est de plus en plus important de poursuivre le développement du mécanisme d’établissement de rapports, pour que les États membres puissent corriger ces lacunes et surveiller l’évolution de la situation au fil du temps. Il est essentiel que ce mécanisme fasse apparaître ces types d’écarts. Dans ce contexte, il convient par exemple de souligner que le Groupe de travail des Parties au Protocole sur les RRTP a, à sa quatrième réunion (Madrid, 26 novembre 2015), encouragé les gouvernements et les parties prenantes à envisager une mise en œuvre coordonnée du Protocole sur les RRTP et du SEIS</w:t>
      </w:r>
      <w:r w:rsidRPr="007C4E01">
        <w:rPr>
          <w:rStyle w:val="FootnoteReference"/>
          <w:lang w:val="fr-CH"/>
        </w:rPr>
        <w:footnoteReference w:id="17"/>
      </w:r>
      <w:r w:rsidR="000037B2" w:rsidRPr="007C4E01">
        <w:rPr>
          <w:lang w:val="fr-CH"/>
        </w:rPr>
        <w:t>.</w:t>
      </w:r>
      <w:r w:rsidRPr="007C4E01">
        <w:rPr>
          <w:lang w:val="fr-CH"/>
        </w:rPr>
        <w:t xml:space="preserve"> Les Parties au Protocole sont confrontées à des problèmes similaires, et le Protocole sur les RRTP donne des instructions quant à la façon de présenter les données des registres d’une manière claire et conviviale qui peut aussi faciliter la mise en place du SEIS.</w:t>
      </w:r>
    </w:p>
    <w:p w:rsidR="0023065F" w:rsidRPr="007C4E01" w:rsidRDefault="00875FBB" w:rsidP="0023065F">
      <w:pPr>
        <w:pStyle w:val="SingleTxt"/>
        <w:rPr>
          <w:lang w:val="fr-CH"/>
        </w:rPr>
      </w:pPr>
      <w:r w:rsidRPr="007C4E01">
        <w:rPr>
          <w:lang w:val="fr-CH"/>
        </w:rPr>
        <w:t>51.</w:t>
      </w:r>
      <w:r w:rsidRPr="007C4E01">
        <w:rPr>
          <w:lang w:val="fr-CH"/>
        </w:rPr>
        <w:tab/>
        <w:t>Par sa décision </w:t>
      </w:r>
      <w:r w:rsidR="0023065F" w:rsidRPr="007C4E01">
        <w:rPr>
          <w:lang w:val="fr-CH"/>
        </w:rPr>
        <w:t xml:space="preserve">V/1, la Réunion des Parties à la Convention d’Aarhus a également chargé l’Équipe spéciale de l’accès à l’information de continuer de suivre et d’appuyer la mise au point du SEIS dans l’ensemble de la région. À sa </w:t>
      </w:r>
      <w:r w:rsidR="00350B11" w:rsidRPr="007C4E01">
        <w:rPr>
          <w:lang w:val="fr-CH"/>
        </w:rPr>
        <w:t>quatrième réunion (Genève, 8-10 </w:t>
      </w:r>
      <w:r w:rsidR="0023065F" w:rsidRPr="007C4E01">
        <w:rPr>
          <w:lang w:val="fr-CH"/>
        </w:rPr>
        <w:t>décembre 2015), l’Équipe spéciale a réaffirmé qu’il importait de prendre des mesures concrètes pour que le public ait accès à des informations sur l’environnement qui soient à jour, exactes et comparables; elle a en outre suggéré que les informations publiées sur Internet s’accompagnent, le cas échéant, d’informations sur les source de données; sur la date de leur production ou de leur actualisation; sur les méthodes de production, de vérification et de validation appliquées; et sur les données d’interprétation. Une intégration accrue du SEIS dans INSPIRE (Infrastructure d’information spatiale dans la Communauté européenne) et d’autres processus de gestion de l’information géospatiale était jugée utile</w:t>
      </w:r>
      <w:r w:rsidR="0023065F" w:rsidRPr="007C4E01">
        <w:rPr>
          <w:rStyle w:val="FootnoteReference"/>
          <w:lang w:val="fr-CH"/>
        </w:rPr>
        <w:footnoteReference w:id="18"/>
      </w:r>
      <w:bookmarkEnd w:id="113"/>
      <w:r w:rsidR="00350B11" w:rsidRPr="007C4E01">
        <w:rPr>
          <w:lang w:val="fr-CH"/>
        </w:rPr>
        <w:t>.</w:t>
      </w:r>
    </w:p>
    <w:p w:rsidR="0023065F" w:rsidRPr="007C4E01" w:rsidRDefault="00350B11" w:rsidP="00350B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r>
      <w:r w:rsidRPr="007C4E01">
        <w:rPr>
          <w:lang w:val="fr-CH"/>
        </w:rPr>
        <w:tab/>
      </w:r>
      <w:r w:rsidRPr="007C4E01">
        <w:rPr>
          <w:b w:val="0"/>
          <w:lang w:val="fr-CH"/>
        </w:rPr>
        <w:t>Tableau 2</w:t>
      </w:r>
      <w:r w:rsidRPr="007C4E01">
        <w:rPr>
          <w:lang w:val="fr-CH"/>
        </w:rPr>
        <w:t xml:space="preserve"> </w:t>
      </w:r>
      <w:r w:rsidRPr="007C4E01">
        <w:rPr>
          <w:lang w:val="fr-CH"/>
        </w:rPr>
        <w:br/>
        <w:t>Résultats de l’analyse approfondie</w:t>
      </w:r>
    </w:p>
    <w:p w:rsidR="0023065F" w:rsidRPr="007C4E01" w:rsidRDefault="0023065F" w:rsidP="0023065F">
      <w:pPr>
        <w:pStyle w:val="SingleTxt"/>
        <w:spacing w:after="0" w:line="120" w:lineRule="exact"/>
        <w:rPr>
          <w:sz w:val="10"/>
          <w:lang w:val="fr-CH"/>
        </w:rPr>
      </w:pPr>
    </w:p>
    <w:p w:rsidR="0023065F" w:rsidRPr="007C4E01" w:rsidRDefault="0023065F" w:rsidP="0023065F">
      <w:pPr>
        <w:pStyle w:val="SingleTxt"/>
        <w:spacing w:after="0" w:line="120" w:lineRule="exact"/>
        <w:rPr>
          <w:sz w:val="10"/>
          <w:lang w:val="fr-CH"/>
        </w:rPr>
      </w:pPr>
    </w:p>
    <w:tbl>
      <w:tblPr>
        <w:tblW w:w="8766" w:type="dxa"/>
        <w:tblInd w:w="1278" w:type="dxa"/>
        <w:tblLayout w:type="fixed"/>
        <w:tblCellMar>
          <w:left w:w="0" w:type="dxa"/>
          <w:right w:w="0" w:type="dxa"/>
        </w:tblCellMar>
        <w:tblLook w:val="04A0" w:firstRow="1" w:lastRow="0" w:firstColumn="1" w:lastColumn="0" w:noHBand="0" w:noVBand="1"/>
      </w:tblPr>
      <w:tblGrid>
        <w:gridCol w:w="3942"/>
        <w:gridCol w:w="482"/>
        <w:gridCol w:w="482"/>
        <w:gridCol w:w="483"/>
        <w:gridCol w:w="482"/>
        <w:gridCol w:w="483"/>
        <w:gridCol w:w="482"/>
        <w:gridCol w:w="482"/>
        <w:gridCol w:w="483"/>
        <w:gridCol w:w="482"/>
        <w:gridCol w:w="483"/>
      </w:tblGrid>
      <w:tr w:rsidR="00350B11" w:rsidRPr="007C4E01" w:rsidTr="005060AB">
        <w:trPr>
          <w:trHeight w:val="184"/>
          <w:tblHeader/>
        </w:trPr>
        <w:tc>
          <w:tcPr>
            <w:tcW w:w="3942" w:type="dxa"/>
            <w:tcBorders>
              <w:top w:val="single" w:sz="4"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p>
        </w:tc>
        <w:tc>
          <w:tcPr>
            <w:tcW w:w="4824" w:type="dxa"/>
            <w:gridSpan w:val="10"/>
            <w:tcBorders>
              <w:top w:val="single" w:sz="4" w:space="0" w:color="auto"/>
            </w:tcBorders>
            <w:shd w:val="clear" w:color="auto" w:fill="auto"/>
            <w:vAlign w:val="bottom"/>
          </w:tcPr>
          <w:p w:rsidR="00350B11" w:rsidRPr="007C4E01" w:rsidRDefault="0007648D" w:rsidP="005060AB">
            <w:pPr>
              <w:pStyle w:val="SingleTxt"/>
              <w:spacing w:before="70" w:after="70" w:line="160" w:lineRule="exact"/>
              <w:ind w:left="0" w:right="9"/>
              <w:jc w:val="center"/>
              <w:rPr>
                <w:i/>
                <w:sz w:val="14"/>
                <w:lang w:val="fr-CH" w:bidi="ru-RU"/>
              </w:rPr>
            </w:pPr>
            <w:r w:rsidRPr="007C4E01">
              <w:rPr>
                <w:i/>
                <w:sz w:val="14"/>
                <w:lang w:val="fr-CH" w:bidi="ru-RU"/>
              </w:rPr>
              <w:t>Pays</w:t>
            </w:r>
          </w:p>
        </w:tc>
      </w:tr>
      <w:tr w:rsidR="00350B11" w:rsidRPr="007C4E01" w:rsidTr="005060AB">
        <w:trPr>
          <w:trHeight w:val="300"/>
          <w:tblHeader/>
        </w:trPr>
        <w:tc>
          <w:tcPr>
            <w:tcW w:w="3942" w:type="dxa"/>
            <w:tcBorders>
              <w:bottom w:val="single" w:sz="12" w:space="0" w:color="auto"/>
            </w:tcBorders>
            <w:shd w:val="clear" w:color="auto" w:fill="auto"/>
            <w:vAlign w:val="bottom"/>
            <w:hideMark/>
          </w:tcPr>
          <w:p w:rsidR="00350B11" w:rsidRPr="007C4E01" w:rsidRDefault="00350B11" w:rsidP="005060AB">
            <w:pPr>
              <w:pStyle w:val="SingleTxt"/>
              <w:spacing w:before="70" w:after="70" w:line="160" w:lineRule="exact"/>
              <w:ind w:left="0" w:right="43"/>
              <w:jc w:val="left"/>
              <w:rPr>
                <w:i/>
                <w:sz w:val="14"/>
                <w:lang w:val="fr-CH" w:bidi="ru-RU"/>
              </w:rPr>
            </w:pPr>
            <w:r w:rsidRPr="007C4E01">
              <w:rPr>
                <w:i/>
                <w:sz w:val="14"/>
                <w:lang w:val="fr-CH" w:bidi="ru-RU"/>
              </w:rPr>
              <w:t>Question</w:t>
            </w:r>
          </w:p>
        </w:tc>
        <w:tc>
          <w:tcPr>
            <w:tcW w:w="482" w:type="dxa"/>
            <w:tcBorders>
              <w:top w:val="single" w:sz="2" w:space="0" w:color="auto"/>
              <w:bottom w:val="single" w:sz="12" w:space="0" w:color="auto"/>
            </w:tcBorders>
            <w:shd w:val="clear" w:color="auto" w:fill="auto"/>
            <w:vAlign w:val="bottom"/>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AUT</w:t>
            </w:r>
          </w:p>
        </w:tc>
        <w:tc>
          <w:tcPr>
            <w:tcW w:w="482" w:type="dxa"/>
            <w:tcBorders>
              <w:top w:val="single" w:sz="2" w:space="0" w:color="auto"/>
              <w:bottom w:val="single" w:sz="12"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BIH</w:t>
            </w:r>
          </w:p>
        </w:tc>
        <w:tc>
          <w:tcPr>
            <w:tcW w:w="483" w:type="dxa"/>
            <w:tcBorders>
              <w:top w:val="single" w:sz="2" w:space="0" w:color="auto"/>
              <w:bottom w:val="single" w:sz="12"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FRA</w:t>
            </w:r>
          </w:p>
        </w:tc>
        <w:tc>
          <w:tcPr>
            <w:tcW w:w="482" w:type="dxa"/>
            <w:tcBorders>
              <w:top w:val="single" w:sz="2" w:space="0" w:color="auto"/>
              <w:bottom w:val="single" w:sz="12"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GEO</w:t>
            </w:r>
          </w:p>
        </w:tc>
        <w:tc>
          <w:tcPr>
            <w:tcW w:w="483" w:type="dxa"/>
            <w:tcBorders>
              <w:top w:val="single" w:sz="2" w:space="0" w:color="auto"/>
              <w:bottom w:val="single" w:sz="12"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DEU</w:t>
            </w:r>
          </w:p>
        </w:tc>
        <w:tc>
          <w:tcPr>
            <w:tcW w:w="482" w:type="dxa"/>
            <w:tcBorders>
              <w:top w:val="single" w:sz="2" w:space="0" w:color="auto"/>
              <w:bottom w:val="single" w:sz="12"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KGZ</w:t>
            </w:r>
          </w:p>
        </w:tc>
        <w:tc>
          <w:tcPr>
            <w:tcW w:w="482" w:type="dxa"/>
            <w:tcBorders>
              <w:top w:val="single" w:sz="2" w:space="0" w:color="auto"/>
              <w:bottom w:val="single" w:sz="12"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LTU</w:t>
            </w:r>
          </w:p>
        </w:tc>
        <w:tc>
          <w:tcPr>
            <w:tcW w:w="483" w:type="dxa"/>
            <w:tcBorders>
              <w:top w:val="single" w:sz="2" w:space="0" w:color="auto"/>
              <w:bottom w:val="single" w:sz="12" w:space="0" w:color="auto"/>
            </w:tcBorders>
            <w:shd w:val="clear" w:color="auto" w:fill="auto"/>
            <w:vAlign w:val="bottom"/>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RUS</w:t>
            </w:r>
          </w:p>
        </w:tc>
        <w:tc>
          <w:tcPr>
            <w:tcW w:w="482" w:type="dxa"/>
            <w:tcBorders>
              <w:top w:val="single" w:sz="2" w:space="0" w:color="auto"/>
              <w:bottom w:val="single" w:sz="12"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SWE</w:t>
            </w:r>
          </w:p>
        </w:tc>
        <w:tc>
          <w:tcPr>
            <w:tcW w:w="483" w:type="dxa"/>
            <w:tcBorders>
              <w:top w:val="single" w:sz="2" w:space="0" w:color="auto"/>
              <w:bottom w:val="single" w:sz="12" w:space="0" w:color="auto"/>
            </w:tcBorders>
            <w:shd w:val="clear" w:color="auto" w:fill="auto"/>
            <w:noWrap/>
            <w:vAlign w:val="bottom"/>
            <w:hideMark/>
          </w:tcPr>
          <w:p w:rsidR="00350B11" w:rsidRPr="007C4E01" w:rsidRDefault="00350B11" w:rsidP="005060AB">
            <w:pPr>
              <w:pStyle w:val="SingleTxt"/>
              <w:spacing w:before="70" w:after="70" w:line="160" w:lineRule="exact"/>
              <w:ind w:left="0" w:right="43"/>
              <w:jc w:val="right"/>
              <w:rPr>
                <w:i/>
                <w:sz w:val="14"/>
                <w:lang w:val="fr-CH" w:bidi="ru-RU"/>
              </w:rPr>
            </w:pPr>
            <w:r w:rsidRPr="007C4E01">
              <w:rPr>
                <w:i/>
                <w:sz w:val="14"/>
                <w:lang w:val="fr-CH" w:bidi="ru-RU"/>
              </w:rPr>
              <w:t>CHE</w:t>
            </w:r>
          </w:p>
        </w:tc>
      </w:tr>
      <w:tr w:rsidR="00350B11" w:rsidRPr="007C4E01" w:rsidTr="005060AB">
        <w:trPr>
          <w:trHeight w:hRule="exact" w:val="113"/>
          <w:tblHeader/>
        </w:trPr>
        <w:tc>
          <w:tcPr>
            <w:tcW w:w="3942" w:type="dxa"/>
            <w:tcBorders>
              <w:top w:val="single" w:sz="12" w:space="0" w:color="auto"/>
            </w:tcBorders>
            <w:shd w:val="clear" w:color="auto" w:fill="auto"/>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2" w:type="dxa"/>
            <w:tcBorders>
              <w:top w:val="single" w:sz="12" w:space="0" w:color="auto"/>
            </w:tcBorders>
            <w:shd w:val="clear" w:color="auto" w:fill="auto"/>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2" w:type="dxa"/>
            <w:tcBorders>
              <w:top w:val="single" w:sz="12" w:space="0" w:color="auto"/>
            </w:tcBorders>
            <w:shd w:val="clear" w:color="auto" w:fill="auto"/>
            <w:noWrap/>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3" w:type="dxa"/>
            <w:tcBorders>
              <w:top w:val="single" w:sz="12" w:space="0" w:color="auto"/>
            </w:tcBorders>
            <w:shd w:val="clear" w:color="auto" w:fill="auto"/>
            <w:noWrap/>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2" w:type="dxa"/>
            <w:tcBorders>
              <w:top w:val="single" w:sz="12" w:space="0" w:color="auto"/>
            </w:tcBorders>
            <w:shd w:val="clear" w:color="auto" w:fill="auto"/>
            <w:noWrap/>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3" w:type="dxa"/>
            <w:tcBorders>
              <w:top w:val="single" w:sz="12" w:space="0" w:color="auto"/>
            </w:tcBorders>
            <w:shd w:val="clear" w:color="auto" w:fill="auto"/>
            <w:noWrap/>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2" w:type="dxa"/>
            <w:tcBorders>
              <w:top w:val="single" w:sz="12" w:space="0" w:color="auto"/>
            </w:tcBorders>
            <w:shd w:val="clear" w:color="auto" w:fill="auto"/>
            <w:noWrap/>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2" w:type="dxa"/>
            <w:tcBorders>
              <w:top w:val="single" w:sz="12" w:space="0" w:color="auto"/>
            </w:tcBorders>
            <w:shd w:val="clear" w:color="auto" w:fill="auto"/>
            <w:noWrap/>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3" w:type="dxa"/>
            <w:tcBorders>
              <w:top w:val="single" w:sz="12" w:space="0" w:color="auto"/>
            </w:tcBorders>
            <w:shd w:val="clear" w:color="auto" w:fill="auto"/>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2" w:type="dxa"/>
            <w:tcBorders>
              <w:top w:val="single" w:sz="12" w:space="0" w:color="auto"/>
            </w:tcBorders>
            <w:shd w:val="clear" w:color="auto" w:fill="auto"/>
            <w:noWrap/>
            <w:vAlign w:val="bottom"/>
          </w:tcPr>
          <w:p w:rsidR="00350B11" w:rsidRPr="007C4E01" w:rsidRDefault="00350B11" w:rsidP="005060AB">
            <w:pPr>
              <w:pStyle w:val="SingleTxt"/>
              <w:spacing w:before="40" w:after="40" w:line="210" w:lineRule="exact"/>
              <w:ind w:left="0" w:right="113"/>
              <w:jc w:val="right"/>
              <w:rPr>
                <w:sz w:val="17"/>
                <w:lang w:val="fr-CH" w:bidi="ru-RU"/>
              </w:rPr>
            </w:pPr>
          </w:p>
        </w:tc>
        <w:tc>
          <w:tcPr>
            <w:tcW w:w="483" w:type="dxa"/>
            <w:tcBorders>
              <w:top w:val="single" w:sz="12" w:space="0" w:color="auto"/>
            </w:tcBorders>
            <w:shd w:val="clear" w:color="auto" w:fill="auto"/>
            <w:noWrap/>
            <w:vAlign w:val="bottom"/>
          </w:tcPr>
          <w:p w:rsidR="00350B11" w:rsidRPr="007C4E01" w:rsidRDefault="00350B11" w:rsidP="005060AB">
            <w:pPr>
              <w:pStyle w:val="SingleTxt"/>
              <w:spacing w:before="40" w:after="40" w:line="210" w:lineRule="exact"/>
              <w:ind w:left="0" w:right="113"/>
              <w:jc w:val="right"/>
              <w:rPr>
                <w:sz w:val="17"/>
                <w:lang w:val="fr-CH" w:bidi="ru-RU"/>
              </w:rPr>
            </w:pPr>
          </w:p>
        </w:tc>
      </w:tr>
      <w:tr w:rsidR="00350B11" w:rsidRPr="007C4E01" w:rsidTr="005060AB">
        <w:trPr>
          <w:trHeight w:val="256"/>
        </w:trPr>
        <w:tc>
          <w:tcPr>
            <w:tcW w:w="3942" w:type="dxa"/>
            <w:shd w:val="clear" w:color="auto" w:fill="auto"/>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left"/>
              <w:rPr>
                <w:sz w:val="17"/>
                <w:lang w:val="fr-CH" w:bidi="ru-RU"/>
              </w:rPr>
            </w:pPr>
            <w:r w:rsidRPr="007C4E01">
              <w:rPr>
                <w:sz w:val="17"/>
                <w:lang w:val="fr-CH" w:bidi="ru-RU"/>
              </w:rPr>
              <w:t>Dans combien de langues les ensembles de données nationales et les renseignements connexes sont-ils publiés?</w:t>
            </w:r>
          </w:p>
        </w:tc>
        <w:tc>
          <w:tcPr>
            <w:tcW w:w="482" w:type="dxa"/>
            <w:shd w:val="clear" w:color="auto" w:fill="auto"/>
            <w:vAlign w:val="bottom"/>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4</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3" w:type="dxa"/>
            <w:shd w:val="clear" w:color="auto" w:fill="auto"/>
            <w:vAlign w:val="bottom"/>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4</w:t>
            </w:r>
          </w:p>
        </w:tc>
      </w:tr>
      <w:tr w:rsidR="00350B11" w:rsidRPr="007C4E01" w:rsidTr="005060AB">
        <w:trPr>
          <w:trHeight w:val="558"/>
        </w:trPr>
        <w:tc>
          <w:tcPr>
            <w:tcW w:w="3942" w:type="dxa"/>
            <w:shd w:val="clear" w:color="auto" w:fill="auto"/>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left"/>
              <w:rPr>
                <w:sz w:val="17"/>
                <w:lang w:val="fr-CH" w:bidi="ru-RU"/>
              </w:rPr>
            </w:pPr>
            <w:r w:rsidRPr="007C4E01">
              <w:rPr>
                <w:sz w:val="17"/>
                <w:lang w:val="fr-CH" w:bidi="ru-RU"/>
              </w:rPr>
              <w:t>Dans combien de plateformes en ligne les ensembles de données nationales et les renseignements connexes sont-ils publiés?</w:t>
            </w:r>
          </w:p>
        </w:tc>
        <w:tc>
          <w:tcPr>
            <w:tcW w:w="482" w:type="dxa"/>
            <w:shd w:val="clear" w:color="auto" w:fill="auto"/>
            <w:vAlign w:val="bottom"/>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6</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4</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3" w:type="dxa"/>
            <w:shd w:val="clear" w:color="auto" w:fill="auto"/>
            <w:vAlign w:val="bottom"/>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4</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r>
      <w:tr w:rsidR="00350B11" w:rsidRPr="007C4E01" w:rsidTr="005060AB">
        <w:trPr>
          <w:trHeight w:val="427"/>
        </w:trPr>
        <w:tc>
          <w:tcPr>
            <w:tcW w:w="3942" w:type="dxa"/>
            <w:shd w:val="clear" w:color="auto" w:fill="auto"/>
            <w:vAlign w:val="bottom"/>
            <w:hideMark/>
          </w:tcPr>
          <w:p w:rsidR="00350B11" w:rsidRPr="007C4E01" w:rsidRDefault="00350B11" w:rsidP="00350B11">
            <w:pPr>
              <w:pStyle w:val="SingleTxt"/>
              <w:tabs>
                <w:tab w:val="left" w:pos="288"/>
                <w:tab w:val="left" w:pos="576"/>
                <w:tab w:val="left" w:pos="864"/>
                <w:tab w:val="left" w:pos="1152"/>
              </w:tabs>
              <w:spacing w:before="40" w:after="40" w:line="210" w:lineRule="exact"/>
              <w:ind w:left="0" w:right="40"/>
              <w:jc w:val="left"/>
              <w:rPr>
                <w:sz w:val="17"/>
                <w:lang w:val="fr-CH" w:bidi="ru-RU"/>
              </w:rPr>
            </w:pPr>
            <w:r w:rsidRPr="007C4E01">
              <w:rPr>
                <w:sz w:val="17"/>
                <w:lang w:val="fr-CH" w:bidi="ru-RU"/>
              </w:rPr>
              <w:t>Sous quelle forme les ensembles de données et les renseignements connexes sont-ils publiés?</w:t>
            </w:r>
          </w:p>
        </w:tc>
        <w:tc>
          <w:tcPr>
            <w:tcW w:w="482" w:type="dxa"/>
            <w:shd w:val="clear" w:color="auto" w:fill="auto"/>
            <w:vAlign w:val="bottom"/>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3" w:type="dxa"/>
            <w:shd w:val="clear" w:color="auto" w:fill="auto"/>
            <w:vAlign w:val="bottom"/>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c>
          <w:tcPr>
            <w:tcW w:w="482"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w:t>
            </w:r>
          </w:p>
        </w:tc>
        <w:tc>
          <w:tcPr>
            <w:tcW w:w="483" w:type="dxa"/>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2</w:t>
            </w:r>
          </w:p>
        </w:tc>
      </w:tr>
      <w:tr w:rsidR="00350B11" w:rsidRPr="007C4E01" w:rsidTr="005060AB">
        <w:trPr>
          <w:trHeight w:val="417"/>
        </w:trPr>
        <w:tc>
          <w:tcPr>
            <w:tcW w:w="3942" w:type="dxa"/>
            <w:tcBorders>
              <w:bottom w:val="single" w:sz="12" w:space="0" w:color="auto"/>
            </w:tcBorders>
            <w:shd w:val="clear" w:color="auto" w:fill="auto"/>
            <w:vAlign w:val="bottom"/>
            <w:hideMark/>
          </w:tcPr>
          <w:p w:rsidR="00350B11" w:rsidRPr="007C4E01" w:rsidRDefault="00350B11" w:rsidP="00010320">
            <w:pPr>
              <w:pStyle w:val="SingleTxt"/>
              <w:tabs>
                <w:tab w:val="left" w:pos="288"/>
                <w:tab w:val="left" w:pos="576"/>
                <w:tab w:val="left" w:pos="864"/>
                <w:tab w:val="left" w:pos="1152"/>
              </w:tabs>
              <w:spacing w:before="40" w:after="40" w:line="210" w:lineRule="exact"/>
              <w:ind w:left="0" w:right="40"/>
              <w:jc w:val="left"/>
              <w:rPr>
                <w:sz w:val="17"/>
                <w:lang w:val="fr-CH" w:bidi="ru-RU"/>
              </w:rPr>
            </w:pPr>
            <w:r w:rsidRPr="007C4E01">
              <w:rPr>
                <w:sz w:val="17"/>
                <w:lang w:val="fr-CH" w:bidi="ru-RU"/>
              </w:rPr>
              <w:t>Dans quelle mesure la plateforme (les plateformes) en ligne est-elle (sont-elles) facile(s) à utiliser?</w:t>
            </w:r>
            <w:r w:rsidR="00010320" w:rsidRPr="007C4E01">
              <w:rPr>
                <w:sz w:val="17"/>
                <w:lang w:val="fr-CH" w:bidi="ru-RU"/>
              </w:rPr>
              <w:t xml:space="preserve"> (%)</w:t>
            </w:r>
          </w:p>
        </w:tc>
        <w:tc>
          <w:tcPr>
            <w:tcW w:w="482" w:type="dxa"/>
            <w:tcBorders>
              <w:bottom w:val="single" w:sz="12" w:space="0" w:color="auto"/>
            </w:tcBorders>
            <w:shd w:val="clear" w:color="auto" w:fill="auto"/>
            <w:vAlign w:val="bottom"/>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70</w:t>
            </w:r>
          </w:p>
        </w:tc>
        <w:tc>
          <w:tcPr>
            <w:tcW w:w="482" w:type="dxa"/>
            <w:tcBorders>
              <w:bottom w:val="single" w:sz="12" w:space="0" w:color="auto"/>
            </w:tcBorders>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60</w:t>
            </w:r>
          </w:p>
        </w:tc>
        <w:tc>
          <w:tcPr>
            <w:tcW w:w="483" w:type="dxa"/>
            <w:tcBorders>
              <w:bottom w:val="single" w:sz="12" w:space="0" w:color="auto"/>
            </w:tcBorders>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80</w:t>
            </w:r>
          </w:p>
        </w:tc>
        <w:tc>
          <w:tcPr>
            <w:tcW w:w="482" w:type="dxa"/>
            <w:tcBorders>
              <w:bottom w:val="single" w:sz="12" w:space="0" w:color="auto"/>
            </w:tcBorders>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60</w:t>
            </w:r>
          </w:p>
        </w:tc>
        <w:tc>
          <w:tcPr>
            <w:tcW w:w="483" w:type="dxa"/>
            <w:tcBorders>
              <w:bottom w:val="single" w:sz="12" w:space="0" w:color="auto"/>
            </w:tcBorders>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80</w:t>
            </w:r>
          </w:p>
        </w:tc>
        <w:tc>
          <w:tcPr>
            <w:tcW w:w="482" w:type="dxa"/>
            <w:tcBorders>
              <w:bottom w:val="single" w:sz="12" w:space="0" w:color="auto"/>
            </w:tcBorders>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90</w:t>
            </w:r>
          </w:p>
        </w:tc>
        <w:tc>
          <w:tcPr>
            <w:tcW w:w="482" w:type="dxa"/>
            <w:tcBorders>
              <w:bottom w:val="single" w:sz="12" w:space="0" w:color="auto"/>
            </w:tcBorders>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70</w:t>
            </w:r>
          </w:p>
        </w:tc>
        <w:tc>
          <w:tcPr>
            <w:tcW w:w="483" w:type="dxa"/>
            <w:tcBorders>
              <w:bottom w:val="single" w:sz="12" w:space="0" w:color="auto"/>
            </w:tcBorders>
            <w:shd w:val="clear" w:color="auto" w:fill="auto"/>
            <w:vAlign w:val="bottom"/>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70</w:t>
            </w:r>
          </w:p>
        </w:tc>
        <w:tc>
          <w:tcPr>
            <w:tcW w:w="482" w:type="dxa"/>
            <w:tcBorders>
              <w:bottom w:val="single" w:sz="12" w:space="0" w:color="auto"/>
            </w:tcBorders>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100</w:t>
            </w:r>
          </w:p>
        </w:tc>
        <w:tc>
          <w:tcPr>
            <w:tcW w:w="483" w:type="dxa"/>
            <w:tcBorders>
              <w:bottom w:val="single" w:sz="12" w:space="0" w:color="auto"/>
            </w:tcBorders>
            <w:shd w:val="clear" w:color="auto" w:fill="auto"/>
            <w:noWrap/>
            <w:vAlign w:val="bottom"/>
            <w:hideMark/>
          </w:tcPr>
          <w:p w:rsidR="00350B11" w:rsidRPr="007C4E01" w:rsidRDefault="00350B11" w:rsidP="005060AB">
            <w:pPr>
              <w:pStyle w:val="SingleTxt"/>
              <w:tabs>
                <w:tab w:val="left" w:pos="288"/>
                <w:tab w:val="left" w:pos="576"/>
                <w:tab w:val="left" w:pos="864"/>
                <w:tab w:val="left" w:pos="1152"/>
              </w:tabs>
              <w:spacing w:before="40" w:after="40" w:line="210" w:lineRule="exact"/>
              <w:ind w:left="0" w:right="40"/>
              <w:jc w:val="right"/>
              <w:rPr>
                <w:sz w:val="17"/>
                <w:lang w:val="fr-CH" w:bidi="ru-RU"/>
              </w:rPr>
            </w:pPr>
            <w:r w:rsidRPr="007C4E01">
              <w:rPr>
                <w:sz w:val="17"/>
                <w:lang w:val="fr-CH" w:bidi="ru-RU"/>
              </w:rPr>
              <w:t>100</w:t>
            </w:r>
          </w:p>
        </w:tc>
      </w:tr>
    </w:tbl>
    <w:p w:rsidR="00350B11" w:rsidRPr="007C4E01" w:rsidRDefault="00350B11" w:rsidP="0023065F">
      <w:pPr>
        <w:pStyle w:val="SingleTxt"/>
        <w:spacing w:after="0" w:line="120" w:lineRule="exact"/>
        <w:rPr>
          <w:sz w:val="10"/>
          <w:lang w:val="fr-CH"/>
        </w:rPr>
      </w:pPr>
    </w:p>
    <w:p w:rsidR="00350B11" w:rsidRPr="007C4E01" w:rsidRDefault="00350B11" w:rsidP="0023065F">
      <w:pPr>
        <w:pStyle w:val="SingleTxt"/>
        <w:spacing w:after="0" w:line="120" w:lineRule="exact"/>
        <w:rPr>
          <w:sz w:val="10"/>
          <w:lang w:val="fr-CH"/>
        </w:rPr>
      </w:pPr>
    </w:p>
    <w:p w:rsidR="00350B11" w:rsidRPr="007C4E01" w:rsidRDefault="00010320" w:rsidP="00010320">
      <w:pPr>
        <w:pStyle w:val="FootnoteText"/>
        <w:tabs>
          <w:tab w:val="right" w:pos="1476"/>
          <w:tab w:val="left" w:pos="1548"/>
          <w:tab w:val="right" w:pos="1836"/>
          <w:tab w:val="left" w:pos="1908"/>
        </w:tabs>
        <w:ind w:left="1548" w:hanging="288"/>
        <w:rPr>
          <w:lang w:val="fr-CH"/>
        </w:rPr>
      </w:pPr>
      <w:r w:rsidRPr="007C4E01">
        <w:rPr>
          <w:lang w:val="fr-CH"/>
        </w:rPr>
        <w:t xml:space="preserve">Abréviations : AUT = Autriche; BIH = Bosnie-Herzegovine; FRA = France; GEO = Géorgie; DEU = Allemagne; KGZ = Kirghizistan; LTU = </w:t>
      </w:r>
      <w:r w:rsidR="00784CF4" w:rsidRPr="007C4E01">
        <w:rPr>
          <w:lang w:val="fr-CH"/>
        </w:rPr>
        <w:t>Lituanie</w:t>
      </w:r>
      <w:r w:rsidRPr="007C4E01">
        <w:rPr>
          <w:lang w:val="fr-CH"/>
        </w:rPr>
        <w:t>; RUS = Fédération de Russie; SWE = Suède; CHE = Suisse.</w:t>
      </w:r>
    </w:p>
    <w:p w:rsidR="0023065F" w:rsidRPr="007C4E01" w:rsidRDefault="0023065F" w:rsidP="00A519BB">
      <w:pPr>
        <w:pStyle w:val="SingleTxt"/>
        <w:spacing w:after="0" w:line="120" w:lineRule="exact"/>
        <w:rPr>
          <w:sz w:val="10"/>
          <w:lang w:val="fr-CH"/>
        </w:rPr>
      </w:pPr>
    </w:p>
    <w:p w:rsidR="00A519BB" w:rsidRPr="007C4E01" w:rsidRDefault="00A519BB" w:rsidP="00A519BB">
      <w:pPr>
        <w:pStyle w:val="SingleTxt"/>
        <w:spacing w:after="0" w:line="120" w:lineRule="exact"/>
        <w:rPr>
          <w:sz w:val="10"/>
          <w:lang w:val="fr-CH"/>
        </w:rPr>
      </w:pPr>
    </w:p>
    <w:p w:rsidR="00A519BB" w:rsidRPr="007C4E01" w:rsidRDefault="00BF6BEB" w:rsidP="00BF6B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r>
      <w:r w:rsidR="00A519BB" w:rsidRPr="007C4E01">
        <w:rPr>
          <w:lang w:val="fr-CH"/>
        </w:rPr>
        <w:t>III.</w:t>
      </w:r>
      <w:r w:rsidR="00A519BB" w:rsidRPr="007C4E01">
        <w:rPr>
          <w:lang w:val="fr-CH"/>
        </w:rPr>
        <w:tab/>
        <w:t>Conclusions et voie à suivre</w:t>
      </w:r>
    </w:p>
    <w:p w:rsidR="00BF6BEB" w:rsidRPr="007C4E01" w:rsidRDefault="00BF6BEB" w:rsidP="00BF6BEB">
      <w:pPr>
        <w:pStyle w:val="SingleTxt"/>
        <w:spacing w:after="0" w:line="120" w:lineRule="exact"/>
        <w:rPr>
          <w:sz w:val="10"/>
          <w:lang w:val="fr-CH"/>
        </w:rPr>
      </w:pPr>
    </w:p>
    <w:p w:rsidR="00BF6BEB" w:rsidRPr="007C4E01" w:rsidRDefault="00BF6BEB" w:rsidP="00BF6BEB">
      <w:pPr>
        <w:pStyle w:val="SingleTxt"/>
        <w:spacing w:after="0" w:line="120" w:lineRule="exact"/>
        <w:rPr>
          <w:sz w:val="10"/>
          <w:lang w:val="fr-CH"/>
        </w:rPr>
      </w:pPr>
    </w:p>
    <w:p w:rsidR="00A519BB" w:rsidRPr="007C4E01" w:rsidRDefault="00BF6BEB" w:rsidP="00BF6BEB">
      <w:pPr>
        <w:pStyle w:val="SingleTxt"/>
        <w:numPr>
          <w:ilvl w:val="0"/>
          <w:numId w:val="14"/>
        </w:numPr>
        <w:rPr>
          <w:lang w:val="fr-CH"/>
        </w:rPr>
      </w:pPr>
      <w:r w:rsidRPr="007C4E01">
        <w:rPr>
          <w:lang w:val="fr-CH"/>
        </w:rPr>
        <w:t>Il ressort du</w:t>
      </w:r>
      <w:r w:rsidR="00A519BB" w:rsidRPr="007C4E01">
        <w:rPr>
          <w:lang w:val="fr-CH"/>
        </w:rPr>
        <w:t xml:space="preserve"> présent rapport que 32 pays de la région paneuropéenne ont amélioré </w:t>
      </w:r>
      <w:r w:rsidRPr="007C4E01">
        <w:rPr>
          <w:lang w:val="fr-CH"/>
        </w:rPr>
        <w:t>leurs résultats</w:t>
      </w:r>
      <w:r w:rsidR="00A519BB" w:rsidRPr="007C4E01">
        <w:rPr>
          <w:lang w:val="fr-CH"/>
        </w:rPr>
        <w:t xml:space="preserve"> </w:t>
      </w:r>
      <w:r w:rsidR="005D7CB1">
        <w:rPr>
          <w:lang w:val="fr-CH"/>
        </w:rPr>
        <w:t xml:space="preserve">au regard </w:t>
      </w:r>
      <w:r w:rsidR="00A519BB" w:rsidRPr="007C4E01">
        <w:rPr>
          <w:lang w:val="fr-CH"/>
        </w:rPr>
        <w:t>du SEIS. Plus de 51</w:t>
      </w:r>
      <w:r w:rsidRPr="007C4E01">
        <w:rPr>
          <w:lang w:val="fr-CH"/>
        </w:rPr>
        <w:t> </w:t>
      </w:r>
      <w:r w:rsidR="00A519BB" w:rsidRPr="007C4E01">
        <w:rPr>
          <w:lang w:val="fr-CH"/>
        </w:rPr>
        <w:t xml:space="preserve">% des données et informations connexes sont disponibles en ligne sur le site Web national des pays étudiés. Pour quelques pays seulement </w:t>
      </w:r>
      <w:r w:rsidRPr="007C4E01">
        <w:rPr>
          <w:lang w:val="fr-CH"/>
        </w:rPr>
        <w:t>il n’existe</w:t>
      </w:r>
      <w:r w:rsidR="00A519BB" w:rsidRPr="007C4E01">
        <w:rPr>
          <w:lang w:val="fr-CH"/>
        </w:rPr>
        <w:t xml:space="preserve"> que peu </w:t>
      </w:r>
      <w:r w:rsidRPr="007C4E01">
        <w:rPr>
          <w:lang w:val="fr-CH"/>
        </w:rPr>
        <w:t>d’ensembles</w:t>
      </w:r>
      <w:r w:rsidR="00A519BB" w:rsidRPr="007C4E01">
        <w:rPr>
          <w:lang w:val="fr-CH"/>
        </w:rPr>
        <w:t xml:space="preserve"> de données </w:t>
      </w:r>
      <w:r w:rsidRPr="007C4E01">
        <w:rPr>
          <w:lang w:val="fr-CH"/>
        </w:rPr>
        <w:t>en ligne, voire aucun.</w:t>
      </w:r>
    </w:p>
    <w:p w:rsidR="00A519BB" w:rsidRPr="007C4E01" w:rsidRDefault="00A519BB" w:rsidP="00C13981">
      <w:pPr>
        <w:pStyle w:val="SingleTxt"/>
        <w:numPr>
          <w:ilvl w:val="0"/>
          <w:numId w:val="14"/>
        </w:numPr>
        <w:rPr>
          <w:lang w:val="fr-CH"/>
        </w:rPr>
      </w:pPr>
      <w:r w:rsidRPr="007C4E01">
        <w:rPr>
          <w:lang w:val="fr-CH"/>
        </w:rPr>
        <w:t xml:space="preserve">Plusieurs ensembles de données et domaines thématiques ne sont publiés que par un petit nombre de pays </w:t>
      </w:r>
      <w:r w:rsidR="00C13981" w:rsidRPr="007C4E01">
        <w:rPr>
          <w:lang w:val="fr-CH"/>
        </w:rPr>
        <w:t>de la région</w:t>
      </w:r>
      <w:r w:rsidRPr="007C4E01">
        <w:rPr>
          <w:lang w:val="fr-CH"/>
        </w:rPr>
        <w:t xml:space="preserve">. En outre, les </w:t>
      </w:r>
      <w:r w:rsidR="00C13981" w:rsidRPr="007C4E01">
        <w:rPr>
          <w:lang w:val="fr-CH"/>
        </w:rPr>
        <w:t>programmes d’actualisation</w:t>
      </w:r>
      <w:r w:rsidRPr="007C4E01">
        <w:rPr>
          <w:lang w:val="fr-CH"/>
        </w:rPr>
        <w:t xml:space="preserve"> des données </w:t>
      </w:r>
      <w:r w:rsidR="00C13981" w:rsidRPr="007C4E01">
        <w:rPr>
          <w:lang w:val="fr-CH"/>
        </w:rPr>
        <w:t>par incorporation</w:t>
      </w:r>
      <w:r w:rsidRPr="007C4E01">
        <w:rPr>
          <w:lang w:val="fr-CH"/>
        </w:rPr>
        <w:t xml:space="preserve"> </w:t>
      </w:r>
      <w:r w:rsidR="00C13981" w:rsidRPr="007C4E01">
        <w:rPr>
          <w:lang w:val="fr-CH"/>
        </w:rPr>
        <w:t>d’</w:t>
      </w:r>
      <w:r w:rsidRPr="007C4E01">
        <w:rPr>
          <w:lang w:val="fr-CH"/>
        </w:rPr>
        <w:t xml:space="preserve">éléments plus récents (par exemple séries chronologiques à jour) laissent à </w:t>
      </w:r>
      <w:r w:rsidR="00D728A7" w:rsidRPr="007C4E01">
        <w:rPr>
          <w:lang w:val="fr-CH"/>
        </w:rPr>
        <w:t>désirer et doivent être corrigé</w:t>
      </w:r>
      <w:r w:rsidRPr="007C4E01">
        <w:rPr>
          <w:lang w:val="fr-CH"/>
        </w:rPr>
        <w:t xml:space="preserve">s. En revanche, la fourniture </w:t>
      </w:r>
      <w:r w:rsidR="00D728A7" w:rsidRPr="007C4E01">
        <w:rPr>
          <w:lang w:val="fr-CH"/>
        </w:rPr>
        <w:t>d’indications</w:t>
      </w:r>
      <w:r w:rsidRPr="007C4E01">
        <w:rPr>
          <w:lang w:val="fr-CH"/>
        </w:rPr>
        <w:t xml:space="preserve"> touchant les méthodes de production, l’interprétation et l</w:t>
      </w:r>
      <w:r w:rsidR="00D728A7" w:rsidRPr="007C4E01">
        <w:rPr>
          <w:lang w:val="fr-CH"/>
        </w:rPr>
        <w:t>’</w:t>
      </w:r>
      <w:r w:rsidRPr="007C4E01">
        <w:rPr>
          <w:lang w:val="fr-CH"/>
        </w:rPr>
        <w:t xml:space="preserve">utilisation </w:t>
      </w:r>
      <w:r w:rsidR="00D728A7" w:rsidRPr="007C4E01">
        <w:rPr>
          <w:lang w:val="fr-CH"/>
        </w:rPr>
        <w:t xml:space="preserve">des données </w:t>
      </w:r>
      <w:r w:rsidRPr="007C4E01">
        <w:rPr>
          <w:lang w:val="fr-CH"/>
        </w:rPr>
        <w:t xml:space="preserve">ainsi que </w:t>
      </w:r>
      <w:r w:rsidR="00D728A7" w:rsidRPr="007C4E01">
        <w:rPr>
          <w:lang w:val="fr-CH"/>
        </w:rPr>
        <w:t>leurs</w:t>
      </w:r>
      <w:r w:rsidRPr="007C4E01">
        <w:rPr>
          <w:lang w:val="fr-CH"/>
        </w:rPr>
        <w:t xml:space="preserve"> sources pour les ensembles de données accessibles ne s</w:t>
      </w:r>
      <w:r w:rsidR="00D728A7" w:rsidRPr="007C4E01">
        <w:rPr>
          <w:lang w:val="fr-CH"/>
        </w:rPr>
        <w:t>emblent pas poser de difficulté</w:t>
      </w:r>
      <w:r w:rsidRPr="007C4E01">
        <w:rPr>
          <w:lang w:val="fr-CH"/>
        </w:rPr>
        <w:t xml:space="preserve"> au</w:t>
      </w:r>
      <w:r w:rsidR="00D728A7" w:rsidRPr="007C4E01">
        <w:rPr>
          <w:lang w:val="fr-CH"/>
        </w:rPr>
        <w:t>x</w:t>
      </w:r>
      <w:r w:rsidRPr="007C4E01">
        <w:rPr>
          <w:lang w:val="fr-CH"/>
        </w:rPr>
        <w:t xml:space="preserve"> pays. La présent</w:t>
      </w:r>
      <w:r w:rsidR="00D728A7" w:rsidRPr="007C4E01">
        <w:rPr>
          <w:lang w:val="fr-CH"/>
        </w:rPr>
        <w:t>e</w:t>
      </w:r>
      <w:r w:rsidRPr="007C4E01">
        <w:rPr>
          <w:lang w:val="fr-CH"/>
        </w:rPr>
        <w:t xml:space="preserve"> étude ne tient pas compte des normes acceptées sur le plan international pour la production des ensembles de données ni </w:t>
      </w:r>
      <w:r w:rsidR="00D728A7" w:rsidRPr="007C4E01">
        <w:rPr>
          <w:lang w:val="fr-CH"/>
        </w:rPr>
        <w:t>de</w:t>
      </w:r>
      <w:r w:rsidRPr="007C4E01">
        <w:rPr>
          <w:lang w:val="fr-CH"/>
        </w:rPr>
        <w:t xml:space="preserve"> la qualité des données</w:t>
      </w:r>
      <w:r w:rsidRPr="007C4E01">
        <w:rPr>
          <w:rStyle w:val="FootnoteReference"/>
          <w:lang w:val="fr-CH"/>
        </w:rPr>
        <w:footnoteReference w:id="19"/>
      </w:r>
      <w:r w:rsidRPr="007C4E01">
        <w:rPr>
          <w:lang w:val="fr-CH"/>
        </w:rPr>
        <w:t>. On n’a pas non plus évalué la nature ou la qualité de l’interprétation et de l’utilisation des données, lacune qui devrait être corrigée dans le prochain cycle d’évaluation.</w:t>
      </w:r>
    </w:p>
    <w:p w:rsidR="00A519BB" w:rsidRPr="007C4E01" w:rsidRDefault="00A519BB" w:rsidP="00C13981">
      <w:pPr>
        <w:pStyle w:val="SingleTxt"/>
        <w:numPr>
          <w:ilvl w:val="0"/>
          <w:numId w:val="14"/>
        </w:numPr>
        <w:rPr>
          <w:lang w:val="fr-CH"/>
        </w:rPr>
      </w:pPr>
      <w:r w:rsidRPr="007C4E01">
        <w:rPr>
          <w:lang w:val="fr-CH"/>
        </w:rPr>
        <w:t>L’étude visait aussi à mettre à l’essai le mécanisme d’établissement de rapport</w:t>
      </w:r>
      <w:r w:rsidR="005D7CB1">
        <w:rPr>
          <w:lang w:val="fr-CH"/>
        </w:rPr>
        <w:t>s</w:t>
      </w:r>
      <w:r w:rsidRPr="007C4E01">
        <w:rPr>
          <w:lang w:val="fr-CH"/>
        </w:rPr>
        <w:t xml:space="preserve"> du SEIS en laissant au secrétariat le soin de préremplir des tableaux (conformément au</w:t>
      </w:r>
      <w:r w:rsidR="00D728A7" w:rsidRPr="007C4E01">
        <w:rPr>
          <w:lang w:val="fr-CH"/>
        </w:rPr>
        <w:t>x</w:t>
      </w:r>
      <w:r w:rsidRPr="007C4E01">
        <w:rPr>
          <w:lang w:val="fr-CH"/>
        </w:rPr>
        <w:t xml:space="preserve"> critère</w:t>
      </w:r>
      <w:r w:rsidR="00D728A7" w:rsidRPr="007C4E01">
        <w:rPr>
          <w:lang w:val="fr-CH"/>
        </w:rPr>
        <w:t>s</w:t>
      </w:r>
      <w:r w:rsidRPr="007C4E01">
        <w:rPr>
          <w:lang w:val="fr-CH"/>
        </w:rPr>
        <w:t xml:space="preserve"> d’examen convenu</w:t>
      </w:r>
      <w:r w:rsidR="00D728A7" w:rsidRPr="007C4E01">
        <w:rPr>
          <w:lang w:val="fr-CH"/>
        </w:rPr>
        <w:t>s</w:t>
      </w:r>
      <w:r w:rsidRPr="007C4E01">
        <w:rPr>
          <w:lang w:val="fr-CH"/>
        </w:rPr>
        <w:t xml:space="preserve">), qui ont été validés ensuite par chaque pays. Cette validation constitue </w:t>
      </w:r>
      <w:r w:rsidR="00D728A7" w:rsidRPr="007C4E01">
        <w:rPr>
          <w:lang w:val="fr-CH"/>
        </w:rPr>
        <w:t xml:space="preserve">le point de départ à partir duquel </w:t>
      </w:r>
      <w:r w:rsidR="005D7CB1">
        <w:rPr>
          <w:lang w:val="fr-CH"/>
        </w:rPr>
        <w:t>on</w:t>
      </w:r>
      <w:r w:rsidR="00D728A7" w:rsidRPr="007C4E01">
        <w:rPr>
          <w:lang w:val="fr-CH"/>
        </w:rPr>
        <w:t xml:space="preserve"> évaluer</w:t>
      </w:r>
      <w:r w:rsidR="005D7CB1">
        <w:rPr>
          <w:lang w:val="fr-CH"/>
        </w:rPr>
        <w:t>a</w:t>
      </w:r>
      <w:r w:rsidRPr="007C4E01">
        <w:rPr>
          <w:lang w:val="fr-CH"/>
        </w:rPr>
        <w:t xml:space="preserve"> l’évolution des résultats de chaque État membre </w:t>
      </w:r>
      <w:r w:rsidR="00D728A7" w:rsidRPr="007C4E01">
        <w:rPr>
          <w:lang w:val="fr-CH"/>
        </w:rPr>
        <w:t>pour les</w:t>
      </w:r>
      <w:r w:rsidRPr="007C4E01">
        <w:rPr>
          <w:lang w:val="fr-CH"/>
        </w:rPr>
        <w:t xml:space="preserve"> 67</w:t>
      </w:r>
      <w:r w:rsidR="00D728A7" w:rsidRPr="007C4E01">
        <w:rPr>
          <w:lang w:val="fr-CH"/>
        </w:rPr>
        <w:t> </w:t>
      </w:r>
      <w:r w:rsidRPr="007C4E01">
        <w:rPr>
          <w:lang w:val="fr-CH"/>
        </w:rPr>
        <w:t>ensembles de données et domaines thématiques du SEIS. Il convient de noter que  jusqu’à présent</w:t>
      </w:r>
      <w:r w:rsidR="00D728A7" w:rsidRPr="007C4E01">
        <w:rPr>
          <w:lang w:val="fr-CH"/>
        </w:rPr>
        <w:t xml:space="preserve"> 22 pays seulement ont validé l’information</w:t>
      </w:r>
      <w:r w:rsidRPr="007C4E01">
        <w:rPr>
          <w:lang w:val="fr-CH"/>
        </w:rPr>
        <w:t>.</w:t>
      </w:r>
    </w:p>
    <w:p w:rsidR="00A519BB" w:rsidRPr="007C4E01" w:rsidRDefault="00A519BB" w:rsidP="00C13981">
      <w:pPr>
        <w:pStyle w:val="SingleTxt"/>
        <w:numPr>
          <w:ilvl w:val="0"/>
          <w:numId w:val="14"/>
        </w:numPr>
        <w:rPr>
          <w:lang w:val="fr-CH"/>
        </w:rPr>
      </w:pPr>
      <w:r w:rsidRPr="007C4E01">
        <w:rPr>
          <w:lang w:val="fr-CH"/>
        </w:rPr>
        <w:t xml:space="preserve">Lorsque tous les pays étudiés auront </w:t>
      </w:r>
      <w:r w:rsidR="00D728A7" w:rsidRPr="007C4E01">
        <w:rPr>
          <w:lang w:val="fr-CH"/>
        </w:rPr>
        <w:t>procédé à la validation</w:t>
      </w:r>
      <w:r w:rsidRPr="007C4E01">
        <w:rPr>
          <w:lang w:val="fr-CH"/>
        </w:rPr>
        <w:t xml:space="preserve">, les résultats pourraient servir de base pour les futures études et pour le suivi et l’évaluation </w:t>
      </w:r>
      <w:r w:rsidR="00D728A7" w:rsidRPr="007C4E01">
        <w:rPr>
          <w:lang w:val="fr-CH"/>
        </w:rPr>
        <w:t>de l’</w:t>
      </w:r>
      <w:r w:rsidR="00784CF4" w:rsidRPr="007C4E01">
        <w:rPr>
          <w:lang w:val="fr-CH"/>
        </w:rPr>
        <w:t>état</w:t>
      </w:r>
      <w:r w:rsidR="00D728A7" w:rsidRPr="007C4E01">
        <w:rPr>
          <w:lang w:val="fr-CH"/>
        </w:rPr>
        <w:t xml:space="preserve"> d’avancement</w:t>
      </w:r>
      <w:r w:rsidRPr="007C4E01">
        <w:rPr>
          <w:lang w:val="fr-CH"/>
        </w:rPr>
        <w:t xml:space="preserve"> réalisés dans l’établissement du SEIS. Cette base permettra aussi de jauger les résultats des pays sur le plan de l’efficacité de fonctionnement du SEIS pour la totalité des ensembles de données disponibles et accessibles en ligne. </w:t>
      </w:r>
      <w:r w:rsidR="00D728A7" w:rsidRPr="007C4E01">
        <w:rPr>
          <w:lang w:val="fr-CH"/>
        </w:rPr>
        <w:t>Le</w:t>
      </w:r>
      <w:r w:rsidRPr="007C4E01">
        <w:rPr>
          <w:lang w:val="fr-CH"/>
        </w:rPr>
        <w:t xml:space="preserve"> processus de validation et d’examen </w:t>
      </w:r>
      <w:r w:rsidR="00D728A7" w:rsidRPr="007C4E01">
        <w:rPr>
          <w:lang w:val="fr-CH"/>
        </w:rPr>
        <w:t xml:space="preserve">continu devrait </w:t>
      </w:r>
      <w:r w:rsidRPr="007C4E01">
        <w:rPr>
          <w:lang w:val="fr-CH"/>
        </w:rPr>
        <w:t>contribuer à améliorer le fonctionnement du SEIS dans la région paneuropéenne, ainsi qu’il ressort des exemples présentés dans l’encadré 1.</w:t>
      </w:r>
    </w:p>
    <w:p w:rsidR="00A519BB" w:rsidRPr="007C4E01" w:rsidRDefault="00A519BB" w:rsidP="00C13981">
      <w:pPr>
        <w:pStyle w:val="SingleTxt"/>
        <w:numPr>
          <w:ilvl w:val="0"/>
          <w:numId w:val="14"/>
        </w:numPr>
        <w:rPr>
          <w:lang w:val="fr-CH"/>
        </w:rPr>
      </w:pPr>
      <w:r w:rsidRPr="007C4E01">
        <w:rPr>
          <w:lang w:val="fr-CH"/>
        </w:rPr>
        <w:t xml:space="preserve">Il est prévu que </w:t>
      </w:r>
      <w:r w:rsidR="00D728A7" w:rsidRPr="007C4E01">
        <w:rPr>
          <w:lang w:val="fr-CH"/>
        </w:rPr>
        <w:t xml:space="preserve">les </w:t>
      </w:r>
      <w:r w:rsidRPr="007C4E01">
        <w:rPr>
          <w:lang w:val="fr-CH"/>
        </w:rPr>
        <w:t xml:space="preserve">53 pays continueront </w:t>
      </w:r>
      <w:r w:rsidR="00D728A7" w:rsidRPr="007C4E01">
        <w:rPr>
          <w:lang w:val="fr-CH"/>
        </w:rPr>
        <w:t xml:space="preserve">tous </w:t>
      </w:r>
      <w:r w:rsidRPr="007C4E01">
        <w:rPr>
          <w:lang w:val="fr-CH"/>
        </w:rPr>
        <w:t xml:space="preserve">d’être évalués par le Groupe de travail au regard de leurs résultats passés, l’objectif étant de </w:t>
      </w:r>
      <w:r w:rsidR="00D728A7" w:rsidRPr="007C4E01">
        <w:rPr>
          <w:lang w:val="fr-CH"/>
        </w:rPr>
        <w:t>faire en sorte</w:t>
      </w:r>
      <w:r w:rsidRPr="007C4E01">
        <w:rPr>
          <w:lang w:val="fr-CH"/>
        </w:rPr>
        <w:t xml:space="preserve"> que chaque pays améliore ses résultats d’année en année. Cela vaut aussi bien pour les pays qui pourraient considérer que les résultats ne sont pas encore satisfaisants que pour ceux qui souhaitent maintenir leurs bons résultats. Dans l’ensemble, le but visé est que tous les pays étudiés atteignent et </w:t>
      </w:r>
      <w:r w:rsidR="00D728A7" w:rsidRPr="007C4E01">
        <w:rPr>
          <w:lang w:val="fr-CH"/>
        </w:rPr>
        <w:t>conservent</w:t>
      </w:r>
      <w:r w:rsidRPr="007C4E01">
        <w:rPr>
          <w:lang w:val="fr-CH"/>
        </w:rPr>
        <w:t xml:space="preserve"> un niveau de </w:t>
      </w:r>
      <w:r w:rsidR="00D728A7" w:rsidRPr="007C4E01">
        <w:rPr>
          <w:lang w:val="fr-CH"/>
        </w:rPr>
        <w:t>résultats</w:t>
      </w:r>
      <w:r w:rsidRPr="007C4E01">
        <w:rPr>
          <w:lang w:val="fr-CH"/>
        </w:rPr>
        <w:t xml:space="preserve"> élevé.</w:t>
      </w:r>
    </w:p>
    <w:p w:rsidR="00A519BB" w:rsidRPr="007C4E01" w:rsidRDefault="00D728A7" w:rsidP="00C13981">
      <w:pPr>
        <w:pStyle w:val="SingleTxt"/>
        <w:numPr>
          <w:ilvl w:val="0"/>
          <w:numId w:val="14"/>
        </w:numPr>
        <w:rPr>
          <w:lang w:val="fr-CH"/>
        </w:rPr>
      </w:pPr>
      <w:r w:rsidRPr="007C4E01">
        <w:rPr>
          <w:lang w:val="fr-CH"/>
        </w:rPr>
        <w:t>Étant donné l</w:t>
      </w:r>
      <w:r w:rsidR="00A519BB" w:rsidRPr="007C4E01">
        <w:rPr>
          <w:lang w:val="fr-CH"/>
        </w:rPr>
        <w:t>’état actuel de la mise en place du SEIS</w:t>
      </w:r>
      <w:r w:rsidRPr="007C4E01">
        <w:rPr>
          <w:lang w:val="fr-CH"/>
        </w:rPr>
        <w:t>,</w:t>
      </w:r>
      <w:r w:rsidR="00A519BB" w:rsidRPr="007C4E01">
        <w:rPr>
          <w:lang w:val="fr-CH"/>
        </w:rPr>
        <w:t xml:space="preserve"> </w:t>
      </w:r>
      <w:r w:rsidRPr="007C4E01">
        <w:rPr>
          <w:lang w:val="fr-CH"/>
        </w:rPr>
        <w:t>il est nécessaire</w:t>
      </w:r>
      <w:r w:rsidR="00A519BB" w:rsidRPr="007C4E01">
        <w:rPr>
          <w:lang w:val="fr-CH"/>
        </w:rPr>
        <w:t xml:space="preserve"> de progresser dans l’élaboration d’une application en ligne simple destinée à faciliter et améliorer l’établissement de</w:t>
      </w:r>
      <w:r w:rsidRPr="007C4E01">
        <w:rPr>
          <w:lang w:val="fr-CH"/>
        </w:rPr>
        <w:t>s</w:t>
      </w:r>
      <w:r w:rsidR="00A519BB" w:rsidRPr="007C4E01">
        <w:rPr>
          <w:lang w:val="fr-CH"/>
        </w:rPr>
        <w:t xml:space="preserve"> rapports par les pays. À cette fin, le PNUE a proposé, à la dix-septième session du Groupe de travail (Genève, 7-8 septembre 2015), son aide pour mettre au point une application </w:t>
      </w:r>
      <w:r w:rsidRPr="007C4E01">
        <w:rPr>
          <w:lang w:val="fr-CH"/>
        </w:rPr>
        <w:t>simple en exploitant les</w:t>
      </w:r>
      <w:r w:rsidR="00A519BB" w:rsidRPr="007C4E01">
        <w:rPr>
          <w:lang w:val="fr-CH"/>
        </w:rPr>
        <w:t xml:space="preserve"> ressources disponibles de son service informatique chargé de gérer </w:t>
      </w:r>
      <w:r w:rsidR="005D7CB1">
        <w:rPr>
          <w:lang w:val="fr-CH"/>
        </w:rPr>
        <w:t xml:space="preserve">la plateforme </w:t>
      </w:r>
      <w:r w:rsidR="00A519BB" w:rsidRPr="007C4E01">
        <w:rPr>
          <w:lang w:val="fr-CH"/>
        </w:rPr>
        <w:t xml:space="preserve">UNEP Live. Cette </w:t>
      </w:r>
      <w:r w:rsidRPr="007C4E01">
        <w:rPr>
          <w:lang w:val="fr-CH"/>
        </w:rPr>
        <w:t>proposition</w:t>
      </w:r>
      <w:r w:rsidR="00A519BB" w:rsidRPr="007C4E01">
        <w:rPr>
          <w:lang w:val="fr-CH"/>
        </w:rPr>
        <w:t xml:space="preserve"> a été acceptée par le Groupe de travail et communiquée au Comité à sa vingt et unième session (voir par. 16 ci-dessus). Elle pourrait fournir le socle sur lequel pourrait s’appuyer une action permanente d’évaluation de l’état d’avancement de la mise en place </w:t>
      </w:r>
      <w:r w:rsidRPr="007C4E01">
        <w:rPr>
          <w:lang w:val="fr-CH"/>
        </w:rPr>
        <w:t xml:space="preserve">durable </w:t>
      </w:r>
      <w:r w:rsidR="00A519BB" w:rsidRPr="007C4E01">
        <w:rPr>
          <w:lang w:val="fr-CH"/>
        </w:rPr>
        <w:t>du</w:t>
      </w:r>
      <w:r w:rsidR="00606915" w:rsidRPr="007C4E01">
        <w:rPr>
          <w:lang w:val="fr-CH"/>
        </w:rPr>
        <w:t> </w:t>
      </w:r>
      <w:r w:rsidR="00A519BB" w:rsidRPr="007C4E01">
        <w:rPr>
          <w:lang w:val="fr-CH"/>
        </w:rPr>
        <w:t>SEIS.</w:t>
      </w:r>
    </w:p>
    <w:p w:rsidR="00A519BB" w:rsidRPr="007C4E01" w:rsidRDefault="00606915" w:rsidP="00C13981">
      <w:pPr>
        <w:pStyle w:val="SingleTxt"/>
        <w:numPr>
          <w:ilvl w:val="0"/>
          <w:numId w:val="14"/>
        </w:numPr>
        <w:rPr>
          <w:lang w:val="fr-CH"/>
        </w:rPr>
      </w:pPr>
      <w:r w:rsidRPr="007C4E01">
        <w:rPr>
          <w:lang w:val="fr-CH"/>
        </w:rPr>
        <w:t>L’</w:t>
      </w:r>
      <w:r w:rsidR="00A519BB" w:rsidRPr="007C4E01">
        <w:rPr>
          <w:lang w:val="fr-CH"/>
        </w:rPr>
        <w:t xml:space="preserve">étude peut être considérée comme </w:t>
      </w:r>
      <w:r w:rsidRPr="007C4E01">
        <w:rPr>
          <w:lang w:val="fr-CH"/>
        </w:rPr>
        <w:t>une étape importante</w:t>
      </w:r>
      <w:r w:rsidR="00A519BB" w:rsidRPr="007C4E01">
        <w:rPr>
          <w:lang w:val="fr-CH"/>
        </w:rPr>
        <w:t xml:space="preserve"> car elle illustre les progrès considérables qui ont été réalisés dans la mise en place du processus de partage dans la région pane</w:t>
      </w:r>
      <w:r w:rsidRPr="007C4E01">
        <w:rPr>
          <w:lang w:val="fr-CH"/>
        </w:rPr>
        <w:t>uropéenne. En revanche, certain</w:t>
      </w:r>
      <w:r w:rsidR="00A519BB" w:rsidRPr="007C4E01">
        <w:rPr>
          <w:lang w:val="fr-CH"/>
        </w:rPr>
        <w:t xml:space="preserve">s des </w:t>
      </w:r>
      <w:r w:rsidRPr="007C4E01">
        <w:rPr>
          <w:lang w:val="fr-CH"/>
        </w:rPr>
        <w:t>mauvais résultats montrent</w:t>
      </w:r>
      <w:r w:rsidR="00A519BB" w:rsidRPr="007C4E01">
        <w:rPr>
          <w:lang w:val="fr-CH"/>
        </w:rPr>
        <w:t xml:space="preserve"> qu’on aura encore besoin d’aide dans les années à venir pour parvenir à la production complète et au partage de tous les indicateurs environnementaux et ensembles de données connexes, dans la mesure du possible. C’est pourquoi il est recommandé que l’</w:t>
      </w:r>
      <w:r w:rsidRPr="007C4E01">
        <w:rPr>
          <w:lang w:val="fr-CH"/>
        </w:rPr>
        <w:t>actualisation et l’extension de</w:t>
      </w:r>
      <w:r w:rsidR="00A519BB" w:rsidRPr="007C4E01">
        <w:rPr>
          <w:lang w:val="fr-CH"/>
        </w:rPr>
        <w:t xml:space="preserve"> </w:t>
      </w:r>
      <w:r w:rsidRPr="007C4E01">
        <w:rPr>
          <w:lang w:val="fr-CH"/>
        </w:rPr>
        <w:t>l’</w:t>
      </w:r>
      <w:r w:rsidR="00A519BB" w:rsidRPr="007C4E01">
        <w:rPr>
          <w:lang w:val="fr-CH"/>
        </w:rPr>
        <w:t xml:space="preserve">ensemble de données environnementales soient </w:t>
      </w:r>
      <w:r w:rsidRPr="007C4E01">
        <w:rPr>
          <w:lang w:val="fr-CH"/>
        </w:rPr>
        <w:t>alignées sur</w:t>
      </w:r>
      <w:r w:rsidR="00A519BB" w:rsidRPr="007C4E01">
        <w:rPr>
          <w:lang w:val="fr-CH"/>
        </w:rPr>
        <w:t xml:space="preserve"> les travaux du réseau Eionet de l’</w:t>
      </w:r>
      <w:r w:rsidRPr="007C4E01">
        <w:rPr>
          <w:lang w:val="fr-CH"/>
        </w:rPr>
        <w:t>AEE</w:t>
      </w:r>
      <w:r w:rsidR="00A519BB" w:rsidRPr="007C4E01">
        <w:rPr>
          <w:lang w:val="fr-CH"/>
        </w:rPr>
        <w:t xml:space="preserve"> et du PNUE. Une action coordonnée et une coopération </w:t>
      </w:r>
      <w:r w:rsidRPr="007C4E01">
        <w:rPr>
          <w:lang w:val="fr-CH"/>
        </w:rPr>
        <w:t>élargie</w:t>
      </w:r>
      <w:r w:rsidR="00A519BB" w:rsidRPr="007C4E01">
        <w:rPr>
          <w:lang w:val="fr-CH"/>
        </w:rPr>
        <w:t xml:space="preserve"> sont fortement encouragées entre la CEE, l’</w:t>
      </w:r>
      <w:r w:rsidRPr="007C4E01">
        <w:rPr>
          <w:lang w:val="fr-CH"/>
        </w:rPr>
        <w:t>AEE</w:t>
      </w:r>
      <w:r w:rsidR="00A519BB" w:rsidRPr="007C4E01">
        <w:rPr>
          <w:lang w:val="fr-CH"/>
        </w:rPr>
        <w:t xml:space="preserve"> et le PNUE pour </w:t>
      </w:r>
      <w:r w:rsidRPr="007C4E01">
        <w:rPr>
          <w:lang w:val="fr-CH"/>
        </w:rPr>
        <w:t>consolider</w:t>
      </w:r>
      <w:r w:rsidR="00A519BB" w:rsidRPr="007C4E01">
        <w:rPr>
          <w:lang w:val="fr-CH"/>
        </w:rPr>
        <w:t xml:space="preserve"> le développement du SEIS.</w:t>
      </w:r>
    </w:p>
    <w:p w:rsidR="00A519BB" w:rsidRPr="007C4E01" w:rsidRDefault="00A519BB" w:rsidP="00C13981">
      <w:pPr>
        <w:pStyle w:val="SingleTxt"/>
        <w:numPr>
          <w:ilvl w:val="0"/>
          <w:numId w:val="14"/>
        </w:numPr>
        <w:rPr>
          <w:lang w:val="fr-CH"/>
        </w:rPr>
      </w:pPr>
      <w:r w:rsidRPr="007C4E01">
        <w:rPr>
          <w:lang w:val="fr-CH"/>
        </w:rPr>
        <w:t xml:space="preserve">Étant donné les défauts relevés dans l’étude relative à l’accessibilité des données, il serait très utile d’étendre l’évaluation </w:t>
      </w:r>
      <w:r w:rsidR="00606915" w:rsidRPr="007C4E01">
        <w:rPr>
          <w:lang w:val="fr-CH"/>
        </w:rPr>
        <w:t>des</w:t>
      </w:r>
      <w:r w:rsidRPr="007C4E01">
        <w:rPr>
          <w:lang w:val="fr-CH"/>
        </w:rPr>
        <w:t xml:space="preserve"> domaines thématiques et </w:t>
      </w:r>
      <w:r w:rsidR="005D7CB1">
        <w:rPr>
          <w:lang w:val="fr-CH"/>
        </w:rPr>
        <w:t>d</w:t>
      </w:r>
      <w:r w:rsidRPr="007C4E01">
        <w:rPr>
          <w:lang w:val="fr-CH"/>
        </w:rPr>
        <w:t xml:space="preserve">es ensembles de données à une évaluation du contenu (il s’agit en l’espèce de la qualité du contenu) ainsi que des obstacles nationaux à la mise en place du SEIS, dans le cadre du mécanisme d’établissement de rapports. Il </w:t>
      </w:r>
      <w:r w:rsidR="005D7CB1">
        <w:rPr>
          <w:lang w:val="fr-CH"/>
        </w:rPr>
        <w:t>est</w:t>
      </w:r>
      <w:r w:rsidRPr="007C4E01">
        <w:rPr>
          <w:lang w:val="fr-CH"/>
        </w:rPr>
        <w:t xml:space="preserve"> suggéré que dans une </w:t>
      </w:r>
      <w:r w:rsidR="00606915" w:rsidRPr="007C4E01">
        <w:rPr>
          <w:lang w:val="fr-CH"/>
        </w:rPr>
        <w:t>démarche</w:t>
      </w:r>
      <w:r w:rsidRPr="007C4E01">
        <w:rPr>
          <w:lang w:val="fr-CH"/>
        </w:rPr>
        <w:t xml:space="preserve"> complémentaire, concernant les méthodes de production et l’interprétation et l’utilisation des données, on s’attache essentiellement à </w:t>
      </w:r>
      <w:r w:rsidR="00606915" w:rsidRPr="007C4E01">
        <w:rPr>
          <w:lang w:val="fr-CH"/>
        </w:rPr>
        <w:t>déterminer</w:t>
      </w:r>
      <w:r w:rsidRPr="007C4E01">
        <w:rPr>
          <w:lang w:val="fr-CH"/>
        </w:rPr>
        <w:t xml:space="preserve"> </w:t>
      </w:r>
      <w:r w:rsidR="00606915" w:rsidRPr="007C4E01">
        <w:rPr>
          <w:lang w:val="fr-CH"/>
        </w:rPr>
        <w:t>dans quelle mesure</w:t>
      </w:r>
      <w:r w:rsidRPr="007C4E01">
        <w:rPr>
          <w:lang w:val="fr-CH"/>
        </w:rPr>
        <w:t xml:space="preserve"> les ensembles de données sont comparables </w:t>
      </w:r>
      <w:r w:rsidR="00606915" w:rsidRPr="007C4E01">
        <w:rPr>
          <w:lang w:val="fr-CH"/>
        </w:rPr>
        <w:t>d’un</w:t>
      </w:r>
      <w:r w:rsidRPr="007C4E01">
        <w:rPr>
          <w:lang w:val="fr-CH"/>
        </w:rPr>
        <w:t xml:space="preserve"> pays </w:t>
      </w:r>
      <w:r w:rsidR="00606915" w:rsidRPr="007C4E01">
        <w:rPr>
          <w:lang w:val="fr-CH"/>
        </w:rPr>
        <w:t xml:space="preserve">à l’autre ainsi que </w:t>
      </w:r>
      <w:r w:rsidRPr="007C4E01">
        <w:rPr>
          <w:lang w:val="fr-CH"/>
        </w:rPr>
        <w:t xml:space="preserve">la nécessité </w:t>
      </w:r>
      <w:r w:rsidR="00606915" w:rsidRPr="007C4E01">
        <w:rPr>
          <w:lang w:val="fr-CH"/>
        </w:rPr>
        <w:t xml:space="preserve">de fixer des </w:t>
      </w:r>
      <w:r w:rsidR="00784CF4" w:rsidRPr="007C4E01">
        <w:rPr>
          <w:lang w:val="fr-CH"/>
        </w:rPr>
        <w:t>critères</w:t>
      </w:r>
      <w:r w:rsidR="00606915" w:rsidRPr="007C4E01">
        <w:rPr>
          <w:lang w:val="fr-CH"/>
        </w:rPr>
        <w:t xml:space="preserve"> </w:t>
      </w:r>
      <w:r w:rsidRPr="007C4E01">
        <w:rPr>
          <w:lang w:val="fr-CH"/>
        </w:rPr>
        <w:t>commun</w:t>
      </w:r>
      <w:r w:rsidR="00606915" w:rsidRPr="007C4E01">
        <w:rPr>
          <w:lang w:val="fr-CH"/>
        </w:rPr>
        <w:t>s concernant le format</w:t>
      </w:r>
      <w:r w:rsidRPr="007C4E01">
        <w:rPr>
          <w:lang w:val="fr-CH"/>
        </w:rPr>
        <w:t xml:space="preserve">. </w:t>
      </w:r>
      <w:r w:rsidR="00606915" w:rsidRPr="007C4E01">
        <w:rPr>
          <w:lang w:val="fr-CH"/>
        </w:rPr>
        <w:t>L</w:t>
      </w:r>
      <w:r w:rsidRPr="007C4E01">
        <w:rPr>
          <w:lang w:val="fr-CH"/>
        </w:rPr>
        <w:t xml:space="preserve">’étude devrait tenir compte aussi de la nécessité de </w:t>
      </w:r>
      <w:r w:rsidR="00606915" w:rsidRPr="007C4E01">
        <w:rPr>
          <w:lang w:val="fr-CH"/>
        </w:rPr>
        <w:t>déceler</w:t>
      </w:r>
      <w:r w:rsidRPr="007C4E01">
        <w:rPr>
          <w:lang w:val="fr-CH"/>
        </w:rPr>
        <w:t xml:space="preserve"> les lacunes, de suivre les changements intervenus avec le temps et de poursuivre les activités de collaboration et de renforcement des capacités dans le champ d’application du SEIS.</w:t>
      </w:r>
    </w:p>
    <w:p w:rsidR="00E27101" w:rsidRPr="007C4E01" w:rsidRDefault="00E27101" w:rsidP="00606915">
      <w:pPr>
        <w:pStyle w:val="SingleTxt"/>
        <w:spacing w:after="0" w:line="120" w:lineRule="exact"/>
        <w:rPr>
          <w:sz w:val="10"/>
          <w:lang w:val="fr-CH"/>
        </w:rPr>
      </w:pPr>
    </w:p>
    <w:p w:rsidR="00606915" w:rsidRPr="007C4E01" w:rsidRDefault="00606915" w:rsidP="00606915">
      <w:pPr>
        <w:pStyle w:val="SingleTxt"/>
        <w:spacing w:after="0" w:line="120" w:lineRule="exact"/>
        <w:rPr>
          <w:sz w:val="10"/>
          <w:lang w:val="fr-CH"/>
        </w:rPr>
      </w:pPr>
    </w:p>
    <w:p w:rsidR="00E27101" w:rsidRPr="007C4E01" w:rsidRDefault="00E27101" w:rsidP="006069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t>A.</w:t>
      </w:r>
      <w:r w:rsidRPr="007C4E01">
        <w:rPr>
          <w:lang w:val="fr-CH"/>
        </w:rPr>
        <w:tab/>
        <w:t xml:space="preserve">Principaux messages à retenir et questions </w:t>
      </w:r>
      <w:r w:rsidR="00606915" w:rsidRPr="007C4E01">
        <w:rPr>
          <w:lang w:val="fr-CH"/>
        </w:rPr>
        <w:br/>
      </w:r>
      <w:r w:rsidRPr="007C4E01">
        <w:rPr>
          <w:lang w:val="fr-CH"/>
        </w:rPr>
        <w:t>à prendre en considération</w:t>
      </w:r>
    </w:p>
    <w:p w:rsidR="00E27101" w:rsidRPr="007C4E01" w:rsidRDefault="00E27101" w:rsidP="00606915">
      <w:pPr>
        <w:pStyle w:val="SingleTxt"/>
        <w:spacing w:after="0" w:line="120" w:lineRule="exact"/>
        <w:rPr>
          <w:sz w:val="10"/>
          <w:lang w:val="fr-CH"/>
        </w:rPr>
      </w:pPr>
    </w:p>
    <w:p w:rsidR="00606915" w:rsidRPr="007C4E01" w:rsidRDefault="00606915" w:rsidP="00606915">
      <w:pPr>
        <w:pStyle w:val="SingleTxt"/>
        <w:spacing w:after="0" w:line="120" w:lineRule="exact"/>
        <w:rPr>
          <w:sz w:val="10"/>
          <w:lang w:val="fr-CH"/>
        </w:rPr>
      </w:pPr>
    </w:p>
    <w:p w:rsidR="00E27101" w:rsidRPr="007C4E01" w:rsidRDefault="00E27101" w:rsidP="00C13981">
      <w:pPr>
        <w:pStyle w:val="SingleTxt"/>
        <w:numPr>
          <w:ilvl w:val="0"/>
          <w:numId w:val="14"/>
        </w:numPr>
        <w:rPr>
          <w:lang w:val="fr-CH"/>
        </w:rPr>
      </w:pPr>
      <w:r w:rsidRPr="007C4E01">
        <w:rPr>
          <w:lang w:val="fr-CH"/>
        </w:rPr>
        <w:t>Les principaux résultats de l’</w:t>
      </w:r>
      <w:r w:rsidR="00606915" w:rsidRPr="007C4E01">
        <w:rPr>
          <w:lang w:val="fr-CH"/>
        </w:rPr>
        <w:t>examen</w:t>
      </w:r>
      <w:r w:rsidRPr="007C4E01">
        <w:rPr>
          <w:lang w:val="fr-CH"/>
        </w:rPr>
        <w:t xml:space="preserve"> montrent que l’initiative d’établissement du SEIS (et l’action visant à faciliter l’harmonisation des données) </w:t>
      </w:r>
      <w:r w:rsidR="00606915" w:rsidRPr="007C4E01">
        <w:rPr>
          <w:lang w:val="fr-CH"/>
        </w:rPr>
        <w:t>a</w:t>
      </w:r>
      <w:r w:rsidRPr="007C4E01">
        <w:rPr>
          <w:lang w:val="fr-CH"/>
        </w:rPr>
        <w:t xml:space="preserve"> eu un impact favorable, non seulement sur les capacités et sur la comparabilité des données environnementales, mais aussi sur l’accessibilité </w:t>
      </w:r>
      <w:r w:rsidR="00606915" w:rsidRPr="007C4E01">
        <w:rPr>
          <w:lang w:val="fr-CH"/>
        </w:rPr>
        <w:t>des</w:t>
      </w:r>
      <w:r w:rsidRPr="007C4E01">
        <w:rPr>
          <w:lang w:val="fr-CH"/>
        </w:rPr>
        <w:t xml:space="preserve"> données dans tous les pays de la zone paneuropéenne. Cependant, ils ont aussi mis en lumière la fréquence </w:t>
      </w:r>
      <w:r w:rsidR="00606915" w:rsidRPr="007C4E01">
        <w:rPr>
          <w:lang w:val="fr-CH"/>
        </w:rPr>
        <w:t>lacunes</w:t>
      </w:r>
      <w:r w:rsidRPr="007C4E01">
        <w:rPr>
          <w:lang w:val="fr-CH"/>
        </w:rPr>
        <w:t xml:space="preserve"> et l’existence de domaines qui appellent des améliorations. En particulier, on peut citer l’absence de rapports systématiques dans certains domaines thématiques comme l’eau et des variations sensibles </w:t>
      </w:r>
      <w:r w:rsidR="00606915" w:rsidRPr="007C4E01">
        <w:rPr>
          <w:lang w:val="fr-CH"/>
        </w:rPr>
        <w:t xml:space="preserve">entre </w:t>
      </w:r>
      <w:r w:rsidRPr="007C4E01">
        <w:rPr>
          <w:lang w:val="fr-CH"/>
        </w:rPr>
        <w:t>les États membres dans la manière dont les ensembles de données sont présentés et accessibles en ligne (facilité d’utilisation et nombre de plateformes en ligne).</w:t>
      </w:r>
    </w:p>
    <w:p w:rsidR="00E27101" w:rsidRPr="007C4E01" w:rsidRDefault="00E27101" w:rsidP="00C13981">
      <w:pPr>
        <w:pStyle w:val="SingleTxt"/>
        <w:numPr>
          <w:ilvl w:val="0"/>
          <w:numId w:val="14"/>
        </w:numPr>
        <w:rPr>
          <w:lang w:val="fr-CH"/>
        </w:rPr>
      </w:pPr>
      <w:r w:rsidRPr="007C4E01">
        <w:rPr>
          <w:lang w:val="fr-CH"/>
        </w:rPr>
        <w:t xml:space="preserve">Compte tenu de l’état d’avancement de la mise en place du SEIS dans les divers pays et des difficultés </w:t>
      </w:r>
      <w:r w:rsidR="00606915" w:rsidRPr="007C4E01">
        <w:rPr>
          <w:lang w:val="fr-CH"/>
        </w:rPr>
        <w:t>détectées</w:t>
      </w:r>
      <w:r w:rsidRPr="007C4E01">
        <w:rPr>
          <w:lang w:val="fr-CH"/>
        </w:rPr>
        <w:t xml:space="preserve"> à la suite du premier processus </w:t>
      </w:r>
      <w:r w:rsidR="00606915" w:rsidRPr="007C4E01">
        <w:rPr>
          <w:lang w:val="fr-CH"/>
        </w:rPr>
        <w:t>d’examen</w:t>
      </w:r>
      <w:r w:rsidRPr="007C4E01">
        <w:rPr>
          <w:lang w:val="fr-CH"/>
        </w:rPr>
        <w:t>, les pays sont encouragés à continuer d’améliorer la collecte de données afin de produire et de publier régulièrement une information environnementale en ligne.</w:t>
      </w:r>
    </w:p>
    <w:p w:rsidR="00E27101" w:rsidRPr="007C4E01" w:rsidRDefault="00E27101" w:rsidP="00C13981">
      <w:pPr>
        <w:pStyle w:val="SingleTxt"/>
        <w:numPr>
          <w:ilvl w:val="0"/>
          <w:numId w:val="14"/>
        </w:numPr>
        <w:rPr>
          <w:lang w:val="fr-CH"/>
        </w:rPr>
      </w:pPr>
      <w:r w:rsidRPr="007C4E01">
        <w:rPr>
          <w:lang w:val="fr-CH"/>
        </w:rPr>
        <w:t>Il convient de poursuivre les efforts pour mettre au point l’applicat</w:t>
      </w:r>
      <w:r w:rsidR="005060AB" w:rsidRPr="007C4E01">
        <w:rPr>
          <w:lang w:val="fr-CH"/>
        </w:rPr>
        <w:t>ion en ligne simple destinée au mécanisme</w:t>
      </w:r>
      <w:r w:rsidRPr="007C4E01">
        <w:rPr>
          <w:lang w:val="fr-CH"/>
        </w:rPr>
        <w:t xml:space="preserve"> d’établissement de rapports, de concert avec le sous-groupe du Groupe de travail chargé de </w:t>
      </w:r>
      <w:r w:rsidR="005060AB" w:rsidRPr="007C4E01">
        <w:rPr>
          <w:lang w:val="fr-CH"/>
        </w:rPr>
        <w:t>l’élaboration</w:t>
      </w:r>
      <w:r w:rsidRPr="007C4E01">
        <w:rPr>
          <w:lang w:val="fr-CH"/>
        </w:rPr>
        <w:t xml:space="preserve"> du mécanisme et le service informatique du PNUE. Il est suggéré de continuer les activités dans ce domaine et de </w:t>
      </w:r>
      <w:r w:rsidR="00F41DFE" w:rsidRPr="007C4E01">
        <w:rPr>
          <w:lang w:val="fr-CH"/>
        </w:rPr>
        <w:t xml:space="preserve">faire </w:t>
      </w:r>
      <w:r w:rsidRPr="007C4E01">
        <w:rPr>
          <w:lang w:val="fr-CH"/>
        </w:rPr>
        <w:t xml:space="preserve">construire l’outil d’établissement de rapports </w:t>
      </w:r>
      <w:r w:rsidR="00F41DFE" w:rsidRPr="007C4E01">
        <w:rPr>
          <w:lang w:val="fr-CH"/>
        </w:rPr>
        <w:t xml:space="preserve">en vue d’un exercice pilote par </w:t>
      </w:r>
      <w:r w:rsidRPr="007C4E01">
        <w:rPr>
          <w:lang w:val="fr-CH"/>
        </w:rPr>
        <w:t>les membres du sous-groupe</w:t>
      </w:r>
      <w:r w:rsidR="00F41DFE" w:rsidRPr="007C4E01">
        <w:rPr>
          <w:lang w:val="fr-CH"/>
        </w:rPr>
        <w:t xml:space="preserve"> servant à</w:t>
      </w:r>
      <w:r w:rsidRPr="007C4E01">
        <w:rPr>
          <w:lang w:val="fr-CH"/>
        </w:rPr>
        <w:t xml:space="preserve"> étudie</w:t>
      </w:r>
      <w:r w:rsidR="00F41DFE" w:rsidRPr="007C4E01">
        <w:rPr>
          <w:lang w:val="fr-CH"/>
        </w:rPr>
        <w:t>r</w:t>
      </w:r>
      <w:r w:rsidRPr="007C4E01">
        <w:rPr>
          <w:lang w:val="fr-CH"/>
        </w:rPr>
        <w:t xml:space="preserve"> la manière dont </w:t>
      </w:r>
      <w:r w:rsidR="00F41DFE" w:rsidRPr="007C4E01">
        <w:rPr>
          <w:lang w:val="fr-CH"/>
        </w:rPr>
        <w:t>on pourrai</w:t>
      </w:r>
      <w:r w:rsidRPr="007C4E01">
        <w:rPr>
          <w:lang w:val="fr-CH"/>
        </w:rPr>
        <w:t xml:space="preserve">t </w:t>
      </w:r>
      <w:r w:rsidR="00F41DFE" w:rsidRPr="007C4E01">
        <w:rPr>
          <w:lang w:val="fr-CH"/>
        </w:rPr>
        <w:t>l’utiliser</w:t>
      </w:r>
      <w:r w:rsidRPr="007C4E01">
        <w:rPr>
          <w:lang w:val="fr-CH"/>
        </w:rPr>
        <w:t xml:space="preserve"> concrètement dans les infrastructures nationales de </w:t>
      </w:r>
      <w:r w:rsidR="00F41DFE" w:rsidRPr="007C4E01">
        <w:rPr>
          <w:lang w:val="fr-CH"/>
        </w:rPr>
        <w:t>suivi</w:t>
      </w:r>
      <w:r w:rsidRPr="007C4E01">
        <w:rPr>
          <w:lang w:val="fr-CH"/>
        </w:rPr>
        <w:t xml:space="preserve"> existantes (par exemple en tenant compte des besoins de capacités techniques et financières).</w:t>
      </w:r>
    </w:p>
    <w:p w:rsidR="00E27101" w:rsidRPr="007C4E01" w:rsidRDefault="00E27101" w:rsidP="00C13981">
      <w:pPr>
        <w:pStyle w:val="SingleTxt"/>
        <w:numPr>
          <w:ilvl w:val="0"/>
          <w:numId w:val="14"/>
        </w:numPr>
        <w:rPr>
          <w:lang w:val="fr-CH"/>
        </w:rPr>
      </w:pPr>
      <w:r w:rsidRPr="007C4E01">
        <w:rPr>
          <w:lang w:val="fr-CH"/>
        </w:rPr>
        <w:t>Dans la suite de l’élaboration de la procédure d’auto-évaluation et du mécanisme d’établissement de rapports, on pourrait prendre en considération certains des facteurs suivants :</w:t>
      </w:r>
    </w:p>
    <w:p w:rsidR="00E27101" w:rsidRPr="007C4E01" w:rsidRDefault="00E27101" w:rsidP="00E27101">
      <w:pPr>
        <w:pStyle w:val="SingleTxt"/>
        <w:rPr>
          <w:lang w:val="fr-CH"/>
        </w:rPr>
      </w:pPr>
      <w:r w:rsidRPr="007C4E01">
        <w:rPr>
          <w:lang w:val="fr-CH"/>
        </w:rPr>
        <w:tab/>
        <w:t>a)</w:t>
      </w:r>
      <w:r w:rsidRPr="007C4E01">
        <w:rPr>
          <w:lang w:val="fr-CH"/>
        </w:rPr>
        <w:tab/>
        <w:t xml:space="preserve">Incorporer dans le mécanisme une composante volontaire et complémentaire relative aux obligations découlant de la Convention d’Aarhus pour les États </w:t>
      </w:r>
      <w:r w:rsidR="00F41DFE" w:rsidRPr="007C4E01">
        <w:rPr>
          <w:lang w:val="fr-CH"/>
        </w:rPr>
        <w:t>membres qui sont P</w:t>
      </w:r>
      <w:r w:rsidRPr="007C4E01">
        <w:rPr>
          <w:lang w:val="fr-CH"/>
        </w:rPr>
        <w:t xml:space="preserve">arties à la Convention. Cette composante pourrait faciliter l’amélioration des capacités et </w:t>
      </w:r>
      <w:r w:rsidR="00F41DFE" w:rsidRPr="007C4E01">
        <w:rPr>
          <w:lang w:val="fr-CH"/>
        </w:rPr>
        <w:t>le</w:t>
      </w:r>
      <w:r w:rsidRPr="007C4E01">
        <w:rPr>
          <w:lang w:val="fr-CH"/>
        </w:rPr>
        <w:t xml:space="preserve"> transfert de connaissances afférentes </w:t>
      </w:r>
      <w:r w:rsidR="00F41DFE" w:rsidRPr="007C4E01">
        <w:rPr>
          <w:lang w:val="fr-CH"/>
        </w:rPr>
        <w:t>à l’obligation qui incombe</w:t>
      </w:r>
      <w:r w:rsidRPr="007C4E01">
        <w:rPr>
          <w:lang w:val="fr-CH"/>
        </w:rPr>
        <w:t xml:space="preserve"> aux Parties de </w:t>
      </w:r>
      <w:r w:rsidR="00F41DFE" w:rsidRPr="007C4E01">
        <w:rPr>
          <w:lang w:val="fr-CH"/>
        </w:rPr>
        <w:t>donner</w:t>
      </w:r>
      <w:r w:rsidRPr="007C4E01">
        <w:rPr>
          <w:lang w:val="fr-CH"/>
        </w:rPr>
        <w:t xml:space="preserve"> accès à l’information et</w:t>
      </w:r>
      <w:r w:rsidR="005D7CB1">
        <w:rPr>
          <w:lang w:val="fr-CH"/>
        </w:rPr>
        <w:t>,</w:t>
      </w:r>
      <w:r w:rsidRPr="007C4E01">
        <w:rPr>
          <w:lang w:val="fr-CH"/>
        </w:rPr>
        <w:t xml:space="preserve"> </w:t>
      </w:r>
      <w:r w:rsidR="00F41DFE" w:rsidRPr="007C4E01">
        <w:rPr>
          <w:lang w:val="fr-CH"/>
        </w:rPr>
        <w:t xml:space="preserve">de plus, </w:t>
      </w:r>
      <w:r w:rsidRPr="007C4E01">
        <w:rPr>
          <w:lang w:val="fr-CH"/>
        </w:rPr>
        <w:t>d’aider à la mise en œuvre du SEIS;</w:t>
      </w:r>
    </w:p>
    <w:p w:rsidR="00E27101" w:rsidRPr="007C4E01" w:rsidRDefault="00E27101" w:rsidP="00E27101">
      <w:pPr>
        <w:pStyle w:val="SingleTxt"/>
        <w:rPr>
          <w:lang w:val="fr-CH"/>
        </w:rPr>
      </w:pPr>
      <w:r w:rsidRPr="007C4E01">
        <w:rPr>
          <w:lang w:val="fr-CH"/>
        </w:rPr>
        <w:tab/>
        <w:t>b)</w:t>
      </w:r>
      <w:r w:rsidRPr="007C4E01">
        <w:rPr>
          <w:lang w:val="fr-CH"/>
        </w:rPr>
        <w:tab/>
        <w:t xml:space="preserve">Mener, dans le cadre de </w:t>
      </w:r>
      <w:r w:rsidR="00F41DFE" w:rsidRPr="007C4E01">
        <w:rPr>
          <w:lang w:val="fr-CH"/>
        </w:rPr>
        <w:t>l’examen permanent</w:t>
      </w:r>
      <w:r w:rsidRPr="007C4E01">
        <w:rPr>
          <w:lang w:val="fr-CH"/>
        </w:rPr>
        <w:t xml:space="preserve"> du SEIS, une étude axée sur la meilleure manière </w:t>
      </w:r>
      <w:r w:rsidR="00F41DFE" w:rsidRPr="007C4E01">
        <w:rPr>
          <w:lang w:val="fr-CH"/>
        </w:rPr>
        <w:t>de procéder pour</w:t>
      </w:r>
      <w:r w:rsidRPr="007C4E01">
        <w:rPr>
          <w:lang w:val="fr-CH"/>
        </w:rPr>
        <w:t xml:space="preserve"> la mise en service du mécanisme d’établissement de rapports. Les résultats de l’étude viendraient enrichir le travail qui a déjà été accompli par le sous-groupe du Groupe de travail</w:t>
      </w:r>
      <w:r w:rsidR="002E5B6F" w:rsidRPr="007C4E01">
        <w:rPr>
          <w:lang w:val="fr-CH"/>
        </w:rPr>
        <w:t>,</w:t>
      </w:r>
      <w:r w:rsidRPr="007C4E01">
        <w:rPr>
          <w:lang w:val="fr-CH"/>
        </w:rPr>
        <w:t xml:space="preserve"> constituer</w:t>
      </w:r>
      <w:r w:rsidR="002E5B6F" w:rsidRPr="007C4E01">
        <w:rPr>
          <w:lang w:val="fr-CH"/>
        </w:rPr>
        <w:t>aient</w:t>
      </w:r>
      <w:r w:rsidRPr="007C4E01">
        <w:rPr>
          <w:lang w:val="fr-CH"/>
        </w:rPr>
        <w:t xml:space="preserve"> une contribution concrète et utile à la conception et à la mise en service de l’application en ligne simple</w:t>
      </w:r>
      <w:r w:rsidR="002E5B6F" w:rsidRPr="007C4E01">
        <w:rPr>
          <w:lang w:val="fr-CH"/>
        </w:rPr>
        <w:t>,</w:t>
      </w:r>
      <w:r w:rsidRPr="007C4E01">
        <w:rPr>
          <w:lang w:val="fr-CH"/>
        </w:rPr>
        <w:t xml:space="preserve"> et alimenter</w:t>
      </w:r>
      <w:r w:rsidR="002E5B6F" w:rsidRPr="007C4E01">
        <w:rPr>
          <w:lang w:val="fr-CH"/>
        </w:rPr>
        <w:t>aient</w:t>
      </w:r>
      <w:r w:rsidRPr="007C4E01">
        <w:rPr>
          <w:lang w:val="fr-CH"/>
        </w:rPr>
        <w:t xml:space="preserve"> des recommandations sur </w:t>
      </w:r>
      <w:r w:rsidR="002E5B6F" w:rsidRPr="007C4E01">
        <w:rPr>
          <w:lang w:val="fr-CH"/>
        </w:rPr>
        <w:t>le moyen</w:t>
      </w:r>
      <w:r w:rsidRPr="007C4E01">
        <w:rPr>
          <w:lang w:val="fr-CH"/>
        </w:rPr>
        <w:t xml:space="preserve"> de faciliter l’établissement systématique de rapports pour les États membres;</w:t>
      </w:r>
    </w:p>
    <w:p w:rsidR="00E27101" w:rsidRPr="007C4E01" w:rsidRDefault="00E27101" w:rsidP="00E27101">
      <w:pPr>
        <w:pStyle w:val="SingleTxt"/>
        <w:rPr>
          <w:lang w:val="fr-CH"/>
        </w:rPr>
      </w:pPr>
      <w:r w:rsidRPr="007C4E01">
        <w:rPr>
          <w:lang w:val="fr-CH"/>
        </w:rPr>
        <w:tab/>
        <w:t>c)</w:t>
      </w:r>
      <w:r w:rsidRPr="007C4E01">
        <w:rPr>
          <w:lang w:val="fr-CH"/>
        </w:rPr>
        <w:tab/>
        <w:t xml:space="preserve">Envisager comment rendre compte de la coopération, en tant </w:t>
      </w:r>
      <w:r w:rsidR="002E5B6F" w:rsidRPr="007C4E01">
        <w:rPr>
          <w:lang w:val="fr-CH"/>
        </w:rPr>
        <w:t>qu’élément</w:t>
      </w:r>
      <w:r w:rsidRPr="007C4E01">
        <w:rPr>
          <w:lang w:val="fr-CH"/>
        </w:rPr>
        <w:t xml:space="preserve"> intrinsèque du SEIS, dans le processus </w:t>
      </w:r>
      <w:r w:rsidR="002E5B6F" w:rsidRPr="007C4E01">
        <w:rPr>
          <w:lang w:val="fr-CH"/>
        </w:rPr>
        <w:t>d’examen</w:t>
      </w:r>
      <w:r w:rsidRPr="007C4E01">
        <w:rPr>
          <w:lang w:val="fr-CH"/>
        </w:rPr>
        <w:t xml:space="preserve">. Les critères actuels </w:t>
      </w:r>
      <w:r w:rsidR="002E5B6F" w:rsidRPr="007C4E01">
        <w:rPr>
          <w:lang w:val="fr-CH"/>
        </w:rPr>
        <w:t>d’examen</w:t>
      </w:r>
      <w:r w:rsidRPr="007C4E01">
        <w:rPr>
          <w:lang w:val="fr-CH"/>
        </w:rPr>
        <w:t xml:space="preserve"> (voir tableau 1) sont utiles surtout pour évaluer les progrès réalisés concernant deux des trois piliers du SEIS (contenu et infrastructure);</w:t>
      </w:r>
    </w:p>
    <w:p w:rsidR="00E27101" w:rsidRPr="007C4E01" w:rsidRDefault="00E27101" w:rsidP="00E27101">
      <w:pPr>
        <w:pStyle w:val="SingleTxt"/>
        <w:rPr>
          <w:lang w:val="fr-CH"/>
        </w:rPr>
      </w:pPr>
      <w:r w:rsidRPr="007C4E01">
        <w:rPr>
          <w:lang w:val="fr-CH"/>
        </w:rPr>
        <w:tab/>
        <w:t>d)</w:t>
      </w:r>
      <w:r w:rsidRPr="007C4E01">
        <w:rPr>
          <w:lang w:val="fr-CH"/>
        </w:rPr>
        <w:tab/>
      </w:r>
      <w:r w:rsidR="002E5B6F" w:rsidRPr="007C4E01">
        <w:rPr>
          <w:lang w:val="fr-CH"/>
        </w:rPr>
        <w:t>Des</w:t>
      </w:r>
      <w:r w:rsidRPr="007C4E01">
        <w:rPr>
          <w:lang w:val="fr-CH"/>
        </w:rPr>
        <w:t xml:space="preserve"> préoccupations ont été exprimées pendant les consultations </w:t>
      </w:r>
      <w:r w:rsidR="002E5B6F" w:rsidRPr="007C4E01">
        <w:rPr>
          <w:lang w:val="fr-CH"/>
        </w:rPr>
        <w:t>quant à</w:t>
      </w:r>
      <w:r w:rsidRPr="007C4E01">
        <w:rPr>
          <w:lang w:val="fr-CH"/>
        </w:rPr>
        <w:t xml:space="preserve"> la manière dont ont été évaluées les méthodes de production </w:t>
      </w:r>
      <w:r w:rsidR="002E5B6F" w:rsidRPr="007C4E01">
        <w:rPr>
          <w:lang w:val="fr-CH"/>
        </w:rPr>
        <w:t>ainsi que</w:t>
      </w:r>
      <w:r w:rsidRPr="007C4E01">
        <w:rPr>
          <w:lang w:val="fr-CH"/>
        </w:rPr>
        <w:t xml:space="preserve"> l’interprétation et l’utilisation des données, et plus précisément </w:t>
      </w:r>
      <w:r w:rsidR="002E5B6F" w:rsidRPr="007C4E01">
        <w:rPr>
          <w:lang w:val="fr-CH"/>
        </w:rPr>
        <w:t xml:space="preserve">quant à </w:t>
      </w:r>
      <w:r w:rsidRPr="007C4E01">
        <w:rPr>
          <w:lang w:val="fr-CH"/>
        </w:rPr>
        <w:t xml:space="preserve">la manière dont les ensembles de données ont été utilisés et interprétés dans les évaluations nationales. </w:t>
      </w:r>
      <w:r w:rsidR="002E5B6F" w:rsidRPr="007C4E01">
        <w:rPr>
          <w:lang w:val="fr-CH"/>
        </w:rPr>
        <w:t>La solution du problème</w:t>
      </w:r>
      <w:r w:rsidRPr="007C4E01">
        <w:rPr>
          <w:lang w:val="fr-CH"/>
        </w:rPr>
        <w:t xml:space="preserve"> contribuerait à harmoniser </w:t>
      </w:r>
      <w:r w:rsidR="002E5B6F" w:rsidRPr="007C4E01">
        <w:rPr>
          <w:lang w:val="fr-CH"/>
        </w:rPr>
        <w:t xml:space="preserve">la </w:t>
      </w:r>
      <w:r w:rsidR="00784CF4" w:rsidRPr="007C4E01">
        <w:rPr>
          <w:lang w:val="fr-CH"/>
        </w:rPr>
        <w:t>présentation</w:t>
      </w:r>
      <w:r w:rsidRPr="007C4E01">
        <w:rPr>
          <w:lang w:val="fr-CH"/>
        </w:rPr>
        <w:t xml:space="preserve"> de</w:t>
      </w:r>
      <w:r w:rsidR="002E5B6F" w:rsidRPr="007C4E01">
        <w:rPr>
          <w:lang w:val="fr-CH"/>
        </w:rPr>
        <w:t>s</w:t>
      </w:r>
      <w:r w:rsidRPr="007C4E01">
        <w:rPr>
          <w:lang w:val="fr-CH"/>
        </w:rPr>
        <w:t xml:space="preserve"> données et à en améliorer la comparabilité entre les pays de la région paneuropéenne, condition préalable pour améliorer le partage des données environnementales.</w:t>
      </w:r>
    </w:p>
    <w:p w:rsidR="00E27101" w:rsidRPr="007C4E01" w:rsidRDefault="00E27101" w:rsidP="00C13981">
      <w:pPr>
        <w:pStyle w:val="SingleTxt"/>
        <w:numPr>
          <w:ilvl w:val="0"/>
          <w:numId w:val="14"/>
        </w:numPr>
        <w:rPr>
          <w:lang w:val="fr-CH"/>
        </w:rPr>
      </w:pPr>
      <w:r w:rsidRPr="007C4E01">
        <w:rPr>
          <w:lang w:val="fr-CH"/>
        </w:rPr>
        <w:t>Il est nécessaire de continuer à mesurer l’état d’avancement du processus SEIS en s’appuyant sur les leçons de l’expérience et sur les résultats de l’</w:t>
      </w:r>
      <w:r w:rsidR="004904E9" w:rsidRPr="007C4E01">
        <w:rPr>
          <w:lang w:val="fr-CH"/>
        </w:rPr>
        <w:t>examen</w:t>
      </w:r>
      <w:r w:rsidRPr="007C4E01">
        <w:rPr>
          <w:lang w:val="fr-CH"/>
        </w:rPr>
        <w:t>. On aurait peut-être intérêt, pour l’</w:t>
      </w:r>
      <w:r w:rsidR="004904E9" w:rsidRPr="007C4E01">
        <w:rPr>
          <w:lang w:val="fr-CH"/>
        </w:rPr>
        <w:t>examen</w:t>
      </w:r>
      <w:r w:rsidRPr="007C4E01">
        <w:rPr>
          <w:lang w:val="fr-CH"/>
        </w:rPr>
        <w:t xml:space="preserve"> en cours, à </w:t>
      </w:r>
      <w:r w:rsidR="004904E9" w:rsidRPr="007C4E01">
        <w:rPr>
          <w:lang w:val="fr-CH"/>
        </w:rPr>
        <w:t>donner aux</w:t>
      </w:r>
      <w:r w:rsidRPr="007C4E01">
        <w:rPr>
          <w:lang w:val="fr-CH"/>
        </w:rPr>
        <w:t xml:space="preserve"> évaluations futures </w:t>
      </w:r>
      <w:r w:rsidR="004904E9" w:rsidRPr="007C4E01">
        <w:rPr>
          <w:lang w:val="fr-CH"/>
        </w:rPr>
        <w:t xml:space="preserve">une structure plus proche </w:t>
      </w:r>
      <w:r w:rsidRPr="007C4E01">
        <w:rPr>
          <w:lang w:val="fr-CH"/>
        </w:rPr>
        <w:t xml:space="preserve">des trois principaux piliers du SEIS (coopération, contenu et infrastructure), et à affiner les critères d’examen afin d’améliorer la qualité des données (s’agissant des données </w:t>
      </w:r>
      <w:r w:rsidR="004904E9" w:rsidRPr="007C4E01">
        <w:rPr>
          <w:lang w:val="fr-CH"/>
        </w:rPr>
        <w:t xml:space="preserve">destinées </w:t>
      </w:r>
      <w:r w:rsidRPr="007C4E01">
        <w:rPr>
          <w:lang w:val="fr-CH"/>
        </w:rPr>
        <w:t>au processus d’examen) lorsqu’on évalue la conception et la mise en place du SEIS dans les pays de la région paneuropéenne.</w:t>
      </w:r>
    </w:p>
    <w:p w:rsidR="009B0AFC" w:rsidRPr="007C4E01" w:rsidRDefault="00E27101" w:rsidP="00C13981">
      <w:pPr>
        <w:pStyle w:val="SingleTxt"/>
        <w:numPr>
          <w:ilvl w:val="0"/>
          <w:numId w:val="14"/>
        </w:numPr>
        <w:rPr>
          <w:lang w:val="fr-CH"/>
        </w:rPr>
      </w:pPr>
      <w:r w:rsidRPr="007C4E01">
        <w:rPr>
          <w:lang w:val="fr-CH"/>
        </w:rPr>
        <w:t xml:space="preserve">Le processus d’examen devrait tenir compte de la nécessité d’actualiser les indicateurs environnementaux et les ensembles de données connexes (par exemple la nécessité de </w:t>
      </w:r>
      <w:r w:rsidR="004904E9" w:rsidRPr="007C4E01">
        <w:rPr>
          <w:lang w:val="fr-CH"/>
        </w:rPr>
        <w:t>mentionner</w:t>
      </w:r>
      <w:r w:rsidRPr="007C4E01">
        <w:rPr>
          <w:lang w:val="fr-CH"/>
        </w:rPr>
        <w:t xml:space="preserve"> les substances </w:t>
      </w:r>
      <w:r w:rsidR="004904E9" w:rsidRPr="007C4E01">
        <w:rPr>
          <w:lang w:val="fr-CH"/>
        </w:rPr>
        <w:t>qui appauvrissent la couche d’ozone)</w:t>
      </w:r>
      <w:r w:rsidRPr="007C4E01">
        <w:rPr>
          <w:lang w:val="fr-CH"/>
        </w:rPr>
        <w:t xml:space="preserve"> et faciliter </w:t>
      </w:r>
      <w:r w:rsidR="004904E9" w:rsidRPr="007C4E01">
        <w:rPr>
          <w:lang w:val="fr-CH"/>
        </w:rPr>
        <w:t>pour les</w:t>
      </w:r>
      <w:r w:rsidRPr="007C4E01">
        <w:rPr>
          <w:lang w:val="fr-CH"/>
        </w:rPr>
        <w:t xml:space="preserve"> administrateurs nationaux</w:t>
      </w:r>
      <w:r w:rsidR="004904E9" w:rsidRPr="007C4E01">
        <w:rPr>
          <w:lang w:val="fr-CH"/>
        </w:rPr>
        <w:t xml:space="preserve"> l’acquisition de compétences dans l’utilisation</w:t>
      </w:r>
      <w:r w:rsidRPr="007C4E01">
        <w:rPr>
          <w:lang w:val="fr-CH"/>
        </w:rPr>
        <w:t xml:space="preserve"> </w:t>
      </w:r>
      <w:r w:rsidR="004904E9" w:rsidRPr="007C4E01">
        <w:rPr>
          <w:lang w:val="fr-CH"/>
        </w:rPr>
        <w:t>des</w:t>
      </w:r>
      <w:r w:rsidRPr="007C4E01">
        <w:rPr>
          <w:lang w:val="fr-CH"/>
        </w:rPr>
        <w:t xml:space="preserve"> indicateurs. L’Équipe spéciale conjointe sur les statistiques et les indicateurs de l’état de l’environnement devrait être associée au processus</w:t>
      </w:r>
      <w:r w:rsidR="00CE634D" w:rsidRPr="007C4E01">
        <w:rPr>
          <w:lang w:val="fr-CH"/>
        </w:rPr>
        <w:t>,</w:t>
      </w:r>
      <w:r w:rsidRPr="007C4E01">
        <w:rPr>
          <w:lang w:val="fr-CH"/>
        </w:rPr>
        <w:t xml:space="preserve"> donner des conseils au Groupe de travail concernant l’application </w:t>
      </w:r>
      <w:r w:rsidR="00CE634D" w:rsidRPr="007C4E01">
        <w:rPr>
          <w:lang w:val="fr-CH"/>
        </w:rPr>
        <w:t xml:space="preserve">par les pays visés </w:t>
      </w:r>
      <w:r w:rsidRPr="007C4E01">
        <w:rPr>
          <w:lang w:val="fr-CH"/>
        </w:rPr>
        <w:t xml:space="preserve">des méthodes de production de données </w:t>
      </w:r>
      <w:r w:rsidR="00CE634D" w:rsidRPr="007C4E01">
        <w:rPr>
          <w:lang w:val="fr-CH"/>
        </w:rPr>
        <w:t xml:space="preserve">destinées au </w:t>
      </w:r>
      <w:r w:rsidRPr="007C4E01">
        <w:rPr>
          <w:lang w:val="fr-CH"/>
        </w:rPr>
        <w:t>SEIS (</w:t>
      </w:r>
      <w:r w:rsidR="00CE634D" w:rsidRPr="007C4E01">
        <w:rPr>
          <w:lang w:val="fr-CH"/>
        </w:rPr>
        <w:t xml:space="preserve">par exemple </w:t>
      </w:r>
      <w:r w:rsidRPr="007C4E01">
        <w:rPr>
          <w:lang w:val="fr-CH"/>
        </w:rPr>
        <w:t xml:space="preserve">apporter des solutions aux problèmes spécifiques </w:t>
      </w:r>
      <w:r w:rsidR="00CE634D" w:rsidRPr="007C4E01">
        <w:rPr>
          <w:lang w:val="fr-CH"/>
        </w:rPr>
        <w:t>de</w:t>
      </w:r>
      <w:r w:rsidRPr="007C4E01">
        <w:rPr>
          <w:lang w:val="fr-CH"/>
        </w:rPr>
        <w:t xml:space="preserve"> méthodologie et </w:t>
      </w:r>
      <w:r w:rsidR="00CE634D" w:rsidRPr="007C4E01">
        <w:rPr>
          <w:lang w:val="fr-CH"/>
        </w:rPr>
        <w:t>de</w:t>
      </w:r>
      <w:r w:rsidRPr="007C4E01">
        <w:rPr>
          <w:lang w:val="fr-CH"/>
        </w:rPr>
        <w:t xml:space="preserve"> qualité des données </w:t>
      </w:r>
      <w:r w:rsidR="00CE634D" w:rsidRPr="007C4E01">
        <w:rPr>
          <w:lang w:val="fr-CH"/>
        </w:rPr>
        <w:t xml:space="preserve">qui se posent </w:t>
      </w:r>
      <w:r w:rsidRPr="007C4E01">
        <w:rPr>
          <w:lang w:val="fr-CH"/>
        </w:rPr>
        <w:t>pendant la collecte des données et pour la production d’indicateurs environnementaux)</w:t>
      </w:r>
      <w:r w:rsidR="00CE634D" w:rsidRPr="007C4E01">
        <w:rPr>
          <w:lang w:val="fr-CH"/>
        </w:rPr>
        <w:t>,</w:t>
      </w:r>
      <w:r w:rsidRPr="007C4E01">
        <w:rPr>
          <w:lang w:val="fr-CH"/>
        </w:rPr>
        <w:t xml:space="preserve"> et contribuer au renforcement des capacités pour la collecte et l’intégration des données environnementales aux fins d’évaluer les progrès du développement durable.</w:t>
      </w:r>
    </w:p>
    <w:p w:rsidR="00E27101" w:rsidRPr="007C4E01" w:rsidRDefault="00E27101">
      <w:pPr>
        <w:spacing w:line="240" w:lineRule="auto"/>
        <w:rPr>
          <w:lang w:val="fr-CH"/>
        </w:rPr>
      </w:pPr>
      <w:r w:rsidRPr="007C4E01">
        <w:rPr>
          <w:lang w:val="fr-CH"/>
        </w:rPr>
        <w:br w:type="page"/>
      </w:r>
    </w:p>
    <w:p w:rsidR="00E27101" w:rsidRPr="007C4E01" w:rsidRDefault="00E27101" w:rsidP="00E271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Annexe</w:t>
      </w:r>
    </w:p>
    <w:p w:rsidR="00E27101" w:rsidRPr="007C4E01" w:rsidRDefault="00E27101" w:rsidP="00E27101">
      <w:pPr>
        <w:pStyle w:val="SingleTxt"/>
        <w:spacing w:after="0" w:line="120" w:lineRule="exact"/>
        <w:rPr>
          <w:sz w:val="10"/>
          <w:lang w:val="fr-CH"/>
        </w:rPr>
      </w:pPr>
    </w:p>
    <w:p w:rsidR="00E27101" w:rsidRPr="007C4E01" w:rsidRDefault="00E27101" w:rsidP="00E27101">
      <w:pPr>
        <w:pStyle w:val="SingleTxt"/>
        <w:spacing w:after="0" w:line="120" w:lineRule="exact"/>
        <w:rPr>
          <w:sz w:val="10"/>
          <w:lang w:val="fr-CH"/>
        </w:rPr>
      </w:pPr>
    </w:p>
    <w:p w:rsidR="00E27101" w:rsidRPr="007C4E01" w:rsidRDefault="00E27101" w:rsidP="00E271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t>A.</w:t>
      </w:r>
      <w:r w:rsidRPr="007C4E01">
        <w:rPr>
          <w:lang w:val="fr-CH"/>
        </w:rPr>
        <w:tab/>
        <w:t>Examen de l’accessibilité en ligne</w:t>
      </w:r>
    </w:p>
    <w:p w:rsidR="00E27101" w:rsidRPr="007C4E01" w:rsidRDefault="00E27101" w:rsidP="00E27101">
      <w:pPr>
        <w:pStyle w:val="SingleTxt"/>
        <w:spacing w:after="0" w:line="120" w:lineRule="exact"/>
        <w:rPr>
          <w:sz w:val="10"/>
          <w:lang w:val="fr-CH"/>
        </w:rPr>
      </w:pPr>
    </w:p>
    <w:p w:rsidR="00E27101" w:rsidRPr="007C4E01" w:rsidRDefault="00E27101" w:rsidP="00E27101">
      <w:pPr>
        <w:pStyle w:val="SingleTxt"/>
        <w:spacing w:after="0" w:line="120" w:lineRule="exact"/>
        <w:rPr>
          <w:sz w:val="10"/>
          <w:lang w:val="fr-CH"/>
        </w:rPr>
      </w:pPr>
    </w:p>
    <w:tbl>
      <w:tblPr>
        <w:tblW w:w="8757" w:type="dxa"/>
        <w:tblInd w:w="1260" w:type="dxa"/>
        <w:tblLayout w:type="fixed"/>
        <w:tblCellMar>
          <w:left w:w="0" w:type="dxa"/>
          <w:right w:w="0" w:type="dxa"/>
        </w:tblCellMar>
        <w:tblLook w:val="0000" w:firstRow="0" w:lastRow="0" w:firstColumn="0" w:lastColumn="0" w:noHBand="0" w:noVBand="0"/>
      </w:tblPr>
      <w:tblGrid>
        <w:gridCol w:w="3960"/>
        <w:gridCol w:w="4797"/>
      </w:tblGrid>
      <w:tr w:rsidR="00E27101" w:rsidRPr="007C4E01" w:rsidTr="00614F51">
        <w:trPr>
          <w:tblHeader/>
        </w:trPr>
        <w:tc>
          <w:tcPr>
            <w:tcW w:w="3960" w:type="dxa"/>
            <w:tcBorders>
              <w:top w:val="single" w:sz="4" w:space="0" w:color="auto"/>
              <w:bottom w:val="single" w:sz="12" w:space="0" w:color="auto"/>
            </w:tcBorders>
            <w:shd w:val="clear" w:color="auto" w:fill="auto"/>
            <w:vAlign w:val="bottom"/>
          </w:tcPr>
          <w:p w:rsidR="00E27101" w:rsidRPr="007C4E01" w:rsidRDefault="00E27101" w:rsidP="00614F51">
            <w:pPr>
              <w:tabs>
                <w:tab w:val="left" w:pos="288"/>
                <w:tab w:val="left" w:pos="576"/>
                <w:tab w:val="left" w:pos="864"/>
                <w:tab w:val="left" w:pos="1152"/>
              </w:tabs>
              <w:suppressAutoHyphens/>
              <w:spacing w:before="80" w:after="80" w:line="160" w:lineRule="exact"/>
              <w:ind w:right="40"/>
              <w:rPr>
                <w:i/>
                <w:sz w:val="14"/>
                <w:lang w:val="fr-CH"/>
              </w:rPr>
            </w:pPr>
            <w:r w:rsidRPr="007C4E01">
              <w:rPr>
                <w:i/>
                <w:sz w:val="14"/>
                <w:lang w:val="fr-CH"/>
              </w:rPr>
              <w:t>Question</w:t>
            </w:r>
          </w:p>
        </w:tc>
        <w:tc>
          <w:tcPr>
            <w:tcW w:w="4797" w:type="dxa"/>
            <w:tcBorders>
              <w:top w:val="single" w:sz="4" w:space="0" w:color="auto"/>
              <w:bottom w:val="single" w:sz="12" w:space="0" w:color="auto"/>
            </w:tcBorders>
            <w:shd w:val="clear" w:color="auto" w:fill="auto"/>
            <w:vAlign w:val="bottom"/>
          </w:tcPr>
          <w:p w:rsidR="00E27101" w:rsidRPr="007C4E01" w:rsidRDefault="00CE634D" w:rsidP="00614F51">
            <w:pPr>
              <w:tabs>
                <w:tab w:val="left" w:pos="288"/>
                <w:tab w:val="left" w:pos="576"/>
                <w:tab w:val="left" w:pos="864"/>
                <w:tab w:val="left" w:pos="1152"/>
              </w:tabs>
              <w:suppressAutoHyphens/>
              <w:spacing w:before="80" w:after="80" w:line="160" w:lineRule="exact"/>
              <w:ind w:right="397"/>
              <w:rPr>
                <w:i/>
                <w:sz w:val="14"/>
                <w:lang w:val="fr-CH"/>
              </w:rPr>
            </w:pPr>
            <w:r w:rsidRPr="007C4E01">
              <w:rPr>
                <w:i/>
                <w:sz w:val="14"/>
                <w:lang w:val="fr-CH"/>
              </w:rPr>
              <w:t>Explication</w:t>
            </w:r>
          </w:p>
        </w:tc>
      </w:tr>
      <w:tr w:rsidR="00E27101" w:rsidRPr="007C4E01" w:rsidTr="00614F51">
        <w:trPr>
          <w:trHeight w:hRule="exact" w:val="115"/>
          <w:tblHeader/>
        </w:trPr>
        <w:tc>
          <w:tcPr>
            <w:tcW w:w="3960" w:type="dxa"/>
            <w:tcBorders>
              <w:top w:val="single" w:sz="12" w:space="0" w:color="auto"/>
            </w:tcBorders>
            <w:shd w:val="clear" w:color="auto" w:fill="auto"/>
            <w:vAlign w:val="bottom"/>
          </w:tcPr>
          <w:p w:rsidR="00E27101" w:rsidRPr="007C4E01" w:rsidRDefault="00E27101" w:rsidP="00614F51">
            <w:pPr>
              <w:tabs>
                <w:tab w:val="left" w:pos="288"/>
                <w:tab w:val="left" w:pos="576"/>
                <w:tab w:val="left" w:pos="864"/>
                <w:tab w:val="left" w:pos="1152"/>
              </w:tabs>
              <w:suppressAutoHyphens/>
              <w:spacing w:before="40" w:after="80"/>
              <w:ind w:right="40"/>
              <w:rPr>
                <w:lang w:val="fr-CH"/>
              </w:rPr>
            </w:pPr>
          </w:p>
        </w:tc>
        <w:tc>
          <w:tcPr>
            <w:tcW w:w="4797" w:type="dxa"/>
            <w:tcBorders>
              <w:top w:val="single" w:sz="12" w:space="0" w:color="auto"/>
            </w:tcBorders>
            <w:shd w:val="clear" w:color="auto" w:fill="auto"/>
            <w:vAlign w:val="bottom"/>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p>
        </w:tc>
      </w:tr>
      <w:tr w:rsidR="00E27101" w:rsidRPr="007C4E01" w:rsidTr="00614F51">
        <w:tc>
          <w:tcPr>
            <w:tcW w:w="396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lang w:val="fr-CH"/>
              </w:rPr>
            </w:pPr>
            <w:r w:rsidRPr="007C4E01">
              <w:rPr>
                <w:lang w:val="fr-CH"/>
              </w:rPr>
              <w:t>Dans combien de langues les ensembles de données nationales et les renseignements connexes sont-ils publiés?</w:t>
            </w:r>
          </w:p>
        </w:tc>
        <w:tc>
          <w:tcPr>
            <w:tcW w:w="4797"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 xml:space="preserve">À titre indicatif, cette rubrique est divisée en trois catégories (langue nationale, langue nationale plus anglais ou russe, et plus de deux langues) </w:t>
            </w:r>
            <w:r w:rsidR="00D53655" w:rsidRPr="007C4E01">
              <w:rPr>
                <w:lang w:val="fr-CH"/>
              </w:rPr>
              <w:t xml:space="preserve">applicables </w:t>
            </w:r>
            <w:r w:rsidRPr="007C4E01">
              <w:rPr>
                <w:lang w:val="fr-CH"/>
              </w:rPr>
              <w:t>après que les données ont été collectées</w:t>
            </w:r>
          </w:p>
        </w:tc>
      </w:tr>
      <w:tr w:rsidR="00E27101" w:rsidRPr="007C4E01" w:rsidTr="00614F51">
        <w:tc>
          <w:tcPr>
            <w:tcW w:w="396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lang w:val="fr-CH"/>
              </w:rPr>
            </w:pPr>
            <w:r w:rsidRPr="007C4E01">
              <w:rPr>
                <w:lang w:val="fr-CH"/>
              </w:rPr>
              <w:t>Dans combien de plateformes en ligne les ensembles de données nationales et les renseignements connexes sont-ils publiés?</w:t>
            </w:r>
          </w:p>
        </w:tc>
        <w:tc>
          <w:tcPr>
            <w:tcW w:w="4797" w:type="dxa"/>
            <w:shd w:val="clear" w:color="auto" w:fill="auto"/>
          </w:tcPr>
          <w:p w:rsidR="00E27101" w:rsidRPr="007C4E01" w:rsidRDefault="00E27101" w:rsidP="00D53655">
            <w:pPr>
              <w:tabs>
                <w:tab w:val="left" w:pos="288"/>
                <w:tab w:val="left" w:pos="576"/>
                <w:tab w:val="left" w:pos="864"/>
                <w:tab w:val="left" w:pos="1152"/>
              </w:tabs>
              <w:suppressAutoHyphens/>
              <w:spacing w:before="40" w:after="80"/>
              <w:ind w:right="397"/>
              <w:rPr>
                <w:lang w:val="fr-CH"/>
              </w:rPr>
            </w:pPr>
            <w:r w:rsidRPr="007C4E01">
              <w:rPr>
                <w:lang w:val="fr-CH"/>
              </w:rPr>
              <w:t>Les données doivent être non seulement mises à jour régulièrement mais aussi présentées de façon claire, ce qui veut dire qu’</w:t>
            </w:r>
            <w:r w:rsidR="00D53655" w:rsidRPr="007C4E01">
              <w:rPr>
                <w:lang w:val="fr-CH"/>
              </w:rPr>
              <w:t>elles</w:t>
            </w:r>
            <w:r w:rsidRPr="007C4E01">
              <w:rPr>
                <w:lang w:val="fr-CH"/>
              </w:rPr>
              <w:t xml:space="preserve"> doivent être présentés de façon groupée. Si les ensembles de données sont </w:t>
            </w:r>
            <w:r w:rsidR="00D53655" w:rsidRPr="007C4E01">
              <w:rPr>
                <w:lang w:val="fr-CH"/>
              </w:rPr>
              <w:t>dispersés</w:t>
            </w:r>
            <w:r w:rsidRPr="007C4E01">
              <w:rPr>
                <w:lang w:val="fr-CH"/>
              </w:rPr>
              <w:t xml:space="preserve"> entre plusieurs plateformes, l’accessibilité sera faible.</w:t>
            </w:r>
          </w:p>
        </w:tc>
      </w:tr>
      <w:tr w:rsidR="00E27101" w:rsidRPr="007C4E01" w:rsidTr="00614F51">
        <w:tc>
          <w:tcPr>
            <w:tcW w:w="3960" w:type="dxa"/>
            <w:shd w:val="clear" w:color="auto" w:fill="auto"/>
          </w:tcPr>
          <w:p w:rsidR="00E27101" w:rsidRPr="007C4E01" w:rsidRDefault="00D53655" w:rsidP="00614F51">
            <w:pPr>
              <w:tabs>
                <w:tab w:val="left" w:pos="288"/>
                <w:tab w:val="left" w:pos="576"/>
                <w:tab w:val="left" w:pos="864"/>
                <w:tab w:val="left" w:pos="1152"/>
              </w:tabs>
              <w:suppressAutoHyphens/>
              <w:spacing w:before="40" w:after="80"/>
              <w:ind w:right="40"/>
              <w:rPr>
                <w:lang w:val="fr-CH"/>
              </w:rPr>
            </w:pPr>
            <w:r w:rsidRPr="007C4E01">
              <w:rPr>
                <w:lang w:val="fr-CH"/>
              </w:rPr>
              <w:t>Sous quelle forme</w:t>
            </w:r>
            <w:r w:rsidR="00E27101" w:rsidRPr="007C4E01">
              <w:rPr>
                <w:lang w:val="fr-CH"/>
              </w:rPr>
              <w:t xml:space="preserve"> les ensembles de données et les renseignements connexes sont-ils publiés?</w:t>
            </w:r>
          </w:p>
        </w:tc>
        <w:tc>
          <w:tcPr>
            <w:tcW w:w="4797" w:type="dxa"/>
            <w:shd w:val="clear" w:color="auto" w:fill="auto"/>
          </w:tcPr>
          <w:p w:rsidR="00E27101" w:rsidRPr="007C4E01" w:rsidRDefault="00E27101" w:rsidP="00D53655">
            <w:pPr>
              <w:tabs>
                <w:tab w:val="left" w:pos="288"/>
                <w:tab w:val="left" w:pos="576"/>
                <w:tab w:val="left" w:pos="864"/>
                <w:tab w:val="left" w:pos="1152"/>
              </w:tabs>
              <w:suppressAutoHyphens/>
              <w:spacing w:before="40" w:after="80"/>
              <w:ind w:right="397"/>
              <w:rPr>
                <w:lang w:val="fr-CH"/>
              </w:rPr>
            </w:pPr>
            <w:r w:rsidRPr="007C4E01">
              <w:rPr>
                <w:lang w:val="fr-CH"/>
              </w:rPr>
              <w:t xml:space="preserve">Il est prévu trois catégories : publication </w:t>
            </w:r>
            <w:r w:rsidR="00D53655" w:rsidRPr="007C4E01">
              <w:rPr>
                <w:lang w:val="fr-CH"/>
              </w:rPr>
              <w:t xml:space="preserve">uniquement </w:t>
            </w:r>
            <w:r w:rsidRPr="007C4E01">
              <w:rPr>
                <w:lang w:val="fr-CH"/>
              </w:rPr>
              <w:t>sous forme de rapport (1), publication uniquement en ligne (</w:t>
            </w:r>
            <w:r w:rsidR="00D53655" w:rsidRPr="007C4E01">
              <w:rPr>
                <w:lang w:val="fr-CH"/>
              </w:rPr>
              <w:t>pas</w:t>
            </w:r>
            <w:r w:rsidRPr="007C4E01">
              <w:rPr>
                <w:lang w:val="fr-CH"/>
              </w:rPr>
              <w:t xml:space="preserve"> de rapport) (2) ou </w:t>
            </w:r>
            <w:r w:rsidR="00D53655" w:rsidRPr="007C4E01">
              <w:rPr>
                <w:lang w:val="fr-CH"/>
              </w:rPr>
              <w:t xml:space="preserve">publication </w:t>
            </w:r>
            <w:r w:rsidRPr="007C4E01">
              <w:rPr>
                <w:lang w:val="fr-CH"/>
              </w:rPr>
              <w:t xml:space="preserve">à la fois sous forme de rapport et en ligne (3). </w:t>
            </w:r>
            <w:r w:rsidR="00D53655" w:rsidRPr="007C4E01">
              <w:rPr>
                <w:lang w:val="fr-CH"/>
              </w:rPr>
              <w:t>À noter</w:t>
            </w:r>
            <w:r w:rsidRPr="007C4E01">
              <w:rPr>
                <w:lang w:val="fr-CH"/>
              </w:rPr>
              <w:t xml:space="preserve"> que la publication en ligne implique </w:t>
            </w:r>
            <w:r w:rsidR="00D53655" w:rsidRPr="007C4E01">
              <w:rPr>
                <w:lang w:val="fr-CH"/>
              </w:rPr>
              <w:t>le partage des</w:t>
            </w:r>
            <w:r w:rsidRPr="007C4E01">
              <w:rPr>
                <w:lang w:val="fr-CH"/>
              </w:rPr>
              <w:t xml:space="preserve"> ensembles de données au moyen d’une infrastructure spécifique (représenta</w:t>
            </w:r>
            <w:r w:rsidR="00D53655" w:rsidRPr="007C4E01">
              <w:rPr>
                <w:lang w:val="fr-CH"/>
              </w:rPr>
              <w:t>tion</w:t>
            </w:r>
            <w:r w:rsidRPr="007C4E01">
              <w:rPr>
                <w:lang w:val="fr-CH"/>
              </w:rPr>
              <w:t xml:space="preserve"> graphique</w:t>
            </w:r>
            <w:r w:rsidR="00D53655" w:rsidRPr="007C4E01">
              <w:rPr>
                <w:lang w:val="fr-CH"/>
              </w:rPr>
              <w:t xml:space="preserve"> des données</w:t>
            </w:r>
            <w:r w:rsidRPr="007C4E01">
              <w:rPr>
                <w:lang w:val="fr-CH"/>
              </w:rPr>
              <w:t>, etc.).</w:t>
            </w:r>
          </w:p>
        </w:tc>
      </w:tr>
      <w:tr w:rsidR="00E27101" w:rsidRPr="007C4E01" w:rsidTr="00614F51">
        <w:tc>
          <w:tcPr>
            <w:tcW w:w="3960" w:type="dxa"/>
            <w:tcBorders>
              <w:bottom w:val="single" w:sz="12" w:space="0" w:color="auto"/>
            </w:tcBorders>
            <w:shd w:val="clear" w:color="auto" w:fill="auto"/>
          </w:tcPr>
          <w:p w:rsidR="00E27101" w:rsidRPr="007C4E01" w:rsidRDefault="00E27101" w:rsidP="00A04110">
            <w:pPr>
              <w:tabs>
                <w:tab w:val="left" w:pos="288"/>
                <w:tab w:val="left" w:pos="576"/>
                <w:tab w:val="left" w:pos="864"/>
                <w:tab w:val="left" w:pos="1152"/>
              </w:tabs>
              <w:suppressAutoHyphens/>
              <w:spacing w:before="40" w:after="80"/>
              <w:ind w:right="40"/>
              <w:rPr>
                <w:lang w:val="fr-CH"/>
              </w:rPr>
            </w:pPr>
            <w:r w:rsidRPr="007C4E01">
              <w:rPr>
                <w:lang w:val="fr-CH"/>
              </w:rPr>
              <w:t>Dans quelle mesure la plateforme (les</w:t>
            </w:r>
            <w:r w:rsidR="00A04110" w:rsidRPr="007C4E01">
              <w:rPr>
                <w:lang w:val="fr-CH"/>
              </w:rPr>
              <w:t> </w:t>
            </w:r>
            <w:r w:rsidRPr="007C4E01">
              <w:rPr>
                <w:lang w:val="fr-CH"/>
              </w:rPr>
              <w:t xml:space="preserve">plateformes) en ligne est-elle </w:t>
            </w:r>
            <w:r w:rsidR="00A04110" w:rsidRPr="007C4E01">
              <w:rPr>
                <w:lang w:val="fr-CH"/>
              </w:rPr>
              <w:t>(</w:t>
            </w:r>
            <w:r w:rsidRPr="007C4E01">
              <w:rPr>
                <w:lang w:val="fr-CH"/>
              </w:rPr>
              <w:t>sont-elles</w:t>
            </w:r>
            <w:r w:rsidR="00A04110" w:rsidRPr="007C4E01">
              <w:rPr>
                <w:lang w:val="fr-CH"/>
              </w:rPr>
              <w:t>)</w:t>
            </w:r>
            <w:r w:rsidRPr="007C4E01">
              <w:rPr>
                <w:lang w:val="fr-CH"/>
              </w:rPr>
              <w:t xml:space="preserve"> </w:t>
            </w:r>
            <w:r w:rsidR="00A04110" w:rsidRPr="007C4E01">
              <w:rPr>
                <w:lang w:val="fr-CH"/>
              </w:rPr>
              <w:t>facile(s) à utiliser</w:t>
            </w:r>
            <w:r w:rsidRPr="007C4E01">
              <w:rPr>
                <w:lang w:val="fr-CH"/>
              </w:rPr>
              <w:t>?</w:t>
            </w:r>
          </w:p>
        </w:tc>
        <w:tc>
          <w:tcPr>
            <w:tcW w:w="4797" w:type="dxa"/>
            <w:tcBorders>
              <w:bottom w:val="single" w:sz="12" w:space="0" w:color="auto"/>
            </w:tcBorders>
            <w:shd w:val="clear" w:color="auto" w:fill="auto"/>
          </w:tcPr>
          <w:p w:rsidR="00875FBB" w:rsidRPr="007C4E01" w:rsidRDefault="00E27101" w:rsidP="00875FBB">
            <w:pPr>
              <w:tabs>
                <w:tab w:val="left" w:pos="288"/>
                <w:tab w:val="left" w:pos="576"/>
                <w:tab w:val="left" w:pos="864"/>
                <w:tab w:val="left" w:pos="1152"/>
              </w:tabs>
              <w:suppressAutoHyphens/>
              <w:spacing w:before="40" w:after="80"/>
              <w:ind w:right="397"/>
              <w:rPr>
                <w:lang w:val="fr-CH"/>
              </w:rPr>
            </w:pPr>
            <w:r w:rsidRPr="007C4E01">
              <w:rPr>
                <w:lang w:val="fr-CH"/>
              </w:rPr>
              <w:t>La facilité d’utilisation est subjective</w:t>
            </w:r>
            <w:r w:rsidR="00A04110" w:rsidRPr="007C4E01">
              <w:rPr>
                <w:lang w:val="fr-CH"/>
              </w:rPr>
              <w:t>;</w:t>
            </w:r>
            <w:r w:rsidRPr="007C4E01">
              <w:rPr>
                <w:lang w:val="fr-CH"/>
              </w:rPr>
              <w:t xml:space="preserve"> elle concerne principalement l’infrastructure dans laquelle les ensembles de données et </w:t>
            </w:r>
            <w:r w:rsidR="00A04110" w:rsidRPr="007C4E01">
              <w:rPr>
                <w:lang w:val="fr-CH"/>
              </w:rPr>
              <w:t xml:space="preserve">les </w:t>
            </w:r>
            <w:r w:rsidRPr="007C4E01">
              <w:rPr>
                <w:lang w:val="fr-CH"/>
              </w:rPr>
              <w:t xml:space="preserve">renseignements connexes sont publiés. Elle fera l’objet de plusieurs sous-questions appelant la réponse OUI/NON : </w:t>
            </w:r>
          </w:p>
          <w:p w:rsidR="00875FBB" w:rsidRPr="007C4E01" w:rsidRDefault="00875FBB" w:rsidP="00875FBB">
            <w:pPr>
              <w:tabs>
                <w:tab w:val="left" w:pos="288"/>
                <w:tab w:val="left" w:pos="576"/>
                <w:tab w:val="left" w:pos="864"/>
                <w:tab w:val="left" w:pos="1152"/>
              </w:tabs>
              <w:suppressAutoHyphens/>
              <w:spacing w:before="40" w:after="80"/>
              <w:ind w:right="397"/>
              <w:rPr>
                <w:lang w:val="fr-CH"/>
              </w:rPr>
            </w:pPr>
            <w:r w:rsidRPr="007C4E01">
              <w:rPr>
                <w:lang w:val="fr-CH"/>
              </w:rPr>
              <w:tab/>
            </w:r>
            <w:r w:rsidR="00E27101" w:rsidRPr="007C4E01">
              <w:rPr>
                <w:lang w:val="fr-CH"/>
              </w:rPr>
              <w:t>a)</w:t>
            </w:r>
            <w:r w:rsidR="00E27101" w:rsidRPr="007C4E01">
              <w:rPr>
                <w:lang w:val="fr-CH"/>
              </w:rPr>
              <w:tab/>
              <w:t>La platef</w:t>
            </w:r>
            <w:r w:rsidR="00A04110" w:rsidRPr="007C4E01">
              <w:rPr>
                <w:lang w:val="fr-CH"/>
              </w:rPr>
              <w:t>orme est-elle facile à utiliser</w:t>
            </w:r>
            <w:r w:rsidR="00E27101" w:rsidRPr="007C4E01">
              <w:rPr>
                <w:lang w:val="fr-CH"/>
              </w:rPr>
              <w:t xml:space="preserve">? </w:t>
            </w:r>
          </w:p>
          <w:p w:rsidR="00875FBB" w:rsidRPr="007C4E01" w:rsidRDefault="00875FBB" w:rsidP="00875FBB">
            <w:pPr>
              <w:tabs>
                <w:tab w:val="left" w:pos="288"/>
                <w:tab w:val="left" w:pos="576"/>
                <w:tab w:val="left" w:pos="864"/>
                <w:tab w:val="left" w:pos="1152"/>
              </w:tabs>
              <w:suppressAutoHyphens/>
              <w:spacing w:before="40" w:after="80"/>
              <w:ind w:right="397"/>
              <w:rPr>
                <w:lang w:val="fr-CH"/>
              </w:rPr>
            </w:pPr>
            <w:r w:rsidRPr="007C4E01">
              <w:rPr>
                <w:lang w:val="fr-CH"/>
              </w:rPr>
              <w:tab/>
            </w:r>
            <w:r w:rsidR="00E27101" w:rsidRPr="007C4E01">
              <w:rPr>
                <w:lang w:val="fr-CH"/>
              </w:rPr>
              <w:t>b)</w:t>
            </w:r>
            <w:r w:rsidR="00E27101" w:rsidRPr="007C4E01">
              <w:rPr>
                <w:lang w:val="fr-CH"/>
              </w:rPr>
              <w:tab/>
              <w:t xml:space="preserve">Y a-t-il des fonctions de recherche? </w:t>
            </w:r>
          </w:p>
          <w:p w:rsidR="00875FBB" w:rsidRPr="007C4E01" w:rsidRDefault="00875FBB" w:rsidP="00875FBB">
            <w:pPr>
              <w:tabs>
                <w:tab w:val="left" w:pos="288"/>
                <w:tab w:val="left" w:pos="576"/>
                <w:tab w:val="left" w:pos="864"/>
                <w:tab w:val="left" w:pos="1152"/>
              </w:tabs>
              <w:suppressAutoHyphens/>
              <w:spacing w:before="40" w:after="80"/>
              <w:ind w:right="397"/>
              <w:rPr>
                <w:lang w:val="fr-CH"/>
              </w:rPr>
            </w:pPr>
            <w:r w:rsidRPr="007C4E01">
              <w:rPr>
                <w:lang w:val="fr-CH"/>
              </w:rPr>
              <w:tab/>
            </w:r>
            <w:r w:rsidR="00E27101" w:rsidRPr="007C4E01">
              <w:rPr>
                <w:lang w:val="fr-CH"/>
              </w:rPr>
              <w:t>c)</w:t>
            </w:r>
            <w:r w:rsidR="00E27101" w:rsidRPr="007C4E01">
              <w:rPr>
                <w:lang w:val="fr-CH"/>
              </w:rPr>
              <w:tab/>
              <w:t xml:space="preserve">Les </w:t>
            </w:r>
            <w:r w:rsidR="00A04110" w:rsidRPr="007C4E01">
              <w:rPr>
                <w:lang w:val="fr-CH"/>
              </w:rPr>
              <w:t>ensembles</w:t>
            </w:r>
            <w:r w:rsidR="00E27101" w:rsidRPr="007C4E01">
              <w:rPr>
                <w:lang w:val="fr-CH"/>
              </w:rPr>
              <w:t xml:space="preserve"> de données sont-</w:t>
            </w:r>
            <w:r w:rsidR="00A04110" w:rsidRPr="007C4E01">
              <w:rPr>
                <w:lang w:val="fr-CH"/>
              </w:rPr>
              <w:t>ils présenté</w:t>
            </w:r>
            <w:r w:rsidR="00E27101" w:rsidRPr="007C4E01">
              <w:rPr>
                <w:lang w:val="fr-CH"/>
              </w:rPr>
              <w:t xml:space="preserve">s sous forme de texte? </w:t>
            </w:r>
          </w:p>
          <w:p w:rsidR="00875FBB" w:rsidRPr="007C4E01" w:rsidRDefault="00875FBB" w:rsidP="00875FBB">
            <w:pPr>
              <w:tabs>
                <w:tab w:val="left" w:pos="288"/>
                <w:tab w:val="left" w:pos="576"/>
                <w:tab w:val="left" w:pos="864"/>
                <w:tab w:val="left" w:pos="1152"/>
              </w:tabs>
              <w:suppressAutoHyphens/>
              <w:spacing w:before="40" w:after="80"/>
              <w:ind w:right="397"/>
              <w:rPr>
                <w:lang w:val="fr-CH"/>
              </w:rPr>
            </w:pPr>
            <w:r w:rsidRPr="007C4E01">
              <w:rPr>
                <w:lang w:val="fr-CH"/>
              </w:rPr>
              <w:tab/>
            </w:r>
            <w:r w:rsidR="00E27101" w:rsidRPr="007C4E01">
              <w:rPr>
                <w:lang w:val="fr-CH"/>
              </w:rPr>
              <w:t>d)</w:t>
            </w:r>
            <w:r w:rsidR="00E27101" w:rsidRPr="007C4E01">
              <w:rPr>
                <w:lang w:val="fr-CH"/>
              </w:rPr>
              <w:tab/>
              <w:t xml:space="preserve">Les ensembles de données sont-ils présentés sous forme graphique? </w:t>
            </w:r>
          </w:p>
          <w:p w:rsidR="00E27101" w:rsidRPr="007C4E01" w:rsidRDefault="00875FBB" w:rsidP="00875FBB">
            <w:pPr>
              <w:tabs>
                <w:tab w:val="left" w:pos="288"/>
                <w:tab w:val="left" w:pos="576"/>
                <w:tab w:val="left" w:pos="864"/>
                <w:tab w:val="left" w:pos="1152"/>
              </w:tabs>
              <w:suppressAutoHyphens/>
              <w:spacing w:before="40" w:after="80"/>
              <w:ind w:right="397"/>
              <w:rPr>
                <w:lang w:val="fr-CH"/>
              </w:rPr>
            </w:pPr>
            <w:r w:rsidRPr="007C4E01">
              <w:rPr>
                <w:lang w:val="fr-CH"/>
              </w:rPr>
              <w:tab/>
            </w:r>
            <w:r w:rsidR="00E27101" w:rsidRPr="007C4E01">
              <w:rPr>
                <w:lang w:val="fr-CH"/>
              </w:rPr>
              <w:t>e)</w:t>
            </w:r>
            <w:r w:rsidR="00E27101" w:rsidRPr="007C4E01">
              <w:rPr>
                <w:lang w:val="fr-CH"/>
              </w:rPr>
              <w:tab/>
              <w:t>Y a-t-il indication claire de point</w:t>
            </w:r>
            <w:r w:rsidR="00A04110" w:rsidRPr="007C4E01">
              <w:rPr>
                <w:lang w:val="fr-CH"/>
              </w:rPr>
              <w:t>s</w:t>
            </w:r>
            <w:r w:rsidR="00E27101" w:rsidRPr="007C4E01">
              <w:rPr>
                <w:lang w:val="fr-CH"/>
              </w:rPr>
              <w:t xml:space="preserve"> de contact où le public peut trouver davantage d’informations?</w:t>
            </w:r>
          </w:p>
        </w:tc>
      </w:tr>
    </w:tbl>
    <w:p w:rsidR="00E27101" w:rsidRPr="007C4E01" w:rsidRDefault="00E27101" w:rsidP="00E27101">
      <w:pPr>
        <w:pStyle w:val="SingleTxt"/>
        <w:rPr>
          <w:lang w:val="fr-CH"/>
        </w:rPr>
      </w:pPr>
    </w:p>
    <w:p w:rsidR="00A75EC7" w:rsidRPr="007C4E01" w:rsidRDefault="00A75EC7">
      <w:pPr>
        <w:spacing w:line="240" w:lineRule="auto"/>
        <w:rPr>
          <w:lang w:val="fr-CH"/>
        </w:rPr>
      </w:pPr>
      <w:r w:rsidRPr="007C4E01">
        <w:rPr>
          <w:lang w:val="fr-CH"/>
        </w:rPr>
        <w:br w:type="page"/>
      </w:r>
    </w:p>
    <w:p w:rsidR="00E27101" w:rsidRPr="007C4E01" w:rsidRDefault="00E27101" w:rsidP="00534C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t>B.</w:t>
      </w:r>
      <w:r w:rsidRPr="007C4E01">
        <w:rPr>
          <w:lang w:val="fr-CH"/>
        </w:rPr>
        <w:tab/>
        <w:t xml:space="preserve">Ensembles de données du SEIS présentant </w:t>
      </w:r>
      <w:r w:rsidR="00534CC7">
        <w:rPr>
          <w:lang w:val="fr-CH"/>
        </w:rPr>
        <w:br/>
      </w:r>
      <w:r w:rsidRPr="007C4E01">
        <w:rPr>
          <w:lang w:val="fr-CH"/>
        </w:rPr>
        <w:t>les meilleurs résultats</w:t>
      </w:r>
    </w:p>
    <w:p w:rsidR="00E27101" w:rsidRPr="007C4E01" w:rsidRDefault="00E27101" w:rsidP="00E27101">
      <w:pPr>
        <w:pStyle w:val="SingleTxt"/>
        <w:spacing w:after="0" w:line="120" w:lineRule="exact"/>
        <w:rPr>
          <w:sz w:val="10"/>
          <w:lang w:val="fr-CH"/>
        </w:rPr>
      </w:pPr>
    </w:p>
    <w:p w:rsidR="00E27101" w:rsidRPr="007C4E01" w:rsidRDefault="00E27101" w:rsidP="00E27101">
      <w:pPr>
        <w:pStyle w:val="SingleTxt"/>
        <w:spacing w:after="0" w:line="120" w:lineRule="exact"/>
        <w:rPr>
          <w:sz w:val="10"/>
          <w:lang w:val="fr-CH"/>
        </w:rPr>
      </w:pPr>
    </w:p>
    <w:tbl>
      <w:tblPr>
        <w:tblW w:w="10044" w:type="dxa"/>
        <w:tblLayout w:type="fixed"/>
        <w:tblCellMar>
          <w:left w:w="0" w:type="dxa"/>
          <w:right w:w="0" w:type="dxa"/>
        </w:tblCellMar>
        <w:tblLook w:val="0000" w:firstRow="0" w:lastRow="0" w:firstColumn="0" w:lastColumn="0" w:noHBand="0" w:noVBand="0"/>
      </w:tblPr>
      <w:tblGrid>
        <w:gridCol w:w="630"/>
        <w:gridCol w:w="4680"/>
        <w:gridCol w:w="4734"/>
      </w:tblGrid>
      <w:tr w:rsidR="00E27101" w:rsidRPr="007C4E01" w:rsidTr="00614F51">
        <w:trPr>
          <w:tblHeader/>
        </w:trPr>
        <w:tc>
          <w:tcPr>
            <w:tcW w:w="630" w:type="dxa"/>
            <w:tcBorders>
              <w:top w:val="single" w:sz="4" w:space="0" w:color="auto"/>
              <w:bottom w:val="single" w:sz="12" w:space="0" w:color="auto"/>
            </w:tcBorders>
            <w:shd w:val="clear" w:color="auto" w:fill="auto"/>
            <w:vAlign w:val="bottom"/>
          </w:tcPr>
          <w:p w:rsidR="00E27101" w:rsidRPr="007C4E01" w:rsidRDefault="00E27101" w:rsidP="00614F51">
            <w:pPr>
              <w:tabs>
                <w:tab w:val="left" w:pos="288"/>
                <w:tab w:val="left" w:pos="576"/>
                <w:tab w:val="left" w:pos="864"/>
                <w:tab w:val="left" w:pos="1152"/>
              </w:tabs>
              <w:suppressAutoHyphens/>
              <w:spacing w:before="80" w:after="80" w:line="160" w:lineRule="exact"/>
              <w:ind w:right="40"/>
              <w:rPr>
                <w:i/>
                <w:sz w:val="14"/>
                <w:lang w:val="fr-CH"/>
              </w:rPr>
            </w:pPr>
            <w:r w:rsidRPr="007C4E01">
              <w:rPr>
                <w:i/>
                <w:sz w:val="14"/>
                <w:lang w:val="fr-CH"/>
              </w:rPr>
              <w:t>N</w:t>
            </w:r>
            <w:r w:rsidRPr="007C4E01">
              <w:rPr>
                <w:i/>
                <w:sz w:val="14"/>
                <w:vertAlign w:val="superscript"/>
                <w:lang w:val="fr-CH"/>
              </w:rPr>
              <w:t xml:space="preserve">o </w:t>
            </w:r>
          </w:p>
        </w:tc>
        <w:tc>
          <w:tcPr>
            <w:tcW w:w="4680" w:type="dxa"/>
            <w:tcBorders>
              <w:top w:val="single" w:sz="4" w:space="0" w:color="auto"/>
              <w:bottom w:val="single" w:sz="12" w:space="0" w:color="auto"/>
            </w:tcBorders>
            <w:shd w:val="clear" w:color="auto" w:fill="auto"/>
            <w:vAlign w:val="bottom"/>
          </w:tcPr>
          <w:p w:rsidR="00E27101" w:rsidRPr="007C4E01" w:rsidRDefault="00E27101" w:rsidP="00614F51">
            <w:pPr>
              <w:tabs>
                <w:tab w:val="left" w:pos="288"/>
                <w:tab w:val="left" w:pos="576"/>
                <w:tab w:val="left" w:pos="864"/>
                <w:tab w:val="left" w:pos="1152"/>
              </w:tabs>
              <w:suppressAutoHyphens/>
              <w:spacing w:before="80" w:after="80" w:line="160" w:lineRule="exact"/>
              <w:ind w:right="397"/>
              <w:rPr>
                <w:i/>
                <w:sz w:val="14"/>
                <w:lang w:val="fr-CH"/>
              </w:rPr>
            </w:pPr>
            <w:r w:rsidRPr="007C4E01">
              <w:rPr>
                <w:i/>
                <w:sz w:val="14"/>
                <w:lang w:val="fr-CH"/>
              </w:rPr>
              <w:t>Ensembles de données</w:t>
            </w:r>
          </w:p>
        </w:tc>
        <w:tc>
          <w:tcPr>
            <w:tcW w:w="4734" w:type="dxa"/>
            <w:tcBorders>
              <w:top w:val="single" w:sz="4" w:space="0" w:color="auto"/>
              <w:bottom w:val="single" w:sz="12" w:space="0" w:color="auto"/>
            </w:tcBorders>
            <w:shd w:val="clear" w:color="auto" w:fill="auto"/>
            <w:vAlign w:val="bottom"/>
          </w:tcPr>
          <w:p w:rsidR="00E27101" w:rsidRPr="007C4E01" w:rsidRDefault="006C14F1" w:rsidP="00381400">
            <w:pPr>
              <w:tabs>
                <w:tab w:val="left" w:pos="288"/>
                <w:tab w:val="left" w:pos="576"/>
                <w:tab w:val="left" w:pos="864"/>
                <w:tab w:val="left" w:pos="1152"/>
              </w:tabs>
              <w:suppressAutoHyphens/>
              <w:spacing w:before="80" w:after="80" w:line="160" w:lineRule="exact"/>
              <w:ind w:right="397"/>
              <w:rPr>
                <w:i/>
                <w:sz w:val="14"/>
                <w:lang w:val="fr-CH"/>
              </w:rPr>
            </w:pPr>
            <w:r>
              <w:rPr>
                <w:i/>
                <w:sz w:val="14"/>
                <w:lang w:val="fr-CH"/>
              </w:rPr>
              <w:t>Motifs de collecte, de mise</w:t>
            </w:r>
            <w:r w:rsidR="00E27101" w:rsidRPr="007C4E01">
              <w:rPr>
                <w:i/>
                <w:sz w:val="14"/>
                <w:lang w:val="fr-CH"/>
              </w:rPr>
              <w:t xml:space="preserve"> à jour </w:t>
            </w:r>
            <w:r w:rsidR="00381400">
              <w:rPr>
                <w:i/>
                <w:sz w:val="14"/>
                <w:lang w:val="fr-CH"/>
              </w:rPr>
              <w:br/>
            </w:r>
            <w:r w:rsidR="00E27101" w:rsidRPr="007C4E01">
              <w:rPr>
                <w:i/>
                <w:sz w:val="14"/>
                <w:lang w:val="fr-CH"/>
              </w:rPr>
              <w:t>et de partage de l’ensemble de données</w:t>
            </w:r>
          </w:p>
        </w:tc>
      </w:tr>
      <w:tr w:rsidR="00E27101" w:rsidRPr="007C4E01" w:rsidTr="00614F51">
        <w:trPr>
          <w:trHeight w:hRule="exact" w:val="115"/>
          <w:tblHeader/>
        </w:trPr>
        <w:tc>
          <w:tcPr>
            <w:tcW w:w="630" w:type="dxa"/>
            <w:tcBorders>
              <w:top w:val="single" w:sz="12" w:space="0" w:color="auto"/>
            </w:tcBorders>
            <w:shd w:val="clear" w:color="auto" w:fill="auto"/>
            <w:vAlign w:val="bottom"/>
          </w:tcPr>
          <w:p w:rsidR="00E27101" w:rsidRPr="007C4E01" w:rsidRDefault="00E27101" w:rsidP="00614F51">
            <w:pPr>
              <w:tabs>
                <w:tab w:val="left" w:pos="288"/>
                <w:tab w:val="left" w:pos="576"/>
                <w:tab w:val="left" w:pos="864"/>
                <w:tab w:val="left" w:pos="1152"/>
              </w:tabs>
              <w:suppressAutoHyphens/>
              <w:spacing w:before="40" w:after="80"/>
              <w:ind w:right="40"/>
              <w:rPr>
                <w:lang w:val="fr-CH"/>
              </w:rPr>
            </w:pPr>
          </w:p>
        </w:tc>
        <w:tc>
          <w:tcPr>
            <w:tcW w:w="4680" w:type="dxa"/>
            <w:tcBorders>
              <w:top w:val="single" w:sz="12" w:space="0" w:color="auto"/>
            </w:tcBorders>
            <w:shd w:val="clear" w:color="auto" w:fill="auto"/>
            <w:vAlign w:val="bottom"/>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p>
        </w:tc>
        <w:tc>
          <w:tcPr>
            <w:tcW w:w="4734" w:type="dxa"/>
            <w:tcBorders>
              <w:top w:val="single" w:sz="12" w:space="0" w:color="auto"/>
            </w:tcBorders>
            <w:shd w:val="clear" w:color="auto" w:fill="auto"/>
            <w:vAlign w:val="bottom"/>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2</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Émissions d’oxyde d’azote exprimées en dioxyde d’azote (sources totales, fixes et mobiles)</w:t>
            </w:r>
          </w:p>
        </w:tc>
        <w:tc>
          <w:tcPr>
            <w:tcW w:w="4734" w:type="dxa"/>
            <w:shd w:val="clear" w:color="auto" w:fill="auto"/>
          </w:tcPr>
          <w:p w:rsidR="00E27101" w:rsidRPr="007C4E01" w:rsidRDefault="00E27101" w:rsidP="00672EEA">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w:t>
            </w:r>
            <w:r w:rsidR="00672EEA" w:rsidRPr="007C4E01">
              <w:rPr>
                <w:lang w:val="fr-CH"/>
              </w:rPr>
              <w:t>en vertu</w:t>
            </w:r>
            <w:r w:rsidRPr="007C4E01">
              <w:rPr>
                <w:lang w:val="fr-CH"/>
              </w:rPr>
              <w:t xml:space="preserve"> de la Convention CPATLD</w:t>
            </w:r>
            <w:r w:rsidR="00672EEA" w:rsidRPr="007C4E01">
              <w:rPr>
                <w:i/>
                <w:vertAlign w:val="superscript"/>
                <w:lang w:val="fr-CH"/>
              </w:rPr>
              <w:t>a</w:t>
            </w:r>
            <w:r w:rsidRPr="007C4E01">
              <w:rPr>
                <w:lang w:val="fr-CH"/>
              </w:rPr>
              <w:t xml:space="preserve"> de la CEE, Protocole PRDTP</w:t>
            </w:r>
            <w:r w:rsidRPr="007C4E01">
              <w:rPr>
                <w:i/>
                <w:vertAlign w:val="superscript"/>
                <w:lang w:val="fr-CH"/>
              </w:rPr>
              <w:t>b</w:t>
            </w:r>
            <w:r w:rsidRPr="007C4E01">
              <w:rPr>
                <w:lang w:val="fr-CH"/>
              </w:rPr>
              <w:t>,</w:t>
            </w:r>
            <w:r w:rsidRPr="007C4E01">
              <w:rPr>
                <w:vertAlign w:val="superscript"/>
                <w:lang w:val="fr-CH"/>
              </w:rPr>
              <w:t xml:space="preserve"> </w:t>
            </w:r>
            <w:r w:rsidRPr="007C4E01">
              <w:rPr>
                <w:lang w:val="fr-CH"/>
              </w:rPr>
              <w:t xml:space="preserve">considérations touchant la santé et le bien-être </w:t>
            </w:r>
            <w:r w:rsidR="00672EEA" w:rsidRPr="007C4E01">
              <w:rPr>
                <w:lang w:val="fr-CH"/>
              </w:rPr>
              <w:t>dans le concept</w:t>
            </w:r>
            <w:r w:rsidRPr="007C4E01">
              <w:rPr>
                <w:lang w:val="fr-CH"/>
              </w:rPr>
              <w:t xml:space="preserve"> d’économie verte, collecte de données en vertu du Protocole de Montréal</w:t>
            </w:r>
            <w:r w:rsidRPr="007C4E01">
              <w:rPr>
                <w:i/>
                <w:vertAlign w:val="superscript"/>
                <w:lang w:val="fr-CH"/>
              </w:rPr>
              <w:t>d</w:t>
            </w:r>
            <w:r w:rsidRPr="007C4E01">
              <w:rPr>
                <w:vertAlign w:val="superscript"/>
                <w:lang w:val="fr-CH"/>
              </w:rPr>
              <w:t xml:space="preserve"> </w:t>
            </w:r>
            <w:r w:rsidRPr="007C4E01">
              <w:rPr>
                <w:lang w:val="fr-CH"/>
              </w:rPr>
              <w:t>(Protocole se rapportant à la Convention de Vienne</w:t>
            </w:r>
            <w:r w:rsidRPr="007C4E01">
              <w:rPr>
                <w:i/>
                <w:vertAlign w:val="superscript"/>
                <w:lang w:val="fr-CH"/>
              </w:rPr>
              <w:t>e</w:t>
            </w:r>
            <w:r w:rsidRPr="007C4E01">
              <w:rPr>
                <w:lang w:val="fr-CH"/>
              </w:rPr>
              <w:t>)</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1</w:t>
            </w:r>
          </w:p>
        </w:tc>
        <w:tc>
          <w:tcPr>
            <w:tcW w:w="4680" w:type="dxa"/>
            <w:shd w:val="clear" w:color="auto" w:fill="auto"/>
          </w:tcPr>
          <w:p w:rsidR="00E27101" w:rsidRPr="007C4E01" w:rsidRDefault="00E27101" w:rsidP="00944126">
            <w:pPr>
              <w:tabs>
                <w:tab w:val="left" w:pos="288"/>
                <w:tab w:val="left" w:pos="576"/>
                <w:tab w:val="left" w:pos="864"/>
                <w:tab w:val="left" w:pos="1152"/>
              </w:tabs>
              <w:suppressAutoHyphens/>
              <w:spacing w:before="40" w:after="80"/>
              <w:ind w:right="397"/>
              <w:rPr>
                <w:lang w:val="fr-CH"/>
              </w:rPr>
            </w:pPr>
            <w:r w:rsidRPr="007C4E01">
              <w:rPr>
                <w:lang w:val="fr-CH"/>
              </w:rPr>
              <w:t>Émissions de soufre exprimées en dioxyde de</w:t>
            </w:r>
            <w:r w:rsidR="00944126" w:rsidRPr="007C4E01">
              <w:rPr>
                <w:lang w:val="fr-CH"/>
              </w:rPr>
              <w:t> </w:t>
            </w:r>
            <w:r w:rsidRPr="007C4E01">
              <w:rPr>
                <w:lang w:val="fr-CH"/>
              </w:rPr>
              <w:t>soufre (sources totales, fixes et mobiles)</w:t>
            </w:r>
          </w:p>
        </w:tc>
        <w:tc>
          <w:tcPr>
            <w:tcW w:w="4734" w:type="dxa"/>
            <w:shd w:val="clear" w:color="auto" w:fill="auto"/>
          </w:tcPr>
          <w:p w:rsidR="00E27101" w:rsidRPr="007C4E01" w:rsidRDefault="00E27101" w:rsidP="00672EEA">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w:t>
            </w:r>
            <w:r w:rsidR="00672EEA" w:rsidRPr="007C4E01">
              <w:rPr>
                <w:lang w:val="fr-CH"/>
              </w:rPr>
              <w:t xml:space="preserve">en vertu </w:t>
            </w:r>
            <w:r w:rsidRPr="007C4E01">
              <w:rPr>
                <w:lang w:val="fr-CH"/>
              </w:rPr>
              <w:t>de la Convention CPATLD</w:t>
            </w:r>
            <w:r w:rsidR="00672EEA" w:rsidRPr="007C4E01">
              <w:rPr>
                <w:i/>
                <w:vertAlign w:val="superscript"/>
                <w:lang w:val="fr-CH"/>
              </w:rPr>
              <w:t>a</w:t>
            </w:r>
            <w:r w:rsidRPr="007C4E01">
              <w:rPr>
                <w:lang w:val="fr-CH"/>
              </w:rPr>
              <w:t xml:space="preserve"> de la CEE, Protocole PRDTP</w:t>
            </w:r>
            <w:r w:rsidRPr="007C4E01">
              <w:rPr>
                <w:i/>
                <w:vertAlign w:val="superscript"/>
                <w:lang w:val="fr-CH"/>
              </w:rPr>
              <w:t>b</w:t>
            </w:r>
            <w:r w:rsidRPr="007C4E01">
              <w:rPr>
                <w:lang w:val="fr-CH"/>
              </w:rPr>
              <w:t>,</w:t>
            </w:r>
            <w:r w:rsidRPr="007C4E01">
              <w:rPr>
                <w:vertAlign w:val="superscript"/>
                <w:lang w:val="fr-CH"/>
              </w:rPr>
              <w:t xml:space="preserve"> </w:t>
            </w:r>
            <w:r w:rsidRPr="007C4E01">
              <w:rPr>
                <w:lang w:val="fr-CH"/>
              </w:rPr>
              <w:t xml:space="preserve">considérations touchant la santé et le bien-être </w:t>
            </w:r>
            <w:r w:rsidR="00672EEA" w:rsidRPr="007C4E01">
              <w:rPr>
                <w:lang w:val="fr-CH"/>
              </w:rPr>
              <w:t>dans le concept</w:t>
            </w:r>
            <w:r w:rsidRPr="007C4E01">
              <w:rPr>
                <w:lang w:val="fr-CH"/>
              </w:rPr>
              <w:t xml:space="preserve"> d’économie verte, collecte de données en vertu du Protocole de Montréal</w:t>
            </w:r>
            <w:r w:rsidRPr="007C4E01">
              <w:rPr>
                <w:i/>
                <w:vertAlign w:val="superscript"/>
                <w:lang w:val="fr-CH"/>
              </w:rPr>
              <w:t>d</w:t>
            </w:r>
            <w:r w:rsidRPr="007C4E01">
              <w:rPr>
                <w:vertAlign w:val="superscript"/>
                <w:lang w:val="fr-CH"/>
              </w:rPr>
              <w:t xml:space="preserve"> </w:t>
            </w:r>
            <w:r w:rsidRPr="007C4E01">
              <w:rPr>
                <w:lang w:val="fr-CH"/>
              </w:rPr>
              <w:t>(Protocole se rapportant à la Convention de Vienne</w:t>
            </w:r>
            <w:r w:rsidRPr="006C14F1">
              <w:rPr>
                <w:i/>
                <w:vertAlign w:val="superscript"/>
                <w:lang w:val="fr-CH"/>
              </w:rPr>
              <w:t>e</w:t>
            </w:r>
            <w:r w:rsidRPr="007C4E01">
              <w:rPr>
                <w:lang w:val="fr-CH"/>
              </w:rPr>
              <w:t>)</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5</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Émissions de monoxyde de carbone (sources totales, fixes et mobiles)</w:t>
            </w:r>
          </w:p>
        </w:tc>
        <w:tc>
          <w:tcPr>
            <w:tcW w:w="4734" w:type="dxa"/>
            <w:shd w:val="clear" w:color="auto" w:fill="auto"/>
          </w:tcPr>
          <w:p w:rsidR="00E27101" w:rsidRPr="007C4E01" w:rsidRDefault="00E27101" w:rsidP="00944126">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w:t>
            </w:r>
            <w:r w:rsidR="00672EEA" w:rsidRPr="007C4E01">
              <w:rPr>
                <w:lang w:val="fr-CH"/>
              </w:rPr>
              <w:t>en vertu</w:t>
            </w:r>
            <w:r w:rsidRPr="007C4E01">
              <w:rPr>
                <w:lang w:val="fr-CH"/>
              </w:rPr>
              <w:t xml:space="preserve"> de la Convention CPATLD</w:t>
            </w:r>
            <w:r w:rsidR="00672EEA" w:rsidRPr="007C4E01">
              <w:rPr>
                <w:i/>
                <w:vertAlign w:val="superscript"/>
                <w:lang w:val="fr-CH"/>
              </w:rPr>
              <w:t>a</w:t>
            </w:r>
            <w:r w:rsidRPr="007C4E01">
              <w:rPr>
                <w:lang w:val="fr-CH"/>
              </w:rPr>
              <w:t xml:space="preserve"> de la CEE, Protocole PRDTP</w:t>
            </w:r>
            <w:r w:rsidRPr="007C4E01">
              <w:rPr>
                <w:i/>
                <w:vertAlign w:val="superscript"/>
                <w:lang w:val="fr-CH"/>
              </w:rPr>
              <w:t>b</w:t>
            </w:r>
            <w:r w:rsidRPr="007C4E01">
              <w:rPr>
                <w:lang w:val="fr-CH"/>
              </w:rPr>
              <w:t>,</w:t>
            </w:r>
            <w:r w:rsidRPr="007C4E01">
              <w:rPr>
                <w:vertAlign w:val="superscript"/>
                <w:lang w:val="fr-CH"/>
              </w:rPr>
              <w:t xml:space="preserve"> </w:t>
            </w:r>
            <w:r w:rsidRPr="007C4E01">
              <w:rPr>
                <w:lang w:val="fr-CH"/>
              </w:rPr>
              <w:t>considérations touchant la santé et le bien-être ressortissant à la notion d’économie verte, collecte de données en vertu du Protocole de Montréal</w:t>
            </w:r>
            <w:r w:rsidRPr="007C4E01">
              <w:rPr>
                <w:i/>
                <w:vertAlign w:val="superscript"/>
                <w:lang w:val="fr-CH"/>
              </w:rPr>
              <w:t>d</w:t>
            </w:r>
            <w:r w:rsidRPr="007C4E01">
              <w:rPr>
                <w:vertAlign w:val="superscript"/>
                <w:lang w:val="fr-CH"/>
              </w:rPr>
              <w:t xml:space="preserve"> </w:t>
            </w:r>
            <w:r w:rsidRPr="007C4E01">
              <w:rPr>
                <w:lang w:val="fr-CH"/>
              </w:rPr>
              <w:t>(Protocole se rapportant à la</w:t>
            </w:r>
            <w:r w:rsidR="00944126" w:rsidRPr="007C4E01">
              <w:rPr>
                <w:lang w:val="fr-CH"/>
              </w:rPr>
              <w:t> </w:t>
            </w:r>
            <w:r w:rsidRPr="007C4E01">
              <w:rPr>
                <w:lang w:val="fr-CH"/>
              </w:rPr>
              <w:t>Convention de Vienne</w:t>
            </w:r>
            <w:r w:rsidRPr="006C14F1">
              <w:rPr>
                <w:i/>
                <w:vertAlign w:val="superscript"/>
                <w:lang w:val="fr-CH"/>
              </w:rPr>
              <w:t>e</w:t>
            </w:r>
            <w:r w:rsidRPr="007C4E01">
              <w:rPr>
                <w:lang w:val="fr-CH"/>
              </w:rPr>
              <w:t>)</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3</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Émissions de composés organiques volatils non méthaniques (COVNM) (sources totales, fixes et mobiles)</w:t>
            </w:r>
          </w:p>
        </w:tc>
        <w:tc>
          <w:tcPr>
            <w:tcW w:w="4734" w:type="dxa"/>
            <w:shd w:val="clear" w:color="auto" w:fill="auto"/>
          </w:tcPr>
          <w:p w:rsidR="00E27101" w:rsidRPr="007C4E01" w:rsidRDefault="00E27101" w:rsidP="007C1CCF">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w:t>
            </w:r>
            <w:r w:rsidR="007C1CCF" w:rsidRPr="007C4E01">
              <w:rPr>
                <w:lang w:val="fr-CH"/>
              </w:rPr>
              <w:t>en vertu</w:t>
            </w:r>
            <w:r w:rsidRPr="007C4E01">
              <w:rPr>
                <w:lang w:val="fr-CH"/>
              </w:rPr>
              <w:t xml:space="preserve"> de la Convention CPATLD</w:t>
            </w:r>
            <w:r w:rsidR="007C1CCF" w:rsidRPr="007C4E01">
              <w:rPr>
                <w:i/>
                <w:vertAlign w:val="superscript"/>
                <w:lang w:val="fr-CH"/>
              </w:rPr>
              <w:t>a</w:t>
            </w:r>
            <w:r w:rsidRPr="007C4E01">
              <w:rPr>
                <w:lang w:val="fr-CH"/>
              </w:rPr>
              <w:t xml:space="preserve"> de la CEE, Protocole PRDTP</w:t>
            </w:r>
            <w:r w:rsidRPr="007C4E01">
              <w:rPr>
                <w:i/>
                <w:vertAlign w:val="superscript"/>
                <w:lang w:val="fr-CH"/>
              </w:rPr>
              <w:t>b</w:t>
            </w:r>
            <w:r w:rsidRPr="007C4E01">
              <w:rPr>
                <w:lang w:val="fr-CH"/>
              </w:rPr>
              <w:t>,</w:t>
            </w:r>
            <w:r w:rsidRPr="007C4E01">
              <w:rPr>
                <w:vertAlign w:val="superscript"/>
                <w:lang w:val="fr-CH"/>
              </w:rPr>
              <w:t xml:space="preserve"> </w:t>
            </w:r>
            <w:r w:rsidRPr="007C4E01">
              <w:rPr>
                <w:lang w:val="fr-CH"/>
              </w:rPr>
              <w:t xml:space="preserve">considérations touchant la santé et le bien-être </w:t>
            </w:r>
            <w:r w:rsidR="007C1CCF" w:rsidRPr="007C4E01">
              <w:rPr>
                <w:lang w:val="fr-CH"/>
              </w:rPr>
              <w:t>dans le concept</w:t>
            </w:r>
            <w:r w:rsidRPr="007C4E01">
              <w:rPr>
                <w:lang w:val="fr-CH"/>
              </w:rPr>
              <w:t xml:space="preserve"> d’économie verte, collecte de données en vertu du Protocole de Montréal</w:t>
            </w:r>
            <w:r w:rsidRPr="007C4E01">
              <w:rPr>
                <w:i/>
                <w:vertAlign w:val="superscript"/>
                <w:lang w:val="fr-CH"/>
              </w:rPr>
              <w:t xml:space="preserve">d </w:t>
            </w:r>
            <w:r w:rsidRPr="007C4E01">
              <w:rPr>
                <w:lang w:val="fr-CH"/>
              </w:rPr>
              <w:t>(Protocole se rapportant à la Convention de Vienne</w:t>
            </w:r>
            <w:r w:rsidRPr="007C4E01">
              <w:rPr>
                <w:i/>
                <w:vertAlign w:val="superscript"/>
                <w:lang w:val="fr-CH"/>
              </w:rPr>
              <w:t>e</w:t>
            </w:r>
            <w:r w:rsidRPr="007C4E01">
              <w:rPr>
                <w:lang w:val="fr-CH"/>
              </w:rPr>
              <w:t>)</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4</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Émissions d’ammoniac (sources totales, fixes et mobiles)</w:t>
            </w:r>
          </w:p>
        </w:tc>
        <w:tc>
          <w:tcPr>
            <w:tcW w:w="4734" w:type="dxa"/>
            <w:shd w:val="clear" w:color="auto" w:fill="auto"/>
          </w:tcPr>
          <w:p w:rsidR="00E27101" w:rsidRPr="007C4E01" w:rsidRDefault="00E27101" w:rsidP="00585460">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w:t>
            </w:r>
            <w:r w:rsidR="00585460" w:rsidRPr="007C4E01">
              <w:rPr>
                <w:lang w:val="fr-CH"/>
              </w:rPr>
              <w:t>en vertu</w:t>
            </w:r>
            <w:r w:rsidRPr="007C4E01">
              <w:rPr>
                <w:lang w:val="fr-CH"/>
              </w:rPr>
              <w:t xml:space="preserve"> de la Convention CPATLD</w:t>
            </w:r>
            <w:r w:rsidR="00585460" w:rsidRPr="007C4E01">
              <w:rPr>
                <w:i/>
                <w:vertAlign w:val="superscript"/>
                <w:lang w:val="fr-CH"/>
              </w:rPr>
              <w:t>a</w:t>
            </w:r>
            <w:r w:rsidRPr="007C4E01">
              <w:rPr>
                <w:lang w:val="fr-CH"/>
              </w:rPr>
              <w:t xml:space="preserve"> de la CEE, Protocole PRDTP</w:t>
            </w:r>
            <w:r w:rsidRPr="007C4E01">
              <w:rPr>
                <w:i/>
                <w:vertAlign w:val="superscript"/>
                <w:lang w:val="fr-CH"/>
              </w:rPr>
              <w:t>b</w:t>
            </w:r>
            <w:r w:rsidRPr="007C4E01">
              <w:rPr>
                <w:lang w:val="fr-CH"/>
              </w:rPr>
              <w:t>,</w:t>
            </w:r>
            <w:r w:rsidRPr="007C4E01">
              <w:rPr>
                <w:vertAlign w:val="superscript"/>
                <w:lang w:val="fr-CH"/>
              </w:rPr>
              <w:t xml:space="preserve"> </w:t>
            </w:r>
            <w:r w:rsidRPr="007C4E01">
              <w:rPr>
                <w:lang w:val="fr-CH"/>
              </w:rPr>
              <w:t xml:space="preserve">considérations touchant la santé et le bien-être </w:t>
            </w:r>
            <w:r w:rsidR="00585460" w:rsidRPr="007C4E01">
              <w:rPr>
                <w:lang w:val="fr-CH"/>
              </w:rPr>
              <w:t xml:space="preserve">dans le concept </w:t>
            </w:r>
            <w:r w:rsidRPr="007C4E01">
              <w:rPr>
                <w:lang w:val="fr-CH"/>
              </w:rPr>
              <w:t>d’économie verte, collecte de données en vertu du Protocole de Montréal</w:t>
            </w:r>
            <w:r w:rsidRPr="007C4E01">
              <w:rPr>
                <w:i/>
                <w:vertAlign w:val="superscript"/>
                <w:lang w:val="fr-CH"/>
              </w:rPr>
              <w:t>d</w:t>
            </w:r>
            <w:r w:rsidRPr="007C4E01">
              <w:rPr>
                <w:vertAlign w:val="superscript"/>
                <w:lang w:val="fr-CH"/>
              </w:rPr>
              <w:t xml:space="preserve"> </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60</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Production totale de déchets et transferts de déchets</w:t>
            </w:r>
          </w:p>
        </w:tc>
        <w:tc>
          <w:tcPr>
            <w:tcW w:w="4734" w:type="dxa"/>
            <w:shd w:val="clear" w:color="auto" w:fill="auto"/>
          </w:tcPr>
          <w:p w:rsidR="00E27101" w:rsidRPr="007C4E01" w:rsidRDefault="00E27101" w:rsidP="00585460">
            <w:pPr>
              <w:tabs>
                <w:tab w:val="left" w:pos="288"/>
                <w:tab w:val="left" w:pos="576"/>
                <w:tab w:val="left" w:pos="864"/>
                <w:tab w:val="left" w:pos="1152"/>
              </w:tabs>
              <w:suppressAutoHyphens/>
              <w:spacing w:before="40" w:after="80"/>
              <w:ind w:right="397"/>
              <w:rPr>
                <w:lang w:val="fr-CH"/>
              </w:rPr>
            </w:pPr>
            <w:r w:rsidRPr="007C4E01">
              <w:rPr>
                <w:lang w:val="fr-CH"/>
              </w:rPr>
              <w:t>Priorité paneuropéenne (produits chimiques et déchets), objectif environnemental mondial, collecte de données en vertu du Protocole PRDT</w:t>
            </w:r>
            <w:r w:rsidR="00585460" w:rsidRPr="007C4E01">
              <w:rPr>
                <w:lang w:val="fr-CH"/>
              </w:rPr>
              <w:t>P</w:t>
            </w:r>
            <w:r w:rsidRPr="007C4E01">
              <w:rPr>
                <w:i/>
                <w:vertAlign w:val="superscript"/>
                <w:lang w:val="fr-CH"/>
              </w:rPr>
              <w:t>b</w:t>
            </w:r>
            <w:r w:rsidRPr="007C4E01">
              <w:rPr>
                <w:lang w:val="fr-CH"/>
              </w:rPr>
              <w:t xml:space="preserve"> et de la Convention de Bâle</w:t>
            </w:r>
            <w:r w:rsidRPr="007C4E01">
              <w:rPr>
                <w:i/>
                <w:vertAlign w:val="superscript"/>
                <w:lang w:val="fr-CH"/>
              </w:rPr>
              <w:t>c</w:t>
            </w:r>
          </w:p>
        </w:tc>
      </w:tr>
      <w:tr w:rsidR="00E27101" w:rsidRPr="007C4E01" w:rsidTr="00614F51">
        <w:tc>
          <w:tcPr>
            <w:tcW w:w="630" w:type="dxa"/>
            <w:shd w:val="clear" w:color="auto" w:fill="auto"/>
          </w:tcPr>
          <w:p w:rsidR="00E27101" w:rsidRPr="007C4E01" w:rsidRDefault="00E27101" w:rsidP="00682711">
            <w:pPr>
              <w:keepNext/>
              <w:keepLines/>
              <w:tabs>
                <w:tab w:val="left" w:pos="288"/>
                <w:tab w:val="left" w:pos="576"/>
                <w:tab w:val="left" w:pos="864"/>
                <w:tab w:val="left" w:pos="1152"/>
              </w:tabs>
              <w:suppressAutoHyphens/>
              <w:spacing w:before="40" w:after="80"/>
              <w:ind w:right="40"/>
              <w:rPr>
                <w:b/>
                <w:lang w:val="fr-CH"/>
              </w:rPr>
            </w:pPr>
            <w:r w:rsidRPr="007C4E01">
              <w:rPr>
                <w:b/>
                <w:lang w:val="fr-CH"/>
              </w:rPr>
              <w:t>28</w:t>
            </w:r>
          </w:p>
        </w:tc>
        <w:tc>
          <w:tcPr>
            <w:tcW w:w="4680" w:type="dxa"/>
            <w:shd w:val="clear" w:color="auto" w:fill="auto"/>
          </w:tcPr>
          <w:p w:rsidR="00E27101" w:rsidRPr="007C4E01" w:rsidRDefault="00E27101" w:rsidP="00682711">
            <w:pPr>
              <w:keepNext/>
              <w:keepLines/>
              <w:tabs>
                <w:tab w:val="left" w:pos="288"/>
                <w:tab w:val="left" w:pos="576"/>
                <w:tab w:val="left" w:pos="864"/>
                <w:tab w:val="left" w:pos="1152"/>
              </w:tabs>
              <w:suppressAutoHyphens/>
              <w:spacing w:before="40" w:after="80"/>
              <w:ind w:right="397"/>
              <w:rPr>
                <w:lang w:val="fr-CH"/>
              </w:rPr>
            </w:pPr>
            <w:r w:rsidRPr="007C4E01">
              <w:rPr>
                <w:lang w:val="fr-CH"/>
              </w:rPr>
              <w:t>Émissions globales de GES, y compris émissions/suppressions en matière d’utilisation des terres, de changement d’affectation des terres et de foresterie</w:t>
            </w:r>
          </w:p>
        </w:tc>
        <w:tc>
          <w:tcPr>
            <w:tcW w:w="4734" w:type="dxa"/>
            <w:shd w:val="clear" w:color="auto" w:fill="auto"/>
          </w:tcPr>
          <w:p w:rsidR="00E27101" w:rsidRPr="007C4E01" w:rsidRDefault="00E27101" w:rsidP="00682711">
            <w:pPr>
              <w:keepNext/>
              <w:keepLines/>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en vertu de la </w:t>
            </w:r>
            <w:r w:rsidR="00585460" w:rsidRPr="007C4E01">
              <w:rPr>
                <w:lang w:val="fr-CH"/>
              </w:rPr>
              <w:t>Convention CCNUCC</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50</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Ensemble des secteurs protégés (catégories UICN)</w:t>
            </w:r>
          </w:p>
        </w:tc>
        <w:tc>
          <w:tcPr>
            <w:tcW w:w="4734" w:type="dxa"/>
            <w:shd w:val="clear" w:color="auto" w:fill="auto"/>
          </w:tcPr>
          <w:p w:rsidR="00E27101" w:rsidRPr="007C4E01" w:rsidRDefault="00E27101" w:rsidP="00682711">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paneuopéenne, objectif environnemental mondial, résilience, considérations </w:t>
            </w:r>
            <w:r w:rsidR="00682711" w:rsidRPr="007C4E01">
              <w:rPr>
                <w:lang w:val="fr-CH"/>
              </w:rPr>
              <w:t xml:space="preserve">au concept </w:t>
            </w:r>
            <w:r w:rsidRPr="007C4E01">
              <w:rPr>
                <w:lang w:val="fr-CH"/>
              </w:rPr>
              <w:t>d’économie verte, Convention des Nations Unies sur la diversité biologique</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17</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 xml:space="preserve">Concentration moyenne annuelle de l’ozone troposphérique </w:t>
            </w:r>
          </w:p>
        </w:tc>
        <w:tc>
          <w:tcPr>
            <w:tcW w:w="4734" w:type="dxa"/>
            <w:shd w:val="clear" w:color="auto" w:fill="auto"/>
          </w:tcPr>
          <w:p w:rsidR="00E27101" w:rsidRPr="007C4E01" w:rsidRDefault="00E27101" w:rsidP="004E33FA">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w:t>
            </w:r>
            <w:r w:rsidR="004E33FA" w:rsidRPr="007C4E01">
              <w:rPr>
                <w:lang w:val="fr-CH"/>
              </w:rPr>
              <w:t>en vertu</w:t>
            </w:r>
            <w:r w:rsidRPr="007C4E01">
              <w:rPr>
                <w:lang w:val="fr-CH"/>
              </w:rPr>
              <w:t xml:space="preserve"> de la Convention CPATLD</w:t>
            </w:r>
            <w:r w:rsidR="004E33FA" w:rsidRPr="007C4E01">
              <w:rPr>
                <w:i/>
                <w:vertAlign w:val="superscript"/>
                <w:lang w:val="fr-CH"/>
              </w:rPr>
              <w:t>a</w:t>
            </w:r>
            <w:r w:rsidRPr="007C4E01">
              <w:rPr>
                <w:lang w:val="fr-CH"/>
              </w:rPr>
              <w:t xml:space="preserve"> de la CEE, Protocole PRDTP</w:t>
            </w:r>
            <w:r w:rsidRPr="007C4E01">
              <w:rPr>
                <w:i/>
                <w:vertAlign w:val="superscript"/>
                <w:lang w:val="fr-CH"/>
              </w:rPr>
              <w:t>b</w:t>
            </w:r>
            <w:r w:rsidRPr="007C4E01">
              <w:rPr>
                <w:lang w:val="fr-CH"/>
              </w:rPr>
              <w:t>,</w:t>
            </w:r>
            <w:r w:rsidRPr="007C4E01">
              <w:rPr>
                <w:vertAlign w:val="superscript"/>
                <w:lang w:val="fr-CH"/>
              </w:rPr>
              <w:t xml:space="preserve"> </w:t>
            </w:r>
            <w:r w:rsidRPr="007C4E01">
              <w:rPr>
                <w:lang w:val="fr-CH"/>
              </w:rPr>
              <w:t xml:space="preserve">considérations touchant la santé et le bien-être </w:t>
            </w:r>
            <w:r w:rsidR="004E33FA" w:rsidRPr="007C4E01">
              <w:rPr>
                <w:lang w:val="fr-CH"/>
              </w:rPr>
              <w:t>dans le concept</w:t>
            </w:r>
            <w:r w:rsidRPr="007C4E01">
              <w:rPr>
                <w:lang w:val="fr-CH"/>
              </w:rPr>
              <w:t xml:space="preserve"> d’économie verte, collecte de données en vertu du Protocole de Montréal</w:t>
            </w:r>
            <w:r w:rsidRPr="007C4E01">
              <w:rPr>
                <w:i/>
                <w:vertAlign w:val="superscript"/>
                <w:lang w:val="fr-CH"/>
              </w:rPr>
              <w:t>d</w:t>
            </w:r>
            <w:r w:rsidRPr="007C4E01">
              <w:rPr>
                <w:vertAlign w:val="superscript"/>
                <w:lang w:val="fr-CH"/>
              </w:rPr>
              <w:t xml:space="preserve"> </w:t>
            </w:r>
            <w:r w:rsidRPr="007C4E01">
              <w:rPr>
                <w:lang w:val="fr-CH"/>
              </w:rPr>
              <w:t>(Protocole se rapportant à la Convention de Vienne</w:t>
            </w:r>
            <w:r w:rsidRPr="007C4E01">
              <w:rPr>
                <w:i/>
                <w:vertAlign w:val="superscript"/>
                <w:lang w:val="fr-CH"/>
              </w:rPr>
              <w:t>e</w:t>
            </w:r>
            <w:r w:rsidRPr="007C4E01">
              <w:rPr>
                <w:lang w:val="fr-CH"/>
              </w:rPr>
              <w:t>)</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56</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Consommation d’énergie finale totale</w:t>
            </w:r>
          </w:p>
        </w:tc>
        <w:tc>
          <w:tcPr>
            <w:tcW w:w="4734" w:type="dxa"/>
            <w:shd w:val="clear" w:color="auto" w:fill="auto"/>
          </w:tcPr>
          <w:p w:rsidR="00E27101" w:rsidRPr="007C4E01" w:rsidRDefault="00E27101" w:rsidP="004E33FA">
            <w:pPr>
              <w:tabs>
                <w:tab w:val="left" w:pos="288"/>
                <w:tab w:val="left" w:pos="576"/>
                <w:tab w:val="left" w:pos="864"/>
                <w:tab w:val="left" w:pos="1152"/>
              </w:tabs>
              <w:suppressAutoHyphens/>
              <w:spacing w:before="40" w:after="80"/>
              <w:ind w:right="397"/>
              <w:rPr>
                <w:lang w:val="fr-CH"/>
              </w:rPr>
            </w:pPr>
            <w:r w:rsidRPr="007C4E01">
              <w:rPr>
                <w:lang w:val="fr-CH"/>
              </w:rPr>
              <w:t xml:space="preserve">Efficacité au regard de l’objectif environnemental mondial, considérations </w:t>
            </w:r>
            <w:r w:rsidR="004E33FA" w:rsidRPr="007C4E01">
              <w:rPr>
                <w:lang w:val="fr-CH"/>
              </w:rPr>
              <w:t>au concept</w:t>
            </w:r>
            <w:r w:rsidRPr="007C4E01">
              <w:rPr>
                <w:lang w:val="fr-CH"/>
              </w:rPr>
              <w:t xml:space="preserve"> d’économie verte, collecte de données pour le bilan énergétique de l’Agence internationale de l’énergie</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16</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Concentration moyenne annuelle de dioxyde d’azote</w:t>
            </w:r>
          </w:p>
        </w:tc>
        <w:tc>
          <w:tcPr>
            <w:tcW w:w="4734" w:type="dxa"/>
            <w:shd w:val="clear" w:color="auto" w:fill="auto"/>
          </w:tcPr>
          <w:p w:rsidR="00E27101" w:rsidRPr="007C4E01" w:rsidRDefault="00E27101" w:rsidP="004E33FA">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w:t>
            </w:r>
            <w:r w:rsidR="004E33FA" w:rsidRPr="007C4E01">
              <w:rPr>
                <w:lang w:val="fr-CH"/>
              </w:rPr>
              <w:t>en vertu</w:t>
            </w:r>
            <w:r w:rsidRPr="007C4E01">
              <w:rPr>
                <w:lang w:val="fr-CH"/>
              </w:rPr>
              <w:t xml:space="preserve"> de la Convention CPATLD</w:t>
            </w:r>
            <w:r w:rsidR="004E33FA" w:rsidRPr="007C4E01">
              <w:rPr>
                <w:i/>
                <w:vertAlign w:val="superscript"/>
                <w:lang w:val="fr-CH"/>
              </w:rPr>
              <w:t>a</w:t>
            </w:r>
            <w:r w:rsidRPr="007C4E01">
              <w:rPr>
                <w:lang w:val="fr-CH"/>
              </w:rPr>
              <w:t xml:space="preserve"> de la CEE, considérations touchant la santé et le bien-être </w:t>
            </w:r>
            <w:r w:rsidR="004E33FA" w:rsidRPr="007C4E01">
              <w:rPr>
                <w:lang w:val="fr-CH"/>
              </w:rPr>
              <w:t xml:space="preserve">dans le concept </w:t>
            </w:r>
            <w:r w:rsidRPr="007C4E01">
              <w:rPr>
                <w:lang w:val="fr-CH"/>
              </w:rPr>
              <w:t>d’économie verte, collecte de données en vertu du Protocole de Montréal</w:t>
            </w:r>
            <w:r w:rsidRPr="007C4E01">
              <w:rPr>
                <w:i/>
                <w:vertAlign w:val="superscript"/>
                <w:lang w:val="fr-CH"/>
              </w:rPr>
              <w:t>d</w:t>
            </w:r>
            <w:r w:rsidRPr="007C4E01">
              <w:rPr>
                <w:vertAlign w:val="superscript"/>
                <w:lang w:val="fr-CH"/>
              </w:rPr>
              <w:t xml:space="preserve"> </w:t>
            </w:r>
            <w:r w:rsidRPr="007C4E01">
              <w:rPr>
                <w:lang w:val="fr-CH"/>
              </w:rPr>
              <w:t>(Protocole se rapportant à la Convention de Vienne</w:t>
            </w:r>
            <w:r w:rsidRPr="007C4E01">
              <w:rPr>
                <w:i/>
                <w:vertAlign w:val="superscript"/>
                <w:lang w:val="fr-CH"/>
              </w:rPr>
              <w:t>e</w:t>
            </w:r>
            <w:r w:rsidRPr="007C4E01">
              <w:rPr>
                <w:lang w:val="fr-CH"/>
              </w:rPr>
              <w:t>)</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51</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Surface forestière totale (forêts et autres terres boisées)</w:t>
            </w:r>
          </w:p>
        </w:tc>
        <w:tc>
          <w:tcPr>
            <w:tcW w:w="4734" w:type="dxa"/>
            <w:shd w:val="clear" w:color="auto" w:fill="auto"/>
          </w:tcPr>
          <w:p w:rsidR="00E27101" w:rsidRPr="007C4E01" w:rsidRDefault="00E27101" w:rsidP="00482FC6">
            <w:pPr>
              <w:tabs>
                <w:tab w:val="left" w:pos="288"/>
                <w:tab w:val="left" w:pos="576"/>
                <w:tab w:val="left" w:pos="864"/>
                <w:tab w:val="left" w:pos="1152"/>
              </w:tabs>
              <w:suppressAutoHyphens/>
              <w:spacing w:before="40" w:after="80"/>
              <w:ind w:right="397"/>
              <w:rPr>
                <w:lang w:val="fr-CH"/>
              </w:rPr>
            </w:pPr>
            <w:r w:rsidRPr="007C4E01">
              <w:rPr>
                <w:lang w:val="fr-CH"/>
              </w:rPr>
              <w:t>Priorité paneuropéenne, objectif environnemental</w:t>
            </w:r>
            <w:r w:rsidR="00482FC6" w:rsidRPr="007C4E01">
              <w:rPr>
                <w:lang w:val="fr-CH"/>
              </w:rPr>
              <w:t xml:space="preserve"> mondial</w:t>
            </w:r>
            <w:r w:rsidRPr="007C4E01">
              <w:rPr>
                <w:lang w:val="fr-CH"/>
              </w:rPr>
              <w:t xml:space="preserve">, résilience, considérations ressortissant </w:t>
            </w:r>
            <w:r w:rsidR="00482FC6" w:rsidRPr="007C4E01">
              <w:rPr>
                <w:lang w:val="fr-CH"/>
              </w:rPr>
              <w:t xml:space="preserve">au concept </w:t>
            </w:r>
            <w:r w:rsidRPr="007C4E01">
              <w:rPr>
                <w:lang w:val="fr-CH"/>
              </w:rPr>
              <w:t>d’économie verte, Convention des Nations Unies sur la diversité biologique</w:t>
            </w:r>
          </w:p>
        </w:tc>
      </w:tr>
      <w:tr w:rsidR="00E27101" w:rsidRPr="007C4E01" w:rsidTr="00614F51">
        <w:tc>
          <w:tcPr>
            <w:tcW w:w="63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40"/>
              <w:rPr>
                <w:b/>
                <w:lang w:val="fr-CH"/>
              </w:rPr>
            </w:pPr>
            <w:r w:rsidRPr="007C4E01">
              <w:rPr>
                <w:b/>
                <w:lang w:val="fr-CH"/>
              </w:rPr>
              <w:t>13</w:t>
            </w:r>
          </w:p>
        </w:tc>
        <w:tc>
          <w:tcPr>
            <w:tcW w:w="4680" w:type="dxa"/>
            <w:shd w:val="clear" w:color="auto" w:fill="auto"/>
          </w:tcPr>
          <w:p w:rsidR="00E27101" w:rsidRPr="007C4E01" w:rsidRDefault="00E27101" w:rsidP="00614F51">
            <w:pPr>
              <w:tabs>
                <w:tab w:val="left" w:pos="288"/>
                <w:tab w:val="left" w:pos="576"/>
                <w:tab w:val="left" w:pos="864"/>
                <w:tab w:val="left" w:pos="1152"/>
              </w:tabs>
              <w:suppressAutoHyphens/>
              <w:spacing w:before="40" w:after="80"/>
              <w:ind w:right="397"/>
              <w:rPr>
                <w:lang w:val="fr-CH"/>
              </w:rPr>
            </w:pPr>
            <w:r w:rsidRPr="007C4E01">
              <w:rPr>
                <w:lang w:val="fr-CH"/>
              </w:rPr>
              <w:t>Émissions de PM10 (sources totales, fixes et mobiles)</w:t>
            </w:r>
          </w:p>
        </w:tc>
        <w:tc>
          <w:tcPr>
            <w:tcW w:w="4734" w:type="dxa"/>
            <w:shd w:val="clear" w:color="auto" w:fill="auto"/>
          </w:tcPr>
          <w:p w:rsidR="00E27101" w:rsidRPr="007C4E01" w:rsidRDefault="00E27101" w:rsidP="00482FC6">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w:t>
            </w:r>
            <w:r w:rsidR="00482FC6" w:rsidRPr="007C4E01">
              <w:rPr>
                <w:lang w:val="fr-CH"/>
              </w:rPr>
              <w:t>en vertu</w:t>
            </w:r>
            <w:r w:rsidRPr="007C4E01">
              <w:rPr>
                <w:lang w:val="fr-CH"/>
              </w:rPr>
              <w:t xml:space="preserve"> de la Convention CPATLD</w:t>
            </w:r>
            <w:r w:rsidR="00482FC6" w:rsidRPr="007C4E01">
              <w:rPr>
                <w:i/>
                <w:vertAlign w:val="superscript"/>
                <w:lang w:val="fr-CH"/>
              </w:rPr>
              <w:t>a</w:t>
            </w:r>
            <w:r w:rsidRPr="007C4E01">
              <w:rPr>
                <w:lang w:val="fr-CH"/>
              </w:rPr>
              <w:t xml:space="preserve"> de la CEE, Protocole PRDTP</w:t>
            </w:r>
            <w:r w:rsidRPr="007C4E01">
              <w:rPr>
                <w:i/>
                <w:vertAlign w:val="superscript"/>
                <w:lang w:val="fr-CH"/>
              </w:rPr>
              <w:t>b</w:t>
            </w:r>
            <w:r w:rsidRPr="007C4E01">
              <w:rPr>
                <w:lang w:val="fr-CH"/>
              </w:rPr>
              <w:t>,</w:t>
            </w:r>
            <w:r w:rsidRPr="007C4E01">
              <w:rPr>
                <w:vertAlign w:val="superscript"/>
                <w:lang w:val="fr-CH"/>
              </w:rPr>
              <w:t xml:space="preserve"> </w:t>
            </w:r>
            <w:r w:rsidRPr="007C4E01">
              <w:rPr>
                <w:lang w:val="fr-CH"/>
              </w:rPr>
              <w:t>collecte de données en vertu du Protocole de Montréal</w:t>
            </w:r>
            <w:r w:rsidRPr="007C4E01">
              <w:rPr>
                <w:i/>
                <w:vertAlign w:val="superscript"/>
                <w:lang w:val="fr-CH"/>
              </w:rPr>
              <w:t>d</w:t>
            </w:r>
            <w:r w:rsidRPr="007C4E01">
              <w:rPr>
                <w:vertAlign w:val="superscript"/>
                <w:lang w:val="fr-CH"/>
              </w:rPr>
              <w:t xml:space="preserve"> </w:t>
            </w:r>
            <w:r w:rsidRPr="007C4E01">
              <w:rPr>
                <w:lang w:val="fr-CH"/>
              </w:rPr>
              <w:t>(Protocole se rapportant à la Convention de Vienne</w:t>
            </w:r>
            <w:r w:rsidRPr="007C4E01">
              <w:rPr>
                <w:i/>
                <w:vertAlign w:val="superscript"/>
                <w:lang w:val="fr-CH"/>
              </w:rPr>
              <w:t>e</w:t>
            </w:r>
            <w:r w:rsidRPr="007C4E01">
              <w:rPr>
                <w:lang w:val="fr-CH"/>
              </w:rPr>
              <w:t>)</w:t>
            </w:r>
          </w:p>
        </w:tc>
      </w:tr>
      <w:tr w:rsidR="00614F51" w:rsidRPr="007C4E01" w:rsidTr="00614F51">
        <w:tc>
          <w:tcPr>
            <w:tcW w:w="630"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40"/>
              <w:rPr>
                <w:b/>
                <w:lang w:val="fr-CH"/>
              </w:rPr>
            </w:pPr>
            <w:r w:rsidRPr="007C4E01">
              <w:rPr>
                <w:b/>
                <w:lang w:val="fr-CH"/>
              </w:rPr>
              <w:t>15</w:t>
            </w:r>
          </w:p>
        </w:tc>
        <w:tc>
          <w:tcPr>
            <w:tcW w:w="4680" w:type="dxa"/>
            <w:shd w:val="clear" w:color="auto" w:fill="auto"/>
          </w:tcPr>
          <w:p w:rsidR="00614F51" w:rsidRPr="007C4E01" w:rsidRDefault="00614F51" w:rsidP="00E424EF">
            <w:pPr>
              <w:tabs>
                <w:tab w:val="left" w:pos="288"/>
                <w:tab w:val="left" w:pos="576"/>
                <w:tab w:val="left" w:pos="864"/>
                <w:tab w:val="left" w:pos="1152"/>
              </w:tabs>
              <w:suppressAutoHyphens/>
              <w:spacing w:before="40" w:after="80"/>
              <w:ind w:right="397"/>
              <w:rPr>
                <w:lang w:val="fr-CH"/>
              </w:rPr>
            </w:pPr>
            <w:r w:rsidRPr="007C4E01">
              <w:rPr>
                <w:lang w:val="fr-CH"/>
              </w:rPr>
              <w:t xml:space="preserve">Concentration </w:t>
            </w:r>
            <w:r w:rsidR="00E424EF" w:rsidRPr="007C4E01">
              <w:rPr>
                <w:lang w:val="fr-CH"/>
              </w:rPr>
              <w:t xml:space="preserve">moyenne </w:t>
            </w:r>
            <w:r w:rsidRPr="007C4E01">
              <w:rPr>
                <w:lang w:val="fr-CH"/>
              </w:rPr>
              <w:t>annuelle de dioxyde de soufre</w:t>
            </w:r>
          </w:p>
        </w:tc>
        <w:tc>
          <w:tcPr>
            <w:tcW w:w="4734" w:type="dxa"/>
            <w:shd w:val="clear" w:color="auto" w:fill="auto"/>
          </w:tcPr>
          <w:p w:rsidR="00614F51" w:rsidRPr="007C4E01" w:rsidRDefault="00614F51" w:rsidP="00E424EF">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collecte de données en vertu de la </w:t>
            </w:r>
            <w:r w:rsidR="00E424EF" w:rsidRPr="007C4E01">
              <w:rPr>
                <w:lang w:val="fr-CH"/>
              </w:rPr>
              <w:t xml:space="preserve">Convention </w:t>
            </w:r>
            <w:r w:rsidRPr="007C4E01">
              <w:rPr>
                <w:lang w:val="fr-CH"/>
              </w:rPr>
              <w:t>CPATLD</w:t>
            </w:r>
            <w:r w:rsidRPr="007C4E01">
              <w:rPr>
                <w:i/>
                <w:vertAlign w:val="superscript"/>
                <w:lang w:val="fr-CH"/>
              </w:rPr>
              <w:t>a</w:t>
            </w:r>
            <w:r w:rsidRPr="007C4E01">
              <w:rPr>
                <w:lang w:val="fr-CH"/>
              </w:rPr>
              <w:t xml:space="preserve">, considérations </w:t>
            </w:r>
            <w:r w:rsidR="00E424EF" w:rsidRPr="007C4E01">
              <w:rPr>
                <w:lang w:val="fr-CH"/>
              </w:rPr>
              <w:t xml:space="preserve">touchant la </w:t>
            </w:r>
            <w:r w:rsidRPr="007C4E01">
              <w:rPr>
                <w:lang w:val="fr-CH"/>
              </w:rPr>
              <w:t xml:space="preserve">santé et </w:t>
            </w:r>
            <w:r w:rsidR="00E424EF" w:rsidRPr="007C4E01">
              <w:rPr>
                <w:lang w:val="fr-CH"/>
              </w:rPr>
              <w:t>le</w:t>
            </w:r>
            <w:r w:rsidRPr="007C4E01">
              <w:rPr>
                <w:lang w:val="fr-CH"/>
              </w:rPr>
              <w:t xml:space="preserve"> bien-être </w:t>
            </w:r>
            <w:r w:rsidR="00E424EF" w:rsidRPr="007C4E01">
              <w:rPr>
                <w:lang w:val="fr-CH"/>
              </w:rPr>
              <w:t>dans le concept</w:t>
            </w:r>
            <w:r w:rsidRPr="007C4E01">
              <w:rPr>
                <w:lang w:val="fr-CH"/>
              </w:rPr>
              <w:t xml:space="preserve"> d’économie verte, collecte de données en vertu du Protocole de Montréal</w:t>
            </w:r>
            <w:r w:rsidRPr="007C4E01">
              <w:rPr>
                <w:i/>
                <w:vertAlign w:val="superscript"/>
                <w:lang w:val="fr-CH"/>
              </w:rPr>
              <w:t xml:space="preserve">d </w:t>
            </w:r>
            <w:r w:rsidRPr="007C4E01">
              <w:rPr>
                <w:lang w:val="fr-CH"/>
              </w:rPr>
              <w:t>(Protocole relatif à la Convention de Vienne</w:t>
            </w:r>
            <w:r w:rsidRPr="007C4E01">
              <w:rPr>
                <w:i/>
                <w:vertAlign w:val="superscript"/>
                <w:lang w:val="fr-CH"/>
              </w:rPr>
              <w:t>e</w:t>
            </w:r>
            <w:r w:rsidRPr="007C4E01">
              <w:rPr>
                <w:lang w:val="fr-CH"/>
              </w:rPr>
              <w:t>)</w:t>
            </w:r>
          </w:p>
        </w:tc>
      </w:tr>
      <w:tr w:rsidR="00614F51" w:rsidRPr="007C4E01" w:rsidTr="00614F51">
        <w:tc>
          <w:tcPr>
            <w:tcW w:w="630" w:type="dxa"/>
            <w:shd w:val="clear" w:color="auto" w:fill="auto"/>
          </w:tcPr>
          <w:p w:rsidR="00614F51" w:rsidRPr="007C4E01" w:rsidRDefault="00614F51" w:rsidP="00E424EF">
            <w:pPr>
              <w:keepNext/>
              <w:keepLines/>
              <w:tabs>
                <w:tab w:val="left" w:pos="288"/>
                <w:tab w:val="left" w:pos="576"/>
                <w:tab w:val="left" w:pos="864"/>
                <w:tab w:val="left" w:pos="1152"/>
              </w:tabs>
              <w:suppressAutoHyphens/>
              <w:spacing w:before="40" w:after="80"/>
              <w:ind w:right="40"/>
              <w:rPr>
                <w:b/>
                <w:lang w:val="fr-CH"/>
              </w:rPr>
            </w:pPr>
            <w:r w:rsidRPr="007C4E01">
              <w:rPr>
                <w:b/>
                <w:lang w:val="fr-CH"/>
              </w:rPr>
              <w:t>57</w:t>
            </w:r>
          </w:p>
        </w:tc>
        <w:tc>
          <w:tcPr>
            <w:tcW w:w="4680" w:type="dxa"/>
            <w:shd w:val="clear" w:color="auto" w:fill="auto"/>
          </w:tcPr>
          <w:p w:rsidR="00614F51" w:rsidRPr="007C4E01" w:rsidRDefault="00614F51" w:rsidP="0002090C">
            <w:pPr>
              <w:keepNext/>
              <w:keepLines/>
              <w:tabs>
                <w:tab w:val="left" w:pos="288"/>
                <w:tab w:val="left" w:pos="576"/>
                <w:tab w:val="left" w:pos="864"/>
                <w:tab w:val="left" w:pos="1152"/>
              </w:tabs>
              <w:suppressAutoHyphens/>
              <w:spacing w:before="40" w:after="80"/>
              <w:ind w:right="397"/>
              <w:rPr>
                <w:lang w:val="fr-CH"/>
              </w:rPr>
            </w:pPr>
            <w:r w:rsidRPr="007C4E01">
              <w:rPr>
                <w:lang w:val="fr-CH"/>
              </w:rPr>
              <w:t>Consommation finale d’énergie par catégorie (industrie, transport, ménages, services commerciaux et services publics, agriculture, foresterie et pêche, utilisation non spécifici</w:t>
            </w:r>
            <w:r w:rsidR="0002090C" w:rsidRPr="007C4E01">
              <w:rPr>
                <w:lang w:val="fr-CH"/>
              </w:rPr>
              <w:t>ée</w:t>
            </w:r>
            <w:r w:rsidRPr="007C4E01">
              <w:rPr>
                <w:lang w:val="fr-CH"/>
              </w:rPr>
              <w:t>, utilisation non énergétique)</w:t>
            </w:r>
          </w:p>
        </w:tc>
        <w:tc>
          <w:tcPr>
            <w:tcW w:w="4734" w:type="dxa"/>
            <w:shd w:val="clear" w:color="auto" w:fill="auto"/>
          </w:tcPr>
          <w:p w:rsidR="00614F51" w:rsidRPr="007C4E01" w:rsidRDefault="00614F51" w:rsidP="0002090C">
            <w:pPr>
              <w:keepNext/>
              <w:keepLines/>
              <w:tabs>
                <w:tab w:val="left" w:pos="288"/>
                <w:tab w:val="left" w:pos="576"/>
                <w:tab w:val="left" w:pos="864"/>
                <w:tab w:val="left" w:pos="1152"/>
              </w:tabs>
              <w:suppressAutoHyphens/>
              <w:spacing w:before="40" w:after="80"/>
              <w:ind w:right="397"/>
              <w:rPr>
                <w:lang w:val="fr-CH"/>
              </w:rPr>
            </w:pPr>
            <w:r w:rsidRPr="007C4E01">
              <w:rPr>
                <w:lang w:val="fr-CH"/>
              </w:rPr>
              <w:t xml:space="preserve">Efficacité au regard de l’objectif environnemental mondial, considérations ressortissant </w:t>
            </w:r>
            <w:r w:rsidR="0002090C" w:rsidRPr="007C4E01">
              <w:rPr>
                <w:lang w:val="fr-CH"/>
              </w:rPr>
              <w:t>au concept</w:t>
            </w:r>
            <w:r w:rsidRPr="007C4E01">
              <w:rPr>
                <w:lang w:val="fr-CH"/>
              </w:rPr>
              <w:t xml:space="preserve"> d’économie verte, collecte de données pour le bilan énergétique de l’Agence internationale de l’énergie</w:t>
            </w:r>
          </w:p>
        </w:tc>
      </w:tr>
      <w:tr w:rsidR="00614F51" w:rsidRPr="007C4E01" w:rsidTr="00614F51">
        <w:tc>
          <w:tcPr>
            <w:tcW w:w="630"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40"/>
              <w:rPr>
                <w:b/>
                <w:lang w:val="fr-CH"/>
              </w:rPr>
            </w:pPr>
            <w:r w:rsidRPr="007C4E01">
              <w:rPr>
                <w:b/>
                <w:lang w:val="fr-CH"/>
              </w:rPr>
              <w:t>29</w:t>
            </w:r>
          </w:p>
        </w:tc>
        <w:tc>
          <w:tcPr>
            <w:tcW w:w="4680"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397"/>
              <w:rPr>
                <w:lang w:val="fr-CH"/>
              </w:rPr>
            </w:pPr>
            <w:r w:rsidRPr="007C4E01">
              <w:rPr>
                <w:lang w:val="fr-CH"/>
              </w:rPr>
              <w:t>Émissions globales de GES par source : énergie, processus industriel</w:t>
            </w:r>
            <w:r w:rsidR="0002090C" w:rsidRPr="007C4E01">
              <w:rPr>
                <w:lang w:val="fr-CH"/>
              </w:rPr>
              <w:t>s</w:t>
            </w:r>
            <w:r w:rsidRPr="007C4E01">
              <w:rPr>
                <w:lang w:val="fr-CH"/>
              </w:rPr>
              <w:t>, solvant</w:t>
            </w:r>
            <w:r w:rsidR="0002090C" w:rsidRPr="007C4E01">
              <w:rPr>
                <w:lang w:val="fr-CH"/>
              </w:rPr>
              <w:t>s</w:t>
            </w:r>
            <w:r w:rsidRPr="007C4E01">
              <w:rPr>
                <w:lang w:val="fr-CH"/>
              </w:rPr>
              <w:t xml:space="preserve"> et autre</w:t>
            </w:r>
            <w:r w:rsidR="0002090C" w:rsidRPr="007C4E01">
              <w:rPr>
                <w:lang w:val="fr-CH"/>
              </w:rPr>
              <w:t>s</w:t>
            </w:r>
            <w:r w:rsidRPr="007C4E01">
              <w:rPr>
                <w:lang w:val="fr-CH"/>
              </w:rPr>
              <w:t xml:space="preserve"> produit</w:t>
            </w:r>
            <w:r w:rsidR="0002090C" w:rsidRPr="007C4E01">
              <w:rPr>
                <w:lang w:val="fr-CH"/>
              </w:rPr>
              <w:t>s</w:t>
            </w:r>
            <w:r w:rsidRPr="007C4E01">
              <w:rPr>
                <w:lang w:val="fr-CH"/>
              </w:rPr>
              <w:t>, agriculture, utilisation des terres et foresterie, déchets</w:t>
            </w:r>
          </w:p>
        </w:tc>
        <w:tc>
          <w:tcPr>
            <w:tcW w:w="4734" w:type="dxa"/>
            <w:shd w:val="clear" w:color="auto" w:fill="auto"/>
          </w:tcPr>
          <w:p w:rsidR="00614F51" w:rsidRPr="007C4E01" w:rsidRDefault="00614F51" w:rsidP="001F300D">
            <w:pPr>
              <w:tabs>
                <w:tab w:val="left" w:pos="288"/>
                <w:tab w:val="left" w:pos="576"/>
                <w:tab w:val="left" w:pos="864"/>
                <w:tab w:val="left" w:pos="1152"/>
              </w:tabs>
              <w:suppressAutoHyphens/>
              <w:spacing w:before="40" w:after="80"/>
              <w:ind w:right="397"/>
              <w:rPr>
                <w:lang w:val="fr-CH"/>
              </w:rPr>
            </w:pPr>
            <w:r w:rsidRPr="007C4E01">
              <w:rPr>
                <w:lang w:val="fr-CH"/>
              </w:rPr>
              <w:t>Priorité paneuropéenne, collecte de données relati</w:t>
            </w:r>
            <w:r w:rsidR="001F300D" w:rsidRPr="007C4E01">
              <w:rPr>
                <w:lang w:val="fr-CH"/>
              </w:rPr>
              <w:t>ves</w:t>
            </w:r>
            <w:r w:rsidRPr="007C4E01">
              <w:rPr>
                <w:lang w:val="fr-CH"/>
              </w:rPr>
              <w:t xml:space="preserve"> aux objectifs environnementaux mondiaux en vertu de la </w:t>
            </w:r>
            <w:r w:rsidR="001F300D" w:rsidRPr="007C4E01">
              <w:rPr>
                <w:lang w:val="fr-CH"/>
              </w:rPr>
              <w:t>Convention CCNUCC</w:t>
            </w:r>
          </w:p>
        </w:tc>
      </w:tr>
      <w:tr w:rsidR="00614F51" w:rsidRPr="007C4E01" w:rsidTr="00614F51">
        <w:tc>
          <w:tcPr>
            <w:tcW w:w="630"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40"/>
              <w:rPr>
                <w:b/>
                <w:lang w:val="fr-CH"/>
              </w:rPr>
            </w:pPr>
            <w:r w:rsidRPr="007C4E01">
              <w:rPr>
                <w:b/>
                <w:lang w:val="fr-CH"/>
              </w:rPr>
              <w:t>26</w:t>
            </w:r>
          </w:p>
        </w:tc>
        <w:tc>
          <w:tcPr>
            <w:tcW w:w="4680"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397"/>
              <w:rPr>
                <w:lang w:val="fr-CH"/>
              </w:rPr>
            </w:pPr>
            <w:r w:rsidRPr="007C4E01">
              <w:rPr>
                <w:lang w:val="fr-CH"/>
              </w:rPr>
              <w:t>Écart annuel moyen par rapport à la température moyenne à long terme</w:t>
            </w:r>
          </w:p>
        </w:tc>
        <w:tc>
          <w:tcPr>
            <w:tcW w:w="4734" w:type="dxa"/>
            <w:shd w:val="clear" w:color="auto" w:fill="auto"/>
          </w:tcPr>
          <w:p w:rsidR="00614F51" w:rsidRPr="007C4E01" w:rsidRDefault="00614F51" w:rsidP="004A325F">
            <w:pPr>
              <w:tabs>
                <w:tab w:val="left" w:pos="288"/>
                <w:tab w:val="left" w:pos="576"/>
                <w:tab w:val="left" w:pos="864"/>
                <w:tab w:val="left" w:pos="1152"/>
              </w:tabs>
              <w:suppressAutoHyphens/>
              <w:spacing w:before="40" w:after="80"/>
              <w:ind w:right="397"/>
              <w:rPr>
                <w:lang w:val="fr-CH"/>
              </w:rPr>
            </w:pPr>
            <w:r w:rsidRPr="007C4E01">
              <w:rPr>
                <w:lang w:val="fr-CH"/>
              </w:rPr>
              <w:t>Priorité paneuropéenne, objectif environnemental mondial, collecte de données relati</w:t>
            </w:r>
            <w:r w:rsidR="004A325F" w:rsidRPr="007C4E01">
              <w:rPr>
                <w:lang w:val="fr-CH"/>
              </w:rPr>
              <w:t>ves</w:t>
            </w:r>
            <w:r w:rsidRPr="007C4E01">
              <w:rPr>
                <w:lang w:val="fr-CH"/>
              </w:rPr>
              <w:t xml:space="preserve"> aux objectifs environnementaux mondiaux en vertu de la </w:t>
            </w:r>
            <w:r w:rsidR="00CE381E" w:rsidRPr="007C4E01">
              <w:rPr>
                <w:lang w:val="fr-CH"/>
              </w:rPr>
              <w:t xml:space="preserve">Convention </w:t>
            </w:r>
            <w:r w:rsidRPr="007C4E01">
              <w:rPr>
                <w:lang w:val="fr-CH"/>
              </w:rPr>
              <w:t>FCCC</w:t>
            </w:r>
          </w:p>
        </w:tc>
      </w:tr>
      <w:tr w:rsidR="00614F51" w:rsidRPr="007C4E01" w:rsidTr="00614F51">
        <w:tc>
          <w:tcPr>
            <w:tcW w:w="630"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40"/>
              <w:rPr>
                <w:b/>
                <w:lang w:val="fr-CH"/>
              </w:rPr>
            </w:pPr>
            <w:r w:rsidRPr="007C4E01">
              <w:rPr>
                <w:b/>
                <w:lang w:val="fr-CH"/>
              </w:rPr>
              <w:t>62</w:t>
            </w:r>
          </w:p>
        </w:tc>
        <w:tc>
          <w:tcPr>
            <w:tcW w:w="4680" w:type="dxa"/>
            <w:shd w:val="clear" w:color="auto" w:fill="auto"/>
          </w:tcPr>
          <w:p w:rsidR="00614F51" w:rsidRPr="007C4E01" w:rsidRDefault="00614F51" w:rsidP="00CE381E">
            <w:pPr>
              <w:tabs>
                <w:tab w:val="left" w:pos="288"/>
                <w:tab w:val="left" w:pos="576"/>
                <w:tab w:val="left" w:pos="864"/>
                <w:tab w:val="left" w:pos="1152"/>
              </w:tabs>
              <w:suppressAutoHyphens/>
              <w:spacing w:before="40" w:after="80"/>
              <w:ind w:right="397"/>
              <w:rPr>
                <w:lang w:val="fr-CH"/>
              </w:rPr>
            </w:pPr>
            <w:r w:rsidRPr="007C4E01">
              <w:rPr>
                <w:lang w:val="fr-CH"/>
              </w:rPr>
              <w:t>Production et transfert</w:t>
            </w:r>
            <w:r w:rsidR="00CE381E" w:rsidRPr="007C4E01">
              <w:rPr>
                <w:lang w:val="fr-CH"/>
              </w:rPr>
              <w:t>s</w:t>
            </w:r>
            <w:r w:rsidRPr="007C4E01">
              <w:rPr>
                <w:lang w:val="fr-CH"/>
              </w:rPr>
              <w:t xml:space="preserve"> de déchets dangereux</w:t>
            </w:r>
          </w:p>
        </w:tc>
        <w:tc>
          <w:tcPr>
            <w:tcW w:w="4734"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397"/>
              <w:rPr>
                <w:lang w:val="fr-CH"/>
              </w:rPr>
            </w:pPr>
            <w:r w:rsidRPr="007C4E01">
              <w:rPr>
                <w:lang w:val="fr-CH"/>
              </w:rPr>
              <w:t>Priorité paneuropéenne (produits chimiques et déchets), objectif environnemental mondial, collecte de données en vertu du Protocole PRDTP</w:t>
            </w:r>
            <w:r w:rsidRPr="007C4E01">
              <w:rPr>
                <w:i/>
                <w:vertAlign w:val="superscript"/>
                <w:lang w:val="fr-CH"/>
              </w:rPr>
              <w:t>b</w:t>
            </w:r>
            <w:r w:rsidRPr="007C4E01">
              <w:rPr>
                <w:lang w:val="fr-CH"/>
              </w:rPr>
              <w:t>, et de la Convention de Bâle</w:t>
            </w:r>
            <w:r w:rsidRPr="007C4E01">
              <w:rPr>
                <w:vertAlign w:val="superscript"/>
                <w:lang w:val="fr-CH"/>
              </w:rPr>
              <w:t>c</w:t>
            </w:r>
          </w:p>
        </w:tc>
      </w:tr>
      <w:tr w:rsidR="00614F51" w:rsidRPr="007C4E01" w:rsidTr="008D3539">
        <w:tc>
          <w:tcPr>
            <w:tcW w:w="630"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40"/>
              <w:rPr>
                <w:b/>
                <w:lang w:val="fr-CH"/>
              </w:rPr>
            </w:pPr>
            <w:r w:rsidRPr="007C4E01">
              <w:rPr>
                <w:b/>
                <w:lang w:val="fr-CH"/>
              </w:rPr>
              <w:t>18</w:t>
            </w:r>
          </w:p>
        </w:tc>
        <w:tc>
          <w:tcPr>
            <w:tcW w:w="4680" w:type="dxa"/>
            <w:shd w:val="clear" w:color="auto" w:fill="auto"/>
          </w:tcPr>
          <w:p w:rsidR="00614F51" w:rsidRPr="007C4E01" w:rsidRDefault="00614F51" w:rsidP="00CE381E">
            <w:pPr>
              <w:tabs>
                <w:tab w:val="left" w:pos="288"/>
                <w:tab w:val="left" w:pos="576"/>
                <w:tab w:val="left" w:pos="864"/>
                <w:tab w:val="left" w:pos="1152"/>
              </w:tabs>
              <w:suppressAutoHyphens/>
              <w:spacing w:before="40" w:after="80"/>
              <w:ind w:right="397"/>
              <w:rPr>
                <w:lang w:val="fr-CH"/>
              </w:rPr>
            </w:pPr>
            <w:r w:rsidRPr="007C4E01">
              <w:rPr>
                <w:lang w:val="fr-CH"/>
              </w:rPr>
              <w:t xml:space="preserve">Concentration </w:t>
            </w:r>
            <w:r w:rsidR="00CE381E" w:rsidRPr="007C4E01">
              <w:rPr>
                <w:lang w:val="fr-CH"/>
              </w:rPr>
              <w:t xml:space="preserve">moyenne </w:t>
            </w:r>
            <w:r w:rsidRPr="007C4E01">
              <w:rPr>
                <w:lang w:val="fr-CH"/>
              </w:rPr>
              <w:t xml:space="preserve">annuelle de </w:t>
            </w:r>
            <w:r w:rsidR="00CE381E" w:rsidRPr="007C4E01">
              <w:rPr>
                <w:lang w:val="fr-CH"/>
              </w:rPr>
              <w:t>particules</w:t>
            </w:r>
          </w:p>
        </w:tc>
        <w:tc>
          <w:tcPr>
            <w:tcW w:w="4734" w:type="dxa"/>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397"/>
              <w:rPr>
                <w:lang w:val="fr-CH"/>
              </w:rPr>
            </w:pPr>
            <w:r w:rsidRPr="007C4E01">
              <w:rPr>
                <w:lang w:val="fr-CH"/>
              </w:rPr>
              <w:t>Priorité paneuropéenne, objectif environnemental mondial, collecte de données en vertu de la CPATLD</w:t>
            </w:r>
            <w:r w:rsidRPr="007C4E01">
              <w:rPr>
                <w:i/>
                <w:vertAlign w:val="superscript"/>
                <w:lang w:val="fr-CH"/>
              </w:rPr>
              <w:t>a</w:t>
            </w:r>
            <w:r w:rsidR="00163155" w:rsidRPr="007C4E01">
              <w:rPr>
                <w:i/>
                <w:vertAlign w:val="superscript"/>
                <w:lang w:val="fr-CH"/>
              </w:rPr>
              <w:t xml:space="preserve"> </w:t>
            </w:r>
            <w:r w:rsidR="00163155" w:rsidRPr="007C4E01">
              <w:rPr>
                <w:lang w:val="fr-CH"/>
              </w:rPr>
              <w:t>de la CEE</w:t>
            </w:r>
            <w:r w:rsidRPr="007C4E01">
              <w:rPr>
                <w:lang w:val="fr-CH"/>
              </w:rPr>
              <w:t>, collecte de données en vertu du Protocole de Montréal</w:t>
            </w:r>
            <w:r w:rsidRPr="007C4E01">
              <w:rPr>
                <w:i/>
                <w:vertAlign w:val="superscript"/>
                <w:lang w:val="fr-CH"/>
              </w:rPr>
              <w:t>d</w:t>
            </w:r>
            <w:r w:rsidRPr="007C4E01">
              <w:rPr>
                <w:vertAlign w:val="superscript"/>
                <w:lang w:val="fr-CH"/>
              </w:rPr>
              <w:t xml:space="preserve"> </w:t>
            </w:r>
            <w:r w:rsidRPr="007C4E01">
              <w:rPr>
                <w:lang w:val="fr-CH"/>
              </w:rPr>
              <w:t>(Protocole relatif à la Convention de Vienne</w:t>
            </w:r>
            <w:r w:rsidRPr="007C4E01">
              <w:rPr>
                <w:i/>
                <w:vertAlign w:val="superscript"/>
                <w:lang w:val="fr-CH"/>
              </w:rPr>
              <w:t>e</w:t>
            </w:r>
            <w:r w:rsidRPr="007C4E01">
              <w:rPr>
                <w:lang w:val="fr-CH"/>
              </w:rPr>
              <w:t>)</w:t>
            </w:r>
          </w:p>
        </w:tc>
      </w:tr>
      <w:tr w:rsidR="00614F51" w:rsidRPr="007C4E01" w:rsidTr="008D3539">
        <w:tc>
          <w:tcPr>
            <w:tcW w:w="630" w:type="dxa"/>
            <w:tcBorders>
              <w:bottom w:val="single" w:sz="12" w:space="0" w:color="auto"/>
            </w:tcBorders>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40"/>
              <w:rPr>
                <w:b/>
                <w:lang w:val="fr-CH"/>
              </w:rPr>
            </w:pPr>
            <w:r w:rsidRPr="007C4E01">
              <w:rPr>
                <w:b/>
                <w:lang w:val="fr-CH"/>
              </w:rPr>
              <w:t>42</w:t>
            </w:r>
          </w:p>
        </w:tc>
        <w:tc>
          <w:tcPr>
            <w:tcW w:w="4680" w:type="dxa"/>
            <w:tcBorders>
              <w:bottom w:val="single" w:sz="12" w:space="0" w:color="auto"/>
            </w:tcBorders>
            <w:shd w:val="clear" w:color="auto" w:fill="auto"/>
          </w:tcPr>
          <w:p w:rsidR="00614F51" w:rsidRPr="007C4E01" w:rsidRDefault="00614F51" w:rsidP="00614F51">
            <w:pPr>
              <w:tabs>
                <w:tab w:val="left" w:pos="288"/>
                <w:tab w:val="left" w:pos="576"/>
                <w:tab w:val="left" w:pos="864"/>
                <w:tab w:val="left" w:pos="1152"/>
              </w:tabs>
              <w:suppressAutoHyphens/>
              <w:spacing w:before="40" w:after="80"/>
              <w:ind w:right="397"/>
              <w:rPr>
                <w:lang w:val="fr-CH"/>
              </w:rPr>
            </w:pPr>
            <w:r w:rsidRPr="007C4E01">
              <w:rPr>
                <w:lang w:val="fr-CH"/>
              </w:rPr>
              <w:t>Concentration moyenne de nitrates dans les principaux cours d’eau</w:t>
            </w:r>
          </w:p>
        </w:tc>
        <w:tc>
          <w:tcPr>
            <w:tcW w:w="4734" w:type="dxa"/>
            <w:tcBorders>
              <w:bottom w:val="single" w:sz="12" w:space="0" w:color="auto"/>
            </w:tcBorders>
            <w:shd w:val="clear" w:color="auto" w:fill="auto"/>
          </w:tcPr>
          <w:p w:rsidR="00614F51" w:rsidRPr="007C4E01" w:rsidRDefault="00614F51" w:rsidP="00163155">
            <w:pPr>
              <w:tabs>
                <w:tab w:val="left" w:pos="288"/>
                <w:tab w:val="left" w:pos="576"/>
                <w:tab w:val="left" w:pos="864"/>
                <w:tab w:val="left" w:pos="1152"/>
              </w:tabs>
              <w:suppressAutoHyphens/>
              <w:spacing w:before="40" w:after="80"/>
              <w:ind w:right="397"/>
              <w:rPr>
                <w:lang w:val="fr-CH"/>
              </w:rPr>
            </w:pPr>
            <w:r w:rsidRPr="007C4E01">
              <w:rPr>
                <w:lang w:val="fr-CH"/>
              </w:rPr>
              <w:t xml:space="preserve">Priorité paneuropéenne, objectif environnemental mondial, résilience, efficacité, considérations </w:t>
            </w:r>
            <w:r w:rsidR="00163155" w:rsidRPr="007C4E01">
              <w:rPr>
                <w:lang w:val="fr-CH"/>
              </w:rPr>
              <w:t xml:space="preserve">touchant </w:t>
            </w:r>
            <w:r w:rsidRPr="007C4E01">
              <w:rPr>
                <w:lang w:val="fr-CH"/>
              </w:rPr>
              <w:t xml:space="preserve">la santé et </w:t>
            </w:r>
            <w:r w:rsidR="00163155" w:rsidRPr="007C4E01">
              <w:rPr>
                <w:lang w:val="fr-CH"/>
              </w:rPr>
              <w:t>le</w:t>
            </w:r>
            <w:r w:rsidRPr="007C4E01">
              <w:rPr>
                <w:lang w:val="fr-CH"/>
              </w:rPr>
              <w:t xml:space="preserve"> bien-être </w:t>
            </w:r>
            <w:r w:rsidR="00163155" w:rsidRPr="007C4E01">
              <w:rPr>
                <w:lang w:val="fr-CH"/>
              </w:rPr>
              <w:t>dans le concept</w:t>
            </w:r>
            <w:r w:rsidRPr="007C4E01">
              <w:rPr>
                <w:lang w:val="fr-CH"/>
              </w:rPr>
              <w:t xml:space="preserve"> d’économie verte, collecte de données au moyen du questionnaire de la Division de statistique PNUE/ONU, collecte de données en vertu du Protocole relatif à l’eau et à la santé</w:t>
            </w:r>
            <w:r w:rsidR="00163155" w:rsidRPr="007C4E01">
              <w:rPr>
                <w:lang w:val="fr-CH"/>
              </w:rPr>
              <w:t xml:space="preserve"> de la CEE</w:t>
            </w:r>
          </w:p>
        </w:tc>
      </w:tr>
    </w:tbl>
    <w:p w:rsidR="00614F51" w:rsidRPr="007C4E01" w:rsidRDefault="00614F51" w:rsidP="00163155">
      <w:pPr>
        <w:pStyle w:val="SingleTxt"/>
        <w:spacing w:after="0" w:line="120" w:lineRule="exact"/>
        <w:rPr>
          <w:sz w:val="10"/>
          <w:lang w:val="fr-CH"/>
        </w:rPr>
      </w:pPr>
    </w:p>
    <w:p w:rsidR="00614F51" w:rsidRPr="007C4E01" w:rsidRDefault="00163155" w:rsidP="00163155">
      <w:pPr>
        <w:pStyle w:val="FootnoteText"/>
        <w:tabs>
          <w:tab w:val="right" w:pos="216"/>
          <w:tab w:val="left" w:pos="288"/>
          <w:tab w:val="right" w:pos="576"/>
          <w:tab w:val="left" w:pos="648"/>
        </w:tabs>
        <w:ind w:left="288" w:hanging="288"/>
        <w:rPr>
          <w:lang w:val="fr-CH"/>
        </w:rPr>
      </w:pPr>
      <w:r w:rsidRPr="007C4E01">
        <w:rPr>
          <w:i/>
          <w:iCs/>
          <w:vertAlign w:val="superscript"/>
          <w:lang w:val="fr-CH"/>
        </w:rPr>
        <w:tab/>
        <w:t>a</w:t>
      </w:r>
      <w:r w:rsidRPr="007C4E01">
        <w:rPr>
          <w:i/>
          <w:iCs/>
          <w:vertAlign w:val="superscript"/>
          <w:lang w:val="fr-CH"/>
        </w:rPr>
        <w:tab/>
      </w:r>
      <w:r w:rsidR="00614F51" w:rsidRPr="007C4E01">
        <w:rPr>
          <w:lang w:val="fr-CH"/>
        </w:rPr>
        <w:t>Convention sur la pollution atmosphérique transfrontière à longue distance (CPATLD).</w:t>
      </w:r>
    </w:p>
    <w:p w:rsidR="00614F51" w:rsidRPr="007C4E01" w:rsidRDefault="00163155" w:rsidP="00163155">
      <w:pPr>
        <w:pStyle w:val="FootnoteText"/>
        <w:tabs>
          <w:tab w:val="right" w:pos="216"/>
          <w:tab w:val="left" w:pos="288"/>
          <w:tab w:val="right" w:pos="576"/>
          <w:tab w:val="left" w:pos="648"/>
        </w:tabs>
        <w:ind w:left="288" w:hanging="288"/>
        <w:rPr>
          <w:lang w:val="fr-CH"/>
        </w:rPr>
      </w:pPr>
      <w:r w:rsidRPr="007C4E01">
        <w:rPr>
          <w:i/>
          <w:iCs/>
          <w:vertAlign w:val="superscript"/>
          <w:lang w:val="fr-CH"/>
        </w:rPr>
        <w:tab/>
        <w:t>b</w:t>
      </w:r>
      <w:r w:rsidRPr="007C4E01">
        <w:rPr>
          <w:i/>
          <w:iCs/>
          <w:vertAlign w:val="superscript"/>
          <w:lang w:val="fr-CH"/>
        </w:rPr>
        <w:tab/>
      </w:r>
      <w:r w:rsidR="00614F51" w:rsidRPr="007C4E01">
        <w:rPr>
          <w:lang w:val="fr-CH"/>
        </w:rPr>
        <w:t>Protocole sur les registres des</w:t>
      </w:r>
      <w:r w:rsidR="00F041C3" w:rsidRPr="007C4E01">
        <w:rPr>
          <w:lang w:val="fr-CH"/>
        </w:rPr>
        <w:t xml:space="preserve"> </w:t>
      </w:r>
      <w:r w:rsidR="00614F51" w:rsidRPr="007C4E01">
        <w:rPr>
          <w:lang w:val="fr-CH"/>
        </w:rPr>
        <w:t>rejets et transferts de polluants (PRTR).</w:t>
      </w:r>
    </w:p>
    <w:p w:rsidR="00614F51" w:rsidRPr="007C4E01" w:rsidRDefault="00163155" w:rsidP="00163155">
      <w:pPr>
        <w:pStyle w:val="FootnoteText"/>
        <w:tabs>
          <w:tab w:val="right" w:pos="216"/>
          <w:tab w:val="left" w:pos="288"/>
          <w:tab w:val="right" w:pos="576"/>
          <w:tab w:val="left" w:pos="648"/>
        </w:tabs>
        <w:ind w:left="288" w:hanging="288"/>
        <w:rPr>
          <w:lang w:val="fr-CH"/>
        </w:rPr>
      </w:pPr>
      <w:r w:rsidRPr="007C4E01">
        <w:rPr>
          <w:i/>
          <w:iCs/>
          <w:vertAlign w:val="superscript"/>
          <w:lang w:val="fr-CH"/>
        </w:rPr>
        <w:tab/>
        <w:t>c</w:t>
      </w:r>
      <w:r w:rsidRPr="007C4E01">
        <w:rPr>
          <w:i/>
          <w:iCs/>
          <w:vertAlign w:val="superscript"/>
          <w:lang w:val="fr-CH"/>
        </w:rPr>
        <w:tab/>
      </w:r>
      <w:r w:rsidR="00614F51" w:rsidRPr="007C4E01">
        <w:rPr>
          <w:lang w:val="fr-CH"/>
        </w:rPr>
        <w:t>Convention de Bâle sur le contrôle des mouvements transfrontières de déchets dangereux et de leur élimination.</w:t>
      </w:r>
    </w:p>
    <w:p w:rsidR="00614F51" w:rsidRPr="007C4E01" w:rsidRDefault="00163155" w:rsidP="00163155">
      <w:pPr>
        <w:pStyle w:val="FootnoteText"/>
        <w:tabs>
          <w:tab w:val="right" w:pos="216"/>
          <w:tab w:val="left" w:pos="288"/>
          <w:tab w:val="right" w:pos="576"/>
          <w:tab w:val="left" w:pos="648"/>
        </w:tabs>
        <w:ind w:left="288" w:hanging="288"/>
        <w:rPr>
          <w:lang w:val="fr-CH"/>
        </w:rPr>
      </w:pPr>
      <w:r w:rsidRPr="007C4E01">
        <w:rPr>
          <w:i/>
          <w:iCs/>
          <w:vertAlign w:val="superscript"/>
          <w:lang w:val="fr-CH"/>
        </w:rPr>
        <w:tab/>
        <w:t>d</w:t>
      </w:r>
      <w:r w:rsidRPr="007C4E01">
        <w:rPr>
          <w:i/>
          <w:iCs/>
          <w:vertAlign w:val="superscript"/>
          <w:lang w:val="fr-CH"/>
        </w:rPr>
        <w:tab/>
      </w:r>
      <w:r w:rsidR="00614F51" w:rsidRPr="007C4E01">
        <w:rPr>
          <w:lang w:val="fr-CH"/>
        </w:rPr>
        <w:t>Protocol</w:t>
      </w:r>
      <w:r w:rsidR="004B4D96" w:rsidRPr="007C4E01">
        <w:rPr>
          <w:lang w:val="fr-CH"/>
        </w:rPr>
        <w:t>e</w:t>
      </w:r>
      <w:r w:rsidR="00614F51" w:rsidRPr="007C4E01">
        <w:rPr>
          <w:lang w:val="fr-CH"/>
        </w:rPr>
        <w:t xml:space="preserve"> de Montréal relatif aux substances appauvrissant la couche d’ozone.</w:t>
      </w:r>
    </w:p>
    <w:p w:rsidR="00614F51" w:rsidRPr="007C4E01" w:rsidRDefault="00163155" w:rsidP="00163155">
      <w:pPr>
        <w:pStyle w:val="FootnoteText"/>
        <w:tabs>
          <w:tab w:val="right" w:pos="216"/>
          <w:tab w:val="left" w:pos="288"/>
          <w:tab w:val="right" w:pos="576"/>
          <w:tab w:val="left" w:pos="648"/>
        </w:tabs>
        <w:ind w:left="288" w:hanging="288"/>
        <w:rPr>
          <w:lang w:val="fr-CH"/>
        </w:rPr>
      </w:pPr>
      <w:r w:rsidRPr="007C4E01">
        <w:rPr>
          <w:lang w:val="fr-CH"/>
        </w:rPr>
        <w:tab/>
      </w:r>
      <w:r w:rsidRPr="007C4E01">
        <w:rPr>
          <w:i/>
          <w:iCs/>
          <w:vertAlign w:val="superscript"/>
          <w:lang w:val="fr-CH"/>
        </w:rPr>
        <w:t>e</w:t>
      </w:r>
      <w:r w:rsidRPr="007C4E01">
        <w:rPr>
          <w:lang w:val="fr-CH"/>
        </w:rPr>
        <w:tab/>
      </w:r>
      <w:r w:rsidR="00614F51" w:rsidRPr="007C4E01">
        <w:rPr>
          <w:lang w:val="fr-CH"/>
        </w:rPr>
        <w:t>Convention de Vienne pour la protection de la couche d’ozone.</w:t>
      </w:r>
    </w:p>
    <w:p w:rsidR="00614F51" w:rsidRPr="007C4E01" w:rsidRDefault="00614F51" w:rsidP="00163155">
      <w:pPr>
        <w:pStyle w:val="SingleTxt"/>
        <w:spacing w:after="0" w:line="120" w:lineRule="exact"/>
        <w:rPr>
          <w:sz w:val="10"/>
          <w:lang w:val="fr-CH"/>
        </w:rPr>
      </w:pPr>
    </w:p>
    <w:p w:rsidR="00944126" w:rsidRPr="007C4E01" w:rsidRDefault="00944126">
      <w:pPr>
        <w:spacing w:line="240" w:lineRule="auto"/>
        <w:rPr>
          <w:sz w:val="10"/>
          <w:lang w:val="fr-CH"/>
        </w:rPr>
      </w:pPr>
      <w:r w:rsidRPr="007C4E01">
        <w:rPr>
          <w:sz w:val="10"/>
          <w:lang w:val="fr-CH"/>
        </w:rPr>
        <w:br w:type="page"/>
      </w:r>
    </w:p>
    <w:p w:rsidR="00614F51" w:rsidRPr="007C4E01" w:rsidRDefault="00614F51" w:rsidP="00534C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E01">
        <w:rPr>
          <w:lang w:val="fr-CH"/>
        </w:rPr>
        <w:tab/>
        <w:t>C.</w:t>
      </w:r>
      <w:r w:rsidRPr="007C4E01">
        <w:rPr>
          <w:lang w:val="fr-CH"/>
        </w:rPr>
        <w:tab/>
        <w:t xml:space="preserve">Ensembles de données du SEIS présentant </w:t>
      </w:r>
      <w:r w:rsidR="00534CC7">
        <w:rPr>
          <w:lang w:val="fr-CH"/>
        </w:rPr>
        <w:br/>
      </w:r>
      <w:r w:rsidRPr="007C4E01">
        <w:rPr>
          <w:lang w:val="fr-CH"/>
        </w:rPr>
        <w:t>les moins bons résultats</w:t>
      </w:r>
    </w:p>
    <w:p w:rsidR="00614F51" w:rsidRPr="007C4E01" w:rsidRDefault="00614F51" w:rsidP="00614F51">
      <w:pPr>
        <w:pStyle w:val="SingleTxt"/>
        <w:spacing w:after="0" w:line="120" w:lineRule="exact"/>
        <w:rPr>
          <w:sz w:val="10"/>
          <w:lang w:val="fr-CH"/>
        </w:rPr>
      </w:pPr>
    </w:p>
    <w:p w:rsidR="00614F51" w:rsidRPr="007C4E01" w:rsidRDefault="00614F51" w:rsidP="00614F51">
      <w:pPr>
        <w:pStyle w:val="SingleTxt"/>
        <w:spacing w:after="0" w:line="120" w:lineRule="exact"/>
        <w:rPr>
          <w:sz w:val="10"/>
          <w:lang w:val="fr-CH"/>
        </w:rPr>
      </w:pPr>
    </w:p>
    <w:tbl>
      <w:tblPr>
        <w:tblW w:w="10050" w:type="dxa"/>
        <w:tblLayout w:type="fixed"/>
        <w:tblCellMar>
          <w:left w:w="0" w:type="dxa"/>
          <w:right w:w="0" w:type="dxa"/>
        </w:tblCellMar>
        <w:tblLook w:val="04A0" w:firstRow="1" w:lastRow="0" w:firstColumn="1" w:lastColumn="0" w:noHBand="0" w:noVBand="1"/>
      </w:tblPr>
      <w:tblGrid>
        <w:gridCol w:w="630"/>
        <w:gridCol w:w="4683"/>
        <w:gridCol w:w="4737"/>
      </w:tblGrid>
      <w:tr w:rsidR="00614F51" w:rsidRPr="007C4E01" w:rsidTr="00614F51">
        <w:trPr>
          <w:tblHeader/>
        </w:trPr>
        <w:tc>
          <w:tcPr>
            <w:tcW w:w="630" w:type="dxa"/>
            <w:tcBorders>
              <w:top w:val="single" w:sz="4" w:space="0" w:color="auto"/>
              <w:left w:val="nil"/>
              <w:bottom w:val="single" w:sz="12" w:space="0" w:color="auto"/>
              <w:right w:val="nil"/>
            </w:tcBorders>
            <w:vAlign w:val="bottom"/>
            <w:hideMark/>
          </w:tcPr>
          <w:p w:rsidR="00614F51" w:rsidRPr="007C4E01" w:rsidRDefault="00614F51" w:rsidP="00614F51">
            <w:pPr>
              <w:tabs>
                <w:tab w:val="left" w:pos="288"/>
                <w:tab w:val="left" w:pos="576"/>
                <w:tab w:val="left" w:pos="864"/>
                <w:tab w:val="left" w:pos="1152"/>
              </w:tabs>
              <w:suppressAutoHyphens/>
              <w:spacing w:before="80" w:after="80" w:line="160" w:lineRule="exact"/>
              <w:ind w:right="40"/>
              <w:rPr>
                <w:i/>
                <w:sz w:val="14"/>
                <w:lang w:val="fr-CH" w:eastAsia="zh-CN"/>
              </w:rPr>
            </w:pPr>
            <w:r w:rsidRPr="007C4E01">
              <w:rPr>
                <w:i/>
                <w:sz w:val="14"/>
                <w:lang w:val="fr-CH" w:eastAsia="zh-CN"/>
              </w:rPr>
              <w:t>N</w:t>
            </w:r>
            <w:r w:rsidRPr="007C4E01">
              <w:rPr>
                <w:i/>
                <w:sz w:val="14"/>
                <w:vertAlign w:val="superscript"/>
                <w:lang w:val="fr-CH" w:eastAsia="zh-CN"/>
              </w:rPr>
              <w:t xml:space="preserve">o </w:t>
            </w:r>
          </w:p>
        </w:tc>
        <w:tc>
          <w:tcPr>
            <w:tcW w:w="4683" w:type="dxa"/>
            <w:tcBorders>
              <w:top w:val="single" w:sz="4" w:space="0" w:color="auto"/>
              <w:left w:val="nil"/>
              <w:bottom w:val="single" w:sz="12" w:space="0" w:color="auto"/>
              <w:right w:val="nil"/>
            </w:tcBorders>
            <w:vAlign w:val="bottom"/>
            <w:hideMark/>
          </w:tcPr>
          <w:p w:rsidR="00614F51" w:rsidRPr="007C4E01" w:rsidRDefault="00163155" w:rsidP="00614F51">
            <w:pPr>
              <w:tabs>
                <w:tab w:val="left" w:pos="288"/>
                <w:tab w:val="left" w:pos="576"/>
                <w:tab w:val="left" w:pos="864"/>
                <w:tab w:val="left" w:pos="1152"/>
              </w:tabs>
              <w:suppressAutoHyphens/>
              <w:spacing w:before="80" w:after="80" w:line="160" w:lineRule="exact"/>
              <w:ind w:right="397"/>
              <w:rPr>
                <w:i/>
                <w:sz w:val="14"/>
                <w:lang w:val="fr-CH" w:eastAsia="zh-CN"/>
              </w:rPr>
            </w:pPr>
            <w:r w:rsidRPr="007C4E01">
              <w:rPr>
                <w:i/>
                <w:sz w:val="14"/>
                <w:lang w:val="fr-CH" w:eastAsia="zh-CN"/>
              </w:rPr>
              <w:t>Ensemble</w:t>
            </w:r>
            <w:r w:rsidR="00614F51" w:rsidRPr="007C4E01">
              <w:rPr>
                <w:i/>
                <w:sz w:val="14"/>
                <w:lang w:val="fr-CH" w:eastAsia="zh-CN"/>
              </w:rPr>
              <w:t xml:space="preserve"> de données</w:t>
            </w:r>
          </w:p>
        </w:tc>
        <w:tc>
          <w:tcPr>
            <w:tcW w:w="4737" w:type="dxa"/>
            <w:tcBorders>
              <w:top w:val="single" w:sz="4" w:space="0" w:color="auto"/>
              <w:left w:val="nil"/>
              <w:bottom w:val="single" w:sz="12" w:space="0" w:color="auto"/>
              <w:right w:val="nil"/>
            </w:tcBorders>
            <w:vAlign w:val="bottom"/>
            <w:hideMark/>
          </w:tcPr>
          <w:p w:rsidR="00614F51" w:rsidRPr="007C4E01" w:rsidRDefault="00163155" w:rsidP="00381400">
            <w:pPr>
              <w:tabs>
                <w:tab w:val="left" w:pos="288"/>
                <w:tab w:val="left" w:pos="576"/>
                <w:tab w:val="left" w:pos="864"/>
                <w:tab w:val="left" w:pos="1152"/>
              </w:tabs>
              <w:suppressAutoHyphens/>
              <w:spacing w:before="80" w:after="80" w:line="160" w:lineRule="exact"/>
              <w:ind w:right="397"/>
              <w:rPr>
                <w:i/>
                <w:sz w:val="14"/>
                <w:lang w:val="fr-CH" w:eastAsia="zh-CN"/>
              </w:rPr>
            </w:pPr>
            <w:r w:rsidRPr="007C4E01">
              <w:rPr>
                <w:i/>
                <w:sz w:val="14"/>
                <w:lang w:val="fr-CH" w:eastAsia="zh-CN"/>
              </w:rPr>
              <w:t>Motifs de collecte, de mise</w:t>
            </w:r>
            <w:r w:rsidR="00614F51" w:rsidRPr="007C4E01">
              <w:rPr>
                <w:i/>
                <w:sz w:val="14"/>
                <w:lang w:val="fr-CH" w:eastAsia="zh-CN"/>
              </w:rPr>
              <w:t xml:space="preserve"> à jour </w:t>
            </w:r>
            <w:r w:rsidR="00381400">
              <w:rPr>
                <w:i/>
                <w:sz w:val="14"/>
                <w:lang w:val="fr-CH" w:eastAsia="zh-CN"/>
              </w:rPr>
              <w:br/>
            </w:r>
            <w:r w:rsidR="00614F51" w:rsidRPr="007C4E01">
              <w:rPr>
                <w:i/>
                <w:sz w:val="14"/>
                <w:lang w:val="fr-CH" w:eastAsia="zh-CN"/>
              </w:rPr>
              <w:t>et de partage de l’ensemble de données</w:t>
            </w:r>
          </w:p>
        </w:tc>
      </w:tr>
      <w:tr w:rsidR="00614F51" w:rsidRPr="007C4E01" w:rsidTr="00614F51">
        <w:trPr>
          <w:trHeight w:hRule="exact" w:val="115"/>
          <w:tblHeader/>
        </w:trPr>
        <w:tc>
          <w:tcPr>
            <w:tcW w:w="630" w:type="dxa"/>
            <w:tcBorders>
              <w:top w:val="single" w:sz="12" w:space="0" w:color="auto"/>
              <w:left w:val="nil"/>
              <w:bottom w:val="nil"/>
              <w:right w:val="nil"/>
            </w:tcBorders>
            <w:vAlign w:val="bottom"/>
          </w:tcPr>
          <w:p w:rsidR="00614F51" w:rsidRPr="007C4E01" w:rsidRDefault="00614F51" w:rsidP="00614F51">
            <w:pPr>
              <w:tabs>
                <w:tab w:val="left" w:pos="288"/>
                <w:tab w:val="left" w:pos="576"/>
                <w:tab w:val="left" w:pos="864"/>
                <w:tab w:val="left" w:pos="1152"/>
              </w:tabs>
              <w:suppressAutoHyphens/>
              <w:spacing w:before="40" w:after="80"/>
              <w:ind w:right="40"/>
              <w:rPr>
                <w:lang w:val="fr-CH" w:eastAsia="zh-CN"/>
              </w:rPr>
            </w:pPr>
          </w:p>
        </w:tc>
        <w:tc>
          <w:tcPr>
            <w:tcW w:w="4683" w:type="dxa"/>
            <w:tcBorders>
              <w:top w:val="single" w:sz="12" w:space="0" w:color="auto"/>
              <w:left w:val="nil"/>
              <w:bottom w:val="nil"/>
              <w:right w:val="nil"/>
            </w:tcBorders>
            <w:vAlign w:val="bottom"/>
          </w:tcPr>
          <w:p w:rsidR="00614F51" w:rsidRPr="007C4E01" w:rsidRDefault="00614F51" w:rsidP="00614F51">
            <w:pPr>
              <w:tabs>
                <w:tab w:val="left" w:pos="288"/>
                <w:tab w:val="left" w:pos="576"/>
                <w:tab w:val="left" w:pos="864"/>
                <w:tab w:val="left" w:pos="1152"/>
              </w:tabs>
              <w:suppressAutoHyphens/>
              <w:spacing w:before="40" w:after="80"/>
              <w:ind w:right="397"/>
              <w:rPr>
                <w:lang w:val="fr-CH" w:eastAsia="zh-CN"/>
              </w:rPr>
            </w:pPr>
          </w:p>
        </w:tc>
        <w:tc>
          <w:tcPr>
            <w:tcW w:w="4737" w:type="dxa"/>
            <w:tcBorders>
              <w:top w:val="single" w:sz="12" w:space="0" w:color="auto"/>
              <w:left w:val="nil"/>
              <w:bottom w:val="nil"/>
              <w:right w:val="nil"/>
            </w:tcBorders>
            <w:vAlign w:val="bottom"/>
          </w:tcPr>
          <w:p w:rsidR="00614F51" w:rsidRPr="007C4E01" w:rsidRDefault="00614F51" w:rsidP="00614F51">
            <w:pPr>
              <w:tabs>
                <w:tab w:val="left" w:pos="288"/>
                <w:tab w:val="left" w:pos="576"/>
                <w:tab w:val="left" w:pos="864"/>
                <w:tab w:val="left" w:pos="1152"/>
              </w:tabs>
              <w:suppressAutoHyphens/>
              <w:spacing w:before="40" w:after="80"/>
              <w:ind w:right="397"/>
              <w:rPr>
                <w:lang w:val="fr-CH" w:eastAsia="zh-CN"/>
              </w:rPr>
            </w:pPr>
          </w:p>
        </w:tc>
      </w:tr>
      <w:tr w:rsidR="00614F51" w:rsidRPr="007C4E01" w:rsidTr="00614F51">
        <w:tc>
          <w:tcPr>
            <w:tcW w:w="630" w:type="dxa"/>
            <w:hideMark/>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55</w:t>
            </w:r>
          </w:p>
        </w:tc>
        <w:tc>
          <w:tcPr>
            <w:tcW w:w="4683" w:type="dxa"/>
            <w:hideMark/>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Prélèvement</w:t>
            </w:r>
            <w:r w:rsidR="00944126" w:rsidRPr="007C4E01">
              <w:rPr>
                <w:lang w:val="fr-CH" w:eastAsia="zh-CN"/>
              </w:rPr>
              <w:t>s</w:t>
            </w:r>
            <w:r w:rsidRPr="007C4E01">
              <w:rPr>
                <w:lang w:val="fr-CH" w:eastAsia="zh-CN"/>
              </w:rPr>
              <w:t xml:space="preserve"> de terres imputables aux exploitations de mines et de carrières, au secteur de la construction, au secteur manufacturier, aux infrastructures techniques, aux infrastructures de transport et de stockage, aux zones d’habitation, y compris de loisirs, aux décharges et aux fosses à résidu</w:t>
            </w:r>
          </w:p>
        </w:tc>
        <w:tc>
          <w:tcPr>
            <w:tcW w:w="4737" w:type="dxa"/>
            <w:hideMark/>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Priorité paneuropéenne, objectif environnemental mondial, résilience, considérations ressortissant au concept d’économie verte</w:t>
            </w:r>
          </w:p>
        </w:tc>
      </w:tr>
      <w:tr w:rsidR="00614F51" w:rsidRPr="007C4E01" w:rsidTr="00614F51">
        <w:tc>
          <w:tcPr>
            <w:tcW w:w="630" w:type="dxa"/>
            <w:hideMark/>
          </w:tcPr>
          <w:p w:rsidR="00614F51" w:rsidRPr="007C4E01" w:rsidRDefault="00614F51" w:rsidP="00C774DB">
            <w:pPr>
              <w:keepNext/>
              <w:keepLines/>
              <w:tabs>
                <w:tab w:val="left" w:pos="288"/>
                <w:tab w:val="left" w:pos="576"/>
                <w:tab w:val="left" w:pos="864"/>
                <w:tab w:val="left" w:pos="1152"/>
              </w:tabs>
              <w:suppressAutoHyphens/>
              <w:spacing w:before="40" w:after="120"/>
              <w:ind w:right="40"/>
              <w:rPr>
                <w:b/>
                <w:lang w:val="fr-CH" w:eastAsia="zh-CN"/>
              </w:rPr>
            </w:pPr>
            <w:r w:rsidRPr="007C4E01">
              <w:rPr>
                <w:b/>
                <w:lang w:val="fr-CH" w:eastAsia="zh-CN"/>
              </w:rPr>
              <w:t>9</w:t>
            </w:r>
          </w:p>
        </w:tc>
        <w:tc>
          <w:tcPr>
            <w:tcW w:w="4683" w:type="dxa"/>
            <w:hideMark/>
          </w:tcPr>
          <w:p w:rsidR="00614F51" w:rsidRPr="007C4E01" w:rsidRDefault="00614F51" w:rsidP="00C774DB">
            <w:pPr>
              <w:keepNext/>
              <w:keepLines/>
              <w:tabs>
                <w:tab w:val="left" w:pos="288"/>
                <w:tab w:val="left" w:pos="576"/>
                <w:tab w:val="left" w:pos="864"/>
                <w:tab w:val="left" w:pos="1152"/>
              </w:tabs>
              <w:suppressAutoHyphens/>
              <w:spacing w:before="40" w:after="120"/>
              <w:ind w:right="397"/>
              <w:rPr>
                <w:lang w:val="fr-CH" w:eastAsia="zh-CN"/>
              </w:rPr>
            </w:pPr>
            <w:r w:rsidRPr="007C4E01">
              <w:rPr>
                <w:lang w:val="fr-CH" w:eastAsia="zh-CN"/>
              </w:rPr>
              <w:t>Émissions d’hydrocarbures aromatiques polycycliques (HAP) (sources totales, fixes et mobiles)</w:t>
            </w:r>
          </w:p>
        </w:tc>
        <w:tc>
          <w:tcPr>
            <w:tcW w:w="4737" w:type="dxa"/>
            <w:hideMark/>
          </w:tcPr>
          <w:p w:rsidR="00614F51" w:rsidRPr="007C4E01" w:rsidRDefault="00614F51" w:rsidP="00C774DB">
            <w:pPr>
              <w:keepNext/>
              <w:keepLines/>
              <w:tabs>
                <w:tab w:val="left" w:pos="288"/>
                <w:tab w:val="left" w:pos="576"/>
                <w:tab w:val="left" w:pos="864"/>
                <w:tab w:val="left" w:pos="1152"/>
              </w:tabs>
              <w:suppressAutoHyphens/>
              <w:spacing w:before="40" w:after="120"/>
              <w:ind w:right="397"/>
              <w:rPr>
                <w:lang w:val="fr-CH" w:eastAsia="zh-CN"/>
              </w:rPr>
            </w:pPr>
            <w:r w:rsidRPr="007C4E01">
              <w:rPr>
                <w:lang w:val="fr-CH" w:eastAsia="zh-CN"/>
              </w:rPr>
              <w:t>Priorité paneuropéenne, objectif environnemental mondial, collecte de données en vertu de la Convention CPATLD</w:t>
            </w:r>
            <w:r w:rsidR="00163155" w:rsidRPr="007C4E01">
              <w:rPr>
                <w:i/>
                <w:vertAlign w:val="superscript"/>
                <w:lang w:val="fr-CH" w:eastAsia="zh-CN"/>
              </w:rPr>
              <w:t>a</w:t>
            </w:r>
            <w:r w:rsidRPr="007C4E01">
              <w:rPr>
                <w:lang w:val="fr-CH" w:eastAsia="zh-CN"/>
              </w:rPr>
              <w:t xml:space="preserve"> de la CEE, Protocole PRDTP</w:t>
            </w:r>
            <w:r w:rsidRPr="007C4E01">
              <w:rPr>
                <w:i/>
                <w:vertAlign w:val="superscript"/>
                <w:lang w:val="fr-CH" w:eastAsia="zh-CN"/>
              </w:rPr>
              <w:t>b</w:t>
            </w:r>
            <w:r w:rsidRPr="007C4E01">
              <w:rPr>
                <w:lang w:val="fr-CH" w:eastAsia="zh-CN"/>
              </w:rPr>
              <w:t>,</w:t>
            </w:r>
            <w:r w:rsidRPr="007C4E01">
              <w:rPr>
                <w:vertAlign w:val="superscript"/>
                <w:lang w:val="fr-CH" w:eastAsia="zh-CN"/>
              </w:rPr>
              <w:t xml:space="preserve"> </w:t>
            </w:r>
            <w:r w:rsidRPr="007C4E01">
              <w:rPr>
                <w:lang w:val="fr-CH" w:eastAsia="zh-CN"/>
              </w:rPr>
              <w:t>considérations touchant la santé et le bien-être dans le concept d’économie verte, collecte de données en vertu du Protocole de Montréal</w:t>
            </w:r>
          </w:p>
        </w:tc>
      </w:tr>
      <w:tr w:rsidR="00614F51" w:rsidRPr="007C4E01" w:rsidTr="00614F51">
        <w:tc>
          <w:tcPr>
            <w:tcW w:w="630" w:type="dxa"/>
            <w:hideMark/>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32</w:t>
            </w:r>
          </w:p>
        </w:tc>
        <w:tc>
          <w:tcPr>
            <w:tcW w:w="4683" w:type="dxa"/>
            <w:hideMark/>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Prélèvements d’eau douce par les entreprises de distribution d’eau, les ménages, les secteurs de l’agriculture, de la foresterie et de la pêche, le secteur manufacturier, le secteur de l’électricité, d’autres activités économiques</w:t>
            </w:r>
          </w:p>
        </w:tc>
        <w:tc>
          <w:tcPr>
            <w:tcW w:w="4737" w:type="dxa"/>
            <w:hideMark/>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Priorité paneuropéenne, objectif environnemental mondial, résilience, efficacité, considérations touchant la santé et le bien-être dans le concept d’économie verte, collecte de données au moyen du questionnaire de la Division de statistique PNUE/</w:t>
            </w:r>
            <w:r w:rsidR="006C14F1">
              <w:rPr>
                <w:lang w:val="fr-CH" w:eastAsia="zh-CN"/>
              </w:rPr>
              <w:t>O</w:t>
            </w:r>
            <w:r w:rsidRPr="007C4E01">
              <w:rPr>
                <w:lang w:val="fr-CH" w:eastAsia="zh-CN"/>
              </w:rPr>
              <w:t>NU, collecte d données en vertu du Protocole sur l’eau et la santé</w:t>
            </w:r>
          </w:p>
        </w:tc>
      </w:tr>
      <w:tr w:rsidR="00614F51" w:rsidRPr="007C4E01" w:rsidTr="00614F51">
        <w:tc>
          <w:tcPr>
            <w:tcW w:w="630" w:type="dxa"/>
            <w:hideMark/>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64</w:t>
            </w:r>
          </w:p>
        </w:tc>
        <w:tc>
          <w:tcPr>
            <w:tcW w:w="4683" w:type="dxa"/>
            <w:hideMark/>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Déchets dangereux exportés</w:t>
            </w:r>
          </w:p>
        </w:tc>
        <w:tc>
          <w:tcPr>
            <w:tcW w:w="4737" w:type="dxa"/>
            <w:hideMark/>
          </w:tcPr>
          <w:p w:rsidR="00614F51" w:rsidRPr="007C4E01" w:rsidRDefault="00614F51" w:rsidP="00C774DB">
            <w:pPr>
              <w:tabs>
                <w:tab w:val="left" w:pos="288"/>
                <w:tab w:val="left" w:pos="576"/>
                <w:tab w:val="left" w:pos="864"/>
                <w:tab w:val="left" w:pos="1152"/>
              </w:tabs>
              <w:suppressAutoHyphens/>
              <w:spacing w:before="40" w:after="120"/>
              <w:ind w:right="397"/>
              <w:rPr>
                <w:lang w:val="fr-CH"/>
              </w:rPr>
            </w:pPr>
            <w:r w:rsidRPr="007C4E01">
              <w:rPr>
                <w:lang w:val="fr-CH" w:eastAsia="zh-CN"/>
              </w:rPr>
              <w:t>Priorité paneuropéenne</w:t>
            </w:r>
            <w:r w:rsidR="006F1B77">
              <w:rPr>
                <w:lang w:val="fr-CH" w:eastAsia="zh-CN"/>
              </w:rPr>
              <w:t xml:space="preserve"> (produits chimiques et déchets)</w:t>
            </w:r>
            <w:r w:rsidRPr="007C4E01">
              <w:rPr>
                <w:lang w:val="fr-CH" w:eastAsia="zh-CN"/>
              </w:rPr>
              <w:t>, objectif environnemental mondial, collecte d</w:t>
            </w:r>
            <w:r w:rsidR="00163155" w:rsidRPr="007C4E01">
              <w:rPr>
                <w:lang w:val="fr-CH" w:eastAsia="zh-CN"/>
              </w:rPr>
              <w:t>e</w:t>
            </w:r>
            <w:r w:rsidRPr="007C4E01">
              <w:rPr>
                <w:lang w:val="fr-CH" w:eastAsia="zh-CN"/>
              </w:rPr>
              <w:t xml:space="preserve"> données en vertu du Protocole </w:t>
            </w:r>
            <w:r w:rsidR="00163155" w:rsidRPr="007C4E01">
              <w:rPr>
                <w:lang w:val="fr-CH" w:eastAsia="zh-CN"/>
              </w:rPr>
              <w:t>PRDTP</w:t>
            </w:r>
            <w:r w:rsidR="00163155" w:rsidRPr="007C4E01">
              <w:rPr>
                <w:i/>
                <w:vertAlign w:val="superscript"/>
                <w:lang w:val="fr-CH" w:eastAsia="zh-CN"/>
              </w:rPr>
              <w:t>b</w:t>
            </w:r>
            <w:r w:rsidR="00163155" w:rsidRPr="007C4E01">
              <w:rPr>
                <w:lang w:val="fr-CH"/>
              </w:rPr>
              <w:t xml:space="preserve"> et de la Convention de Bâle</w:t>
            </w:r>
            <w:r w:rsidR="00163155" w:rsidRPr="007C4E01">
              <w:rPr>
                <w:i/>
                <w:vertAlign w:val="superscript"/>
                <w:lang w:val="fr-CH"/>
              </w:rPr>
              <w:t>c</w:t>
            </w:r>
          </w:p>
        </w:tc>
      </w:tr>
      <w:tr w:rsidR="00614F51" w:rsidRPr="007C4E01" w:rsidTr="00614F51">
        <w:tc>
          <w:tcPr>
            <w:tcW w:w="630" w:type="dxa"/>
            <w:hideMark/>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47</w:t>
            </w:r>
          </w:p>
        </w:tc>
        <w:tc>
          <w:tcPr>
            <w:tcW w:w="4683" w:type="dxa"/>
            <w:hideMark/>
          </w:tcPr>
          <w:p w:rsidR="00614F51" w:rsidRPr="007C4E01" w:rsidRDefault="004A1998"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Eaux usées</w:t>
            </w:r>
            <w:r w:rsidR="00614F51" w:rsidRPr="007C4E01">
              <w:rPr>
                <w:lang w:val="fr-CH" w:eastAsia="zh-CN"/>
              </w:rPr>
              <w:t xml:space="preserve"> traitées dans les installations de traitement des eaux usées urbaines (primaires, secondaires, tertiaires)</w:t>
            </w:r>
          </w:p>
        </w:tc>
        <w:tc>
          <w:tcPr>
            <w:tcW w:w="4737" w:type="dxa"/>
            <w:hideMark/>
          </w:tcPr>
          <w:p w:rsidR="00614F51" w:rsidRPr="007C4E01" w:rsidRDefault="00614F51" w:rsidP="00C774DB">
            <w:pPr>
              <w:spacing w:after="120"/>
              <w:rPr>
                <w:lang w:val="fr-CH"/>
              </w:rPr>
            </w:pPr>
            <w:r w:rsidRPr="007C4E01">
              <w:rPr>
                <w:lang w:val="fr-CH" w:eastAsia="zh-CN"/>
              </w:rPr>
              <w:t>Priorité paneuropéenne</w:t>
            </w:r>
            <w:r w:rsidR="00163155" w:rsidRPr="007C4E01">
              <w:rPr>
                <w:lang w:val="fr-CH" w:eastAsia="zh-CN"/>
              </w:rPr>
              <w:t xml:space="preserve"> (produits chimiques et déchets)</w:t>
            </w:r>
            <w:r w:rsidRPr="007C4E01">
              <w:rPr>
                <w:lang w:val="fr-CH" w:eastAsia="zh-CN"/>
              </w:rPr>
              <w:t>, objectif environnemental mondial, résilience, efficacité, considérations touchant la santé et le bien-être dans le concept d’économie verte, collecte de données au moyen du questionnaire de la Division de statistique PNUE/</w:t>
            </w:r>
            <w:r w:rsidR="004A1998" w:rsidRPr="007C4E01">
              <w:rPr>
                <w:lang w:val="fr-CH" w:eastAsia="zh-CN"/>
              </w:rPr>
              <w:t>O</w:t>
            </w:r>
            <w:r w:rsidRPr="007C4E01">
              <w:rPr>
                <w:lang w:val="fr-CH" w:eastAsia="zh-CN"/>
              </w:rPr>
              <w:t>NU, collecte d</w:t>
            </w:r>
            <w:r w:rsidR="006F1B77">
              <w:rPr>
                <w:lang w:val="fr-CH" w:eastAsia="zh-CN"/>
              </w:rPr>
              <w:t>e</w:t>
            </w:r>
            <w:r w:rsidRPr="007C4E01">
              <w:rPr>
                <w:lang w:val="fr-CH" w:eastAsia="zh-CN"/>
              </w:rPr>
              <w:t xml:space="preserve"> données en vertu du Protocole sur l’eau et la santé</w:t>
            </w:r>
            <w:r w:rsidR="004A1998" w:rsidRPr="007C4E01">
              <w:rPr>
                <w:lang w:val="fr-CH" w:eastAsia="zh-CN"/>
              </w:rPr>
              <w:t xml:space="preserve"> de la CEE</w:t>
            </w:r>
          </w:p>
        </w:tc>
      </w:tr>
      <w:tr w:rsidR="00614F51" w:rsidRPr="007C4E01" w:rsidTr="00614F51">
        <w:tc>
          <w:tcPr>
            <w:tcW w:w="630" w:type="dxa"/>
            <w:hideMark/>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63</w:t>
            </w:r>
          </w:p>
        </w:tc>
        <w:tc>
          <w:tcPr>
            <w:tcW w:w="4683" w:type="dxa"/>
            <w:hideMark/>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Déchets dangereux importés</w:t>
            </w:r>
          </w:p>
        </w:tc>
        <w:tc>
          <w:tcPr>
            <w:tcW w:w="4737" w:type="dxa"/>
            <w:hideMark/>
          </w:tcPr>
          <w:p w:rsidR="00614F51" w:rsidRPr="007C4E01" w:rsidRDefault="00614F51" w:rsidP="00C774DB">
            <w:pPr>
              <w:spacing w:after="120"/>
              <w:rPr>
                <w:lang w:val="fr-CH"/>
              </w:rPr>
            </w:pPr>
            <w:r w:rsidRPr="007C4E01">
              <w:rPr>
                <w:lang w:val="fr-CH" w:eastAsia="zh-CN"/>
              </w:rPr>
              <w:t>Priorité paneuropéenne</w:t>
            </w:r>
            <w:r w:rsidR="006F1B77">
              <w:rPr>
                <w:lang w:val="fr-CH" w:eastAsia="zh-CN"/>
              </w:rPr>
              <w:t xml:space="preserve"> (produits chimiques et déchets)</w:t>
            </w:r>
            <w:r w:rsidRPr="007C4E01">
              <w:rPr>
                <w:lang w:val="fr-CH" w:eastAsia="zh-CN"/>
              </w:rPr>
              <w:t>, objectif environnemental mondial, collecte d</w:t>
            </w:r>
            <w:r w:rsidR="006F1B77">
              <w:rPr>
                <w:lang w:val="fr-CH" w:eastAsia="zh-CN"/>
              </w:rPr>
              <w:t>e</w:t>
            </w:r>
            <w:r w:rsidRPr="007C4E01">
              <w:rPr>
                <w:lang w:val="fr-CH" w:eastAsia="zh-CN"/>
              </w:rPr>
              <w:t xml:space="preserve"> données en vertu </w:t>
            </w:r>
            <w:r w:rsidR="006F1B77">
              <w:rPr>
                <w:lang w:val="fr-CH" w:eastAsia="zh-CN"/>
              </w:rPr>
              <w:t>de la Convention de Bâle</w:t>
            </w:r>
          </w:p>
        </w:tc>
      </w:tr>
      <w:tr w:rsidR="00614F51" w:rsidRPr="007C4E01" w:rsidTr="00614F51">
        <w:tc>
          <w:tcPr>
            <w:tcW w:w="630" w:type="dxa"/>
            <w:hideMark/>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25</w:t>
            </w:r>
          </w:p>
        </w:tc>
        <w:tc>
          <w:tcPr>
            <w:tcW w:w="4683" w:type="dxa"/>
            <w:hideMark/>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PDO total du bromure de méthyl</w:t>
            </w:r>
          </w:p>
        </w:tc>
        <w:tc>
          <w:tcPr>
            <w:tcW w:w="4737" w:type="dxa"/>
            <w:hideMark/>
          </w:tcPr>
          <w:p w:rsidR="00614F51" w:rsidRPr="007C4E01" w:rsidRDefault="00614F51" w:rsidP="00C774DB">
            <w:pPr>
              <w:spacing w:after="120"/>
              <w:rPr>
                <w:lang w:val="fr-CH"/>
              </w:rPr>
            </w:pPr>
            <w:r w:rsidRPr="007C4E01">
              <w:rPr>
                <w:lang w:val="fr-CH" w:eastAsia="zh-CN"/>
              </w:rPr>
              <w:t>Priorité paneuropéenne</w:t>
            </w:r>
            <w:r w:rsidR="004A1998" w:rsidRPr="007C4E01">
              <w:rPr>
                <w:lang w:val="fr-CH" w:eastAsia="zh-CN"/>
              </w:rPr>
              <w:t xml:space="preserve"> (produits chimiques et déchets)</w:t>
            </w:r>
            <w:r w:rsidRPr="007C4E01">
              <w:rPr>
                <w:lang w:val="fr-CH" w:eastAsia="zh-CN"/>
              </w:rPr>
              <w:t>, objectif environnement</w:t>
            </w:r>
            <w:r w:rsidR="004A1998" w:rsidRPr="007C4E01">
              <w:rPr>
                <w:lang w:val="fr-CH" w:eastAsia="zh-CN"/>
              </w:rPr>
              <w:t>al mondial, collecte de données</w:t>
            </w:r>
            <w:r w:rsidRPr="007C4E01">
              <w:rPr>
                <w:lang w:val="fr-CH" w:eastAsia="zh-CN"/>
              </w:rPr>
              <w:t xml:space="preserve">, </w:t>
            </w:r>
            <w:r w:rsidR="004A1998" w:rsidRPr="007C4E01">
              <w:rPr>
                <w:lang w:val="fr-CH" w:eastAsia="zh-CN"/>
              </w:rPr>
              <w:t>en vertu de la Convention CPATLD</w:t>
            </w:r>
            <w:r w:rsidR="004A1998" w:rsidRPr="007C4E01">
              <w:rPr>
                <w:i/>
                <w:vertAlign w:val="superscript"/>
                <w:lang w:val="fr-CH" w:eastAsia="zh-CN"/>
              </w:rPr>
              <w:t>a</w:t>
            </w:r>
            <w:r w:rsidR="004A1998" w:rsidRPr="007C4E01">
              <w:rPr>
                <w:lang w:val="fr-CH" w:eastAsia="zh-CN"/>
              </w:rPr>
              <w:t xml:space="preserve"> de la CEE</w:t>
            </w:r>
            <w:r w:rsidRPr="007C4E01">
              <w:rPr>
                <w:lang w:val="fr-CH" w:eastAsia="zh-CN"/>
              </w:rPr>
              <w:t xml:space="preserve">, considérations touchant la santé et le bien-être dans le concept d’économie verte, collecte de données en vertu du Protocole </w:t>
            </w:r>
            <w:r w:rsidR="004A1998" w:rsidRPr="007C4E01">
              <w:rPr>
                <w:lang w:val="fr-CH" w:eastAsia="zh-CN"/>
              </w:rPr>
              <w:t>de Montréal</w:t>
            </w:r>
            <w:r w:rsidR="00A54C95">
              <w:rPr>
                <w:i/>
                <w:vertAlign w:val="superscript"/>
                <w:lang w:val="fr-CH" w:eastAsia="zh-CN"/>
              </w:rPr>
              <w:t>d</w:t>
            </w:r>
            <w:r w:rsidR="004A1998" w:rsidRPr="007C4E01">
              <w:rPr>
                <w:lang w:val="fr-CH" w:eastAsia="zh-CN"/>
              </w:rPr>
              <w:t xml:space="preserve"> </w:t>
            </w:r>
            <w:r w:rsidR="00395281" w:rsidRPr="007C4E01">
              <w:rPr>
                <w:lang w:val="fr-CH" w:eastAsia="zh-CN"/>
              </w:rPr>
              <w:t>(Protocole se rapportant à la Convention de Vienne</w:t>
            </w:r>
            <w:r w:rsidR="00395281" w:rsidRPr="007C4E01">
              <w:rPr>
                <w:i/>
                <w:vertAlign w:val="superscript"/>
                <w:lang w:val="fr-CH" w:eastAsia="zh-CN"/>
              </w:rPr>
              <w:t>e</w:t>
            </w:r>
            <w:r w:rsidR="00395281" w:rsidRPr="007C4E01">
              <w:rPr>
                <w:lang w:val="fr-CH"/>
              </w:rPr>
              <w:t xml:space="preserve">) </w:t>
            </w:r>
          </w:p>
        </w:tc>
      </w:tr>
      <w:tr w:rsidR="00614F51" w:rsidRPr="007C4E01" w:rsidTr="00614F51">
        <w:tc>
          <w:tcPr>
            <w:tcW w:w="630" w:type="dxa"/>
            <w:hideMark/>
          </w:tcPr>
          <w:p w:rsidR="00614F51" w:rsidRPr="007C4E01" w:rsidRDefault="00614F51" w:rsidP="00C774DB">
            <w:pPr>
              <w:keepNext/>
              <w:keepLines/>
              <w:tabs>
                <w:tab w:val="left" w:pos="288"/>
                <w:tab w:val="left" w:pos="576"/>
                <w:tab w:val="left" w:pos="864"/>
                <w:tab w:val="left" w:pos="1152"/>
              </w:tabs>
              <w:suppressAutoHyphens/>
              <w:spacing w:before="40" w:after="120"/>
              <w:ind w:right="40"/>
              <w:rPr>
                <w:b/>
                <w:lang w:val="fr-CH" w:eastAsia="zh-CN"/>
              </w:rPr>
            </w:pPr>
            <w:r w:rsidRPr="007C4E01">
              <w:rPr>
                <w:b/>
                <w:lang w:val="fr-CH" w:eastAsia="zh-CN"/>
              </w:rPr>
              <w:t>67</w:t>
            </w:r>
          </w:p>
        </w:tc>
        <w:tc>
          <w:tcPr>
            <w:tcW w:w="4683" w:type="dxa"/>
            <w:hideMark/>
          </w:tcPr>
          <w:p w:rsidR="00614F51" w:rsidRPr="007C4E01" w:rsidRDefault="00614F51" w:rsidP="00C774DB">
            <w:pPr>
              <w:keepNext/>
              <w:keepLines/>
              <w:tabs>
                <w:tab w:val="left" w:pos="288"/>
                <w:tab w:val="left" w:pos="576"/>
                <w:tab w:val="left" w:pos="864"/>
                <w:tab w:val="left" w:pos="1152"/>
              </w:tabs>
              <w:suppressAutoHyphens/>
              <w:spacing w:before="40" w:after="120"/>
              <w:ind w:right="397"/>
              <w:rPr>
                <w:lang w:val="fr-CH" w:eastAsia="zh-CN"/>
              </w:rPr>
            </w:pPr>
            <w:r w:rsidRPr="007C4E01">
              <w:rPr>
                <w:lang w:val="fr-CH" w:eastAsia="zh-CN"/>
              </w:rPr>
              <w:t>Stock de déchets dangereux</w:t>
            </w:r>
          </w:p>
        </w:tc>
        <w:tc>
          <w:tcPr>
            <w:tcW w:w="4737" w:type="dxa"/>
            <w:hideMark/>
          </w:tcPr>
          <w:p w:rsidR="00614F51" w:rsidRPr="007C4E01" w:rsidRDefault="00614F51" w:rsidP="00C774DB">
            <w:pPr>
              <w:keepNext/>
              <w:keepLines/>
              <w:spacing w:after="120"/>
              <w:rPr>
                <w:lang w:val="fr-CH"/>
              </w:rPr>
            </w:pPr>
            <w:r w:rsidRPr="007C4E01">
              <w:rPr>
                <w:lang w:val="fr-CH" w:eastAsia="zh-CN"/>
              </w:rPr>
              <w:t>Priorité paneuropéenne</w:t>
            </w:r>
            <w:r w:rsidR="00395281" w:rsidRPr="007C4E01">
              <w:rPr>
                <w:lang w:val="fr-CH" w:eastAsia="zh-CN"/>
              </w:rPr>
              <w:t xml:space="preserve"> (produits chimiques et déchets)</w:t>
            </w:r>
            <w:r w:rsidRPr="007C4E01">
              <w:rPr>
                <w:lang w:val="fr-CH" w:eastAsia="zh-CN"/>
              </w:rPr>
              <w:t>, objectif environnemental mondial, collecte d</w:t>
            </w:r>
            <w:r w:rsidR="00395281" w:rsidRPr="007C4E01">
              <w:rPr>
                <w:lang w:val="fr-CH" w:eastAsia="zh-CN"/>
              </w:rPr>
              <w:t>e</w:t>
            </w:r>
            <w:r w:rsidRPr="007C4E01">
              <w:rPr>
                <w:lang w:val="fr-CH" w:eastAsia="zh-CN"/>
              </w:rPr>
              <w:t xml:space="preserve"> données en vertu </w:t>
            </w:r>
            <w:r w:rsidR="00395281" w:rsidRPr="007C4E01">
              <w:rPr>
                <w:lang w:val="fr-CH" w:eastAsia="zh-CN"/>
              </w:rPr>
              <w:t>de la Convention de Bâle</w:t>
            </w:r>
            <w:r w:rsidR="00395281" w:rsidRPr="007C4E01">
              <w:rPr>
                <w:i/>
                <w:vertAlign w:val="superscript"/>
                <w:lang w:val="fr-CH" w:eastAsia="zh-CN"/>
              </w:rPr>
              <w:t>c</w:t>
            </w:r>
          </w:p>
        </w:tc>
      </w:tr>
      <w:tr w:rsidR="00614F51" w:rsidRPr="007C4E01" w:rsidTr="00614F51">
        <w:tc>
          <w:tcPr>
            <w:tcW w:w="630" w:type="dxa"/>
            <w:hideMark/>
          </w:tcPr>
          <w:p w:rsidR="00614F51" w:rsidRPr="007C4E01" w:rsidRDefault="00614F51" w:rsidP="00C774DB">
            <w:pPr>
              <w:keepNext/>
              <w:keepLines/>
              <w:tabs>
                <w:tab w:val="left" w:pos="288"/>
                <w:tab w:val="left" w:pos="576"/>
                <w:tab w:val="left" w:pos="864"/>
                <w:tab w:val="left" w:pos="1152"/>
              </w:tabs>
              <w:suppressAutoHyphens/>
              <w:spacing w:before="40" w:after="120"/>
              <w:ind w:right="40"/>
              <w:rPr>
                <w:b/>
                <w:lang w:val="fr-CH" w:eastAsia="zh-CN"/>
              </w:rPr>
            </w:pPr>
            <w:r w:rsidRPr="007C4E01">
              <w:rPr>
                <w:b/>
                <w:lang w:val="fr-CH" w:eastAsia="zh-CN"/>
              </w:rPr>
              <w:t>49</w:t>
            </w:r>
          </w:p>
        </w:tc>
        <w:tc>
          <w:tcPr>
            <w:tcW w:w="4683" w:type="dxa"/>
            <w:hideMark/>
          </w:tcPr>
          <w:p w:rsidR="00614F51" w:rsidRPr="007C4E01" w:rsidRDefault="00614F51" w:rsidP="00C774DB">
            <w:pPr>
              <w:keepNext/>
              <w:keepLines/>
              <w:tabs>
                <w:tab w:val="left" w:pos="288"/>
                <w:tab w:val="left" w:pos="576"/>
                <w:tab w:val="left" w:pos="864"/>
                <w:tab w:val="left" w:pos="1152"/>
              </w:tabs>
              <w:suppressAutoHyphens/>
              <w:spacing w:before="40" w:after="120"/>
              <w:ind w:right="397"/>
              <w:rPr>
                <w:lang w:val="fr-CH" w:eastAsia="zh-CN"/>
              </w:rPr>
            </w:pPr>
            <w:r w:rsidRPr="007C4E01">
              <w:rPr>
                <w:lang w:val="fr-CH" w:eastAsia="zh-CN"/>
              </w:rPr>
              <w:t>Eaux usées, non traitées ou non traitées de manière adéquate</w:t>
            </w:r>
          </w:p>
        </w:tc>
        <w:tc>
          <w:tcPr>
            <w:tcW w:w="4737" w:type="dxa"/>
            <w:hideMark/>
          </w:tcPr>
          <w:p w:rsidR="00614F51" w:rsidRPr="007C4E01" w:rsidRDefault="00614F51" w:rsidP="00C774DB">
            <w:pPr>
              <w:keepNext/>
              <w:keepLines/>
              <w:tabs>
                <w:tab w:val="left" w:pos="288"/>
                <w:tab w:val="left" w:pos="576"/>
                <w:tab w:val="left" w:pos="864"/>
                <w:tab w:val="left" w:pos="1152"/>
              </w:tabs>
              <w:suppressAutoHyphens/>
              <w:spacing w:before="40" w:after="120"/>
              <w:ind w:right="397"/>
              <w:rPr>
                <w:lang w:val="fr-CH" w:eastAsia="zh-CN"/>
              </w:rPr>
            </w:pPr>
            <w:r w:rsidRPr="007C4E01">
              <w:rPr>
                <w:lang w:val="fr-CH" w:eastAsia="zh-CN"/>
              </w:rPr>
              <w:t>Priorité paneuropéenne, objectif environnemental mondial, résilience, efficacité, considérations touchant la santé et le bien-être dans le concept d’économie verte, collecte de données au moyen du questionnaire de la Division de statistique PNUE/</w:t>
            </w:r>
            <w:r w:rsidR="00395281" w:rsidRPr="007C4E01">
              <w:rPr>
                <w:lang w:val="fr-CH" w:eastAsia="zh-CN"/>
              </w:rPr>
              <w:t>O</w:t>
            </w:r>
            <w:r w:rsidRPr="007C4E01">
              <w:rPr>
                <w:lang w:val="fr-CH" w:eastAsia="zh-CN"/>
              </w:rPr>
              <w:t>NU, collecte d</w:t>
            </w:r>
            <w:r w:rsidR="00F15173">
              <w:rPr>
                <w:lang w:val="fr-CH" w:eastAsia="zh-CN"/>
              </w:rPr>
              <w:t>e</w:t>
            </w:r>
            <w:r w:rsidRPr="007C4E01">
              <w:rPr>
                <w:lang w:val="fr-CH" w:eastAsia="zh-CN"/>
              </w:rPr>
              <w:t xml:space="preserve"> données en vertu du Protocole sur l’eau et la santé</w:t>
            </w:r>
            <w:r w:rsidR="00395281" w:rsidRPr="007C4E01">
              <w:rPr>
                <w:lang w:val="fr-CH" w:eastAsia="zh-CN"/>
              </w:rPr>
              <w:t xml:space="preserve"> de la CEE</w:t>
            </w:r>
          </w:p>
        </w:tc>
      </w:tr>
      <w:tr w:rsidR="00614F51" w:rsidRPr="007C4E01" w:rsidTr="00614F51">
        <w:tc>
          <w:tcPr>
            <w:tcW w:w="630" w:type="dxa"/>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36</w:t>
            </w:r>
          </w:p>
        </w:tc>
        <w:tc>
          <w:tcPr>
            <w:tcW w:w="4683" w:type="dxa"/>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Pertes d’eau pendant le transport</w:t>
            </w:r>
          </w:p>
        </w:tc>
        <w:tc>
          <w:tcPr>
            <w:tcW w:w="4737" w:type="dxa"/>
          </w:tcPr>
          <w:p w:rsidR="00614F51" w:rsidRPr="007C4E01" w:rsidRDefault="00614F51" w:rsidP="00C774DB">
            <w:pPr>
              <w:spacing w:after="120"/>
              <w:rPr>
                <w:lang w:val="fr-CH"/>
              </w:rPr>
            </w:pPr>
            <w:r w:rsidRPr="007C4E01">
              <w:rPr>
                <w:lang w:val="fr-CH" w:eastAsia="zh-CN"/>
              </w:rPr>
              <w:t>Priorité paneuropéenne, objectif environnemental mondial, résilience, efficacité, considérations touchant la santé et le bien-être dans le concept d’économie verte, collecte de données au moyen du questionnaire de la Division de statistique PNUE/</w:t>
            </w:r>
            <w:r w:rsidR="00F15173">
              <w:rPr>
                <w:lang w:val="fr-CH" w:eastAsia="zh-CN"/>
              </w:rPr>
              <w:t>O</w:t>
            </w:r>
            <w:r w:rsidRPr="007C4E01">
              <w:rPr>
                <w:lang w:val="fr-CH" w:eastAsia="zh-CN"/>
              </w:rPr>
              <w:t>NU, collecte d</w:t>
            </w:r>
            <w:r w:rsidR="000A06AD" w:rsidRPr="007C4E01">
              <w:rPr>
                <w:lang w:val="fr-CH" w:eastAsia="zh-CN"/>
              </w:rPr>
              <w:t>e</w:t>
            </w:r>
            <w:r w:rsidRPr="007C4E01">
              <w:rPr>
                <w:lang w:val="fr-CH" w:eastAsia="zh-CN"/>
              </w:rPr>
              <w:t xml:space="preserve"> données en vertu du Protocole sur l’eau et la santé</w:t>
            </w:r>
            <w:r w:rsidR="00F15173">
              <w:rPr>
                <w:lang w:val="fr-CH" w:eastAsia="zh-CN"/>
              </w:rPr>
              <w:t xml:space="preserve"> de la CEE</w:t>
            </w:r>
          </w:p>
        </w:tc>
      </w:tr>
      <w:tr w:rsidR="00614F51" w:rsidRPr="007C4E01" w:rsidTr="00614F51">
        <w:tc>
          <w:tcPr>
            <w:tcW w:w="630" w:type="dxa"/>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11</w:t>
            </w:r>
          </w:p>
        </w:tc>
        <w:tc>
          <w:tcPr>
            <w:tcW w:w="4683" w:type="dxa"/>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Émissions de polychlorodibenzo-p-dioxines et de polychlorodibenzo-p-furanes (PCDD</w:t>
            </w:r>
            <w:r w:rsidR="00395281" w:rsidRPr="007C4E01">
              <w:rPr>
                <w:lang w:val="fr-CH" w:eastAsia="zh-CN"/>
              </w:rPr>
              <w:t>/</w:t>
            </w:r>
            <w:r w:rsidRPr="007C4E01">
              <w:rPr>
                <w:lang w:val="fr-CH" w:eastAsia="zh-CN"/>
              </w:rPr>
              <w:t>F) (sources totales, fixes et mobiles)</w:t>
            </w:r>
          </w:p>
        </w:tc>
        <w:tc>
          <w:tcPr>
            <w:tcW w:w="4737" w:type="dxa"/>
          </w:tcPr>
          <w:p w:rsidR="00614F51" w:rsidRPr="007C4E01" w:rsidRDefault="00614F51" w:rsidP="00D45E10">
            <w:pPr>
              <w:spacing w:after="120"/>
              <w:rPr>
                <w:lang w:val="fr-CH"/>
              </w:rPr>
            </w:pPr>
            <w:r w:rsidRPr="007C4E01">
              <w:rPr>
                <w:lang w:val="fr-CH" w:eastAsia="zh-CN"/>
              </w:rPr>
              <w:t xml:space="preserve">Priorité paneuropéenne, objectif environnemental mondial, collecte de données, </w:t>
            </w:r>
            <w:r w:rsidR="00395281" w:rsidRPr="007C4E01">
              <w:rPr>
                <w:lang w:val="fr-CH" w:eastAsia="zh-CN"/>
              </w:rPr>
              <w:t>en vertu de la Convention CPATLD</w:t>
            </w:r>
            <w:r w:rsidR="00395281" w:rsidRPr="007C4E01">
              <w:rPr>
                <w:i/>
                <w:vertAlign w:val="superscript"/>
                <w:lang w:val="fr-CH" w:eastAsia="zh-CN"/>
              </w:rPr>
              <w:t>a</w:t>
            </w:r>
            <w:r w:rsidR="00395281" w:rsidRPr="007C4E01">
              <w:rPr>
                <w:lang w:val="fr-CH" w:eastAsia="zh-CN"/>
              </w:rPr>
              <w:t xml:space="preserve"> de la CEE, du Protocole PRDTP, les </w:t>
            </w:r>
            <w:r w:rsidRPr="007C4E01">
              <w:rPr>
                <w:lang w:val="fr-CH" w:eastAsia="zh-CN"/>
              </w:rPr>
              <w:t>considérations touchant la santé et le bien-être dans le concept d’économie verte, collecte d</w:t>
            </w:r>
            <w:r w:rsidR="00395281" w:rsidRPr="007C4E01">
              <w:rPr>
                <w:lang w:val="fr-CH" w:eastAsia="zh-CN"/>
              </w:rPr>
              <w:t>e</w:t>
            </w:r>
            <w:r w:rsidRPr="007C4E01">
              <w:rPr>
                <w:lang w:val="fr-CH" w:eastAsia="zh-CN"/>
              </w:rPr>
              <w:t xml:space="preserve"> données en vertu du Protocole </w:t>
            </w:r>
            <w:r w:rsidR="00395281" w:rsidRPr="007C4E01">
              <w:rPr>
                <w:lang w:val="fr-CH" w:eastAsia="zh-CN"/>
              </w:rPr>
              <w:t>de Montréal</w:t>
            </w:r>
            <w:r w:rsidR="00D45E10">
              <w:rPr>
                <w:i/>
                <w:vertAlign w:val="superscript"/>
                <w:lang w:val="fr-CH" w:eastAsia="zh-CN"/>
              </w:rPr>
              <w:t>d</w:t>
            </w:r>
            <w:r w:rsidR="00395281" w:rsidRPr="007C4E01">
              <w:rPr>
                <w:lang w:val="fr-CH" w:eastAsia="zh-CN"/>
              </w:rPr>
              <w:t xml:space="preserve"> (Protocole se rapportant à la Convention de Vienne</w:t>
            </w:r>
            <w:r w:rsidR="00395281" w:rsidRPr="007C4E01">
              <w:rPr>
                <w:i/>
                <w:vertAlign w:val="superscript"/>
                <w:lang w:val="fr-CH" w:eastAsia="zh-CN"/>
              </w:rPr>
              <w:t>e</w:t>
            </w:r>
            <w:r w:rsidR="00395281" w:rsidRPr="007C4E01">
              <w:rPr>
                <w:lang w:val="fr-CH"/>
              </w:rPr>
              <w:t>)</w:t>
            </w:r>
          </w:p>
        </w:tc>
      </w:tr>
      <w:tr w:rsidR="00614F51" w:rsidRPr="007C4E01" w:rsidTr="00614F51">
        <w:tc>
          <w:tcPr>
            <w:tcW w:w="630" w:type="dxa"/>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20</w:t>
            </w:r>
          </w:p>
        </w:tc>
        <w:tc>
          <w:tcPr>
            <w:tcW w:w="4683" w:type="dxa"/>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PDO total des halons</w:t>
            </w:r>
          </w:p>
        </w:tc>
        <w:tc>
          <w:tcPr>
            <w:tcW w:w="4737" w:type="dxa"/>
          </w:tcPr>
          <w:p w:rsidR="00614F51" w:rsidRPr="007C4E01" w:rsidRDefault="00614F51" w:rsidP="00D45E10">
            <w:pPr>
              <w:spacing w:after="120"/>
              <w:rPr>
                <w:lang w:val="fr-CH"/>
              </w:rPr>
            </w:pPr>
            <w:r w:rsidRPr="007C4E01">
              <w:rPr>
                <w:lang w:val="fr-CH" w:eastAsia="zh-CN"/>
              </w:rPr>
              <w:t xml:space="preserve">Priorité paneuropéenne, objectif environnemental mondial, collecte de données, </w:t>
            </w:r>
            <w:r w:rsidR="00395281" w:rsidRPr="007C4E01">
              <w:rPr>
                <w:lang w:val="fr-CH" w:eastAsia="zh-CN"/>
              </w:rPr>
              <w:t>en vertu de la Convention CPATLD</w:t>
            </w:r>
            <w:r w:rsidR="00395281" w:rsidRPr="007C4E01">
              <w:rPr>
                <w:i/>
                <w:vertAlign w:val="superscript"/>
                <w:lang w:val="fr-CH" w:eastAsia="zh-CN"/>
              </w:rPr>
              <w:t>a</w:t>
            </w:r>
            <w:r w:rsidR="00395281" w:rsidRPr="007C4E01">
              <w:rPr>
                <w:lang w:val="fr-CH" w:eastAsia="zh-CN"/>
              </w:rPr>
              <w:t xml:space="preserve"> de la CEE, </w:t>
            </w:r>
            <w:r w:rsidRPr="007C4E01">
              <w:rPr>
                <w:lang w:val="fr-CH" w:eastAsia="zh-CN"/>
              </w:rPr>
              <w:t>considérations touchant la santé et le bien-être dans le concept d’économie verte, collecte d</w:t>
            </w:r>
            <w:r w:rsidR="00395281" w:rsidRPr="007C4E01">
              <w:rPr>
                <w:lang w:val="fr-CH" w:eastAsia="zh-CN"/>
              </w:rPr>
              <w:t>e</w:t>
            </w:r>
            <w:r w:rsidRPr="007C4E01">
              <w:rPr>
                <w:lang w:val="fr-CH" w:eastAsia="zh-CN"/>
              </w:rPr>
              <w:t xml:space="preserve"> données </w:t>
            </w:r>
            <w:r w:rsidR="00395281" w:rsidRPr="007C4E01">
              <w:rPr>
                <w:lang w:val="fr-CH" w:eastAsia="zh-CN"/>
              </w:rPr>
              <w:t>en vertu du Protocole de Montréal</w:t>
            </w:r>
            <w:r w:rsidR="00D45E10">
              <w:rPr>
                <w:i/>
                <w:vertAlign w:val="superscript"/>
                <w:lang w:val="fr-CH" w:eastAsia="zh-CN"/>
              </w:rPr>
              <w:t>d</w:t>
            </w:r>
            <w:r w:rsidR="00395281" w:rsidRPr="007C4E01">
              <w:rPr>
                <w:lang w:val="fr-CH" w:eastAsia="zh-CN"/>
              </w:rPr>
              <w:t xml:space="preserve"> (Protocole se rapportant à la Convention de Vienne</w:t>
            </w:r>
            <w:r w:rsidR="00395281" w:rsidRPr="007C4E01">
              <w:rPr>
                <w:i/>
                <w:vertAlign w:val="superscript"/>
                <w:lang w:val="fr-CH" w:eastAsia="zh-CN"/>
              </w:rPr>
              <w:t>e</w:t>
            </w:r>
            <w:r w:rsidR="00395281" w:rsidRPr="007C4E01">
              <w:rPr>
                <w:lang w:val="fr-CH"/>
              </w:rPr>
              <w:t>)</w:t>
            </w:r>
          </w:p>
        </w:tc>
      </w:tr>
      <w:tr w:rsidR="00614F51" w:rsidRPr="007C4E01" w:rsidTr="00614F51">
        <w:tc>
          <w:tcPr>
            <w:tcW w:w="630" w:type="dxa"/>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10</w:t>
            </w:r>
          </w:p>
        </w:tc>
        <w:tc>
          <w:tcPr>
            <w:tcW w:w="4683" w:type="dxa"/>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Émissions de biphenyl polychlorés (PCB) (sources totales, fixes et mobiles)</w:t>
            </w:r>
          </w:p>
        </w:tc>
        <w:tc>
          <w:tcPr>
            <w:tcW w:w="4737" w:type="dxa"/>
          </w:tcPr>
          <w:p w:rsidR="00614F51" w:rsidRPr="007C4E01" w:rsidRDefault="00614F51" w:rsidP="00D45E10">
            <w:pPr>
              <w:spacing w:after="120"/>
              <w:rPr>
                <w:lang w:val="fr-CH"/>
              </w:rPr>
            </w:pPr>
            <w:r w:rsidRPr="007C4E01">
              <w:rPr>
                <w:lang w:val="fr-CH" w:eastAsia="zh-CN"/>
              </w:rPr>
              <w:t xml:space="preserve">Priorité paneuropéenne, objectif environnemental mondial, collecte de données, </w:t>
            </w:r>
            <w:r w:rsidR="00395281" w:rsidRPr="007C4E01">
              <w:rPr>
                <w:lang w:val="fr-CH" w:eastAsia="zh-CN"/>
              </w:rPr>
              <w:t>en vertu de la Convention CPATLD</w:t>
            </w:r>
            <w:r w:rsidR="00395281" w:rsidRPr="007C4E01">
              <w:rPr>
                <w:i/>
                <w:vertAlign w:val="superscript"/>
                <w:lang w:val="fr-CH" w:eastAsia="zh-CN"/>
              </w:rPr>
              <w:t>a</w:t>
            </w:r>
            <w:r w:rsidR="00395281" w:rsidRPr="007C4E01">
              <w:rPr>
                <w:lang w:val="fr-CH" w:eastAsia="zh-CN"/>
              </w:rPr>
              <w:t xml:space="preserve"> de la CEE, </w:t>
            </w:r>
            <w:r w:rsidRPr="007C4E01">
              <w:rPr>
                <w:lang w:val="fr-CH" w:eastAsia="zh-CN"/>
              </w:rPr>
              <w:t>considérations touchant la santé et le bien-être dans le concept d’économie verte, collecte d</w:t>
            </w:r>
            <w:r w:rsidR="00395281" w:rsidRPr="007C4E01">
              <w:rPr>
                <w:lang w:val="fr-CH" w:eastAsia="zh-CN"/>
              </w:rPr>
              <w:t>e</w:t>
            </w:r>
            <w:r w:rsidRPr="007C4E01">
              <w:rPr>
                <w:lang w:val="fr-CH" w:eastAsia="zh-CN"/>
              </w:rPr>
              <w:t xml:space="preserve"> données en </w:t>
            </w:r>
            <w:r w:rsidR="00395281" w:rsidRPr="007C4E01">
              <w:rPr>
                <w:lang w:val="fr-CH" w:eastAsia="zh-CN"/>
              </w:rPr>
              <w:t>vertu du Protocole de Montréal</w:t>
            </w:r>
            <w:r w:rsidR="00D45E10">
              <w:rPr>
                <w:i/>
                <w:vertAlign w:val="superscript"/>
                <w:lang w:val="fr-CH" w:eastAsia="zh-CN"/>
              </w:rPr>
              <w:t>d</w:t>
            </w:r>
            <w:r w:rsidR="00395281" w:rsidRPr="007C4E01">
              <w:rPr>
                <w:lang w:val="fr-CH" w:eastAsia="zh-CN"/>
              </w:rPr>
              <w:t xml:space="preserve"> (Protocole se rapportant à la Convention de Vienne</w:t>
            </w:r>
            <w:r w:rsidR="00395281" w:rsidRPr="007C4E01">
              <w:rPr>
                <w:i/>
                <w:vertAlign w:val="superscript"/>
                <w:lang w:val="fr-CH" w:eastAsia="zh-CN"/>
              </w:rPr>
              <w:t>e</w:t>
            </w:r>
            <w:r w:rsidR="00395281" w:rsidRPr="007C4E01">
              <w:rPr>
                <w:lang w:val="fr-CH"/>
              </w:rPr>
              <w:t>)</w:t>
            </w:r>
          </w:p>
        </w:tc>
      </w:tr>
      <w:tr w:rsidR="00614F51" w:rsidRPr="007C4E01" w:rsidTr="00614F51">
        <w:tc>
          <w:tcPr>
            <w:tcW w:w="630" w:type="dxa"/>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23</w:t>
            </w:r>
          </w:p>
        </w:tc>
        <w:tc>
          <w:tcPr>
            <w:tcW w:w="4683" w:type="dxa"/>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PDO total du trichloro-1,1,1 éthane</w:t>
            </w:r>
          </w:p>
        </w:tc>
        <w:tc>
          <w:tcPr>
            <w:tcW w:w="4737" w:type="dxa"/>
          </w:tcPr>
          <w:p w:rsidR="00614F51" w:rsidRPr="007C4E01" w:rsidRDefault="00614F51" w:rsidP="00D45E10">
            <w:pPr>
              <w:spacing w:after="120"/>
              <w:rPr>
                <w:lang w:val="fr-CH"/>
              </w:rPr>
            </w:pPr>
            <w:r w:rsidRPr="007C4E01">
              <w:rPr>
                <w:lang w:val="fr-CH" w:eastAsia="zh-CN"/>
              </w:rPr>
              <w:t xml:space="preserve">Priorité paneuropéenne, objectif environnemental mondial, collecte de données, </w:t>
            </w:r>
            <w:r w:rsidR="005122F2" w:rsidRPr="007C4E01">
              <w:rPr>
                <w:lang w:val="fr-CH" w:eastAsia="zh-CN"/>
              </w:rPr>
              <w:t>en vertu de la Convention CPATLD</w:t>
            </w:r>
            <w:r w:rsidR="005122F2" w:rsidRPr="007C4E01">
              <w:rPr>
                <w:i/>
                <w:vertAlign w:val="superscript"/>
                <w:lang w:val="fr-CH" w:eastAsia="zh-CN"/>
              </w:rPr>
              <w:t>a</w:t>
            </w:r>
            <w:r w:rsidR="005122F2" w:rsidRPr="007C4E01">
              <w:rPr>
                <w:lang w:val="fr-CH" w:eastAsia="zh-CN"/>
              </w:rPr>
              <w:t xml:space="preserve"> de la CEE, </w:t>
            </w:r>
            <w:r w:rsidRPr="007C4E01">
              <w:rPr>
                <w:lang w:val="fr-CH" w:eastAsia="zh-CN"/>
              </w:rPr>
              <w:t>considérations touchant la santé et le bien-être dans le concept d’économie verte, collecte d</w:t>
            </w:r>
            <w:r w:rsidR="005122F2" w:rsidRPr="007C4E01">
              <w:rPr>
                <w:lang w:val="fr-CH" w:eastAsia="zh-CN"/>
              </w:rPr>
              <w:t>e</w:t>
            </w:r>
            <w:r w:rsidRPr="007C4E01">
              <w:rPr>
                <w:lang w:val="fr-CH" w:eastAsia="zh-CN"/>
              </w:rPr>
              <w:t xml:space="preserve"> données </w:t>
            </w:r>
            <w:r w:rsidR="005122F2" w:rsidRPr="007C4E01">
              <w:rPr>
                <w:lang w:val="fr-CH" w:eastAsia="zh-CN"/>
              </w:rPr>
              <w:t>en vertu du Protocole de Montréal</w:t>
            </w:r>
            <w:r w:rsidR="00D45E10">
              <w:rPr>
                <w:i/>
                <w:vertAlign w:val="superscript"/>
                <w:lang w:val="fr-CH" w:eastAsia="zh-CN"/>
              </w:rPr>
              <w:t>d</w:t>
            </w:r>
            <w:r w:rsidR="005122F2" w:rsidRPr="007C4E01">
              <w:rPr>
                <w:lang w:val="fr-CH" w:eastAsia="zh-CN"/>
              </w:rPr>
              <w:t xml:space="preserve"> (Protocole se rapportant à la Convention de Vienne</w:t>
            </w:r>
            <w:r w:rsidR="005122F2" w:rsidRPr="007C4E01">
              <w:rPr>
                <w:i/>
                <w:vertAlign w:val="superscript"/>
                <w:lang w:val="fr-CH" w:eastAsia="zh-CN"/>
              </w:rPr>
              <w:t>e</w:t>
            </w:r>
            <w:r w:rsidR="005122F2" w:rsidRPr="007C4E01">
              <w:rPr>
                <w:lang w:val="fr-CH"/>
              </w:rPr>
              <w:t>)</w:t>
            </w:r>
          </w:p>
        </w:tc>
      </w:tr>
      <w:tr w:rsidR="00614F51" w:rsidRPr="007C4E01" w:rsidTr="00614F51">
        <w:tc>
          <w:tcPr>
            <w:tcW w:w="630" w:type="dxa"/>
          </w:tcPr>
          <w:p w:rsidR="00614F51" w:rsidRPr="007C4E01" w:rsidRDefault="00614F51" w:rsidP="00666C70">
            <w:pPr>
              <w:keepNext/>
              <w:keepLines/>
              <w:tabs>
                <w:tab w:val="left" w:pos="288"/>
                <w:tab w:val="left" w:pos="576"/>
                <w:tab w:val="left" w:pos="864"/>
                <w:tab w:val="left" w:pos="1152"/>
              </w:tabs>
              <w:suppressAutoHyphens/>
              <w:spacing w:before="40" w:after="120"/>
              <w:ind w:right="40"/>
              <w:rPr>
                <w:b/>
                <w:lang w:val="fr-CH" w:eastAsia="zh-CN"/>
              </w:rPr>
            </w:pPr>
            <w:r w:rsidRPr="007C4E01">
              <w:rPr>
                <w:b/>
                <w:lang w:val="fr-CH" w:eastAsia="zh-CN"/>
              </w:rPr>
              <w:t>22</w:t>
            </w:r>
          </w:p>
        </w:tc>
        <w:tc>
          <w:tcPr>
            <w:tcW w:w="4683" w:type="dxa"/>
          </w:tcPr>
          <w:p w:rsidR="00614F51" w:rsidRPr="007C4E01" w:rsidRDefault="00614F51" w:rsidP="00666C70">
            <w:pPr>
              <w:keepNext/>
              <w:keepLines/>
              <w:tabs>
                <w:tab w:val="left" w:pos="288"/>
                <w:tab w:val="left" w:pos="576"/>
                <w:tab w:val="left" w:pos="864"/>
                <w:tab w:val="left" w:pos="1152"/>
              </w:tabs>
              <w:suppressAutoHyphens/>
              <w:spacing w:before="40" w:after="120"/>
              <w:ind w:right="397"/>
              <w:rPr>
                <w:lang w:val="fr-CH" w:eastAsia="zh-CN"/>
              </w:rPr>
            </w:pPr>
            <w:r w:rsidRPr="007C4E01">
              <w:rPr>
                <w:lang w:val="fr-CH" w:eastAsia="zh-CN"/>
              </w:rPr>
              <w:t>PDO total du tétrachlorure de carbone</w:t>
            </w:r>
          </w:p>
        </w:tc>
        <w:tc>
          <w:tcPr>
            <w:tcW w:w="4737" w:type="dxa"/>
          </w:tcPr>
          <w:p w:rsidR="00614F51" w:rsidRPr="007C4E01" w:rsidRDefault="00614F51" w:rsidP="00D45E10">
            <w:pPr>
              <w:keepNext/>
              <w:keepLines/>
              <w:spacing w:after="120"/>
              <w:rPr>
                <w:lang w:val="fr-CH"/>
              </w:rPr>
            </w:pPr>
            <w:r w:rsidRPr="007C4E01">
              <w:rPr>
                <w:lang w:val="fr-CH" w:eastAsia="zh-CN"/>
              </w:rPr>
              <w:t xml:space="preserve">Priorité paneuropéenne, objectif environnemental mondial, collecte de données, </w:t>
            </w:r>
            <w:r w:rsidR="005122F2" w:rsidRPr="007C4E01">
              <w:rPr>
                <w:lang w:val="fr-CH" w:eastAsia="zh-CN"/>
              </w:rPr>
              <w:t>en vertu de la Convention CPATLD</w:t>
            </w:r>
            <w:r w:rsidR="005122F2" w:rsidRPr="007C4E01">
              <w:rPr>
                <w:i/>
                <w:vertAlign w:val="superscript"/>
                <w:lang w:val="fr-CH" w:eastAsia="zh-CN"/>
              </w:rPr>
              <w:t>a</w:t>
            </w:r>
            <w:r w:rsidR="005122F2" w:rsidRPr="007C4E01">
              <w:rPr>
                <w:lang w:val="fr-CH" w:eastAsia="zh-CN"/>
              </w:rPr>
              <w:t xml:space="preserve"> de la CEE, </w:t>
            </w:r>
            <w:r w:rsidRPr="007C4E01">
              <w:rPr>
                <w:lang w:val="fr-CH" w:eastAsia="zh-CN"/>
              </w:rPr>
              <w:t>considérations touchant la santé et le bien-être dans le concept d’économie verte, collecte d</w:t>
            </w:r>
            <w:r w:rsidR="005122F2" w:rsidRPr="007C4E01">
              <w:rPr>
                <w:lang w:val="fr-CH" w:eastAsia="zh-CN"/>
              </w:rPr>
              <w:t>e</w:t>
            </w:r>
            <w:r w:rsidRPr="007C4E01">
              <w:rPr>
                <w:lang w:val="fr-CH" w:eastAsia="zh-CN"/>
              </w:rPr>
              <w:t xml:space="preserve"> données en vertu du Protocole </w:t>
            </w:r>
            <w:r w:rsidR="005122F2" w:rsidRPr="007C4E01">
              <w:rPr>
                <w:lang w:val="fr-CH" w:eastAsia="zh-CN"/>
              </w:rPr>
              <w:t>de Montréal</w:t>
            </w:r>
            <w:r w:rsidR="00D45E10">
              <w:rPr>
                <w:i/>
                <w:vertAlign w:val="superscript"/>
                <w:lang w:val="fr-CH" w:eastAsia="zh-CN"/>
              </w:rPr>
              <w:t>d</w:t>
            </w:r>
            <w:r w:rsidR="005122F2" w:rsidRPr="007C4E01">
              <w:rPr>
                <w:lang w:val="fr-CH" w:eastAsia="zh-CN"/>
              </w:rPr>
              <w:t xml:space="preserve"> (Protocole se rapportant à la Convention de Vienne</w:t>
            </w:r>
            <w:r w:rsidR="005122F2" w:rsidRPr="007C4E01">
              <w:rPr>
                <w:i/>
                <w:vertAlign w:val="superscript"/>
                <w:lang w:val="fr-CH" w:eastAsia="zh-CN"/>
              </w:rPr>
              <w:t>e</w:t>
            </w:r>
            <w:r w:rsidR="005122F2" w:rsidRPr="007C4E01">
              <w:rPr>
                <w:lang w:val="fr-CH"/>
              </w:rPr>
              <w:t>)</w:t>
            </w:r>
          </w:p>
        </w:tc>
      </w:tr>
      <w:tr w:rsidR="00614F51" w:rsidRPr="007C4E01" w:rsidTr="00614F51">
        <w:tc>
          <w:tcPr>
            <w:tcW w:w="630" w:type="dxa"/>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21</w:t>
            </w:r>
          </w:p>
        </w:tc>
        <w:tc>
          <w:tcPr>
            <w:tcW w:w="4683" w:type="dxa"/>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PDO total d’autres CFC entièrement halogénés</w:t>
            </w:r>
          </w:p>
        </w:tc>
        <w:tc>
          <w:tcPr>
            <w:tcW w:w="4737" w:type="dxa"/>
          </w:tcPr>
          <w:p w:rsidR="00614F51" w:rsidRPr="007C4E01" w:rsidRDefault="00614F51" w:rsidP="00972D9B">
            <w:pPr>
              <w:spacing w:after="120"/>
              <w:rPr>
                <w:lang w:val="fr-CH"/>
              </w:rPr>
            </w:pPr>
            <w:r w:rsidRPr="007C4E01">
              <w:rPr>
                <w:lang w:val="fr-CH" w:eastAsia="zh-CN"/>
              </w:rPr>
              <w:t xml:space="preserve">Priorité paneuropéenne, objectif environnemental mondial, collecte de données, </w:t>
            </w:r>
            <w:r w:rsidR="005122F2" w:rsidRPr="007C4E01">
              <w:rPr>
                <w:lang w:val="fr-CH" w:eastAsia="zh-CN"/>
              </w:rPr>
              <w:t>en vertu de la Convention CPATLD</w:t>
            </w:r>
            <w:r w:rsidR="005122F2" w:rsidRPr="007C4E01">
              <w:rPr>
                <w:i/>
                <w:vertAlign w:val="superscript"/>
                <w:lang w:val="fr-CH" w:eastAsia="zh-CN"/>
              </w:rPr>
              <w:t>a</w:t>
            </w:r>
            <w:r w:rsidR="005122F2" w:rsidRPr="007C4E01">
              <w:rPr>
                <w:lang w:val="fr-CH" w:eastAsia="zh-CN"/>
              </w:rPr>
              <w:t xml:space="preserve"> de la CEE, </w:t>
            </w:r>
            <w:r w:rsidRPr="007C4E01">
              <w:rPr>
                <w:lang w:val="fr-CH" w:eastAsia="zh-CN"/>
              </w:rPr>
              <w:t>considérations touchant la santé et le bien-être dans le concept d’économie verte, collecte d</w:t>
            </w:r>
            <w:r w:rsidR="005122F2" w:rsidRPr="007C4E01">
              <w:rPr>
                <w:lang w:val="fr-CH" w:eastAsia="zh-CN"/>
              </w:rPr>
              <w:t>e</w:t>
            </w:r>
            <w:r w:rsidRPr="007C4E01">
              <w:rPr>
                <w:lang w:val="fr-CH" w:eastAsia="zh-CN"/>
              </w:rPr>
              <w:t xml:space="preserve"> données en vertu du Protocole </w:t>
            </w:r>
            <w:r w:rsidR="005122F2" w:rsidRPr="007C4E01">
              <w:rPr>
                <w:lang w:val="fr-CH" w:eastAsia="zh-CN"/>
              </w:rPr>
              <w:t>de Montréal</w:t>
            </w:r>
            <w:r w:rsidR="00972D9B">
              <w:rPr>
                <w:i/>
                <w:vertAlign w:val="superscript"/>
                <w:lang w:val="fr-CH" w:eastAsia="zh-CN"/>
              </w:rPr>
              <w:t>d</w:t>
            </w:r>
            <w:r w:rsidR="005122F2" w:rsidRPr="007C4E01">
              <w:rPr>
                <w:lang w:val="fr-CH" w:eastAsia="zh-CN"/>
              </w:rPr>
              <w:t xml:space="preserve"> (Protocole se rapportant à la Convention de Vienne</w:t>
            </w:r>
            <w:r w:rsidR="005122F2" w:rsidRPr="007C4E01">
              <w:rPr>
                <w:i/>
                <w:vertAlign w:val="superscript"/>
                <w:lang w:val="fr-CH" w:eastAsia="zh-CN"/>
              </w:rPr>
              <w:t>e</w:t>
            </w:r>
            <w:r w:rsidR="005122F2" w:rsidRPr="007C4E01">
              <w:rPr>
                <w:lang w:val="fr-CH"/>
              </w:rPr>
              <w:t>)</w:t>
            </w:r>
          </w:p>
        </w:tc>
      </w:tr>
      <w:tr w:rsidR="00614F51" w:rsidRPr="007C4E01" w:rsidTr="00614F51">
        <w:tc>
          <w:tcPr>
            <w:tcW w:w="630" w:type="dxa"/>
          </w:tcPr>
          <w:p w:rsidR="00614F51" w:rsidRPr="007C4E01" w:rsidRDefault="00614F51" w:rsidP="00C774DB">
            <w:pPr>
              <w:keepNext/>
              <w:keepLines/>
              <w:tabs>
                <w:tab w:val="left" w:pos="288"/>
                <w:tab w:val="left" w:pos="576"/>
                <w:tab w:val="left" w:pos="864"/>
                <w:tab w:val="left" w:pos="1152"/>
              </w:tabs>
              <w:suppressAutoHyphens/>
              <w:spacing w:before="40" w:after="120"/>
              <w:ind w:right="40"/>
              <w:rPr>
                <w:b/>
                <w:lang w:val="fr-CH" w:eastAsia="zh-CN"/>
              </w:rPr>
            </w:pPr>
            <w:r w:rsidRPr="007C4E01">
              <w:rPr>
                <w:b/>
                <w:lang w:val="fr-CH" w:eastAsia="zh-CN"/>
              </w:rPr>
              <w:t>30</w:t>
            </w:r>
          </w:p>
        </w:tc>
        <w:tc>
          <w:tcPr>
            <w:tcW w:w="4683" w:type="dxa"/>
          </w:tcPr>
          <w:p w:rsidR="00614F51" w:rsidRPr="007C4E01" w:rsidRDefault="00614F51" w:rsidP="00C774DB">
            <w:pPr>
              <w:keepNext/>
              <w:keepLines/>
              <w:tabs>
                <w:tab w:val="left" w:pos="288"/>
                <w:tab w:val="left" w:pos="576"/>
                <w:tab w:val="left" w:pos="864"/>
                <w:tab w:val="left" w:pos="1152"/>
              </w:tabs>
              <w:suppressAutoHyphens/>
              <w:spacing w:before="40" w:after="120"/>
              <w:ind w:right="397"/>
              <w:rPr>
                <w:lang w:val="fr-CH" w:eastAsia="zh-CN"/>
              </w:rPr>
            </w:pPr>
            <w:r w:rsidRPr="007C4E01">
              <w:rPr>
                <w:lang w:val="fr-CH" w:eastAsia="zh-CN"/>
              </w:rPr>
              <w:t>Ressources renouvelables en eau douce</w:t>
            </w:r>
          </w:p>
        </w:tc>
        <w:tc>
          <w:tcPr>
            <w:tcW w:w="4737" w:type="dxa"/>
          </w:tcPr>
          <w:p w:rsidR="00614F51" w:rsidRPr="007C4E01" w:rsidRDefault="00614F51" w:rsidP="00D45E10">
            <w:pPr>
              <w:keepNext/>
              <w:keepLines/>
              <w:spacing w:after="120"/>
              <w:rPr>
                <w:lang w:val="fr-CH"/>
              </w:rPr>
            </w:pPr>
            <w:r w:rsidRPr="007C4E01">
              <w:rPr>
                <w:lang w:val="fr-CH" w:eastAsia="zh-CN"/>
              </w:rPr>
              <w:t>Priorité paneuropéenne, objectif environnemental mondial, résilience, efficacité, considérations touchant la santé et le bien-être dans le concept d’économie verte, collecte de données au moyen du questionnaire de la Division de statistique PNUE/</w:t>
            </w:r>
            <w:r w:rsidR="00D45E10">
              <w:rPr>
                <w:lang w:val="fr-CH" w:eastAsia="zh-CN"/>
              </w:rPr>
              <w:t>O</w:t>
            </w:r>
            <w:r w:rsidRPr="007C4E01">
              <w:rPr>
                <w:lang w:val="fr-CH" w:eastAsia="zh-CN"/>
              </w:rPr>
              <w:t>NU, collecte d</w:t>
            </w:r>
            <w:r w:rsidR="000A06AD" w:rsidRPr="007C4E01">
              <w:rPr>
                <w:lang w:val="fr-CH" w:eastAsia="zh-CN"/>
              </w:rPr>
              <w:t>e</w:t>
            </w:r>
            <w:r w:rsidRPr="007C4E01">
              <w:rPr>
                <w:lang w:val="fr-CH" w:eastAsia="zh-CN"/>
              </w:rPr>
              <w:t xml:space="preserve"> données en vertu du Protocole sur l’eau et la santé</w:t>
            </w:r>
            <w:r w:rsidR="00D45E10">
              <w:rPr>
                <w:lang w:val="fr-CH" w:eastAsia="zh-CN"/>
              </w:rPr>
              <w:t xml:space="preserve"> de la CEE</w:t>
            </w:r>
          </w:p>
        </w:tc>
      </w:tr>
      <w:tr w:rsidR="00614F51" w:rsidRPr="007C4E01" w:rsidTr="00614F51">
        <w:tc>
          <w:tcPr>
            <w:tcW w:w="630" w:type="dxa"/>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46</w:t>
            </w:r>
          </w:p>
        </w:tc>
        <w:tc>
          <w:tcPr>
            <w:tcW w:w="4683" w:type="dxa"/>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Population reliée à un système de collecte d’eaux usées (doté ou non d’installations de traitement)</w:t>
            </w:r>
          </w:p>
        </w:tc>
        <w:tc>
          <w:tcPr>
            <w:tcW w:w="4737" w:type="dxa"/>
          </w:tcPr>
          <w:p w:rsidR="00614F51" w:rsidRPr="007C4E01" w:rsidRDefault="00614F51" w:rsidP="00972D9B">
            <w:pPr>
              <w:spacing w:after="120"/>
              <w:rPr>
                <w:lang w:val="fr-CH"/>
              </w:rPr>
            </w:pPr>
            <w:r w:rsidRPr="007C4E01">
              <w:rPr>
                <w:lang w:val="fr-CH" w:eastAsia="zh-CN"/>
              </w:rPr>
              <w:t>Priorité paneuropéenne, objectif environnemental mondial, résilience, efficacité, considérations touchant la santé et le bien-être dans le concept d’économie verte, collecte de données au moyen du questionnaire de la Division de statistique PNUE/</w:t>
            </w:r>
            <w:r w:rsidR="00F102FC" w:rsidRPr="007C4E01">
              <w:rPr>
                <w:lang w:val="fr-CH" w:eastAsia="zh-CN"/>
              </w:rPr>
              <w:t>O</w:t>
            </w:r>
            <w:r w:rsidRPr="007C4E01">
              <w:rPr>
                <w:lang w:val="fr-CH" w:eastAsia="zh-CN"/>
              </w:rPr>
              <w:t>NU, collecte d données en vertu du Protocole sur l’eau et la santé</w:t>
            </w:r>
            <w:r w:rsidR="00F102FC" w:rsidRPr="007C4E01">
              <w:rPr>
                <w:lang w:val="fr-CH" w:eastAsia="zh-CN"/>
              </w:rPr>
              <w:t xml:space="preserve"> de la CEE</w:t>
            </w:r>
          </w:p>
        </w:tc>
      </w:tr>
      <w:tr w:rsidR="00614F51" w:rsidRPr="007C4E01" w:rsidTr="008D3539">
        <w:tc>
          <w:tcPr>
            <w:tcW w:w="630" w:type="dxa"/>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33</w:t>
            </w:r>
          </w:p>
        </w:tc>
        <w:tc>
          <w:tcPr>
            <w:tcW w:w="4683" w:type="dxa"/>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Indices d’exploitation de l’eau</w:t>
            </w:r>
          </w:p>
        </w:tc>
        <w:tc>
          <w:tcPr>
            <w:tcW w:w="4737" w:type="dxa"/>
          </w:tcPr>
          <w:p w:rsidR="00614F51" w:rsidRPr="007C4E01" w:rsidRDefault="00614F51" w:rsidP="00C774DB">
            <w:pPr>
              <w:spacing w:after="120"/>
              <w:rPr>
                <w:lang w:val="fr-CH"/>
              </w:rPr>
            </w:pPr>
            <w:r w:rsidRPr="007C4E01">
              <w:rPr>
                <w:lang w:val="fr-CH" w:eastAsia="zh-CN"/>
              </w:rPr>
              <w:t>Priorité paneuropéenne, objectif environnemental mondial, résilience, efficacité, considérations touchant la santé et le bien-être dans le concept d’économie verte, collecte de données au moyen du questionnaire de la Division de statistique PNUE/</w:t>
            </w:r>
            <w:r w:rsidR="00F102FC" w:rsidRPr="007C4E01">
              <w:rPr>
                <w:lang w:val="fr-CH" w:eastAsia="zh-CN"/>
              </w:rPr>
              <w:t>O</w:t>
            </w:r>
            <w:r w:rsidRPr="007C4E01">
              <w:rPr>
                <w:lang w:val="fr-CH" w:eastAsia="zh-CN"/>
              </w:rPr>
              <w:t>NU, collecte d</w:t>
            </w:r>
            <w:r w:rsidR="00F102FC" w:rsidRPr="007C4E01">
              <w:rPr>
                <w:lang w:val="fr-CH" w:eastAsia="zh-CN"/>
              </w:rPr>
              <w:t>e</w:t>
            </w:r>
            <w:r w:rsidRPr="007C4E01">
              <w:rPr>
                <w:lang w:val="fr-CH" w:eastAsia="zh-CN"/>
              </w:rPr>
              <w:t xml:space="preserve"> données en vertu du Protocole sur l’eau et la santé</w:t>
            </w:r>
            <w:r w:rsidR="00F102FC" w:rsidRPr="007C4E01">
              <w:rPr>
                <w:lang w:val="fr-CH" w:eastAsia="zh-CN"/>
              </w:rPr>
              <w:t xml:space="preserve"> de la CEE</w:t>
            </w:r>
          </w:p>
        </w:tc>
      </w:tr>
      <w:tr w:rsidR="00614F51" w:rsidRPr="007C4E01" w:rsidTr="008D3539">
        <w:tc>
          <w:tcPr>
            <w:tcW w:w="630" w:type="dxa"/>
            <w:tcBorders>
              <w:bottom w:val="single" w:sz="12" w:space="0" w:color="auto"/>
            </w:tcBorders>
          </w:tcPr>
          <w:p w:rsidR="00614F51" w:rsidRPr="007C4E01" w:rsidRDefault="00614F51" w:rsidP="00C774DB">
            <w:pPr>
              <w:tabs>
                <w:tab w:val="left" w:pos="288"/>
                <w:tab w:val="left" w:pos="576"/>
                <w:tab w:val="left" w:pos="864"/>
                <w:tab w:val="left" w:pos="1152"/>
              </w:tabs>
              <w:suppressAutoHyphens/>
              <w:spacing w:before="40" w:after="120"/>
              <w:ind w:right="40"/>
              <w:rPr>
                <w:b/>
                <w:lang w:val="fr-CH" w:eastAsia="zh-CN"/>
              </w:rPr>
            </w:pPr>
            <w:r w:rsidRPr="007C4E01">
              <w:rPr>
                <w:b/>
                <w:lang w:val="fr-CH" w:eastAsia="zh-CN"/>
              </w:rPr>
              <w:t>38</w:t>
            </w:r>
          </w:p>
        </w:tc>
        <w:tc>
          <w:tcPr>
            <w:tcW w:w="4683" w:type="dxa"/>
            <w:tcBorders>
              <w:bottom w:val="single" w:sz="12" w:space="0" w:color="auto"/>
            </w:tcBorders>
          </w:tcPr>
          <w:p w:rsidR="00614F51" w:rsidRPr="007C4E01" w:rsidRDefault="00614F51" w:rsidP="00C774DB">
            <w:pPr>
              <w:tabs>
                <w:tab w:val="left" w:pos="288"/>
                <w:tab w:val="left" w:pos="576"/>
                <w:tab w:val="left" w:pos="864"/>
                <w:tab w:val="left" w:pos="1152"/>
              </w:tabs>
              <w:suppressAutoHyphens/>
              <w:spacing w:before="40" w:after="120"/>
              <w:ind w:right="397"/>
              <w:rPr>
                <w:lang w:val="fr-CH" w:eastAsia="zh-CN"/>
              </w:rPr>
            </w:pPr>
            <w:r w:rsidRPr="007C4E01">
              <w:rPr>
                <w:lang w:val="fr-CH" w:eastAsia="zh-CN"/>
              </w:rPr>
              <w:t>Population reliée et non reliée aux entreprises de distribution d’eau</w:t>
            </w:r>
          </w:p>
        </w:tc>
        <w:tc>
          <w:tcPr>
            <w:tcW w:w="4737" w:type="dxa"/>
            <w:tcBorders>
              <w:bottom w:val="single" w:sz="12" w:space="0" w:color="auto"/>
            </w:tcBorders>
          </w:tcPr>
          <w:p w:rsidR="00614F51" w:rsidRPr="007C4E01" w:rsidRDefault="00614F51" w:rsidP="00C774DB">
            <w:pPr>
              <w:spacing w:after="120"/>
              <w:rPr>
                <w:lang w:val="fr-CH"/>
              </w:rPr>
            </w:pPr>
            <w:r w:rsidRPr="007C4E01">
              <w:rPr>
                <w:lang w:val="fr-CH" w:eastAsia="zh-CN"/>
              </w:rPr>
              <w:t>Priorité paneuropéenne, objectif environnemental mondial, résilience, efficacité, considérations touchant la santé et le bien-être dans le concept d’économie verte, collecte de données au moyen du questionnaire de la Division de statistique PNUE/</w:t>
            </w:r>
            <w:r w:rsidR="00F102FC" w:rsidRPr="007C4E01">
              <w:rPr>
                <w:lang w:val="fr-CH" w:eastAsia="zh-CN"/>
              </w:rPr>
              <w:t>O</w:t>
            </w:r>
            <w:r w:rsidRPr="007C4E01">
              <w:rPr>
                <w:lang w:val="fr-CH" w:eastAsia="zh-CN"/>
              </w:rPr>
              <w:t>NU, collecte d</w:t>
            </w:r>
            <w:r w:rsidR="00F102FC" w:rsidRPr="007C4E01">
              <w:rPr>
                <w:lang w:val="fr-CH" w:eastAsia="zh-CN"/>
              </w:rPr>
              <w:t>e</w:t>
            </w:r>
            <w:r w:rsidRPr="007C4E01">
              <w:rPr>
                <w:lang w:val="fr-CH" w:eastAsia="zh-CN"/>
              </w:rPr>
              <w:t xml:space="preserve"> données en vertu du Protocole sur l’eau et la santé</w:t>
            </w:r>
            <w:r w:rsidR="00F102FC" w:rsidRPr="007C4E01">
              <w:rPr>
                <w:lang w:val="fr-CH" w:eastAsia="zh-CN"/>
              </w:rPr>
              <w:t xml:space="preserve"> de la CEE</w:t>
            </w:r>
          </w:p>
        </w:tc>
      </w:tr>
    </w:tbl>
    <w:p w:rsidR="00614F51" w:rsidRPr="007C4E01" w:rsidRDefault="00614F51" w:rsidP="00F102FC">
      <w:pPr>
        <w:pStyle w:val="SingleTxt"/>
        <w:spacing w:after="0" w:line="120" w:lineRule="exact"/>
        <w:rPr>
          <w:sz w:val="10"/>
          <w:lang w:val="fr-CH"/>
        </w:rPr>
      </w:pPr>
    </w:p>
    <w:p w:rsidR="00614F51" w:rsidRPr="007C4E01" w:rsidRDefault="00F102FC" w:rsidP="00F102FC">
      <w:pPr>
        <w:pStyle w:val="FootnoteText"/>
        <w:tabs>
          <w:tab w:val="right" w:pos="216"/>
          <w:tab w:val="left" w:pos="288"/>
          <w:tab w:val="right" w:pos="576"/>
          <w:tab w:val="left" w:pos="648"/>
        </w:tabs>
        <w:ind w:left="288" w:hanging="288"/>
        <w:rPr>
          <w:lang w:val="fr-CH"/>
        </w:rPr>
      </w:pPr>
      <w:r w:rsidRPr="007C4E01">
        <w:rPr>
          <w:i/>
          <w:iCs/>
          <w:vertAlign w:val="superscript"/>
          <w:lang w:val="fr-CH"/>
        </w:rPr>
        <w:tab/>
        <w:t>a</w:t>
      </w:r>
      <w:r w:rsidRPr="007C4E01">
        <w:rPr>
          <w:i/>
          <w:iCs/>
          <w:vertAlign w:val="superscript"/>
          <w:lang w:val="fr-CH"/>
        </w:rPr>
        <w:tab/>
      </w:r>
      <w:r w:rsidR="00614F51" w:rsidRPr="007C4E01">
        <w:rPr>
          <w:lang w:val="fr-CH"/>
        </w:rPr>
        <w:t>Convention sur la pollution atmosphérique transfrontière à longue distance (CPATLD).</w:t>
      </w:r>
    </w:p>
    <w:p w:rsidR="00614F51" w:rsidRPr="007C4E01" w:rsidRDefault="00F102FC" w:rsidP="00F102FC">
      <w:pPr>
        <w:pStyle w:val="FootnoteText"/>
        <w:tabs>
          <w:tab w:val="right" w:pos="216"/>
          <w:tab w:val="left" w:pos="288"/>
          <w:tab w:val="right" w:pos="576"/>
          <w:tab w:val="left" w:pos="648"/>
        </w:tabs>
        <w:ind w:left="288" w:hanging="288"/>
        <w:rPr>
          <w:lang w:val="fr-CH"/>
        </w:rPr>
      </w:pPr>
      <w:r w:rsidRPr="007C4E01">
        <w:rPr>
          <w:i/>
          <w:iCs/>
          <w:vertAlign w:val="superscript"/>
          <w:lang w:val="fr-CH"/>
        </w:rPr>
        <w:tab/>
      </w:r>
      <w:r w:rsidR="00614F51" w:rsidRPr="007C4E01">
        <w:rPr>
          <w:i/>
          <w:iCs/>
          <w:vertAlign w:val="superscript"/>
          <w:lang w:val="fr-CH"/>
        </w:rPr>
        <w:t>b</w:t>
      </w:r>
      <w:r w:rsidR="00F041C3" w:rsidRPr="007C4E01">
        <w:rPr>
          <w:i/>
          <w:lang w:val="fr-CH"/>
        </w:rPr>
        <w:t xml:space="preserve"> </w:t>
      </w:r>
      <w:r w:rsidRPr="007C4E01">
        <w:rPr>
          <w:i/>
          <w:lang w:val="fr-CH"/>
        </w:rPr>
        <w:tab/>
      </w:r>
      <w:r w:rsidR="00614F51" w:rsidRPr="007C4E01">
        <w:rPr>
          <w:lang w:val="fr-CH"/>
        </w:rPr>
        <w:t>Protocole sur les registres des</w:t>
      </w:r>
      <w:r w:rsidR="00F041C3" w:rsidRPr="007C4E01">
        <w:rPr>
          <w:lang w:val="fr-CH"/>
        </w:rPr>
        <w:t xml:space="preserve"> </w:t>
      </w:r>
      <w:r w:rsidR="00614F51" w:rsidRPr="007C4E01">
        <w:rPr>
          <w:lang w:val="fr-CH"/>
        </w:rPr>
        <w:t>rejets et transferts de polluants (</w:t>
      </w:r>
      <w:r w:rsidRPr="007C4E01">
        <w:rPr>
          <w:lang w:val="fr-CH"/>
        </w:rPr>
        <w:t>PRDTP</w:t>
      </w:r>
      <w:r w:rsidR="00614F51" w:rsidRPr="007C4E01">
        <w:rPr>
          <w:lang w:val="fr-CH"/>
        </w:rPr>
        <w:t>).</w:t>
      </w:r>
    </w:p>
    <w:p w:rsidR="00614F51" w:rsidRPr="007C4E01" w:rsidRDefault="00F102FC" w:rsidP="00F102FC">
      <w:pPr>
        <w:pStyle w:val="FootnoteText"/>
        <w:tabs>
          <w:tab w:val="right" w:pos="216"/>
          <w:tab w:val="left" w:pos="288"/>
          <w:tab w:val="right" w:pos="576"/>
          <w:tab w:val="left" w:pos="648"/>
        </w:tabs>
        <w:ind w:left="288" w:hanging="288"/>
        <w:rPr>
          <w:lang w:val="fr-CH"/>
        </w:rPr>
      </w:pPr>
      <w:r w:rsidRPr="007C4E01">
        <w:rPr>
          <w:i/>
          <w:iCs/>
          <w:vertAlign w:val="superscript"/>
          <w:lang w:val="fr-CH"/>
        </w:rPr>
        <w:tab/>
      </w:r>
      <w:r w:rsidR="00EA510E" w:rsidRPr="007C4E01">
        <w:rPr>
          <w:i/>
          <w:iCs/>
          <w:vertAlign w:val="superscript"/>
          <w:lang w:val="fr-CH"/>
        </w:rPr>
        <w:t>c</w:t>
      </w:r>
      <w:r w:rsidRPr="007C4E01">
        <w:rPr>
          <w:i/>
          <w:iCs/>
          <w:vertAlign w:val="superscript"/>
          <w:lang w:val="fr-CH"/>
        </w:rPr>
        <w:tab/>
      </w:r>
      <w:r w:rsidR="00614F51" w:rsidRPr="007C4E01">
        <w:rPr>
          <w:lang w:val="fr-CH"/>
        </w:rPr>
        <w:t>Convention de Bâle sur le contrôle des mouvements transfrontières de déchets dangereux et de leur élimination.</w:t>
      </w:r>
    </w:p>
    <w:p w:rsidR="00614F51" w:rsidRPr="007C4E01" w:rsidRDefault="00EA510E" w:rsidP="00F102FC">
      <w:pPr>
        <w:pStyle w:val="FootnoteText"/>
        <w:tabs>
          <w:tab w:val="right" w:pos="216"/>
          <w:tab w:val="left" w:pos="288"/>
          <w:tab w:val="right" w:pos="576"/>
          <w:tab w:val="left" w:pos="648"/>
        </w:tabs>
        <w:ind w:left="288" w:hanging="288"/>
        <w:rPr>
          <w:lang w:val="fr-CH"/>
        </w:rPr>
      </w:pPr>
      <w:r w:rsidRPr="007C4E01">
        <w:rPr>
          <w:i/>
          <w:lang w:val="fr-CH"/>
        </w:rPr>
        <w:tab/>
      </w:r>
      <w:r w:rsidRPr="007C4E01">
        <w:rPr>
          <w:i/>
          <w:vertAlign w:val="superscript"/>
          <w:lang w:val="fr-CH"/>
        </w:rPr>
        <w:t>d</w:t>
      </w:r>
      <w:r w:rsidRPr="007C4E01">
        <w:rPr>
          <w:i/>
          <w:lang w:val="fr-CH"/>
        </w:rPr>
        <w:tab/>
      </w:r>
      <w:r w:rsidR="00614F51" w:rsidRPr="007C4E01">
        <w:rPr>
          <w:lang w:val="fr-CH"/>
        </w:rPr>
        <w:t>Protocol</w:t>
      </w:r>
      <w:r w:rsidRPr="007C4E01">
        <w:rPr>
          <w:lang w:val="fr-CH"/>
        </w:rPr>
        <w:t>e</w:t>
      </w:r>
      <w:r w:rsidR="00614F51" w:rsidRPr="007C4E01">
        <w:rPr>
          <w:lang w:val="fr-CH"/>
        </w:rPr>
        <w:t xml:space="preserve"> de Montréal relatif aux substances appauvrissant la couche d’ozone.</w:t>
      </w:r>
    </w:p>
    <w:p w:rsidR="00614F51" w:rsidRPr="007C4E01" w:rsidRDefault="00EA510E" w:rsidP="00F102FC">
      <w:pPr>
        <w:pStyle w:val="FootnoteText"/>
        <w:tabs>
          <w:tab w:val="right" w:pos="216"/>
          <w:tab w:val="left" w:pos="288"/>
          <w:tab w:val="right" w:pos="576"/>
          <w:tab w:val="left" w:pos="648"/>
        </w:tabs>
        <w:ind w:left="288" w:hanging="288"/>
        <w:rPr>
          <w:lang w:val="fr-CH"/>
        </w:rPr>
      </w:pPr>
      <w:r w:rsidRPr="007C4E01">
        <w:rPr>
          <w:lang w:val="fr-CH"/>
        </w:rPr>
        <w:tab/>
      </w:r>
      <w:r w:rsidRPr="007C4E01">
        <w:rPr>
          <w:i/>
          <w:vertAlign w:val="superscript"/>
          <w:lang w:val="fr-CH"/>
        </w:rPr>
        <w:t>e</w:t>
      </w:r>
      <w:r w:rsidRPr="007C4E01">
        <w:rPr>
          <w:lang w:val="fr-CH"/>
        </w:rPr>
        <w:tab/>
      </w:r>
      <w:r w:rsidR="00614F51" w:rsidRPr="007C4E01">
        <w:rPr>
          <w:lang w:val="fr-CH"/>
        </w:rPr>
        <w:t>Convention de Vienne pour la protection de la couche d’ozone.</w:t>
      </w:r>
    </w:p>
    <w:p w:rsidR="00E27101" w:rsidRPr="007C4E01" w:rsidRDefault="00614F51" w:rsidP="00614F51">
      <w:pPr>
        <w:pStyle w:val="SingleTxt"/>
        <w:spacing w:after="0" w:line="240" w:lineRule="auto"/>
        <w:rPr>
          <w:lang w:val="fr-CH"/>
        </w:rPr>
      </w:pPr>
      <w:r w:rsidRPr="007C4E01">
        <w:rPr>
          <w:noProof/>
          <w:w w:val="100"/>
          <w:lang w:val="en-GB" w:eastAsia="en-GB"/>
        </w:rPr>
        <mc:AlternateContent>
          <mc:Choice Requires="wps">
            <w:drawing>
              <wp:anchor distT="0" distB="0" distL="114300" distR="114300" simplePos="0" relativeHeight="251659264" behindDoc="0" locked="0" layoutInCell="1" allowOverlap="1" wp14:anchorId="22D9B1D8" wp14:editId="1488764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27101" w:rsidRPr="007C4E01" w:rsidSect="00705F17">
      <w:headerReference w:type="even" r:id="rId22"/>
      <w:headerReference w:type="default" r:id="rId23"/>
      <w:footerReference w:type="even" r:id="rId24"/>
      <w:footerReference w:type="default" r:id="rId25"/>
      <w:endnotePr>
        <w:numFmt w:val="decimal"/>
      </w:endnotePr>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0F" w:rsidRDefault="00D3650F" w:rsidP="00F3330B">
      <w:pPr>
        <w:spacing w:line="240" w:lineRule="auto"/>
      </w:pPr>
      <w:r>
        <w:separator/>
      </w:r>
    </w:p>
  </w:endnote>
  <w:endnote w:type="continuationSeparator" w:id="0">
    <w:p w:rsidR="00D3650F" w:rsidRDefault="00D3650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650F" w:rsidTr="001B53B7">
      <w:trPr>
        <w:jc w:val="center"/>
      </w:trPr>
      <w:tc>
        <w:tcPr>
          <w:tcW w:w="5126" w:type="dxa"/>
          <w:shd w:val="clear" w:color="auto" w:fill="auto"/>
        </w:tcPr>
        <w:p w:rsidR="00D3650F" w:rsidRPr="001B53B7" w:rsidRDefault="00D3650F" w:rsidP="001B53B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62C">
            <w:rPr>
              <w:b w:val="0"/>
              <w:w w:val="103"/>
              <w:sz w:val="14"/>
            </w:rPr>
            <w:t>GE.16-01191</w:t>
          </w:r>
          <w:r>
            <w:rPr>
              <w:b w:val="0"/>
              <w:w w:val="103"/>
              <w:sz w:val="14"/>
            </w:rPr>
            <w:fldChar w:fldCharType="end"/>
          </w:r>
        </w:p>
      </w:tc>
      <w:tc>
        <w:tcPr>
          <w:tcW w:w="5127" w:type="dxa"/>
          <w:shd w:val="clear" w:color="auto" w:fill="auto"/>
        </w:tcPr>
        <w:p w:rsidR="00D3650F" w:rsidRPr="001B53B7" w:rsidRDefault="00D3650F" w:rsidP="001B53B7">
          <w:pPr>
            <w:pStyle w:val="Footer"/>
            <w:rPr>
              <w:w w:val="103"/>
            </w:rPr>
          </w:pPr>
          <w:r>
            <w:rPr>
              <w:w w:val="103"/>
            </w:rPr>
            <w:fldChar w:fldCharType="begin"/>
          </w:r>
          <w:r>
            <w:rPr>
              <w:w w:val="103"/>
            </w:rPr>
            <w:instrText xml:space="preserve"> PAGE  \* Arabic  \* MERGEFORMAT </w:instrText>
          </w:r>
          <w:r>
            <w:rPr>
              <w:w w:val="103"/>
            </w:rPr>
            <w:fldChar w:fldCharType="separate"/>
          </w:r>
          <w:r w:rsidR="0002410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106">
            <w:rPr>
              <w:noProof/>
              <w:w w:val="103"/>
            </w:rPr>
            <w:t>32</w:t>
          </w:r>
          <w:r>
            <w:rPr>
              <w:w w:val="103"/>
            </w:rPr>
            <w:fldChar w:fldCharType="end"/>
          </w:r>
        </w:p>
      </w:tc>
    </w:tr>
  </w:tbl>
  <w:p w:rsidR="00D3650F" w:rsidRPr="001B53B7" w:rsidRDefault="00D3650F" w:rsidP="001B5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650F" w:rsidTr="001B53B7">
      <w:trPr>
        <w:jc w:val="center"/>
      </w:trPr>
      <w:tc>
        <w:tcPr>
          <w:tcW w:w="5126" w:type="dxa"/>
          <w:shd w:val="clear" w:color="auto" w:fill="auto"/>
        </w:tcPr>
        <w:p w:rsidR="00D3650F" w:rsidRPr="001B53B7" w:rsidRDefault="00D3650F" w:rsidP="001B53B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24106">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106">
            <w:rPr>
              <w:noProof/>
              <w:w w:val="103"/>
            </w:rPr>
            <w:t>13</w:t>
          </w:r>
          <w:r>
            <w:rPr>
              <w:w w:val="103"/>
            </w:rPr>
            <w:fldChar w:fldCharType="end"/>
          </w:r>
        </w:p>
      </w:tc>
      <w:tc>
        <w:tcPr>
          <w:tcW w:w="5127" w:type="dxa"/>
          <w:shd w:val="clear" w:color="auto" w:fill="auto"/>
        </w:tcPr>
        <w:p w:rsidR="00D3650F" w:rsidRPr="001B53B7" w:rsidRDefault="00D3650F" w:rsidP="001B53B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62C">
            <w:rPr>
              <w:b w:val="0"/>
              <w:w w:val="103"/>
              <w:sz w:val="14"/>
            </w:rPr>
            <w:t>GE.16-01191</w:t>
          </w:r>
          <w:r>
            <w:rPr>
              <w:b w:val="0"/>
              <w:w w:val="103"/>
              <w:sz w:val="14"/>
            </w:rPr>
            <w:fldChar w:fldCharType="end"/>
          </w:r>
        </w:p>
      </w:tc>
    </w:tr>
  </w:tbl>
  <w:p w:rsidR="00D3650F" w:rsidRPr="001B53B7" w:rsidRDefault="00D3650F" w:rsidP="001B5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0F" w:rsidRDefault="00D3650F">
    <w:pPr>
      <w:pStyle w:val="Footer"/>
    </w:pPr>
    <w:r>
      <w:rPr>
        <w:noProof/>
        <w:lang w:val="en-GB" w:eastAsia="en-GB"/>
      </w:rPr>
      <w:drawing>
        <wp:anchor distT="0" distB="0" distL="114300" distR="114300" simplePos="0" relativeHeight="251658240" behindDoc="0" locked="0" layoutInCell="1" allowOverlap="1" wp14:anchorId="4D9F7C93" wp14:editId="7A7AF55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S/2016/L.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3650F" w:rsidTr="001B53B7">
      <w:tc>
        <w:tcPr>
          <w:tcW w:w="3859" w:type="dxa"/>
        </w:tcPr>
        <w:p w:rsidR="00D3650F" w:rsidRDefault="00D3650F" w:rsidP="001B53B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E562C">
            <w:rPr>
              <w:b w:val="0"/>
              <w:sz w:val="20"/>
            </w:rPr>
            <w:t>GE.16-01191 (F)</w:t>
          </w:r>
          <w:r>
            <w:rPr>
              <w:b w:val="0"/>
              <w:sz w:val="20"/>
            </w:rPr>
            <w:fldChar w:fldCharType="end"/>
          </w:r>
          <w:r>
            <w:rPr>
              <w:b w:val="0"/>
              <w:sz w:val="20"/>
            </w:rPr>
            <w:t xml:space="preserve">    190216    230216</w:t>
          </w:r>
        </w:p>
        <w:p w:rsidR="00D3650F" w:rsidRPr="001B53B7" w:rsidRDefault="00D3650F" w:rsidP="001B53B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E562C">
            <w:rPr>
              <w:rFonts w:ascii="Barcode 3 of 9 by request" w:hAnsi="Barcode 3 of 9 by request"/>
              <w:b w:val="0"/>
              <w:spacing w:val="0"/>
              <w:w w:val="100"/>
              <w:sz w:val="24"/>
            </w:rPr>
            <w:t>*1601191*</w:t>
          </w:r>
          <w:r>
            <w:rPr>
              <w:rFonts w:ascii="Barcode 3 of 9 by request" w:hAnsi="Barcode 3 of 9 by request"/>
              <w:b w:val="0"/>
              <w:spacing w:val="0"/>
              <w:w w:val="100"/>
              <w:sz w:val="24"/>
            </w:rPr>
            <w:fldChar w:fldCharType="end"/>
          </w:r>
        </w:p>
      </w:tc>
      <w:tc>
        <w:tcPr>
          <w:tcW w:w="5127" w:type="dxa"/>
        </w:tcPr>
        <w:p w:rsidR="00D3650F" w:rsidRDefault="00D3650F" w:rsidP="001B53B7">
          <w:pPr>
            <w:pStyle w:val="Footer"/>
            <w:spacing w:line="240" w:lineRule="atLeast"/>
            <w:jc w:val="right"/>
            <w:rPr>
              <w:b w:val="0"/>
              <w:sz w:val="20"/>
            </w:rPr>
          </w:pPr>
          <w:r>
            <w:rPr>
              <w:b w:val="0"/>
              <w:noProof/>
              <w:sz w:val="20"/>
              <w:lang w:val="en-GB" w:eastAsia="en-GB"/>
            </w:rPr>
            <w:drawing>
              <wp:inline distT="0" distB="0" distL="0" distR="0" wp14:anchorId="5A22A73A" wp14:editId="7E7644B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3650F" w:rsidRPr="001B53B7" w:rsidRDefault="00D3650F" w:rsidP="001B53B7">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3650F" w:rsidRPr="00705F17" w:rsidTr="00705F17">
      <w:trPr>
        <w:cantSplit/>
        <w:trHeight w:val="4781"/>
      </w:trPr>
      <w:tc>
        <w:tcPr>
          <w:tcW w:w="13407" w:type="dxa"/>
          <w:shd w:val="clear" w:color="auto" w:fill="auto"/>
          <w:textDirection w:val="tbRl"/>
        </w:tcPr>
        <w:p w:rsidR="00D3650F" w:rsidRPr="00705F17" w:rsidRDefault="00D3650F" w:rsidP="00705F17">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024106">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106">
            <w:rPr>
              <w:noProof/>
              <w:w w:val="103"/>
            </w:rPr>
            <w:t>19</w:t>
          </w:r>
          <w:r>
            <w:rPr>
              <w:w w:val="103"/>
            </w:rPr>
            <w:fldChar w:fldCharType="end"/>
          </w:r>
        </w:p>
      </w:tc>
    </w:tr>
    <w:tr w:rsidR="00D3650F" w:rsidRPr="00705F17" w:rsidTr="00705F17">
      <w:trPr>
        <w:cantSplit/>
        <w:trHeight w:val="4781"/>
      </w:trPr>
      <w:tc>
        <w:tcPr>
          <w:tcW w:w="13407" w:type="dxa"/>
          <w:shd w:val="clear" w:color="auto" w:fill="auto"/>
          <w:textDirection w:val="tbRl"/>
        </w:tcPr>
        <w:p w:rsidR="00D3650F" w:rsidRPr="00705F17" w:rsidRDefault="00D3650F" w:rsidP="00705F17">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62C">
            <w:rPr>
              <w:b w:val="0"/>
              <w:w w:val="103"/>
              <w:sz w:val="14"/>
            </w:rPr>
            <w:t>GE.16-01191</w:t>
          </w:r>
          <w:r>
            <w:rPr>
              <w:b w:val="0"/>
              <w:w w:val="103"/>
              <w:sz w:val="14"/>
            </w:rPr>
            <w:fldChar w:fldCharType="end"/>
          </w:r>
        </w:p>
      </w:tc>
    </w:tr>
  </w:tbl>
  <w:p w:rsidR="00D3650F" w:rsidRPr="00705F17" w:rsidRDefault="00D3650F" w:rsidP="00705F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3650F" w:rsidRPr="00705F17" w:rsidTr="00705F17">
      <w:trPr>
        <w:cantSplit/>
        <w:trHeight w:val="4781"/>
      </w:trPr>
      <w:tc>
        <w:tcPr>
          <w:tcW w:w="13407" w:type="dxa"/>
          <w:shd w:val="clear" w:color="auto" w:fill="auto"/>
          <w:textDirection w:val="tbRl"/>
        </w:tcPr>
        <w:p w:rsidR="00D3650F" w:rsidRPr="00705F17" w:rsidRDefault="00D3650F" w:rsidP="00705F17">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62C">
            <w:rPr>
              <w:b w:val="0"/>
              <w:w w:val="103"/>
              <w:sz w:val="14"/>
            </w:rPr>
            <w:t>GE.16-01191</w:t>
          </w:r>
          <w:r>
            <w:rPr>
              <w:b w:val="0"/>
              <w:w w:val="103"/>
              <w:sz w:val="14"/>
            </w:rPr>
            <w:fldChar w:fldCharType="end"/>
          </w:r>
        </w:p>
      </w:tc>
    </w:tr>
    <w:tr w:rsidR="00D3650F" w:rsidRPr="00705F17" w:rsidTr="00705F17">
      <w:trPr>
        <w:cantSplit/>
        <w:trHeight w:val="4781"/>
      </w:trPr>
      <w:tc>
        <w:tcPr>
          <w:tcW w:w="13407" w:type="dxa"/>
          <w:shd w:val="clear" w:color="auto" w:fill="auto"/>
          <w:textDirection w:val="tbRl"/>
        </w:tcPr>
        <w:p w:rsidR="00D3650F" w:rsidRPr="00705F17" w:rsidRDefault="00D3650F" w:rsidP="00705F17">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024106">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106">
            <w:rPr>
              <w:noProof/>
              <w:w w:val="103"/>
            </w:rPr>
            <w:t>16</w:t>
          </w:r>
          <w:r>
            <w:rPr>
              <w:w w:val="103"/>
            </w:rPr>
            <w:fldChar w:fldCharType="end"/>
          </w:r>
        </w:p>
      </w:tc>
    </w:tr>
  </w:tbl>
  <w:p w:rsidR="00D3650F" w:rsidRPr="00705F17" w:rsidRDefault="00D3650F" w:rsidP="00705F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650F" w:rsidTr="001B53B7">
      <w:trPr>
        <w:jc w:val="center"/>
      </w:trPr>
      <w:tc>
        <w:tcPr>
          <w:tcW w:w="5126" w:type="dxa"/>
          <w:shd w:val="clear" w:color="auto" w:fill="auto"/>
        </w:tcPr>
        <w:p w:rsidR="00D3650F" w:rsidRPr="001B53B7" w:rsidRDefault="00D3650F" w:rsidP="001B53B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62C">
            <w:rPr>
              <w:b w:val="0"/>
              <w:w w:val="103"/>
              <w:sz w:val="14"/>
            </w:rPr>
            <w:t>GE.16-01191</w:t>
          </w:r>
          <w:r>
            <w:rPr>
              <w:b w:val="0"/>
              <w:w w:val="103"/>
              <w:sz w:val="14"/>
            </w:rPr>
            <w:fldChar w:fldCharType="end"/>
          </w:r>
        </w:p>
      </w:tc>
      <w:tc>
        <w:tcPr>
          <w:tcW w:w="5127" w:type="dxa"/>
          <w:shd w:val="clear" w:color="auto" w:fill="auto"/>
        </w:tcPr>
        <w:p w:rsidR="00D3650F" w:rsidRPr="001B53B7" w:rsidRDefault="00D3650F" w:rsidP="001B53B7">
          <w:pPr>
            <w:pStyle w:val="Footer"/>
            <w:rPr>
              <w:w w:val="103"/>
            </w:rPr>
          </w:pPr>
          <w:r>
            <w:rPr>
              <w:w w:val="103"/>
            </w:rPr>
            <w:fldChar w:fldCharType="begin"/>
          </w:r>
          <w:r>
            <w:rPr>
              <w:w w:val="103"/>
            </w:rPr>
            <w:instrText xml:space="preserve"> PAGE  \* Arabic  \* MERGEFORMAT </w:instrText>
          </w:r>
          <w:r>
            <w:rPr>
              <w:w w:val="103"/>
            </w:rPr>
            <w:fldChar w:fldCharType="separate"/>
          </w:r>
          <w:r w:rsidR="00024106">
            <w:rPr>
              <w:noProof/>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106">
            <w:rPr>
              <w:noProof/>
              <w:w w:val="103"/>
            </w:rPr>
            <w:t>32</w:t>
          </w:r>
          <w:r>
            <w:rPr>
              <w:w w:val="103"/>
            </w:rPr>
            <w:fldChar w:fldCharType="end"/>
          </w:r>
        </w:p>
      </w:tc>
    </w:tr>
  </w:tbl>
  <w:p w:rsidR="00D3650F" w:rsidRPr="001B53B7" w:rsidRDefault="00D3650F" w:rsidP="001B53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650F" w:rsidTr="001B53B7">
      <w:trPr>
        <w:jc w:val="center"/>
      </w:trPr>
      <w:tc>
        <w:tcPr>
          <w:tcW w:w="5126" w:type="dxa"/>
          <w:shd w:val="clear" w:color="auto" w:fill="auto"/>
        </w:tcPr>
        <w:p w:rsidR="00D3650F" w:rsidRPr="001B53B7" w:rsidRDefault="00D3650F" w:rsidP="001B53B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24106">
            <w:rPr>
              <w:noProof/>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106">
            <w:rPr>
              <w:noProof/>
              <w:w w:val="103"/>
            </w:rPr>
            <w:t>31</w:t>
          </w:r>
          <w:r>
            <w:rPr>
              <w:w w:val="103"/>
            </w:rPr>
            <w:fldChar w:fldCharType="end"/>
          </w:r>
        </w:p>
      </w:tc>
      <w:tc>
        <w:tcPr>
          <w:tcW w:w="5127" w:type="dxa"/>
          <w:shd w:val="clear" w:color="auto" w:fill="auto"/>
        </w:tcPr>
        <w:p w:rsidR="00D3650F" w:rsidRPr="001B53B7" w:rsidRDefault="00D3650F" w:rsidP="001B53B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562C">
            <w:rPr>
              <w:b w:val="0"/>
              <w:w w:val="103"/>
              <w:sz w:val="14"/>
            </w:rPr>
            <w:t>GE.16-01191</w:t>
          </w:r>
          <w:r>
            <w:rPr>
              <w:b w:val="0"/>
              <w:w w:val="103"/>
              <w:sz w:val="14"/>
            </w:rPr>
            <w:fldChar w:fldCharType="end"/>
          </w:r>
        </w:p>
      </w:tc>
    </w:tr>
  </w:tbl>
  <w:p w:rsidR="00D3650F" w:rsidRPr="001B53B7" w:rsidRDefault="00D3650F" w:rsidP="001B5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0F" w:rsidRPr="0023065F" w:rsidRDefault="00D3650F" w:rsidP="0023065F">
      <w:pPr>
        <w:pStyle w:val="Footer"/>
        <w:spacing w:after="80"/>
        <w:ind w:left="792"/>
        <w:rPr>
          <w:sz w:val="16"/>
        </w:rPr>
      </w:pPr>
      <w:r w:rsidRPr="0023065F">
        <w:rPr>
          <w:sz w:val="16"/>
        </w:rPr>
        <w:t>__________________</w:t>
      </w:r>
    </w:p>
  </w:footnote>
  <w:footnote w:type="continuationSeparator" w:id="0">
    <w:p w:rsidR="00D3650F" w:rsidRPr="0023065F" w:rsidRDefault="00D3650F" w:rsidP="0023065F">
      <w:pPr>
        <w:pStyle w:val="Footer"/>
        <w:spacing w:after="80"/>
        <w:ind w:left="792"/>
        <w:rPr>
          <w:sz w:val="16"/>
        </w:rPr>
      </w:pPr>
      <w:r w:rsidRPr="0023065F">
        <w:rPr>
          <w:sz w:val="16"/>
        </w:rPr>
        <w:t>__________________</w:t>
      </w:r>
    </w:p>
  </w:footnote>
  <w:footnote w:id="1">
    <w:p w:rsidR="00D3650F" w:rsidRDefault="00D3650F" w:rsidP="0023065F">
      <w:pPr>
        <w:pStyle w:val="FootnoteText"/>
        <w:tabs>
          <w:tab w:val="right" w:pos="1195"/>
          <w:tab w:val="left" w:pos="1267"/>
          <w:tab w:val="left" w:pos="1742"/>
          <w:tab w:val="left" w:pos="2218"/>
          <w:tab w:val="left" w:pos="2693"/>
        </w:tabs>
        <w:ind w:left="1267" w:right="1260" w:hanging="432"/>
      </w:pPr>
      <w:r>
        <w:tab/>
        <w:t>*</w:t>
      </w:r>
      <w:r>
        <w:tab/>
        <w:t>Le présent document a été soumis à la date indiquée ci-dessus en raison de la nécessité de consulter les partenaires.</w:t>
      </w:r>
    </w:p>
  </w:footnote>
  <w:footnote w:id="2">
    <w:p w:rsidR="00D3650F" w:rsidRDefault="00D3650F" w:rsidP="0023065F">
      <w:pPr>
        <w:pStyle w:val="FootnoteText"/>
        <w:tabs>
          <w:tab w:val="right" w:pos="1195"/>
          <w:tab w:val="left" w:pos="1267"/>
          <w:tab w:val="left" w:pos="1742"/>
          <w:tab w:val="left" w:pos="2218"/>
          <w:tab w:val="left" w:pos="2693"/>
        </w:tabs>
        <w:ind w:left="1267" w:right="1260" w:hanging="432"/>
      </w:pPr>
      <w:r>
        <w:tab/>
        <w:t>**</w:t>
      </w:r>
      <w:r>
        <w:tab/>
        <w:t>Le présent document n’a pas été revu par les services d’édition.</w:t>
      </w:r>
    </w:p>
  </w:footnote>
  <w:footnote w:id="3">
    <w:p w:rsidR="00D3650F" w:rsidRDefault="00D3650F" w:rsidP="0023065F">
      <w:pPr>
        <w:pStyle w:val="FootnoteText"/>
        <w:tabs>
          <w:tab w:val="right" w:pos="1195"/>
          <w:tab w:val="left" w:pos="1267"/>
          <w:tab w:val="left" w:pos="1742"/>
          <w:tab w:val="left" w:pos="2218"/>
          <w:tab w:val="left" w:pos="2693"/>
        </w:tabs>
        <w:ind w:left="1267" w:right="1260" w:hanging="432"/>
      </w:pPr>
      <w:r>
        <w:tab/>
      </w:r>
      <w:r w:rsidRPr="00F041C3">
        <w:rPr>
          <w:rStyle w:val="FootnoteReference"/>
        </w:rPr>
        <w:footnoteRef/>
      </w:r>
      <w:r>
        <w:tab/>
        <w:t>La région paneuropéenne dans le cadre du processus « Un environnement pour l’Europe » comprend la totalité des 56 États membres de la CEE.</w:t>
      </w:r>
    </w:p>
  </w:footnote>
  <w:footnote w:id="4">
    <w:p w:rsidR="00D3650F" w:rsidRDefault="00D3650F" w:rsidP="0023065F">
      <w:pPr>
        <w:pStyle w:val="FootnoteText"/>
        <w:widowControl w:val="0"/>
        <w:tabs>
          <w:tab w:val="right" w:pos="1195"/>
          <w:tab w:val="left" w:pos="1267"/>
          <w:tab w:val="left" w:pos="1742"/>
          <w:tab w:val="left" w:pos="2218"/>
          <w:tab w:val="left" w:pos="2693"/>
        </w:tabs>
        <w:ind w:left="1267" w:right="1260" w:hanging="432"/>
        <w:rPr>
          <w:lang w:val="en-US"/>
        </w:rPr>
      </w:pPr>
      <w:r>
        <w:tab/>
      </w:r>
      <w:r w:rsidRPr="00F041C3">
        <w:rPr>
          <w:rStyle w:val="FootnoteReference"/>
        </w:rPr>
        <w:footnoteRef/>
      </w:r>
      <w:r>
        <w:tab/>
        <w:t xml:space="preserve">L’expression « série de données » englobe à la fois les statistiques et les indicateurs en matière d’environnement. </w:t>
      </w:r>
    </w:p>
  </w:footnote>
  <w:footnote w:id="5">
    <w:p w:rsidR="00D3650F" w:rsidRDefault="00D3650F" w:rsidP="0023065F">
      <w:pPr>
        <w:pStyle w:val="FootnoteText"/>
        <w:tabs>
          <w:tab w:val="right" w:pos="1195"/>
          <w:tab w:val="left" w:pos="1267"/>
          <w:tab w:val="left" w:pos="1742"/>
          <w:tab w:val="left" w:pos="2218"/>
          <w:tab w:val="left" w:pos="2693"/>
        </w:tabs>
        <w:ind w:left="1267" w:right="1260" w:hanging="432"/>
        <w:rPr>
          <w:lang w:val="en-US"/>
        </w:rPr>
      </w:pPr>
      <w:r>
        <w:tab/>
      </w:r>
      <w:r w:rsidRPr="00F041C3">
        <w:rPr>
          <w:rStyle w:val="FootnoteReference"/>
        </w:rPr>
        <w:footnoteRef/>
      </w:r>
      <w:r>
        <w:tab/>
        <w:t>Voir les objectifs environnementaux mondiaux du Programme des Nations Unies pour l'environnement (PNUE) (http://geg.informea.org).</w:t>
      </w:r>
    </w:p>
  </w:footnote>
  <w:footnote w:id="6">
    <w:p w:rsidR="00D3650F" w:rsidRDefault="00D3650F" w:rsidP="0023065F">
      <w:pPr>
        <w:pStyle w:val="FootnoteText"/>
        <w:widowControl w:val="0"/>
        <w:tabs>
          <w:tab w:val="right" w:pos="1195"/>
          <w:tab w:val="left" w:pos="1267"/>
          <w:tab w:val="left" w:pos="1742"/>
          <w:tab w:val="left" w:pos="2218"/>
          <w:tab w:val="left" w:pos="2693"/>
        </w:tabs>
        <w:ind w:left="1267" w:right="1260" w:hanging="432"/>
      </w:pPr>
      <w:r>
        <w:tab/>
      </w:r>
      <w:r w:rsidRPr="00F041C3">
        <w:rPr>
          <w:rStyle w:val="FootnoteReference"/>
        </w:rPr>
        <w:footnoteRef/>
      </w:r>
      <w:r>
        <w:tab/>
      </w:r>
      <w:r w:rsidR="00313044">
        <w:t>Ceci s’accorde également avec l’</w:t>
      </w:r>
      <w:r>
        <w:t>approche choisie pour le Rapport de synthèse ENPI-SEIS pour l’Europe orientale.</w:t>
      </w:r>
    </w:p>
  </w:footnote>
  <w:footnote w:id="7">
    <w:p w:rsidR="00D3650F" w:rsidRDefault="00D3650F" w:rsidP="0023065F">
      <w:pPr>
        <w:pStyle w:val="FootnoteText"/>
        <w:widowControl w:val="0"/>
        <w:tabs>
          <w:tab w:val="right" w:pos="1195"/>
          <w:tab w:val="left" w:pos="1267"/>
          <w:tab w:val="left" w:pos="1742"/>
          <w:tab w:val="left" w:pos="2218"/>
          <w:tab w:val="left" w:pos="2693"/>
        </w:tabs>
        <w:ind w:left="1267" w:right="1260" w:hanging="432"/>
      </w:pPr>
      <w:r>
        <w:tab/>
      </w:r>
      <w:r w:rsidRPr="00F041C3">
        <w:rPr>
          <w:rStyle w:val="FootnoteReference"/>
        </w:rPr>
        <w:footnoteRef/>
      </w:r>
      <w:r>
        <w:tab/>
        <w:t>Les membres de l’AEE sont les membres de la CEE également membres de l’Union européenne, auxquels s’ajoutent l’Islande, le Liechtenstein, la Norvège, la Suisse et la Turquie. L’examen des capacités requises pour l’examen incombe au secrétariat de l’AEE et à celui de la CEE.</w:t>
      </w:r>
    </w:p>
  </w:footnote>
  <w:footnote w:id="8">
    <w:p w:rsidR="00D3650F" w:rsidRDefault="00D3650F" w:rsidP="0023065F">
      <w:pPr>
        <w:pStyle w:val="FootnoteText"/>
        <w:widowControl w:val="0"/>
        <w:tabs>
          <w:tab w:val="right" w:pos="1195"/>
          <w:tab w:val="left" w:pos="1267"/>
          <w:tab w:val="left" w:pos="1742"/>
          <w:tab w:val="left" w:pos="2218"/>
          <w:tab w:val="left" w:pos="2693"/>
        </w:tabs>
        <w:ind w:left="1267" w:right="1260" w:hanging="432"/>
        <w:rPr>
          <w:lang w:val="en-US"/>
        </w:rPr>
      </w:pPr>
      <w:r>
        <w:tab/>
      </w:r>
      <w:r w:rsidRPr="00F041C3">
        <w:rPr>
          <w:rStyle w:val="FootnoteReference"/>
        </w:rPr>
        <w:footnoteRef/>
      </w:r>
      <w:r>
        <w:tab/>
        <w:t>Voir www.unep.org/uneplive.</w:t>
      </w:r>
    </w:p>
  </w:footnote>
  <w:footnote w:id="9">
    <w:p w:rsidR="00D3650F" w:rsidRDefault="00D3650F" w:rsidP="0023065F">
      <w:pPr>
        <w:pStyle w:val="FootnoteText"/>
        <w:widowControl w:val="0"/>
        <w:tabs>
          <w:tab w:val="right" w:pos="1195"/>
          <w:tab w:val="left" w:pos="1267"/>
          <w:tab w:val="left" w:pos="1742"/>
          <w:tab w:val="left" w:pos="2218"/>
          <w:tab w:val="left" w:pos="2693"/>
        </w:tabs>
        <w:ind w:left="1267" w:right="1260" w:hanging="432"/>
        <w:rPr>
          <w:lang w:val="en-US"/>
        </w:rPr>
      </w:pPr>
      <w:r>
        <w:tab/>
      </w:r>
      <w:r w:rsidRPr="00F041C3">
        <w:rPr>
          <w:rStyle w:val="FootnoteReference"/>
        </w:rPr>
        <w:footnoteRef/>
      </w:r>
      <w:r>
        <w:tab/>
        <w:t>Allemagne, Autriche, Bosnie-Herzegovine, Fédération de Russie, Géorgie, France</w:t>
      </w:r>
      <w:r w:rsidRPr="00857662">
        <w:t xml:space="preserve">, Kirghizistan, </w:t>
      </w:r>
      <w:r>
        <w:t>Lit</w:t>
      </w:r>
      <w:r w:rsidRPr="00857662">
        <w:t>uanie, , Suède, Suisse.</w:t>
      </w:r>
    </w:p>
  </w:footnote>
  <w:footnote w:id="10">
    <w:p w:rsidR="00D3650F" w:rsidRDefault="00D3650F" w:rsidP="0023065F">
      <w:pPr>
        <w:pStyle w:val="FootnoteText"/>
        <w:widowControl w:val="0"/>
        <w:tabs>
          <w:tab w:val="right" w:pos="1195"/>
          <w:tab w:val="left" w:pos="1267"/>
          <w:tab w:val="left" w:pos="1742"/>
          <w:tab w:val="left" w:pos="2218"/>
          <w:tab w:val="left" w:pos="2693"/>
        </w:tabs>
        <w:ind w:left="1267" w:right="1260" w:hanging="432"/>
      </w:pPr>
      <w:r>
        <w:tab/>
      </w:r>
      <w:r w:rsidRPr="00F041C3">
        <w:rPr>
          <w:rStyle w:val="FootnoteReference"/>
        </w:rPr>
        <w:footnoteRef/>
      </w:r>
      <w:r>
        <w:tab/>
        <w:t>Les références au Kosovo dans le présent rapport s’entendent dans le contexte de la résolution 1244 (1999) du Conseil de sécurité.</w:t>
      </w:r>
    </w:p>
  </w:footnote>
  <w:footnote w:id="11">
    <w:p w:rsidR="00D3650F" w:rsidRDefault="00D3650F" w:rsidP="0023065F">
      <w:pPr>
        <w:pStyle w:val="FootnoteText"/>
        <w:widowControl w:val="0"/>
        <w:tabs>
          <w:tab w:val="right" w:pos="1195"/>
          <w:tab w:val="left" w:pos="1267"/>
          <w:tab w:val="left" w:pos="1742"/>
          <w:tab w:val="left" w:pos="2218"/>
          <w:tab w:val="left" w:pos="2693"/>
        </w:tabs>
        <w:ind w:left="1267" w:right="1260" w:hanging="432"/>
      </w:pPr>
      <w:r>
        <w:tab/>
      </w:r>
      <w:r w:rsidRPr="00F041C3">
        <w:rPr>
          <w:rStyle w:val="FootnoteReference"/>
        </w:rPr>
        <w:footnoteRef/>
      </w:r>
      <w:r>
        <w:tab/>
        <w:t>Albanie, Allemagne, Arménie, Autriche, Azerbaïdjan, Bélarus, Bosnie-Herzégovine, Bulgarie, Espagne, ex-République yougoslave de Macédoine, Fédération de Russie, Finlande, France, Italie, Kirghizistan, République de Moldova, République tchèque, Roumanie, Serbie, Slovaquie, Suisse et Ukraine.</w:t>
      </w:r>
    </w:p>
  </w:footnote>
  <w:footnote w:id="12">
    <w:p w:rsidR="00D3650F" w:rsidRDefault="00D3650F" w:rsidP="0023065F">
      <w:pPr>
        <w:pStyle w:val="FootnoteText"/>
        <w:widowControl w:val="0"/>
        <w:tabs>
          <w:tab w:val="right" w:pos="1195"/>
          <w:tab w:val="left" w:pos="1267"/>
          <w:tab w:val="left" w:pos="1742"/>
          <w:tab w:val="left" w:pos="2218"/>
          <w:tab w:val="left" w:pos="2693"/>
        </w:tabs>
        <w:ind w:left="1267" w:right="1260" w:hanging="432"/>
      </w:pPr>
      <w:r>
        <w:tab/>
      </w:r>
      <w:r w:rsidRPr="00F041C3">
        <w:rPr>
          <w:rStyle w:val="FootnoteReference"/>
        </w:rPr>
        <w:footnoteRef/>
      </w:r>
      <w:r>
        <w:tab/>
        <w:t>Belgique, Danemark, Géorgie, Kazakhstan, Lettonie, Luxembourg, Malte, Ouzbékistan et Tadjikistan.</w:t>
      </w:r>
    </w:p>
  </w:footnote>
  <w:footnote w:id="13">
    <w:p w:rsidR="00D3650F" w:rsidRDefault="00D3650F" w:rsidP="0023065F">
      <w:pPr>
        <w:pStyle w:val="FootnoteText"/>
        <w:widowControl w:val="0"/>
        <w:tabs>
          <w:tab w:val="right" w:pos="1195"/>
          <w:tab w:val="left" w:pos="1267"/>
          <w:tab w:val="left" w:pos="1742"/>
          <w:tab w:val="left" w:pos="2218"/>
          <w:tab w:val="left" w:pos="2693"/>
        </w:tabs>
        <w:ind w:left="1267" w:right="1260" w:hanging="432"/>
        <w:rPr>
          <w:lang w:val="en-US"/>
        </w:rPr>
      </w:pPr>
      <w:r>
        <w:tab/>
      </w:r>
      <w:r w:rsidRPr="00F041C3">
        <w:rPr>
          <w:rStyle w:val="FootnoteReference"/>
        </w:rPr>
        <w:footnoteRef/>
      </w:r>
      <w:r>
        <w:tab/>
        <w:t xml:space="preserve">Le Canada, les États-Unis d'Amérique et Israël ne faisaient pas partie de cet examen. </w:t>
      </w:r>
    </w:p>
  </w:footnote>
  <w:footnote w:id="14">
    <w:p w:rsidR="00D3650F" w:rsidRDefault="00D3650F" w:rsidP="0023065F">
      <w:pPr>
        <w:pStyle w:val="FootnoteText"/>
        <w:tabs>
          <w:tab w:val="right" w:pos="1195"/>
          <w:tab w:val="left" w:pos="1267"/>
          <w:tab w:val="left" w:pos="1742"/>
          <w:tab w:val="left" w:pos="2218"/>
          <w:tab w:val="left" w:pos="2693"/>
        </w:tabs>
        <w:ind w:left="1267" w:right="1260" w:hanging="432"/>
        <w:rPr>
          <w:rFonts w:eastAsia="Calibri"/>
          <w:sz w:val="18"/>
          <w:lang w:val="fr-CH"/>
        </w:rPr>
      </w:pPr>
      <w:r>
        <w:tab/>
      </w:r>
      <w:r w:rsidRPr="00F041C3">
        <w:rPr>
          <w:rStyle w:val="FootnoteReference"/>
        </w:rPr>
        <w:footnoteRef/>
      </w:r>
      <w:r>
        <w:t xml:space="preserve"> </w:t>
      </w:r>
      <w:r>
        <w:tab/>
        <w:t>Les domaines thématiques correspondent aux priorités régionales et/ou aux objectifs environnementaux mondiaux (voir le site Web du PNUE sur ces objectifs à l’adresse http://geg.informea.org/).</w:t>
      </w:r>
    </w:p>
  </w:footnote>
  <w:footnote w:id="15">
    <w:p w:rsidR="00D3650F" w:rsidRDefault="00D3650F" w:rsidP="0023065F">
      <w:pPr>
        <w:pStyle w:val="FootnoteText"/>
        <w:tabs>
          <w:tab w:val="right" w:pos="1195"/>
          <w:tab w:val="left" w:pos="1267"/>
          <w:tab w:val="left" w:pos="1742"/>
          <w:tab w:val="left" w:pos="2218"/>
          <w:tab w:val="left" w:pos="2693"/>
        </w:tabs>
        <w:ind w:left="1267" w:right="1260" w:hanging="432"/>
      </w:pPr>
      <w:r>
        <w:tab/>
      </w:r>
      <w:r w:rsidRPr="00F041C3">
        <w:rPr>
          <w:rStyle w:val="FootnoteReference"/>
        </w:rPr>
        <w:footnoteRef/>
      </w:r>
      <w:r>
        <w:t xml:space="preserve"> </w:t>
      </w:r>
      <w:r>
        <w:tab/>
        <w:t>Ces données concernent les mêmes États membres que ceux indiqués dans la section B, paragraphe 30.</w:t>
      </w:r>
    </w:p>
  </w:footnote>
  <w:footnote w:id="16">
    <w:p w:rsidR="00D3650F" w:rsidRDefault="00D3650F" w:rsidP="0023065F">
      <w:pPr>
        <w:pStyle w:val="FootnoteText"/>
        <w:widowControl w:val="0"/>
        <w:tabs>
          <w:tab w:val="right" w:pos="1195"/>
          <w:tab w:val="left" w:pos="1267"/>
          <w:tab w:val="left" w:pos="1742"/>
          <w:tab w:val="left" w:pos="2218"/>
          <w:tab w:val="left" w:pos="2693"/>
        </w:tabs>
        <w:ind w:left="1267" w:right="1260" w:hanging="432"/>
        <w:rPr>
          <w:lang w:val="en-US"/>
        </w:rPr>
      </w:pPr>
      <w:r>
        <w:tab/>
      </w:r>
      <w:r w:rsidRPr="00F041C3">
        <w:rPr>
          <w:rStyle w:val="FootnoteReference"/>
        </w:rPr>
        <w:footnoteRef/>
      </w:r>
      <w:r>
        <w:tab/>
        <w:t>La zone géographique visée par le projet est établie dans le règlement (CE) 1638/2006 instituant un instrument européen de voisinage et de partenariat couvrant l’Arménie, l’Azerbaïdjan, le Bélarus, la Géorgi</w:t>
      </w:r>
      <w:r w:rsidR="00755D9B">
        <w:t>e, Moldova et l’Ukraine (voir l’</w:t>
      </w:r>
      <w:r>
        <w:t>adresse www.eea.europa.eu/publications/enpi-seis-east-region-synthesis-report).</w:t>
      </w:r>
    </w:p>
  </w:footnote>
  <w:footnote w:id="17">
    <w:p w:rsidR="00D3650F" w:rsidRDefault="00D3650F" w:rsidP="0023065F">
      <w:pPr>
        <w:pStyle w:val="FootnoteText"/>
        <w:tabs>
          <w:tab w:val="right" w:pos="1195"/>
          <w:tab w:val="left" w:pos="1267"/>
          <w:tab w:val="left" w:pos="1742"/>
          <w:tab w:val="left" w:pos="2218"/>
          <w:tab w:val="left" w:pos="2693"/>
        </w:tabs>
        <w:ind w:left="1267" w:right="1260" w:hanging="432"/>
        <w:rPr>
          <w:lang w:val="fr-CH"/>
        </w:rPr>
      </w:pPr>
      <w:r>
        <w:tab/>
      </w:r>
      <w:r w:rsidRPr="00F041C3">
        <w:rPr>
          <w:rStyle w:val="FootnoteReference"/>
        </w:rPr>
        <w:footnoteRef/>
      </w:r>
      <w:r>
        <w:t xml:space="preserve"> </w:t>
      </w:r>
      <w:r>
        <w:tab/>
        <w:t>Voir le document PRTR/WG.1/2015/Inf.4 (disponible à l’adresse www.unece.org/prtrwgp4.html).</w:t>
      </w:r>
    </w:p>
  </w:footnote>
  <w:footnote w:id="18">
    <w:p w:rsidR="00D3650F" w:rsidRDefault="00D3650F" w:rsidP="0023065F">
      <w:pPr>
        <w:pStyle w:val="FootnoteText"/>
        <w:widowControl w:val="0"/>
        <w:tabs>
          <w:tab w:val="right" w:pos="1195"/>
          <w:tab w:val="left" w:pos="1267"/>
          <w:tab w:val="left" w:pos="1742"/>
          <w:tab w:val="left" w:pos="2218"/>
          <w:tab w:val="left" w:pos="2693"/>
        </w:tabs>
        <w:ind w:left="1267" w:right="1260" w:hanging="432"/>
        <w:rPr>
          <w:lang w:val="en-US"/>
        </w:rPr>
      </w:pPr>
      <w:r>
        <w:tab/>
      </w:r>
      <w:r w:rsidRPr="00F041C3">
        <w:rPr>
          <w:rStyle w:val="FootnoteReference"/>
        </w:rPr>
        <w:footnoteRef/>
      </w:r>
      <w:r>
        <w:tab/>
        <w:t>Voir le document AC/TF.AI-4/Inf.5 (disponible à l’adresse www.unece.org/env/pp/aarhus/tfai4.html).</w:t>
      </w:r>
    </w:p>
  </w:footnote>
  <w:footnote w:id="19">
    <w:p w:rsidR="00D3650F" w:rsidRPr="00E95C02" w:rsidRDefault="00D3650F" w:rsidP="00A519B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sidRPr="00F041C3">
        <w:rPr>
          <w:rStyle w:val="FootnoteReference"/>
        </w:rPr>
        <w:footnoteRef/>
      </w:r>
      <w:r>
        <w:tab/>
        <w:t xml:space="preserve">La dimension qualité des données de la CEE devra être prise en considération dans la future analyse des résultats (voir </w:t>
      </w:r>
      <w:hyperlink r:id="rId1" w:history="1">
        <w:r w:rsidRPr="006004AF">
          <w:rPr>
            <w:rStyle w:val="Hyperlink"/>
          </w:rPr>
          <w:t>http://unstats.un.org/unsd/dnss/docs-nqaf/UNECE-Quality%20Improvement%</w:t>
        </w:r>
      </w:hyperlink>
      <w:r>
        <w:t xml:space="preserve"> 20Programme%202010.pdf).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650F" w:rsidTr="001B53B7">
      <w:trPr>
        <w:trHeight w:hRule="exact" w:val="864"/>
        <w:jc w:val="center"/>
      </w:trPr>
      <w:tc>
        <w:tcPr>
          <w:tcW w:w="4882" w:type="dxa"/>
          <w:shd w:val="clear" w:color="auto" w:fill="auto"/>
          <w:vAlign w:val="bottom"/>
        </w:tcPr>
        <w:p w:rsidR="00D3650F" w:rsidRPr="001B53B7" w:rsidRDefault="00D3650F" w:rsidP="001B53B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E562C">
            <w:rPr>
              <w:b/>
              <w:color w:val="000000"/>
            </w:rPr>
            <w:t>ECE/CEP/S/2016/L.9</w:t>
          </w:r>
          <w:r>
            <w:rPr>
              <w:b/>
              <w:color w:val="000000"/>
            </w:rPr>
            <w:fldChar w:fldCharType="end"/>
          </w:r>
        </w:p>
      </w:tc>
      <w:tc>
        <w:tcPr>
          <w:tcW w:w="5127" w:type="dxa"/>
          <w:shd w:val="clear" w:color="auto" w:fill="auto"/>
          <w:vAlign w:val="bottom"/>
        </w:tcPr>
        <w:p w:rsidR="00D3650F" w:rsidRDefault="00D3650F" w:rsidP="001B53B7">
          <w:pPr>
            <w:pStyle w:val="Header"/>
          </w:pPr>
        </w:p>
      </w:tc>
    </w:tr>
  </w:tbl>
  <w:p w:rsidR="00D3650F" w:rsidRPr="001B53B7" w:rsidRDefault="00D3650F" w:rsidP="001B53B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650F" w:rsidTr="001B53B7">
      <w:trPr>
        <w:trHeight w:hRule="exact" w:val="864"/>
        <w:jc w:val="center"/>
      </w:trPr>
      <w:tc>
        <w:tcPr>
          <w:tcW w:w="4882" w:type="dxa"/>
          <w:shd w:val="clear" w:color="auto" w:fill="auto"/>
          <w:vAlign w:val="bottom"/>
        </w:tcPr>
        <w:p w:rsidR="00D3650F" w:rsidRDefault="00D3650F" w:rsidP="001B53B7">
          <w:pPr>
            <w:pStyle w:val="Header"/>
          </w:pPr>
        </w:p>
      </w:tc>
      <w:tc>
        <w:tcPr>
          <w:tcW w:w="5127" w:type="dxa"/>
          <w:shd w:val="clear" w:color="auto" w:fill="auto"/>
          <w:vAlign w:val="bottom"/>
        </w:tcPr>
        <w:p w:rsidR="00D3650F" w:rsidRPr="001B53B7" w:rsidRDefault="00D3650F" w:rsidP="001B53B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E562C">
            <w:rPr>
              <w:b/>
              <w:color w:val="000000"/>
            </w:rPr>
            <w:t>ECE/CEP/S/2016/L.9</w:t>
          </w:r>
          <w:r>
            <w:rPr>
              <w:b/>
              <w:color w:val="000000"/>
            </w:rPr>
            <w:fldChar w:fldCharType="end"/>
          </w:r>
        </w:p>
      </w:tc>
    </w:tr>
  </w:tbl>
  <w:p w:rsidR="00D3650F" w:rsidRPr="001B53B7" w:rsidRDefault="00D3650F" w:rsidP="001B53B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3650F" w:rsidTr="001B53B7">
      <w:trPr>
        <w:trHeight w:hRule="exact" w:val="864"/>
      </w:trPr>
      <w:tc>
        <w:tcPr>
          <w:tcW w:w="1267" w:type="dxa"/>
          <w:tcBorders>
            <w:bottom w:val="single" w:sz="4" w:space="0" w:color="auto"/>
          </w:tcBorders>
          <w:shd w:val="clear" w:color="auto" w:fill="auto"/>
          <w:vAlign w:val="bottom"/>
        </w:tcPr>
        <w:p w:rsidR="00D3650F" w:rsidRDefault="00D3650F" w:rsidP="001B53B7">
          <w:pPr>
            <w:pStyle w:val="Header"/>
            <w:spacing w:after="120"/>
          </w:pPr>
        </w:p>
      </w:tc>
      <w:tc>
        <w:tcPr>
          <w:tcW w:w="2059" w:type="dxa"/>
          <w:tcBorders>
            <w:bottom w:val="single" w:sz="4" w:space="0" w:color="auto"/>
          </w:tcBorders>
          <w:shd w:val="clear" w:color="auto" w:fill="auto"/>
          <w:vAlign w:val="bottom"/>
        </w:tcPr>
        <w:p w:rsidR="00D3650F" w:rsidRPr="001B53B7" w:rsidRDefault="00D3650F" w:rsidP="001B53B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3650F" w:rsidRDefault="00D3650F" w:rsidP="001B53B7">
          <w:pPr>
            <w:pStyle w:val="Header"/>
            <w:spacing w:after="120"/>
          </w:pPr>
        </w:p>
      </w:tc>
      <w:tc>
        <w:tcPr>
          <w:tcW w:w="6653" w:type="dxa"/>
          <w:gridSpan w:val="4"/>
          <w:tcBorders>
            <w:bottom w:val="single" w:sz="4" w:space="0" w:color="auto"/>
          </w:tcBorders>
          <w:shd w:val="clear" w:color="auto" w:fill="auto"/>
          <w:vAlign w:val="bottom"/>
        </w:tcPr>
        <w:p w:rsidR="00D3650F" w:rsidRPr="001B53B7" w:rsidRDefault="00D3650F" w:rsidP="001B53B7">
          <w:pPr>
            <w:spacing w:after="80" w:line="240" w:lineRule="auto"/>
            <w:jc w:val="right"/>
            <w:rPr>
              <w:position w:val="-4"/>
            </w:rPr>
          </w:pPr>
          <w:r>
            <w:rPr>
              <w:position w:val="-4"/>
              <w:sz w:val="40"/>
            </w:rPr>
            <w:t>ECE</w:t>
          </w:r>
          <w:r>
            <w:rPr>
              <w:position w:val="-4"/>
            </w:rPr>
            <w:t>/CEP/S/2016/L.9</w:t>
          </w:r>
        </w:p>
      </w:tc>
    </w:tr>
    <w:tr w:rsidR="00D3650F" w:rsidRPr="001B53B7" w:rsidTr="001B53B7">
      <w:trPr>
        <w:gridAfter w:val="1"/>
        <w:wAfter w:w="18" w:type="dxa"/>
        <w:trHeight w:hRule="exact" w:val="2880"/>
      </w:trPr>
      <w:tc>
        <w:tcPr>
          <w:tcW w:w="1267" w:type="dxa"/>
          <w:tcBorders>
            <w:top w:val="single" w:sz="4" w:space="0" w:color="auto"/>
            <w:bottom w:val="single" w:sz="12" w:space="0" w:color="auto"/>
          </w:tcBorders>
          <w:shd w:val="clear" w:color="auto" w:fill="auto"/>
        </w:tcPr>
        <w:p w:rsidR="00D3650F" w:rsidRPr="001B53B7" w:rsidRDefault="00D3650F" w:rsidP="001B53B7">
          <w:pPr>
            <w:pStyle w:val="Header"/>
            <w:spacing w:before="120" w:line="240" w:lineRule="auto"/>
            <w:ind w:left="-72"/>
            <w:jc w:val="center"/>
          </w:pPr>
          <w:r>
            <w:t xml:space="preserve">  </w:t>
          </w:r>
          <w:r>
            <w:rPr>
              <w:noProof/>
              <w:lang w:val="en-GB" w:eastAsia="en-GB"/>
            </w:rPr>
            <w:drawing>
              <wp:inline distT="0" distB="0" distL="0" distR="0" wp14:anchorId="3F58A413" wp14:editId="469B447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3650F" w:rsidRPr="001B53B7" w:rsidRDefault="00D3650F" w:rsidP="001B53B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3650F" w:rsidRPr="001B53B7" w:rsidRDefault="00D3650F" w:rsidP="001B53B7">
          <w:pPr>
            <w:pStyle w:val="Header"/>
            <w:spacing w:before="109"/>
          </w:pPr>
        </w:p>
      </w:tc>
      <w:tc>
        <w:tcPr>
          <w:tcW w:w="3280" w:type="dxa"/>
          <w:tcBorders>
            <w:top w:val="single" w:sz="4" w:space="0" w:color="auto"/>
            <w:bottom w:val="single" w:sz="12" w:space="0" w:color="auto"/>
          </w:tcBorders>
          <w:shd w:val="clear" w:color="auto" w:fill="auto"/>
        </w:tcPr>
        <w:p w:rsidR="00D3650F" w:rsidRDefault="00D3650F" w:rsidP="001B53B7">
          <w:pPr>
            <w:pStyle w:val="Distribution"/>
            <w:rPr>
              <w:color w:val="000000"/>
            </w:rPr>
          </w:pPr>
          <w:r>
            <w:rPr>
              <w:color w:val="000000"/>
            </w:rPr>
            <w:t>Distr. limitée</w:t>
          </w:r>
        </w:p>
        <w:p w:rsidR="00D3650F" w:rsidRDefault="00D3650F" w:rsidP="001B53B7">
          <w:pPr>
            <w:pStyle w:val="Publication"/>
            <w:rPr>
              <w:color w:val="000000"/>
            </w:rPr>
          </w:pPr>
          <w:r>
            <w:rPr>
              <w:color w:val="000000"/>
            </w:rPr>
            <w:t>28 janvier 2016</w:t>
          </w:r>
        </w:p>
        <w:p w:rsidR="00D3650F" w:rsidRDefault="00D3650F" w:rsidP="001B53B7">
          <w:pPr>
            <w:rPr>
              <w:lang w:val="en-US"/>
            </w:rPr>
          </w:pPr>
          <w:r>
            <w:rPr>
              <w:lang w:val="en-US"/>
            </w:rPr>
            <w:t>Français</w:t>
          </w:r>
        </w:p>
        <w:p w:rsidR="00D3650F" w:rsidRPr="001B53B7" w:rsidRDefault="00D3650F" w:rsidP="0037349C">
          <w:pPr>
            <w:pStyle w:val="Original"/>
            <w:rPr>
              <w:color w:val="000000"/>
            </w:rPr>
          </w:pPr>
          <w:r>
            <w:rPr>
              <w:color w:val="000000"/>
            </w:rPr>
            <w:t>Original : anglais</w:t>
          </w:r>
        </w:p>
      </w:tc>
    </w:tr>
  </w:tbl>
  <w:p w:rsidR="00D3650F" w:rsidRPr="001B53B7" w:rsidRDefault="00D3650F" w:rsidP="001B53B7">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3650F" w:rsidRPr="00705F17" w:rsidTr="00705F17">
      <w:trPr>
        <w:cantSplit/>
        <w:trHeight w:val="4781"/>
      </w:trPr>
      <w:tc>
        <w:tcPr>
          <w:tcW w:w="13407" w:type="dxa"/>
          <w:shd w:val="clear" w:color="auto" w:fill="auto"/>
          <w:textDirection w:val="tbRl"/>
          <w:vAlign w:val="bottom"/>
        </w:tcPr>
        <w:p w:rsidR="00D3650F" w:rsidRPr="00705F17" w:rsidRDefault="00D3650F" w:rsidP="00705F17">
          <w:pPr>
            <w:pStyle w:val="Header"/>
            <w:spacing w:line="240" w:lineRule="auto"/>
            <w:ind w:left="14" w:right="14"/>
            <w:rPr>
              <w:b/>
              <w:w w:val="103"/>
            </w:rPr>
          </w:pPr>
          <w:r w:rsidRPr="00705F17">
            <w:rPr>
              <w:b/>
              <w:w w:val="103"/>
            </w:rPr>
            <w:fldChar w:fldCharType="begin"/>
          </w:r>
          <w:r w:rsidRPr="00705F17">
            <w:rPr>
              <w:b/>
              <w:w w:val="103"/>
            </w:rPr>
            <w:instrText xml:space="preserve"> DOCVARIABLE "sss1" \* MERGEFORMAT </w:instrText>
          </w:r>
          <w:r w:rsidRPr="00705F17">
            <w:rPr>
              <w:b/>
              <w:w w:val="103"/>
            </w:rPr>
            <w:fldChar w:fldCharType="separate"/>
          </w:r>
          <w:r w:rsidR="00CE562C">
            <w:rPr>
              <w:b/>
              <w:w w:val="103"/>
            </w:rPr>
            <w:t>ECE/CEP/S/2016/L.9</w:t>
          </w:r>
          <w:r w:rsidRPr="00705F17">
            <w:rPr>
              <w:b/>
              <w:w w:val="103"/>
            </w:rPr>
            <w:fldChar w:fldCharType="end"/>
          </w:r>
        </w:p>
      </w:tc>
    </w:tr>
    <w:tr w:rsidR="00D3650F" w:rsidRPr="00705F17" w:rsidTr="00705F17">
      <w:trPr>
        <w:cantSplit/>
        <w:trHeight w:val="4781"/>
      </w:trPr>
      <w:tc>
        <w:tcPr>
          <w:tcW w:w="13407" w:type="dxa"/>
          <w:shd w:val="clear" w:color="auto" w:fill="auto"/>
          <w:textDirection w:val="tbRl"/>
          <w:vAlign w:val="bottom"/>
        </w:tcPr>
        <w:p w:rsidR="00D3650F" w:rsidRPr="00705F17" w:rsidRDefault="00D3650F" w:rsidP="00705F17">
          <w:pPr>
            <w:pStyle w:val="Header"/>
            <w:spacing w:line="240" w:lineRule="auto"/>
            <w:ind w:left="14" w:right="14"/>
            <w:rPr>
              <w:w w:val="103"/>
            </w:rPr>
          </w:pPr>
        </w:p>
      </w:tc>
    </w:tr>
  </w:tbl>
  <w:p w:rsidR="00D3650F" w:rsidRPr="00705F17" w:rsidRDefault="00D3650F" w:rsidP="00705F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3650F" w:rsidRPr="00705F17" w:rsidTr="00705F17">
      <w:trPr>
        <w:trHeight w:val="4781"/>
      </w:trPr>
      <w:tc>
        <w:tcPr>
          <w:tcW w:w="13407" w:type="dxa"/>
          <w:shd w:val="clear" w:color="auto" w:fill="auto"/>
          <w:vAlign w:val="bottom"/>
        </w:tcPr>
        <w:p w:rsidR="00D3650F" w:rsidRPr="00705F17" w:rsidRDefault="00D3650F" w:rsidP="00705F17">
          <w:pPr>
            <w:pStyle w:val="Header"/>
            <w:spacing w:line="240" w:lineRule="auto"/>
            <w:ind w:left="14" w:right="14"/>
            <w:jc w:val="right"/>
            <w:rPr>
              <w:bCs/>
              <w:w w:val="103"/>
              <w:szCs w:val="26"/>
            </w:rPr>
          </w:pPr>
        </w:p>
      </w:tc>
    </w:tr>
    <w:tr w:rsidR="00D3650F" w:rsidRPr="00705F17" w:rsidTr="00705F17">
      <w:trPr>
        <w:cantSplit/>
        <w:trHeight w:val="4781"/>
      </w:trPr>
      <w:tc>
        <w:tcPr>
          <w:tcW w:w="13407" w:type="dxa"/>
          <w:shd w:val="clear" w:color="auto" w:fill="auto"/>
          <w:textDirection w:val="tbRl"/>
          <w:vAlign w:val="bottom"/>
        </w:tcPr>
        <w:p w:rsidR="00D3650F" w:rsidRPr="00705F17" w:rsidRDefault="00D3650F" w:rsidP="00705F17">
          <w:pPr>
            <w:pStyle w:val="Header"/>
            <w:spacing w:line="240" w:lineRule="auto"/>
            <w:ind w:left="14" w:right="14"/>
            <w:jc w:val="right"/>
            <w:rPr>
              <w:b/>
              <w:bCs/>
              <w:w w:val="103"/>
              <w:szCs w:val="26"/>
            </w:rPr>
          </w:pPr>
          <w:r w:rsidRPr="00705F17">
            <w:rPr>
              <w:b/>
              <w:bCs/>
              <w:w w:val="103"/>
              <w:szCs w:val="26"/>
            </w:rPr>
            <w:fldChar w:fldCharType="begin"/>
          </w:r>
          <w:r w:rsidRPr="00705F17">
            <w:rPr>
              <w:b/>
              <w:bCs/>
              <w:w w:val="103"/>
              <w:szCs w:val="26"/>
            </w:rPr>
            <w:instrText xml:space="preserve"> DOCVARIABLE "sss1" \* MERGEFORMAT </w:instrText>
          </w:r>
          <w:r w:rsidRPr="00705F17">
            <w:rPr>
              <w:b/>
              <w:bCs/>
              <w:w w:val="103"/>
              <w:szCs w:val="26"/>
            </w:rPr>
            <w:fldChar w:fldCharType="separate"/>
          </w:r>
          <w:r w:rsidR="00CE562C">
            <w:rPr>
              <w:b/>
              <w:bCs/>
              <w:w w:val="103"/>
              <w:szCs w:val="26"/>
            </w:rPr>
            <w:t>ECE/CEP/S/2016/L.9</w:t>
          </w:r>
          <w:r w:rsidRPr="00705F17">
            <w:rPr>
              <w:b/>
              <w:bCs/>
              <w:w w:val="103"/>
              <w:szCs w:val="26"/>
            </w:rPr>
            <w:fldChar w:fldCharType="end"/>
          </w:r>
        </w:p>
      </w:tc>
    </w:tr>
  </w:tbl>
  <w:p w:rsidR="00D3650F" w:rsidRPr="00705F17" w:rsidRDefault="00D3650F" w:rsidP="00705F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650F" w:rsidTr="001B53B7">
      <w:trPr>
        <w:trHeight w:hRule="exact" w:val="864"/>
        <w:jc w:val="center"/>
      </w:trPr>
      <w:tc>
        <w:tcPr>
          <w:tcW w:w="4882" w:type="dxa"/>
          <w:shd w:val="clear" w:color="auto" w:fill="auto"/>
          <w:vAlign w:val="bottom"/>
        </w:tcPr>
        <w:p w:rsidR="00D3650F" w:rsidRPr="001B53B7" w:rsidRDefault="00D3650F" w:rsidP="001B53B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E562C">
            <w:rPr>
              <w:b/>
              <w:color w:val="000000"/>
            </w:rPr>
            <w:t>ECE/CEP/S/2016/L.9</w:t>
          </w:r>
          <w:r>
            <w:rPr>
              <w:b/>
              <w:color w:val="000000"/>
            </w:rPr>
            <w:fldChar w:fldCharType="end"/>
          </w:r>
        </w:p>
      </w:tc>
      <w:tc>
        <w:tcPr>
          <w:tcW w:w="5127" w:type="dxa"/>
          <w:shd w:val="clear" w:color="auto" w:fill="auto"/>
          <w:vAlign w:val="bottom"/>
        </w:tcPr>
        <w:p w:rsidR="00D3650F" w:rsidRDefault="00D3650F" w:rsidP="001B53B7">
          <w:pPr>
            <w:pStyle w:val="Header"/>
          </w:pPr>
        </w:p>
      </w:tc>
    </w:tr>
  </w:tbl>
  <w:p w:rsidR="00D3650F" w:rsidRPr="001B53B7" w:rsidRDefault="00D3650F" w:rsidP="001B53B7">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650F" w:rsidTr="001B53B7">
      <w:trPr>
        <w:trHeight w:hRule="exact" w:val="864"/>
        <w:jc w:val="center"/>
      </w:trPr>
      <w:tc>
        <w:tcPr>
          <w:tcW w:w="4882" w:type="dxa"/>
          <w:shd w:val="clear" w:color="auto" w:fill="auto"/>
          <w:vAlign w:val="bottom"/>
        </w:tcPr>
        <w:p w:rsidR="00D3650F" w:rsidRDefault="00D3650F" w:rsidP="001B53B7">
          <w:pPr>
            <w:pStyle w:val="Header"/>
          </w:pPr>
        </w:p>
      </w:tc>
      <w:tc>
        <w:tcPr>
          <w:tcW w:w="5127" w:type="dxa"/>
          <w:shd w:val="clear" w:color="auto" w:fill="auto"/>
          <w:vAlign w:val="bottom"/>
        </w:tcPr>
        <w:p w:rsidR="00D3650F" w:rsidRPr="001B53B7" w:rsidRDefault="00D3650F" w:rsidP="001B53B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E562C">
            <w:rPr>
              <w:b/>
              <w:color w:val="000000"/>
            </w:rPr>
            <w:t>ECE/CEP/S/2016/L.9</w:t>
          </w:r>
          <w:r>
            <w:rPr>
              <w:b/>
              <w:color w:val="000000"/>
            </w:rPr>
            <w:fldChar w:fldCharType="end"/>
          </w:r>
        </w:p>
      </w:tc>
    </w:tr>
  </w:tbl>
  <w:p w:rsidR="00D3650F" w:rsidRPr="001B53B7" w:rsidRDefault="00D3650F" w:rsidP="001B53B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DDF5314"/>
    <w:multiLevelType w:val="singleLevel"/>
    <w:tmpl w:val="0409000F"/>
    <w:lvl w:ilvl="0">
      <w:start w:val="1"/>
      <w:numFmt w:val="decimal"/>
      <w:lvlText w:val="%1."/>
      <w:lvlJc w:val="left"/>
      <w:pPr>
        <w:ind w:left="720" w:hanging="36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5592294"/>
    <w:multiLevelType w:val="hybridMultilevel"/>
    <w:tmpl w:val="9A5E9C76"/>
    <w:lvl w:ilvl="0" w:tplc="04090015">
      <w:start w:val="1"/>
      <w:numFmt w:val="upperLetter"/>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63539"/>
    <w:multiLevelType w:val="singleLevel"/>
    <w:tmpl w:val="06345DA0"/>
    <w:lvl w:ilvl="0">
      <w:start w:val="52"/>
      <w:numFmt w:val="decimal"/>
      <w:lvlRestart w:val="0"/>
      <w:lvlText w:val="%1."/>
      <w:lvlJc w:val="left"/>
      <w:pPr>
        <w:tabs>
          <w:tab w:val="num" w:pos="1742"/>
        </w:tabs>
        <w:ind w:left="1267" w:firstLine="0"/>
      </w:pPr>
      <w:rPr>
        <w:w w:val="100"/>
      </w:rPr>
    </w:lvl>
  </w:abstractNum>
  <w:abstractNum w:abstractNumId="7">
    <w:nsid w:val="43BA6ECB"/>
    <w:multiLevelType w:val="singleLevel"/>
    <w:tmpl w:val="0409000F"/>
    <w:lvl w:ilvl="0">
      <w:start w:val="1"/>
      <w:numFmt w:val="decimal"/>
      <w:lvlText w:val="%1."/>
      <w:lvlJc w:val="left"/>
      <w:pPr>
        <w:ind w:left="720" w:hanging="360"/>
      </w:pPr>
    </w:lvl>
  </w:abstractNum>
  <w:abstractNum w:abstractNumId="8">
    <w:nsid w:val="457E44D1"/>
    <w:multiLevelType w:val="multilevel"/>
    <w:tmpl w:val="87040F9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rPr>
        <w:spacing w:val="4"/>
        <w:sz w:val="20"/>
        <w:szCs w:val="20"/>
      </w:r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7664D97"/>
    <w:multiLevelType w:val="hybridMultilevel"/>
    <w:tmpl w:val="9A5E9C76"/>
    <w:name w:val="TOC2"/>
    <w:lvl w:ilvl="0" w:tplc="04090015">
      <w:start w:val="1"/>
      <w:numFmt w:val="upperLetter"/>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474EB"/>
    <w:multiLevelType w:val="singleLevel"/>
    <w:tmpl w:val="867CD36E"/>
    <w:lvl w:ilvl="0">
      <w:start w:val="1"/>
      <w:numFmt w:val="decimal"/>
      <w:lvlRestart w:val="0"/>
      <w:lvlText w:val="%1."/>
      <w:lvlJc w:val="left"/>
      <w:pPr>
        <w:tabs>
          <w:tab w:val="num" w:pos="1742"/>
        </w:tabs>
        <w:ind w:left="1267" w:firstLine="0"/>
      </w:pPr>
      <w:rPr>
        <w:w w:val="100"/>
      </w:rPr>
    </w:lvl>
  </w:abstractNum>
  <w:abstractNum w:abstractNumId="12">
    <w:nsid w:val="6F567C48"/>
    <w:multiLevelType w:val="hybridMultilevel"/>
    <w:tmpl w:val="393AB59E"/>
    <w:name w:val="TOC22"/>
    <w:lvl w:ilvl="0" w:tplc="9648F724">
      <w:start w:val="1"/>
      <w:numFmt w:val="decimal"/>
      <w:lvlText w:val="%1."/>
      <w:lvlJc w:val="right"/>
      <w:pPr>
        <w:ind w:left="1670" w:hanging="360"/>
      </w:pPr>
      <w:rPr>
        <w:rFonts w:hint="default"/>
        <w:w w:val="100"/>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num w:numId="1">
    <w:abstractNumId w:val="3"/>
  </w:num>
  <w:num w:numId="2">
    <w:abstractNumId w:val="2"/>
  </w:num>
  <w:num w:numId="3">
    <w:abstractNumId w:val="5"/>
  </w:num>
  <w:num w:numId="4">
    <w:abstractNumId w:val="10"/>
  </w:num>
  <w:num w:numId="5">
    <w:abstractNumId w:val="0"/>
  </w:num>
  <w:num w:numId="6">
    <w:abstractNumId w:val="8"/>
  </w:num>
  <w:num w:numId="7">
    <w:abstractNumId w:val="9"/>
  </w:num>
  <w:num w:numId="8">
    <w:abstractNumId w:val="4"/>
  </w:num>
  <w:num w:numId="9">
    <w:abstractNumId w:val="12"/>
  </w:num>
  <w:num w:numId="10">
    <w:abstractNumId w:val="11"/>
  </w:num>
  <w:num w:numId="11">
    <w:abstractNumId w:val="5"/>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SortMethod w:val="0003"/>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191*"/>
    <w:docVar w:name="CreationDt" w:val="2/22/2016 3:10: PM"/>
    <w:docVar w:name="DocCategory" w:val="Doc"/>
    <w:docVar w:name="DocType" w:val="Final"/>
    <w:docVar w:name="DutyStation" w:val="Geneva"/>
    <w:docVar w:name="FooterJN" w:val="GE.16-01191"/>
    <w:docVar w:name="jobn" w:val="GE.16-01191 (F)"/>
    <w:docVar w:name="jobnDT" w:val="GE.16-01191 (F)   220216"/>
    <w:docVar w:name="jobnDTDT" w:val="GE.16-01191 (F)   220216   220216"/>
    <w:docVar w:name="JobNo" w:val="GE.1601191F"/>
    <w:docVar w:name="JobNo2" w:val="GE.1601388F"/>
    <w:docVar w:name="LocalDrive" w:val="0"/>
    <w:docVar w:name="OandT" w:val="eb"/>
    <w:docVar w:name="PaperSize" w:val="A4"/>
    <w:docVar w:name="sss1" w:val="ECE/CEP/S/2016/L.9"/>
    <w:docVar w:name="sss2" w:val="-"/>
    <w:docVar w:name="Symbol1" w:val="ECE/CEP/S/2016/L.9"/>
    <w:docVar w:name="Symbol2" w:val="-"/>
  </w:docVars>
  <w:rsids>
    <w:rsidRoot w:val="00FD5F4F"/>
    <w:rsid w:val="000015B8"/>
    <w:rsid w:val="000037B2"/>
    <w:rsid w:val="000046A5"/>
    <w:rsid w:val="000055FB"/>
    <w:rsid w:val="00010320"/>
    <w:rsid w:val="00010C97"/>
    <w:rsid w:val="00016483"/>
    <w:rsid w:val="0002090C"/>
    <w:rsid w:val="00022173"/>
    <w:rsid w:val="0002226F"/>
    <w:rsid w:val="00022B4A"/>
    <w:rsid w:val="00022D9C"/>
    <w:rsid w:val="00023E37"/>
    <w:rsid w:val="00024106"/>
    <w:rsid w:val="000249FF"/>
    <w:rsid w:val="00025DE5"/>
    <w:rsid w:val="000274C2"/>
    <w:rsid w:val="00033DC9"/>
    <w:rsid w:val="000378DE"/>
    <w:rsid w:val="00040497"/>
    <w:rsid w:val="00041860"/>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648D"/>
    <w:rsid w:val="000776CA"/>
    <w:rsid w:val="00077CC4"/>
    <w:rsid w:val="00083D89"/>
    <w:rsid w:val="00085112"/>
    <w:rsid w:val="0008708F"/>
    <w:rsid w:val="00091BC1"/>
    <w:rsid w:val="00091DBD"/>
    <w:rsid w:val="00096B3C"/>
    <w:rsid w:val="000A06AD"/>
    <w:rsid w:val="000A18B6"/>
    <w:rsid w:val="000A24DE"/>
    <w:rsid w:val="000A2612"/>
    <w:rsid w:val="000A2DFB"/>
    <w:rsid w:val="000A3AB1"/>
    <w:rsid w:val="000A4A47"/>
    <w:rsid w:val="000A74D1"/>
    <w:rsid w:val="000A7BEB"/>
    <w:rsid w:val="000B0E9A"/>
    <w:rsid w:val="000B1A18"/>
    <w:rsid w:val="000B2CD0"/>
    <w:rsid w:val="000B3ED4"/>
    <w:rsid w:val="000B5AF0"/>
    <w:rsid w:val="000B6B84"/>
    <w:rsid w:val="000B7004"/>
    <w:rsid w:val="000C085A"/>
    <w:rsid w:val="000C349B"/>
    <w:rsid w:val="000C683C"/>
    <w:rsid w:val="000D20EE"/>
    <w:rsid w:val="000D44E3"/>
    <w:rsid w:val="000D5D82"/>
    <w:rsid w:val="000D66AC"/>
    <w:rsid w:val="000D7ED4"/>
    <w:rsid w:val="000E1550"/>
    <w:rsid w:val="000E1ABE"/>
    <w:rsid w:val="000F04A8"/>
    <w:rsid w:val="000F1B8A"/>
    <w:rsid w:val="000F299A"/>
    <w:rsid w:val="000F36A0"/>
    <w:rsid w:val="000F51BE"/>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47D5D"/>
    <w:rsid w:val="00151710"/>
    <w:rsid w:val="00151AC8"/>
    <w:rsid w:val="00155B70"/>
    <w:rsid w:val="00160E65"/>
    <w:rsid w:val="00161368"/>
    <w:rsid w:val="0016199B"/>
    <w:rsid w:val="00162C83"/>
    <w:rsid w:val="00163155"/>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04EF"/>
    <w:rsid w:val="001A2E2D"/>
    <w:rsid w:val="001A4BAA"/>
    <w:rsid w:val="001A4F4E"/>
    <w:rsid w:val="001A5D31"/>
    <w:rsid w:val="001A76F3"/>
    <w:rsid w:val="001B53B7"/>
    <w:rsid w:val="001B5583"/>
    <w:rsid w:val="001B5A24"/>
    <w:rsid w:val="001C0599"/>
    <w:rsid w:val="001C3C57"/>
    <w:rsid w:val="001C4664"/>
    <w:rsid w:val="001C4EBE"/>
    <w:rsid w:val="001C5B90"/>
    <w:rsid w:val="001D0B22"/>
    <w:rsid w:val="001D0E60"/>
    <w:rsid w:val="001D272D"/>
    <w:rsid w:val="001D280C"/>
    <w:rsid w:val="001D294E"/>
    <w:rsid w:val="001D688B"/>
    <w:rsid w:val="001E0BC2"/>
    <w:rsid w:val="001E2D50"/>
    <w:rsid w:val="001E44F3"/>
    <w:rsid w:val="001F053A"/>
    <w:rsid w:val="001F2DA6"/>
    <w:rsid w:val="001F300D"/>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186D"/>
    <w:rsid w:val="002220FF"/>
    <w:rsid w:val="0023065F"/>
    <w:rsid w:val="00237D01"/>
    <w:rsid w:val="00240F64"/>
    <w:rsid w:val="002410E3"/>
    <w:rsid w:val="00241F29"/>
    <w:rsid w:val="00243D1C"/>
    <w:rsid w:val="00245B48"/>
    <w:rsid w:val="00246425"/>
    <w:rsid w:val="002515C7"/>
    <w:rsid w:val="002523F6"/>
    <w:rsid w:val="00252402"/>
    <w:rsid w:val="00254656"/>
    <w:rsid w:val="0025545A"/>
    <w:rsid w:val="00255EF7"/>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13E"/>
    <w:rsid w:val="002A530D"/>
    <w:rsid w:val="002A69DB"/>
    <w:rsid w:val="002B037D"/>
    <w:rsid w:val="002B1D15"/>
    <w:rsid w:val="002B4A7F"/>
    <w:rsid w:val="002B5449"/>
    <w:rsid w:val="002B5928"/>
    <w:rsid w:val="002B7EDC"/>
    <w:rsid w:val="002C3640"/>
    <w:rsid w:val="002C3FD3"/>
    <w:rsid w:val="002C419A"/>
    <w:rsid w:val="002C472D"/>
    <w:rsid w:val="002C52BE"/>
    <w:rsid w:val="002C7525"/>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5B6F"/>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3044"/>
    <w:rsid w:val="00316628"/>
    <w:rsid w:val="00316B58"/>
    <w:rsid w:val="00322455"/>
    <w:rsid w:val="003235C7"/>
    <w:rsid w:val="003241F6"/>
    <w:rsid w:val="00326270"/>
    <w:rsid w:val="0032685C"/>
    <w:rsid w:val="0032728E"/>
    <w:rsid w:val="00332A87"/>
    <w:rsid w:val="00333703"/>
    <w:rsid w:val="003342DF"/>
    <w:rsid w:val="00334FEB"/>
    <w:rsid w:val="00337015"/>
    <w:rsid w:val="003406CA"/>
    <w:rsid w:val="00340736"/>
    <w:rsid w:val="00343F8A"/>
    <w:rsid w:val="003441A5"/>
    <w:rsid w:val="00344969"/>
    <w:rsid w:val="00346832"/>
    <w:rsid w:val="00347E5F"/>
    <w:rsid w:val="003506F1"/>
    <w:rsid w:val="00350B11"/>
    <w:rsid w:val="003555DE"/>
    <w:rsid w:val="00355810"/>
    <w:rsid w:val="003559A7"/>
    <w:rsid w:val="0035691F"/>
    <w:rsid w:val="00356B67"/>
    <w:rsid w:val="003616BD"/>
    <w:rsid w:val="00362737"/>
    <w:rsid w:val="00362F57"/>
    <w:rsid w:val="003640A0"/>
    <w:rsid w:val="003651E4"/>
    <w:rsid w:val="00365932"/>
    <w:rsid w:val="0037349C"/>
    <w:rsid w:val="003738C0"/>
    <w:rsid w:val="003810FF"/>
    <w:rsid w:val="00381400"/>
    <w:rsid w:val="003824F9"/>
    <w:rsid w:val="00384511"/>
    <w:rsid w:val="00385D78"/>
    <w:rsid w:val="003864EE"/>
    <w:rsid w:val="00386953"/>
    <w:rsid w:val="003909DD"/>
    <w:rsid w:val="00391295"/>
    <w:rsid w:val="00391342"/>
    <w:rsid w:val="00392934"/>
    <w:rsid w:val="00393A67"/>
    <w:rsid w:val="00393C9F"/>
    <w:rsid w:val="003942F1"/>
    <w:rsid w:val="00395031"/>
    <w:rsid w:val="0039528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165C1"/>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2FC6"/>
    <w:rsid w:val="00484A70"/>
    <w:rsid w:val="00487428"/>
    <w:rsid w:val="004904E9"/>
    <w:rsid w:val="00491CD5"/>
    <w:rsid w:val="00492510"/>
    <w:rsid w:val="00492DC3"/>
    <w:rsid w:val="0049603D"/>
    <w:rsid w:val="004973EC"/>
    <w:rsid w:val="004A0AA6"/>
    <w:rsid w:val="004A1763"/>
    <w:rsid w:val="004A186E"/>
    <w:rsid w:val="004A1998"/>
    <w:rsid w:val="004A2319"/>
    <w:rsid w:val="004A2455"/>
    <w:rsid w:val="004A325F"/>
    <w:rsid w:val="004A698E"/>
    <w:rsid w:val="004A7606"/>
    <w:rsid w:val="004B1DBB"/>
    <w:rsid w:val="004B4D96"/>
    <w:rsid w:val="004B5060"/>
    <w:rsid w:val="004B56C6"/>
    <w:rsid w:val="004B7E99"/>
    <w:rsid w:val="004C1A6A"/>
    <w:rsid w:val="004C304C"/>
    <w:rsid w:val="004C38FF"/>
    <w:rsid w:val="004C5C41"/>
    <w:rsid w:val="004D13C8"/>
    <w:rsid w:val="004D33EA"/>
    <w:rsid w:val="004D4F44"/>
    <w:rsid w:val="004D5D20"/>
    <w:rsid w:val="004D6212"/>
    <w:rsid w:val="004D789D"/>
    <w:rsid w:val="004E0FB8"/>
    <w:rsid w:val="004E272F"/>
    <w:rsid w:val="004E2B64"/>
    <w:rsid w:val="004E33FA"/>
    <w:rsid w:val="004E4258"/>
    <w:rsid w:val="004E47A4"/>
    <w:rsid w:val="004F1F9F"/>
    <w:rsid w:val="004F2765"/>
    <w:rsid w:val="004F5238"/>
    <w:rsid w:val="004F53F0"/>
    <w:rsid w:val="004F69D3"/>
    <w:rsid w:val="004F6B7C"/>
    <w:rsid w:val="005049A9"/>
    <w:rsid w:val="00505F1C"/>
    <w:rsid w:val="0050603C"/>
    <w:rsid w:val="005060AB"/>
    <w:rsid w:val="00506B44"/>
    <w:rsid w:val="005100BC"/>
    <w:rsid w:val="005122F2"/>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4CC7"/>
    <w:rsid w:val="005372C0"/>
    <w:rsid w:val="00541630"/>
    <w:rsid w:val="0054168D"/>
    <w:rsid w:val="00542357"/>
    <w:rsid w:val="00551176"/>
    <w:rsid w:val="00551EAE"/>
    <w:rsid w:val="00552150"/>
    <w:rsid w:val="005522D6"/>
    <w:rsid w:val="005536AE"/>
    <w:rsid w:val="005545F5"/>
    <w:rsid w:val="00554B37"/>
    <w:rsid w:val="0055536F"/>
    <w:rsid w:val="005669CA"/>
    <w:rsid w:val="00575199"/>
    <w:rsid w:val="005770F6"/>
    <w:rsid w:val="00577899"/>
    <w:rsid w:val="00577BDD"/>
    <w:rsid w:val="005811A3"/>
    <w:rsid w:val="00583566"/>
    <w:rsid w:val="00584E7A"/>
    <w:rsid w:val="00585460"/>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5BB9"/>
    <w:rsid w:val="005C60C1"/>
    <w:rsid w:val="005C65C2"/>
    <w:rsid w:val="005C765D"/>
    <w:rsid w:val="005C7B4D"/>
    <w:rsid w:val="005D7CA9"/>
    <w:rsid w:val="005D7CB1"/>
    <w:rsid w:val="005E0F5F"/>
    <w:rsid w:val="005F12E0"/>
    <w:rsid w:val="005F2726"/>
    <w:rsid w:val="005F2A30"/>
    <w:rsid w:val="005F2FA6"/>
    <w:rsid w:val="005F34E5"/>
    <w:rsid w:val="005F35C5"/>
    <w:rsid w:val="005F43E1"/>
    <w:rsid w:val="005F47D4"/>
    <w:rsid w:val="005F6A9F"/>
    <w:rsid w:val="005F6D2B"/>
    <w:rsid w:val="005F6E3F"/>
    <w:rsid w:val="0060033F"/>
    <w:rsid w:val="00603211"/>
    <w:rsid w:val="0060375B"/>
    <w:rsid w:val="00606915"/>
    <w:rsid w:val="00606A0C"/>
    <w:rsid w:val="006071B9"/>
    <w:rsid w:val="00607448"/>
    <w:rsid w:val="0060792E"/>
    <w:rsid w:val="00611860"/>
    <w:rsid w:val="00611DA0"/>
    <w:rsid w:val="00612407"/>
    <w:rsid w:val="006125AC"/>
    <w:rsid w:val="00614F51"/>
    <w:rsid w:val="00616984"/>
    <w:rsid w:val="00616E84"/>
    <w:rsid w:val="00617EBE"/>
    <w:rsid w:val="0062117B"/>
    <w:rsid w:val="00622055"/>
    <w:rsid w:val="006244D1"/>
    <w:rsid w:val="00632332"/>
    <w:rsid w:val="00633E85"/>
    <w:rsid w:val="006361EE"/>
    <w:rsid w:val="0063657E"/>
    <w:rsid w:val="00636EB6"/>
    <w:rsid w:val="00637F12"/>
    <w:rsid w:val="006407EF"/>
    <w:rsid w:val="0064115E"/>
    <w:rsid w:val="006423E0"/>
    <w:rsid w:val="00645E65"/>
    <w:rsid w:val="00646F60"/>
    <w:rsid w:val="0064762B"/>
    <w:rsid w:val="00650623"/>
    <w:rsid w:val="0065129E"/>
    <w:rsid w:val="006512C8"/>
    <w:rsid w:val="00653CD3"/>
    <w:rsid w:val="00656E62"/>
    <w:rsid w:val="006573FC"/>
    <w:rsid w:val="00660D00"/>
    <w:rsid w:val="00662686"/>
    <w:rsid w:val="00665605"/>
    <w:rsid w:val="00665692"/>
    <w:rsid w:val="006660B5"/>
    <w:rsid w:val="00666C70"/>
    <w:rsid w:val="00671687"/>
    <w:rsid w:val="00672EEA"/>
    <w:rsid w:val="00673F2C"/>
    <w:rsid w:val="00675A53"/>
    <w:rsid w:val="006770E8"/>
    <w:rsid w:val="006803F5"/>
    <w:rsid w:val="006817AB"/>
    <w:rsid w:val="00682711"/>
    <w:rsid w:val="00683C7E"/>
    <w:rsid w:val="006853D8"/>
    <w:rsid w:val="006866E8"/>
    <w:rsid w:val="00687FB1"/>
    <w:rsid w:val="0069608C"/>
    <w:rsid w:val="00697952"/>
    <w:rsid w:val="006A04E6"/>
    <w:rsid w:val="006A0B3D"/>
    <w:rsid w:val="006A2F71"/>
    <w:rsid w:val="006A5910"/>
    <w:rsid w:val="006B1ABC"/>
    <w:rsid w:val="006B1E65"/>
    <w:rsid w:val="006B2934"/>
    <w:rsid w:val="006B2CC8"/>
    <w:rsid w:val="006B64BE"/>
    <w:rsid w:val="006B6669"/>
    <w:rsid w:val="006C14F1"/>
    <w:rsid w:val="006C1A92"/>
    <w:rsid w:val="006C3BDD"/>
    <w:rsid w:val="006C449D"/>
    <w:rsid w:val="006D0C9B"/>
    <w:rsid w:val="006D1115"/>
    <w:rsid w:val="006D138E"/>
    <w:rsid w:val="006D1B76"/>
    <w:rsid w:val="006D5832"/>
    <w:rsid w:val="006E084E"/>
    <w:rsid w:val="006E215F"/>
    <w:rsid w:val="006E3D5C"/>
    <w:rsid w:val="006E4078"/>
    <w:rsid w:val="006E4E12"/>
    <w:rsid w:val="006E4EFA"/>
    <w:rsid w:val="006E5649"/>
    <w:rsid w:val="006F1B77"/>
    <w:rsid w:val="006F41DD"/>
    <w:rsid w:val="006F5A33"/>
    <w:rsid w:val="006F6787"/>
    <w:rsid w:val="006F6EDD"/>
    <w:rsid w:val="006F79A5"/>
    <w:rsid w:val="007033D2"/>
    <w:rsid w:val="00704AF5"/>
    <w:rsid w:val="0070555E"/>
    <w:rsid w:val="00705F17"/>
    <w:rsid w:val="00707DF8"/>
    <w:rsid w:val="00710173"/>
    <w:rsid w:val="00711F00"/>
    <w:rsid w:val="0071328D"/>
    <w:rsid w:val="00717865"/>
    <w:rsid w:val="00721866"/>
    <w:rsid w:val="0072436A"/>
    <w:rsid w:val="00725CE9"/>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5D9B"/>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4CF4"/>
    <w:rsid w:val="00786271"/>
    <w:rsid w:val="007867FB"/>
    <w:rsid w:val="00790459"/>
    <w:rsid w:val="00790682"/>
    <w:rsid w:val="00790789"/>
    <w:rsid w:val="00791633"/>
    <w:rsid w:val="00792100"/>
    <w:rsid w:val="0079292B"/>
    <w:rsid w:val="0079302E"/>
    <w:rsid w:val="0079379B"/>
    <w:rsid w:val="0079452A"/>
    <w:rsid w:val="00794759"/>
    <w:rsid w:val="00794EC6"/>
    <w:rsid w:val="00794FED"/>
    <w:rsid w:val="00795AD7"/>
    <w:rsid w:val="007961E2"/>
    <w:rsid w:val="007A345A"/>
    <w:rsid w:val="007A3D35"/>
    <w:rsid w:val="007A78C2"/>
    <w:rsid w:val="007B05E9"/>
    <w:rsid w:val="007B079F"/>
    <w:rsid w:val="007B0D4C"/>
    <w:rsid w:val="007B148E"/>
    <w:rsid w:val="007B1E17"/>
    <w:rsid w:val="007B4C73"/>
    <w:rsid w:val="007C0C1F"/>
    <w:rsid w:val="007C1CCF"/>
    <w:rsid w:val="007C1F58"/>
    <w:rsid w:val="007C206E"/>
    <w:rsid w:val="007C2936"/>
    <w:rsid w:val="007C4A36"/>
    <w:rsid w:val="007C4E01"/>
    <w:rsid w:val="007C662A"/>
    <w:rsid w:val="007C7D7F"/>
    <w:rsid w:val="007D33BA"/>
    <w:rsid w:val="007D385A"/>
    <w:rsid w:val="007D6FCB"/>
    <w:rsid w:val="007D7FD4"/>
    <w:rsid w:val="007E2FEB"/>
    <w:rsid w:val="007E3CF9"/>
    <w:rsid w:val="007E74E9"/>
    <w:rsid w:val="007E799E"/>
    <w:rsid w:val="007F0ED6"/>
    <w:rsid w:val="007F1AB9"/>
    <w:rsid w:val="007F3DCC"/>
    <w:rsid w:val="007F43D6"/>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3DB"/>
    <w:rsid w:val="00837549"/>
    <w:rsid w:val="008415FE"/>
    <w:rsid w:val="00842319"/>
    <w:rsid w:val="008435C2"/>
    <w:rsid w:val="00844B5C"/>
    <w:rsid w:val="00845C9F"/>
    <w:rsid w:val="00846431"/>
    <w:rsid w:val="00850A6F"/>
    <w:rsid w:val="00851353"/>
    <w:rsid w:val="00853121"/>
    <w:rsid w:val="008555BA"/>
    <w:rsid w:val="00856155"/>
    <w:rsid w:val="00856CD0"/>
    <w:rsid w:val="00857662"/>
    <w:rsid w:val="008579A6"/>
    <w:rsid w:val="00860226"/>
    <w:rsid w:val="00861D7A"/>
    <w:rsid w:val="00862E29"/>
    <w:rsid w:val="00863E44"/>
    <w:rsid w:val="0086499F"/>
    <w:rsid w:val="00865A5F"/>
    <w:rsid w:val="00867D33"/>
    <w:rsid w:val="00867F04"/>
    <w:rsid w:val="008703DB"/>
    <w:rsid w:val="008710A1"/>
    <w:rsid w:val="00872250"/>
    <w:rsid w:val="0087489F"/>
    <w:rsid w:val="00875E49"/>
    <w:rsid w:val="00875FBB"/>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3539"/>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1CD5"/>
    <w:rsid w:val="00944126"/>
    <w:rsid w:val="0095064A"/>
    <w:rsid w:val="00951A0B"/>
    <w:rsid w:val="009535B3"/>
    <w:rsid w:val="00953A36"/>
    <w:rsid w:val="00953F33"/>
    <w:rsid w:val="00955DBA"/>
    <w:rsid w:val="00957244"/>
    <w:rsid w:val="00962CAC"/>
    <w:rsid w:val="00964BDE"/>
    <w:rsid w:val="009676D3"/>
    <w:rsid w:val="0096782D"/>
    <w:rsid w:val="00970A5C"/>
    <w:rsid w:val="00971E24"/>
    <w:rsid w:val="00972D9B"/>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AFC"/>
    <w:rsid w:val="009B0BFB"/>
    <w:rsid w:val="009B1E73"/>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6B2"/>
    <w:rsid w:val="009F5ACE"/>
    <w:rsid w:val="009F7FE9"/>
    <w:rsid w:val="00A00A92"/>
    <w:rsid w:val="00A02426"/>
    <w:rsid w:val="00A04110"/>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0816"/>
    <w:rsid w:val="00A31263"/>
    <w:rsid w:val="00A329BC"/>
    <w:rsid w:val="00A33E3C"/>
    <w:rsid w:val="00A3426E"/>
    <w:rsid w:val="00A353ED"/>
    <w:rsid w:val="00A375D9"/>
    <w:rsid w:val="00A37FBB"/>
    <w:rsid w:val="00A4236C"/>
    <w:rsid w:val="00A43CAC"/>
    <w:rsid w:val="00A45E20"/>
    <w:rsid w:val="00A46DB8"/>
    <w:rsid w:val="00A519BB"/>
    <w:rsid w:val="00A52DF2"/>
    <w:rsid w:val="00A546A6"/>
    <w:rsid w:val="00A54A5E"/>
    <w:rsid w:val="00A54C95"/>
    <w:rsid w:val="00A55810"/>
    <w:rsid w:val="00A56CDD"/>
    <w:rsid w:val="00A56E3B"/>
    <w:rsid w:val="00A57C5A"/>
    <w:rsid w:val="00A64AD2"/>
    <w:rsid w:val="00A72C1F"/>
    <w:rsid w:val="00A72F5E"/>
    <w:rsid w:val="00A75482"/>
    <w:rsid w:val="00A75A3C"/>
    <w:rsid w:val="00A75EC7"/>
    <w:rsid w:val="00A761B5"/>
    <w:rsid w:val="00A76620"/>
    <w:rsid w:val="00A83577"/>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3435"/>
    <w:rsid w:val="00AE3D58"/>
    <w:rsid w:val="00AE73A1"/>
    <w:rsid w:val="00AE7F88"/>
    <w:rsid w:val="00AF4648"/>
    <w:rsid w:val="00AF4DD3"/>
    <w:rsid w:val="00AF6B78"/>
    <w:rsid w:val="00B01631"/>
    <w:rsid w:val="00B01D80"/>
    <w:rsid w:val="00B05198"/>
    <w:rsid w:val="00B0544B"/>
    <w:rsid w:val="00B06C4C"/>
    <w:rsid w:val="00B0717D"/>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3E67"/>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3987"/>
    <w:rsid w:val="00B76414"/>
    <w:rsid w:val="00B77EB8"/>
    <w:rsid w:val="00B81A2A"/>
    <w:rsid w:val="00B82E95"/>
    <w:rsid w:val="00B83075"/>
    <w:rsid w:val="00B84109"/>
    <w:rsid w:val="00B85BDA"/>
    <w:rsid w:val="00B870D6"/>
    <w:rsid w:val="00B874A9"/>
    <w:rsid w:val="00B87A86"/>
    <w:rsid w:val="00B913B0"/>
    <w:rsid w:val="00B932C8"/>
    <w:rsid w:val="00B93B31"/>
    <w:rsid w:val="00B9457F"/>
    <w:rsid w:val="00B965BF"/>
    <w:rsid w:val="00BA06B1"/>
    <w:rsid w:val="00BA1409"/>
    <w:rsid w:val="00BA3125"/>
    <w:rsid w:val="00BA3654"/>
    <w:rsid w:val="00BA600B"/>
    <w:rsid w:val="00BB15B1"/>
    <w:rsid w:val="00BC05C8"/>
    <w:rsid w:val="00BC0F9A"/>
    <w:rsid w:val="00BC1904"/>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3978"/>
    <w:rsid w:val="00BF4E69"/>
    <w:rsid w:val="00BF651C"/>
    <w:rsid w:val="00BF6BEB"/>
    <w:rsid w:val="00BF734B"/>
    <w:rsid w:val="00BF7BD3"/>
    <w:rsid w:val="00C0130E"/>
    <w:rsid w:val="00C01B04"/>
    <w:rsid w:val="00C01B3A"/>
    <w:rsid w:val="00C03721"/>
    <w:rsid w:val="00C05291"/>
    <w:rsid w:val="00C06025"/>
    <w:rsid w:val="00C067A3"/>
    <w:rsid w:val="00C115C1"/>
    <w:rsid w:val="00C118DD"/>
    <w:rsid w:val="00C13981"/>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47F0B"/>
    <w:rsid w:val="00C53D69"/>
    <w:rsid w:val="00C55B02"/>
    <w:rsid w:val="00C56142"/>
    <w:rsid w:val="00C56B3A"/>
    <w:rsid w:val="00C56EFE"/>
    <w:rsid w:val="00C57F00"/>
    <w:rsid w:val="00C60C0B"/>
    <w:rsid w:val="00C66382"/>
    <w:rsid w:val="00C67F09"/>
    <w:rsid w:val="00C72788"/>
    <w:rsid w:val="00C75F9C"/>
    <w:rsid w:val="00C76A5E"/>
    <w:rsid w:val="00C770FD"/>
    <w:rsid w:val="00C774DB"/>
    <w:rsid w:val="00C865D9"/>
    <w:rsid w:val="00C87110"/>
    <w:rsid w:val="00C90813"/>
    <w:rsid w:val="00C90C2B"/>
    <w:rsid w:val="00C9582B"/>
    <w:rsid w:val="00C95ED5"/>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82E"/>
    <w:rsid w:val="00CC3EAA"/>
    <w:rsid w:val="00CD4A8B"/>
    <w:rsid w:val="00CD7C49"/>
    <w:rsid w:val="00CE1548"/>
    <w:rsid w:val="00CE3799"/>
    <w:rsid w:val="00CE381E"/>
    <w:rsid w:val="00CE4AA9"/>
    <w:rsid w:val="00CE5477"/>
    <w:rsid w:val="00CE562C"/>
    <w:rsid w:val="00CE634D"/>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40C"/>
    <w:rsid w:val="00D27D4B"/>
    <w:rsid w:val="00D301BE"/>
    <w:rsid w:val="00D320C3"/>
    <w:rsid w:val="00D33B40"/>
    <w:rsid w:val="00D35146"/>
    <w:rsid w:val="00D3596F"/>
    <w:rsid w:val="00D3650F"/>
    <w:rsid w:val="00D42F04"/>
    <w:rsid w:val="00D447E5"/>
    <w:rsid w:val="00D457D0"/>
    <w:rsid w:val="00D45E10"/>
    <w:rsid w:val="00D463A4"/>
    <w:rsid w:val="00D4699C"/>
    <w:rsid w:val="00D47877"/>
    <w:rsid w:val="00D513A1"/>
    <w:rsid w:val="00D53655"/>
    <w:rsid w:val="00D570AA"/>
    <w:rsid w:val="00D57D07"/>
    <w:rsid w:val="00D618E7"/>
    <w:rsid w:val="00D619A2"/>
    <w:rsid w:val="00D6375A"/>
    <w:rsid w:val="00D64A77"/>
    <w:rsid w:val="00D66AB5"/>
    <w:rsid w:val="00D67265"/>
    <w:rsid w:val="00D676A0"/>
    <w:rsid w:val="00D70856"/>
    <w:rsid w:val="00D728A7"/>
    <w:rsid w:val="00D73117"/>
    <w:rsid w:val="00D73D86"/>
    <w:rsid w:val="00D8335C"/>
    <w:rsid w:val="00D9068D"/>
    <w:rsid w:val="00D92B16"/>
    <w:rsid w:val="00D93862"/>
    <w:rsid w:val="00D93CC2"/>
    <w:rsid w:val="00D9629E"/>
    <w:rsid w:val="00D96436"/>
    <w:rsid w:val="00D97633"/>
    <w:rsid w:val="00DA2106"/>
    <w:rsid w:val="00DA23EB"/>
    <w:rsid w:val="00DA4ECD"/>
    <w:rsid w:val="00DB02EF"/>
    <w:rsid w:val="00DB0A56"/>
    <w:rsid w:val="00DB1007"/>
    <w:rsid w:val="00DB1699"/>
    <w:rsid w:val="00DB3DC8"/>
    <w:rsid w:val="00DB5115"/>
    <w:rsid w:val="00DB5177"/>
    <w:rsid w:val="00DB5C75"/>
    <w:rsid w:val="00DB5D50"/>
    <w:rsid w:val="00DB66E6"/>
    <w:rsid w:val="00DC23FE"/>
    <w:rsid w:val="00DC38B9"/>
    <w:rsid w:val="00DC5B37"/>
    <w:rsid w:val="00DC5DDD"/>
    <w:rsid w:val="00DD2369"/>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849"/>
    <w:rsid w:val="00E10BF1"/>
    <w:rsid w:val="00E11B5C"/>
    <w:rsid w:val="00E13E2B"/>
    <w:rsid w:val="00E22994"/>
    <w:rsid w:val="00E22DB7"/>
    <w:rsid w:val="00E23C1B"/>
    <w:rsid w:val="00E24D2B"/>
    <w:rsid w:val="00E25DDC"/>
    <w:rsid w:val="00E27101"/>
    <w:rsid w:val="00E345BF"/>
    <w:rsid w:val="00E34D59"/>
    <w:rsid w:val="00E35C78"/>
    <w:rsid w:val="00E405EA"/>
    <w:rsid w:val="00E40877"/>
    <w:rsid w:val="00E424EF"/>
    <w:rsid w:val="00E474F9"/>
    <w:rsid w:val="00E51F8B"/>
    <w:rsid w:val="00E51FCF"/>
    <w:rsid w:val="00E529D4"/>
    <w:rsid w:val="00E53839"/>
    <w:rsid w:val="00E53C18"/>
    <w:rsid w:val="00E53F41"/>
    <w:rsid w:val="00E54488"/>
    <w:rsid w:val="00E5638A"/>
    <w:rsid w:val="00E56D2F"/>
    <w:rsid w:val="00E61B20"/>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268"/>
    <w:rsid w:val="00E878FF"/>
    <w:rsid w:val="00E91E16"/>
    <w:rsid w:val="00E952EF"/>
    <w:rsid w:val="00E96437"/>
    <w:rsid w:val="00E968A0"/>
    <w:rsid w:val="00E97145"/>
    <w:rsid w:val="00EA4196"/>
    <w:rsid w:val="00EA510E"/>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429"/>
    <w:rsid w:val="00EE5F6D"/>
    <w:rsid w:val="00EF0701"/>
    <w:rsid w:val="00EF11F2"/>
    <w:rsid w:val="00EF236F"/>
    <w:rsid w:val="00EF3067"/>
    <w:rsid w:val="00F03AFB"/>
    <w:rsid w:val="00F03CB2"/>
    <w:rsid w:val="00F041C3"/>
    <w:rsid w:val="00F0557A"/>
    <w:rsid w:val="00F102FC"/>
    <w:rsid w:val="00F10E6B"/>
    <w:rsid w:val="00F13DC7"/>
    <w:rsid w:val="00F14729"/>
    <w:rsid w:val="00F14ED7"/>
    <w:rsid w:val="00F150D6"/>
    <w:rsid w:val="00F15173"/>
    <w:rsid w:val="00F17670"/>
    <w:rsid w:val="00F17A90"/>
    <w:rsid w:val="00F2031D"/>
    <w:rsid w:val="00F21F71"/>
    <w:rsid w:val="00F2622B"/>
    <w:rsid w:val="00F26369"/>
    <w:rsid w:val="00F31671"/>
    <w:rsid w:val="00F3240D"/>
    <w:rsid w:val="00F328DE"/>
    <w:rsid w:val="00F3330B"/>
    <w:rsid w:val="00F357CB"/>
    <w:rsid w:val="00F35CA0"/>
    <w:rsid w:val="00F36A57"/>
    <w:rsid w:val="00F4019F"/>
    <w:rsid w:val="00F405BB"/>
    <w:rsid w:val="00F41DFE"/>
    <w:rsid w:val="00F4328A"/>
    <w:rsid w:val="00F44706"/>
    <w:rsid w:val="00F44A91"/>
    <w:rsid w:val="00F45420"/>
    <w:rsid w:val="00F47184"/>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66F95"/>
    <w:rsid w:val="00F70436"/>
    <w:rsid w:val="00F713DB"/>
    <w:rsid w:val="00F71D66"/>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1CE3"/>
    <w:rsid w:val="00FD318F"/>
    <w:rsid w:val="00FD54BE"/>
    <w:rsid w:val="00FD5F4F"/>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B53B7"/>
    <w:rPr>
      <w:sz w:val="16"/>
      <w:szCs w:val="16"/>
    </w:rPr>
  </w:style>
  <w:style w:type="paragraph" w:styleId="CommentText">
    <w:name w:val="annotation text"/>
    <w:basedOn w:val="Normal"/>
    <w:link w:val="CommentTextChar"/>
    <w:uiPriority w:val="99"/>
    <w:semiHidden/>
    <w:unhideWhenUsed/>
    <w:rsid w:val="001B53B7"/>
    <w:pPr>
      <w:spacing w:line="240" w:lineRule="auto"/>
    </w:pPr>
    <w:rPr>
      <w:szCs w:val="20"/>
    </w:rPr>
  </w:style>
  <w:style w:type="character" w:customStyle="1" w:styleId="CommentTextChar">
    <w:name w:val="Comment Text Char"/>
    <w:basedOn w:val="DefaultParagraphFont"/>
    <w:link w:val="CommentText"/>
    <w:uiPriority w:val="99"/>
    <w:semiHidden/>
    <w:rsid w:val="001B53B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B53B7"/>
    <w:rPr>
      <w:b/>
      <w:bCs/>
    </w:rPr>
  </w:style>
  <w:style w:type="character" w:customStyle="1" w:styleId="CommentSubjectChar">
    <w:name w:val="Comment Subject Char"/>
    <w:basedOn w:val="CommentTextChar"/>
    <w:link w:val="CommentSubject"/>
    <w:uiPriority w:val="99"/>
    <w:semiHidden/>
    <w:rsid w:val="001B53B7"/>
    <w:rPr>
      <w:rFonts w:ascii="Times New Roman" w:hAnsi="Times New Roman"/>
      <w:b/>
      <w:bCs/>
      <w:spacing w:val="4"/>
      <w:w w:val="103"/>
      <w:kern w:val="14"/>
      <w:lang w:val="fr-CA"/>
    </w:rPr>
  </w:style>
  <w:style w:type="table" w:styleId="TableGrid">
    <w:name w:val="Table Grid"/>
    <w:basedOn w:val="TableNormal"/>
    <w:uiPriority w:val="59"/>
    <w:rsid w:val="009B0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FD1CE3"/>
    <w:pPr>
      <w:suppressAutoHyphens/>
      <w:spacing w:after="120" w:line="240" w:lineRule="atLeast"/>
      <w:ind w:left="1134" w:right="1134"/>
      <w:jc w:val="both"/>
    </w:pPr>
    <w:rPr>
      <w:rFonts w:eastAsia="Times New Roman"/>
      <w:spacing w:val="0"/>
      <w:w w:val="100"/>
      <w:kern w:val="0"/>
      <w:szCs w:val="20"/>
      <w:lang w:val="en-GB"/>
    </w:rPr>
  </w:style>
  <w:style w:type="paragraph" w:customStyle="1" w:styleId="H23G">
    <w:name w:val="_ H_2/3_G"/>
    <w:basedOn w:val="Normal"/>
    <w:next w:val="Normal"/>
    <w:rsid w:val="00FD1CE3"/>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basedOn w:val="DefaultParagraphFont"/>
    <w:uiPriority w:val="99"/>
    <w:semiHidden/>
    <w:rsid w:val="00FD1CE3"/>
    <w:rPr>
      <w:color w:val="auto"/>
      <w:u w:val="none"/>
    </w:rPr>
  </w:style>
  <w:style w:type="character" w:customStyle="1" w:styleId="SingleTxtGChar">
    <w:name w:val="_ Single Txt_G Char"/>
    <w:link w:val="SingleTxtG"/>
    <w:rsid w:val="00FD1CE3"/>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B53B7"/>
    <w:rPr>
      <w:sz w:val="16"/>
      <w:szCs w:val="16"/>
    </w:rPr>
  </w:style>
  <w:style w:type="paragraph" w:styleId="CommentText">
    <w:name w:val="annotation text"/>
    <w:basedOn w:val="Normal"/>
    <w:link w:val="CommentTextChar"/>
    <w:uiPriority w:val="99"/>
    <w:semiHidden/>
    <w:unhideWhenUsed/>
    <w:rsid w:val="001B53B7"/>
    <w:pPr>
      <w:spacing w:line="240" w:lineRule="auto"/>
    </w:pPr>
    <w:rPr>
      <w:szCs w:val="20"/>
    </w:rPr>
  </w:style>
  <w:style w:type="character" w:customStyle="1" w:styleId="CommentTextChar">
    <w:name w:val="Comment Text Char"/>
    <w:basedOn w:val="DefaultParagraphFont"/>
    <w:link w:val="CommentText"/>
    <w:uiPriority w:val="99"/>
    <w:semiHidden/>
    <w:rsid w:val="001B53B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B53B7"/>
    <w:rPr>
      <w:b/>
      <w:bCs/>
    </w:rPr>
  </w:style>
  <w:style w:type="character" w:customStyle="1" w:styleId="CommentSubjectChar">
    <w:name w:val="Comment Subject Char"/>
    <w:basedOn w:val="CommentTextChar"/>
    <w:link w:val="CommentSubject"/>
    <w:uiPriority w:val="99"/>
    <w:semiHidden/>
    <w:rsid w:val="001B53B7"/>
    <w:rPr>
      <w:rFonts w:ascii="Times New Roman" w:hAnsi="Times New Roman"/>
      <w:b/>
      <w:bCs/>
      <w:spacing w:val="4"/>
      <w:w w:val="103"/>
      <w:kern w:val="14"/>
      <w:lang w:val="fr-CA"/>
    </w:rPr>
  </w:style>
  <w:style w:type="table" w:styleId="TableGrid">
    <w:name w:val="Table Grid"/>
    <w:basedOn w:val="TableNormal"/>
    <w:uiPriority w:val="59"/>
    <w:rsid w:val="009B0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FD1CE3"/>
    <w:pPr>
      <w:suppressAutoHyphens/>
      <w:spacing w:after="120" w:line="240" w:lineRule="atLeast"/>
      <w:ind w:left="1134" w:right="1134"/>
      <w:jc w:val="both"/>
    </w:pPr>
    <w:rPr>
      <w:rFonts w:eastAsia="Times New Roman"/>
      <w:spacing w:val="0"/>
      <w:w w:val="100"/>
      <w:kern w:val="0"/>
      <w:szCs w:val="20"/>
      <w:lang w:val="en-GB"/>
    </w:rPr>
  </w:style>
  <w:style w:type="paragraph" w:customStyle="1" w:styleId="H23G">
    <w:name w:val="_ H_2/3_G"/>
    <w:basedOn w:val="Normal"/>
    <w:next w:val="Normal"/>
    <w:rsid w:val="00FD1CE3"/>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basedOn w:val="DefaultParagraphFont"/>
    <w:uiPriority w:val="99"/>
    <w:semiHidden/>
    <w:rsid w:val="00FD1CE3"/>
    <w:rPr>
      <w:color w:val="auto"/>
      <w:u w:val="none"/>
    </w:rPr>
  </w:style>
  <w:style w:type="character" w:customStyle="1" w:styleId="SingleTxtGChar">
    <w:name w:val="_ Single Txt_G Char"/>
    <w:link w:val="SingleTxtG"/>
    <w:rsid w:val="00FD1CE3"/>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659">
      <w:bodyDiv w:val="1"/>
      <w:marLeft w:val="0"/>
      <w:marRight w:val="0"/>
      <w:marTop w:val="0"/>
      <w:marBottom w:val="0"/>
      <w:divBdr>
        <w:top w:val="none" w:sz="0" w:space="0" w:color="auto"/>
        <w:left w:val="none" w:sz="0" w:space="0" w:color="auto"/>
        <w:bottom w:val="none" w:sz="0" w:space="0" w:color="auto"/>
        <w:right w:val="none" w:sz="0" w:space="0" w:color="auto"/>
      </w:divBdr>
    </w:div>
    <w:div w:id="891114020">
      <w:bodyDiv w:val="1"/>
      <w:marLeft w:val="0"/>
      <w:marRight w:val="0"/>
      <w:marTop w:val="0"/>
      <w:marBottom w:val="0"/>
      <w:divBdr>
        <w:top w:val="none" w:sz="0" w:space="0" w:color="auto"/>
        <w:left w:val="none" w:sz="0" w:space="0" w:color="auto"/>
        <w:bottom w:val="none" w:sz="0" w:space="0" w:color="auto"/>
        <w:right w:val="none" w:sz="0" w:space="0" w:color="auto"/>
      </w:divBdr>
    </w:div>
    <w:div w:id="1143044858">
      <w:bodyDiv w:val="1"/>
      <w:marLeft w:val="0"/>
      <w:marRight w:val="0"/>
      <w:marTop w:val="0"/>
      <w:marBottom w:val="0"/>
      <w:divBdr>
        <w:top w:val="none" w:sz="0" w:space="0" w:color="auto"/>
        <w:left w:val="none" w:sz="0" w:space="0" w:color="auto"/>
        <w:bottom w:val="none" w:sz="0" w:space="0" w:color="auto"/>
        <w:right w:val="none" w:sz="0" w:space="0" w:color="auto"/>
      </w:divBdr>
    </w:div>
    <w:div w:id="1152603883">
      <w:bodyDiv w:val="1"/>
      <w:marLeft w:val="0"/>
      <w:marRight w:val="0"/>
      <w:marTop w:val="0"/>
      <w:marBottom w:val="0"/>
      <w:divBdr>
        <w:top w:val="none" w:sz="0" w:space="0" w:color="auto"/>
        <w:left w:val="none" w:sz="0" w:space="0" w:color="auto"/>
        <w:bottom w:val="none" w:sz="0" w:space="0" w:color="auto"/>
        <w:right w:val="none" w:sz="0" w:space="0" w:color="auto"/>
      </w:divBdr>
    </w:div>
    <w:div w:id="1444419718">
      <w:bodyDiv w:val="1"/>
      <w:marLeft w:val="0"/>
      <w:marRight w:val="0"/>
      <w:marTop w:val="0"/>
      <w:marBottom w:val="0"/>
      <w:divBdr>
        <w:top w:val="none" w:sz="0" w:space="0" w:color="auto"/>
        <w:left w:val="none" w:sz="0" w:space="0" w:color="auto"/>
        <w:bottom w:val="none" w:sz="0" w:space="0" w:color="auto"/>
        <w:right w:val="none" w:sz="0" w:space="0" w:color="auto"/>
      </w:divBdr>
    </w:div>
    <w:div w:id="15440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unsd/dnss/docs-nqaf/UNECE-Quality%20Improvement%2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F218-1E00-4E73-BDE9-A16DFB73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12269</Words>
  <Characters>69936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Bourion</dc:creator>
  <cp:keywords/>
  <dc:description/>
  <cp:lastModifiedBy>sochirca</cp:lastModifiedBy>
  <cp:revision>4</cp:revision>
  <cp:lastPrinted>2016-02-23T14:13:00Z</cp:lastPrinted>
  <dcterms:created xsi:type="dcterms:W3CDTF">2016-02-23T14:13:00Z</dcterms:created>
  <dcterms:modified xsi:type="dcterms:W3CDTF">2016-03-01T09:50:00Z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1601191F</vt:lpwstr>
  </property>
  <property fmtid="{D5CDD505-2E9C-101B-9397-08002B2CF9AE}" pid="3" name="ODSRefJobNo">
    <vt:lpwstr>1601388F</vt:lpwstr>
  </property>
  <property fmtid="{D5CDD505-2E9C-101B-9397-08002B2CF9AE}" pid="4" name="Symbol1">
    <vt:lpwstr>ECE/CEP/S/2016/L.9</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28 janvier 2016</vt:lpwstr>
  </property>
  <property fmtid="{D5CDD505-2E9C-101B-9397-08002B2CF9AE}" pid="12" name="Original">
    <vt:lpwstr>anglais</vt:lpwstr>
  </property>
  <property fmtid="{D5CDD505-2E9C-101B-9397-08002B2CF9AE}" pid="13" name="Release Date">
    <vt:lpwstr>220216</vt:lpwstr>
  </property>
</Properties>
</file>