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7871526" w14:textId="77777777" w:rsidTr="009E6CB7">
        <w:trPr>
          <w:cantSplit/>
          <w:trHeight w:hRule="exact" w:val="851"/>
        </w:trPr>
        <w:tc>
          <w:tcPr>
            <w:tcW w:w="1276" w:type="dxa"/>
            <w:tcBorders>
              <w:bottom w:val="single" w:sz="4" w:space="0" w:color="auto"/>
            </w:tcBorders>
            <w:vAlign w:val="bottom"/>
          </w:tcPr>
          <w:p w14:paraId="0B3C4E31" w14:textId="77777777" w:rsidR="009E6CB7" w:rsidRDefault="009E6CB7" w:rsidP="009E6CB7">
            <w:pPr>
              <w:spacing w:after="80"/>
            </w:pPr>
          </w:p>
        </w:tc>
        <w:tc>
          <w:tcPr>
            <w:tcW w:w="2268" w:type="dxa"/>
            <w:tcBorders>
              <w:bottom w:val="single" w:sz="4" w:space="0" w:color="auto"/>
            </w:tcBorders>
            <w:vAlign w:val="bottom"/>
          </w:tcPr>
          <w:p w14:paraId="23905B6F"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4107C8D" w14:textId="77777777" w:rsidR="009E6CB7" w:rsidRPr="00D47EEA" w:rsidRDefault="005C74C7" w:rsidP="005C74C7">
            <w:pPr>
              <w:jc w:val="right"/>
            </w:pPr>
            <w:r w:rsidRPr="005C74C7">
              <w:rPr>
                <w:sz w:val="40"/>
              </w:rPr>
              <w:t>ECE</w:t>
            </w:r>
            <w:r>
              <w:t>/CEP/S/2016/L.9</w:t>
            </w:r>
          </w:p>
        </w:tc>
      </w:tr>
      <w:tr w:rsidR="009E6CB7" w14:paraId="45C96F91" w14:textId="77777777" w:rsidTr="009E6CB7">
        <w:trPr>
          <w:cantSplit/>
          <w:trHeight w:hRule="exact" w:val="2835"/>
        </w:trPr>
        <w:tc>
          <w:tcPr>
            <w:tcW w:w="1276" w:type="dxa"/>
            <w:tcBorders>
              <w:top w:val="single" w:sz="4" w:space="0" w:color="auto"/>
              <w:bottom w:val="single" w:sz="12" w:space="0" w:color="auto"/>
            </w:tcBorders>
          </w:tcPr>
          <w:p w14:paraId="54432A3F" w14:textId="77777777" w:rsidR="009E6CB7" w:rsidRDefault="00BC7F91" w:rsidP="009E6CB7">
            <w:pPr>
              <w:spacing w:before="120"/>
            </w:pPr>
            <w:r>
              <w:rPr>
                <w:noProof/>
                <w:lang w:eastAsia="en-GB"/>
              </w:rPr>
              <w:drawing>
                <wp:inline distT="0" distB="0" distL="0" distR="0" wp14:anchorId="636BDB14" wp14:editId="3BC07FD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B88BC1"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5D62EEC" w14:textId="77777777" w:rsidR="009E6CB7" w:rsidRDefault="005C74C7" w:rsidP="005C74C7">
            <w:pPr>
              <w:spacing w:before="240" w:line="240" w:lineRule="exact"/>
            </w:pPr>
            <w:r>
              <w:t>Distr.: Limited</w:t>
            </w:r>
          </w:p>
          <w:p w14:paraId="14D2FC56" w14:textId="53C8A765" w:rsidR="005C74C7" w:rsidRDefault="00D1659D" w:rsidP="005C74C7">
            <w:pPr>
              <w:spacing w:line="240" w:lineRule="exact"/>
            </w:pPr>
            <w:r>
              <w:t>2</w:t>
            </w:r>
            <w:r w:rsidR="001A5CFE">
              <w:t>8</w:t>
            </w:r>
            <w:r w:rsidR="005C74C7">
              <w:t xml:space="preserve"> January 2016</w:t>
            </w:r>
          </w:p>
          <w:p w14:paraId="7D273898" w14:textId="77777777" w:rsidR="005C74C7" w:rsidRDefault="005C74C7" w:rsidP="005C74C7">
            <w:pPr>
              <w:spacing w:line="240" w:lineRule="exact"/>
            </w:pPr>
          </w:p>
          <w:p w14:paraId="64B318C0" w14:textId="77777777" w:rsidR="005C74C7" w:rsidRDefault="005C74C7" w:rsidP="005C74C7">
            <w:pPr>
              <w:spacing w:line="240" w:lineRule="exact"/>
            </w:pPr>
            <w:r>
              <w:t>Original: English</w:t>
            </w:r>
          </w:p>
        </w:tc>
      </w:tr>
    </w:tbl>
    <w:p w14:paraId="0767C17B" w14:textId="77777777" w:rsidR="00725E2D" w:rsidRPr="00725E2D" w:rsidRDefault="00725E2D" w:rsidP="00725E2D">
      <w:pPr>
        <w:spacing w:line="20" w:lineRule="exact"/>
        <w:rPr>
          <w:b/>
          <w:sz w:val="2"/>
          <w:szCs w:val="28"/>
        </w:rPr>
      </w:pPr>
    </w:p>
    <w:p w14:paraId="5BC9E424" w14:textId="3C96FCA9" w:rsidR="00DA5A3D" w:rsidRPr="004F314C" w:rsidRDefault="00DA5A3D" w:rsidP="00DA5A3D">
      <w:pPr>
        <w:spacing w:before="120"/>
        <w:rPr>
          <w:b/>
          <w:sz w:val="28"/>
          <w:szCs w:val="28"/>
        </w:rPr>
      </w:pPr>
      <w:r w:rsidRPr="004F314C">
        <w:rPr>
          <w:b/>
          <w:sz w:val="28"/>
          <w:szCs w:val="28"/>
        </w:rPr>
        <w:t>Economic Commission for Europe</w:t>
      </w:r>
    </w:p>
    <w:p w14:paraId="6B422A71" w14:textId="77777777" w:rsidR="00DA5A3D" w:rsidRPr="004F314C" w:rsidRDefault="00DA5A3D" w:rsidP="00DA5A3D">
      <w:pPr>
        <w:spacing w:before="120"/>
        <w:rPr>
          <w:bCs/>
          <w:sz w:val="28"/>
          <w:szCs w:val="28"/>
        </w:rPr>
      </w:pPr>
      <w:r w:rsidRPr="004F314C">
        <w:rPr>
          <w:bCs/>
          <w:sz w:val="28"/>
          <w:szCs w:val="28"/>
        </w:rPr>
        <w:t>Committee on Environmental Policy</w:t>
      </w:r>
    </w:p>
    <w:p w14:paraId="64632A6F" w14:textId="77777777" w:rsidR="00DA5A3D" w:rsidRPr="004F314C" w:rsidRDefault="00DA5A3D" w:rsidP="00DA5A3D">
      <w:pPr>
        <w:spacing w:before="120"/>
        <w:rPr>
          <w:b/>
        </w:rPr>
      </w:pPr>
      <w:r w:rsidRPr="004F314C">
        <w:rPr>
          <w:b/>
        </w:rPr>
        <w:t>Special session</w:t>
      </w:r>
    </w:p>
    <w:p w14:paraId="4B5FC80E" w14:textId="77777777" w:rsidR="00DA5A3D" w:rsidRPr="004F314C" w:rsidRDefault="00DA5A3D" w:rsidP="00DA5A3D">
      <w:r w:rsidRPr="004F314C">
        <w:t>Geneva, 23–25 February 2016</w:t>
      </w:r>
    </w:p>
    <w:p w14:paraId="348A91DC" w14:textId="77777777" w:rsidR="00DA5A3D" w:rsidRPr="00B8247C" w:rsidRDefault="00DA5A3D" w:rsidP="00DA5A3D">
      <w:r w:rsidRPr="00B8247C">
        <w:t>Item 3 (</w:t>
      </w:r>
      <w:r>
        <w:t>c</w:t>
      </w:r>
      <w:r w:rsidRPr="00B8247C">
        <w:t>) of the provisional agenda</w:t>
      </w:r>
    </w:p>
    <w:p w14:paraId="430A776B" w14:textId="77777777" w:rsidR="00DA5A3D" w:rsidRDefault="00DA5A3D" w:rsidP="00DA5A3D">
      <w:pPr>
        <w:rPr>
          <w:b/>
        </w:rPr>
      </w:pPr>
      <w:r w:rsidRPr="00B8247C">
        <w:rPr>
          <w:b/>
        </w:rPr>
        <w:t>The Eighth Environment for Europe Ministerial Conference</w:t>
      </w:r>
      <w:proofErr w:type="gramStart"/>
      <w:r w:rsidRPr="00B8247C">
        <w:rPr>
          <w:b/>
        </w:rPr>
        <w:t>:</w:t>
      </w:r>
      <w:bookmarkStart w:id="0" w:name="_GoBack"/>
      <w:bookmarkEnd w:id="0"/>
      <w:proofErr w:type="gramEnd"/>
      <w:r w:rsidRPr="00B8247C">
        <w:rPr>
          <w:b/>
        </w:rPr>
        <w:br/>
      </w:r>
      <w:r>
        <w:rPr>
          <w:b/>
        </w:rPr>
        <w:t>d</w:t>
      </w:r>
      <w:r w:rsidRPr="00410ED5">
        <w:rPr>
          <w:b/>
        </w:rPr>
        <w:t>eveloping the Shared Environmental Information System and</w:t>
      </w:r>
      <w:r>
        <w:rPr>
          <w:b/>
        </w:rPr>
        <w:t xml:space="preserve"> </w:t>
      </w:r>
      <w:r>
        <w:rPr>
          <w:b/>
        </w:rPr>
        <w:br/>
      </w:r>
      <w:r w:rsidRPr="00410ED5">
        <w:rPr>
          <w:b/>
        </w:rPr>
        <w:t>keeping the pan-European environment under review — the</w:t>
      </w:r>
      <w:r w:rsidR="00943C78">
        <w:rPr>
          <w:b/>
        </w:rPr>
        <w:br/>
      </w:r>
      <w:r w:rsidRPr="00410ED5">
        <w:rPr>
          <w:b/>
        </w:rPr>
        <w:t>European regional assessment of the Sixth Global Environmental Outlook</w:t>
      </w:r>
    </w:p>
    <w:p w14:paraId="03941D31" w14:textId="77777777" w:rsidR="00DA5A3D" w:rsidRPr="00494ED9" w:rsidRDefault="00DA5A3D" w:rsidP="00504353">
      <w:pPr>
        <w:pStyle w:val="HChG"/>
        <w:spacing w:before="320" w:after="200"/>
      </w:pPr>
      <w:r w:rsidRPr="00494ED9">
        <w:tab/>
      </w:r>
      <w:r w:rsidRPr="00494ED9">
        <w:tab/>
      </w:r>
      <w:r w:rsidRPr="006C1A1F">
        <w:t>Draft</w:t>
      </w:r>
      <w:r w:rsidRPr="00B8247C">
        <w:t xml:space="preserve"> </w:t>
      </w:r>
      <w:r>
        <w:t>r</w:t>
      </w:r>
      <w:r w:rsidRPr="00053DDA">
        <w:t>eport</w:t>
      </w:r>
      <w:r>
        <w:t xml:space="preserve"> </w:t>
      </w:r>
      <w:r w:rsidRPr="00494ED9">
        <w:t>on progress in establishing the Shared Environmental Information System in support to regular reporting in the pan-European region</w:t>
      </w:r>
    </w:p>
    <w:p w14:paraId="643081B1" w14:textId="77D08F83" w:rsidR="00DA5A3D" w:rsidRDefault="00DA5A3D" w:rsidP="00504353">
      <w:pPr>
        <w:pStyle w:val="H1G"/>
        <w:spacing w:before="320" w:after="200"/>
        <w:rPr>
          <w:sz w:val="20"/>
        </w:rPr>
      </w:pPr>
      <w:r w:rsidRPr="00CE44ED">
        <w:tab/>
      </w:r>
      <w:r w:rsidRPr="00494ED9">
        <w:tab/>
        <w:t xml:space="preserve">Note by </w:t>
      </w:r>
      <w:r w:rsidRPr="006C1A1F">
        <w:t>the</w:t>
      </w:r>
      <w:r w:rsidRPr="00494ED9">
        <w:t xml:space="preserve"> Working Group on Environmental Monitoring and Assessment</w:t>
      </w:r>
      <w:r>
        <w:t xml:space="preserve"> </w:t>
      </w:r>
      <w:r>
        <w:rPr>
          <w:lang w:eastAsia="en-GB"/>
        </w:rPr>
        <w:t>with support from the </w:t>
      </w:r>
      <w:r w:rsidRPr="00B8247C">
        <w:rPr>
          <w:lang w:eastAsia="en-GB"/>
        </w:rPr>
        <w:t>secretariat</w:t>
      </w:r>
      <w:r w:rsidRPr="00604451">
        <w:rPr>
          <w:rStyle w:val="FootnoteReference"/>
          <w:sz w:val="20"/>
          <w:vertAlign w:val="baseline"/>
        </w:rPr>
        <w:footnoteReference w:customMarkFollows="1" w:id="2"/>
        <w:t>*</w:t>
      </w:r>
      <w:r w:rsidR="004327CF" w:rsidRPr="004327CF">
        <w:rPr>
          <w:vertAlign w:val="superscript"/>
        </w:rPr>
        <w:t>,</w:t>
      </w:r>
      <w:r w:rsidR="004327CF" w:rsidRPr="004327CF">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DA5A3D" w14:paraId="0D33CEBD" w14:textId="77777777" w:rsidTr="0017623A">
        <w:trPr>
          <w:jc w:val="center"/>
        </w:trPr>
        <w:tc>
          <w:tcPr>
            <w:tcW w:w="9637" w:type="dxa"/>
            <w:shd w:val="clear" w:color="auto" w:fill="auto"/>
          </w:tcPr>
          <w:p w14:paraId="33EC598A" w14:textId="77777777" w:rsidR="00DA5A3D" w:rsidRPr="00604451" w:rsidRDefault="00DA5A3D" w:rsidP="0017623A">
            <w:pPr>
              <w:spacing w:before="240" w:after="120"/>
              <w:ind w:left="255"/>
              <w:rPr>
                <w:i/>
                <w:sz w:val="24"/>
              </w:rPr>
            </w:pPr>
            <w:r w:rsidRPr="00604451">
              <w:rPr>
                <w:i/>
                <w:sz w:val="24"/>
              </w:rPr>
              <w:t>Summary</w:t>
            </w:r>
          </w:p>
        </w:tc>
      </w:tr>
      <w:tr w:rsidR="00DA5A3D" w14:paraId="776A8DEF" w14:textId="77777777" w:rsidTr="0017623A">
        <w:trPr>
          <w:jc w:val="center"/>
        </w:trPr>
        <w:tc>
          <w:tcPr>
            <w:tcW w:w="9637" w:type="dxa"/>
            <w:shd w:val="clear" w:color="auto" w:fill="auto"/>
          </w:tcPr>
          <w:p w14:paraId="178EE6B4" w14:textId="475CAD95" w:rsidR="00DA5A3D" w:rsidRDefault="00DA5A3D" w:rsidP="0017623A">
            <w:pPr>
              <w:pStyle w:val="SingleTxtG"/>
            </w:pPr>
            <w:r>
              <w:tab/>
              <w:t>At its twenty-first session (Geneva, 27–30 October 2015), the United Nations Economic Commission for Europe Committee on Environmental Policy welcomed the work of the Working Group on Environmental Monitoring and Assessment in assessing the progress in developing the Shared Environmental Information System across the pan-European region, and mandated the Working Group to work with the countries and the European Environment Agency to validate the data and information and continue to monitor progress in developing SEIS, with a view to submitting an updated report to the Committee at its special session in February 2016 (see ECE/CEP/2015/2, Report of the twenty-first session, forthcoming).</w:t>
            </w:r>
          </w:p>
          <w:p w14:paraId="60354A26" w14:textId="77777777" w:rsidR="00DA5A3D" w:rsidRDefault="00DA5A3D" w:rsidP="0017623A">
            <w:pPr>
              <w:pStyle w:val="SingleTxtG"/>
            </w:pPr>
            <w:r>
              <w:tab/>
              <w:t>The present document was prepared by the Working Group, with support from the secretariat, in accordance with the above mandate. The Committee will be invited to consider the revised draft with a view to submitting it to the Eighth Environment for Europe Ministerial Conference (Batumi, Georgia, 8–10 June 2016) for supporting the ministerial discussion on keeping the pan-European environment under review.</w:t>
            </w:r>
          </w:p>
        </w:tc>
      </w:tr>
    </w:tbl>
    <w:p w14:paraId="4DD40CE0" w14:textId="77777777" w:rsidR="00357D9F" w:rsidRPr="00354B59" w:rsidRDefault="00357D9F" w:rsidP="00357D9F">
      <w:pPr>
        <w:spacing w:after="120"/>
        <w:rPr>
          <w:sz w:val="28"/>
        </w:rPr>
      </w:pPr>
      <w:bookmarkStart w:id="1" w:name="_Toc440461421"/>
      <w:r w:rsidRPr="00354B59">
        <w:rPr>
          <w:sz w:val="28"/>
        </w:rPr>
        <w:lastRenderedPageBreak/>
        <w:t>Contents</w:t>
      </w:r>
    </w:p>
    <w:p w14:paraId="5AFEBB60" w14:textId="77777777" w:rsidR="00357D9F" w:rsidRPr="00354B59" w:rsidRDefault="00357D9F" w:rsidP="00357D9F">
      <w:pPr>
        <w:tabs>
          <w:tab w:val="right" w:pos="9638"/>
        </w:tabs>
        <w:spacing w:after="120"/>
        <w:ind w:left="283"/>
        <w:rPr>
          <w:sz w:val="18"/>
        </w:rPr>
      </w:pPr>
      <w:r w:rsidRPr="00354B59">
        <w:rPr>
          <w:i/>
          <w:sz w:val="18"/>
        </w:rPr>
        <w:tab/>
        <w:t>Page</w:t>
      </w:r>
    </w:p>
    <w:p w14:paraId="79672F15" w14:textId="77777777" w:rsidR="00357D9F" w:rsidRPr="00354B59" w:rsidRDefault="00357D9F" w:rsidP="00357D9F">
      <w:pPr>
        <w:tabs>
          <w:tab w:val="right" w:pos="850"/>
          <w:tab w:val="left" w:pos="1134"/>
          <w:tab w:val="left" w:pos="1559"/>
          <w:tab w:val="left" w:pos="1984"/>
          <w:tab w:val="left" w:leader="dot" w:pos="8929"/>
          <w:tab w:val="right" w:pos="9638"/>
        </w:tabs>
        <w:spacing w:after="120"/>
      </w:pPr>
      <w:r w:rsidRPr="00354B59">
        <w:tab/>
      </w:r>
      <w:r w:rsidRPr="00354B59">
        <w:tab/>
        <w:t>Introduction</w:t>
      </w:r>
      <w:r w:rsidRPr="00354B59">
        <w:tab/>
      </w:r>
      <w:r w:rsidRPr="00354B59">
        <w:tab/>
      </w:r>
      <w:r w:rsidR="00917234" w:rsidRPr="00354B59">
        <w:t>3</w:t>
      </w:r>
    </w:p>
    <w:p w14:paraId="06863756" w14:textId="77777777" w:rsidR="00357D9F" w:rsidRPr="00354B59" w:rsidRDefault="00357D9F" w:rsidP="00357D9F">
      <w:pPr>
        <w:tabs>
          <w:tab w:val="right" w:pos="850"/>
          <w:tab w:val="left" w:pos="1134"/>
          <w:tab w:val="left" w:pos="1559"/>
          <w:tab w:val="left" w:pos="1984"/>
          <w:tab w:val="left" w:leader="dot" w:pos="8929"/>
          <w:tab w:val="right" w:pos="9638"/>
        </w:tabs>
        <w:spacing w:after="120"/>
      </w:pPr>
      <w:r w:rsidRPr="00354B59">
        <w:tab/>
        <w:t>I.</w:t>
      </w:r>
      <w:r w:rsidRPr="00354B59">
        <w:tab/>
        <w:t>Background</w:t>
      </w:r>
      <w:r w:rsidRPr="00354B59">
        <w:tab/>
      </w:r>
      <w:r w:rsidRPr="00354B59">
        <w:tab/>
      </w:r>
      <w:r w:rsidR="00917234" w:rsidRPr="00354B59">
        <w:t>3</w:t>
      </w:r>
    </w:p>
    <w:p w14:paraId="660597B6" w14:textId="1544F71C" w:rsidR="00357D9F" w:rsidRPr="00A028FB" w:rsidRDefault="00357D9F" w:rsidP="00357D9F">
      <w:pPr>
        <w:tabs>
          <w:tab w:val="right" w:pos="850"/>
          <w:tab w:val="left" w:pos="1134"/>
          <w:tab w:val="left" w:pos="1559"/>
          <w:tab w:val="left" w:pos="1984"/>
          <w:tab w:val="left" w:leader="dot" w:pos="8929"/>
          <w:tab w:val="right" w:pos="9638"/>
        </w:tabs>
        <w:spacing w:after="120"/>
      </w:pPr>
      <w:r w:rsidRPr="00A028FB">
        <w:tab/>
        <w:t>II.</w:t>
      </w:r>
      <w:r w:rsidRPr="00A028FB">
        <w:tab/>
      </w:r>
      <w:r w:rsidRPr="00357D9F">
        <w:t>Performance in developing a Shared Environmental Information System</w:t>
      </w:r>
      <w:r>
        <w:br/>
      </w:r>
      <w:r>
        <w:tab/>
      </w:r>
      <w:r>
        <w:tab/>
      </w:r>
      <w:r w:rsidRPr="00357D9F">
        <w:t>in the pan-European region</w:t>
      </w:r>
      <w:r w:rsidRPr="00A028FB">
        <w:tab/>
      </w:r>
      <w:r w:rsidRPr="00A028FB">
        <w:tab/>
      </w:r>
      <w:r w:rsidR="00917234">
        <w:t>6</w:t>
      </w:r>
    </w:p>
    <w:p w14:paraId="7F9A072A" w14:textId="77777777" w:rsidR="00357D9F" w:rsidRPr="00A028FB" w:rsidRDefault="00357D9F" w:rsidP="00357D9F">
      <w:pPr>
        <w:tabs>
          <w:tab w:val="right" w:pos="850"/>
          <w:tab w:val="left" w:pos="1134"/>
          <w:tab w:val="left" w:pos="1559"/>
          <w:tab w:val="left" w:pos="1984"/>
          <w:tab w:val="left" w:leader="dot" w:pos="8929"/>
          <w:tab w:val="right" w:pos="9638"/>
        </w:tabs>
        <w:spacing w:after="120"/>
      </w:pPr>
      <w:r w:rsidRPr="00A028FB">
        <w:tab/>
      </w:r>
      <w:r w:rsidRPr="00A028FB">
        <w:tab/>
        <w:t>A.</w:t>
      </w:r>
      <w:r w:rsidRPr="00A028FB">
        <w:tab/>
      </w:r>
      <w:r w:rsidRPr="00357D9F">
        <w:t>Review process</w:t>
      </w:r>
      <w:r w:rsidR="00917234">
        <w:tab/>
      </w:r>
      <w:r w:rsidR="00917234">
        <w:tab/>
        <w:t>6</w:t>
      </w:r>
    </w:p>
    <w:p w14:paraId="5311E598" w14:textId="77777777" w:rsidR="00357D9F" w:rsidRPr="00A028FB" w:rsidRDefault="00357D9F" w:rsidP="00357D9F">
      <w:pPr>
        <w:tabs>
          <w:tab w:val="right" w:pos="850"/>
          <w:tab w:val="left" w:pos="1134"/>
          <w:tab w:val="left" w:pos="1559"/>
          <w:tab w:val="left" w:pos="1984"/>
          <w:tab w:val="left" w:leader="dot" w:pos="8929"/>
          <w:tab w:val="right" w:pos="9638"/>
        </w:tabs>
        <w:spacing w:after="120"/>
      </w:pPr>
      <w:r w:rsidRPr="00A028FB">
        <w:tab/>
      </w:r>
      <w:r w:rsidRPr="00A028FB">
        <w:tab/>
        <w:t>B.</w:t>
      </w:r>
      <w:r w:rsidRPr="00A028FB">
        <w:tab/>
      </w:r>
      <w:r w:rsidRPr="00357D9F">
        <w:t>Progress in data collection and in establ</w:t>
      </w:r>
      <w:r>
        <w:t>ishing the Shared Environmental</w:t>
      </w:r>
      <w:r>
        <w:br/>
      </w:r>
      <w:r>
        <w:tab/>
      </w:r>
      <w:r>
        <w:tab/>
      </w:r>
      <w:r>
        <w:tab/>
      </w:r>
      <w:r w:rsidRPr="00357D9F">
        <w:t>Information System</w:t>
      </w:r>
      <w:r w:rsidRPr="00A028FB">
        <w:tab/>
      </w:r>
      <w:r w:rsidRPr="00A028FB">
        <w:tab/>
      </w:r>
      <w:r w:rsidR="00917234">
        <w:t>9</w:t>
      </w:r>
    </w:p>
    <w:p w14:paraId="70A1E47D" w14:textId="2C43BC2F" w:rsidR="00357D9F" w:rsidRPr="00A028FB" w:rsidRDefault="00357D9F" w:rsidP="00357D9F">
      <w:pPr>
        <w:tabs>
          <w:tab w:val="right" w:pos="850"/>
          <w:tab w:val="left" w:pos="1134"/>
          <w:tab w:val="left" w:pos="1559"/>
          <w:tab w:val="left" w:pos="1984"/>
          <w:tab w:val="left" w:leader="dot" w:pos="8929"/>
          <w:tab w:val="right" w:pos="9638"/>
        </w:tabs>
        <w:spacing w:after="120"/>
      </w:pPr>
      <w:r w:rsidRPr="00A028FB">
        <w:tab/>
      </w:r>
      <w:r w:rsidRPr="00A028FB">
        <w:tab/>
        <w:t>C.</w:t>
      </w:r>
      <w:r w:rsidRPr="00A028FB">
        <w:tab/>
      </w:r>
      <w:r w:rsidRPr="00357D9F">
        <w:t xml:space="preserve">Performance by </w:t>
      </w:r>
      <w:r w:rsidR="00C00D64">
        <w:t>t</w:t>
      </w:r>
      <w:r w:rsidRPr="00357D9F">
        <w:t xml:space="preserve">hematic </w:t>
      </w:r>
      <w:r w:rsidR="00C00D64">
        <w:t>a</w:t>
      </w:r>
      <w:r w:rsidRPr="00357D9F">
        <w:t xml:space="preserve">reas and </w:t>
      </w:r>
      <w:r w:rsidR="00C00D64">
        <w:t>i</w:t>
      </w:r>
      <w:r w:rsidRPr="00357D9F">
        <w:t xml:space="preserve">ndividual </w:t>
      </w:r>
      <w:r w:rsidR="00C00D64">
        <w:t>d</w:t>
      </w:r>
      <w:r w:rsidR="00D40339">
        <w:t>ata set</w:t>
      </w:r>
      <w:r w:rsidRPr="00357D9F">
        <w:t>s</w:t>
      </w:r>
      <w:r w:rsidRPr="00A028FB">
        <w:tab/>
      </w:r>
      <w:r w:rsidRPr="00A028FB">
        <w:tab/>
        <w:t>1</w:t>
      </w:r>
      <w:r w:rsidR="00917234">
        <w:t>1</w:t>
      </w:r>
    </w:p>
    <w:p w14:paraId="0DC77B4F" w14:textId="51064EB7" w:rsidR="00357D9F" w:rsidRPr="00A028FB" w:rsidRDefault="00357D9F" w:rsidP="00357D9F">
      <w:pPr>
        <w:tabs>
          <w:tab w:val="right" w:pos="850"/>
          <w:tab w:val="left" w:pos="1134"/>
          <w:tab w:val="left" w:pos="1559"/>
          <w:tab w:val="left" w:pos="1984"/>
          <w:tab w:val="left" w:leader="dot" w:pos="8929"/>
          <w:tab w:val="right" w:pos="9638"/>
        </w:tabs>
        <w:spacing w:after="120"/>
      </w:pPr>
      <w:r w:rsidRPr="00A028FB">
        <w:tab/>
      </w:r>
      <w:r w:rsidRPr="00A028FB">
        <w:tab/>
        <w:t>D.</w:t>
      </w:r>
      <w:r w:rsidRPr="00A028FB">
        <w:tab/>
      </w:r>
      <w:r w:rsidRPr="00357D9F">
        <w:t xml:space="preserve">Performance by </w:t>
      </w:r>
      <w:r w:rsidR="00C00D64">
        <w:t>r</w:t>
      </w:r>
      <w:r w:rsidRPr="00357D9F">
        <w:t xml:space="preserve">eview </w:t>
      </w:r>
      <w:r w:rsidR="00C00D64">
        <w:t>c</w:t>
      </w:r>
      <w:r w:rsidRPr="00357D9F">
        <w:t>riteria</w:t>
      </w:r>
      <w:r w:rsidRPr="00A028FB">
        <w:tab/>
      </w:r>
      <w:r w:rsidRPr="00A028FB">
        <w:tab/>
        <w:t>1</w:t>
      </w:r>
      <w:r w:rsidR="00917234">
        <w:t>5</w:t>
      </w:r>
    </w:p>
    <w:p w14:paraId="38D24EC1" w14:textId="77777777" w:rsidR="00357D9F" w:rsidRPr="00A028FB" w:rsidRDefault="00357D9F" w:rsidP="00357D9F">
      <w:pPr>
        <w:tabs>
          <w:tab w:val="right" w:pos="850"/>
          <w:tab w:val="left" w:pos="1134"/>
          <w:tab w:val="left" w:pos="1559"/>
          <w:tab w:val="left" w:pos="1984"/>
          <w:tab w:val="left" w:leader="dot" w:pos="8929"/>
          <w:tab w:val="right" w:pos="9638"/>
        </w:tabs>
        <w:spacing w:after="120"/>
      </w:pPr>
      <w:r w:rsidRPr="00A028FB">
        <w:tab/>
      </w:r>
      <w:r w:rsidRPr="00A028FB">
        <w:tab/>
        <w:t>E.</w:t>
      </w:r>
      <w:r w:rsidRPr="00A028FB">
        <w:tab/>
      </w:r>
      <w:r w:rsidRPr="00357D9F">
        <w:t>Extended analysis on data accessibility</w:t>
      </w:r>
      <w:r w:rsidRPr="00A028FB">
        <w:tab/>
      </w:r>
      <w:r w:rsidRPr="00A028FB">
        <w:tab/>
        <w:t>1</w:t>
      </w:r>
      <w:r w:rsidR="00917234">
        <w:t>5</w:t>
      </w:r>
    </w:p>
    <w:p w14:paraId="77241FC5" w14:textId="77777777" w:rsidR="00357D9F" w:rsidRPr="00A028FB" w:rsidRDefault="00357D9F" w:rsidP="00357D9F">
      <w:pPr>
        <w:tabs>
          <w:tab w:val="right" w:pos="850"/>
          <w:tab w:val="left" w:pos="1134"/>
          <w:tab w:val="left" w:pos="1559"/>
          <w:tab w:val="left" w:pos="1984"/>
          <w:tab w:val="left" w:leader="dot" w:pos="8929"/>
          <w:tab w:val="right" w:pos="9638"/>
        </w:tabs>
        <w:spacing w:after="120"/>
      </w:pPr>
      <w:r w:rsidRPr="00A028FB">
        <w:tab/>
        <w:t>III.</w:t>
      </w:r>
      <w:r w:rsidRPr="00A028FB">
        <w:tab/>
      </w:r>
      <w:r w:rsidRPr="00357D9F">
        <w:t>Conclusions and the way forward</w:t>
      </w:r>
      <w:r w:rsidRPr="00A028FB">
        <w:tab/>
      </w:r>
      <w:r w:rsidRPr="00A028FB">
        <w:tab/>
        <w:t>19</w:t>
      </w:r>
    </w:p>
    <w:p w14:paraId="3FE3CAB8" w14:textId="77777777" w:rsidR="00357D9F" w:rsidRDefault="00357D9F" w:rsidP="00357D9F">
      <w:pPr>
        <w:tabs>
          <w:tab w:val="right" w:pos="850"/>
          <w:tab w:val="left" w:pos="1134"/>
          <w:tab w:val="left" w:pos="1559"/>
          <w:tab w:val="left" w:pos="1984"/>
          <w:tab w:val="left" w:leader="dot" w:pos="8929"/>
          <w:tab w:val="right" w:pos="9638"/>
        </w:tabs>
        <w:spacing w:after="120"/>
      </w:pPr>
      <w:r w:rsidRPr="00A028FB">
        <w:tab/>
      </w:r>
      <w:r w:rsidRPr="00A028FB">
        <w:tab/>
        <w:t>A.</w:t>
      </w:r>
      <w:r w:rsidRPr="00A028FB">
        <w:tab/>
      </w:r>
      <w:r w:rsidRPr="00357D9F">
        <w:t>Key messages and issues for consideration</w:t>
      </w:r>
      <w:r w:rsidRPr="00A028FB">
        <w:tab/>
      </w:r>
      <w:r w:rsidRPr="00A028FB">
        <w:tab/>
      </w:r>
      <w:r w:rsidR="00917234">
        <w:t>20</w:t>
      </w:r>
    </w:p>
    <w:p w14:paraId="20E4BBF4" w14:textId="77777777" w:rsidR="004552ED" w:rsidRPr="00E32985" w:rsidRDefault="004552ED" w:rsidP="004552ED">
      <w:pPr>
        <w:tabs>
          <w:tab w:val="right" w:pos="850"/>
          <w:tab w:val="left" w:pos="1134"/>
          <w:tab w:val="left" w:pos="1559"/>
          <w:tab w:val="left" w:pos="1984"/>
          <w:tab w:val="left" w:leader="dot" w:pos="7654"/>
          <w:tab w:val="right" w:pos="8929"/>
          <w:tab w:val="right" w:pos="9638"/>
        </w:tabs>
        <w:spacing w:after="110" w:line="240" w:lineRule="auto"/>
        <w:ind w:left="1559" w:hanging="1559"/>
        <w:rPr>
          <w:rFonts w:eastAsia="Calibri"/>
          <w:b/>
        </w:rPr>
      </w:pPr>
      <w:r w:rsidRPr="00365DE3">
        <w:rPr>
          <w:rFonts w:eastAsia="Calibri"/>
        </w:rPr>
        <w:tab/>
      </w:r>
      <w:r w:rsidRPr="00E32985">
        <w:rPr>
          <w:rFonts w:eastAsia="Calibri"/>
          <w:b/>
        </w:rPr>
        <w:t>Annex</w:t>
      </w:r>
    </w:p>
    <w:p w14:paraId="020B4195" w14:textId="77777777" w:rsidR="004552ED" w:rsidRPr="00A028FB" w:rsidRDefault="004552ED" w:rsidP="004552ED">
      <w:pPr>
        <w:tabs>
          <w:tab w:val="right" w:pos="850"/>
          <w:tab w:val="left" w:pos="1134"/>
          <w:tab w:val="left" w:pos="1559"/>
          <w:tab w:val="left" w:pos="1984"/>
          <w:tab w:val="left" w:leader="dot" w:pos="8929"/>
          <w:tab w:val="right" w:pos="9638"/>
        </w:tabs>
        <w:spacing w:after="120"/>
      </w:pPr>
      <w:r w:rsidRPr="00A028FB">
        <w:tab/>
      </w:r>
      <w:r>
        <w:t>A.</w:t>
      </w:r>
      <w:r w:rsidRPr="00A028FB">
        <w:tab/>
      </w:r>
      <w:r w:rsidRPr="004552ED">
        <w:t>Reviewing online accessibility</w:t>
      </w:r>
      <w:r w:rsidRPr="00A028FB">
        <w:tab/>
      </w:r>
      <w:r w:rsidRPr="00A028FB">
        <w:tab/>
      </w:r>
      <w:r w:rsidR="00917234">
        <w:t>22</w:t>
      </w:r>
    </w:p>
    <w:p w14:paraId="04DF9E9D" w14:textId="04C8BC25" w:rsidR="004552ED" w:rsidRPr="00A028FB" w:rsidRDefault="004552ED" w:rsidP="004552ED">
      <w:pPr>
        <w:tabs>
          <w:tab w:val="right" w:pos="850"/>
          <w:tab w:val="left" w:pos="1134"/>
          <w:tab w:val="left" w:pos="1559"/>
          <w:tab w:val="left" w:pos="1984"/>
          <w:tab w:val="left" w:leader="dot" w:pos="8929"/>
          <w:tab w:val="right" w:pos="9638"/>
        </w:tabs>
        <w:spacing w:after="120"/>
      </w:pPr>
      <w:r w:rsidRPr="00A028FB">
        <w:tab/>
      </w:r>
      <w:r>
        <w:t>B.</w:t>
      </w:r>
      <w:r w:rsidRPr="00A028FB">
        <w:tab/>
      </w:r>
      <w:r w:rsidRPr="004552ED">
        <w:t xml:space="preserve">SEIS </w:t>
      </w:r>
      <w:r w:rsidR="00C00D64">
        <w:t>d</w:t>
      </w:r>
      <w:r w:rsidRPr="004552ED">
        <w:t xml:space="preserve">ata </w:t>
      </w:r>
      <w:r w:rsidR="00C00D64">
        <w:t>s</w:t>
      </w:r>
      <w:r w:rsidRPr="004552ED">
        <w:t xml:space="preserve">ets with </w:t>
      </w:r>
      <w:r w:rsidR="00C00D64">
        <w:t>h</w:t>
      </w:r>
      <w:r w:rsidRPr="004552ED">
        <w:t xml:space="preserve">ighest </w:t>
      </w:r>
      <w:r w:rsidR="00C00D64">
        <w:t>p</w:t>
      </w:r>
      <w:r w:rsidRPr="004552ED">
        <w:t xml:space="preserve">erformance </w:t>
      </w:r>
      <w:r w:rsidR="00C00D64">
        <w:t>s</w:t>
      </w:r>
      <w:r w:rsidRPr="004552ED">
        <w:t>core</w:t>
      </w:r>
      <w:r w:rsidR="00F23885">
        <w:t>s</w:t>
      </w:r>
      <w:r w:rsidRPr="00A028FB">
        <w:tab/>
      </w:r>
      <w:r w:rsidRPr="00A028FB">
        <w:tab/>
      </w:r>
      <w:r w:rsidR="00917234">
        <w:t>2</w:t>
      </w:r>
      <w:r w:rsidR="00C339C9">
        <w:t>3</w:t>
      </w:r>
    </w:p>
    <w:p w14:paraId="11D4AA55" w14:textId="23E6988E" w:rsidR="004552ED" w:rsidRDefault="004552ED" w:rsidP="004552ED">
      <w:pPr>
        <w:tabs>
          <w:tab w:val="right" w:pos="850"/>
          <w:tab w:val="left" w:pos="1134"/>
          <w:tab w:val="left" w:pos="1559"/>
          <w:tab w:val="left" w:pos="1984"/>
          <w:tab w:val="left" w:leader="dot" w:pos="8929"/>
          <w:tab w:val="right" w:pos="9638"/>
        </w:tabs>
        <w:spacing w:after="120"/>
      </w:pPr>
      <w:r w:rsidRPr="00A028FB">
        <w:tab/>
      </w:r>
      <w:r>
        <w:t>C.</w:t>
      </w:r>
      <w:r w:rsidRPr="00A028FB">
        <w:tab/>
      </w:r>
      <w:r w:rsidRPr="004552ED">
        <w:t xml:space="preserve">SEIS </w:t>
      </w:r>
      <w:r w:rsidR="00D40339">
        <w:t>data set</w:t>
      </w:r>
      <w:r w:rsidRPr="004552ED">
        <w:t>s with lowest performance score</w:t>
      </w:r>
      <w:r w:rsidR="00F23885">
        <w:t>s</w:t>
      </w:r>
      <w:r w:rsidRPr="00A028FB">
        <w:tab/>
      </w:r>
      <w:r w:rsidRPr="00A028FB">
        <w:tab/>
      </w:r>
      <w:r w:rsidR="00917234">
        <w:t>2</w:t>
      </w:r>
      <w:r w:rsidR="00C339C9">
        <w:t>6</w:t>
      </w:r>
    </w:p>
    <w:p w14:paraId="26973951" w14:textId="77777777" w:rsidR="0033434C" w:rsidRPr="00A028FB" w:rsidRDefault="0033434C" w:rsidP="0033434C">
      <w:pPr>
        <w:tabs>
          <w:tab w:val="right" w:pos="850"/>
          <w:tab w:val="left" w:pos="1134"/>
          <w:tab w:val="left" w:pos="1559"/>
          <w:tab w:val="left" w:pos="1984"/>
          <w:tab w:val="left" w:leader="dot" w:pos="7654"/>
          <w:tab w:val="right" w:pos="8929"/>
          <w:tab w:val="right" w:pos="9638"/>
        </w:tabs>
        <w:spacing w:after="120"/>
        <w:rPr>
          <w:b/>
        </w:rPr>
      </w:pPr>
      <w:r w:rsidRPr="00A028FB">
        <w:rPr>
          <w:b/>
        </w:rPr>
        <w:tab/>
      </w:r>
      <w:r>
        <w:rPr>
          <w:b/>
        </w:rPr>
        <w:t>Tables</w:t>
      </w:r>
    </w:p>
    <w:p w14:paraId="127E96BB" w14:textId="77777777" w:rsidR="0033434C" w:rsidRPr="00A028FB" w:rsidRDefault="0033434C" w:rsidP="0033434C">
      <w:pPr>
        <w:tabs>
          <w:tab w:val="right" w:pos="850"/>
          <w:tab w:val="left" w:pos="1134"/>
          <w:tab w:val="left" w:pos="1559"/>
          <w:tab w:val="left" w:pos="1984"/>
          <w:tab w:val="left" w:leader="dot" w:pos="8929"/>
          <w:tab w:val="right" w:pos="9638"/>
        </w:tabs>
        <w:spacing w:after="120"/>
        <w:rPr>
          <w:rFonts w:eastAsia="SimSun"/>
        </w:rPr>
      </w:pPr>
      <w:r w:rsidRPr="00A028FB">
        <w:rPr>
          <w:rFonts w:eastAsia="SimSun"/>
        </w:rPr>
        <w:tab/>
        <w:t>1.</w:t>
      </w:r>
      <w:r w:rsidRPr="00A028FB">
        <w:rPr>
          <w:rFonts w:eastAsia="SimSun"/>
        </w:rPr>
        <w:tab/>
      </w:r>
      <w:r w:rsidRPr="0033434C">
        <w:rPr>
          <w:rFonts w:eastAsia="SimSun"/>
        </w:rPr>
        <w:t>Criteria for Review</w:t>
      </w:r>
      <w:r w:rsidRPr="00A028FB">
        <w:rPr>
          <w:rFonts w:eastAsia="SimSun"/>
        </w:rPr>
        <w:tab/>
      </w:r>
      <w:r w:rsidRPr="00A028FB">
        <w:rPr>
          <w:rFonts w:eastAsia="SimSun"/>
        </w:rPr>
        <w:tab/>
      </w:r>
      <w:r w:rsidR="00917234">
        <w:rPr>
          <w:rFonts w:eastAsia="SimSun"/>
        </w:rPr>
        <w:t>7</w:t>
      </w:r>
    </w:p>
    <w:p w14:paraId="1D694BE8" w14:textId="77777777" w:rsidR="0033434C" w:rsidRPr="00A028FB" w:rsidRDefault="0033434C" w:rsidP="0033434C">
      <w:pPr>
        <w:tabs>
          <w:tab w:val="right" w:pos="850"/>
          <w:tab w:val="left" w:pos="1134"/>
          <w:tab w:val="left" w:pos="1559"/>
          <w:tab w:val="left" w:pos="1984"/>
          <w:tab w:val="left" w:leader="dot" w:pos="8929"/>
          <w:tab w:val="right" w:pos="9638"/>
        </w:tabs>
        <w:spacing w:after="120"/>
        <w:rPr>
          <w:rFonts w:eastAsia="SimSun"/>
        </w:rPr>
      </w:pPr>
      <w:r w:rsidRPr="00A028FB">
        <w:rPr>
          <w:rFonts w:eastAsia="SimSun"/>
        </w:rPr>
        <w:tab/>
        <w:t>2.</w:t>
      </w:r>
      <w:r w:rsidRPr="00A028FB">
        <w:rPr>
          <w:rFonts w:eastAsia="SimSun"/>
        </w:rPr>
        <w:tab/>
      </w:r>
      <w:r w:rsidRPr="0033434C">
        <w:rPr>
          <w:rFonts w:eastAsia="SimSun"/>
        </w:rPr>
        <w:t>Results from the extended analysis</w:t>
      </w:r>
      <w:r w:rsidRPr="00A028FB">
        <w:rPr>
          <w:rFonts w:eastAsia="SimSun"/>
        </w:rPr>
        <w:tab/>
      </w:r>
      <w:r w:rsidRPr="00A028FB">
        <w:rPr>
          <w:rFonts w:eastAsia="SimSun"/>
        </w:rPr>
        <w:tab/>
        <w:t>1</w:t>
      </w:r>
      <w:r w:rsidR="00917234">
        <w:rPr>
          <w:rFonts w:eastAsia="SimSun"/>
        </w:rPr>
        <w:t>9</w:t>
      </w:r>
    </w:p>
    <w:p w14:paraId="6B91B572" w14:textId="77777777" w:rsidR="00357D9F" w:rsidRPr="00A028FB" w:rsidRDefault="00357D9F" w:rsidP="00357D9F">
      <w:pPr>
        <w:tabs>
          <w:tab w:val="right" w:pos="850"/>
          <w:tab w:val="left" w:pos="1134"/>
          <w:tab w:val="left" w:pos="1559"/>
          <w:tab w:val="left" w:pos="1984"/>
          <w:tab w:val="left" w:leader="dot" w:pos="7654"/>
          <w:tab w:val="right" w:pos="8929"/>
          <w:tab w:val="right" w:pos="9638"/>
        </w:tabs>
        <w:spacing w:after="120"/>
        <w:rPr>
          <w:b/>
        </w:rPr>
      </w:pPr>
      <w:r w:rsidRPr="00A028FB">
        <w:rPr>
          <w:b/>
        </w:rPr>
        <w:tab/>
        <w:t>Figures</w:t>
      </w:r>
    </w:p>
    <w:p w14:paraId="4FEAB469" w14:textId="77777777" w:rsidR="00357D9F" w:rsidRPr="00A028FB" w:rsidRDefault="00357D9F" w:rsidP="00357D9F">
      <w:pPr>
        <w:tabs>
          <w:tab w:val="right" w:pos="850"/>
          <w:tab w:val="left" w:pos="1134"/>
          <w:tab w:val="left" w:pos="1559"/>
          <w:tab w:val="left" w:pos="1984"/>
          <w:tab w:val="left" w:leader="dot" w:pos="8929"/>
          <w:tab w:val="right" w:pos="9638"/>
        </w:tabs>
        <w:spacing w:after="120"/>
        <w:rPr>
          <w:rFonts w:eastAsia="SimSun"/>
        </w:rPr>
      </w:pPr>
      <w:r w:rsidRPr="00A028FB">
        <w:rPr>
          <w:rFonts w:eastAsia="SimSun"/>
        </w:rPr>
        <w:tab/>
        <w:t>1.</w:t>
      </w:r>
      <w:r w:rsidRPr="00A028FB">
        <w:rPr>
          <w:rFonts w:eastAsia="SimSun"/>
        </w:rPr>
        <w:tab/>
      </w:r>
      <w:r w:rsidRPr="00357D9F">
        <w:rPr>
          <w:rFonts w:eastAsia="SimSun"/>
        </w:rPr>
        <w:t>Variations in performance scores compared to the overall average</w:t>
      </w:r>
      <w:r w:rsidRPr="00A028FB">
        <w:rPr>
          <w:rFonts w:eastAsia="SimSun"/>
        </w:rPr>
        <w:tab/>
      </w:r>
      <w:r w:rsidRPr="00A028FB">
        <w:rPr>
          <w:rFonts w:eastAsia="SimSun"/>
        </w:rPr>
        <w:tab/>
      </w:r>
      <w:r w:rsidR="00917234">
        <w:rPr>
          <w:rFonts w:eastAsia="SimSun"/>
        </w:rPr>
        <w:t>11</w:t>
      </w:r>
    </w:p>
    <w:p w14:paraId="7A180837" w14:textId="60775381" w:rsidR="00357D9F" w:rsidRPr="00A028FB" w:rsidRDefault="00357D9F" w:rsidP="00357D9F">
      <w:pPr>
        <w:tabs>
          <w:tab w:val="right" w:pos="850"/>
          <w:tab w:val="left" w:pos="1134"/>
          <w:tab w:val="left" w:pos="1559"/>
          <w:tab w:val="left" w:pos="1984"/>
          <w:tab w:val="left" w:leader="dot" w:pos="8929"/>
          <w:tab w:val="right" w:pos="9638"/>
        </w:tabs>
        <w:spacing w:after="120"/>
        <w:rPr>
          <w:rFonts w:eastAsia="SimSun"/>
        </w:rPr>
      </w:pPr>
      <w:r w:rsidRPr="00A028FB">
        <w:rPr>
          <w:rFonts w:eastAsia="SimSun"/>
        </w:rPr>
        <w:tab/>
        <w:t>2.</w:t>
      </w:r>
      <w:r w:rsidRPr="00A028FB">
        <w:rPr>
          <w:rFonts w:eastAsia="SimSun"/>
        </w:rPr>
        <w:tab/>
      </w:r>
      <w:r w:rsidRPr="00357D9F">
        <w:rPr>
          <w:rFonts w:eastAsia="SimSun"/>
        </w:rPr>
        <w:t xml:space="preserve">SEIS </w:t>
      </w:r>
      <w:r w:rsidR="00D40339">
        <w:rPr>
          <w:rFonts w:eastAsia="SimSun"/>
        </w:rPr>
        <w:t>data set</w:t>
      </w:r>
      <w:r w:rsidRPr="00357D9F">
        <w:rPr>
          <w:rFonts w:eastAsia="SimSun"/>
        </w:rPr>
        <w:t>s with highest performance score</w:t>
      </w:r>
      <w:r w:rsidR="00F23885">
        <w:rPr>
          <w:rFonts w:eastAsia="SimSun"/>
        </w:rPr>
        <w:t>s</w:t>
      </w:r>
      <w:r w:rsidRPr="00A028FB">
        <w:rPr>
          <w:rFonts w:eastAsia="SimSun"/>
        </w:rPr>
        <w:tab/>
      </w:r>
      <w:r w:rsidRPr="00A028FB">
        <w:rPr>
          <w:rFonts w:eastAsia="SimSun"/>
        </w:rPr>
        <w:tab/>
        <w:t>1</w:t>
      </w:r>
      <w:r w:rsidR="00917234">
        <w:rPr>
          <w:rFonts w:eastAsia="SimSun"/>
        </w:rPr>
        <w:t>3</w:t>
      </w:r>
    </w:p>
    <w:p w14:paraId="070031A7" w14:textId="5CCB667C" w:rsidR="00357D9F" w:rsidRPr="00A028FB" w:rsidRDefault="00357D9F" w:rsidP="00357D9F">
      <w:pPr>
        <w:tabs>
          <w:tab w:val="right" w:pos="850"/>
          <w:tab w:val="left" w:pos="1134"/>
          <w:tab w:val="left" w:pos="1559"/>
          <w:tab w:val="left" w:pos="1984"/>
          <w:tab w:val="left" w:leader="dot" w:pos="8929"/>
          <w:tab w:val="right" w:pos="9638"/>
        </w:tabs>
        <w:spacing w:after="120"/>
        <w:rPr>
          <w:rFonts w:eastAsia="SimSun"/>
        </w:rPr>
      </w:pPr>
      <w:r w:rsidRPr="00A028FB">
        <w:rPr>
          <w:rFonts w:eastAsia="SimSun"/>
        </w:rPr>
        <w:tab/>
        <w:t>3.</w:t>
      </w:r>
      <w:r w:rsidRPr="00A028FB">
        <w:rPr>
          <w:rFonts w:eastAsia="SimSun"/>
        </w:rPr>
        <w:tab/>
      </w:r>
      <w:r w:rsidRPr="00357D9F">
        <w:rPr>
          <w:rFonts w:eastAsia="SimSun"/>
        </w:rPr>
        <w:t xml:space="preserve">SEIS </w:t>
      </w:r>
      <w:r w:rsidR="00D40339">
        <w:rPr>
          <w:rFonts w:eastAsia="SimSun"/>
        </w:rPr>
        <w:t>data set</w:t>
      </w:r>
      <w:r w:rsidRPr="00357D9F">
        <w:rPr>
          <w:rFonts w:eastAsia="SimSun"/>
        </w:rPr>
        <w:t>s with lowest performance score</w:t>
      </w:r>
      <w:r w:rsidR="00F23885">
        <w:rPr>
          <w:rFonts w:eastAsia="SimSun"/>
        </w:rPr>
        <w:t>s</w:t>
      </w:r>
      <w:r w:rsidRPr="00A028FB">
        <w:rPr>
          <w:rFonts w:eastAsia="SimSun"/>
        </w:rPr>
        <w:tab/>
      </w:r>
      <w:r w:rsidRPr="00A028FB">
        <w:rPr>
          <w:rFonts w:eastAsia="SimSun"/>
        </w:rPr>
        <w:tab/>
        <w:t>1</w:t>
      </w:r>
      <w:r w:rsidR="00917234">
        <w:rPr>
          <w:rFonts w:eastAsia="SimSun"/>
        </w:rPr>
        <w:t>4</w:t>
      </w:r>
    </w:p>
    <w:p w14:paraId="2D7D76F6" w14:textId="77777777" w:rsidR="00357D9F" w:rsidRPr="00A028FB" w:rsidRDefault="00357D9F" w:rsidP="00357D9F">
      <w:pPr>
        <w:tabs>
          <w:tab w:val="right" w:pos="850"/>
          <w:tab w:val="left" w:pos="1134"/>
          <w:tab w:val="left" w:pos="1559"/>
          <w:tab w:val="left" w:pos="1984"/>
          <w:tab w:val="left" w:leader="dot" w:pos="8929"/>
          <w:tab w:val="right" w:pos="9638"/>
        </w:tabs>
        <w:spacing w:after="120"/>
        <w:ind w:left="1134" w:hanging="1134"/>
        <w:rPr>
          <w:rFonts w:eastAsia="SimSun"/>
          <w:b/>
        </w:rPr>
      </w:pPr>
      <w:r w:rsidRPr="00A028FB">
        <w:rPr>
          <w:rFonts w:eastAsia="SimSun"/>
        </w:rPr>
        <w:tab/>
      </w:r>
      <w:r w:rsidRPr="00A028FB">
        <w:rPr>
          <w:rFonts w:eastAsia="SimSun"/>
          <w:b/>
        </w:rPr>
        <w:t>Boxes</w:t>
      </w:r>
    </w:p>
    <w:p w14:paraId="4149840C" w14:textId="77777777" w:rsidR="00357D9F" w:rsidRPr="00A028FB" w:rsidRDefault="00357D9F" w:rsidP="00357D9F">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1.</w:t>
      </w:r>
      <w:r w:rsidRPr="00A028FB">
        <w:rPr>
          <w:rFonts w:eastAsia="SimSun"/>
        </w:rPr>
        <w:tab/>
      </w:r>
      <w:r w:rsidRPr="00357D9F">
        <w:rPr>
          <w:rFonts w:eastAsia="SimSun"/>
        </w:rPr>
        <w:t>Case study examples of improved performance scores</w:t>
      </w:r>
      <w:r w:rsidRPr="00A028FB">
        <w:rPr>
          <w:rFonts w:eastAsia="SimSun"/>
        </w:rPr>
        <w:tab/>
      </w:r>
      <w:r w:rsidRPr="00A028FB">
        <w:rPr>
          <w:rFonts w:eastAsia="SimSun"/>
        </w:rPr>
        <w:tab/>
      </w:r>
      <w:r w:rsidR="00917234">
        <w:rPr>
          <w:rFonts w:eastAsia="SimSun"/>
        </w:rPr>
        <w:t>10</w:t>
      </w:r>
    </w:p>
    <w:p w14:paraId="3C5BA18B" w14:textId="77777777" w:rsidR="00357D9F" w:rsidRPr="00A028FB" w:rsidRDefault="00357D9F" w:rsidP="00357D9F">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2.</w:t>
      </w:r>
      <w:r w:rsidRPr="00A028FB">
        <w:rPr>
          <w:rFonts w:eastAsia="SimSun"/>
        </w:rPr>
        <w:tab/>
      </w:r>
      <w:r w:rsidRPr="00357D9F">
        <w:rPr>
          <w:rFonts w:eastAsia="SimSun"/>
        </w:rPr>
        <w:t>Summary results from an extended analysis on online accessibility</w:t>
      </w:r>
      <w:r w:rsidRPr="00A028FB">
        <w:rPr>
          <w:rFonts w:eastAsia="SimSun"/>
        </w:rPr>
        <w:tab/>
      </w:r>
      <w:r w:rsidRPr="00A028FB">
        <w:rPr>
          <w:rFonts w:eastAsia="SimSun"/>
        </w:rPr>
        <w:tab/>
      </w:r>
      <w:r w:rsidR="00917234">
        <w:rPr>
          <w:rFonts w:eastAsia="SimSun"/>
        </w:rPr>
        <w:t>16</w:t>
      </w:r>
    </w:p>
    <w:p w14:paraId="22511B87" w14:textId="77777777" w:rsidR="00357D9F" w:rsidRPr="00A028FB" w:rsidRDefault="00357D9F" w:rsidP="00357D9F">
      <w:pPr>
        <w:suppressAutoHyphens w:val="0"/>
        <w:spacing w:line="240" w:lineRule="auto"/>
      </w:pPr>
      <w:r w:rsidRPr="00A028FB">
        <w:br w:type="page"/>
      </w:r>
    </w:p>
    <w:p w14:paraId="1C99CF34" w14:textId="77777777" w:rsidR="00DA5A3D" w:rsidRPr="00494ED9" w:rsidRDefault="00DA5A3D" w:rsidP="00DA5A3D">
      <w:pPr>
        <w:pStyle w:val="HChG"/>
      </w:pPr>
      <w:r>
        <w:lastRenderedPageBreak/>
        <w:tab/>
      </w:r>
      <w:r>
        <w:tab/>
      </w:r>
      <w:r w:rsidRPr="00494ED9">
        <w:t>Introduction</w:t>
      </w:r>
      <w:bookmarkEnd w:id="1"/>
    </w:p>
    <w:p w14:paraId="53AECA77" w14:textId="5EE976A1" w:rsidR="00DA5A3D" w:rsidRPr="0042442E" w:rsidRDefault="0042442E" w:rsidP="0042442E">
      <w:pPr>
        <w:pStyle w:val="SingleTxtG"/>
      </w:pPr>
      <w:r>
        <w:t>1.</w:t>
      </w:r>
      <w:r>
        <w:tab/>
      </w:r>
      <w:r w:rsidR="00DA5A3D" w:rsidRPr="0042442E">
        <w:t>The Reform Plan of the Environment for Europe process (ECE/CEP/S/152, annex I, and Corr.1) adopted by the United Nations Economic Commission for Europe (ECE) Committee on Environmental Policy in 2009, and subsequently endorsed by ECE, mandated the Committee to act as the convening body for the preparatory processes for the Environment for Europe (EfE) ministerial conferences.</w:t>
      </w:r>
    </w:p>
    <w:p w14:paraId="739A297E" w14:textId="77777777" w:rsidR="00DA5A3D" w:rsidRPr="001D5AB5" w:rsidRDefault="0042442E" w:rsidP="001D5AB5">
      <w:pPr>
        <w:pStyle w:val="SingleTxtG"/>
      </w:pPr>
      <w:r>
        <w:t>2.</w:t>
      </w:r>
      <w:r>
        <w:tab/>
      </w:r>
      <w:r w:rsidR="00DA5A3D" w:rsidRPr="0042442E">
        <w:t xml:space="preserve">At its twentieth session (Geneva, 28–31 October 2014), the Committee mandated the Working Group on Environmental Monitoring and Assessment, in accordance with its renewed mandate for 2015, to review the progress in establishing the Shared Environmental Information System (SEIS) based on the targets and performance indicators adopted by the Committee (ECE/CEP/2014/8) with a view to preparing an evaluation report on progress </w:t>
      </w:r>
      <w:r w:rsidR="00DA5A3D" w:rsidRPr="001D5AB5">
        <w:t>made in establishing SEIS in the pan-European region for the Eighth EfE Ministerial Conference (Batumi, Georgia, 8–10 June 2016). The Committee also requested that a first report on that activity should be presented at its next session (see ECE/CEP/2014/2, para. 98 (ff) (iii)).</w:t>
      </w:r>
    </w:p>
    <w:p w14:paraId="7C36C70C" w14:textId="77777777" w:rsidR="00DA5A3D" w:rsidRPr="001D5AB5" w:rsidRDefault="0042442E" w:rsidP="001D5AB5">
      <w:pPr>
        <w:pStyle w:val="SingleTxtG"/>
      </w:pPr>
      <w:r w:rsidRPr="001D5AB5">
        <w:t>3.</w:t>
      </w:r>
      <w:r w:rsidRPr="001D5AB5">
        <w:tab/>
      </w:r>
      <w:r w:rsidR="00DA5A3D" w:rsidRPr="001D5AB5">
        <w:t>At its twenty-first session (Geneva, 27–30 October 2015), the Committee welcomed the work of the Working Group on Environmental Monitoring and Assessment in assessing the progress in establishing SEIS across the pan-European region, and mandated the Working Group to work with the countries and the European Environment Agency (EEA) to validate the data and information and continue to monitor progress in developing SEIS, with a view to submitting an updated report to the Committee at its special session in February 2016 (see ECE/CEP/2015/2, Report of the twenty-first session, forthcoming).</w:t>
      </w:r>
    </w:p>
    <w:p w14:paraId="5C7F165D" w14:textId="59190384" w:rsidR="00DA5A3D" w:rsidRPr="001D5AB5" w:rsidRDefault="0042442E" w:rsidP="001D5AB5">
      <w:pPr>
        <w:pStyle w:val="SingleTxtG"/>
      </w:pPr>
      <w:r w:rsidRPr="001D5AB5">
        <w:t>4.</w:t>
      </w:r>
      <w:r w:rsidRPr="001D5AB5">
        <w:tab/>
      </w:r>
      <w:r w:rsidR="00DA5A3D" w:rsidRPr="001D5AB5">
        <w:t>The present document was prepared by the Working Group, with support from the secretariat and in consultation with EEA, in acc</w:t>
      </w:r>
      <w:r w:rsidR="00A77EDA" w:rsidRPr="001D5AB5">
        <w:t>ordance with the above mandate.</w:t>
      </w:r>
    </w:p>
    <w:p w14:paraId="1289C322" w14:textId="51A29A95" w:rsidR="00DA5A3D" w:rsidRPr="001D5AB5" w:rsidRDefault="0042442E" w:rsidP="001D5AB5">
      <w:pPr>
        <w:pStyle w:val="SingleTxtG"/>
      </w:pPr>
      <w:r w:rsidRPr="001D5AB5">
        <w:t>5.</w:t>
      </w:r>
      <w:r w:rsidRPr="001D5AB5">
        <w:tab/>
      </w:r>
      <w:r w:rsidR="00DA5A3D" w:rsidRPr="001D5AB5">
        <w:t xml:space="preserve">The Committee will be invited to consider the revised draft with a view to submitting it to the </w:t>
      </w:r>
      <w:r w:rsidR="005A7587">
        <w:t>Batumi</w:t>
      </w:r>
      <w:r w:rsidR="00DA5A3D" w:rsidRPr="001D5AB5">
        <w:t xml:space="preserve"> </w:t>
      </w:r>
      <w:r w:rsidR="00753EEA">
        <w:t xml:space="preserve">EfE </w:t>
      </w:r>
      <w:r w:rsidR="00DA5A3D" w:rsidRPr="001D5AB5">
        <w:t>Ministerial Conference for supporting the ministerial discussion on keeping the pan-European environment under review.</w:t>
      </w:r>
    </w:p>
    <w:p w14:paraId="4A0F9E8E" w14:textId="77777777" w:rsidR="00DA5A3D" w:rsidRPr="00494ED9" w:rsidRDefault="005E4119" w:rsidP="005E4119">
      <w:pPr>
        <w:pStyle w:val="HChG"/>
      </w:pPr>
      <w:bookmarkStart w:id="2" w:name="_Toc439754725"/>
      <w:bookmarkStart w:id="3" w:name="_Toc439765032"/>
      <w:bookmarkStart w:id="4" w:name="_Toc439771993"/>
      <w:bookmarkStart w:id="5" w:name="_Toc439775995"/>
      <w:bookmarkStart w:id="6" w:name="_Toc439783406"/>
      <w:bookmarkStart w:id="7" w:name="_Toc439859081"/>
      <w:bookmarkStart w:id="8" w:name="_Toc439861947"/>
      <w:bookmarkStart w:id="9" w:name="_Toc439863754"/>
      <w:bookmarkStart w:id="10" w:name="_Toc439688148"/>
      <w:bookmarkStart w:id="11" w:name="_Toc439754726"/>
      <w:bookmarkStart w:id="12" w:name="_Toc439765033"/>
      <w:bookmarkStart w:id="13" w:name="_Toc439771994"/>
      <w:bookmarkStart w:id="14" w:name="_Toc439775996"/>
      <w:bookmarkStart w:id="15" w:name="_Toc439783407"/>
      <w:bookmarkStart w:id="16" w:name="_Toc439859082"/>
      <w:bookmarkStart w:id="17" w:name="_Toc439861948"/>
      <w:bookmarkStart w:id="18" w:name="_Toc439863755"/>
      <w:bookmarkStart w:id="19" w:name="_Toc439688149"/>
      <w:bookmarkStart w:id="20" w:name="_Toc439754727"/>
      <w:bookmarkStart w:id="21" w:name="_Toc439765034"/>
      <w:bookmarkStart w:id="22" w:name="_Toc439771995"/>
      <w:bookmarkStart w:id="23" w:name="_Toc439775997"/>
      <w:bookmarkStart w:id="24" w:name="_Toc439783408"/>
      <w:bookmarkStart w:id="25" w:name="_Toc439859083"/>
      <w:bookmarkStart w:id="26" w:name="_Toc439861949"/>
      <w:bookmarkStart w:id="27" w:name="_Toc439863756"/>
      <w:bookmarkStart w:id="28" w:name="_Toc439688150"/>
      <w:bookmarkStart w:id="29" w:name="_Toc439754728"/>
      <w:bookmarkStart w:id="30" w:name="_Toc439765035"/>
      <w:bookmarkStart w:id="31" w:name="_Toc439771996"/>
      <w:bookmarkStart w:id="32" w:name="_Toc439775998"/>
      <w:bookmarkStart w:id="33" w:name="_Toc439783409"/>
      <w:bookmarkStart w:id="34" w:name="_Toc439859084"/>
      <w:bookmarkStart w:id="35" w:name="_Toc439861950"/>
      <w:bookmarkStart w:id="36" w:name="_Toc439863757"/>
      <w:bookmarkStart w:id="37" w:name="_Toc439688151"/>
      <w:bookmarkStart w:id="38" w:name="_Toc439754729"/>
      <w:bookmarkStart w:id="39" w:name="_Toc439765036"/>
      <w:bookmarkStart w:id="40" w:name="_Toc439771997"/>
      <w:bookmarkStart w:id="41" w:name="_Toc439775999"/>
      <w:bookmarkStart w:id="42" w:name="_Toc439783410"/>
      <w:bookmarkStart w:id="43" w:name="_Toc439859085"/>
      <w:bookmarkStart w:id="44" w:name="_Toc439861951"/>
      <w:bookmarkStart w:id="45" w:name="_Toc439863758"/>
      <w:bookmarkStart w:id="46" w:name="_Toc439688152"/>
      <w:bookmarkStart w:id="47" w:name="_Toc439754730"/>
      <w:bookmarkStart w:id="48" w:name="_Toc439765037"/>
      <w:bookmarkStart w:id="49" w:name="_Toc439771998"/>
      <w:bookmarkStart w:id="50" w:name="_Toc439776000"/>
      <w:bookmarkStart w:id="51" w:name="_Toc439783411"/>
      <w:bookmarkStart w:id="52" w:name="_Toc439859086"/>
      <w:bookmarkStart w:id="53" w:name="_Toc439861952"/>
      <w:bookmarkStart w:id="54" w:name="_Toc439863759"/>
      <w:bookmarkStart w:id="55" w:name="_Toc439688153"/>
      <w:bookmarkStart w:id="56" w:name="_Toc439754731"/>
      <w:bookmarkStart w:id="57" w:name="_Toc439765038"/>
      <w:bookmarkStart w:id="58" w:name="_Toc439771999"/>
      <w:bookmarkStart w:id="59" w:name="_Toc439776001"/>
      <w:bookmarkStart w:id="60" w:name="_Toc439783412"/>
      <w:bookmarkStart w:id="61" w:name="_Toc439859087"/>
      <w:bookmarkStart w:id="62" w:name="_Toc439861953"/>
      <w:bookmarkStart w:id="63" w:name="_Toc439863760"/>
      <w:bookmarkStart w:id="64" w:name="_Toc439688154"/>
      <w:bookmarkStart w:id="65" w:name="_Toc439754732"/>
      <w:bookmarkStart w:id="66" w:name="_Toc439765039"/>
      <w:bookmarkStart w:id="67" w:name="_Toc439772000"/>
      <w:bookmarkStart w:id="68" w:name="_Toc439776002"/>
      <w:bookmarkStart w:id="69" w:name="_Toc439783413"/>
      <w:bookmarkStart w:id="70" w:name="_Toc439859088"/>
      <w:bookmarkStart w:id="71" w:name="_Toc439861954"/>
      <w:bookmarkStart w:id="72" w:name="_Toc439863761"/>
      <w:bookmarkStart w:id="73" w:name="_Toc439688155"/>
      <w:bookmarkStart w:id="74" w:name="_Toc439754733"/>
      <w:bookmarkStart w:id="75" w:name="_Toc439765040"/>
      <w:bookmarkStart w:id="76" w:name="_Toc439772001"/>
      <w:bookmarkStart w:id="77" w:name="_Toc439776003"/>
      <w:bookmarkStart w:id="78" w:name="_Toc439783414"/>
      <w:bookmarkStart w:id="79" w:name="_Toc439859089"/>
      <w:bookmarkStart w:id="80" w:name="_Toc439861955"/>
      <w:bookmarkStart w:id="81" w:name="_Toc439863762"/>
      <w:bookmarkStart w:id="82" w:name="_Toc44046142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ab/>
        <w:t>I.</w:t>
      </w:r>
      <w:r>
        <w:tab/>
      </w:r>
      <w:r w:rsidR="00DA5A3D" w:rsidRPr="00494ED9">
        <w:t>Background</w:t>
      </w:r>
      <w:bookmarkEnd w:id="82"/>
    </w:p>
    <w:p w14:paraId="5442980F" w14:textId="020C2299" w:rsidR="00DA5A3D" w:rsidRPr="005E4119" w:rsidRDefault="005E4119" w:rsidP="005E4119">
      <w:pPr>
        <w:pStyle w:val="SingleTxtG"/>
      </w:pPr>
      <w:r>
        <w:t>6</w:t>
      </w:r>
      <w:r w:rsidR="00DA5A3D" w:rsidRPr="005E4119">
        <w:t>.</w:t>
      </w:r>
      <w:r w:rsidR="00DA5A3D" w:rsidRPr="005E4119">
        <w:tab/>
      </w:r>
      <w:r w:rsidR="00DE2A62">
        <w:t>A</w:t>
      </w:r>
      <w:r w:rsidR="00DA5A3D" w:rsidRPr="005E4119">
        <w:t xml:space="preserve"> vast amount of environmental data on th</w:t>
      </w:r>
      <w:r w:rsidR="00046182">
        <w:t>e state of Europe’s environment</w:t>
      </w:r>
      <w:r w:rsidR="00DA5A3D" w:rsidRPr="005E4119">
        <w:t>, trends, pressures and drivers is being collected not only for pol</w:t>
      </w:r>
      <w:r w:rsidR="00054F1D">
        <w:t>icy-makers but also to provide</w:t>
      </w:r>
      <w:r w:rsidR="00DA5A3D" w:rsidRPr="005E4119">
        <w:t xml:space="preserve"> public access to data. As part of this process, and to maximise the use of environmental data, the European Commission called for SEIS, in 2008, to connect existing databases and to make data more accessible (COM(2008) 46; SWD(2013) 18). </w:t>
      </w:r>
    </w:p>
    <w:p w14:paraId="19D05590" w14:textId="16A6A924" w:rsidR="00DA5A3D" w:rsidRPr="001D5AB5" w:rsidRDefault="005E4119" w:rsidP="001D5AB5">
      <w:pPr>
        <w:pStyle w:val="SingleTxtG"/>
      </w:pPr>
      <w:r>
        <w:t>7</w:t>
      </w:r>
      <w:r w:rsidR="00DA5A3D" w:rsidRPr="005E4119">
        <w:t>.</w:t>
      </w:r>
      <w:r w:rsidR="00DA5A3D" w:rsidRPr="005E4119">
        <w:tab/>
        <w:t xml:space="preserve">SEIS </w:t>
      </w:r>
      <w:proofErr w:type="gramStart"/>
      <w:r w:rsidR="00E275A5">
        <w:t>is</w:t>
      </w:r>
      <w:proofErr w:type="gramEnd"/>
      <w:r w:rsidR="00DA5A3D" w:rsidRPr="005E4119">
        <w:t xml:space="preserve"> an approach that facilitates regular environmental assessments and reporting. It</w:t>
      </w:r>
      <w:r w:rsidR="00E275A5">
        <w:t xml:space="preserve"> link</w:t>
      </w:r>
      <w:r w:rsidR="0063679C">
        <w:t>s</w:t>
      </w:r>
      <w:r w:rsidR="00DA5A3D" w:rsidRPr="005E4119">
        <w:t xml:space="preserve"> existing data and information flows relevant for national authorities in their monitoring and assessment activities</w:t>
      </w:r>
      <w:r w:rsidR="00DA5A3D" w:rsidRPr="001D5AB5">
        <w:t xml:space="preserve"> with means of information and communication technologies. </w:t>
      </w:r>
      <w:r w:rsidR="00AF2AE5">
        <w:t>I</w:t>
      </w:r>
      <w:r w:rsidR="00DA5A3D" w:rsidRPr="001D5AB5">
        <w:t>t advanc</w:t>
      </w:r>
      <w:r w:rsidR="00901859">
        <w:t>es</w:t>
      </w:r>
      <w:r w:rsidR="00DA5A3D" w:rsidRPr="001D5AB5">
        <w:t xml:space="preserve"> the dissemination, application and comparability</w:t>
      </w:r>
      <w:r w:rsidR="004F21F1" w:rsidRPr="001D5AB5">
        <w:t xml:space="preserve"> of </w:t>
      </w:r>
      <w:r w:rsidR="00DA5A3D" w:rsidRPr="001D5AB5">
        <w:t xml:space="preserve">environmental indicators and </w:t>
      </w:r>
      <w:r w:rsidR="004F21F1" w:rsidRPr="001D5AB5">
        <w:t>associated data sets</w:t>
      </w:r>
      <w:r w:rsidR="00DA5A3D" w:rsidRPr="001D5AB5">
        <w:t xml:space="preserve"> to share existing information networks and harmonise environmental monitoring requirements.</w:t>
      </w:r>
    </w:p>
    <w:p w14:paraId="686F2E2E" w14:textId="77C9EF91" w:rsidR="00DA5A3D" w:rsidRPr="001D5AB5" w:rsidRDefault="005E4119" w:rsidP="001D5AB5">
      <w:pPr>
        <w:pStyle w:val="SingleTxtG"/>
      </w:pPr>
      <w:r w:rsidRPr="001D5AB5">
        <w:t>8</w:t>
      </w:r>
      <w:r w:rsidR="00DA5A3D" w:rsidRPr="001D5AB5">
        <w:t>.</w:t>
      </w:r>
      <w:r w:rsidR="00DA5A3D" w:rsidRPr="001D5AB5">
        <w:tab/>
        <w:t>In the pan-European region</w:t>
      </w:r>
      <w:r w:rsidR="00D6081E">
        <w:rPr>
          <w:rStyle w:val="FootnoteReference"/>
        </w:rPr>
        <w:footnoteReference w:id="4"/>
      </w:r>
      <w:r w:rsidR="00DA5A3D" w:rsidRPr="001D5AB5">
        <w:t xml:space="preserve">, SEIS </w:t>
      </w:r>
      <w:r w:rsidR="0063679C">
        <w:t>should</w:t>
      </w:r>
      <w:r w:rsidR="00DA5A3D" w:rsidRPr="001D5AB5">
        <w:t xml:space="preserve"> function within this framework of enhanced networking and cooperation with and between national authorities concerned with environmental information and statistics. </w:t>
      </w:r>
      <w:r w:rsidR="00DE2A62">
        <w:t>It should serve multiple policy purposes including reporting for Multilateral Environmental Agreements.</w:t>
      </w:r>
    </w:p>
    <w:p w14:paraId="0C4B95BF" w14:textId="77777777" w:rsidR="00DA5A3D" w:rsidRPr="001D5AB5" w:rsidRDefault="005E4119" w:rsidP="001D5AB5">
      <w:pPr>
        <w:pStyle w:val="SingleTxtG"/>
      </w:pPr>
      <w:r w:rsidRPr="001D5AB5">
        <w:t>9</w:t>
      </w:r>
      <w:r w:rsidR="00DA5A3D" w:rsidRPr="001D5AB5">
        <w:t>.</w:t>
      </w:r>
      <w:r w:rsidR="00DA5A3D" w:rsidRPr="001D5AB5">
        <w:tab/>
        <w:t xml:space="preserve">Recognising the challenges inherent in access to the type of data and information needed for the next generation of environmental assessments (European Union- and United Nations-related), ministers of the environment from the pan-European region present at the Seventh EfE Ministerial Conference (Astana, 21–23 September 2011) decided to establish a regular process of environmental assessments and to develop the SEIS across the pan-European region (ECE/ASTANA.CONF/2011/2/Add.1). </w:t>
      </w:r>
    </w:p>
    <w:p w14:paraId="4ABC7D9A" w14:textId="56FA30F7" w:rsidR="00DA5A3D" w:rsidRPr="001D5AB5" w:rsidRDefault="005E4119" w:rsidP="001D5AB5">
      <w:pPr>
        <w:pStyle w:val="SingleTxtG"/>
      </w:pPr>
      <w:r w:rsidRPr="001D5AB5">
        <w:t>10</w:t>
      </w:r>
      <w:r w:rsidR="00DA5A3D" w:rsidRPr="001D5AB5">
        <w:t>.</w:t>
      </w:r>
      <w:r w:rsidR="00DA5A3D" w:rsidRPr="001D5AB5">
        <w:tab/>
        <w:t xml:space="preserve">In response to the ministers’ decision, in accordance with the approved pan-European SEIS targets and performance indicators (see ECE/CEP/AC.10/2015/2) and based on a mandate given by the Committee on Environmental Policy, the Working Group on Environmental Monitoring and Assessment prepared </w:t>
      </w:r>
      <w:r w:rsidR="00DE2A62">
        <w:t>this</w:t>
      </w:r>
      <w:r w:rsidR="00DA5A3D" w:rsidRPr="001D5AB5">
        <w:t xml:space="preserve"> document as part of a preparatory and stock-taking exercise to </w:t>
      </w:r>
      <w:r w:rsidR="00DE2A62">
        <w:t>assess</w:t>
      </w:r>
      <w:r w:rsidR="00DE2A62" w:rsidRPr="001D5AB5">
        <w:t xml:space="preserve"> </w:t>
      </w:r>
      <w:r w:rsidR="00DA5A3D" w:rsidRPr="001D5AB5">
        <w:t>how far member States have buil</w:t>
      </w:r>
      <w:r w:rsidR="00DE2A62">
        <w:t>t</w:t>
      </w:r>
      <w:r w:rsidR="00DA5A3D" w:rsidRPr="001D5AB5">
        <w:t xml:space="preserve"> </w:t>
      </w:r>
      <w:r w:rsidR="00DE2A62">
        <w:t>SEIS</w:t>
      </w:r>
      <w:r w:rsidR="00DA5A3D" w:rsidRPr="001D5AB5">
        <w:t xml:space="preserve"> leading up to the Batumi EfE Ministerial Conference.</w:t>
      </w:r>
    </w:p>
    <w:p w14:paraId="3C2B6625" w14:textId="19DB7078" w:rsidR="00DA5A3D" w:rsidRPr="001D5AB5" w:rsidRDefault="005E4119" w:rsidP="001D5AB5">
      <w:pPr>
        <w:pStyle w:val="SingleTxtG"/>
      </w:pPr>
      <w:r w:rsidRPr="001D5AB5">
        <w:t>11</w:t>
      </w:r>
      <w:r w:rsidR="00DA5A3D" w:rsidRPr="001D5AB5">
        <w:t>.</w:t>
      </w:r>
      <w:r w:rsidR="00DA5A3D" w:rsidRPr="001D5AB5">
        <w:tab/>
      </w:r>
      <w:r w:rsidR="00DE2A62">
        <w:t>In t</w:t>
      </w:r>
      <w:r w:rsidR="00DA5A3D" w:rsidRPr="001D5AB5">
        <w:t>he preparatory phase the Working Group define</w:t>
      </w:r>
      <w:r w:rsidR="00DE2A62">
        <w:t>d</w:t>
      </w:r>
      <w:r w:rsidR="00DA5A3D" w:rsidRPr="001D5AB5">
        <w:t xml:space="preserve"> a framework </w:t>
      </w:r>
      <w:r w:rsidR="00DE2A62">
        <w:t xml:space="preserve">to review </w:t>
      </w:r>
      <w:r w:rsidR="00DA5A3D" w:rsidRPr="001D5AB5">
        <w:t>progress towards SEIS</w:t>
      </w:r>
      <w:r w:rsidR="00054F1D">
        <w:t xml:space="preserve">. This included </w:t>
      </w:r>
      <w:r w:rsidR="00DE2A62">
        <w:t>identifying</w:t>
      </w:r>
      <w:r w:rsidR="00054F1D">
        <w:t xml:space="preserve"> </w:t>
      </w:r>
      <w:r w:rsidR="00DA5A3D" w:rsidRPr="001D5AB5">
        <w:t xml:space="preserve">specific </w:t>
      </w:r>
      <w:r w:rsidR="00D40339" w:rsidRPr="001D5AB5">
        <w:t>data set</w:t>
      </w:r>
      <w:r w:rsidR="00DA5A3D" w:rsidRPr="001D5AB5">
        <w:t>s</w:t>
      </w:r>
      <w:r w:rsidR="00D6081E">
        <w:rPr>
          <w:rStyle w:val="FootnoteReference"/>
        </w:rPr>
        <w:footnoteReference w:id="5"/>
      </w:r>
      <w:r w:rsidR="00DA5A3D" w:rsidRPr="001D5AB5">
        <w:t xml:space="preserve"> for the pan-European SEIS and </w:t>
      </w:r>
      <w:r w:rsidR="00DE2A62">
        <w:t xml:space="preserve">proposing </w:t>
      </w:r>
      <w:r w:rsidR="00DA5A3D" w:rsidRPr="001D5AB5">
        <w:t xml:space="preserve">a reporting mechanism that would enable </w:t>
      </w:r>
      <w:r w:rsidR="00DE2A62">
        <w:t xml:space="preserve">member States to collect </w:t>
      </w:r>
      <w:r w:rsidR="00DA5A3D" w:rsidRPr="001D5AB5">
        <w:t xml:space="preserve">data in line with the SEIS targets and performance indicators. The Working Group decided at its sixteenth session (Istanbul, Turkey, 16-17 April 2015) that the SEIS should facilitate access to data and information produced in common formats and standards as defined by 67 </w:t>
      </w:r>
      <w:r w:rsidR="00D40339" w:rsidRPr="001D5AB5">
        <w:t>data set</w:t>
      </w:r>
      <w:r w:rsidR="00DA5A3D" w:rsidRPr="001D5AB5">
        <w:t xml:space="preserve">s grouped across seven thematic areas: </w:t>
      </w:r>
    </w:p>
    <w:p w14:paraId="67FA742D" w14:textId="7A0C33C8" w:rsidR="00DA5A3D" w:rsidRPr="001D5AB5" w:rsidRDefault="00DA5A3D" w:rsidP="001D5AB5">
      <w:pPr>
        <w:pStyle w:val="SingleTxtG"/>
      </w:pPr>
      <w:r w:rsidRPr="001D5AB5">
        <w:tab/>
        <w:t>(a)</w:t>
      </w:r>
      <w:r w:rsidRPr="001D5AB5">
        <w:tab/>
        <w:t xml:space="preserve">Air pollution, air quality and ozone depletion: 25 </w:t>
      </w:r>
      <w:r w:rsidR="00D40339" w:rsidRPr="001D5AB5">
        <w:t>data set</w:t>
      </w:r>
      <w:r w:rsidRPr="001D5AB5">
        <w:t>s, covering the emissions of pollutants into the atmospheric air, ambient air quality, consumption of ozone-depleting substances, etc.</w:t>
      </w:r>
    </w:p>
    <w:p w14:paraId="0E47E148" w14:textId="412B6928" w:rsidR="00DA5A3D" w:rsidRPr="001D5AB5" w:rsidRDefault="00DA5A3D" w:rsidP="001D5AB5">
      <w:pPr>
        <w:pStyle w:val="SingleTxtG"/>
      </w:pPr>
      <w:r w:rsidRPr="001D5AB5">
        <w:tab/>
        <w:t>(b)</w:t>
      </w:r>
      <w:r w:rsidRPr="001D5AB5">
        <w:tab/>
        <w:t xml:space="preserve">Climate change: 4 </w:t>
      </w:r>
      <w:r w:rsidR="00D40339" w:rsidRPr="001D5AB5">
        <w:t>data set</w:t>
      </w:r>
      <w:r w:rsidRPr="001D5AB5">
        <w:t>s, covering air temperature, atmospheric precipitation, and greenhouse gas emissions, etc.</w:t>
      </w:r>
    </w:p>
    <w:p w14:paraId="769A2F17" w14:textId="36E18D96" w:rsidR="00DA5A3D" w:rsidRPr="001D5AB5" w:rsidRDefault="00DA5A3D" w:rsidP="001D5AB5">
      <w:pPr>
        <w:pStyle w:val="SingleTxtG"/>
      </w:pPr>
      <w:r w:rsidRPr="001D5AB5">
        <w:tab/>
        <w:t>(c)</w:t>
      </w:r>
      <w:r w:rsidRPr="001D5AB5">
        <w:tab/>
        <w:t xml:space="preserve">Water: 20 </w:t>
      </w:r>
      <w:r w:rsidR="00D40339" w:rsidRPr="001D5AB5">
        <w:t>data set</w:t>
      </w:r>
      <w:r w:rsidRPr="001D5AB5">
        <w:t>s, covering renewable freshwater resources, freshwater abstraction, total water use, population connected to water supply industry, BOD5 and concentration of ammonium in rivers, nutrients in freshwater, population connected to wastewater treatment</w:t>
      </w:r>
      <w:r w:rsidR="00AF2AE5">
        <w:t>,</w:t>
      </w:r>
      <w:r w:rsidRPr="001D5AB5">
        <w:t xml:space="preserve"> etc.</w:t>
      </w:r>
    </w:p>
    <w:p w14:paraId="140D7E71" w14:textId="4A2E07BD" w:rsidR="00DA5A3D" w:rsidRPr="001D5AB5" w:rsidRDefault="00DA5A3D" w:rsidP="001D5AB5">
      <w:pPr>
        <w:pStyle w:val="SingleTxtG"/>
      </w:pPr>
      <w:r w:rsidRPr="001D5AB5">
        <w:tab/>
        <w:t>(d)</w:t>
      </w:r>
      <w:r w:rsidRPr="001D5AB5">
        <w:tab/>
        <w:t xml:space="preserve">Biodiversity: 4 </w:t>
      </w:r>
      <w:r w:rsidR="00D40339" w:rsidRPr="001D5AB5">
        <w:t>data set</w:t>
      </w:r>
      <w:r w:rsidRPr="001D5AB5">
        <w:t>s, covering protected areas, forests and other wooded land, threatened and protected species, etc.</w:t>
      </w:r>
    </w:p>
    <w:p w14:paraId="64B87CE8" w14:textId="62EBAD75" w:rsidR="00DA5A3D" w:rsidRPr="00A35FC9" w:rsidRDefault="00DA5A3D" w:rsidP="00A35FC9">
      <w:pPr>
        <w:pStyle w:val="SingleTxtG"/>
      </w:pPr>
      <w:r w:rsidRPr="00A35FC9">
        <w:tab/>
        <w:t>(e)</w:t>
      </w:r>
      <w:r w:rsidRPr="00A35FC9">
        <w:tab/>
        <w:t xml:space="preserve">Land and soil: 2 </w:t>
      </w:r>
      <w:r w:rsidR="00D40339" w:rsidRPr="00A35FC9">
        <w:t>data set</w:t>
      </w:r>
      <w:r w:rsidRPr="00A35FC9">
        <w:t>s, covering land uptake, etc.</w:t>
      </w:r>
    </w:p>
    <w:p w14:paraId="149CB18B" w14:textId="066A4C81" w:rsidR="00DA5A3D" w:rsidRPr="00A35FC9" w:rsidRDefault="00DA5A3D" w:rsidP="00A35FC9">
      <w:pPr>
        <w:pStyle w:val="SingleTxtG"/>
      </w:pPr>
      <w:r w:rsidRPr="00A35FC9">
        <w:tab/>
        <w:t>(f)</w:t>
      </w:r>
      <w:r w:rsidRPr="00A35FC9">
        <w:tab/>
        <w:t xml:space="preserve">Energy: 4 </w:t>
      </w:r>
      <w:r w:rsidR="00D40339" w:rsidRPr="00A35FC9">
        <w:t>data set</w:t>
      </w:r>
      <w:r w:rsidRPr="00A35FC9">
        <w:t xml:space="preserve">s, covering final energy consumption, total primary energy supply, etc. </w:t>
      </w:r>
    </w:p>
    <w:p w14:paraId="5A53CC21" w14:textId="3705B307" w:rsidR="00DA5A3D" w:rsidRPr="00A35FC9" w:rsidRDefault="00DA5A3D" w:rsidP="00A35FC9">
      <w:pPr>
        <w:pStyle w:val="SingleTxtG"/>
      </w:pPr>
      <w:r w:rsidRPr="00A35FC9">
        <w:tab/>
        <w:t>(g)</w:t>
      </w:r>
      <w:r w:rsidRPr="00A35FC9">
        <w:tab/>
        <w:t xml:space="preserve">Waste: 8 </w:t>
      </w:r>
      <w:r w:rsidR="00D40339" w:rsidRPr="00A35FC9">
        <w:t>data set</w:t>
      </w:r>
      <w:r w:rsidRPr="00A35FC9">
        <w:t>s, covering waste generation, management of hazardous waste, etc.</w:t>
      </w:r>
    </w:p>
    <w:p w14:paraId="5BCAF563" w14:textId="1C4B745F" w:rsidR="00DA5A3D" w:rsidRPr="00A35FC9" w:rsidRDefault="005E4119" w:rsidP="00A35FC9">
      <w:pPr>
        <w:pStyle w:val="SingleTxtG"/>
      </w:pPr>
      <w:r w:rsidRPr="00A35FC9">
        <w:t>12</w:t>
      </w:r>
      <w:r w:rsidR="00DA5A3D" w:rsidRPr="00A35FC9">
        <w:t>.</w:t>
      </w:r>
      <w:r w:rsidR="00DA5A3D" w:rsidRPr="00A35FC9">
        <w:tab/>
        <w:t xml:space="preserve">The thematic areas and </w:t>
      </w:r>
      <w:r w:rsidR="00D40339" w:rsidRPr="00A35FC9">
        <w:t>data set</w:t>
      </w:r>
      <w:r w:rsidR="00DA5A3D" w:rsidRPr="00A35FC9">
        <w:t xml:space="preserve">s are linked to the performance of each </w:t>
      </w:r>
      <w:r w:rsidR="00717500" w:rsidRPr="00A35FC9">
        <w:t>ECE</w:t>
      </w:r>
      <w:r w:rsidR="00DA5A3D" w:rsidRPr="00A35FC9">
        <w:t xml:space="preserve"> </w:t>
      </w:r>
      <w:proofErr w:type="gramStart"/>
      <w:r w:rsidR="00DA5A3D" w:rsidRPr="00A35FC9">
        <w:t>member</w:t>
      </w:r>
      <w:proofErr w:type="gramEnd"/>
      <w:r w:rsidR="00DA5A3D" w:rsidRPr="00A35FC9">
        <w:t xml:space="preserve"> State with regard to the provision of priority data and information in line with global and regional </w:t>
      </w:r>
      <w:r w:rsidR="00BA5A31" w:rsidRPr="001D5AB5">
        <w:t>Multilateral Environmental Agreements</w:t>
      </w:r>
      <w:r w:rsidR="005100CB" w:rsidRPr="00A35FC9">
        <w:t xml:space="preserve"> </w:t>
      </w:r>
      <w:r w:rsidR="00DA5A3D" w:rsidRPr="00A35FC9">
        <w:t>and subject to further negotiations. The thematic areas were furthermore generally accepted as corresponding to regional priorities and/or Global Environmental Goals.</w:t>
      </w:r>
      <w:r w:rsidR="00D6081E">
        <w:rPr>
          <w:rStyle w:val="FootnoteReference"/>
        </w:rPr>
        <w:footnoteReference w:id="6"/>
      </w:r>
      <w:r w:rsidR="00DA5A3D" w:rsidRPr="00A35FC9">
        <w:t xml:space="preserve"> More details on the </w:t>
      </w:r>
      <w:r w:rsidR="00D40339" w:rsidRPr="00A35FC9">
        <w:t>data set</w:t>
      </w:r>
      <w:r w:rsidR="00DA5A3D" w:rsidRPr="00A35FC9">
        <w:t>s can be found in ECE/CEP/AC.10/2015/2.</w:t>
      </w:r>
    </w:p>
    <w:p w14:paraId="1434CA48" w14:textId="64C1B19F" w:rsidR="00DA5A3D" w:rsidRPr="00A35FC9" w:rsidRDefault="005E4119" w:rsidP="00A35FC9">
      <w:pPr>
        <w:pStyle w:val="SingleTxtG"/>
      </w:pPr>
      <w:r w:rsidRPr="00A35FC9">
        <w:t>13</w:t>
      </w:r>
      <w:r w:rsidR="00DA5A3D" w:rsidRPr="00A35FC9">
        <w:t>.</w:t>
      </w:r>
      <w:r w:rsidR="00DA5A3D" w:rsidRPr="00A35FC9">
        <w:tab/>
        <w:t xml:space="preserve">The outline for a reporting mechanism was accepted at an extraordinary meeting of the Working Group’s sub-group on the development of the reporting mechanism (Geneva, 3 July 2015) in order to assess the effective production and online sharing of the agreed </w:t>
      </w:r>
      <w:r w:rsidR="00D40339" w:rsidRPr="00A35FC9">
        <w:t>data set</w:t>
      </w:r>
      <w:r w:rsidR="00DA5A3D" w:rsidRPr="00A35FC9">
        <w:t xml:space="preserve">s in line with the SEIS targets and performance indicators (see ECE/CEP/AC.10/2015/2). The reporting mechanism requires each SEIS </w:t>
      </w:r>
      <w:r w:rsidR="00D40339" w:rsidRPr="00A35FC9">
        <w:t>data set</w:t>
      </w:r>
      <w:r w:rsidR="00DA5A3D" w:rsidRPr="00A35FC9">
        <w:t xml:space="preserve"> to be assessed according to five criteria for review, namely, online accessibility, update regularity, production methodology, data interpretation and use, </w:t>
      </w:r>
      <w:r w:rsidR="0073185A" w:rsidRPr="00A35FC9">
        <w:t xml:space="preserve">and data sources (see </w:t>
      </w:r>
      <w:r w:rsidR="00A26D54" w:rsidRPr="00A35FC9">
        <w:br/>
      </w:r>
      <w:r w:rsidR="0073185A" w:rsidRPr="00A35FC9">
        <w:t>Table</w:t>
      </w:r>
      <w:r w:rsidR="00A26D54" w:rsidRPr="00A35FC9">
        <w:t xml:space="preserve"> </w:t>
      </w:r>
      <w:r w:rsidR="0073185A" w:rsidRPr="00A35FC9">
        <w:t>1).</w:t>
      </w:r>
    </w:p>
    <w:p w14:paraId="4840F489" w14:textId="39A59C6D" w:rsidR="00DA5A3D" w:rsidRPr="005E4119" w:rsidRDefault="005E4119" w:rsidP="00A26D54">
      <w:pPr>
        <w:pStyle w:val="SingleTxtG"/>
      </w:pPr>
      <w:r>
        <w:t>14</w:t>
      </w:r>
      <w:r w:rsidR="00DA5A3D" w:rsidRPr="005E4119">
        <w:t>.</w:t>
      </w:r>
      <w:r w:rsidR="00DA5A3D" w:rsidRPr="005E4119">
        <w:tab/>
        <w:t xml:space="preserve">The extraordinary meeting also recommended to the Working Group that each country, as part of a national coordination mechanism, should decide which entity will be responsible for the SEIS or </w:t>
      </w:r>
      <w:r w:rsidR="00B20E8D">
        <w:t xml:space="preserve">that each country </w:t>
      </w:r>
      <w:r w:rsidR="00A26D54" w:rsidRPr="00A26D54">
        <w:t xml:space="preserve">should be offered the possibility to nominate </w:t>
      </w:r>
      <w:r w:rsidR="00A26D54">
        <w:t>a</w:t>
      </w:r>
      <w:r w:rsidR="00A26D54" w:rsidRPr="00A26D54">
        <w:t xml:space="preserve"> SEIS focal point</w:t>
      </w:r>
      <w:r w:rsidR="00A26D54">
        <w:t xml:space="preserve"> for the self-assessment.</w:t>
      </w:r>
      <w:r w:rsidR="0095797F">
        <w:rPr>
          <w:rStyle w:val="FootnoteReference"/>
        </w:rPr>
        <w:footnoteReference w:id="7"/>
      </w:r>
      <w:r w:rsidR="00DA5A3D" w:rsidRPr="005E4119">
        <w:t xml:space="preserve"> This recommendation was </w:t>
      </w:r>
      <w:r w:rsidR="00A26D54">
        <w:t>accepted</w:t>
      </w:r>
      <w:r w:rsidR="00DA5A3D" w:rsidRPr="005E4119">
        <w:t xml:space="preserve"> at the seventeenth session (Geneva, 7-8 September 2015) of the Working Group and it was agreed to be included in the report to the Committee on Environmental Policy. It was further recommended by the Working Group that the </w:t>
      </w:r>
      <w:r w:rsidR="00B20E8D">
        <w:t>self-assessment</w:t>
      </w:r>
      <w:r w:rsidR="00DA5A3D" w:rsidRPr="005E4119">
        <w:t xml:space="preserve"> should be done by each respective SEIS focal point and </w:t>
      </w:r>
      <w:r w:rsidR="00B20E8D">
        <w:t xml:space="preserve">that the </w:t>
      </w:r>
      <w:r w:rsidR="00B20E8D" w:rsidRPr="00B20E8D">
        <w:t>review by reviewers</w:t>
      </w:r>
      <w:r w:rsidR="00B20E8D">
        <w:t xml:space="preserve"> be</w:t>
      </w:r>
      <w:r w:rsidR="00B20E8D" w:rsidRPr="00B20E8D">
        <w:t xml:space="preserve"> </w:t>
      </w:r>
      <w:r w:rsidR="00DA5A3D" w:rsidRPr="005E4119">
        <w:t>carried out by EEA</w:t>
      </w:r>
      <w:r w:rsidR="0095797F">
        <w:rPr>
          <w:rStyle w:val="FootnoteReference"/>
        </w:rPr>
        <w:footnoteReference w:id="8"/>
      </w:r>
      <w:r w:rsidR="00DA5A3D" w:rsidRPr="005E4119">
        <w:t xml:space="preserve"> for its pan-European member States and by the </w:t>
      </w:r>
      <w:r w:rsidR="00717500" w:rsidRPr="00717500">
        <w:t>ECE</w:t>
      </w:r>
      <w:r w:rsidR="00DA5A3D" w:rsidRPr="005E4119">
        <w:t xml:space="preserve"> secretariat for member States from the Caucasus, Central Asia and Eastern and South-Eastern Europe as well as other pan-European countries not covered by </w:t>
      </w:r>
      <w:r w:rsidR="005100CB">
        <w:t>EEA</w:t>
      </w:r>
      <w:r w:rsidR="00622CB3">
        <w:t xml:space="preserve"> (</w:t>
      </w:r>
      <w:r w:rsidR="0073185A">
        <w:t>ECE/CEP/AC.10/2015/4</w:t>
      </w:r>
      <w:r w:rsidR="00622CB3">
        <w:t>)</w:t>
      </w:r>
      <w:r w:rsidR="0073185A">
        <w:t>.</w:t>
      </w:r>
    </w:p>
    <w:p w14:paraId="7EF21770" w14:textId="40BF1342" w:rsidR="00DA5A3D" w:rsidRPr="005E4119" w:rsidRDefault="005E4119" w:rsidP="005E4119">
      <w:pPr>
        <w:pStyle w:val="SingleTxtG"/>
      </w:pPr>
      <w:r>
        <w:t>15</w:t>
      </w:r>
      <w:r w:rsidR="00DA5A3D" w:rsidRPr="005E4119">
        <w:t>.</w:t>
      </w:r>
      <w:r w:rsidR="00DA5A3D" w:rsidRPr="005E4119">
        <w:tab/>
      </w:r>
      <w:r w:rsidR="00054F1D">
        <w:t>T</w:t>
      </w:r>
      <w:r w:rsidR="00DA5A3D" w:rsidRPr="005E4119">
        <w:t>he pan-European SEIS reporting m</w:t>
      </w:r>
      <w:r w:rsidR="00054F1D">
        <w:t xml:space="preserve">echanism </w:t>
      </w:r>
      <w:r w:rsidR="005D3C2E">
        <w:t xml:space="preserve">is foreseen to </w:t>
      </w:r>
      <w:r w:rsidR="00054F1D">
        <w:t xml:space="preserve">be developed as an </w:t>
      </w:r>
      <w:r w:rsidR="00DA5A3D" w:rsidRPr="005E4119">
        <w:t xml:space="preserve">online application that allows each entity or focal point at the national level to provide summary records and information for each </w:t>
      </w:r>
      <w:r w:rsidR="00D40339">
        <w:t>data set</w:t>
      </w:r>
      <w:r w:rsidR="00DA5A3D" w:rsidRPr="005E4119">
        <w:t xml:space="preserve">. </w:t>
      </w:r>
      <w:r w:rsidR="005D3C2E">
        <w:t xml:space="preserve">It would </w:t>
      </w:r>
      <w:r w:rsidR="00054F1D">
        <w:t>become</w:t>
      </w:r>
      <w:r w:rsidR="00DA5A3D" w:rsidRPr="005E4119">
        <w:t xml:space="preserve"> a self-assessment tool </w:t>
      </w:r>
      <w:r w:rsidR="00054F1D">
        <w:t>for</w:t>
      </w:r>
      <w:r w:rsidR="00DA5A3D" w:rsidRPr="005E4119">
        <w:t xml:space="preserve"> each country to help identify performance gaps in accordance with the SEIS targets and performance indicators and to monitor progress in addressing these gaps over time. </w:t>
      </w:r>
      <w:r w:rsidR="00054F1D">
        <w:t>T</w:t>
      </w:r>
      <w:r w:rsidR="00DA5A3D" w:rsidRPr="005E4119">
        <w:t xml:space="preserve">he development of </w:t>
      </w:r>
      <w:r w:rsidR="00054F1D">
        <w:t>the</w:t>
      </w:r>
      <w:r w:rsidR="00DA5A3D" w:rsidRPr="005E4119">
        <w:t xml:space="preserve"> online application</w:t>
      </w:r>
      <w:r w:rsidR="005D3C2E">
        <w:t>, however,</w:t>
      </w:r>
      <w:r w:rsidR="00DA5A3D" w:rsidRPr="005E4119">
        <w:t xml:space="preserve"> can only be achieved in the medium term. </w:t>
      </w:r>
      <w:r w:rsidR="00054F1D">
        <w:t xml:space="preserve">Thus, </w:t>
      </w:r>
      <w:r w:rsidR="005D3C2E">
        <w:t>for</w:t>
      </w:r>
      <w:r w:rsidR="00DA5A3D" w:rsidRPr="005E4119">
        <w:t xml:space="preserve"> the current review, the Working Group’s sub-group on the development of the reporting mechanism agreed that an excel table should be </w:t>
      </w:r>
      <w:r w:rsidR="005D3C2E">
        <w:t>designed</w:t>
      </w:r>
      <w:r w:rsidR="00DA5A3D" w:rsidRPr="005E4119">
        <w:t xml:space="preserve"> and pre-filled by the secretariat for each country and </w:t>
      </w:r>
      <w:r w:rsidR="00D40339">
        <w:t>data set</w:t>
      </w:r>
      <w:r w:rsidR="00DA5A3D" w:rsidRPr="005E4119">
        <w:t xml:space="preserve"> in line with the five criteria for review (see Table 1). This process has provided most of the data for th</w:t>
      </w:r>
      <w:r w:rsidR="005D3C2E">
        <w:t xml:space="preserve">is </w:t>
      </w:r>
      <w:r w:rsidR="00DA5A3D" w:rsidRPr="005E4119">
        <w:t>document as a trial run for the SEIS reporting mechanism.</w:t>
      </w:r>
    </w:p>
    <w:p w14:paraId="287A2491" w14:textId="5B575AD2" w:rsidR="00DA5A3D" w:rsidRPr="005E4119" w:rsidRDefault="005E4119" w:rsidP="005E4119">
      <w:pPr>
        <w:pStyle w:val="SingleTxtG"/>
      </w:pPr>
      <w:r>
        <w:t>16</w:t>
      </w:r>
      <w:r w:rsidR="00DA5A3D" w:rsidRPr="005E4119">
        <w:t>.</w:t>
      </w:r>
      <w:r w:rsidR="00DA5A3D" w:rsidRPr="005E4119">
        <w:tab/>
        <w:t>It has been proposed by the Working Group to use</w:t>
      </w:r>
      <w:r w:rsidR="00D818A0">
        <w:t xml:space="preserve"> the United Nations Environment Programme</w:t>
      </w:r>
      <w:r w:rsidR="0043388D">
        <w:t xml:space="preserve"> (UNEP)</w:t>
      </w:r>
      <w:r w:rsidR="00D818A0">
        <w:t xml:space="preserve"> </w:t>
      </w:r>
      <w:r w:rsidR="00153B62">
        <w:t xml:space="preserve">platform </w:t>
      </w:r>
      <w:r w:rsidR="0043388D">
        <w:t xml:space="preserve">UNEP </w:t>
      </w:r>
      <w:r w:rsidR="00DA5A3D" w:rsidRPr="005E4119">
        <w:t>Live</w:t>
      </w:r>
      <w:r w:rsidR="000B032D">
        <w:rPr>
          <w:rStyle w:val="FootnoteReference"/>
        </w:rPr>
        <w:footnoteReference w:id="9"/>
      </w:r>
      <w:r w:rsidR="00DA5A3D" w:rsidRPr="005E4119">
        <w:t xml:space="preserve"> to develop the simple online mechanism as a basis for regular monitoring and assessment through National Reporting Systems. The Committee, at their twenty-first session</w:t>
      </w:r>
      <w:r w:rsidR="0034669B">
        <w:t xml:space="preserve"> approved the proposed organisation and shape of the regular environmental assessment process based on SEIS (ECE/CEP/2015/10)</w:t>
      </w:r>
      <w:r w:rsidR="001D7B88">
        <w:t xml:space="preserve"> that includes the provision for </w:t>
      </w:r>
      <w:r w:rsidR="00DA5A3D" w:rsidRPr="005E4119">
        <w:t xml:space="preserve">UNEP Live </w:t>
      </w:r>
      <w:r w:rsidR="001D7B88">
        <w:t>to</w:t>
      </w:r>
      <w:r w:rsidR="001D7B88" w:rsidRPr="005E4119">
        <w:t xml:space="preserve"> </w:t>
      </w:r>
      <w:r w:rsidR="00DA5A3D" w:rsidRPr="005E4119">
        <w:t>serve as the main platform at the pan-European level, linking with national platforms to provide centralized access to the knowledge base, including assessments, the data and information regularly published by countries. The data and information flows at the member States level would allow countries to track changes across the thematic areas and to assess any changes against the policy framework as well as to provide information on the progress made on the agreed regional or global commitments. The accessibility, production and sharing of data by pan-European countries is foreseen to be managed by the Working Group as part of an annual review process of countries’ performance in establishing and operating SEIS, based on the SEIS targets and performance indicators adopted by the Committee (see ECE/CEP/2015/10 and UNEP/GEO-6/REIN/1.2).</w:t>
      </w:r>
    </w:p>
    <w:p w14:paraId="70D99255" w14:textId="0F2489F2" w:rsidR="00DA5A3D" w:rsidRPr="005E4119" w:rsidRDefault="005E4119" w:rsidP="005E4119">
      <w:pPr>
        <w:pStyle w:val="SingleTxtG"/>
      </w:pPr>
      <w:r>
        <w:t>17</w:t>
      </w:r>
      <w:r w:rsidR="00DA5A3D" w:rsidRPr="005E4119">
        <w:t>.</w:t>
      </w:r>
      <w:r w:rsidR="00DA5A3D" w:rsidRPr="005E4119">
        <w:tab/>
        <w:t xml:space="preserve">The sections below contain the updated initial review of the progress of developing SEIS in the pan-European region. Only </w:t>
      </w:r>
      <w:r w:rsidR="00D40339">
        <w:t>data set</w:t>
      </w:r>
      <w:r w:rsidR="00DA5A3D" w:rsidRPr="005E4119">
        <w:t xml:space="preserve">s and other related information published online on the national websites of the countries in the pan-European region have been assessed and presented therein. </w:t>
      </w:r>
    </w:p>
    <w:p w14:paraId="65CFC7E7" w14:textId="1D52A2AE" w:rsidR="00DA5A3D" w:rsidRPr="00C106F1" w:rsidRDefault="005E4119" w:rsidP="005E4119">
      <w:pPr>
        <w:pStyle w:val="HChG"/>
      </w:pPr>
      <w:bookmarkStart w:id="83" w:name="_Toc440461423"/>
      <w:r>
        <w:tab/>
        <w:t>II.</w:t>
      </w:r>
      <w:r>
        <w:tab/>
      </w:r>
      <w:r w:rsidR="00DA5A3D" w:rsidRPr="00FA0D37">
        <w:t>P</w:t>
      </w:r>
      <w:r w:rsidR="00DA5A3D" w:rsidRPr="00A616D3">
        <w:t xml:space="preserve">erformance in developing a Shared Environmental Information System </w:t>
      </w:r>
      <w:r w:rsidR="00DA5A3D" w:rsidRPr="00C106F1">
        <w:t>in the pan-European region</w:t>
      </w:r>
      <w:bookmarkEnd w:id="83"/>
    </w:p>
    <w:p w14:paraId="6F34E107" w14:textId="77777777" w:rsidR="00DA5A3D" w:rsidRPr="00A616D3" w:rsidRDefault="005E4119" w:rsidP="005E4119">
      <w:pPr>
        <w:pStyle w:val="H1G"/>
      </w:pPr>
      <w:bookmarkStart w:id="84" w:name="_Toc439688158"/>
      <w:bookmarkStart w:id="85" w:name="_Toc439754736"/>
      <w:bookmarkStart w:id="86" w:name="_Toc439765043"/>
      <w:bookmarkStart w:id="87" w:name="_Toc439772004"/>
      <w:bookmarkStart w:id="88" w:name="_Toc439776006"/>
      <w:bookmarkStart w:id="89" w:name="_Toc439783417"/>
      <w:bookmarkStart w:id="90" w:name="_Toc439859092"/>
      <w:bookmarkStart w:id="91" w:name="_Toc439861958"/>
      <w:bookmarkStart w:id="92" w:name="_Toc439863765"/>
      <w:bookmarkStart w:id="93" w:name="_Toc439688159"/>
      <w:bookmarkStart w:id="94" w:name="_Toc439754737"/>
      <w:bookmarkStart w:id="95" w:name="_Toc439765044"/>
      <w:bookmarkStart w:id="96" w:name="_Toc439772005"/>
      <w:bookmarkStart w:id="97" w:name="_Toc439776007"/>
      <w:bookmarkStart w:id="98" w:name="_Toc439783418"/>
      <w:bookmarkStart w:id="99" w:name="_Toc439859093"/>
      <w:bookmarkStart w:id="100" w:name="_Toc439861959"/>
      <w:bookmarkStart w:id="101" w:name="_Toc439863766"/>
      <w:bookmarkStart w:id="102" w:name="_Toc439688160"/>
      <w:bookmarkStart w:id="103" w:name="_Toc439754738"/>
      <w:bookmarkStart w:id="104" w:name="_Toc439765045"/>
      <w:bookmarkStart w:id="105" w:name="_Toc439772006"/>
      <w:bookmarkStart w:id="106" w:name="_Toc439776008"/>
      <w:bookmarkStart w:id="107" w:name="_Toc439783419"/>
      <w:bookmarkStart w:id="108" w:name="_Toc439859094"/>
      <w:bookmarkStart w:id="109" w:name="_Toc439861960"/>
      <w:bookmarkStart w:id="110" w:name="_Toc439863767"/>
      <w:bookmarkStart w:id="111" w:name="_Toc44046142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tab/>
        <w:t>A.</w:t>
      </w:r>
      <w:r>
        <w:tab/>
      </w:r>
      <w:r w:rsidR="00DA5A3D">
        <w:t>Review</w:t>
      </w:r>
      <w:r w:rsidR="00DA5A3D" w:rsidRPr="009E52C7">
        <w:t xml:space="preserve"> </w:t>
      </w:r>
      <w:r w:rsidR="00DA5A3D" w:rsidRPr="00FA0D37">
        <w:t>process</w:t>
      </w:r>
      <w:bookmarkEnd w:id="111"/>
    </w:p>
    <w:p w14:paraId="5AA9A9E6" w14:textId="48AD2382" w:rsidR="00DA5A3D" w:rsidRPr="00B13F6A" w:rsidRDefault="00DA5A3D" w:rsidP="00B13F6A">
      <w:pPr>
        <w:pStyle w:val="SingleTxtG"/>
      </w:pPr>
      <w:r w:rsidRPr="00B13F6A">
        <w:t>1</w:t>
      </w:r>
      <w:r w:rsidR="00B13F6A">
        <w:t>8</w:t>
      </w:r>
      <w:r w:rsidRPr="00B13F6A">
        <w:t>.</w:t>
      </w:r>
      <w:r w:rsidRPr="00B13F6A">
        <w:tab/>
        <w:t xml:space="preserve">Data collection and analysis (as part of a desk study) for the current progress report was conducted in the period between August and December 2015. It was implemented in two steps: </w:t>
      </w:r>
    </w:p>
    <w:p w14:paraId="39E7CD2C" w14:textId="1A389215" w:rsidR="00DA5A3D" w:rsidRPr="00B13F6A" w:rsidRDefault="00DA5A3D" w:rsidP="00B13F6A">
      <w:pPr>
        <w:pStyle w:val="SingleTxtG"/>
      </w:pPr>
      <w:r w:rsidRPr="00B13F6A">
        <w:tab/>
        <w:t>(a)</w:t>
      </w:r>
      <w:r w:rsidRPr="00B13F6A">
        <w:tab/>
        <w:t xml:space="preserve">As a first step, the secretariat collected all relevant information related to each environmental </w:t>
      </w:r>
      <w:r w:rsidR="00D40339">
        <w:t>data set</w:t>
      </w:r>
      <w:r w:rsidRPr="00B13F6A">
        <w:t xml:space="preserve"> available online and across all national platforms, covering the entities and/or focal points responsible for the implementation of SEIS. </w:t>
      </w:r>
    </w:p>
    <w:p w14:paraId="0CB6EB0D" w14:textId="0BA5E1AD" w:rsidR="00DA5A3D" w:rsidRPr="00B13F6A" w:rsidRDefault="00DA5A3D" w:rsidP="00B13F6A">
      <w:pPr>
        <w:pStyle w:val="SingleTxtG"/>
      </w:pPr>
      <w:r w:rsidRPr="00B13F6A">
        <w:tab/>
        <w:t>(b)</w:t>
      </w:r>
      <w:r w:rsidRPr="00B13F6A">
        <w:tab/>
        <w:t xml:space="preserve">As a second step, all </w:t>
      </w:r>
      <w:r w:rsidR="00D40339">
        <w:t>data set</w:t>
      </w:r>
      <w:r w:rsidRPr="00B13F6A">
        <w:t xml:space="preserve">s were rated according to the five criteria for review as proposed by the secretariat in its concept for a reporting mechanism. The rating process was achieved by evaluating the collected material and asking simple dichotomous (yes/no) questions in line with each review criteria. The rating was done with a “yes” (value of 1) or “no” (value of 0) depending on whether the requirements for each review criteria were or were not met. This generated an overall performance score that range between 0 and 5 for each </w:t>
      </w:r>
      <w:r w:rsidR="00D40339">
        <w:t>data set</w:t>
      </w:r>
      <w:r w:rsidRPr="00B13F6A">
        <w:t xml:space="preserve">. </w:t>
      </w:r>
    </w:p>
    <w:p w14:paraId="606411EF" w14:textId="77777777" w:rsidR="00DA5A3D" w:rsidRPr="00B13F6A" w:rsidRDefault="00DA5A3D" w:rsidP="008071CE">
      <w:pPr>
        <w:pStyle w:val="SingleTxtG"/>
        <w:keepNext/>
      </w:pPr>
      <w:r w:rsidRPr="00B13F6A">
        <w:t>1</w:t>
      </w:r>
      <w:r w:rsidR="00B13F6A">
        <w:t>9</w:t>
      </w:r>
      <w:r w:rsidRPr="00B13F6A">
        <w:t>.</w:t>
      </w:r>
      <w:r w:rsidRPr="00B13F6A">
        <w:tab/>
        <w:t>Table 1 provides the criteria for review as agreed by Working Group:</w:t>
      </w:r>
    </w:p>
    <w:p w14:paraId="7A10F136" w14:textId="77777777" w:rsidR="00DA5A3D" w:rsidRPr="00CE44ED" w:rsidRDefault="00DA5A3D" w:rsidP="008071CE">
      <w:pPr>
        <w:pStyle w:val="SingleTxtG"/>
        <w:keepNext/>
        <w:spacing w:after="0" w:line="240" w:lineRule="auto"/>
        <w:rPr>
          <w:sz w:val="10"/>
          <w:szCs w:val="10"/>
        </w:rPr>
      </w:pPr>
    </w:p>
    <w:p w14:paraId="77029A54" w14:textId="77777777" w:rsidR="00DA5A3D" w:rsidRDefault="00DA5A3D" w:rsidP="008071CE">
      <w:pPr>
        <w:pStyle w:val="Heading1"/>
        <w:keepNext/>
        <w:spacing w:after="120"/>
      </w:pPr>
      <w:r>
        <w:br w:type="page"/>
      </w:r>
      <w:r w:rsidRPr="000C71F8">
        <w:t>Table 1</w:t>
      </w:r>
      <w:r w:rsidR="000C71F8">
        <w:br/>
      </w:r>
      <w:r w:rsidRPr="00AC78B5">
        <w:rPr>
          <w:rStyle w:val="SingleTxtGChar"/>
          <w:b/>
        </w:rPr>
        <w:t>Criteria for Review</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6"/>
        <w:gridCol w:w="5104"/>
      </w:tblGrid>
      <w:tr w:rsidR="002B2D44" w:rsidRPr="002B2D44" w14:paraId="0BA1F114" w14:textId="77777777" w:rsidTr="005079FB">
        <w:trPr>
          <w:tblHeader/>
        </w:trPr>
        <w:tc>
          <w:tcPr>
            <w:tcW w:w="2266" w:type="dxa"/>
            <w:tcBorders>
              <w:top w:val="single" w:sz="4" w:space="0" w:color="auto"/>
              <w:bottom w:val="single" w:sz="12" w:space="0" w:color="auto"/>
            </w:tcBorders>
            <w:shd w:val="clear" w:color="auto" w:fill="auto"/>
            <w:vAlign w:val="bottom"/>
          </w:tcPr>
          <w:p w14:paraId="39E77024" w14:textId="77777777" w:rsidR="002B2D44" w:rsidRPr="002B2D44" w:rsidRDefault="002B2D44" w:rsidP="002B2D44">
            <w:pPr>
              <w:suppressAutoHyphens w:val="0"/>
              <w:spacing w:before="80" w:after="80" w:line="200" w:lineRule="exact"/>
              <w:ind w:right="113"/>
              <w:rPr>
                <w:i/>
                <w:sz w:val="16"/>
                <w:szCs w:val="18"/>
              </w:rPr>
            </w:pPr>
            <w:r w:rsidRPr="002B2D44">
              <w:rPr>
                <w:i/>
                <w:sz w:val="16"/>
                <w:szCs w:val="18"/>
              </w:rPr>
              <w:t>Rating Element</w:t>
            </w:r>
          </w:p>
        </w:tc>
        <w:tc>
          <w:tcPr>
            <w:tcW w:w="5104" w:type="dxa"/>
            <w:tcBorders>
              <w:top w:val="single" w:sz="4" w:space="0" w:color="auto"/>
              <w:bottom w:val="single" w:sz="12" w:space="0" w:color="auto"/>
            </w:tcBorders>
            <w:shd w:val="clear" w:color="auto" w:fill="auto"/>
            <w:vAlign w:val="bottom"/>
          </w:tcPr>
          <w:p w14:paraId="7EC5F702" w14:textId="77777777" w:rsidR="002B2D44" w:rsidRPr="002B2D44" w:rsidRDefault="002B2D44" w:rsidP="002B2D44">
            <w:pPr>
              <w:suppressAutoHyphens w:val="0"/>
              <w:spacing w:before="80" w:after="80" w:line="200" w:lineRule="exact"/>
              <w:ind w:right="113"/>
              <w:rPr>
                <w:i/>
                <w:sz w:val="16"/>
                <w:szCs w:val="18"/>
              </w:rPr>
            </w:pPr>
            <w:r w:rsidRPr="002B2D44">
              <w:rPr>
                <w:i/>
                <w:sz w:val="16"/>
                <w:szCs w:val="18"/>
              </w:rPr>
              <w:t>Description</w:t>
            </w:r>
          </w:p>
        </w:tc>
      </w:tr>
      <w:tr w:rsidR="005079FB" w:rsidRPr="002B2D44" w14:paraId="46549930" w14:textId="77777777" w:rsidTr="005079FB">
        <w:trPr>
          <w:trHeight w:hRule="exact" w:val="113"/>
          <w:tblHeader/>
        </w:trPr>
        <w:tc>
          <w:tcPr>
            <w:tcW w:w="2266" w:type="dxa"/>
            <w:tcBorders>
              <w:top w:val="single" w:sz="12" w:space="0" w:color="auto"/>
              <w:bottom w:val="nil"/>
            </w:tcBorders>
            <w:shd w:val="clear" w:color="auto" w:fill="auto"/>
            <w:vAlign w:val="bottom"/>
          </w:tcPr>
          <w:p w14:paraId="5EAA4EBA" w14:textId="77777777" w:rsidR="005079FB" w:rsidRPr="002B2D44" w:rsidRDefault="005079FB" w:rsidP="002B2D44">
            <w:pPr>
              <w:suppressAutoHyphens w:val="0"/>
              <w:spacing w:before="80" w:after="80" w:line="200" w:lineRule="exact"/>
              <w:ind w:right="113"/>
              <w:rPr>
                <w:i/>
                <w:sz w:val="16"/>
                <w:szCs w:val="18"/>
              </w:rPr>
            </w:pPr>
          </w:p>
        </w:tc>
        <w:tc>
          <w:tcPr>
            <w:tcW w:w="5104" w:type="dxa"/>
            <w:tcBorders>
              <w:top w:val="single" w:sz="12" w:space="0" w:color="auto"/>
              <w:bottom w:val="nil"/>
            </w:tcBorders>
            <w:shd w:val="clear" w:color="auto" w:fill="auto"/>
            <w:vAlign w:val="bottom"/>
          </w:tcPr>
          <w:p w14:paraId="469B13D4" w14:textId="77777777" w:rsidR="005079FB" w:rsidRPr="002B2D44" w:rsidRDefault="005079FB" w:rsidP="002B2D44">
            <w:pPr>
              <w:suppressAutoHyphens w:val="0"/>
              <w:spacing w:before="80" w:after="80" w:line="200" w:lineRule="exact"/>
              <w:ind w:right="113"/>
              <w:rPr>
                <w:i/>
                <w:sz w:val="16"/>
                <w:szCs w:val="18"/>
              </w:rPr>
            </w:pPr>
          </w:p>
        </w:tc>
      </w:tr>
      <w:tr w:rsidR="002B2D44" w:rsidRPr="002B2D44" w14:paraId="28D0C531" w14:textId="77777777" w:rsidTr="005079FB">
        <w:tc>
          <w:tcPr>
            <w:tcW w:w="2266" w:type="dxa"/>
            <w:tcBorders>
              <w:top w:val="nil"/>
            </w:tcBorders>
            <w:shd w:val="clear" w:color="auto" w:fill="auto"/>
          </w:tcPr>
          <w:p w14:paraId="368592DE" w14:textId="467D14A2" w:rsidR="002B2D44" w:rsidRPr="002B2D44" w:rsidRDefault="004F21F1" w:rsidP="00AC78B5">
            <w:pPr>
              <w:pStyle w:val="ListParagraph"/>
              <w:tabs>
                <w:tab w:val="left" w:pos="284"/>
              </w:tabs>
              <w:suppressAutoHyphens w:val="0"/>
              <w:spacing w:before="40" w:after="120" w:line="220" w:lineRule="exact"/>
              <w:ind w:left="0" w:right="113"/>
              <w:rPr>
                <w:b/>
                <w:szCs w:val="18"/>
              </w:rPr>
            </w:pPr>
            <w:r>
              <w:rPr>
                <w:b/>
                <w:szCs w:val="18"/>
              </w:rPr>
              <w:t xml:space="preserve">I. </w:t>
            </w:r>
            <w:r w:rsidR="002B2D44" w:rsidRPr="002B2D44">
              <w:rPr>
                <w:b/>
                <w:szCs w:val="18"/>
              </w:rPr>
              <w:t>Online accessibility</w:t>
            </w:r>
          </w:p>
        </w:tc>
        <w:tc>
          <w:tcPr>
            <w:tcW w:w="5104" w:type="dxa"/>
            <w:tcBorders>
              <w:top w:val="nil"/>
            </w:tcBorders>
            <w:shd w:val="clear" w:color="auto" w:fill="auto"/>
          </w:tcPr>
          <w:p w14:paraId="3D600C9D" w14:textId="75CF7200" w:rsidR="002B2D44" w:rsidRPr="002B2D44" w:rsidRDefault="002B2D44" w:rsidP="002B2D44">
            <w:pPr>
              <w:suppressAutoHyphens w:val="0"/>
              <w:spacing w:before="40" w:after="120" w:line="220" w:lineRule="exact"/>
              <w:ind w:right="113"/>
              <w:rPr>
                <w:szCs w:val="18"/>
              </w:rPr>
            </w:pPr>
            <w:r w:rsidRPr="002B2D44">
              <w:rPr>
                <w:szCs w:val="18"/>
              </w:rPr>
              <w:t xml:space="preserve">The </w:t>
            </w:r>
            <w:r w:rsidR="00D40339">
              <w:rPr>
                <w:szCs w:val="18"/>
              </w:rPr>
              <w:t>data set</w:t>
            </w:r>
            <w:r w:rsidRPr="002B2D44">
              <w:rPr>
                <w:szCs w:val="18"/>
              </w:rPr>
              <w:t xml:space="preserve"> can be easily accessed by anybody at any time online.</w:t>
            </w:r>
          </w:p>
        </w:tc>
      </w:tr>
      <w:tr w:rsidR="002B2D44" w:rsidRPr="002B2D44" w14:paraId="5086B27B" w14:textId="77777777" w:rsidTr="002B2D44">
        <w:tc>
          <w:tcPr>
            <w:tcW w:w="2266" w:type="dxa"/>
            <w:shd w:val="clear" w:color="auto" w:fill="auto"/>
          </w:tcPr>
          <w:p w14:paraId="6C29C0B0" w14:textId="2C2EFE24" w:rsidR="002B2D44" w:rsidRPr="002B2D44" w:rsidRDefault="002B2D44" w:rsidP="002B2D44">
            <w:pPr>
              <w:pStyle w:val="ListParagraph"/>
              <w:suppressAutoHyphens w:val="0"/>
              <w:spacing w:before="40" w:after="120" w:line="220" w:lineRule="exact"/>
              <w:ind w:left="0" w:right="113"/>
              <w:rPr>
                <w:b/>
                <w:szCs w:val="18"/>
              </w:rPr>
            </w:pPr>
            <w:r>
              <w:rPr>
                <w:b/>
                <w:szCs w:val="18"/>
              </w:rPr>
              <w:t>II.</w:t>
            </w:r>
            <w:r w:rsidR="004F21F1">
              <w:rPr>
                <w:b/>
                <w:szCs w:val="18"/>
              </w:rPr>
              <w:t xml:space="preserve"> </w:t>
            </w:r>
            <w:r w:rsidRPr="002B2D44">
              <w:rPr>
                <w:b/>
                <w:szCs w:val="18"/>
              </w:rPr>
              <w:t>Update regularity</w:t>
            </w:r>
          </w:p>
        </w:tc>
        <w:tc>
          <w:tcPr>
            <w:tcW w:w="5104" w:type="dxa"/>
            <w:shd w:val="clear" w:color="auto" w:fill="auto"/>
          </w:tcPr>
          <w:p w14:paraId="18D2229D" w14:textId="32556722" w:rsidR="002B2D44" w:rsidRPr="002B2D44" w:rsidRDefault="002B2D44" w:rsidP="002B2D44">
            <w:pPr>
              <w:suppressAutoHyphens w:val="0"/>
              <w:spacing w:before="40" w:after="120" w:line="220" w:lineRule="exact"/>
              <w:ind w:right="113"/>
              <w:rPr>
                <w:szCs w:val="18"/>
              </w:rPr>
            </w:pPr>
            <w:r w:rsidRPr="002B2D44">
              <w:rPr>
                <w:szCs w:val="18"/>
              </w:rPr>
              <w:t xml:space="preserve">The </w:t>
            </w:r>
            <w:r w:rsidR="00D40339">
              <w:rPr>
                <w:szCs w:val="18"/>
              </w:rPr>
              <w:t>data set</w:t>
            </w:r>
            <w:r w:rsidRPr="002B2D44">
              <w:rPr>
                <w:szCs w:val="18"/>
              </w:rPr>
              <w:t xml:space="preserve"> is updated with figures of the latest agreed production period.</w:t>
            </w:r>
          </w:p>
        </w:tc>
      </w:tr>
      <w:tr w:rsidR="002B2D44" w:rsidRPr="002B2D44" w14:paraId="400ACB44" w14:textId="77777777" w:rsidTr="002B2D44">
        <w:tc>
          <w:tcPr>
            <w:tcW w:w="2266" w:type="dxa"/>
            <w:shd w:val="clear" w:color="auto" w:fill="auto"/>
          </w:tcPr>
          <w:p w14:paraId="5A7A0388" w14:textId="6F6B3E76" w:rsidR="002B2D44" w:rsidRPr="002B2D44" w:rsidRDefault="002B2D44" w:rsidP="00D40339">
            <w:pPr>
              <w:pStyle w:val="ListParagraph"/>
              <w:suppressAutoHyphens w:val="0"/>
              <w:spacing w:before="40" w:after="120" w:line="220" w:lineRule="exact"/>
              <w:ind w:left="0" w:right="113"/>
              <w:rPr>
                <w:b/>
                <w:szCs w:val="18"/>
              </w:rPr>
            </w:pPr>
            <w:r>
              <w:rPr>
                <w:b/>
                <w:szCs w:val="18"/>
              </w:rPr>
              <w:t xml:space="preserve">III. </w:t>
            </w:r>
            <w:r w:rsidRPr="002B2D44">
              <w:rPr>
                <w:b/>
                <w:szCs w:val="18"/>
              </w:rPr>
              <w:t>Production methodology</w:t>
            </w:r>
            <w:r w:rsidR="00D40339" w:rsidRPr="00F253AA">
              <w:rPr>
                <w:i/>
                <w:vertAlign w:val="superscript"/>
              </w:rPr>
              <w:t>a</w:t>
            </w:r>
          </w:p>
        </w:tc>
        <w:tc>
          <w:tcPr>
            <w:tcW w:w="5104" w:type="dxa"/>
            <w:shd w:val="clear" w:color="auto" w:fill="auto"/>
          </w:tcPr>
          <w:p w14:paraId="15E652FF" w14:textId="5B00EA15" w:rsidR="002B2D44" w:rsidRPr="002B2D44" w:rsidRDefault="002B2D44" w:rsidP="002B2D44">
            <w:pPr>
              <w:suppressAutoHyphens w:val="0"/>
              <w:spacing w:before="40" w:after="120" w:line="220" w:lineRule="exact"/>
              <w:ind w:right="113"/>
              <w:rPr>
                <w:szCs w:val="18"/>
              </w:rPr>
            </w:pPr>
            <w:r w:rsidRPr="002B2D44">
              <w:rPr>
                <w:szCs w:val="18"/>
              </w:rPr>
              <w:t xml:space="preserve">Detailed information on standard methodologies and calculation methods for the production of the </w:t>
            </w:r>
            <w:r w:rsidR="00D40339">
              <w:rPr>
                <w:szCs w:val="18"/>
              </w:rPr>
              <w:t>data set</w:t>
            </w:r>
            <w:r w:rsidRPr="002B2D44">
              <w:rPr>
                <w:szCs w:val="18"/>
              </w:rPr>
              <w:t xml:space="preserve"> is provided. The detailed information should further confirm that the applied methodology is in accordance with the agreed standard methodology for the production of the particular </w:t>
            </w:r>
            <w:r w:rsidR="00D40339">
              <w:rPr>
                <w:szCs w:val="18"/>
              </w:rPr>
              <w:t>data set</w:t>
            </w:r>
            <w:r w:rsidRPr="002B2D44">
              <w:rPr>
                <w:szCs w:val="18"/>
              </w:rPr>
              <w:t>.</w:t>
            </w:r>
          </w:p>
        </w:tc>
      </w:tr>
      <w:tr w:rsidR="002B2D44" w:rsidRPr="002B2D44" w14:paraId="3E1D36F9" w14:textId="77777777" w:rsidTr="002B2D44">
        <w:tc>
          <w:tcPr>
            <w:tcW w:w="2266" w:type="dxa"/>
            <w:shd w:val="clear" w:color="auto" w:fill="auto"/>
          </w:tcPr>
          <w:p w14:paraId="7924C63E" w14:textId="3D012167" w:rsidR="002B2D44" w:rsidRPr="002B2D44" w:rsidRDefault="002B2D44" w:rsidP="002B2D44">
            <w:pPr>
              <w:pStyle w:val="ListParagraph"/>
              <w:suppressAutoHyphens w:val="0"/>
              <w:spacing w:before="40" w:after="120" w:line="220" w:lineRule="exact"/>
              <w:ind w:left="0" w:right="113"/>
              <w:rPr>
                <w:b/>
                <w:szCs w:val="18"/>
              </w:rPr>
            </w:pPr>
            <w:r>
              <w:rPr>
                <w:b/>
                <w:szCs w:val="18"/>
              </w:rPr>
              <w:t xml:space="preserve">IV. </w:t>
            </w:r>
            <w:r w:rsidRPr="002B2D44">
              <w:rPr>
                <w:b/>
                <w:szCs w:val="18"/>
              </w:rPr>
              <w:t>Data interpretation</w:t>
            </w:r>
            <w:r w:rsidRPr="002B2D44">
              <w:rPr>
                <w:b/>
                <w:szCs w:val="18"/>
              </w:rPr>
              <w:br/>
              <w:t>and use</w:t>
            </w:r>
            <w:r w:rsidR="00D40339" w:rsidRPr="00F253AA">
              <w:rPr>
                <w:i/>
                <w:vertAlign w:val="superscript"/>
              </w:rPr>
              <w:t>a</w:t>
            </w:r>
          </w:p>
        </w:tc>
        <w:tc>
          <w:tcPr>
            <w:tcW w:w="5104" w:type="dxa"/>
            <w:shd w:val="clear" w:color="auto" w:fill="auto"/>
          </w:tcPr>
          <w:p w14:paraId="12D630DD" w14:textId="4BE4C8B1" w:rsidR="002B2D44" w:rsidRPr="002B2D44" w:rsidRDefault="002B2D44" w:rsidP="00EC0410">
            <w:pPr>
              <w:suppressAutoHyphens w:val="0"/>
              <w:spacing w:before="40" w:after="120" w:line="220" w:lineRule="exact"/>
              <w:ind w:right="113"/>
              <w:rPr>
                <w:szCs w:val="18"/>
              </w:rPr>
            </w:pPr>
            <w:r w:rsidRPr="002B2D44">
              <w:rPr>
                <w:szCs w:val="18"/>
              </w:rPr>
              <w:t xml:space="preserve">The </w:t>
            </w:r>
            <w:r w:rsidR="00D40339">
              <w:rPr>
                <w:szCs w:val="18"/>
              </w:rPr>
              <w:t>data set</w:t>
            </w:r>
            <w:r w:rsidRPr="002B2D44">
              <w:rPr>
                <w:szCs w:val="18"/>
              </w:rPr>
              <w:t xml:space="preserve"> is supported by information about what it presents and how to understand the changes in </w:t>
            </w:r>
            <w:r w:rsidR="00D40339">
              <w:rPr>
                <w:szCs w:val="18"/>
              </w:rPr>
              <w:t>data set</w:t>
            </w:r>
            <w:r w:rsidRPr="002B2D44">
              <w:rPr>
                <w:szCs w:val="18"/>
              </w:rPr>
              <w:t xml:space="preserve">s over time. Information should also be provided on how the collected data was interpreted and used (e.g. for </w:t>
            </w:r>
            <w:r w:rsidR="00EC0410">
              <w:rPr>
                <w:szCs w:val="18"/>
              </w:rPr>
              <w:t>state-of-the-environment</w:t>
            </w:r>
            <w:r w:rsidRPr="002B2D44">
              <w:rPr>
                <w:szCs w:val="18"/>
              </w:rPr>
              <w:t xml:space="preserve"> reporting or to support environmental policy making). Information should furthermore be provided in the national language and in an international language – English and/or Russian – to be accessible to the national and international community.</w:t>
            </w:r>
          </w:p>
        </w:tc>
      </w:tr>
      <w:tr w:rsidR="002B2D44" w:rsidRPr="002B2D44" w14:paraId="64EBBF36" w14:textId="77777777" w:rsidTr="002B2D44">
        <w:tc>
          <w:tcPr>
            <w:tcW w:w="2266" w:type="dxa"/>
            <w:shd w:val="clear" w:color="auto" w:fill="auto"/>
          </w:tcPr>
          <w:p w14:paraId="01D2BA24" w14:textId="77777777" w:rsidR="002B2D44" w:rsidRPr="002B2D44" w:rsidRDefault="002B2D44" w:rsidP="005B2B5C">
            <w:pPr>
              <w:pStyle w:val="ListParagraph"/>
              <w:suppressAutoHyphens w:val="0"/>
              <w:spacing w:before="40" w:after="120" w:line="220" w:lineRule="exact"/>
              <w:ind w:left="0" w:right="113"/>
              <w:rPr>
                <w:b/>
                <w:szCs w:val="18"/>
              </w:rPr>
            </w:pPr>
            <w:r>
              <w:rPr>
                <w:b/>
                <w:szCs w:val="18"/>
              </w:rPr>
              <w:t xml:space="preserve">V. </w:t>
            </w:r>
            <w:r w:rsidRPr="002B2D44">
              <w:rPr>
                <w:b/>
                <w:szCs w:val="18"/>
              </w:rPr>
              <w:t>Data sources</w:t>
            </w:r>
            <w:r w:rsidR="005B2B5C" w:rsidRPr="007D418B">
              <w:rPr>
                <w:i/>
                <w:szCs w:val="18"/>
                <w:vertAlign w:val="superscript"/>
              </w:rPr>
              <w:t>a</w:t>
            </w:r>
          </w:p>
        </w:tc>
        <w:tc>
          <w:tcPr>
            <w:tcW w:w="5104" w:type="dxa"/>
            <w:shd w:val="clear" w:color="auto" w:fill="auto"/>
          </w:tcPr>
          <w:p w14:paraId="0C3B95BA" w14:textId="03352984" w:rsidR="002B2D44" w:rsidRPr="002B2D44" w:rsidRDefault="002B2D44" w:rsidP="002B2D44">
            <w:pPr>
              <w:suppressAutoHyphens w:val="0"/>
              <w:spacing w:before="40" w:after="120" w:line="220" w:lineRule="exact"/>
              <w:ind w:right="113"/>
              <w:rPr>
                <w:szCs w:val="18"/>
              </w:rPr>
            </w:pPr>
            <w:r w:rsidRPr="002B2D44">
              <w:rPr>
                <w:szCs w:val="18"/>
              </w:rPr>
              <w:t xml:space="preserve">The institution responsible for the production of the </w:t>
            </w:r>
            <w:r w:rsidR="00D40339">
              <w:rPr>
                <w:szCs w:val="18"/>
              </w:rPr>
              <w:t>data set</w:t>
            </w:r>
            <w:r w:rsidRPr="002B2D44">
              <w:rPr>
                <w:szCs w:val="18"/>
              </w:rPr>
              <w:t>, its source, and contact details are available.</w:t>
            </w:r>
          </w:p>
        </w:tc>
      </w:tr>
    </w:tbl>
    <w:p w14:paraId="431365C1" w14:textId="77777777" w:rsidR="005B2B5C" w:rsidRDefault="0015425F" w:rsidP="00894AAE">
      <w:pPr>
        <w:pStyle w:val="SingleTxtG"/>
        <w:tabs>
          <w:tab w:val="left" w:pos="1418"/>
        </w:tabs>
        <w:spacing w:before="120" w:after="0" w:line="220" w:lineRule="exact"/>
        <w:ind w:firstLine="142"/>
        <w:jc w:val="left"/>
        <w:rPr>
          <w:sz w:val="18"/>
          <w:szCs w:val="18"/>
        </w:rPr>
      </w:pPr>
      <w:r w:rsidRPr="0015425F">
        <w:rPr>
          <w:i/>
          <w:sz w:val="18"/>
          <w:szCs w:val="18"/>
        </w:rPr>
        <w:t xml:space="preserve">Note: </w:t>
      </w:r>
      <w:r w:rsidR="002B2D44" w:rsidRPr="0015425F">
        <w:rPr>
          <w:sz w:val="18"/>
          <w:szCs w:val="18"/>
        </w:rPr>
        <w:t>As accepted at the seventeenth session of the Working Group and advanced by the development sub-group for a reporting mechanism (see ECE/CEP/AC.10/2015/4).</w:t>
      </w:r>
    </w:p>
    <w:p w14:paraId="5A33844A" w14:textId="6C369FC1" w:rsidR="002B2D44" w:rsidRPr="0015425F" w:rsidRDefault="0015425F" w:rsidP="00894AAE">
      <w:pPr>
        <w:pStyle w:val="SingleTxtG"/>
        <w:tabs>
          <w:tab w:val="left" w:pos="1418"/>
        </w:tabs>
        <w:spacing w:after="240" w:line="220" w:lineRule="exact"/>
        <w:ind w:firstLine="142"/>
        <w:jc w:val="left"/>
        <w:rPr>
          <w:i/>
          <w:sz w:val="18"/>
          <w:szCs w:val="18"/>
        </w:rPr>
      </w:pPr>
      <w:proofErr w:type="gramStart"/>
      <w:r w:rsidRPr="0010287C">
        <w:rPr>
          <w:i/>
          <w:sz w:val="18"/>
          <w:szCs w:val="18"/>
          <w:vertAlign w:val="superscript"/>
        </w:rPr>
        <w:t>a</w:t>
      </w:r>
      <w:proofErr w:type="gramEnd"/>
      <w:r w:rsidRPr="0015425F">
        <w:rPr>
          <w:i/>
          <w:sz w:val="18"/>
          <w:szCs w:val="18"/>
        </w:rPr>
        <w:t xml:space="preserve"> </w:t>
      </w:r>
      <w:r w:rsidR="002B2D44" w:rsidRPr="0010287C">
        <w:rPr>
          <w:sz w:val="18"/>
          <w:szCs w:val="18"/>
        </w:rPr>
        <w:t>During the validation process it was recognised that the meaning of the criteria for review had to be clarified. The rating elements have consequently been updated to reflect comments received.</w:t>
      </w:r>
    </w:p>
    <w:p w14:paraId="2A2B48C1" w14:textId="2658EB95" w:rsidR="008D4F7A" w:rsidRPr="008D4F7A" w:rsidRDefault="002D2D39" w:rsidP="008D4F7A">
      <w:pPr>
        <w:pStyle w:val="SingleTxtG"/>
      </w:pPr>
      <w:r>
        <w:t>20</w:t>
      </w:r>
      <w:r w:rsidR="00DA5A3D" w:rsidRPr="00494ED9">
        <w:t>.</w:t>
      </w:r>
      <w:r w:rsidR="00DA5A3D" w:rsidRPr="00494ED9">
        <w:tab/>
      </w:r>
      <w:r w:rsidR="00DA5A3D" w:rsidRPr="00494ED9">
        <w:rPr>
          <w:b/>
        </w:rPr>
        <w:t>Online accessibility</w:t>
      </w:r>
      <w:r w:rsidR="00DA5A3D" w:rsidRPr="00494ED9">
        <w:t xml:space="preserve">. The rating process was performed by giving the value of 1 when the necessary information for each </w:t>
      </w:r>
      <w:r w:rsidR="00D40339">
        <w:t>data set</w:t>
      </w:r>
      <w:r w:rsidR="00DA5A3D" w:rsidRPr="00494ED9">
        <w:t xml:space="preserve"> was found available online and with the value of 0 when it was absent. Each </w:t>
      </w:r>
      <w:r w:rsidR="00D40339">
        <w:t>data set</w:t>
      </w:r>
      <w:r w:rsidR="00DA5A3D" w:rsidRPr="00494ED9">
        <w:t xml:space="preserve"> was </w:t>
      </w:r>
      <w:r w:rsidR="00DA5A3D">
        <w:t>assessed</w:t>
      </w:r>
      <w:r w:rsidR="00DA5A3D" w:rsidRPr="00494ED9">
        <w:t xml:space="preserve"> first in terms of online accessibility and, if the </w:t>
      </w:r>
      <w:r w:rsidR="00D40339">
        <w:t>data set</w:t>
      </w:r>
      <w:r w:rsidR="00DA5A3D" w:rsidRPr="00494ED9">
        <w:t xml:space="preserve"> was accessible online, it was further assessed on the remaining four criteria. If the </w:t>
      </w:r>
      <w:r w:rsidR="00D40339">
        <w:t>data set</w:t>
      </w:r>
      <w:r w:rsidR="00DA5A3D" w:rsidRPr="00494ED9">
        <w:t xml:space="preserve"> was not available online, it could not be assessed and the </w:t>
      </w:r>
      <w:r w:rsidR="00DA5A3D">
        <w:t>review</w:t>
      </w:r>
      <w:r w:rsidR="00DA5A3D" w:rsidRPr="00494ED9">
        <w:t xml:space="preserve"> process </w:t>
      </w:r>
      <w:r w:rsidR="00DA5A3D">
        <w:t>did not go further</w:t>
      </w:r>
      <w:r w:rsidR="00DA5A3D" w:rsidRPr="00494ED9">
        <w:t xml:space="preserve"> for that particular </w:t>
      </w:r>
      <w:r w:rsidR="00D40339">
        <w:t>data set</w:t>
      </w:r>
      <w:r w:rsidR="00DA5A3D" w:rsidRPr="00494ED9">
        <w:t xml:space="preserve">. This resulted in an overall performance score of 0 for the </w:t>
      </w:r>
      <w:r w:rsidR="00D40339">
        <w:t>data set</w:t>
      </w:r>
      <w:r w:rsidR="00DA5A3D" w:rsidRPr="00494ED9">
        <w:t xml:space="preserve"> in these cases.</w:t>
      </w:r>
      <w:r w:rsidR="008D4F7A">
        <w:t xml:space="preserve"> It should be noted that</w:t>
      </w:r>
      <w:r w:rsidR="008D4F7A" w:rsidRPr="008D4F7A">
        <w:rPr>
          <w:color w:val="000000"/>
        </w:rPr>
        <w:t xml:space="preserve"> </w:t>
      </w:r>
      <w:r w:rsidR="008D4F7A">
        <w:rPr>
          <w:color w:val="000000"/>
        </w:rPr>
        <w:t xml:space="preserve">when referring to </w:t>
      </w:r>
      <w:r w:rsidR="008D4F7A" w:rsidRPr="008D4F7A">
        <w:rPr>
          <w:color w:val="000000"/>
        </w:rPr>
        <w:t xml:space="preserve">SEIS development status at </w:t>
      </w:r>
      <w:r w:rsidR="008D4F7A">
        <w:rPr>
          <w:color w:val="000000"/>
        </w:rPr>
        <w:t xml:space="preserve">the </w:t>
      </w:r>
      <w:r w:rsidR="008D4F7A" w:rsidRPr="008D4F7A">
        <w:rPr>
          <w:color w:val="000000"/>
        </w:rPr>
        <w:t>pan-European level</w:t>
      </w:r>
      <w:r w:rsidR="008D4F7A">
        <w:rPr>
          <w:color w:val="000000"/>
        </w:rPr>
        <w:t xml:space="preserve"> it </w:t>
      </w:r>
      <w:r w:rsidR="008D4F7A" w:rsidRPr="008D4F7A">
        <w:rPr>
          <w:color w:val="000000"/>
        </w:rPr>
        <w:t xml:space="preserve">is </w:t>
      </w:r>
      <w:r w:rsidR="008D4F7A">
        <w:rPr>
          <w:color w:val="000000"/>
        </w:rPr>
        <w:t xml:space="preserve">at this stage principally </w:t>
      </w:r>
      <w:r w:rsidR="008D4F7A" w:rsidRPr="008D4F7A">
        <w:rPr>
          <w:color w:val="000000"/>
        </w:rPr>
        <w:t xml:space="preserve">about availability of data on line. </w:t>
      </w:r>
      <w:r w:rsidR="008D4F7A">
        <w:rPr>
          <w:color w:val="000000"/>
        </w:rPr>
        <w:t xml:space="preserve">This issue is recognised and addressed in the extended analysis (see section E) and also considered in the key messages in connection with how to improve the review process. </w:t>
      </w:r>
    </w:p>
    <w:p w14:paraId="5810B6FD" w14:textId="5D45E084" w:rsidR="00DA5A3D" w:rsidRDefault="00023B78" w:rsidP="00E76A33">
      <w:pPr>
        <w:pStyle w:val="SingleTxtG"/>
        <w:rPr>
          <w:color w:val="000000"/>
        </w:rPr>
      </w:pPr>
      <w:r>
        <w:rPr>
          <w:color w:val="000000"/>
        </w:rPr>
        <w:t>21</w:t>
      </w:r>
      <w:r w:rsidR="00DA5A3D" w:rsidRPr="00494ED9">
        <w:rPr>
          <w:color w:val="000000"/>
        </w:rPr>
        <w:t>.</w:t>
      </w:r>
      <w:r w:rsidR="00DA5A3D" w:rsidRPr="00494ED9">
        <w:tab/>
      </w:r>
      <w:r w:rsidR="00DA5A3D" w:rsidRPr="00494ED9">
        <w:rPr>
          <w:color w:val="000000"/>
        </w:rPr>
        <w:t xml:space="preserve">It is </w:t>
      </w:r>
      <w:r w:rsidR="008D4F7A">
        <w:rPr>
          <w:color w:val="000000"/>
        </w:rPr>
        <w:t>also</w:t>
      </w:r>
      <w:r w:rsidR="00DA5A3D" w:rsidRPr="00494ED9">
        <w:rPr>
          <w:color w:val="000000"/>
        </w:rPr>
        <w:t xml:space="preserve"> important to note that all </w:t>
      </w:r>
      <w:r w:rsidR="005100CB">
        <w:rPr>
          <w:color w:val="000000"/>
        </w:rPr>
        <w:t>EEA</w:t>
      </w:r>
      <w:r w:rsidR="00DA5A3D" w:rsidRPr="00494ED9">
        <w:rPr>
          <w:color w:val="000000"/>
        </w:rPr>
        <w:t xml:space="preserve"> </w:t>
      </w:r>
      <w:r w:rsidR="00DA5A3D">
        <w:rPr>
          <w:color w:val="000000"/>
        </w:rPr>
        <w:t>m</w:t>
      </w:r>
      <w:r w:rsidR="00DA5A3D" w:rsidRPr="00494ED9">
        <w:rPr>
          <w:color w:val="000000"/>
        </w:rPr>
        <w:t xml:space="preserve">ember States report their SEIS-related data directly to EEA, often without publishing them on national platforms. These </w:t>
      </w:r>
      <w:r w:rsidR="00D40339">
        <w:rPr>
          <w:color w:val="000000"/>
        </w:rPr>
        <w:t>data set</w:t>
      </w:r>
      <w:r w:rsidR="00DA5A3D">
        <w:rPr>
          <w:color w:val="000000"/>
        </w:rPr>
        <w:t>s</w:t>
      </w:r>
      <w:r w:rsidR="00DA5A3D" w:rsidRPr="00494ED9">
        <w:rPr>
          <w:color w:val="000000"/>
        </w:rPr>
        <w:t xml:space="preserve"> were not considered within the scope of </w:t>
      </w:r>
      <w:r w:rsidR="00DA5A3D">
        <w:rPr>
          <w:color w:val="000000"/>
        </w:rPr>
        <w:t>the present</w:t>
      </w:r>
      <w:r w:rsidR="00DA5A3D" w:rsidRPr="00494ED9">
        <w:rPr>
          <w:color w:val="000000"/>
        </w:rPr>
        <w:t xml:space="preserve"> </w:t>
      </w:r>
      <w:r w:rsidR="00DA5A3D">
        <w:rPr>
          <w:color w:val="000000"/>
        </w:rPr>
        <w:t>review</w:t>
      </w:r>
      <w:r w:rsidR="00DA5A3D" w:rsidRPr="00494ED9">
        <w:rPr>
          <w:color w:val="000000"/>
        </w:rPr>
        <w:t xml:space="preserve"> for two reasons. First</w:t>
      </w:r>
      <w:r w:rsidR="00DA5A3D">
        <w:rPr>
          <w:color w:val="000000"/>
        </w:rPr>
        <w:t>ly</w:t>
      </w:r>
      <w:r w:rsidR="00DA5A3D" w:rsidRPr="00494ED9">
        <w:rPr>
          <w:color w:val="000000"/>
        </w:rPr>
        <w:t xml:space="preserve">, it is not aligned with SEIS principles on data management and accessibility for end-users. </w:t>
      </w:r>
      <w:r w:rsidR="00DA5A3D" w:rsidRPr="00FC74F2">
        <w:rPr>
          <w:color w:val="000000"/>
        </w:rPr>
        <w:t>Publishing information and data through public telecommunication networks is also required in accordance with article 5 of the</w:t>
      </w:r>
      <w:r w:rsidR="005868C8" w:rsidRPr="005868C8">
        <w:t xml:space="preserve"> </w:t>
      </w:r>
      <w:r w:rsidR="005868C8" w:rsidRPr="005868C8">
        <w:rPr>
          <w:color w:val="000000"/>
        </w:rPr>
        <w:t>ECE Convention on Access to Information, Public Participation in Decision-making and Access to Justice in Environmental Matters</w:t>
      </w:r>
      <w:r w:rsidR="00DA5A3D" w:rsidRPr="00FC74F2">
        <w:rPr>
          <w:color w:val="000000"/>
        </w:rPr>
        <w:t xml:space="preserve"> </w:t>
      </w:r>
      <w:r w:rsidR="005868C8">
        <w:rPr>
          <w:color w:val="000000"/>
        </w:rPr>
        <w:t>(</w:t>
      </w:r>
      <w:r w:rsidR="00DA5A3D" w:rsidRPr="00FC74F2">
        <w:rPr>
          <w:color w:val="000000"/>
        </w:rPr>
        <w:t>A</w:t>
      </w:r>
      <w:r w:rsidR="00DA5A3D">
        <w:rPr>
          <w:color w:val="000000"/>
        </w:rPr>
        <w:t>a</w:t>
      </w:r>
      <w:r w:rsidR="00DA5A3D" w:rsidRPr="00FC74F2">
        <w:rPr>
          <w:color w:val="000000"/>
        </w:rPr>
        <w:t>rhus Convention</w:t>
      </w:r>
      <w:r w:rsidR="005868C8">
        <w:rPr>
          <w:color w:val="000000"/>
        </w:rPr>
        <w:t>)</w:t>
      </w:r>
      <w:r w:rsidR="00DA5A3D" w:rsidRPr="00FC74F2">
        <w:rPr>
          <w:color w:val="000000"/>
        </w:rPr>
        <w:t xml:space="preserve">, its </w:t>
      </w:r>
      <w:r w:rsidR="00AE3915">
        <w:rPr>
          <w:color w:val="000000"/>
        </w:rPr>
        <w:t xml:space="preserve">Protocol on </w:t>
      </w:r>
      <w:r w:rsidR="00AE3915" w:rsidRPr="00AE3915">
        <w:rPr>
          <w:color w:val="000000"/>
        </w:rPr>
        <w:t xml:space="preserve">Pollutant Release and Transfer Registers </w:t>
      </w:r>
      <w:r w:rsidR="005868C8">
        <w:rPr>
          <w:color w:val="000000"/>
        </w:rPr>
        <w:t>(</w:t>
      </w:r>
      <w:r w:rsidR="00DA5A3D" w:rsidRPr="00FC74F2">
        <w:rPr>
          <w:color w:val="000000"/>
        </w:rPr>
        <w:t>Protocol on PRTRs</w:t>
      </w:r>
      <w:r w:rsidR="005868C8">
        <w:rPr>
          <w:color w:val="000000"/>
        </w:rPr>
        <w:t>)</w:t>
      </w:r>
      <w:r w:rsidR="00DA5A3D" w:rsidRPr="00FC74F2">
        <w:rPr>
          <w:color w:val="000000"/>
        </w:rPr>
        <w:t xml:space="preserve"> and the Recommen</w:t>
      </w:r>
      <w:r w:rsidR="00DA5A3D">
        <w:rPr>
          <w:color w:val="000000"/>
        </w:rPr>
        <w:t>d</w:t>
      </w:r>
      <w:r w:rsidR="00DA5A3D" w:rsidRPr="00FC74F2">
        <w:rPr>
          <w:color w:val="000000"/>
        </w:rPr>
        <w:t xml:space="preserve">ations </w:t>
      </w:r>
      <w:r w:rsidR="00DA5A3D" w:rsidRPr="00FC74F2">
        <w:t xml:space="preserve">on </w:t>
      </w:r>
      <w:r w:rsidR="00DA5A3D">
        <w:t xml:space="preserve">a </w:t>
      </w:r>
      <w:r w:rsidR="00DA5A3D" w:rsidRPr="00FC74F2">
        <w:t xml:space="preserve">more effective use of electronic information tools. </w:t>
      </w:r>
      <w:r w:rsidR="00DA5A3D" w:rsidRPr="00494ED9">
        <w:rPr>
          <w:color w:val="000000"/>
        </w:rPr>
        <w:t>Second</w:t>
      </w:r>
      <w:r w:rsidR="00DA5A3D">
        <w:rPr>
          <w:color w:val="000000"/>
        </w:rPr>
        <w:t>ly</w:t>
      </w:r>
      <w:r w:rsidR="00DA5A3D" w:rsidRPr="00494ED9">
        <w:rPr>
          <w:color w:val="000000"/>
        </w:rPr>
        <w:t xml:space="preserve">, it was not included in the </w:t>
      </w:r>
      <w:r w:rsidR="00DA5A3D">
        <w:rPr>
          <w:color w:val="000000"/>
        </w:rPr>
        <w:t>review</w:t>
      </w:r>
      <w:r w:rsidR="00DA5A3D" w:rsidRPr="00494ED9">
        <w:rPr>
          <w:color w:val="000000"/>
        </w:rPr>
        <w:t xml:space="preserve"> as it did not comply with the approach approved by </w:t>
      </w:r>
      <w:r w:rsidR="00DA5A3D" w:rsidRPr="00667421">
        <w:rPr>
          <w:color w:val="000000"/>
        </w:rPr>
        <w:t xml:space="preserve">the </w:t>
      </w:r>
      <w:r w:rsidR="00DA5A3D">
        <w:rPr>
          <w:color w:val="000000"/>
        </w:rPr>
        <w:t>Committee</w:t>
      </w:r>
      <w:r w:rsidR="00DA5A3D" w:rsidRPr="00667421">
        <w:rPr>
          <w:color w:val="000000"/>
        </w:rPr>
        <w:t xml:space="preserve"> when </w:t>
      </w:r>
      <w:r w:rsidR="00DA5A3D">
        <w:rPr>
          <w:color w:val="000000"/>
        </w:rPr>
        <w:t>it</w:t>
      </w:r>
      <w:r w:rsidR="00DA5A3D" w:rsidRPr="00667421">
        <w:rPr>
          <w:color w:val="000000"/>
        </w:rPr>
        <w:t xml:space="preserve"> </w:t>
      </w:r>
      <w:r w:rsidR="00DA5A3D" w:rsidRPr="00494ED9">
        <w:rPr>
          <w:color w:val="000000"/>
        </w:rPr>
        <w:t xml:space="preserve">adopted the pan-European SEIS targets and performance indicators. </w:t>
      </w:r>
    </w:p>
    <w:p w14:paraId="1448F276" w14:textId="569E920F" w:rsidR="00DA5A3D" w:rsidRPr="00494ED9" w:rsidRDefault="00023B78" w:rsidP="00E76A33">
      <w:pPr>
        <w:pStyle w:val="SingleTxtG"/>
      </w:pPr>
      <w:r>
        <w:t>22</w:t>
      </w:r>
      <w:r w:rsidR="00DA5A3D" w:rsidRPr="00494ED9">
        <w:t>.</w:t>
      </w:r>
      <w:r w:rsidR="00DA5A3D" w:rsidRPr="00494ED9">
        <w:tab/>
      </w:r>
      <w:r w:rsidR="00DA5A3D" w:rsidRPr="00494ED9">
        <w:rPr>
          <w:b/>
        </w:rPr>
        <w:t>Update regularity</w:t>
      </w:r>
      <w:r w:rsidR="00DA5A3D" w:rsidRPr="00494ED9">
        <w:t xml:space="preserve">. The rating process was performed by giving the value of 1 when time series for each </w:t>
      </w:r>
      <w:r w:rsidR="00D40339">
        <w:t>data set</w:t>
      </w:r>
      <w:r w:rsidR="00DA5A3D" w:rsidRPr="00494ED9">
        <w:t xml:space="preserve"> was provided and when the last series was not older than 2012. This </w:t>
      </w:r>
      <w:r w:rsidR="00DA5A3D">
        <w:t>review criteria</w:t>
      </w:r>
      <w:r w:rsidR="00DA5A3D" w:rsidRPr="00494ED9">
        <w:t xml:space="preserve"> </w:t>
      </w:r>
      <w:r w:rsidR="00DA5A3D">
        <w:rPr>
          <w:color w:val="000000"/>
        </w:rPr>
        <w:t>are</w:t>
      </w:r>
      <w:r w:rsidR="00DA5A3D" w:rsidRPr="00FC74F2">
        <w:t xml:space="preserve"> in </w:t>
      </w:r>
      <w:r w:rsidR="00DA5A3D">
        <w:t>accordance</w:t>
      </w:r>
      <w:r w:rsidR="00DA5A3D" w:rsidRPr="00FC74F2">
        <w:t xml:space="preserve"> with </w:t>
      </w:r>
      <w:r w:rsidR="00DA5A3D" w:rsidRPr="00FC74F2">
        <w:rPr>
          <w:color w:val="000000"/>
        </w:rPr>
        <w:t>SEIS principles on timely access to information and obligations set out in article 5, pa</w:t>
      </w:r>
      <w:r w:rsidR="00DA5A3D">
        <w:rPr>
          <w:color w:val="000000"/>
        </w:rPr>
        <w:t>ra</w:t>
      </w:r>
      <w:r w:rsidR="00DA5A3D" w:rsidRPr="00FC74F2">
        <w:rPr>
          <w:color w:val="000000"/>
        </w:rPr>
        <w:t xml:space="preserve">graphs 1 and 4, of the Aarhus Convention to update environmental information and to publish national reports on the state of the environment </w:t>
      </w:r>
      <w:r w:rsidR="00DA5A3D" w:rsidRPr="00494ED9">
        <w:rPr>
          <w:color w:val="000000"/>
        </w:rPr>
        <w:t>at regular intervals not exceeding three to four years.</w:t>
      </w:r>
      <w:r w:rsidR="00DA5A3D" w:rsidRPr="00494ED9">
        <w:t xml:space="preserve"> Most </w:t>
      </w:r>
      <w:r w:rsidR="00D40339">
        <w:t>data set</w:t>
      </w:r>
      <w:r w:rsidR="00DA5A3D" w:rsidRPr="00494ED9">
        <w:t xml:space="preserve">s are subject to annual update; however, there are some </w:t>
      </w:r>
      <w:r w:rsidR="00D40339">
        <w:t>data set</w:t>
      </w:r>
      <w:r w:rsidR="00DA5A3D" w:rsidRPr="00494ED9">
        <w:t>s for which the period of update is to be further clarified and where availability and accessibility on national websites is dependent on national data policies.</w:t>
      </w:r>
    </w:p>
    <w:p w14:paraId="4D8A5795" w14:textId="787A17E2" w:rsidR="00DA5A3D" w:rsidRPr="00494ED9" w:rsidRDefault="00023B78" w:rsidP="00E76A33">
      <w:pPr>
        <w:pStyle w:val="SingleTxtG"/>
      </w:pPr>
      <w:r>
        <w:t>23</w:t>
      </w:r>
      <w:r w:rsidR="00DA5A3D" w:rsidRPr="00494ED9">
        <w:t>.</w:t>
      </w:r>
      <w:r w:rsidR="00DA5A3D" w:rsidRPr="00494ED9">
        <w:tab/>
      </w:r>
      <w:r w:rsidR="00DA5A3D">
        <w:rPr>
          <w:b/>
        </w:rPr>
        <w:t>P</w:t>
      </w:r>
      <w:r w:rsidR="00DA5A3D" w:rsidRPr="00494ED9">
        <w:rPr>
          <w:b/>
        </w:rPr>
        <w:t>roduction methodology</w:t>
      </w:r>
      <w:r w:rsidR="00DA5A3D" w:rsidRPr="00494ED9">
        <w:t xml:space="preserve">. It has not been possible to rate the application of standard production methodology to a satisfactory </w:t>
      </w:r>
      <w:r w:rsidR="00BF6275" w:rsidRPr="00494ED9">
        <w:t>level,</w:t>
      </w:r>
      <w:r w:rsidR="00DA5A3D" w:rsidRPr="00494ED9">
        <w:t xml:space="preserve"> as </w:t>
      </w:r>
      <w:r w:rsidR="00DA5A3D">
        <w:t>it</w:t>
      </w:r>
      <w:r w:rsidR="00DA5A3D" w:rsidRPr="00494ED9">
        <w:t xml:space="preserve"> could not</w:t>
      </w:r>
      <w:r w:rsidR="00DA5A3D">
        <w:t xml:space="preserve"> be</w:t>
      </w:r>
      <w:r w:rsidR="00DA5A3D" w:rsidRPr="00494ED9">
        <w:t xml:space="preserve"> verif</w:t>
      </w:r>
      <w:r w:rsidR="00DA5A3D">
        <w:t>ied</w:t>
      </w:r>
      <w:r w:rsidR="00DA5A3D" w:rsidRPr="00494ED9">
        <w:t xml:space="preserve"> whether the country-specific methodology was in line with the </w:t>
      </w:r>
      <w:r w:rsidR="00BF6275" w:rsidRPr="00494ED9">
        <w:t>internationally accepted</w:t>
      </w:r>
      <w:r w:rsidR="00DA5A3D" w:rsidRPr="00494ED9">
        <w:t xml:space="preserve"> methodology for each </w:t>
      </w:r>
      <w:r w:rsidR="00D40339">
        <w:t>data set</w:t>
      </w:r>
      <w:r w:rsidR="00DA5A3D" w:rsidRPr="00494ED9">
        <w:t xml:space="preserve">. In this instance, the value of 1 was given if detailed information on the production methodology was made accessible on the national websites. It is foreseen that this </w:t>
      </w:r>
      <w:r w:rsidR="00DA5A3D">
        <w:t>review</w:t>
      </w:r>
      <w:r w:rsidR="00DA5A3D" w:rsidRPr="00494ED9">
        <w:t xml:space="preserve"> criteria may be subject to additional analysis in the </w:t>
      </w:r>
      <w:r w:rsidR="00DA5A3D">
        <w:t>next assessment</w:t>
      </w:r>
      <w:r w:rsidR="00DA5A3D" w:rsidRPr="00494ED9">
        <w:t xml:space="preserve">. </w:t>
      </w:r>
    </w:p>
    <w:p w14:paraId="4F4ECA3E" w14:textId="34725FE8" w:rsidR="00DA5A3D" w:rsidRPr="00494ED9" w:rsidRDefault="00023B78" w:rsidP="00E76A33">
      <w:pPr>
        <w:pStyle w:val="SingleTxtG"/>
      </w:pPr>
      <w:r>
        <w:t>24</w:t>
      </w:r>
      <w:r w:rsidR="00DA5A3D" w:rsidRPr="00494ED9">
        <w:t>.</w:t>
      </w:r>
      <w:r w:rsidR="00DA5A3D" w:rsidRPr="00494ED9">
        <w:tab/>
      </w:r>
      <w:r w:rsidR="00DA5A3D" w:rsidRPr="00494ED9">
        <w:rPr>
          <w:b/>
        </w:rPr>
        <w:t xml:space="preserve">Data </w:t>
      </w:r>
      <w:r w:rsidR="00DA5A3D">
        <w:rPr>
          <w:b/>
        </w:rPr>
        <w:t>interpretation</w:t>
      </w:r>
      <w:r w:rsidR="00DA5A3D" w:rsidRPr="00494ED9">
        <w:rPr>
          <w:b/>
        </w:rPr>
        <w:t xml:space="preserve"> and use</w:t>
      </w:r>
      <w:r w:rsidR="00DA5A3D" w:rsidRPr="00494ED9">
        <w:t xml:space="preserve">. It has not been possible to rate the quality of the content available for each </w:t>
      </w:r>
      <w:r w:rsidR="00D40339">
        <w:t>data set</w:t>
      </w:r>
      <w:r w:rsidR="00DA5A3D" w:rsidRPr="00494ED9">
        <w:t xml:space="preserve">, i.e. </w:t>
      </w:r>
      <w:r w:rsidR="00DA5A3D">
        <w:t xml:space="preserve">how the data was interpreted and used (e.g. for </w:t>
      </w:r>
      <w:r w:rsidR="00743D21">
        <w:t>s</w:t>
      </w:r>
      <w:r w:rsidR="00DA5A3D" w:rsidRPr="00FE43DB">
        <w:t>tate</w:t>
      </w:r>
      <w:r w:rsidR="00743D21">
        <w:t>-of-the-e</w:t>
      </w:r>
      <w:r w:rsidR="00DA5A3D" w:rsidRPr="00FE43DB">
        <w:t xml:space="preserve">nvironment </w:t>
      </w:r>
      <w:r w:rsidR="00DA5A3D">
        <w:t>r</w:t>
      </w:r>
      <w:r w:rsidR="00DA5A3D" w:rsidRPr="00FE43DB">
        <w:t>eporting</w:t>
      </w:r>
      <w:r w:rsidR="00DA5A3D">
        <w:t xml:space="preserve">) or </w:t>
      </w:r>
      <w:r w:rsidR="00DA5A3D" w:rsidRPr="00494ED9">
        <w:t xml:space="preserve">whether it </w:t>
      </w:r>
      <w:r w:rsidR="00DA5A3D">
        <w:t xml:space="preserve">was used to </w:t>
      </w:r>
      <w:r w:rsidR="00DA5A3D" w:rsidRPr="00FE43DB">
        <w:t>answer key policy questions</w:t>
      </w:r>
      <w:r w:rsidR="00DA5A3D">
        <w:t xml:space="preserve"> and/or used to support environmental policy making</w:t>
      </w:r>
      <w:r w:rsidR="00DA5A3D" w:rsidRPr="00494ED9">
        <w:t xml:space="preserve"> </w:t>
      </w:r>
      <w:r w:rsidR="00DA5A3D">
        <w:t>(e.g. setting policy targets) as well as</w:t>
      </w:r>
      <w:r w:rsidR="00DA5A3D" w:rsidRPr="00494ED9">
        <w:t xml:space="preserve"> </w:t>
      </w:r>
      <w:r w:rsidR="00DA5A3D">
        <w:t xml:space="preserve">taking into account </w:t>
      </w:r>
      <w:r w:rsidR="00DA5A3D" w:rsidRPr="00494ED9">
        <w:t xml:space="preserve">whether data </w:t>
      </w:r>
      <w:r w:rsidR="00DA5A3D">
        <w:t>interpretations</w:t>
      </w:r>
      <w:r w:rsidR="00DA5A3D" w:rsidRPr="00494ED9">
        <w:t xml:space="preserve"> were </w:t>
      </w:r>
      <w:r w:rsidR="00DA5A3D">
        <w:t xml:space="preserve">made </w:t>
      </w:r>
      <w:r w:rsidR="00DA5A3D" w:rsidRPr="00494ED9">
        <w:t xml:space="preserve">available in </w:t>
      </w:r>
      <w:r w:rsidR="00DA5A3D">
        <w:t>other</w:t>
      </w:r>
      <w:r w:rsidR="00DA5A3D" w:rsidRPr="00494ED9">
        <w:t xml:space="preserve"> international language</w:t>
      </w:r>
      <w:r w:rsidR="00DA5A3D">
        <w:t>s</w:t>
      </w:r>
      <w:r w:rsidR="00DA5A3D" w:rsidRPr="00494ED9">
        <w:t xml:space="preserve"> (English or Russian). In this instance, the value of 1 was given if any information on the </w:t>
      </w:r>
      <w:r w:rsidR="00D40339">
        <w:t>data set</w:t>
      </w:r>
      <w:r w:rsidR="00DA5A3D" w:rsidRPr="00494ED9">
        <w:t xml:space="preserve"> was provided. The issue of online accessibility and data </w:t>
      </w:r>
      <w:r w:rsidR="00DA5A3D">
        <w:t>interpretation</w:t>
      </w:r>
      <w:r w:rsidR="00DA5A3D" w:rsidRPr="00494ED9">
        <w:t xml:space="preserve"> and use has been subject to an extended analysis that is presented in </w:t>
      </w:r>
      <w:r w:rsidR="00DA5A3D">
        <w:t>s</w:t>
      </w:r>
      <w:r w:rsidR="00DA5A3D" w:rsidRPr="00494ED9">
        <w:t>ection E below.</w:t>
      </w:r>
    </w:p>
    <w:p w14:paraId="1CB18192" w14:textId="520BC55F" w:rsidR="00DA5A3D" w:rsidRPr="00494ED9" w:rsidRDefault="00023B78" w:rsidP="00E76A33">
      <w:pPr>
        <w:pStyle w:val="SingleTxtG"/>
        <w:rPr>
          <w:color w:val="000000"/>
        </w:rPr>
      </w:pPr>
      <w:r>
        <w:t>25</w:t>
      </w:r>
      <w:r w:rsidR="00DA5A3D" w:rsidRPr="00494ED9">
        <w:t>.</w:t>
      </w:r>
      <w:r w:rsidR="00DA5A3D" w:rsidRPr="00494ED9">
        <w:tab/>
      </w:r>
      <w:r w:rsidR="00DA5A3D" w:rsidRPr="00494ED9">
        <w:rPr>
          <w:b/>
        </w:rPr>
        <w:t>Data sources</w:t>
      </w:r>
      <w:r w:rsidR="00DA5A3D" w:rsidRPr="00494ED9">
        <w:t xml:space="preserve">. The rating process was performed by giving the value of 1 when the institution responsible and contact </w:t>
      </w:r>
      <w:proofErr w:type="gramStart"/>
      <w:r w:rsidR="00DA5A3D" w:rsidRPr="00494ED9">
        <w:t xml:space="preserve">details for each </w:t>
      </w:r>
      <w:r w:rsidR="00D40339">
        <w:t>data set</w:t>
      </w:r>
      <w:r w:rsidR="00DA5A3D" w:rsidRPr="00494ED9">
        <w:t xml:space="preserve"> was</w:t>
      </w:r>
      <w:proofErr w:type="gramEnd"/>
      <w:r w:rsidR="00DA5A3D" w:rsidRPr="00494ED9">
        <w:t xml:space="preserve"> made available. This </w:t>
      </w:r>
      <w:r w:rsidR="00DA5A3D">
        <w:t>review</w:t>
      </w:r>
      <w:r w:rsidR="00DA5A3D" w:rsidRPr="00494ED9">
        <w:t xml:space="preserve"> criteria is in line with </w:t>
      </w:r>
      <w:r w:rsidR="00DA5A3D" w:rsidRPr="00494ED9">
        <w:rPr>
          <w:color w:val="000000"/>
        </w:rPr>
        <w:t xml:space="preserve">SEIS principles on accessibility of data to end-users, </w:t>
      </w:r>
      <w:r w:rsidR="00DA5A3D" w:rsidRPr="00FC74F2">
        <w:rPr>
          <w:color w:val="000000"/>
        </w:rPr>
        <w:t>including public authorities, the public and other stakeholders, and obligations under articles 3 and 5, paragraph 2 (b), of the A</w:t>
      </w:r>
      <w:r w:rsidR="00DA5A3D">
        <w:rPr>
          <w:color w:val="000000"/>
        </w:rPr>
        <w:t>a</w:t>
      </w:r>
      <w:r w:rsidR="00DA5A3D" w:rsidRPr="00FC74F2">
        <w:rPr>
          <w:color w:val="000000"/>
        </w:rPr>
        <w:t>rhus Convention to provide support and guidance to the public in seeking access to information as well as to identify points of contact</w:t>
      </w:r>
      <w:r w:rsidR="00DA5A3D">
        <w:rPr>
          <w:color w:val="000000"/>
        </w:rPr>
        <w:t>.</w:t>
      </w:r>
    </w:p>
    <w:p w14:paraId="60C477BB" w14:textId="114FBBBB" w:rsidR="00DA5A3D" w:rsidRPr="00494ED9" w:rsidRDefault="00023B78" w:rsidP="00E76A33">
      <w:pPr>
        <w:pStyle w:val="SingleTxtG"/>
      </w:pPr>
      <w:r>
        <w:t>26</w:t>
      </w:r>
      <w:r w:rsidR="00DA5A3D" w:rsidRPr="00494ED9">
        <w:t>.</w:t>
      </w:r>
      <w:r w:rsidR="00DA5A3D" w:rsidRPr="00494ED9">
        <w:tab/>
        <w:t xml:space="preserve">Each </w:t>
      </w:r>
      <w:r w:rsidR="00DA5A3D">
        <w:t>criteria for review</w:t>
      </w:r>
      <w:r w:rsidR="00DA5A3D" w:rsidRPr="00494ED9">
        <w:t xml:space="preserve"> was given equal weight when assessing the effective production and sharing of the </w:t>
      </w:r>
      <w:r w:rsidR="00D40339">
        <w:t>data set</w:t>
      </w:r>
      <w:r w:rsidR="00DA5A3D" w:rsidRPr="00494ED9">
        <w:t>s. This makes up the overall performance score, which is presented as a quantitative measurement in per cent, referring to the pan-European countries’ progres</w:t>
      </w:r>
      <w:r w:rsidR="00360899">
        <w:t>s in developing the SEIS.</w:t>
      </w:r>
    </w:p>
    <w:p w14:paraId="6C323BE3" w14:textId="0BB96148" w:rsidR="00DA5A3D" w:rsidRPr="00494ED9" w:rsidRDefault="00DA5A3D" w:rsidP="00E76A33">
      <w:pPr>
        <w:pStyle w:val="SingleTxtG"/>
      </w:pPr>
      <w:r w:rsidRPr="00494ED9">
        <w:t>2</w:t>
      </w:r>
      <w:r w:rsidR="00023B78">
        <w:t>7</w:t>
      </w:r>
      <w:r w:rsidRPr="00494ED9">
        <w:t>.</w:t>
      </w:r>
      <w:r w:rsidRPr="00494ED9">
        <w:tab/>
        <w:t xml:space="preserve">As part of the </w:t>
      </w:r>
      <w:r>
        <w:t>review process</w:t>
      </w:r>
      <w:r w:rsidRPr="00494ED9">
        <w:t xml:space="preserve"> leading up to this report</w:t>
      </w:r>
      <w:r>
        <w:t>, consultations with partners and countries</w:t>
      </w:r>
      <w:r w:rsidRPr="00494ED9">
        <w:t xml:space="preserve"> and the regular reporting mechanism, </w:t>
      </w:r>
      <w:r>
        <w:t xml:space="preserve">it was considered that </w:t>
      </w:r>
      <w:r w:rsidRPr="00494ED9">
        <w:t xml:space="preserve">a rating value of 0 or 1 for online accessibility does not fully reflect the diversity of how </w:t>
      </w:r>
      <w:r w:rsidR="00D40339">
        <w:t>data set</w:t>
      </w:r>
      <w:r w:rsidRPr="00494ED9">
        <w:t xml:space="preserve">s and related information </w:t>
      </w:r>
      <w:r>
        <w:t>are</w:t>
      </w:r>
      <w:r w:rsidRPr="00494ED9">
        <w:t xml:space="preserve"> published in practice. This recognition has been addressed by complementing the present </w:t>
      </w:r>
      <w:r>
        <w:t>review</w:t>
      </w:r>
      <w:r w:rsidRPr="00494ED9">
        <w:t xml:space="preserve"> with an extended analysis that </w:t>
      </w:r>
      <w:r>
        <w:t>describes</w:t>
      </w:r>
      <w:r w:rsidRPr="00494ED9">
        <w:t xml:space="preserve"> the online sharing of the agreed </w:t>
      </w:r>
      <w:r w:rsidR="00D40339">
        <w:t>data set</w:t>
      </w:r>
      <w:r w:rsidRPr="00494ED9">
        <w:t xml:space="preserve">s and related information more </w:t>
      </w:r>
      <w:r>
        <w:t>fully</w:t>
      </w:r>
      <w:r w:rsidRPr="00494ED9">
        <w:t xml:space="preserve">. The intent has not been to change the </w:t>
      </w:r>
      <w:r>
        <w:t>criteria for review</w:t>
      </w:r>
      <w:r w:rsidRPr="00494ED9">
        <w:t xml:space="preserve"> </w:t>
      </w:r>
      <w:r>
        <w:t xml:space="preserve">agreed by the Committee </w:t>
      </w:r>
      <w:r w:rsidRPr="00494ED9">
        <w:t>but to expand on what online accessib</w:t>
      </w:r>
      <w:r w:rsidR="00360899">
        <w:t>ility means in practical terms.</w:t>
      </w:r>
    </w:p>
    <w:p w14:paraId="5E307670" w14:textId="15C29E3D" w:rsidR="00DA5A3D" w:rsidRPr="00494ED9" w:rsidRDefault="00023B78" w:rsidP="00E76A33">
      <w:pPr>
        <w:pStyle w:val="SingleTxtG"/>
      </w:pPr>
      <w:r>
        <w:t>28</w:t>
      </w:r>
      <w:r w:rsidR="00DA5A3D" w:rsidRPr="00494ED9">
        <w:t>.</w:t>
      </w:r>
      <w:r w:rsidR="00DA5A3D" w:rsidRPr="00494ED9">
        <w:tab/>
      </w:r>
      <w:r w:rsidR="00DA5A3D">
        <w:t>T</w:t>
      </w:r>
      <w:r w:rsidR="00DA5A3D" w:rsidRPr="00494ED9">
        <w:t>en case-studies</w:t>
      </w:r>
      <w:r w:rsidR="000B032D">
        <w:rPr>
          <w:rStyle w:val="FootnoteReference"/>
        </w:rPr>
        <w:footnoteReference w:id="10"/>
      </w:r>
      <w:r w:rsidR="00DA5A3D" w:rsidRPr="009E52C7">
        <w:t xml:space="preserve"> </w:t>
      </w:r>
      <w:r w:rsidR="00DA5A3D">
        <w:t xml:space="preserve">were carried out </w:t>
      </w:r>
      <w:r w:rsidR="00DA5A3D" w:rsidRPr="009E52C7">
        <w:t xml:space="preserve">on the online accessibility of the environmental </w:t>
      </w:r>
      <w:r w:rsidR="00D40339">
        <w:t>data set</w:t>
      </w:r>
      <w:r w:rsidR="00DA5A3D" w:rsidRPr="009E52C7">
        <w:t xml:space="preserve">s on the national </w:t>
      </w:r>
      <w:r w:rsidR="00DA5A3D" w:rsidRPr="00494ED9">
        <w:t xml:space="preserve">websites in the countries of the pan-European region to increase the input and quality of the obtained information as </w:t>
      </w:r>
      <w:r w:rsidR="00DA5A3D">
        <w:t>p</w:t>
      </w:r>
      <w:r w:rsidR="00DA5A3D" w:rsidRPr="00494ED9">
        <w:t>resented</w:t>
      </w:r>
      <w:r w:rsidR="00DA5A3D">
        <w:t xml:space="preserve"> in s</w:t>
      </w:r>
      <w:r w:rsidR="00DA5A3D" w:rsidRPr="00494ED9">
        <w:t>ection E</w:t>
      </w:r>
      <w:r w:rsidR="00DA5A3D">
        <w:t xml:space="preserve"> below</w:t>
      </w:r>
      <w:r w:rsidR="00DA5A3D" w:rsidRPr="00494ED9">
        <w:t>.</w:t>
      </w:r>
      <w:r w:rsidR="00DA5A3D">
        <w:t xml:space="preserve"> </w:t>
      </w:r>
      <w:r w:rsidR="00DA5A3D" w:rsidRPr="00494ED9">
        <w:t xml:space="preserve">This was achieved by evaluating in how many languages each national </w:t>
      </w:r>
      <w:r w:rsidR="00D40339">
        <w:t>data set</w:t>
      </w:r>
      <w:r w:rsidR="00DA5A3D" w:rsidRPr="00494ED9">
        <w:t xml:space="preserve"> and related information was published, across how many online platforms, in what formats the </w:t>
      </w:r>
      <w:r w:rsidR="00D40339">
        <w:t>data set</w:t>
      </w:r>
      <w:r w:rsidR="00DA5A3D" w:rsidRPr="00494ED9">
        <w:t xml:space="preserve">s and related information was published, and the user-friendliness of each online platform. These additional </w:t>
      </w:r>
      <w:r w:rsidR="00DA5A3D">
        <w:t>review</w:t>
      </w:r>
      <w:r w:rsidR="00DA5A3D" w:rsidRPr="00494ED9">
        <w:t xml:space="preserve"> questions have been added as part of a composite that make up the overall rating of 1 for online accessibility, corresponding to 20 per cent of the overall performance score </w:t>
      </w:r>
      <w:r w:rsidR="00DA5A3D" w:rsidRPr="00667421">
        <w:t>(</w:t>
      </w:r>
      <w:r w:rsidR="00DA5A3D">
        <w:t>s</w:t>
      </w:r>
      <w:r w:rsidR="00DA5A3D" w:rsidRPr="00667421">
        <w:t xml:space="preserve">ee </w:t>
      </w:r>
      <w:r w:rsidR="00DA5A3D">
        <w:t>the three a</w:t>
      </w:r>
      <w:r w:rsidR="00DA5A3D" w:rsidRPr="00667421">
        <w:t>nnex</w:t>
      </w:r>
      <w:r w:rsidR="00DA5A3D">
        <w:t>es to the current document)</w:t>
      </w:r>
      <w:r w:rsidR="00DA5A3D" w:rsidRPr="00667421">
        <w:t>.</w:t>
      </w:r>
    </w:p>
    <w:p w14:paraId="043C9403" w14:textId="77777777" w:rsidR="00DA5A3D" w:rsidRPr="00494ED9" w:rsidRDefault="00023B78" w:rsidP="00023B78">
      <w:pPr>
        <w:pStyle w:val="H1G"/>
      </w:pPr>
      <w:bookmarkStart w:id="112" w:name="_Toc440461425"/>
      <w:r>
        <w:tab/>
        <w:t>B.</w:t>
      </w:r>
      <w:r>
        <w:tab/>
      </w:r>
      <w:r w:rsidR="00DA5A3D" w:rsidRPr="00494ED9">
        <w:t xml:space="preserve">Progress in data collection and in </w:t>
      </w:r>
      <w:r w:rsidR="00DA5A3D" w:rsidRPr="00667421">
        <w:t xml:space="preserve">establishing </w:t>
      </w:r>
      <w:r w:rsidR="00DA5A3D">
        <w:t xml:space="preserve">the </w:t>
      </w:r>
      <w:r w:rsidR="00DA5A3D" w:rsidRPr="00CA1E58">
        <w:t>Shared Environmental Information System</w:t>
      </w:r>
      <w:bookmarkEnd w:id="112"/>
    </w:p>
    <w:p w14:paraId="2306EB18" w14:textId="663D4294" w:rsidR="00DA5A3D" w:rsidRDefault="00DA5A3D" w:rsidP="00360899">
      <w:pPr>
        <w:pStyle w:val="SingleTxtG"/>
      </w:pPr>
      <w:r w:rsidRPr="00494ED9">
        <w:t>2</w:t>
      </w:r>
      <w:r w:rsidR="00360899">
        <w:t>9</w:t>
      </w:r>
      <w:r w:rsidRPr="00494ED9">
        <w:t>.</w:t>
      </w:r>
      <w:r w:rsidRPr="00494ED9">
        <w:tab/>
        <w:t xml:space="preserve">The </w:t>
      </w:r>
      <w:r>
        <w:t>secretariat</w:t>
      </w:r>
      <w:r w:rsidRPr="00494ED9">
        <w:t xml:space="preserve"> has </w:t>
      </w:r>
      <w:r>
        <w:t>assessed</w:t>
      </w:r>
      <w:r w:rsidRPr="00494ED9">
        <w:t xml:space="preserve"> the performance of each country by thematic area, </w:t>
      </w:r>
      <w:r w:rsidR="00D40339">
        <w:t>data set</w:t>
      </w:r>
      <w:r w:rsidRPr="00494ED9">
        <w:t xml:space="preserve"> and </w:t>
      </w:r>
      <w:r>
        <w:t>review</w:t>
      </w:r>
      <w:r w:rsidRPr="00494ED9">
        <w:t xml:space="preserve"> criteria. It has been important to study each of these components since the pan-European SEIS, which organizes, regulates and coordinates the pan-European environmental knowledge base, should provide data and information for the generation of assessments, whether for the environment as a whole or for each thematic area.</w:t>
      </w:r>
    </w:p>
    <w:p w14:paraId="5B75AD71" w14:textId="57301F5A" w:rsidR="00DA5A3D" w:rsidRPr="009E52C7" w:rsidRDefault="00360899" w:rsidP="00360899">
      <w:pPr>
        <w:pStyle w:val="SingleTxtG"/>
        <w:rPr>
          <w:color w:val="000000"/>
        </w:rPr>
      </w:pPr>
      <w:r>
        <w:t>30</w:t>
      </w:r>
      <w:r w:rsidR="00DA5A3D" w:rsidRPr="00494ED9">
        <w:t>.</w:t>
      </w:r>
      <w:r w:rsidR="00DA5A3D" w:rsidRPr="00494ED9">
        <w:tab/>
      </w:r>
      <w:r w:rsidR="00DA5A3D" w:rsidRPr="00494ED9">
        <w:rPr>
          <w:color w:val="000000"/>
        </w:rPr>
        <w:t xml:space="preserve">The availability and accessibility of the 67 SEIS </w:t>
      </w:r>
      <w:r w:rsidR="00D40339">
        <w:rPr>
          <w:color w:val="000000"/>
        </w:rPr>
        <w:t>data set</w:t>
      </w:r>
      <w:r w:rsidR="00DA5A3D" w:rsidRPr="00494ED9">
        <w:rPr>
          <w:color w:val="000000"/>
        </w:rPr>
        <w:t>s and related information has been rated for 53 pan-European countries:</w:t>
      </w:r>
      <w:r w:rsidR="00DA5A3D" w:rsidRPr="00494ED9">
        <w:rPr>
          <w:color w:val="000000"/>
          <w:spacing w:val="-3"/>
        </w:rPr>
        <w:t xml:space="preserve"> Albania, Armenia, Austria, Azerbaijan, Belarus, Belgium, Bosnia and Herzegovina, Bulgaria, Canada, Croatia, Cyprus, Czech Republic, Denmark, Estonia, Finland, France, Georgia, Germany, Greece, Hungary, Iceland, Ireland</w:t>
      </w:r>
      <w:r w:rsidR="00DA5A3D" w:rsidRPr="00494ED9">
        <w:rPr>
          <w:color w:val="000000"/>
        </w:rPr>
        <w:t xml:space="preserve">, </w:t>
      </w:r>
      <w:r w:rsidR="00DA5A3D" w:rsidRPr="00494ED9">
        <w:rPr>
          <w:color w:val="000000"/>
          <w:spacing w:val="-3"/>
        </w:rPr>
        <w:t>Israel, Italy, Kazakhstan, Kyrgyzstan, Latvia, Liechtenstein, Lithuania, Luxembourg, Malta, Montenegro, Netherlands, Norway, Poland, Portugal, Republic of Moldova, Romania, Russian Federation, Serbia, Slovak Republic, Slovenia, Spain</w:t>
      </w:r>
      <w:r w:rsidR="00DA5A3D" w:rsidRPr="00494ED9">
        <w:rPr>
          <w:color w:val="000000"/>
        </w:rPr>
        <w:t>,</w:t>
      </w:r>
      <w:r w:rsidR="00DA5A3D" w:rsidRPr="00494ED9">
        <w:rPr>
          <w:color w:val="000000"/>
          <w:spacing w:val="-3"/>
        </w:rPr>
        <w:t xml:space="preserve"> Sweden, Switzerland, Tajikistan, the former Yugoslav Republic of Macedonia, Turkey, Turkmenistan, Ukraine, United Kingdom, United States and Uzbekistan </w:t>
      </w:r>
      <w:r w:rsidR="00DA5A3D" w:rsidRPr="00494ED9">
        <w:rPr>
          <w:color w:val="000000"/>
        </w:rPr>
        <w:t>as well as Kosovo.</w:t>
      </w:r>
      <w:r w:rsidR="000B032D">
        <w:rPr>
          <w:rStyle w:val="FootnoteReference"/>
          <w:color w:val="000000"/>
        </w:rPr>
        <w:footnoteReference w:id="11"/>
      </w:r>
    </w:p>
    <w:p w14:paraId="4C8BAAF5" w14:textId="6C2F95A3" w:rsidR="00DA5A3D" w:rsidRPr="00494ED9" w:rsidRDefault="00360899" w:rsidP="00360899">
      <w:pPr>
        <w:pStyle w:val="SingleTxtG"/>
      </w:pPr>
      <w:r>
        <w:rPr>
          <w:color w:val="000000"/>
        </w:rPr>
        <w:t>31</w:t>
      </w:r>
      <w:r w:rsidR="00DA5A3D" w:rsidRPr="00494ED9">
        <w:t>.</w:t>
      </w:r>
      <w:r w:rsidR="00DA5A3D" w:rsidRPr="00494ED9">
        <w:tab/>
        <w:t xml:space="preserve">Each country has been invited to </w:t>
      </w:r>
      <w:r w:rsidR="00DA5A3D">
        <w:t>validate</w:t>
      </w:r>
      <w:r w:rsidR="00DA5A3D" w:rsidRPr="00494ED9">
        <w:t xml:space="preserve"> the results from the </w:t>
      </w:r>
      <w:r w:rsidR="00DA5A3D">
        <w:t>review</w:t>
      </w:r>
      <w:r w:rsidR="00DA5A3D" w:rsidRPr="00494ED9">
        <w:t xml:space="preserve">. </w:t>
      </w:r>
      <w:r w:rsidR="00DA5A3D" w:rsidRPr="00667421">
        <w:t xml:space="preserve">At the time of preparation of </w:t>
      </w:r>
      <w:r w:rsidR="00DA5A3D">
        <w:t>the current document</w:t>
      </w:r>
      <w:r w:rsidR="00DA5A3D" w:rsidRPr="00494ED9">
        <w:t>, 22</w:t>
      </w:r>
      <w:r w:rsidR="000B032D">
        <w:rPr>
          <w:rStyle w:val="FootnoteReference"/>
        </w:rPr>
        <w:footnoteReference w:id="12"/>
      </w:r>
      <w:r w:rsidR="00DA5A3D" w:rsidRPr="00494ED9">
        <w:t xml:space="preserve"> countries</w:t>
      </w:r>
      <w:r w:rsidR="00DA5A3D" w:rsidRPr="009E52C7">
        <w:t xml:space="preserve"> </w:t>
      </w:r>
      <w:r w:rsidR="00DA5A3D">
        <w:t>have</w:t>
      </w:r>
      <w:r w:rsidR="00DA5A3D" w:rsidRPr="009E52C7">
        <w:t xml:space="preserve"> </w:t>
      </w:r>
      <w:r w:rsidR="00DA5A3D" w:rsidRPr="00494ED9">
        <w:t xml:space="preserve">as of December 2015 provided the </w:t>
      </w:r>
      <w:r w:rsidR="00DA5A3D">
        <w:t>secretariat</w:t>
      </w:r>
      <w:r w:rsidR="00DA5A3D" w:rsidRPr="00494ED9">
        <w:t xml:space="preserve"> with their comments and in doing so validated their SEIS status in relation to the 67 </w:t>
      </w:r>
      <w:r w:rsidR="00D40339">
        <w:t>data set</w:t>
      </w:r>
      <w:r w:rsidR="00DA5A3D" w:rsidRPr="00494ED9">
        <w:t>s as well as the overall results presented below and in following sections. An additional nine</w:t>
      </w:r>
      <w:r w:rsidR="000B032D">
        <w:rPr>
          <w:rStyle w:val="FootnoteReference"/>
        </w:rPr>
        <w:footnoteReference w:id="13"/>
      </w:r>
      <w:r w:rsidR="00DA5A3D" w:rsidRPr="009E52C7">
        <w:t xml:space="preserve"> countries are</w:t>
      </w:r>
      <w:r w:rsidR="00DA5A3D" w:rsidRPr="00494ED9">
        <w:t xml:space="preserve"> presently reviewing the data but have not yet sent their feedback to the </w:t>
      </w:r>
      <w:r w:rsidR="00DA5A3D">
        <w:t>secretariat</w:t>
      </w:r>
      <w:r w:rsidR="000B032D">
        <w:t>.</w:t>
      </w:r>
    </w:p>
    <w:p w14:paraId="252A49DA" w14:textId="250349B1" w:rsidR="00DA5A3D" w:rsidRPr="00494ED9" w:rsidRDefault="00360899" w:rsidP="00360899">
      <w:pPr>
        <w:pStyle w:val="SingleTxtG"/>
      </w:pPr>
      <w:r>
        <w:t>32</w:t>
      </w:r>
      <w:r w:rsidR="00DA5A3D" w:rsidRPr="00494ED9">
        <w:t>.</w:t>
      </w:r>
      <w:r w:rsidR="00DA5A3D" w:rsidRPr="00494ED9">
        <w:tab/>
        <w:t xml:space="preserve">The </w:t>
      </w:r>
      <w:r w:rsidR="00DA5A3D">
        <w:t>review</w:t>
      </w:r>
      <w:r w:rsidR="00DA5A3D" w:rsidRPr="00494ED9">
        <w:t xml:space="preserve"> establish</w:t>
      </w:r>
      <w:r w:rsidR="00DA5A3D">
        <w:t>es</w:t>
      </w:r>
      <w:r w:rsidR="00DA5A3D" w:rsidRPr="00494ED9">
        <w:t xml:space="preserve"> that out of the 67 SEIS-related </w:t>
      </w:r>
      <w:r w:rsidR="00D40339">
        <w:t>data set</w:t>
      </w:r>
      <w:r w:rsidR="00DA5A3D" w:rsidRPr="00494ED9">
        <w:t xml:space="preserve">s under </w:t>
      </w:r>
      <w:r w:rsidR="00DA5A3D">
        <w:t>investigation</w:t>
      </w:r>
      <w:r w:rsidR="00DA5A3D" w:rsidRPr="00494ED9">
        <w:t>, 51 per cent were</w:t>
      </w:r>
      <w:r w:rsidR="00DA5A3D">
        <w:t>,</w:t>
      </w:r>
      <w:r w:rsidR="00DA5A3D" w:rsidRPr="00494ED9">
        <w:t xml:space="preserve"> as an overall average</w:t>
      </w:r>
      <w:r w:rsidR="00DA5A3D">
        <w:t>,</w:t>
      </w:r>
      <w:r w:rsidR="00DA5A3D" w:rsidRPr="00494ED9">
        <w:t xml:space="preserve"> available across all national websites for 53</w:t>
      </w:r>
      <w:r w:rsidR="000B032D">
        <w:rPr>
          <w:rStyle w:val="FootnoteReference"/>
        </w:rPr>
        <w:footnoteReference w:id="14"/>
      </w:r>
      <w:r w:rsidR="00DA5A3D" w:rsidRPr="00494ED9">
        <w:t xml:space="preserve"> </w:t>
      </w:r>
      <w:r w:rsidR="00DA5A3D">
        <w:t xml:space="preserve">of the </w:t>
      </w:r>
      <w:r w:rsidR="00717500">
        <w:t>ECE</w:t>
      </w:r>
      <w:r w:rsidR="00DA5A3D">
        <w:t xml:space="preserve"> member States and Kosovo</w:t>
      </w:r>
      <w:r w:rsidR="00DA5A3D" w:rsidRPr="00494ED9">
        <w:t>.</w:t>
      </w:r>
    </w:p>
    <w:p w14:paraId="626009A8" w14:textId="6B7ABB02" w:rsidR="00DA5A3D" w:rsidRPr="00494ED9" w:rsidRDefault="00360899" w:rsidP="00360899">
      <w:pPr>
        <w:pStyle w:val="SingleTxtG"/>
      </w:pPr>
      <w:r>
        <w:t>33</w:t>
      </w:r>
      <w:r w:rsidR="00DA5A3D" w:rsidRPr="00494ED9">
        <w:t>.</w:t>
      </w:r>
      <w:r w:rsidR="00DA5A3D" w:rsidRPr="00494ED9">
        <w:tab/>
        <w:t xml:space="preserve">There are several member States where nearly all, or a majority, of the 67 </w:t>
      </w:r>
      <w:r w:rsidR="00D40339">
        <w:t>data set</w:t>
      </w:r>
      <w:r w:rsidR="00DA5A3D" w:rsidRPr="00494ED9">
        <w:t xml:space="preserve">s were found to be available and accessible online. These include Armenia, Austria, Belarus, Ireland, Italy, Kazakhstan, Russian Federation, Republic of Moldova, Slovakia and Sweden. There are also several countries for which none or only a few </w:t>
      </w:r>
      <w:r w:rsidR="00D40339">
        <w:t>data set</w:t>
      </w:r>
      <w:r w:rsidR="00DA5A3D" w:rsidRPr="00494ED9">
        <w:t xml:space="preserve">s were available on national websites. These countries are still expected to validate the </w:t>
      </w:r>
      <w:r w:rsidR="00DA5A3D">
        <w:t>review</w:t>
      </w:r>
      <w:r w:rsidR="00DA5A3D" w:rsidRPr="00494ED9">
        <w:t xml:space="preserve"> and to confirm their SEIS performance status. The results are for this reason expected to change.</w:t>
      </w:r>
    </w:p>
    <w:p w14:paraId="195F6D97" w14:textId="5E652825" w:rsidR="00DA5A3D" w:rsidRPr="00494ED9" w:rsidRDefault="00360899" w:rsidP="00360899">
      <w:pPr>
        <w:pStyle w:val="SingleTxtG"/>
      </w:pPr>
      <w:r>
        <w:t>34</w:t>
      </w:r>
      <w:r w:rsidR="00DA5A3D" w:rsidRPr="00494ED9">
        <w:t>.</w:t>
      </w:r>
      <w:r w:rsidR="00DA5A3D" w:rsidRPr="00494ED9">
        <w:tab/>
        <w:t xml:space="preserve">The validation process, as an integral part of the current </w:t>
      </w:r>
      <w:r w:rsidR="00DA5A3D">
        <w:t>review</w:t>
      </w:r>
      <w:r w:rsidR="00DA5A3D" w:rsidRPr="00494ED9">
        <w:t xml:space="preserve">, and pending the establishment of a formal reporting mechanism, provides a SEIS development status concerning the production and online sharing of the environmental </w:t>
      </w:r>
      <w:r w:rsidR="00D40339">
        <w:t>data set</w:t>
      </w:r>
      <w:r w:rsidR="00DA5A3D">
        <w:t>s</w:t>
      </w:r>
      <w:r w:rsidR="00DA5A3D" w:rsidRPr="00494ED9">
        <w:t>. It is expected that these initial results will serve as a baseline against which future progress can be monitored and assessed.</w:t>
      </w:r>
    </w:p>
    <w:p w14:paraId="7CFC017C" w14:textId="72EE689A" w:rsidR="00DA5A3D" w:rsidRPr="00494ED9" w:rsidRDefault="00DA5A3D" w:rsidP="00F91613">
      <w:pPr>
        <w:pStyle w:val="SingleTxtG"/>
        <w:spacing w:after="240"/>
      </w:pPr>
      <w:r>
        <w:t>3</w:t>
      </w:r>
      <w:r w:rsidR="00360899">
        <w:t>5</w:t>
      </w:r>
      <w:r w:rsidRPr="00494ED9">
        <w:t>.</w:t>
      </w:r>
      <w:r w:rsidRPr="00494ED9">
        <w:tab/>
        <w:t xml:space="preserve">It is interesting to note that significant progress has been made since the Working Group was mandated to conduct the </w:t>
      </w:r>
      <w:r>
        <w:t>review</w:t>
      </w:r>
      <w:r w:rsidRPr="00494ED9">
        <w:t xml:space="preserve"> on the progress made by </w:t>
      </w:r>
      <w:r>
        <w:t xml:space="preserve">the reviewed </w:t>
      </w:r>
      <w:r w:rsidRPr="00494ED9">
        <w:t xml:space="preserve">countries in establishing SEIS. Examples provided in Box 1 below demonstrate steps taken by two countries to improve the availability and accessibility of SEIS </w:t>
      </w:r>
      <w:r w:rsidR="00D40339">
        <w:t>data set</w:t>
      </w:r>
      <w:r w:rsidRPr="00494ED9">
        <w:t xml:space="preserve">s and related information. These are not meant for comparison, only to demonstrate positive developments as part of the </w:t>
      </w:r>
      <w:r>
        <w:t>review</w:t>
      </w:r>
      <w:r w:rsidRPr="00494ED9">
        <w:t xml:space="preserve"> process.</w:t>
      </w:r>
    </w:p>
    <w:tbl>
      <w:tblPr>
        <w:tblW w:w="0" w:type="auto"/>
        <w:jc w:val="center"/>
        <w:tblInd w:w="213"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41"/>
      </w:tblGrid>
      <w:tr w:rsidR="00F64F0E" w14:paraId="1141EA47" w14:textId="77777777" w:rsidTr="001476AD">
        <w:trPr>
          <w:trHeight w:hRule="exact" w:val="240"/>
          <w:jc w:val="center"/>
        </w:trPr>
        <w:tc>
          <w:tcPr>
            <w:tcW w:w="7441" w:type="dxa"/>
            <w:tcBorders>
              <w:top w:val="single" w:sz="4" w:space="0" w:color="auto"/>
            </w:tcBorders>
            <w:shd w:val="clear" w:color="auto" w:fill="auto"/>
          </w:tcPr>
          <w:p w14:paraId="6AD1E4C3" w14:textId="77777777" w:rsidR="00F64F0E" w:rsidRDefault="00F64F0E" w:rsidP="00F64F0E">
            <w:pPr>
              <w:suppressAutoHyphens w:val="0"/>
              <w:spacing w:line="240" w:lineRule="auto"/>
            </w:pPr>
          </w:p>
        </w:tc>
      </w:tr>
      <w:tr w:rsidR="00F64F0E" w14:paraId="792656AA" w14:textId="77777777" w:rsidTr="001476AD">
        <w:trPr>
          <w:jc w:val="center"/>
        </w:trPr>
        <w:tc>
          <w:tcPr>
            <w:tcW w:w="7441" w:type="dxa"/>
            <w:tcBorders>
              <w:bottom w:val="nil"/>
            </w:tcBorders>
            <w:shd w:val="clear" w:color="auto" w:fill="auto"/>
            <w:tcMar>
              <w:left w:w="142" w:type="dxa"/>
              <w:right w:w="142" w:type="dxa"/>
            </w:tcMar>
          </w:tcPr>
          <w:p w14:paraId="28C56CC0" w14:textId="77777777" w:rsidR="001476AD" w:rsidRDefault="001476AD" w:rsidP="001476AD">
            <w:pPr>
              <w:keepNext/>
              <w:spacing w:after="120"/>
              <w:ind w:left="482" w:right="482"/>
            </w:pPr>
            <w:r>
              <w:t>Box 1</w:t>
            </w:r>
            <w:r>
              <w:br/>
            </w:r>
            <w:r w:rsidRPr="00F537D7">
              <w:rPr>
                <w:b/>
              </w:rPr>
              <w:t>Case study examples of improved performance scores</w:t>
            </w:r>
          </w:p>
          <w:p w14:paraId="38E9DC1D" w14:textId="70E00253" w:rsidR="001476AD" w:rsidRDefault="001476AD" w:rsidP="00EA0D5B">
            <w:pPr>
              <w:keepNext/>
              <w:spacing w:after="120"/>
              <w:ind w:left="482" w:right="482"/>
              <w:jc w:val="both"/>
            </w:pPr>
            <w:r w:rsidRPr="00971E00">
              <w:rPr>
                <w:b/>
              </w:rPr>
              <w:t>Belarus</w:t>
            </w:r>
            <w:r>
              <w:t xml:space="preserve"> was assessed as having an overall performance score of 36 per cent in September 2015. This score refers to how environmental </w:t>
            </w:r>
            <w:r w:rsidR="00D40339">
              <w:t>data set</w:t>
            </w:r>
            <w:r>
              <w:t xml:space="preserve">s were published on national websites. When re-assessed in December 2015, Belarus had considerably improved online accessibility of environmental </w:t>
            </w:r>
            <w:r w:rsidR="00D40339">
              <w:t>data set</w:t>
            </w:r>
            <w:r>
              <w:t xml:space="preserve">s by updating available information as well as adding new relevant information. The implemented changes resulted in an increase of its performance score to 77 per cent. This increase was largely due to content on environmental </w:t>
            </w:r>
            <w:r w:rsidR="00D40339">
              <w:t>data set</w:t>
            </w:r>
            <w:r>
              <w:t xml:space="preserve">s now being collected and accessible on one national website (as facilitated by its National Environmental Monitoring System), providing content in two languages (Russian and English) and that the </w:t>
            </w:r>
            <w:r w:rsidR="004F21F1">
              <w:t>data sets</w:t>
            </w:r>
            <w:r>
              <w:t xml:space="preserve"> are now updated according to </w:t>
            </w:r>
            <w:r w:rsidR="00717500">
              <w:t>ECE</w:t>
            </w:r>
            <w:r>
              <w:t xml:space="preserve"> requirements. The national website also provides basic background information on methodology, a brief analysis of the data and the data sources. The </w:t>
            </w:r>
            <w:r w:rsidR="004F21F1">
              <w:t>data sets</w:t>
            </w:r>
            <w:r>
              <w:t xml:space="preserve"> are easily accessible via the main page of the National Statistical Committee of the Republic of Belarus and clearly presented in a separate section of the website.</w:t>
            </w:r>
          </w:p>
          <w:p w14:paraId="7EAE209E" w14:textId="100D5105" w:rsidR="00F64F0E" w:rsidRDefault="001476AD" w:rsidP="004F21F1">
            <w:pPr>
              <w:keepNext/>
              <w:spacing w:after="240"/>
              <w:ind w:left="482" w:right="482"/>
              <w:jc w:val="both"/>
            </w:pPr>
            <w:r w:rsidRPr="00971E00">
              <w:rPr>
                <w:b/>
              </w:rPr>
              <w:t>Italy</w:t>
            </w:r>
            <w:r>
              <w:t xml:space="preserve"> was assessed during the same time period as having an above-average performance score of 56 per cent. However, between September and December 2015, Italy managed to improve its performance score to 87 per cent. The improvements consisted of updating available and related information as well as adding new </w:t>
            </w:r>
            <w:r w:rsidR="00D40339">
              <w:t>data set</w:t>
            </w:r>
            <w:r>
              <w:t xml:space="preserve">s. The </w:t>
            </w:r>
            <w:r w:rsidR="004F21F1">
              <w:t>data sets</w:t>
            </w:r>
            <w:r>
              <w:t xml:space="preserve"> were collected and are now shared through one platform that can be reached via a clearly indicated menu on the Institute for the Environmental Protection and Research website. The content on the website includes background information on all </w:t>
            </w:r>
            <w:r w:rsidR="004F21F1">
              <w:t xml:space="preserve">environmental </w:t>
            </w:r>
            <w:r>
              <w:t>indicators</w:t>
            </w:r>
            <w:r w:rsidR="004F21F1">
              <w:t xml:space="preserve"> and associated data sets</w:t>
            </w:r>
            <w:r>
              <w:t xml:space="preserve">, information about the data structure and format, methodology and a brief interpretation of data. </w:t>
            </w:r>
            <w:r w:rsidR="00D40339">
              <w:t>Data set</w:t>
            </w:r>
            <w:r>
              <w:t>s are presented in only one language (Italian), which may create obstacles for the international community in terms of accessibility.</w:t>
            </w:r>
          </w:p>
        </w:tc>
      </w:tr>
      <w:tr w:rsidR="00F64F0E" w14:paraId="436039A2" w14:textId="77777777" w:rsidTr="001476AD">
        <w:trPr>
          <w:trHeight w:hRule="exact" w:val="20"/>
          <w:jc w:val="center"/>
        </w:trPr>
        <w:tc>
          <w:tcPr>
            <w:tcW w:w="7441" w:type="dxa"/>
            <w:tcBorders>
              <w:bottom w:val="single" w:sz="4" w:space="0" w:color="auto"/>
            </w:tcBorders>
            <w:shd w:val="clear" w:color="auto" w:fill="auto"/>
          </w:tcPr>
          <w:p w14:paraId="4ED7AEF8" w14:textId="77777777" w:rsidR="00F64F0E" w:rsidRDefault="00F64F0E" w:rsidP="00F64F0E">
            <w:pPr>
              <w:suppressAutoHyphens w:val="0"/>
              <w:spacing w:line="240" w:lineRule="auto"/>
            </w:pPr>
          </w:p>
        </w:tc>
      </w:tr>
    </w:tbl>
    <w:p w14:paraId="5D8FD803" w14:textId="77777777" w:rsidR="00DA5A3D" w:rsidRPr="00494ED9" w:rsidRDefault="00DA5A3D" w:rsidP="00971E00">
      <w:pPr>
        <w:pStyle w:val="SingleTxtG"/>
        <w:spacing w:before="240" w:after="0"/>
      </w:pPr>
      <w:r>
        <w:t>3</w:t>
      </w:r>
      <w:r w:rsidR="007265FC">
        <w:t>6</w:t>
      </w:r>
      <w:r w:rsidRPr="00494ED9">
        <w:t>.</w:t>
      </w:r>
      <w:r w:rsidRPr="00494ED9">
        <w:tab/>
        <w:t xml:space="preserve">The two case study examples in Box 1 demonstrate some of the steps taken towards improving content accessibility (referring to relevant SEIS data and information) and that it was in principle a matter of simply uploading and updating content on pre-existing online platforms that facilitate data sharing and exchange. This is an issue that was recognised for several countries. It should further be noted that it is most often not a matter of updating infrastructure, which can be resource intensive, only making content available online. It is for this reason positive to </w:t>
      </w:r>
      <w:r w:rsidRPr="00667421">
        <w:t>note that the</w:t>
      </w:r>
      <w:r>
        <w:t xml:space="preserve"> current </w:t>
      </w:r>
      <w:r w:rsidRPr="002D7D3F">
        <w:t xml:space="preserve">SEIS </w:t>
      </w:r>
      <w:r>
        <w:t>p</w:t>
      </w:r>
      <w:r w:rsidRPr="00667421">
        <w:t xml:space="preserve">rogress </w:t>
      </w:r>
      <w:r>
        <w:t>r</w:t>
      </w:r>
      <w:r w:rsidRPr="00667421">
        <w:t>eport</w:t>
      </w:r>
      <w:r w:rsidRPr="002D7D3F">
        <w:t xml:space="preserve"> has not only facilitated awarenes</w:t>
      </w:r>
      <w:r>
        <w:t xml:space="preserve">s </w:t>
      </w:r>
      <w:r w:rsidRPr="00494ED9">
        <w:t>concerning prevailing performance gaps and it confirms that relevant data and information can be uploaded relatively easy and fast.</w:t>
      </w:r>
    </w:p>
    <w:p w14:paraId="725ED4F6" w14:textId="57456A41" w:rsidR="00DA5A3D" w:rsidRPr="00494ED9" w:rsidRDefault="00CE061E" w:rsidP="00CE061E">
      <w:pPr>
        <w:pStyle w:val="H1G"/>
      </w:pPr>
      <w:bookmarkStart w:id="113" w:name="_Toc440461426"/>
      <w:r>
        <w:tab/>
        <w:t>C.</w:t>
      </w:r>
      <w:r>
        <w:tab/>
      </w:r>
      <w:r w:rsidR="00DA5A3D" w:rsidRPr="00494ED9">
        <w:t xml:space="preserve">Performance by </w:t>
      </w:r>
      <w:r w:rsidR="0010150F">
        <w:t>t</w:t>
      </w:r>
      <w:r w:rsidR="00DA5A3D" w:rsidRPr="00494ED9">
        <w:t xml:space="preserve">hematic </w:t>
      </w:r>
      <w:r w:rsidR="0010150F">
        <w:t>a</w:t>
      </w:r>
      <w:r w:rsidR="00DA5A3D" w:rsidRPr="00494ED9">
        <w:t xml:space="preserve">reas and </w:t>
      </w:r>
      <w:r w:rsidR="0010150F">
        <w:t>i</w:t>
      </w:r>
      <w:r w:rsidR="00DA5A3D" w:rsidRPr="00494ED9">
        <w:t xml:space="preserve">ndividual </w:t>
      </w:r>
      <w:r w:rsidR="0010150F">
        <w:t>d</w:t>
      </w:r>
      <w:r w:rsidR="00D40339">
        <w:t>ata set</w:t>
      </w:r>
      <w:r w:rsidR="00DA5A3D" w:rsidRPr="00494ED9">
        <w:t>s</w:t>
      </w:r>
      <w:bookmarkEnd w:id="113"/>
    </w:p>
    <w:p w14:paraId="3B1CD475" w14:textId="7CC9018C" w:rsidR="00DA5A3D" w:rsidRPr="00CE061E" w:rsidRDefault="00DA5A3D" w:rsidP="00CE061E">
      <w:pPr>
        <w:pStyle w:val="SingleTxtG"/>
      </w:pPr>
      <w:r w:rsidRPr="00CE061E">
        <w:t>3</w:t>
      </w:r>
      <w:r w:rsidR="007265FC">
        <w:t>7</w:t>
      </w:r>
      <w:r w:rsidRPr="00CE061E">
        <w:t>.</w:t>
      </w:r>
      <w:r w:rsidRPr="00CE061E">
        <w:tab/>
        <w:t xml:space="preserve">The availability and accessibility of </w:t>
      </w:r>
      <w:r w:rsidR="00D40339">
        <w:t>data set</w:t>
      </w:r>
      <w:r w:rsidRPr="00CE061E">
        <w:t>s and related information vary significantly per thematic area</w:t>
      </w:r>
      <w:r w:rsidR="005309A9">
        <w:t>.</w:t>
      </w:r>
      <w:r w:rsidR="005309A9">
        <w:rPr>
          <w:rStyle w:val="FootnoteReference"/>
        </w:rPr>
        <w:footnoteReference w:id="15"/>
      </w:r>
      <w:r w:rsidRPr="00CE061E">
        <w:t xml:space="preserve"> The performance score is above or the same as the overall average for biodiversity (63 per cent), climate change (63 per cent), energy (61 per cent), and air pollution and ozone depletion (53 per cent) and waste (51 per cent) </w:t>
      </w:r>
      <w:r w:rsidR="00D40339">
        <w:t>data set</w:t>
      </w:r>
      <w:r w:rsidRPr="00CE061E">
        <w:t>s. The performance score for land and soil (45 per cent) and water (42 per cent) are below the overall</w:t>
      </w:r>
      <w:r w:rsidR="00CE061E">
        <w:t xml:space="preserve"> average.</w:t>
      </w:r>
    </w:p>
    <w:p w14:paraId="5C0F6657" w14:textId="77777777" w:rsidR="00DA5A3D" w:rsidRPr="00CE061E" w:rsidRDefault="00DA5A3D" w:rsidP="00CE061E">
      <w:pPr>
        <w:pStyle w:val="SingleTxtG"/>
      </w:pPr>
      <w:r w:rsidRPr="00CE061E">
        <w:t>3</w:t>
      </w:r>
      <w:r w:rsidR="007265FC">
        <w:t>8</w:t>
      </w:r>
      <w:r w:rsidRPr="00CE061E">
        <w:t>.</w:t>
      </w:r>
      <w:r w:rsidRPr="00CE061E">
        <w:tab/>
        <w:t xml:space="preserve">These differences in reporting across the thematic areas, as a variation from the overall performance score of 51 per cent, </w:t>
      </w:r>
      <w:proofErr w:type="gramStart"/>
      <w:r w:rsidRPr="00CE061E">
        <w:t>is</w:t>
      </w:r>
      <w:proofErr w:type="gramEnd"/>
      <w:r w:rsidRPr="00CE061E">
        <w:t xml:space="preserve"> illustrated </w:t>
      </w:r>
      <w:r w:rsidR="00CE061E">
        <w:t>in Figure 1.</w:t>
      </w:r>
    </w:p>
    <w:p w14:paraId="55D60FA4" w14:textId="77777777" w:rsidR="007265FC" w:rsidRPr="00494ED9" w:rsidRDefault="007265FC" w:rsidP="007265FC">
      <w:pPr>
        <w:pStyle w:val="H23G"/>
      </w:pPr>
      <w:r>
        <w:tab/>
      </w:r>
      <w:r>
        <w:tab/>
      </w:r>
      <w:r w:rsidRPr="007265FC">
        <w:rPr>
          <w:b w:val="0"/>
        </w:rPr>
        <w:t>Figure 1</w:t>
      </w:r>
      <w:r>
        <w:br/>
      </w:r>
      <w:r w:rsidRPr="007265FC">
        <w:rPr>
          <w:rStyle w:val="SingleTxtGChar"/>
        </w:rPr>
        <w:t xml:space="preserve">Variations in performance scores </w:t>
      </w:r>
      <w:r>
        <w:rPr>
          <w:rStyle w:val="SingleTxtGChar"/>
        </w:rPr>
        <w:t>compared to the overall average</w:t>
      </w:r>
    </w:p>
    <w:p w14:paraId="1022DFF9" w14:textId="464D57FD" w:rsidR="00DA5A3D" w:rsidRPr="009E52C7" w:rsidRDefault="00C339C9" w:rsidP="00DA5A3D">
      <w:pPr>
        <w:pStyle w:val="SingleTxtG"/>
        <w:spacing w:after="0"/>
        <w:jc w:val="left"/>
      </w:pPr>
      <w:r>
        <w:rPr>
          <w:noProof/>
          <w:lang w:eastAsia="en-GB"/>
        </w:rPr>
        <w:drawing>
          <wp:inline distT="0" distB="0" distL="0" distR="0" wp14:anchorId="0F26A71B" wp14:editId="1CCE0F45">
            <wp:extent cx="4674074" cy="2499029"/>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4587" cy="2499303"/>
                    </a:xfrm>
                    <a:prstGeom prst="rect">
                      <a:avLst/>
                    </a:prstGeom>
                    <a:noFill/>
                    <a:ln>
                      <a:noFill/>
                    </a:ln>
                  </pic:spPr>
                </pic:pic>
              </a:graphicData>
            </a:graphic>
          </wp:inline>
        </w:drawing>
      </w:r>
    </w:p>
    <w:p w14:paraId="24F6FB52" w14:textId="6F5DA7A5" w:rsidR="00DA5A3D" w:rsidRPr="007265FC" w:rsidRDefault="00DA5A3D" w:rsidP="007265FC">
      <w:pPr>
        <w:pStyle w:val="SingleTxtG"/>
        <w:spacing w:before="240"/>
      </w:pPr>
      <w:r w:rsidRPr="007265FC">
        <w:t>3</w:t>
      </w:r>
      <w:r w:rsidR="007265FC">
        <w:t>9</w:t>
      </w:r>
      <w:r w:rsidRPr="007265FC">
        <w:t>.</w:t>
      </w:r>
      <w:r w:rsidRPr="007265FC">
        <w:tab/>
        <w:t xml:space="preserve">Reviewing individual </w:t>
      </w:r>
      <w:r w:rsidR="00D40339">
        <w:t>data set</w:t>
      </w:r>
      <w:r w:rsidRPr="007265FC">
        <w:t xml:space="preserve">s and related information demonstrate that the emissions of nitrogen oxides and sulphur dioxide into the air are the most accessible </w:t>
      </w:r>
      <w:r w:rsidR="00D40339">
        <w:t>data set</w:t>
      </w:r>
      <w:r w:rsidRPr="007265FC">
        <w:t>s. For eight out of ten countries</w:t>
      </w:r>
      <w:r w:rsidR="005309A9">
        <w:rPr>
          <w:rStyle w:val="FootnoteReference"/>
        </w:rPr>
        <w:footnoteReference w:id="16"/>
      </w:r>
      <w:r w:rsidRPr="007265FC">
        <w:t xml:space="preserve"> (88 and 83 per cent, respectively) the relevant data is accessible online. These are followed by other types of air emission data (e.g. carbon monoxide, of non-methane volatile organic compounds and of ammonia), waste data (e.g. total waste generation), greenhouse gas emissions, biodiversity data (e.g. total areas under protection), and air quality data (e.g. concentration of nitrogen dioxide), that is accessible, on average, in more than six out of ten countries (62 per cent). Figure 2 presents </w:t>
      </w:r>
      <w:r w:rsidRPr="007265FC">
        <w:br/>
        <w:t xml:space="preserve">the 20 </w:t>
      </w:r>
      <w:r w:rsidR="00D40339">
        <w:t>data set</w:t>
      </w:r>
      <w:r w:rsidRPr="007265FC">
        <w:t xml:space="preserve">s with the highest performance scores. See also annex </w:t>
      </w:r>
      <w:r w:rsidR="00D40339">
        <w:t>B</w:t>
      </w:r>
      <w:r w:rsidRPr="007265FC">
        <w:t xml:space="preserve"> for the legal obligations associated with each rated </w:t>
      </w:r>
      <w:r w:rsidR="00D40339">
        <w:t>data set</w:t>
      </w:r>
      <w:r w:rsidRPr="007265FC">
        <w:t>.</w:t>
      </w:r>
    </w:p>
    <w:p w14:paraId="3214448B" w14:textId="2DED9D0B" w:rsidR="00DA5A3D" w:rsidRPr="007265FC" w:rsidRDefault="007265FC" w:rsidP="007265FC">
      <w:pPr>
        <w:pStyle w:val="SingleTxtG"/>
      </w:pPr>
      <w:r>
        <w:t>40</w:t>
      </w:r>
      <w:r w:rsidR="00DA5A3D" w:rsidRPr="007265FC">
        <w:t>.</w:t>
      </w:r>
      <w:r w:rsidR="00DA5A3D" w:rsidRPr="007265FC">
        <w:tab/>
        <w:t xml:space="preserve">The least accessible </w:t>
      </w:r>
      <w:r w:rsidR="00D40339">
        <w:t>data set</w:t>
      </w:r>
      <w:r w:rsidR="00DA5A3D" w:rsidRPr="007265FC">
        <w:t xml:space="preserve">s are those concerned with water (e.g. populations connected and not-connected to water supply industry and water exploitation index). These are followed by other water and POPs air emission </w:t>
      </w:r>
      <w:r w:rsidR="00D40339">
        <w:t>data set</w:t>
      </w:r>
      <w:r w:rsidR="00DA5A3D" w:rsidRPr="007265FC">
        <w:t xml:space="preserve">s as well as waste </w:t>
      </w:r>
      <w:r w:rsidR="00D40339">
        <w:t>data set</w:t>
      </w:r>
      <w:r w:rsidR="00DA5A3D" w:rsidRPr="007265FC">
        <w:t xml:space="preserve">s that are accessible, on average, in 30 to 39 per cent of all countries. Figure 3 presents a list of the 20 </w:t>
      </w:r>
      <w:r w:rsidR="00D40339">
        <w:t>data set</w:t>
      </w:r>
      <w:r w:rsidR="00DA5A3D" w:rsidRPr="007265FC">
        <w:t xml:space="preserve">s with lowest performance scores. See also annex </w:t>
      </w:r>
      <w:r w:rsidR="00D40339">
        <w:t>C</w:t>
      </w:r>
      <w:r w:rsidR="00DA5A3D" w:rsidRPr="007265FC">
        <w:t xml:space="preserve"> for the legal obligations associated with each rated </w:t>
      </w:r>
      <w:r w:rsidR="00D40339">
        <w:t>data set</w:t>
      </w:r>
      <w:r w:rsidR="00DA5A3D" w:rsidRPr="007265FC">
        <w:t>.</w:t>
      </w:r>
    </w:p>
    <w:p w14:paraId="4E965479" w14:textId="58BCBD37" w:rsidR="00DA5A3D" w:rsidRDefault="007265FC" w:rsidP="00BF5000">
      <w:pPr>
        <w:pStyle w:val="SingleTxtG"/>
      </w:pPr>
      <w:r>
        <w:t>41</w:t>
      </w:r>
      <w:r w:rsidR="00DA5A3D" w:rsidRPr="007265FC">
        <w:t>.</w:t>
      </w:r>
      <w:r w:rsidR="00DA5A3D" w:rsidRPr="007265FC">
        <w:tab/>
        <w:t xml:space="preserve">Water-related </w:t>
      </w:r>
      <w:r w:rsidR="00D40339">
        <w:t>data set</w:t>
      </w:r>
      <w:r w:rsidR="00DA5A3D" w:rsidRPr="007265FC">
        <w:t xml:space="preserve">s are seemingly not published adequately online as well as associated background information on methodologies, analysis of the data and data sources. These results are not fully in line with what was found in the </w:t>
      </w:r>
      <w:r w:rsidR="00BF5000">
        <w:t>E</w:t>
      </w:r>
      <w:r w:rsidR="00BF5000" w:rsidRPr="00BF5000">
        <w:t xml:space="preserve">uropean Neighbourhood and Partnership Instrument </w:t>
      </w:r>
      <w:r w:rsidR="00DA5A3D" w:rsidRPr="007265FC">
        <w:t xml:space="preserve">SEIS East Region Synthesis Report, which found increasing accessibility to </w:t>
      </w:r>
      <w:r w:rsidR="004F21F1">
        <w:t xml:space="preserve">environmental </w:t>
      </w:r>
      <w:r w:rsidR="00DA5A3D" w:rsidRPr="007265FC">
        <w:t xml:space="preserve">indicators </w:t>
      </w:r>
      <w:r w:rsidR="004F21F1">
        <w:t>associated with</w:t>
      </w:r>
      <w:r w:rsidR="00DA5A3D" w:rsidRPr="007265FC">
        <w:t xml:space="preserve"> water-related </w:t>
      </w:r>
      <w:r w:rsidR="00D40339">
        <w:t>data set</w:t>
      </w:r>
      <w:r w:rsidR="00DA5A3D" w:rsidRPr="007265FC">
        <w:t>s.</w:t>
      </w:r>
      <w:r w:rsidR="00C21DE9">
        <w:rPr>
          <w:rStyle w:val="FootnoteReference"/>
        </w:rPr>
        <w:footnoteReference w:id="17"/>
      </w:r>
      <w:r w:rsidR="00DA5A3D" w:rsidRPr="007265FC">
        <w:t xml:space="preserve"> Differences in accessibility can presently not be fully explained in terms of variations in legal reporting obligations nor by variations in national legislation and confidentiality requirements. It has furthermore been noted that certain </w:t>
      </w:r>
      <w:r w:rsidR="004F21F1">
        <w:t>data sets</w:t>
      </w:r>
      <w:r w:rsidR="00DA5A3D" w:rsidRPr="007265FC">
        <w:t xml:space="preserve"> (e.g. concerned with ozone-depleting substances) is no longer being </w:t>
      </w:r>
      <w:r w:rsidR="004F21F1">
        <w:t xml:space="preserve">collected </w:t>
      </w:r>
      <w:r w:rsidR="00DA5A3D" w:rsidRPr="007265FC">
        <w:t xml:space="preserve">in some countries. This latter issue would have implications for the overall performance score of each country and would suggest that the </w:t>
      </w:r>
      <w:r w:rsidR="00D40339">
        <w:t>data set</w:t>
      </w:r>
      <w:r w:rsidR="00DA5A3D" w:rsidRPr="007265FC">
        <w:t xml:space="preserve">s included in the review may need to take account of </w:t>
      </w:r>
      <w:r w:rsidR="00C21DE9">
        <w:t>changing reporting obligations.</w:t>
      </w:r>
    </w:p>
    <w:p w14:paraId="783386D6" w14:textId="77777777" w:rsidR="006A540D" w:rsidRDefault="006A540D">
      <w:pPr>
        <w:suppressAutoHyphens w:val="0"/>
        <w:spacing w:line="240" w:lineRule="auto"/>
      </w:pPr>
      <w:r>
        <w:br w:type="page"/>
      </w:r>
    </w:p>
    <w:p w14:paraId="6BC8BA9F" w14:textId="77777777" w:rsidR="006A540D" w:rsidRDefault="006A540D" w:rsidP="007265FC">
      <w:pPr>
        <w:pStyle w:val="SingleTxtG"/>
        <w:sectPr w:rsidR="006A540D" w:rsidSect="00725E2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14:paraId="0EAC61C5" w14:textId="7CA7E1E4" w:rsidR="00876292" w:rsidRPr="00F925C1" w:rsidRDefault="00876292" w:rsidP="00876292">
      <w:pPr>
        <w:pStyle w:val="H23G"/>
        <w:ind w:left="0" w:firstLine="0"/>
      </w:pPr>
      <w:r w:rsidRPr="00876292">
        <w:rPr>
          <w:b w:val="0"/>
        </w:rPr>
        <w:t xml:space="preserve">Figure </w:t>
      </w:r>
      <w:r w:rsidR="00135416">
        <w:rPr>
          <w:b w:val="0"/>
        </w:rPr>
        <w:t>2</w:t>
      </w:r>
      <w:r>
        <w:br/>
      </w:r>
      <w:r w:rsidR="00135416" w:rsidRPr="00135416">
        <w:rPr>
          <w:rStyle w:val="SingleTxtGChar"/>
        </w:rPr>
        <w:t xml:space="preserve">SEIS </w:t>
      </w:r>
      <w:r w:rsidR="00D40339">
        <w:rPr>
          <w:rStyle w:val="SingleTxtGChar"/>
        </w:rPr>
        <w:t>data set</w:t>
      </w:r>
      <w:r w:rsidR="00135416" w:rsidRPr="00135416">
        <w:rPr>
          <w:rStyle w:val="SingleTxtGChar"/>
        </w:rPr>
        <w:t>s with highest performance score</w:t>
      </w:r>
      <w:r w:rsidR="00674B28">
        <w:rPr>
          <w:rStyle w:val="SingleTxtGChar"/>
        </w:rPr>
        <w:t>s</w:t>
      </w:r>
    </w:p>
    <w:p w14:paraId="062F8DB9" w14:textId="7ADED7AD" w:rsidR="006A540D" w:rsidRDefault="00D40339">
      <w:pPr>
        <w:suppressAutoHyphens w:val="0"/>
        <w:spacing w:line="240" w:lineRule="auto"/>
      </w:pPr>
      <w:r w:rsidRPr="00D40339">
        <w:t xml:space="preserve"> </w:t>
      </w:r>
      <w:r>
        <w:rPr>
          <w:noProof/>
          <w:lang w:eastAsia="en-GB"/>
        </w:rPr>
        <w:drawing>
          <wp:inline distT="0" distB="0" distL="0" distR="0" wp14:anchorId="3EEB0358" wp14:editId="58EC13D8">
            <wp:extent cx="8173085" cy="3794483"/>
            <wp:effectExtent l="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73085" cy="3794483"/>
                    </a:xfrm>
                    <a:prstGeom prst="rect">
                      <a:avLst/>
                    </a:prstGeom>
                    <a:noFill/>
                    <a:ln>
                      <a:noFill/>
                    </a:ln>
                  </pic:spPr>
                </pic:pic>
              </a:graphicData>
            </a:graphic>
          </wp:inline>
        </w:drawing>
      </w:r>
    </w:p>
    <w:p w14:paraId="55BE51B2" w14:textId="77777777" w:rsidR="00D80837" w:rsidRDefault="00D80837" w:rsidP="00D80837">
      <w:pPr>
        <w:tabs>
          <w:tab w:val="left" w:pos="709"/>
        </w:tabs>
        <w:spacing w:line="220" w:lineRule="exact"/>
        <w:ind w:firstLine="170"/>
      </w:pPr>
      <w:r w:rsidRPr="00876292">
        <w:rPr>
          <w:i/>
          <w:sz w:val="18"/>
          <w:szCs w:val="18"/>
        </w:rPr>
        <w:t>Note:</w:t>
      </w:r>
      <w:r>
        <w:t xml:space="preserve"> </w:t>
      </w:r>
      <w:r w:rsidRPr="00135416">
        <w:rPr>
          <w:sz w:val="18"/>
          <w:szCs w:val="18"/>
        </w:rPr>
        <w:t xml:space="preserve">See </w:t>
      </w:r>
      <w:r w:rsidRPr="00C339C9">
        <w:rPr>
          <w:i/>
          <w:sz w:val="18"/>
          <w:szCs w:val="18"/>
        </w:rPr>
        <w:t>annex</w:t>
      </w:r>
      <w:r w:rsidRPr="00135416">
        <w:rPr>
          <w:sz w:val="18"/>
          <w:szCs w:val="18"/>
        </w:rPr>
        <w:t xml:space="preserve"> </w:t>
      </w:r>
      <w:r>
        <w:rPr>
          <w:sz w:val="18"/>
          <w:szCs w:val="18"/>
        </w:rPr>
        <w:t>B</w:t>
      </w:r>
      <w:r w:rsidRPr="00135416">
        <w:rPr>
          <w:sz w:val="18"/>
          <w:szCs w:val="18"/>
        </w:rPr>
        <w:t xml:space="preserve"> for the legal obligations associated with each data set.</w:t>
      </w:r>
    </w:p>
    <w:p w14:paraId="695CACCC" w14:textId="54F15693" w:rsidR="00D40339" w:rsidRDefault="00D80837" w:rsidP="00C339C9">
      <w:pPr>
        <w:tabs>
          <w:tab w:val="left" w:pos="709"/>
        </w:tabs>
        <w:spacing w:line="220" w:lineRule="exact"/>
        <w:ind w:firstLine="170"/>
        <w:rPr>
          <w:sz w:val="18"/>
          <w:szCs w:val="18"/>
        </w:rPr>
      </w:pPr>
      <w:r>
        <w:rPr>
          <w:rFonts w:eastAsia="SimSun"/>
          <w:i/>
          <w:sz w:val="18"/>
          <w:szCs w:val="18"/>
          <w:lang w:eastAsia="en-GB"/>
        </w:rPr>
        <w:t>Abbreviations</w:t>
      </w:r>
      <w:r w:rsidRPr="00260FFA">
        <w:rPr>
          <w:rFonts w:eastAsia="SimSun"/>
          <w:sz w:val="18"/>
          <w:szCs w:val="18"/>
          <w:lang w:eastAsia="en-GB"/>
        </w:rPr>
        <w:t xml:space="preserve">: </w:t>
      </w:r>
      <w:r w:rsidR="00135416" w:rsidRPr="00C339C9">
        <w:rPr>
          <w:i/>
          <w:sz w:val="18"/>
          <w:szCs w:val="18"/>
        </w:rPr>
        <w:t>NMVOC</w:t>
      </w:r>
      <w:r w:rsidR="00135416" w:rsidRPr="00135416">
        <w:rPr>
          <w:sz w:val="18"/>
          <w:szCs w:val="18"/>
        </w:rPr>
        <w:t xml:space="preserve">: Non-methane volatile organic compounds; GHG: Greenhouse gas; PM: particulate matter. </w:t>
      </w:r>
    </w:p>
    <w:p w14:paraId="6A9721E3" w14:textId="77777777" w:rsidR="00876292" w:rsidRDefault="00876292">
      <w:pPr>
        <w:suppressAutoHyphens w:val="0"/>
        <w:spacing w:line="240" w:lineRule="auto"/>
      </w:pPr>
      <w:r>
        <w:br w:type="page"/>
      </w:r>
    </w:p>
    <w:p w14:paraId="42FBF348" w14:textId="7DE60702" w:rsidR="00B20A8F" w:rsidRPr="00F925C1" w:rsidRDefault="00B20A8F" w:rsidP="00B20A8F">
      <w:pPr>
        <w:pStyle w:val="H23G"/>
        <w:ind w:left="0" w:firstLine="0"/>
      </w:pPr>
      <w:r w:rsidRPr="00B20A8F">
        <w:rPr>
          <w:b w:val="0"/>
        </w:rPr>
        <w:t>Figure 3</w:t>
      </w:r>
      <w:r>
        <w:br/>
      </w:r>
      <w:r w:rsidRPr="00B20A8F">
        <w:rPr>
          <w:rStyle w:val="SingleTxtGChar"/>
        </w:rPr>
        <w:t xml:space="preserve">SEIS </w:t>
      </w:r>
      <w:r w:rsidR="00D40339">
        <w:rPr>
          <w:rStyle w:val="SingleTxtGChar"/>
        </w:rPr>
        <w:t>data set</w:t>
      </w:r>
      <w:r w:rsidRPr="00B20A8F">
        <w:rPr>
          <w:rStyle w:val="SingleTxtGChar"/>
        </w:rPr>
        <w:t>s with lowest performance score</w:t>
      </w:r>
      <w:r w:rsidR="00674B28">
        <w:rPr>
          <w:rStyle w:val="SingleTxtGChar"/>
        </w:rPr>
        <w:t>s</w:t>
      </w:r>
    </w:p>
    <w:p w14:paraId="56B0E79F" w14:textId="6C63E13C" w:rsidR="00B20A8F" w:rsidRDefault="00D40339">
      <w:pPr>
        <w:suppressAutoHyphens w:val="0"/>
        <w:spacing w:line="240" w:lineRule="auto"/>
      </w:pPr>
      <w:r w:rsidRPr="00D40339">
        <w:t xml:space="preserve"> </w:t>
      </w:r>
      <w:r>
        <w:rPr>
          <w:noProof/>
          <w:lang w:eastAsia="en-GB"/>
        </w:rPr>
        <w:drawing>
          <wp:inline distT="0" distB="0" distL="0" distR="0" wp14:anchorId="10766491" wp14:editId="28FCD5EF">
            <wp:extent cx="8173085" cy="3827400"/>
            <wp:effectExtent l="0" t="0" r="5715" b="825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73085" cy="3827400"/>
                    </a:xfrm>
                    <a:prstGeom prst="rect">
                      <a:avLst/>
                    </a:prstGeom>
                    <a:noFill/>
                    <a:ln>
                      <a:noFill/>
                    </a:ln>
                  </pic:spPr>
                </pic:pic>
              </a:graphicData>
            </a:graphic>
          </wp:inline>
        </w:drawing>
      </w:r>
    </w:p>
    <w:p w14:paraId="01D7188F" w14:textId="77777777" w:rsidR="00D80837" w:rsidRDefault="00D80837" w:rsidP="00D80837">
      <w:pPr>
        <w:tabs>
          <w:tab w:val="left" w:pos="709"/>
        </w:tabs>
        <w:spacing w:line="220" w:lineRule="exact"/>
        <w:ind w:firstLine="170"/>
      </w:pPr>
      <w:r w:rsidRPr="00B20A8F">
        <w:rPr>
          <w:i/>
          <w:sz w:val="18"/>
          <w:szCs w:val="18"/>
        </w:rPr>
        <w:t xml:space="preserve">Note: </w:t>
      </w:r>
      <w:r w:rsidRPr="00135416">
        <w:rPr>
          <w:sz w:val="18"/>
          <w:szCs w:val="18"/>
        </w:rPr>
        <w:t xml:space="preserve">See annex </w:t>
      </w:r>
      <w:r>
        <w:rPr>
          <w:sz w:val="18"/>
          <w:szCs w:val="18"/>
        </w:rPr>
        <w:t>C</w:t>
      </w:r>
      <w:r w:rsidRPr="00135416">
        <w:rPr>
          <w:sz w:val="18"/>
          <w:szCs w:val="18"/>
        </w:rPr>
        <w:t xml:space="preserve"> for the legal obligations associated with each data set.</w:t>
      </w:r>
    </w:p>
    <w:p w14:paraId="5BB2B020" w14:textId="00FF5418" w:rsidR="00D40339" w:rsidRDefault="00D80837" w:rsidP="0090276D">
      <w:pPr>
        <w:tabs>
          <w:tab w:val="left" w:pos="709"/>
        </w:tabs>
        <w:spacing w:line="220" w:lineRule="exact"/>
        <w:ind w:firstLine="170"/>
        <w:rPr>
          <w:sz w:val="18"/>
          <w:szCs w:val="18"/>
        </w:rPr>
      </w:pPr>
      <w:r>
        <w:rPr>
          <w:rFonts w:eastAsia="SimSun"/>
          <w:i/>
          <w:sz w:val="18"/>
          <w:szCs w:val="18"/>
          <w:lang w:eastAsia="en-GB"/>
        </w:rPr>
        <w:t>Abbreviations</w:t>
      </w:r>
      <w:r w:rsidRPr="00260FFA">
        <w:rPr>
          <w:rFonts w:eastAsia="SimSun"/>
          <w:sz w:val="18"/>
          <w:szCs w:val="18"/>
          <w:lang w:eastAsia="en-GB"/>
        </w:rPr>
        <w:t xml:space="preserve">: </w:t>
      </w:r>
      <w:r w:rsidR="00B20A8F" w:rsidRPr="0090276D">
        <w:rPr>
          <w:sz w:val="18"/>
          <w:szCs w:val="18"/>
        </w:rPr>
        <w:t xml:space="preserve">ODP: Ozone depletion potential; PAH: Polycyclic aromatic hydrocarbons; PCB: Polychlorinated biphenyl; PCCD/F: Polychlorinated dibenzo-p-dioxin and polychlorinated dibenzofuran; CFC: Chlorofluorocarbon. </w:t>
      </w:r>
    </w:p>
    <w:p w14:paraId="326AE65A" w14:textId="77777777" w:rsidR="006A540D" w:rsidRDefault="006A540D">
      <w:pPr>
        <w:suppressAutoHyphens w:val="0"/>
        <w:spacing w:line="240" w:lineRule="auto"/>
      </w:pPr>
      <w:r>
        <w:br w:type="page"/>
      </w:r>
    </w:p>
    <w:p w14:paraId="4A13E429" w14:textId="77777777" w:rsidR="006A540D" w:rsidRDefault="006A540D" w:rsidP="006A540D">
      <w:pPr>
        <w:sectPr w:rsidR="006A540D" w:rsidSect="006A540D">
          <w:headerReference w:type="even" r:id="rId18"/>
          <w:headerReference w:type="default" r:id="rId19"/>
          <w:footerReference w:type="even" r:id="rId20"/>
          <w:footerReference w:type="default" r:id="rId21"/>
          <w:headerReference w:type="first" r:id="rId22"/>
          <w:endnotePr>
            <w:numFmt w:val="decimal"/>
          </w:endnotePr>
          <w:pgSz w:w="16840" w:h="11907" w:orient="landscape" w:code="9"/>
          <w:pgMar w:top="1134" w:right="1701" w:bottom="1134" w:left="2268" w:header="567" w:footer="567" w:gutter="0"/>
          <w:cols w:space="720"/>
          <w:docGrid w:linePitch="272"/>
        </w:sectPr>
      </w:pPr>
    </w:p>
    <w:p w14:paraId="7824CE16" w14:textId="5C2899D3" w:rsidR="00DA5A3D" w:rsidRPr="00494ED9" w:rsidRDefault="00353C8C" w:rsidP="00353C8C">
      <w:pPr>
        <w:pStyle w:val="H1G"/>
      </w:pPr>
      <w:bookmarkStart w:id="114" w:name="_Toc439765049"/>
      <w:bookmarkStart w:id="115" w:name="_Toc439772010"/>
      <w:bookmarkStart w:id="116" w:name="_Toc439776012"/>
      <w:bookmarkStart w:id="117" w:name="_Toc439783423"/>
      <w:bookmarkStart w:id="118" w:name="_Toc439859098"/>
      <w:bookmarkStart w:id="119" w:name="_Toc439861964"/>
      <w:bookmarkStart w:id="120" w:name="_Toc439863771"/>
      <w:bookmarkStart w:id="121" w:name="_Toc440461427"/>
      <w:bookmarkEnd w:id="114"/>
      <w:bookmarkEnd w:id="115"/>
      <w:bookmarkEnd w:id="116"/>
      <w:bookmarkEnd w:id="117"/>
      <w:bookmarkEnd w:id="118"/>
      <w:bookmarkEnd w:id="119"/>
      <w:bookmarkEnd w:id="120"/>
      <w:r>
        <w:tab/>
        <w:t>D.</w:t>
      </w:r>
      <w:r>
        <w:tab/>
      </w:r>
      <w:r w:rsidR="00DA5A3D" w:rsidRPr="009E52C7">
        <w:t xml:space="preserve">Performance by </w:t>
      </w:r>
      <w:r w:rsidR="002E1E5B">
        <w:t>r</w:t>
      </w:r>
      <w:r w:rsidR="00DA5A3D">
        <w:t>eview</w:t>
      </w:r>
      <w:r w:rsidR="00DA5A3D" w:rsidRPr="009E52C7">
        <w:t xml:space="preserve"> </w:t>
      </w:r>
      <w:r w:rsidR="002E1E5B">
        <w:t>c</w:t>
      </w:r>
      <w:r w:rsidR="00DA5A3D" w:rsidRPr="009E52C7">
        <w:t>riteria</w:t>
      </w:r>
      <w:bookmarkEnd w:id="121"/>
    </w:p>
    <w:p w14:paraId="37030FFD" w14:textId="77B71C4B" w:rsidR="00DA5A3D" w:rsidRPr="00C81943" w:rsidRDefault="00C81943" w:rsidP="00C81943">
      <w:pPr>
        <w:pStyle w:val="SingleTxtG"/>
      </w:pPr>
      <w:r>
        <w:t>42</w:t>
      </w:r>
      <w:r w:rsidR="00DA5A3D" w:rsidRPr="00C81943">
        <w:t>.</w:t>
      </w:r>
      <w:r w:rsidR="00DA5A3D" w:rsidRPr="00C81943">
        <w:tab/>
        <w:t xml:space="preserve">It is encouraging to note that for nearly all </w:t>
      </w:r>
      <w:r w:rsidR="00D40339">
        <w:t>data set</w:t>
      </w:r>
      <w:r w:rsidR="00DA5A3D" w:rsidRPr="00C81943">
        <w:t xml:space="preserve">s that have been published online (covering 51 per cent), member States also provide information on methodologies, data interpretation and use, and data sources. On average, it was found that information on data sources and interpretation is provided on average in 96 and 97 per cent of the cases, respectively, and a link to applied methodologies was provided for 90 per cent of the published </w:t>
      </w:r>
      <w:r w:rsidR="00D40339">
        <w:t>data set</w:t>
      </w:r>
      <w:r w:rsidR="00DA5A3D" w:rsidRPr="00C81943">
        <w:t>s. As noted in Section A, this review cannot make any inferences as regards the quality of this material, only to confirm that</w:t>
      </w:r>
      <w:r w:rsidR="00A304AD">
        <w:t xml:space="preserve"> it is accessible online.</w:t>
      </w:r>
    </w:p>
    <w:p w14:paraId="0B892944" w14:textId="6E0D1DD1" w:rsidR="00DA5A3D" w:rsidRPr="00C81943" w:rsidRDefault="00C81943" w:rsidP="00C81943">
      <w:pPr>
        <w:pStyle w:val="SingleTxtG"/>
      </w:pPr>
      <w:r>
        <w:t>43</w:t>
      </w:r>
      <w:r w:rsidR="00DA5A3D" w:rsidRPr="00C81943">
        <w:t>.</w:t>
      </w:r>
      <w:r w:rsidR="00DA5A3D" w:rsidRPr="00C81943">
        <w:tab/>
        <w:t xml:space="preserve">Similarly to the preceding section, this coverage varies according to thematic area and individual </w:t>
      </w:r>
      <w:r w:rsidR="00D40339">
        <w:t>data set</w:t>
      </w:r>
      <w:r w:rsidR="00DA5A3D" w:rsidRPr="00C81943">
        <w:t xml:space="preserve">s. The range of materials available that is concerned with data interpretation and use is between 84 per cent (3 </w:t>
      </w:r>
      <w:r w:rsidR="00D40339">
        <w:t>data set</w:t>
      </w:r>
      <w:r w:rsidR="00DA5A3D" w:rsidRPr="00C81943">
        <w:t xml:space="preserve">s) up to 100 per cent (31 </w:t>
      </w:r>
      <w:r w:rsidR="00D40339">
        <w:t>data set</w:t>
      </w:r>
      <w:r w:rsidR="00DA5A3D" w:rsidRPr="00C81943">
        <w:t xml:space="preserve">s). Data sources range between 81 per cent (1 </w:t>
      </w:r>
      <w:r w:rsidR="00D40339">
        <w:t>data set</w:t>
      </w:r>
      <w:r w:rsidR="00DA5A3D" w:rsidRPr="00C81943">
        <w:t xml:space="preserve">) up to 100 per cent (27 </w:t>
      </w:r>
      <w:r w:rsidR="00D40339">
        <w:t>data set</w:t>
      </w:r>
      <w:r w:rsidR="00DA5A3D" w:rsidRPr="00C81943">
        <w:t xml:space="preserve">s) and the range for information available on production methodologies is between 77 per cent (1 </w:t>
      </w:r>
      <w:r w:rsidR="00D40339">
        <w:t>data set</w:t>
      </w:r>
      <w:r w:rsidR="00DA5A3D" w:rsidRPr="00C81943">
        <w:t xml:space="preserve">) up to 100 per cent (4 </w:t>
      </w:r>
      <w:r w:rsidR="00D40339">
        <w:t>data set</w:t>
      </w:r>
      <w:r w:rsidR="00DA5A3D" w:rsidRPr="00C81943">
        <w:t>s).</w:t>
      </w:r>
    </w:p>
    <w:p w14:paraId="2800CCB4" w14:textId="77777777" w:rsidR="00DA5A3D" w:rsidRPr="00C81943" w:rsidRDefault="00C81943" w:rsidP="00C81943">
      <w:pPr>
        <w:pStyle w:val="SingleTxtG"/>
      </w:pPr>
      <w:r>
        <w:t>44</w:t>
      </w:r>
      <w:r w:rsidR="00DA5A3D" w:rsidRPr="00C81943">
        <w:t>.</w:t>
      </w:r>
      <w:r w:rsidR="00DA5A3D" w:rsidRPr="00C81943">
        <w:tab/>
        <w:t xml:space="preserve">It is expected that the rating concerned with the methodologies applied may decline when assessed against its fulfilment of internationally accepted standards. The same argumentation applies for materials on data interpretation and use as the performance score may decline if aspects such as language and policy </w:t>
      </w:r>
      <w:r w:rsidR="00A304AD">
        <w:t>targets are taken into account.</w:t>
      </w:r>
    </w:p>
    <w:p w14:paraId="41B9D54E" w14:textId="0FFB0C15" w:rsidR="00DA5A3D" w:rsidRPr="00C81943" w:rsidRDefault="00C81943" w:rsidP="00C81943">
      <w:pPr>
        <w:pStyle w:val="SingleTxtG"/>
      </w:pPr>
      <w:r>
        <w:t>45</w:t>
      </w:r>
      <w:r w:rsidR="00DA5A3D" w:rsidRPr="00C81943">
        <w:t>.</w:t>
      </w:r>
      <w:r w:rsidR="00DA5A3D" w:rsidRPr="00C81943">
        <w:tab/>
        <w:t xml:space="preserve">It is relevant to highlight that member States have not been as successful in regularly updating the content available online. It was in many cases found that time series were out-of-date, meaning that times series more recent than 2012 were not made available. In this instance it was found that 79 per cent of the provided data was up-to-date, representing a range between 64 per cent (1 </w:t>
      </w:r>
      <w:r w:rsidR="00D40339">
        <w:t>data set</w:t>
      </w:r>
      <w:r w:rsidR="00DA5A3D" w:rsidRPr="00C81943">
        <w:t xml:space="preserve">) to 95 per cent (1 </w:t>
      </w:r>
      <w:r w:rsidR="00D40339">
        <w:t>data set</w:t>
      </w:r>
      <w:r w:rsidR="00DA5A3D" w:rsidRPr="00C81943">
        <w:t xml:space="preserve">). There was in fact not a single </w:t>
      </w:r>
      <w:r w:rsidR="00D40339">
        <w:t>data set</w:t>
      </w:r>
      <w:r w:rsidR="00DA5A3D" w:rsidRPr="00C81943">
        <w:t xml:space="preserve"> for which all countries provided up-to-date time series according to the e</w:t>
      </w:r>
      <w:r w:rsidR="00A304AD">
        <w:t>stablished criteria for review.</w:t>
      </w:r>
    </w:p>
    <w:p w14:paraId="1138E8DB" w14:textId="77777777" w:rsidR="00DA5A3D" w:rsidRPr="00C81943" w:rsidRDefault="00C81943" w:rsidP="00C81943">
      <w:pPr>
        <w:pStyle w:val="SingleTxtG"/>
      </w:pPr>
      <w:r>
        <w:t>46</w:t>
      </w:r>
      <w:r w:rsidR="00DA5A3D" w:rsidRPr="00C81943">
        <w:t>.</w:t>
      </w:r>
      <w:r w:rsidR="00DA5A3D" w:rsidRPr="00C81943">
        <w:tab/>
        <w:t>Finally, as illustrated by the examples provided in Box 1, it is expected that the absence of up-to-date information may simply be part of a delay in publishing information that is already available for the respective entities and/or focal points. The foreseen reporting mechanism may for this reason help to facilitate that information is updated more regularly and to</w:t>
      </w:r>
      <w:r w:rsidR="00A304AD">
        <w:t xml:space="preserve"> monitor progress in this area.</w:t>
      </w:r>
    </w:p>
    <w:p w14:paraId="4F49D307" w14:textId="77777777" w:rsidR="00DA5A3D" w:rsidRPr="009E52C7" w:rsidRDefault="00C81943" w:rsidP="00C81943">
      <w:pPr>
        <w:pStyle w:val="H23G"/>
      </w:pPr>
      <w:bookmarkStart w:id="122" w:name="_Toc440461428"/>
      <w:r>
        <w:tab/>
        <w:t>E.</w:t>
      </w:r>
      <w:r>
        <w:tab/>
      </w:r>
      <w:r w:rsidR="00DA5A3D" w:rsidRPr="009E52C7">
        <w:t>Extended analysis on data accessibility</w:t>
      </w:r>
      <w:bookmarkEnd w:id="122"/>
    </w:p>
    <w:p w14:paraId="5E319998" w14:textId="2D0B2F90" w:rsidR="00DA5A3D" w:rsidRPr="00C81943" w:rsidRDefault="00DA5A3D" w:rsidP="00C81943">
      <w:pPr>
        <w:pStyle w:val="SingleTxtG"/>
      </w:pPr>
      <w:r w:rsidRPr="00C81943">
        <w:t>4</w:t>
      </w:r>
      <w:r w:rsidR="00C81943">
        <w:t>7</w:t>
      </w:r>
      <w:r w:rsidRPr="00C81943">
        <w:t>.</w:t>
      </w:r>
      <w:r w:rsidRPr="00C81943">
        <w:tab/>
        <w:t xml:space="preserve">As part of the review process, the secretariat realised that the approaches taken by member States to share and present information online vary significantly. This reflects varying legislative backgrounds, ministerial setups, competencies and strategies at the national level. It is beyond the scope of this review to analyse the contextual background for each pan-European country, however, the consequence is that the diversity in how SEIS-relevant </w:t>
      </w:r>
      <w:r w:rsidR="00D40339">
        <w:t>data set</w:t>
      </w:r>
      <w:r w:rsidRPr="00C81943">
        <w:t xml:space="preserve"> are published online is not fully reflected in the results. This can range from one </w:t>
      </w:r>
      <w:proofErr w:type="gramStart"/>
      <w:r w:rsidRPr="00C81943">
        <w:t>member</w:t>
      </w:r>
      <w:proofErr w:type="gramEnd"/>
      <w:r w:rsidRPr="00C81943">
        <w:t xml:space="preserve"> State having all their data available on only one website to cases where a member State has several focal points and the information is spread across many platforms and types of media. Naturally, in the latter case, this presents a problem when searc</w:t>
      </w:r>
      <w:r w:rsidR="00A304AD">
        <w:t>hing and trying to access data.</w:t>
      </w:r>
    </w:p>
    <w:p w14:paraId="2FDE4532" w14:textId="77777777" w:rsidR="00DA5A3D" w:rsidRPr="00C81943" w:rsidRDefault="00DA5A3D" w:rsidP="00C81943">
      <w:pPr>
        <w:pStyle w:val="SingleTxtG"/>
      </w:pPr>
      <w:r w:rsidRPr="00C81943">
        <w:t>4</w:t>
      </w:r>
      <w:r w:rsidR="00C81943">
        <w:t>8</w:t>
      </w:r>
      <w:r w:rsidRPr="00C81943">
        <w:t>.</w:t>
      </w:r>
      <w:r w:rsidRPr="00C81943">
        <w:tab/>
        <w:t>To further demonstrate, most websites still present all publically available information in the local language of the country in question. Sharing content in a second language or more (English, Russian) is still rare. This creates a barrier for the international community when trying to utilise published data. Another example is that most websites seem to have clear contact information for relevant focal points (as stipulated by the Arhus Convention) while user friendliness vary significantly both in terms of clarity and the way data is being presented online (referring in this case to the format). These types of variations were not captured by the initial st</w:t>
      </w:r>
      <w:r w:rsidR="00A304AD">
        <w:t>eps taken by the Working Group.</w:t>
      </w:r>
    </w:p>
    <w:p w14:paraId="7D1154FE" w14:textId="212C680E" w:rsidR="00DA5A3D" w:rsidRPr="00C81943" w:rsidRDefault="00DA5A3D" w:rsidP="00502025">
      <w:pPr>
        <w:pStyle w:val="SingleTxtG"/>
        <w:spacing w:after="240"/>
      </w:pPr>
      <w:r w:rsidRPr="00C81943">
        <w:t>4</w:t>
      </w:r>
      <w:r w:rsidR="00C81943">
        <w:t>9</w:t>
      </w:r>
      <w:r w:rsidRPr="00C81943">
        <w:t>.</w:t>
      </w:r>
      <w:r w:rsidRPr="00C81943">
        <w:tab/>
        <w:t xml:space="preserve">To address this shortcoming, the Working Group conducted an extended analysis utilising the review questions presented in annex </w:t>
      </w:r>
      <w:r w:rsidR="00D40339">
        <w:t>A</w:t>
      </w:r>
      <w:r w:rsidRPr="00C81943">
        <w:t>. The extended analysis was done for the following countries: Austria, Bosnia and Herzegovina, Georgia, Germany, France, Kyrgyzstan, Lithuania, Russian Federation, Sweden, and Switzerland. Box 2 presents a summary of the results for each country.</w:t>
      </w:r>
    </w:p>
    <w:tbl>
      <w:tblPr>
        <w:tblW w:w="0" w:type="auto"/>
        <w:jc w:val="center"/>
        <w:tblInd w:w="213" w:type="dxa"/>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41"/>
      </w:tblGrid>
      <w:tr w:rsidR="00231E32" w14:paraId="3C544AED" w14:textId="77777777" w:rsidTr="00231E32">
        <w:trPr>
          <w:trHeight w:hRule="exact" w:val="240"/>
          <w:jc w:val="center"/>
        </w:trPr>
        <w:tc>
          <w:tcPr>
            <w:tcW w:w="7441" w:type="dxa"/>
            <w:tcBorders>
              <w:top w:val="single" w:sz="4" w:space="0" w:color="auto"/>
            </w:tcBorders>
            <w:shd w:val="clear" w:color="auto" w:fill="auto"/>
          </w:tcPr>
          <w:p w14:paraId="1CF69F91" w14:textId="77777777" w:rsidR="00231E32" w:rsidRDefault="00231E32" w:rsidP="00231E32">
            <w:pPr>
              <w:suppressAutoHyphens w:val="0"/>
              <w:spacing w:line="240" w:lineRule="auto"/>
            </w:pPr>
          </w:p>
        </w:tc>
      </w:tr>
      <w:tr w:rsidR="00231E32" w14:paraId="30BFFAF0" w14:textId="77777777" w:rsidTr="00231E32">
        <w:trPr>
          <w:jc w:val="center"/>
        </w:trPr>
        <w:tc>
          <w:tcPr>
            <w:tcW w:w="7441" w:type="dxa"/>
            <w:tcBorders>
              <w:bottom w:val="nil"/>
            </w:tcBorders>
            <w:shd w:val="clear" w:color="auto" w:fill="auto"/>
            <w:tcMar>
              <w:left w:w="142" w:type="dxa"/>
              <w:right w:w="142" w:type="dxa"/>
            </w:tcMar>
          </w:tcPr>
          <w:p w14:paraId="08CB4A5B" w14:textId="77777777" w:rsidR="00231E32" w:rsidRPr="00231E32" w:rsidRDefault="00231E32" w:rsidP="00231E32">
            <w:pPr>
              <w:pStyle w:val="SingleTxtG"/>
              <w:tabs>
                <w:tab w:val="left" w:pos="6837"/>
              </w:tabs>
              <w:ind w:left="0" w:right="215"/>
              <w:jc w:val="left"/>
              <w:rPr>
                <w:rFonts w:ascii="TimesNewRomanPSMT" w:hAnsi="TimesNewRomanPSMT" w:cs="TimesNewRomanPSMT"/>
                <w:b/>
                <w:lang w:eastAsia="en-GB"/>
              </w:rPr>
            </w:pPr>
            <w:r w:rsidRPr="00231E32">
              <w:rPr>
                <w:rFonts w:ascii="TimesNewRomanPSMT" w:hAnsi="TimesNewRomanPSMT" w:cs="TimesNewRomanPSMT"/>
                <w:lang w:eastAsia="en-GB"/>
              </w:rPr>
              <w:t>Box 2</w:t>
            </w:r>
            <w:r>
              <w:rPr>
                <w:rFonts w:ascii="TimesNewRomanPSMT" w:hAnsi="TimesNewRomanPSMT" w:cs="TimesNewRomanPSMT"/>
                <w:lang w:eastAsia="en-GB"/>
              </w:rPr>
              <w:br/>
            </w:r>
            <w:r w:rsidRPr="00231E32">
              <w:rPr>
                <w:rFonts w:ascii="TimesNewRomanPSMT" w:hAnsi="TimesNewRomanPSMT" w:cs="TimesNewRomanPSMT"/>
                <w:b/>
                <w:lang w:eastAsia="en-GB"/>
              </w:rPr>
              <w:t>Summary results from an extended a</w:t>
            </w:r>
            <w:r>
              <w:rPr>
                <w:rFonts w:ascii="TimesNewRomanPSMT" w:hAnsi="TimesNewRomanPSMT" w:cs="TimesNewRomanPSMT"/>
                <w:b/>
                <w:lang w:eastAsia="en-GB"/>
              </w:rPr>
              <w:t>nalysis on online accessibility</w:t>
            </w:r>
          </w:p>
          <w:p w14:paraId="79F039E1" w14:textId="77777777" w:rsidR="00231E32" w:rsidRDefault="00231E32" w:rsidP="00231E32">
            <w:pPr>
              <w:pStyle w:val="SingleTxtG"/>
              <w:tabs>
                <w:tab w:val="left" w:pos="6837"/>
              </w:tabs>
              <w:spacing w:before="120" w:line="240" w:lineRule="auto"/>
              <w:ind w:left="0" w:right="215"/>
              <w:rPr>
                <w:b/>
              </w:rPr>
            </w:pPr>
            <w:r w:rsidRPr="009E52C7">
              <w:rPr>
                <w:b/>
              </w:rPr>
              <w:t>Austria</w:t>
            </w:r>
          </w:p>
          <w:p w14:paraId="0FE96F1E" w14:textId="3FA0922A"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Most of the </w:t>
            </w:r>
            <w:r w:rsidR="00D40339">
              <w:t>data set</w:t>
            </w:r>
            <w:r w:rsidRPr="00494ED9">
              <w:t xml:space="preserve">s (80 per cent) are published online. </w:t>
            </w:r>
          </w:p>
          <w:p w14:paraId="0958877A"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Information is principally located on two platforms (87 per cent) but some content is spread out across four additional (international and national) platforms. </w:t>
            </w:r>
          </w:p>
          <w:p w14:paraId="245201ED" w14:textId="0E142E20" w:rsidR="00231E32" w:rsidRPr="00494ED9" w:rsidRDefault="00D40339" w:rsidP="00231E32">
            <w:pPr>
              <w:pStyle w:val="ListParagraph"/>
              <w:numPr>
                <w:ilvl w:val="0"/>
                <w:numId w:val="35"/>
              </w:numPr>
              <w:tabs>
                <w:tab w:val="left" w:pos="6837"/>
              </w:tabs>
              <w:spacing w:line="240" w:lineRule="auto"/>
              <w:ind w:right="216"/>
              <w:jc w:val="both"/>
            </w:pPr>
            <w:r>
              <w:t>Data set</w:t>
            </w:r>
            <w:r w:rsidR="00231E32" w:rsidRPr="00494ED9">
              <w:t xml:space="preserve">s are published online in varying formats, ranging from text, graphs (dynamic and static) and reports. </w:t>
            </w:r>
          </w:p>
          <w:p w14:paraId="7920BA2F" w14:textId="373A4570"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Nearly all </w:t>
            </w:r>
            <w:r w:rsidR="00D40339">
              <w:t>data set</w:t>
            </w:r>
            <w:r w:rsidRPr="00494ED9">
              <w:t xml:space="preserve">s have clear contact information but user-friendliness vary significantly depending on the platform. </w:t>
            </w:r>
          </w:p>
          <w:p w14:paraId="77939C26" w14:textId="51869BEC" w:rsidR="00231E32" w:rsidRPr="00494ED9" w:rsidRDefault="00D40339" w:rsidP="00231E32">
            <w:pPr>
              <w:pStyle w:val="ListParagraph"/>
              <w:numPr>
                <w:ilvl w:val="0"/>
                <w:numId w:val="35"/>
              </w:numPr>
              <w:tabs>
                <w:tab w:val="left" w:pos="6837"/>
              </w:tabs>
              <w:spacing w:line="240" w:lineRule="auto"/>
              <w:ind w:right="216"/>
              <w:jc w:val="both"/>
            </w:pPr>
            <w:r>
              <w:t>Data set</w:t>
            </w:r>
            <w:r w:rsidR="00231E32" w:rsidRPr="00494ED9">
              <w:t xml:space="preserve">s missing are for water use and abstraction and emission of ozone-depleting substances. Measurements have however been stopped entirely in the latter case. </w:t>
            </w:r>
          </w:p>
          <w:p w14:paraId="74DA6067" w14:textId="77777777" w:rsidR="00231E32" w:rsidRPr="00494ED9" w:rsidRDefault="00231E32" w:rsidP="00231E32">
            <w:pPr>
              <w:pStyle w:val="ListParagraph"/>
              <w:numPr>
                <w:ilvl w:val="0"/>
                <w:numId w:val="35"/>
              </w:numPr>
              <w:tabs>
                <w:tab w:val="left" w:pos="6837"/>
              </w:tabs>
              <w:spacing w:after="120" w:line="240" w:lineRule="auto"/>
              <w:ind w:right="215" w:hanging="357"/>
              <w:jc w:val="both"/>
            </w:pPr>
            <w:r w:rsidRPr="00494ED9">
              <w:t>Most of the information is presented in only one language, which complicates the search for data.</w:t>
            </w:r>
          </w:p>
          <w:p w14:paraId="78B14055" w14:textId="77777777" w:rsidR="00231E32" w:rsidRDefault="00231E32" w:rsidP="00231E32">
            <w:pPr>
              <w:pStyle w:val="SingleTxtG"/>
              <w:tabs>
                <w:tab w:val="left" w:pos="6837"/>
              </w:tabs>
              <w:spacing w:before="120" w:line="240" w:lineRule="auto"/>
              <w:ind w:left="0" w:right="215"/>
              <w:rPr>
                <w:b/>
              </w:rPr>
            </w:pPr>
            <w:r w:rsidRPr="009E52C7">
              <w:rPr>
                <w:b/>
              </w:rPr>
              <w:t>Bosnia and Herzegovina</w:t>
            </w:r>
          </w:p>
          <w:p w14:paraId="42FDF2E4" w14:textId="34189C74" w:rsidR="00231E32" w:rsidRPr="00494ED9" w:rsidRDefault="00231E32" w:rsidP="00231E32">
            <w:pPr>
              <w:pStyle w:val="ListParagraph"/>
              <w:numPr>
                <w:ilvl w:val="0"/>
                <w:numId w:val="35"/>
              </w:numPr>
              <w:tabs>
                <w:tab w:val="left" w:pos="6837"/>
              </w:tabs>
              <w:spacing w:line="240" w:lineRule="auto"/>
              <w:ind w:right="216"/>
              <w:jc w:val="both"/>
            </w:pPr>
            <w:r w:rsidRPr="009E52C7">
              <w:t xml:space="preserve">More than half of the </w:t>
            </w:r>
            <w:r w:rsidR="00D40339">
              <w:t>data set</w:t>
            </w:r>
            <w:r w:rsidRPr="00494ED9">
              <w:t xml:space="preserve">s (63 per cent) are published online. </w:t>
            </w:r>
          </w:p>
          <w:p w14:paraId="235BF1F7" w14:textId="2F36E150"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Information is located on one platform that provides easy access to published </w:t>
            </w:r>
            <w:r w:rsidR="00D40339">
              <w:t>data set</w:t>
            </w:r>
            <w:r w:rsidRPr="00494ED9">
              <w:t xml:space="preserve">s. </w:t>
            </w:r>
          </w:p>
          <w:p w14:paraId="195E621B" w14:textId="676E855D"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All </w:t>
            </w:r>
            <w:r w:rsidR="00D40339">
              <w:t>data set</w:t>
            </w:r>
            <w:r w:rsidRPr="00494ED9">
              <w:t xml:space="preserve">s are presented online both in the format of text and graphs. </w:t>
            </w:r>
          </w:p>
          <w:p w14:paraId="54E66353" w14:textId="79D4F974"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All </w:t>
            </w:r>
            <w:r w:rsidR="00D40339">
              <w:t>data set</w:t>
            </w:r>
            <w:r w:rsidRPr="00494ED9">
              <w:t xml:space="preserve">s have clear contact information but only around 60 per cent of the </w:t>
            </w:r>
            <w:r w:rsidR="00D40339">
              <w:t>data set</w:t>
            </w:r>
            <w:r w:rsidRPr="00494ED9">
              <w:t xml:space="preserve">s can be considered as user friendly. </w:t>
            </w:r>
          </w:p>
          <w:p w14:paraId="257D45DD" w14:textId="2199C9DB"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All biodiversity and waste </w:t>
            </w:r>
            <w:r w:rsidR="00D40339">
              <w:t>data set</w:t>
            </w:r>
            <w:r w:rsidRPr="00494ED9">
              <w:t xml:space="preserve">s are published; however, soil and land as well as air pollution and ozone depletion </w:t>
            </w:r>
            <w:r w:rsidR="00D40339">
              <w:t>data set</w:t>
            </w:r>
            <w:r w:rsidRPr="00494ED9">
              <w:t xml:space="preserve">s have several information gaps. </w:t>
            </w:r>
          </w:p>
          <w:p w14:paraId="51EDF98A" w14:textId="23E191D4"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Both national and international communities can easily access the information as all published </w:t>
            </w:r>
            <w:r w:rsidR="00D40339">
              <w:t>data set</w:t>
            </w:r>
            <w:r w:rsidRPr="00494ED9">
              <w:t>s are presented in four languages.</w:t>
            </w:r>
          </w:p>
          <w:p w14:paraId="318AFD33" w14:textId="77777777" w:rsidR="00231E32" w:rsidRDefault="00231E32" w:rsidP="00231E32">
            <w:pPr>
              <w:pStyle w:val="SingleTxtG"/>
              <w:tabs>
                <w:tab w:val="left" w:pos="6837"/>
              </w:tabs>
              <w:spacing w:before="120" w:line="240" w:lineRule="auto"/>
              <w:ind w:left="0" w:right="215"/>
              <w:rPr>
                <w:b/>
              </w:rPr>
            </w:pPr>
            <w:r w:rsidRPr="00494ED9">
              <w:rPr>
                <w:b/>
              </w:rPr>
              <w:t>France</w:t>
            </w:r>
          </w:p>
          <w:p w14:paraId="3C204DBE" w14:textId="1FA43F7E" w:rsidR="00231E32" w:rsidRPr="00494ED9" w:rsidRDefault="00231E32" w:rsidP="00231E32">
            <w:pPr>
              <w:pStyle w:val="ListParagraph"/>
              <w:numPr>
                <w:ilvl w:val="0"/>
                <w:numId w:val="35"/>
              </w:numPr>
              <w:tabs>
                <w:tab w:val="left" w:pos="6837"/>
              </w:tabs>
              <w:spacing w:line="240" w:lineRule="auto"/>
              <w:ind w:right="216"/>
              <w:jc w:val="both"/>
            </w:pPr>
            <w:r w:rsidRPr="009E52C7">
              <w:t xml:space="preserve">Around half of </w:t>
            </w:r>
            <w:r w:rsidRPr="00494ED9">
              <w:t xml:space="preserve">the </w:t>
            </w:r>
            <w:r w:rsidR="00D40339">
              <w:t>data set</w:t>
            </w:r>
            <w:r w:rsidRPr="00494ED9">
              <w:t xml:space="preserve">s (57 per cent) are published online. </w:t>
            </w:r>
          </w:p>
          <w:p w14:paraId="3E533F0D"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Information is spread across </w:t>
            </w:r>
            <w:r>
              <w:t>two</w:t>
            </w:r>
            <w:r w:rsidRPr="00494ED9">
              <w:t xml:space="preserve"> platforms that do not meet the criteria for user friendliness</w:t>
            </w:r>
            <w:r>
              <w:t xml:space="preserve"> (referring in this case to the platforms)</w:t>
            </w:r>
            <w:r w:rsidRPr="00494ED9">
              <w:t xml:space="preserve">. </w:t>
            </w:r>
          </w:p>
          <w:p w14:paraId="1AA6A513"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Most of the information is presented in only one language (79 per cent), which complicates the search for data. </w:t>
            </w:r>
          </w:p>
          <w:p w14:paraId="06178B18" w14:textId="597953B1"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Most of the </w:t>
            </w:r>
            <w:r w:rsidR="00D40339">
              <w:t>data set</w:t>
            </w:r>
            <w:r w:rsidRPr="00494ED9">
              <w:t xml:space="preserve">s do not </w:t>
            </w:r>
            <w:r w:rsidR="001969AA">
              <w:t>have clear contact information.</w:t>
            </w:r>
          </w:p>
          <w:p w14:paraId="503FCC3E" w14:textId="57002EA7"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All energy and most air pollution and ozone depletion </w:t>
            </w:r>
            <w:r w:rsidR="00D40339">
              <w:t>data set</w:t>
            </w:r>
            <w:r w:rsidRPr="00494ED9">
              <w:t xml:space="preserve"> are presented online, while climate change, water, biodiversity, land and soil, and waste </w:t>
            </w:r>
            <w:r w:rsidR="00D40339">
              <w:t>data set</w:t>
            </w:r>
            <w:r w:rsidRPr="00494ED9">
              <w:t>s are below average (ra</w:t>
            </w:r>
            <w:r w:rsidR="001969AA">
              <w:t>nging from 35 to 50 per cent).</w:t>
            </w:r>
          </w:p>
          <w:p w14:paraId="3A8B4D07" w14:textId="3B30899B"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More than half of the </w:t>
            </w:r>
            <w:r w:rsidR="00D40339">
              <w:t>data set</w:t>
            </w:r>
            <w:r w:rsidRPr="00494ED9">
              <w:t>s are shared through both reports as well as online using tables, graphs and text.</w:t>
            </w:r>
          </w:p>
          <w:p w14:paraId="0D16CB9B" w14:textId="77777777" w:rsidR="00231E32" w:rsidRDefault="00231E32" w:rsidP="00231E32">
            <w:pPr>
              <w:pStyle w:val="SingleTxtG"/>
              <w:tabs>
                <w:tab w:val="left" w:pos="6837"/>
              </w:tabs>
              <w:spacing w:before="120" w:line="240" w:lineRule="auto"/>
              <w:ind w:left="0" w:right="215"/>
              <w:rPr>
                <w:b/>
              </w:rPr>
            </w:pPr>
            <w:r w:rsidRPr="00494ED9">
              <w:rPr>
                <w:b/>
              </w:rPr>
              <w:t>Georgia</w:t>
            </w:r>
          </w:p>
          <w:p w14:paraId="3E8DA66A" w14:textId="501BE356" w:rsidR="00231E32" w:rsidRPr="00494ED9" w:rsidRDefault="00231E32" w:rsidP="00231E32">
            <w:pPr>
              <w:pStyle w:val="ListParagraph"/>
              <w:numPr>
                <w:ilvl w:val="0"/>
                <w:numId w:val="35"/>
              </w:numPr>
              <w:tabs>
                <w:tab w:val="left" w:pos="6837"/>
              </w:tabs>
              <w:spacing w:line="240" w:lineRule="auto"/>
              <w:ind w:right="216"/>
              <w:jc w:val="both"/>
            </w:pPr>
            <w:r w:rsidRPr="009E52C7">
              <w:t xml:space="preserve">Less than half </w:t>
            </w:r>
            <w:r w:rsidRPr="00494ED9">
              <w:t xml:space="preserve">of the </w:t>
            </w:r>
            <w:r w:rsidR="00D40339">
              <w:t>data set</w:t>
            </w:r>
            <w:r w:rsidRPr="00494ED9">
              <w:t xml:space="preserve">s (45 per cent) are published online. </w:t>
            </w:r>
          </w:p>
          <w:p w14:paraId="5B3617AF" w14:textId="58ED46E3"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Information is located on one platform that provides easy access to published </w:t>
            </w:r>
            <w:r w:rsidR="00D40339">
              <w:t>data set</w:t>
            </w:r>
            <w:r w:rsidRPr="00494ED9">
              <w:t xml:space="preserve">s. </w:t>
            </w:r>
          </w:p>
          <w:p w14:paraId="453772FC" w14:textId="21C55AD8"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All </w:t>
            </w:r>
            <w:r w:rsidR="00D40339">
              <w:t>data set</w:t>
            </w:r>
            <w:r w:rsidRPr="00494ED9">
              <w:t xml:space="preserve">s are published online in text or excel table format. </w:t>
            </w:r>
          </w:p>
          <w:p w14:paraId="7B43024A" w14:textId="2B3AC4EC"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Do not report on the waste, land and soil, energy related </w:t>
            </w:r>
            <w:r w:rsidR="00D40339">
              <w:t>data set</w:t>
            </w:r>
            <w:r w:rsidRPr="00494ED9">
              <w:t xml:space="preserve">s. </w:t>
            </w:r>
          </w:p>
          <w:p w14:paraId="54BBBB6E" w14:textId="08A14AE9"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Available </w:t>
            </w:r>
            <w:r w:rsidR="00D40339">
              <w:t>data set</w:t>
            </w:r>
            <w:r w:rsidRPr="00494ED9">
              <w:t>s are not completely user friendly but clear contact information is provided for all.</w:t>
            </w:r>
          </w:p>
          <w:p w14:paraId="41125030"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Information is presented into two languages that make it easier for national and international communities to access the data.</w:t>
            </w:r>
          </w:p>
          <w:p w14:paraId="769B2A7C" w14:textId="77777777" w:rsidR="00231E32" w:rsidRDefault="00231E32" w:rsidP="00231E32">
            <w:pPr>
              <w:pStyle w:val="SingleTxtG"/>
              <w:tabs>
                <w:tab w:val="left" w:pos="6837"/>
              </w:tabs>
              <w:spacing w:before="120" w:line="240" w:lineRule="auto"/>
              <w:ind w:left="0" w:right="215"/>
              <w:rPr>
                <w:b/>
              </w:rPr>
            </w:pPr>
            <w:r w:rsidRPr="00494ED9">
              <w:rPr>
                <w:b/>
              </w:rPr>
              <w:t>Germany</w:t>
            </w:r>
          </w:p>
          <w:p w14:paraId="39B9CA36" w14:textId="2EC37076" w:rsidR="00231E32" w:rsidRPr="009E52C7" w:rsidRDefault="00231E32" w:rsidP="00231E32">
            <w:pPr>
              <w:pStyle w:val="ListParagraph"/>
              <w:numPr>
                <w:ilvl w:val="0"/>
                <w:numId w:val="35"/>
              </w:numPr>
              <w:tabs>
                <w:tab w:val="left" w:pos="6837"/>
              </w:tabs>
              <w:spacing w:line="240" w:lineRule="auto"/>
              <w:ind w:right="216"/>
              <w:jc w:val="both"/>
            </w:pPr>
            <w:r w:rsidRPr="009E52C7">
              <w:t xml:space="preserve">More than half of the </w:t>
            </w:r>
            <w:r w:rsidR="00D40339">
              <w:t>data set</w:t>
            </w:r>
            <w:r w:rsidRPr="009E52C7">
              <w:t xml:space="preserve">s (60 per cent) are published online. </w:t>
            </w:r>
          </w:p>
          <w:p w14:paraId="278F5A80" w14:textId="1ABE31F7"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Information is widely spread across four websites, which complicates access to the published </w:t>
            </w:r>
            <w:r w:rsidR="00D40339">
              <w:t>data set</w:t>
            </w:r>
            <w:r w:rsidRPr="00494ED9">
              <w:t xml:space="preserve">s. </w:t>
            </w:r>
          </w:p>
          <w:p w14:paraId="418FB505"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Almost all information is presented in both text and graphic formats.</w:t>
            </w:r>
          </w:p>
          <w:p w14:paraId="41205676" w14:textId="0D8F9512"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Only 20 per cent of the published </w:t>
            </w:r>
            <w:r w:rsidR="00D40339">
              <w:t>data set</w:t>
            </w:r>
            <w:r w:rsidRPr="00494ED9">
              <w:t xml:space="preserve">s can be considered as user friendly but clear contact information is provided for all. </w:t>
            </w:r>
          </w:p>
          <w:p w14:paraId="10A1B7F3" w14:textId="5182D33C"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Sharing water and biodiversity related </w:t>
            </w:r>
            <w:r w:rsidR="00D40339">
              <w:t xml:space="preserve">data </w:t>
            </w:r>
            <w:r w:rsidR="00C90D51">
              <w:t>set</w:t>
            </w:r>
            <w:r w:rsidR="00C90D51" w:rsidRPr="00494ED9">
              <w:t>s are</w:t>
            </w:r>
            <w:r w:rsidRPr="00494ED9">
              <w:t xml:space="preserve"> significantly low (ranging between 25 and 30 per cent). </w:t>
            </w:r>
          </w:p>
          <w:p w14:paraId="271A98E8"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More than half of the information is presented in two languages, which makes it moderately easy to access information for national and international communities. </w:t>
            </w:r>
          </w:p>
          <w:p w14:paraId="4268B587" w14:textId="77777777" w:rsidR="00231E32" w:rsidRDefault="00231E32" w:rsidP="00231E32">
            <w:pPr>
              <w:pStyle w:val="SingleTxtG"/>
              <w:tabs>
                <w:tab w:val="left" w:pos="6837"/>
              </w:tabs>
              <w:spacing w:before="120" w:line="240" w:lineRule="auto"/>
              <w:ind w:left="0" w:right="215"/>
              <w:rPr>
                <w:b/>
              </w:rPr>
            </w:pPr>
            <w:r w:rsidRPr="00494ED9">
              <w:rPr>
                <w:b/>
              </w:rPr>
              <w:t>Kyrgyzstan</w:t>
            </w:r>
          </w:p>
          <w:p w14:paraId="4608CD31" w14:textId="088C8CE4"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Most of the </w:t>
            </w:r>
            <w:r w:rsidR="00D40339">
              <w:t>data set</w:t>
            </w:r>
            <w:r w:rsidRPr="00494ED9">
              <w:t xml:space="preserve">s (70 per cent) are published online. </w:t>
            </w:r>
          </w:p>
          <w:p w14:paraId="5AB49FC6"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Information is spread across </w:t>
            </w:r>
            <w:r>
              <w:t>two</w:t>
            </w:r>
            <w:r w:rsidRPr="00494ED9">
              <w:t xml:space="preserve"> platforms that meet the criteria for user friendliness</w:t>
            </w:r>
            <w:r>
              <w:t xml:space="preserve"> (referring in this case to the platforms)</w:t>
            </w:r>
            <w:r w:rsidRPr="00494ED9">
              <w:t>.</w:t>
            </w:r>
          </w:p>
          <w:p w14:paraId="5E625A00"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All information is presented in only one language, which complicates the search for data. </w:t>
            </w:r>
          </w:p>
          <w:p w14:paraId="7E23A17D" w14:textId="1305B643"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Clear contact information is provided for all </w:t>
            </w:r>
            <w:r w:rsidR="00D40339">
              <w:t>data set</w:t>
            </w:r>
            <w:r w:rsidRPr="00494ED9">
              <w:t>s.</w:t>
            </w:r>
          </w:p>
          <w:p w14:paraId="37F74367" w14:textId="5D2DDAFD"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Only energy, land and soil </w:t>
            </w:r>
            <w:r w:rsidR="00D40339">
              <w:t>data set</w:t>
            </w:r>
            <w:r w:rsidRPr="00494ED9">
              <w:t xml:space="preserve">s are not published fully online. </w:t>
            </w:r>
          </w:p>
          <w:p w14:paraId="23E19E29" w14:textId="77777777" w:rsidR="00231E32" w:rsidRDefault="00231E32" w:rsidP="00231E32">
            <w:pPr>
              <w:pStyle w:val="SingleTxtG"/>
              <w:tabs>
                <w:tab w:val="left" w:pos="6837"/>
              </w:tabs>
              <w:spacing w:before="120" w:line="240" w:lineRule="auto"/>
              <w:ind w:left="0" w:right="215"/>
              <w:rPr>
                <w:b/>
              </w:rPr>
            </w:pPr>
            <w:r w:rsidRPr="00494ED9">
              <w:rPr>
                <w:b/>
              </w:rPr>
              <w:t>Lithuania</w:t>
            </w:r>
          </w:p>
          <w:p w14:paraId="217D5946" w14:textId="43371405"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More than half of the </w:t>
            </w:r>
            <w:r w:rsidR="00D40339">
              <w:t>data set</w:t>
            </w:r>
            <w:r w:rsidRPr="00494ED9">
              <w:t xml:space="preserve">s (67 per cent) are published online. </w:t>
            </w:r>
          </w:p>
          <w:p w14:paraId="60D685C1"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Information is spread across </w:t>
            </w:r>
            <w:r>
              <w:t>two</w:t>
            </w:r>
            <w:r w:rsidRPr="00494ED9">
              <w:t xml:space="preserve"> platforms where only </w:t>
            </w:r>
            <w:r>
              <w:t>one</w:t>
            </w:r>
            <w:r w:rsidRPr="00494ED9">
              <w:t xml:space="preserve"> of the </w:t>
            </w:r>
            <w:r>
              <w:t>platforms</w:t>
            </w:r>
            <w:r w:rsidRPr="00494ED9">
              <w:t xml:space="preserve"> can be considered as user friendly. </w:t>
            </w:r>
          </w:p>
          <w:p w14:paraId="20D62737"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Around half of the information is presented in both text and graphic formats.</w:t>
            </w:r>
          </w:p>
          <w:p w14:paraId="52AB243F"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No clear contact information is provided.</w:t>
            </w:r>
          </w:p>
          <w:p w14:paraId="0A9A78BB" w14:textId="50C95C73"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No energy </w:t>
            </w:r>
            <w:r w:rsidR="00D40339">
              <w:t>data set</w:t>
            </w:r>
            <w:r w:rsidRPr="00494ED9">
              <w:t xml:space="preserve">s are shared and only half of the waste as well as land and soil </w:t>
            </w:r>
            <w:r w:rsidR="00D40339">
              <w:t>data set</w:t>
            </w:r>
            <w:r w:rsidRPr="00494ED9">
              <w:t>s are not published online.</w:t>
            </w:r>
          </w:p>
          <w:p w14:paraId="63164A5D"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Half of the information is presented in two languages, which makes it moderately easy to access information for national and international communities.</w:t>
            </w:r>
          </w:p>
          <w:p w14:paraId="692FC6F9" w14:textId="77777777" w:rsidR="00231E32" w:rsidRDefault="00231E32" w:rsidP="00231E32">
            <w:pPr>
              <w:pStyle w:val="SingleTxtG"/>
              <w:tabs>
                <w:tab w:val="left" w:pos="6837"/>
              </w:tabs>
              <w:spacing w:before="120" w:line="240" w:lineRule="auto"/>
              <w:ind w:left="0" w:right="215"/>
              <w:rPr>
                <w:b/>
              </w:rPr>
            </w:pPr>
            <w:r w:rsidRPr="00494ED9">
              <w:rPr>
                <w:b/>
              </w:rPr>
              <w:t>Russian Federation</w:t>
            </w:r>
          </w:p>
          <w:p w14:paraId="68F11B97" w14:textId="57EC9A44" w:rsidR="00231E32" w:rsidRPr="00494ED9" w:rsidRDefault="00231E32" w:rsidP="00231E32">
            <w:pPr>
              <w:pStyle w:val="ListParagraph"/>
              <w:numPr>
                <w:ilvl w:val="0"/>
                <w:numId w:val="35"/>
              </w:numPr>
              <w:tabs>
                <w:tab w:val="left" w:pos="6837"/>
              </w:tabs>
              <w:spacing w:line="240" w:lineRule="auto"/>
              <w:ind w:right="216"/>
              <w:jc w:val="both"/>
            </w:pPr>
            <w:r w:rsidRPr="009E52C7">
              <w:t xml:space="preserve">Nearly all </w:t>
            </w:r>
            <w:r w:rsidR="00D40339">
              <w:t>data set</w:t>
            </w:r>
            <w:r w:rsidRPr="009E52C7">
              <w:t>s (91</w:t>
            </w:r>
            <w:r w:rsidRPr="00494ED9">
              <w:t xml:space="preserve"> per cent) are published online.</w:t>
            </w:r>
          </w:p>
          <w:p w14:paraId="04BC6798"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Information is principally located on one platform (85 per cent) but some content is spread out across three additional (national) platforms.</w:t>
            </w:r>
          </w:p>
          <w:p w14:paraId="4ADEEFBC" w14:textId="77777777" w:rsidR="00231E32" w:rsidRPr="00CE44ED" w:rsidRDefault="00231E32" w:rsidP="00231E32">
            <w:pPr>
              <w:pStyle w:val="ListParagraph"/>
              <w:numPr>
                <w:ilvl w:val="0"/>
                <w:numId w:val="35"/>
              </w:numPr>
              <w:tabs>
                <w:tab w:val="left" w:pos="6837"/>
              </w:tabs>
              <w:spacing w:line="240" w:lineRule="auto"/>
              <w:ind w:right="216"/>
              <w:jc w:val="both"/>
            </w:pPr>
            <w:r w:rsidRPr="00CE44ED">
              <w:t xml:space="preserve">Information is presented in both text and graphic </w:t>
            </w:r>
            <w:r w:rsidRPr="009E52C7">
              <w:t>formats.</w:t>
            </w:r>
          </w:p>
          <w:p w14:paraId="659FDE01" w14:textId="77777777" w:rsidR="00231E32" w:rsidRPr="00CE44ED" w:rsidRDefault="00231E32" w:rsidP="00231E32">
            <w:pPr>
              <w:pStyle w:val="ListParagraph"/>
              <w:numPr>
                <w:ilvl w:val="0"/>
                <w:numId w:val="35"/>
              </w:numPr>
              <w:tabs>
                <w:tab w:val="left" w:pos="6837"/>
              </w:tabs>
              <w:spacing w:line="240" w:lineRule="auto"/>
              <w:ind w:right="216"/>
              <w:jc w:val="both"/>
            </w:pPr>
            <w:r w:rsidRPr="00CE44ED">
              <w:t>No clear contact information is provided.</w:t>
            </w:r>
          </w:p>
          <w:p w14:paraId="4114BCFB" w14:textId="2AE71186" w:rsidR="00231E32" w:rsidRPr="009E52C7" w:rsidRDefault="00231E32" w:rsidP="00231E32">
            <w:pPr>
              <w:pStyle w:val="ListParagraph"/>
              <w:numPr>
                <w:ilvl w:val="0"/>
                <w:numId w:val="35"/>
              </w:numPr>
              <w:tabs>
                <w:tab w:val="left" w:pos="6837"/>
              </w:tabs>
              <w:spacing w:line="240" w:lineRule="auto"/>
              <w:ind w:right="216"/>
              <w:jc w:val="both"/>
            </w:pPr>
            <w:r w:rsidRPr="009E52C7">
              <w:t xml:space="preserve">Only emission-related </w:t>
            </w:r>
            <w:r w:rsidR="00D40339">
              <w:t>data set</w:t>
            </w:r>
            <w:r w:rsidRPr="009E52C7">
              <w:t>s are not published fully online.</w:t>
            </w:r>
          </w:p>
          <w:p w14:paraId="53A2C33F" w14:textId="7D980DF4" w:rsidR="00231E32" w:rsidRPr="009E52C7" w:rsidRDefault="00231E32" w:rsidP="00231E32">
            <w:pPr>
              <w:pStyle w:val="ListParagraph"/>
              <w:numPr>
                <w:ilvl w:val="0"/>
                <w:numId w:val="35"/>
              </w:numPr>
              <w:tabs>
                <w:tab w:val="left" w:pos="6837"/>
              </w:tabs>
              <w:spacing w:line="240" w:lineRule="auto"/>
              <w:ind w:right="216"/>
              <w:jc w:val="both"/>
            </w:pPr>
            <w:r w:rsidRPr="00CE44ED">
              <w:t xml:space="preserve">All of the information is presented in only one language, which creates obstacles for international communities trying to access the </w:t>
            </w:r>
            <w:r w:rsidR="00D40339">
              <w:t>data set</w:t>
            </w:r>
            <w:r w:rsidRPr="00CE44ED">
              <w:t>s</w:t>
            </w:r>
            <w:r w:rsidRPr="009E52C7">
              <w:t>.</w:t>
            </w:r>
          </w:p>
          <w:p w14:paraId="26292E77" w14:textId="77777777" w:rsidR="00231E32" w:rsidRDefault="00231E32" w:rsidP="00231E32">
            <w:pPr>
              <w:pStyle w:val="SingleTxtG"/>
              <w:tabs>
                <w:tab w:val="left" w:pos="6837"/>
              </w:tabs>
              <w:spacing w:before="120" w:line="240" w:lineRule="auto"/>
              <w:ind w:left="0" w:right="215"/>
              <w:rPr>
                <w:b/>
              </w:rPr>
            </w:pPr>
            <w:r w:rsidRPr="00494ED9">
              <w:rPr>
                <w:b/>
              </w:rPr>
              <w:t>Sweden</w:t>
            </w:r>
          </w:p>
          <w:p w14:paraId="14E85842" w14:textId="4D5C4665"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Nearly all </w:t>
            </w:r>
            <w:r w:rsidR="00D40339">
              <w:t>data set</w:t>
            </w:r>
            <w:r w:rsidRPr="00494ED9">
              <w:t xml:space="preserve">s (98 per cent) are published online. </w:t>
            </w:r>
          </w:p>
          <w:p w14:paraId="308EAB54" w14:textId="68057B2A"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Information is located on one platform that provides easy access to published </w:t>
            </w:r>
            <w:r w:rsidR="00D40339">
              <w:t>data set</w:t>
            </w:r>
            <w:r w:rsidRPr="00494ED9">
              <w:t>s. The website is interactive and completely user friendly.</w:t>
            </w:r>
          </w:p>
          <w:p w14:paraId="6C4F76B3"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All information is presented in both text and graphic formats</w:t>
            </w:r>
          </w:p>
          <w:p w14:paraId="3F89B247" w14:textId="3552D85E"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Clear contact information is provided for all </w:t>
            </w:r>
            <w:r w:rsidR="00D40339">
              <w:t>data set</w:t>
            </w:r>
            <w:r w:rsidRPr="00494ED9">
              <w:t>s.</w:t>
            </w:r>
          </w:p>
          <w:p w14:paraId="2089345F" w14:textId="46436D62"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Most of the information is presented in only one language, which creates obstacles for international communities trying to access the </w:t>
            </w:r>
            <w:r w:rsidR="00D40339">
              <w:t>data set</w:t>
            </w:r>
            <w:r w:rsidRPr="00494ED9">
              <w:t>s.</w:t>
            </w:r>
          </w:p>
          <w:p w14:paraId="4AAAED8A" w14:textId="77777777" w:rsidR="00231E32" w:rsidRDefault="00231E32" w:rsidP="00231E32">
            <w:pPr>
              <w:pStyle w:val="SingleTxtG"/>
              <w:tabs>
                <w:tab w:val="left" w:pos="6837"/>
              </w:tabs>
              <w:spacing w:before="120" w:line="240" w:lineRule="auto"/>
              <w:ind w:left="0" w:right="215"/>
              <w:rPr>
                <w:b/>
              </w:rPr>
            </w:pPr>
            <w:r w:rsidRPr="00494ED9">
              <w:rPr>
                <w:b/>
              </w:rPr>
              <w:t>Switzerland</w:t>
            </w:r>
          </w:p>
          <w:p w14:paraId="1A67967C" w14:textId="23C81D46"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More than half of the </w:t>
            </w:r>
            <w:r w:rsidR="00D40339">
              <w:t>data set</w:t>
            </w:r>
            <w:r w:rsidRPr="00494ED9">
              <w:t xml:space="preserve">s (67 per cent) are published online. </w:t>
            </w:r>
          </w:p>
          <w:p w14:paraId="1304D43D" w14:textId="4F17C3A5"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Information is located on one platform that provide easy and user friendly access to published </w:t>
            </w:r>
            <w:r w:rsidR="00D40339">
              <w:t>data set</w:t>
            </w:r>
            <w:r w:rsidRPr="00494ED9">
              <w:t xml:space="preserve">s. </w:t>
            </w:r>
          </w:p>
          <w:p w14:paraId="3B4EDCAF" w14:textId="77777777" w:rsidR="00231E32" w:rsidRPr="00494ED9" w:rsidRDefault="00231E32" w:rsidP="00231E32">
            <w:pPr>
              <w:pStyle w:val="ListParagraph"/>
              <w:numPr>
                <w:ilvl w:val="0"/>
                <w:numId w:val="35"/>
              </w:numPr>
              <w:tabs>
                <w:tab w:val="left" w:pos="6837"/>
              </w:tabs>
              <w:spacing w:line="240" w:lineRule="auto"/>
              <w:ind w:right="216"/>
              <w:jc w:val="both"/>
            </w:pPr>
            <w:r w:rsidRPr="00494ED9">
              <w:t>All information is shared through the focal point’s website in the format of report as well as text, tables and graphs.</w:t>
            </w:r>
          </w:p>
          <w:p w14:paraId="5B750C13" w14:textId="5DB97A24" w:rsidR="00231E32" w:rsidRPr="00494ED9" w:rsidRDefault="00231E32" w:rsidP="00231E32">
            <w:pPr>
              <w:pStyle w:val="ListParagraph"/>
              <w:numPr>
                <w:ilvl w:val="0"/>
                <w:numId w:val="35"/>
              </w:numPr>
              <w:tabs>
                <w:tab w:val="left" w:pos="6837"/>
              </w:tabs>
              <w:spacing w:line="240" w:lineRule="auto"/>
              <w:ind w:right="216"/>
              <w:jc w:val="both"/>
            </w:pPr>
            <w:r w:rsidRPr="00494ED9">
              <w:t xml:space="preserve">Only water-related </w:t>
            </w:r>
            <w:r w:rsidR="00D40339">
              <w:t>data set</w:t>
            </w:r>
            <w:r w:rsidRPr="00494ED9">
              <w:t>s are reported below average (40 per cent)</w:t>
            </w:r>
          </w:p>
          <w:p w14:paraId="73D4409F" w14:textId="48D89C3C" w:rsidR="00231E32" w:rsidRDefault="00231E32" w:rsidP="00BF5000">
            <w:pPr>
              <w:pStyle w:val="ListParagraph"/>
              <w:numPr>
                <w:ilvl w:val="0"/>
                <w:numId w:val="35"/>
              </w:numPr>
              <w:tabs>
                <w:tab w:val="left" w:pos="6837"/>
              </w:tabs>
              <w:spacing w:after="120" w:line="240" w:lineRule="auto"/>
              <w:ind w:right="215" w:hanging="357"/>
              <w:jc w:val="both"/>
            </w:pPr>
            <w:r w:rsidRPr="00494ED9">
              <w:t xml:space="preserve">Both national and international communities can easily access the information as all published </w:t>
            </w:r>
            <w:r w:rsidR="00D40339">
              <w:t>data set</w:t>
            </w:r>
            <w:r w:rsidRPr="00494ED9">
              <w:t>s are presented in four languages.</w:t>
            </w:r>
          </w:p>
        </w:tc>
      </w:tr>
      <w:tr w:rsidR="00231E32" w14:paraId="43CF4D32" w14:textId="77777777" w:rsidTr="00231E32">
        <w:trPr>
          <w:trHeight w:hRule="exact" w:val="20"/>
          <w:jc w:val="center"/>
        </w:trPr>
        <w:tc>
          <w:tcPr>
            <w:tcW w:w="7441" w:type="dxa"/>
            <w:tcBorders>
              <w:bottom w:val="single" w:sz="4" w:space="0" w:color="auto"/>
            </w:tcBorders>
            <w:shd w:val="clear" w:color="auto" w:fill="auto"/>
          </w:tcPr>
          <w:p w14:paraId="500AA7AC" w14:textId="77777777" w:rsidR="00231E32" w:rsidRDefault="00231E32" w:rsidP="00231E32">
            <w:pPr>
              <w:suppressAutoHyphens w:val="0"/>
              <w:spacing w:line="240" w:lineRule="auto"/>
            </w:pPr>
          </w:p>
        </w:tc>
      </w:tr>
    </w:tbl>
    <w:p w14:paraId="02D15D98" w14:textId="7834D6C5" w:rsidR="00DA5A3D" w:rsidRPr="00502025" w:rsidRDefault="00502025" w:rsidP="00502025">
      <w:pPr>
        <w:pStyle w:val="SingleTxtG"/>
        <w:spacing w:before="240"/>
      </w:pPr>
      <w:r>
        <w:t>50</w:t>
      </w:r>
      <w:r w:rsidR="00DA5A3D" w:rsidRPr="00502025">
        <w:t>.</w:t>
      </w:r>
      <w:r w:rsidR="00DA5A3D" w:rsidRPr="00502025">
        <w:tab/>
        <w:t xml:space="preserve">The results presented throughout Box 2 and in Table 2 demonstrate some of the variations in content and quality across member States, referring to the number of </w:t>
      </w:r>
      <w:r w:rsidR="00D40339">
        <w:t>data set</w:t>
      </w:r>
      <w:r w:rsidR="00DA5A3D" w:rsidRPr="00502025">
        <w:t xml:space="preserve">s </w:t>
      </w:r>
      <w:proofErr w:type="gramStart"/>
      <w:r w:rsidR="00DA5A3D" w:rsidRPr="00502025">
        <w:t>published,</w:t>
      </w:r>
      <w:proofErr w:type="gramEnd"/>
      <w:r w:rsidR="00DA5A3D" w:rsidRPr="00502025">
        <w:t xml:space="preserve"> website user friendliness, covered thematic areas as well as languages used, etc. The point of this extended analysis has been two-fold. First and foremost, it highlights that the initial approach has not been satisfactory in addressing variations in online accessibility. Secondly, it emphasise the increased relevance to further develop the reporting mechanism for member States to address and monitor these performance gaps over time. It is crucial that the reporting mechanism can capture these types of variations. In that context, it is noted that e.g. the Working Group of the Parties to the Protocol on PRTRs at its fourth meeting (Madrid, 26 November 2015) encouraged Governments and stakeholders to consider implementation of the Protocol on PRTRs and SEIS in synergy.</w:t>
      </w:r>
      <w:r w:rsidR="00C21DE9">
        <w:rPr>
          <w:rStyle w:val="FootnoteReference"/>
        </w:rPr>
        <w:footnoteReference w:id="18"/>
      </w:r>
      <w:r w:rsidR="00DA5A3D" w:rsidRPr="00502025">
        <w:t xml:space="preserve"> The Parties to the Protocol face similar challenges and the Protocol on PRTRs provides instructions on how to present the </w:t>
      </w:r>
      <w:r w:rsidR="0023543F" w:rsidRPr="00502025">
        <w:t>registers’</w:t>
      </w:r>
      <w:r w:rsidR="00DA5A3D" w:rsidRPr="00502025">
        <w:t xml:space="preserve"> data in a clear and </w:t>
      </w:r>
      <w:r w:rsidR="0023543F" w:rsidRPr="00502025">
        <w:t>user-friendly</w:t>
      </w:r>
      <w:r w:rsidR="00DA5A3D" w:rsidRPr="00502025">
        <w:t xml:space="preserve"> way which can facilitate also the work on the implementation of SEIS.</w:t>
      </w:r>
    </w:p>
    <w:p w14:paraId="35004F4F" w14:textId="77777777" w:rsidR="00DA5A3D" w:rsidRPr="00502025" w:rsidRDefault="00502025" w:rsidP="00502025">
      <w:pPr>
        <w:pStyle w:val="SingleTxtG"/>
      </w:pPr>
      <w:r>
        <w:t>51</w:t>
      </w:r>
      <w:r w:rsidR="00DA5A3D" w:rsidRPr="00502025">
        <w:t>.</w:t>
      </w:r>
      <w:r w:rsidR="00DA5A3D" w:rsidRPr="00502025">
        <w:tab/>
        <w:t>Through decision V/1, the Meeting of the Parties to the Aarhus Convention also mandated the Task Force on Access to Information continue monitoring and supporting the development of SEIS across the region. At its fourth meeting (Geneva, 8-10 December 2015), the Task Force reiterated the importance of practical measures ensuring public access to up to date, accurate and comparable environmental information and suggested that release of such information through the internet should be accompanied, as appropriate, by information on data source, date of its production or update, information on production and verification methodology, validation methods and interpretation data. Greater integration of SEIS with INSPIRE and other processes related to the management of geospatial information was considered useful.</w:t>
      </w:r>
      <w:r w:rsidR="00C21DE9">
        <w:rPr>
          <w:rStyle w:val="FootnoteReference"/>
        </w:rPr>
        <w:footnoteReference w:id="19"/>
      </w:r>
    </w:p>
    <w:p w14:paraId="27C13573" w14:textId="77777777" w:rsidR="001472B7" w:rsidRDefault="001472B7" w:rsidP="00DD5478">
      <w:pPr>
        <w:pStyle w:val="Heading1"/>
        <w:spacing w:after="120"/>
      </w:pPr>
    </w:p>
    <w:p w14:paraId="67EF614A" w14:textId="77777777" w:rsidR="00DA5A3D" w:rsidRDefault="00DA5A3D" w:rsidP="00DD5478">
      <w:pPr>
        <w:pStyle w:val="Heading1"/>
        <w:spacing w:after="120"/>
        <w:rPr>
          <w:rStyle w:val="SingleTxtGChar"/>
          <w:b/>
        </w:rPr>
      </w:pPr>
      <w:r w:rsidRPr="009E52C7">
        <w:t>Table 2</w:t>
      </w:r>
      <w:r w:rsidR="008054BA">
        <w:br/>
      </w:r>
      <w:r w:rsidRPr="008054BA">
        <w:rPr>
          <w:rStyle w:val="SingleTxtGChar"/>
          <w:b/>
        </w:rPr>
        <w:t>Results from the extended analysis</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39"/>
        <w:gridCol w:w="549"/>
        <w:gridCol w:w="541"/>
        <w:gridCol w:w="541"/>
        <w:gridCol w:w="597"/>
        <w:gridCol w:w="584"/>
        <w:gridCol w:w="584"/>
        <w:gridCol w:w="555"/>
        <w:gridCol w:w="581"/>
        <w:gridCol w:w="614"/>
        <w:gridCol w:w="608"/>
        <w:gridCol w:w="12"/>
      </w:tblGrid>
      <w:tr w:rsidR="004655A3" w:rsidRPr="00400D2A" w14:paraId="41DB93A5" w14:textId="77777777" w:rsidTr="00BF5869">
        <w:trPr>
          <w:trHeight w:val="184"/>
          <w:tblHeader/>
        </w:trPr>
        <w:tc>
          <w:tcPr>
            <w:tcW w:w="2739" w:type="dxa"/>
            <w:tcBorders>
              <w:top w:val="single" w:sz="4" w:space="0" w:color="auto"/>
              <w:bottom w:val="nil"/>
            </w:tcBorders>
            <w:shd w:val="clear" w:color="auto" w:fill="auto"/>
            <w:noWrap/>
            <w:vAlign w:val="bottom"/>
            <w:hideMark/>
          </w:tcPr>
          <w:p w14:paraId="657451AF" w14:textId="77777777" w:rsidR="004655A3" w:rsidRPr="00400D2A" w:rsidRDefault="004655A3" w:rsidP="00B81858">
            <w:pPr>
              <w:suppressAutoHyphens w:val="0"/>
              <w:spacing w:before="80" w:after="80" w:line="200" w:lineRule="exact"/>
              <w:ind w:right="113"/>
              <w:rPr>
                <w:i/>
                <w:sz w:val="16"/>
              </w:rPr>
            </w:pPr>
          </w:p>
        </w:tc>
        <w:tc>
          <w:tcPr>
            <w:tcW w:w="5766" w:type="dxa"/>
            <w:gridSpan w:val="11"/>
            <w:tcBorders>
              <w:top w:val="single" w:sz="4" w:space="0" w:color="auto"/>
              <w:bottom w:val="single" w:sz="4" w:space="0" w:color="auto"/>
            </w:tcBorders>
            <w:shd w:val="clear" w:color="auto" w:fill="auto"/>
            <w:vAlign w:val="bottom"/>
          </w:tcPr>
          <w:p w14:paraId="3A6EA5CE" w14:textId="77777777" w:rsidR="004655A3" w:rsidRPr="00400D2A" w:rsidRDefault="004655A3" w:rsidP="00B81858">
            <w:pPr>
              <w:suppressAutoHyphens w:val="0"/>
              <w:spacing w:before="80" w:after="80" w:line="200" w:lineRule="exact"/>
              <w:ind w:right="113"/>
              <w:rPr>
                <w:i/>
                <w:sz w:val="16"/>
              </w:rPr>
            </w:pPr>
            <w:r w:rsidRPr="00400D2A">
              <w:rPr>
                <w:i/>
                <w:sz w:val="16"/>
              </w:rPr>
              <w:t>Country</w:t>
            </w:r>
          </w:p>
        </w:tc>
      </w:tr>
      <w:tr w:rsidR="004655A3" w:rsidRPr="00400D2A" w14:paraId="4F273DC2" w14:textId="77777777" w:rsidTr="00BF5869">
        <w:trPr>
          <w:gridAfter w:val="1"/>
          <w:wAfter w:w="12" w:type="dxa"/>
          <w:trHeight w:val="300"/>
          <w:tblHeader/>
        </w:trPr>
        <w:tc>
          <w:tcPr>
            <w:tcW w:w="2739" w:type="dxa"/>
            <w:tcBorders>
              <w:top w:val="nil"/>
              <w:bottom w:val="single" w:sz="12" w:space="0" w:color="auto"/>
            </w:tcBorders>
            <w:shd w:val="clear" w:color="auto" w:fill="auto"/>
            <w:hideMark/>
          </w:tcPr>
          <w:p w14:paraId="1FBC098B" w14:textId="77777777" w:rsidR="004655A3" w:rsidRPr="00400D2A" w:rsidRDefault="004655A3" w:rsidP="00B81858">
            <w:pPr>
              <w:suppressAutoHyphens w:val="0"/>
              <w:spacing w:before="80" w:after="80" w:line="200" w:lineRule="exact"/>
              <w:ind w:right="113"/>
            </w:pPr>
            <w:r w:rsidRPr="00B47C22">
              <w:rPr>
                <w:i/>
                <w:sz w:val="16"/>
              </w:rPr>
              <w:t>Questions</w:t>
            </w:r>
          </w:p>
        </w:tc>
        <w:tc>
          <w:tcPr>
            <w:tcW w:w="549" w:type="dxa"/>
            <w:tcBorders>
              <w:top w:val="nil"/>
              <w:bottom w:val="single" w:sz="12" w:space="0" w:color="auto"/>
            </w:tcBorders>
            <w:shd w:val="clear" w:color="auto" w:fill="auto"/>
          </w:tcPr>
          <w:p w14:paraId="0BC6E2DB" w14:textId="77777777" w:rsidR="004655A3" w:rsidRPr="00B81858" w:rsidRDefault="004655A3" w:rsidP="00B81858">
            <w:pPr>
              <w:suppressAutoHyphens w:val="0"/>
              <w:spacing w:before="80" w:after="80" w:line="200" w:lineRule="exact"/>
              <w:ind w:right="113"/>
              <w:rPr>
                <w:i/>
                <w:sz w:val="16"/>
                <w:szCs w:val="16"/>
              </w:rPr>
            </w:pPr>
            <w:r w:rsidRPr="00B81858">
              <w:rPr>
                <w:i/>
                <w:sz w:val="16"/>
                <w:szCs w:val="16"/>
              </w:rPr>
              <w:t>AUT</w:t>
            </w:r>
          </w:p>
        </w:tc>
        <w:tc>
          <w:tcPr>
            <w:tcW w:w="541" w:type="dxa"/>
            <w:tcBorders>
              <w:top w:val="nil"/>
              <w:bottom w:val="single" w:sz="12" w:space="0" w:color="auto"/>
            </w:tcBorders>
            <w:shd w:val="clear" w:color="auto" w:fill="auto"/>
            <w:noWrap/>
            <w:hideMark/>
          </w:tcPr>
          <w:p w14:paraId="67F9985D" w14:textId="77777777" w:rsidR="004655A3" w:rsidRPr="00B81858" w:rsidRDefault="004655A3" w:rsidP="00B81858">
            <w:pPr>
              <w:suppressAutoHyphens w:val="0"/>
              <w:spacing w:before="80" w:after="80" w:line="200" w:lineRule="exact"/>
              <w:ind w:right="113"/>
              <w:rPr>
                <w:i/>
                <w:sz w:val="16"/>
                <w:szCs w:val="16"/>
              </w:rPr>
            </w:pPr>
            <w:r w:rsidRPr="00B81858">
              <w:rPr>
                <w:i/>
                <w:sz w:val="16"/>
                <w:szCs w:val="16"/>
              </w:rPr>
              <w:t>BIH</w:t>
            </w:r>
          </w:p>
        </w:tc>
        <w:tc>
          <w:tcPr>
            <w:tcW w:w="541" w:type="dxa"/>
            <w:tcBorders>
              <w:top w:val="nil"/>
              <w:bottom w:val="single" w:sz="12" w:space="0" w:color="auto"/>
            </w:tcBorders>
            <w:shd w:val="clear" w:color="auto" w:fill="auto"/>
            <w:noWrap/>
            <w:hideMark/>
          </w:tcPr>
          <w:p w14:paraId="6D571973" w14:textId="77777777" w:rsidR="004655A3" w:rsidRPr="00B81858" w:rsidRDefault="004655A3" w:rsidP="00B81858">
            <w:pPr>
              <w:suppressAutoHyphens w:val="0"/>
              <w:spacing w:before="80" w:after="80" w:line="200" w:lineRule="exact"/>
              <w:ind w:right="113"/>
              <w:rPr>
                <w:i/>
                <w:sz w:val="16"/>
                <w:szCs w:val="16"/>
              </w:rPr>
            </w:pPr>
            <w:r w:rsidRPr="00B81858">
              <w:rPr>
                <w:i/>
                <w:sz w:val="16"/>
                <w:szCs w:val="16"/>
              </w:rPr>
              <w:t>FRA</w:t>
            </w:r>
          </w:p>
        </w:tc>
        <w:tc>
          <w:tcPr>
            <w:tcW w:w="597" w:type="dxa"/>
            <w:tcBorders>
              <w:top w:val="nil"/>
              <w:bottom w:val="single" w:sz="12" w:space="0" w:color="auto"/>
            </w:tcBorders>
            <w:shd w:val="clear" w:color="auto" w:fill="auto"/>
            <w:noWrap/>
            <w:hideMark/>
          </w:tcPr>
          <w:p w14:paraId="41783FAC" w14:textId="77777777" w:rsidR="004655A3" w:rsidRPr="00B81858" w:rsidRDefault="004655A3" w:rsidP="00B81858">
            <w:pPr>
              <w:suppressAutoHyphens w:val="0"/>
              <w:spacing w:before="80" w:after="80" w:line="200" w:lineRule="exact"/>
              <w:ind w:right="113"/>
              <w:rPr>
                <w:i/>
                <w:sz w:val="16"/>
                <w:szCs w:val="16"/>
              </w:rPr>
            </w:pPr>
            <w:r w:rsidRPr="00B81858">
              <w:rPr>
                <w:i/>
                <w:sz w:val="16"/>
                <w:szCs w:val="16"/>
              </w:rPr>
              <w:t>GEO</w:t>
            </w:r>
          </w:p>
        </w:tc>
        <w:tc>
          <w:tcPr>
            <w:tcW w:w="584" w:type="dxa"/>
            <w:tcBorders>
              <w:top w:val="nil"/>
              <w:bottom w:val="single" w:sz="12" w:space="0" w:color="auto"/>
            </w:tcBorders>
            <w:shd w:val="clear" w:color="auto" w:fill="auto"/>
            <w:noWrap/>
            <w:hideMark/>
          </w:tcPr>
          <w:p w14:paraId="3D2F7CBB" w14:textId="77777777" w:rsidR="004655A3" w:rsidRPr="00B81858" w:rsidRDefault="004655A3" w:rsidP="00B81858">
            <w:pPr>
              <w:suppressAutoHyphens w:val="0"/>
              <w:spacing w:before="80" w:after="80" w:line="200" w:lineRule="exact"/>
              <w:ind w:right="113"/>
              <w:rPr>
                <w:i/>
                <w:sz w:val="16"/>
                <w:szCs w:val="16"/>
              </w:rPr>
            </w:pPr>
            <w:r w:rsidRPr="00B81858">
              <w:rPr>
                <w:i/>
                <w:sz w:val="16"/>
                <w:szCs w:val="16"/>
              </w:rPr>
              <w:t>DEU</w:t>
            </w:r>
          </w:p>
        </w:tc>
        <w:tc>
          <w:tcPr>
            <w:tcW w:w="584" w:type="dxa"/>
            <w:tcBorders>
              <w:top w:val="nil"/>
              <w:bottom w:val="single" w:sz="12" w:space="0" w:color="auto"/>
            </w:tcBorders>
            <w:shd w:val="clear" w:color="auto" w:fill="auto"/>
            <w:noWrap/>
            <w:hideMark/>
          </w:tcPr>
          <w:p w14:paraId="61D0E434" w14:textId="77777777" w:rsidR="004655A3" w:rsidRPr="00B81858" w:rsidRDefault="004655A3" w:rsidP="00B81858">
            <w:pPr>
              <w:suppressAutoHyphens w:val="0"/>
              <w:spacing w:before="80" w:after="80" w:line="200" w:lineRule="exact"/>
              <w:ind w:right="113"/>
              <w:rPr>
                <w:i/>
                <w:sz w:val="16"/>
                <w:szCs w:val="16"/>
              </w:rPr>
            </w:pPr>
            <w:r w:rsidRPr="00B81858">
              <w:rPr>
                <w:i/>
                <w:sz w:val="16"/>
                <w:szCs w:val="16"/>
              </w:rPr>
              <w:t>KGZ</w:t>
            </w:r>
          </w:p>
        </w:tc>
        <w:tc>
          <w:tcPr>
            <w:tcW w:w="555" w:type="dxa"/>
            <w:tcBorders>
              <w:top w:val="nil"/>
              <w:bottom w:val="single" w:sz="12" w:space="0" w:color="auto"/>
            </w:tcBorders>
            <w:shd w:val="clear" w:color="auto" w:fill="auto"/>
            <w:noWrap/>
            <w:hideMark/>
          </w:tcPr>
          <w:p w14:paraId="25CF89AA" w14:textId="77777777" w:rsidR="004655A3" w:rsidRPr="00B81858" w:rsidRDefault="004655A3" w:rsidP="00B81858">
            <w:pPr>
              <w:suppressAutoHyphens w:val="0"/>
              <w:spacing w:before="80" w:after="80" w:line="200" w:lineRule="exact"/>
              <w:ind w:right="113"/>
              <w:rPr>
                <w:i/>
                <w:sz w:val="16"/>
                <w:szCs w:val="16"/>
              </w:rPr>
            </w:pPr>
            <w:r w:rsidRPr="00B81858">
              <w:rPr>
                <w:i/>
                <w:sz w:val="16"/>
                <w:szCs w:val="16"/>
              </w:rPr>
              <w:t>LTU</w:t>
            </w:r>
          </w:p>
        </w:tc>
        <w:tc>
          <w:tcPr>
            <w:tcW w:w="581" w:type="dxa"/>
            <w:tcBorders>
              <w:top w:val="nil"/>
              <w:bottom w:val="single" w:sz="12" w:space="0" w:color="auto"/>
            </w:tcBorders>
            <w:shd w:val="clear" w:color="auto" w:fill="auto"/>
          </w:tcPr>
          <w:p w14:paraId="25E11261" w14:textId="77777777" w:rsidR="004655A3" w:rsidRPr="00B81858" w:rsidRDefault="004655A3" w:rsidP="00B81858">
            <w:pPr>
              <w:suppressAutoHyphens w:val="0"/>
              <w:spacing w:before="80" w:after="80" w:line="200" w:lineRule="exact"/>
              <w:ind w:right="113"/>
              <w:rPr>
                <w:i/>
                <w:sz w:val="16"/>
                <w:szCs w:val="16"/>
              </w:rPr>
            </w:pPr>
            <w:r w:rsidRPr="00B81858">
              <w:rPr>
                <w:i/>
                <w:sz w:val="16"/>
                <w:szCs w:val="16"/>
              </w:rPr>
              <w:t>RUS</w:t>
            </w:r>
          </w:p>
        </w:tc>
        <w:tc>
          <w:tcPr>
            <w:tcW w:w="614" w:type="dxa"/>
            <w:tcBorders>
              <w:top w:val="nil"/>
              <w:bottom w:val="single" w:sz="12" w:space="0" w:color="auto"/>
            </w:tcBorders>
            <w:shd w:val="clear" w:color="auto" w:fill="auto"/>
            <w:noWrap/>
            <w:hideMark/>
          </w:tcPr>
          <w:p w14:paraId="468AE1FD" w14:textId="77777777" w:rsidR="004655A3" w:rsidRPr="00B81858" w:rsidRDefault="004655A3" w:rsidP="00B81858">
            <w:pPr>
              <w:suppressAutoHyphens w:val="0"/>
              <w:spacing w:before="80" w:after="80" w:line="200" w:lineRule="exact"/>
              <w:ind w:right="113"/>
              <w:rPr>
                <w:i/>
                <w:sz w:val="16"/>
                <w:szCs w:val="16"/>
              </w:rPr>
            </w:pPr>
            <w:r w:rsidRPr="00B81858">
              <w:rPr>
                <w:i/>
                <w:sz w:val="16"/>
                <w:szCs w:val="16"/>
              </w:rPr>
              <w:t>SWE</w:t>
            </w:r>
          </w:p>
        </w:tc>
        <w:tc>
          <w:tcPr>
            <w:tcW w:w="608" w:type="dxa"/>
            <w:tcBorders>
              <w:top w:val="nil"/>
              <w:bottom w:val="single" w:sz="12" w:space="0" w:color="auto"/>
            </w:tcBorders>
            <w:shd w:val="clear" w:color="auto" w:fill="auto"/>
            <w:noWrap/>
            <w:hideMark/>
          </w:tcPr>
          <w:p w14:paraId="590C7D14" w14:textId="77777777" w:rsidR="004655A3" w:rsidRPr="00B81858" w:rsidRDefault="004655A3" w:rsidP="00B81858">
            <w:pPr>
              <w:suppressAutoHyphens w:val="0"/>
              <w:spacing w:before="80" w:after="80" w:line="200" w:lineRule="exact"/>
              <w:ind w:right="113"/>
              <w:rPr>
                <w:i/>
                <w:sz w:val="16"/>
                <w:szCs w:val="16"/>
              </w:rPr>
            </w:pPr>
            <w:r w:rsidRPr="00B81858">
              <w:rPr>
                <w:i/>
                <w:sz w:val="16"/>
                <w:szCs w:val="16"/>
              </w:rPr>
              <w:t>CHE</w:t>
            </w:r>
          </w:p>
        </w:tc>
      </w:tr>
      <w:tr w:rsidR="00BF5869" w:rsidRPr="00400D2A" w14:paraId="2B35F4DC" w14:textId="77777777" w:rsidTr="00BF5869">
        <w:trPr>
          <w:gridAfter w:val="1"/>
          <w:wAfter w:w="12" w:type="dxa"/>
          <w:trHeight w:hRule="exact" w:val="113"/>
          <w:tblHeader/>
        </w:trPr>
        <w:tc>
          <w:tcPr>
            <w:tcW w:w="2739" w:type="dxa"/>
            <w:tcBorders>
              <w:top w:val="single" w:sz="12" w:space="0" w:color="auto"/>
              <w:bottom w:val="nil"/>
            </w:tcBorders>
            <w:shd w:val="clear" w:color="auto" w:fill="auto"/>
          </w:tcPr>
          <w:p w14:paraId="2F791EFC" w14:textId="77777777" w:rsidR="00BF5869" w:rsidRPr="00400D2A" w:rsidRDefault="00BF5869" w:rsidP="00876292">
            <w:pPr>
              <w:suppressAutoHyphens w:val="0"/>
              <w:spacing w:before="40" w:after="120" w:line="220" w:lineRule="exact"/>
              <w:ind w:right="113"/>
            </w:pPr>
          </w:p>
        </w:tc>
        <w:tc>
          <w:tcPr>
            <w:tcW w:w="549" w:type="dxa"/>
            <w:tcBorders>
              <w:top w:val="single" w:sz="12" w:space="0" w:color="auto"/>
              <w:bottom w:val="nil"/>
            </w:tcBorders>
            <w:shd w:val="clear" w:color="auto" w:fill="auto"/>
          </w:tcPr>
          <w:p w14:paraId="54A6656A" w14:textId="77777777" w:rsidR="00BF5869" w:rsidRPr="00400D2A" w:rsidRDefault="00BF5869" w:rsidP="00876292">
            <w:pPr>
              <w:suppressAutoHyphens w:val="0"/>
              <w:spacing w:before="40" w:after="120" w:line="220" w:lineRule="exact"/>
              <w:ind w:right="113"/>
            </w:pPr>
          </w:p>
        </w:tc>
        <w:tc>
          <w:tcPr>
            <w:tcW w:w="541" w:type="dxa"/>
            <w:tcBorders>
              <w:top w:val="single" w:sz="12" w:space="0" w:color="auto"/>
              <w:bottom w:val="nil"/>
            </w:tcBorders>
            <w:shd w:val="clear" w:color="auto" w:fill="auto"/>
            <w:noWrap/>
          </w:tcPr>
          <w:p w14:paraId="0E8D725F" w14:textId="77777777" w:rsidR="00BF5869" w:rsidRPr="00400D2A" w:rsidRDefault="00BF5869" w:rsidP="00876292">
            <w:pPr>
              <w:suppressAutoHyphens w:val="0"/>
              <w:spacing w:before="40" w:after="120" w:line="220" w:lineRule="exact"/>
              <w:ind w:right="113"/>
            </w:pPr>
          </w:p>
        </w:tc>
        <w:tc>
          <w:tcPr>
            <w:tcW w:w="541" w:type="dxa"/>
            <w:tcBorders>
              <w:top w:val="single" w:sz="12" w:space="0" w:color="auto"/>
              <w:bottom w:val="nil"/>
            </w:tcBorders>
            <w:shd w:val="clear" w:color="auto" w:fill="auto"/>
            <w:noWrap/>
          </w:tcPr>
          <w:p w14:paraId="63695856" w14:textId="77777777" w:rsidR="00BF5869" w:rsidRPr="00400D2A" w:rsidRDefault="00BF5869" w:rsidP="00876292">
            <w:pPr>
              <w:suppressAutoHyphens w:val="0"/>
              <w:spacing w:before="40" w:after="120" w:line="220" w:lineRule="exact"/>
              <w:ind w:right="113"/>
            </w:pPr>
          </w:p>
        </w:tc>
        <w:tc>
          <w:tcPr>
            <w:tcW w:w="597" w:type="dxa"/>
            <w:tcBorders>
              <w:top w:val="single" w:sz="12" w:space="0" w:color="auto"/>
              <w:bottom w:val="nil"/>
            </w:tcBorders>
            <w:shd w:val="clear" w:color="auto" w:fill="auto"/>
            <w:noWrap/>
          </w:tcPr>
          <w:p w14:paraId="5B6ED36D" w14:textId="77777777" w:rsidR="00BF5869" w:rsidRPr="00400D2A" w:rsidRDefault="00BF5869" w:rsidP="00876292">
            <w:pPr>
              <w:suppressAutoHyphens w:val="0"/>
              <w:spacing w:before="40" w:after="120" w:line="220" w:lineRule="exact"/>
              <w:ind w:right="113"/>
            </w:pPr>
          </w:p>
        </w:tc>
        <w:tc>
          <w:tcPr>
            <w:tcW w:w="584" w:type="dxa"/>
            <w:tcBorders>
              <w:top w:val="single" w:sz="12" w:space="0" w:color="auto"/>
              <w:bottom w:val="nil"/>
            </w:tcBorders>
            <w:shd w:val="clear" w:color="auto" w:fill="auto"/>
            <w:noWrap/>
          </w:tcPr>
          <w:p w14:paraId="45B1E3EC" w14:textId="77777777" w:rsidR="00BF5869" w:rsidRPr="00400D2A" w:rsidRDefault="00BF5869" w:rsidP="00876292">
            <w:pPr>
              <w:suppressAutoHyphens w:val="0"/>
              <w:spacing w:before="40" w:after="120" w:line="220" w:lineRule="exact"/>
              <w:ind w:right="113"/>
            </w:pPr>
          </w:p>
        </w:tc>
        <w:tc>
          <w:tcPr>
            <w:tcW w:w="584" w:type="dxa"/>
            <w:tcBorders>
              <w:top w:val="single" w:sz="12" w:space="0" w:color="auto"/>
              <w:bottom w:val="nil"/>
            </w:tcBorders>
            <w:shd w:val="clear" w:color="auto" w:fill="auto"/>
            <w:noWrap/>
          </w:tcPr>
          <w:p w14:paraId="5481C114" w14:textId="77777777" w:rsidR="00BF5869" w:rsidRPr="00400D2A" w:rsidRDefault="00BF5869" w:rsidP="00876292">
            <w:pPr>
              <w:suppressAutoHyphens w:val="0"/>
              <w:spacing w:before="40" w:after="120" w:line="220" w:lineRule="exact"/>
              <w:ind w:right="113"/>
            </w:pPr>
          </w:p>
        </w:tc>
        <w:tc>
          <w:tcPr>
            <w:tcW w:w="555" w:type="dxa"/>
            <w:tcBorders>
              <w:top w:val="single" w:sz="12" w:space="0" w:color="auto"/>
              <w:bottom w:val="nil"/>
            </w:tcBorders>
            <w:shd w:val="clear" w:color="auto" w:fill="auto"/>
            <w:noWrap/>
          </w:tcPr>
          <w:p w14:paraId="10D90F22" w14:textId="77777777" w:rsidR="00BF5869" w:rsidRPr="00400D2A" w:rsidRDefault="00BF5869" w:rsidP="00876292">
            <w:pPr>
              <w:suppressAutoHyphens w:val="0"/>
              <w:spacing w:before="40" w:after="120" w:line="220" w:lineRule="exact"/>
              <w:ind w:right="113"/>
            </w:pPr>
          </w:p>
        </w:tc>
        <w:tc>
          <w:tcPr>
            <w:tcW w:w="581" w:type="dxa"/>
            <w:tcBorders>
              <w:top w:val="single" w:sz="12" w:space="0" w:color="auto"/>
              <w:bottom w:val="nil"/>
            </w:tcBorders>
            <w:shd w:val="clear" w:color="auto" w:fill="auto"/>
          </w:tcPr>
          <w:p w14:paraId="72265048" w14:textId="77777777" w:rsidR="00BF5869" w:rsidRPr="00400D2A" w:rsidRDefault="00BF5869" w:rsidP="00876292">
            <w:pPr>
              <w:suppressAutoHyphens w:val="0"/>
              <w:spacing w:before="40" w:after="120" w:line="220" w:lineRule="exact"/>
              <w:ind w:right="113"/>
            </w:pPr>
          </w:p>
        </w:tc>
        <w:tc>
          <w:tcPr>
            <w:tcW w:w="614" w:type="dxa"/>
            <w:tcBorders>
              <w:top w:val="single" w:sz="12" w:space="0" w:color="auto"/>
              <w:bottom w:val="nil"/>
            </w:tcBorders>
            <w:shd w:val="clear" w:color="auto" w:fill="auto"/>
            <w:noWrap/>
          </w:tcPr>
          <w:p w14:paraId="42E2DE8E" w14:textId="77777777" w:rsidR="00BF5869" w:rsidRPr="00400D2A" w:rsidRDefault="00BF5869" w:rsidP="00876292">
            <w:pPr>
              <w:suppressAutoHyphens w:val="0"/>
              <w:spacing w:before="40" w:after="120" w:line="220" w:lineRule="exact"/>
              <w:ind w:right="113"/>
            </w:pPr>
          </w:p>
        </w:tc>
        <w:tc>
          <w:tcPr>
            <w:tcW w:w="608" w:type="dxa"/>
            <w:tcBorders>
              <w:top w:val="single" w:sz="12" w:space="0" w:color="auto"/>
              <w:bottom w:val="nil"/>
            </w:tcBorders>
            <w:shd w:val="clear" w:color="auto" w:fill="auto"/>
            <w:noWrap/>
          </w:tcPr>
          <w:p w14:paraId="1480C5EE" w14:textId="77777777" w:rsidR="00BF5869" w:rsidRPr="00400D2A" w:rsidRDefault="00BF5869" w:rsidP="00876292">
            <w:pPr>
              <w:suppressAutoHyphens w:val="0"/>
              <w:spacing w:before="40" w:after="120" w:line="220" w:lineRule="exact"/>
              <w:ind w:right="113"/>
            </w:pPr>
          </w:p>
        </w:tc>
      </w:tr>
      <w:tr w:rsidR="004655A3" w:rsidRPr="00400D2A" w14:paraId="45E5FB75" w14:textId="77777777" w:rsidTr="00DD71C4">
        <w:trPr>
          <w:gridAfter w:val="1"/>
          <w:wAfter w:w="12" w:type="dxa"/>
          <w:trHeight w:val="558"/>
        </w:trPr>
        <w:tc>
          <w:tcPr>
            <w:tcW w:w="2739" w:type="dxa"/>
            <w:tcBorders>
              <w:top w:val="nil"/>
              <w:bottom w:val="nil"/>
            </w:tcBorders>
            <w:shd w:val="clear" w:color="auto" w:fill="auto"/>
            <w:hideMark/>
          </w:tcPr>
          <w:p w14:paraId="4FFF54A4" w14:textId="0D2CCB14" w:rsidR="004655A3" w:rsidRPr="00B81858" w:rsidRDefault="004655A3" w:rsidP="00B81858">
            <w:pPr>
              <w:suppressAutoHyphens w:val="0"/>
              <w:spacing w:before="40" w:after="40" w:line="220" w:lineRule="exact"/>
              <w:ind w:right="113"/>
              <w:rPr>
                <w:sz w:val="18"/>
                <w:szCs w:val="18"/>
              </w:rPr>
            </w:pPr>
            <w:r w:rsidRPr="00B81858">
              <w:rPr>
                <w:sz w:val="18"/>
                <w:szCs w:val="18"/>
              </w:rPr>
              <w:t xml:space="preserve">In how many languages are the national </w:t>
            </w:r>
            <w:r w:rsidR="00D40339">
              <w:rPr>
                <w:sz w:val="18"/>
                <w:szCs w:val="18"/>
              </w:rPr>
              <w:t>data set</w:t>
            </w:r>
            <w:r w:rsidRPr="00B81858">
              <w:rPr>
                <w:sz w:val="18"/>
                <w:szCs w:val="18"/>
              </w:rPr>
              <w:t>s and related information published?</w:t>
            </w:r>
          </w:p>
        </w:tc>
        <w:tc>
          <w:tcPr>
            <w:tcW w:w="549" w:type="dxa"/>
            <w:tcBorders>
              <w:top w:val="nil"/>
              <w:bottom w:val="nil"/>
            </w:tcBorders>
            <w:shd w:val="clear" w:color="auto" w:fill="auto"/>
            <w:vAlign w:val="bottom"/>
          </w:tcPr>
          <w:p w14:paraId="115F04AD"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541" w:type="dxa"/>
            <w:tcBorders>
              <w:top w:val="nil"/>
              <w:bottom w:val="nil"/>
            </w:tcBorders>
            <w:shd w:val="clear" w:color="auto" w:fill="auto"/>
            <w:noWrap/>
            <w:vAlign w:val="bottom"/>
            <w:hideMark/>
          </w:tcPr>
          <w:p w14:paraId="0543264F"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4</w:t>
            </w:r>
          </w:p>
        </w:tc>
        <w:tc>
          <w:tcPr>
            <w:tcW w:w="541" w:type="dxa"/>
            <w:tcBorders>
              <w:top w:val="nil"/>
              <w:bottom w:val="nil"/>
            </w:tcBorders>
            <w:shd w:val="clear" w:color="auto" w:fill="auto"/>
            <w:noWrap/>
            <w:vAlign w:val="bottom"/>
            <w:hideMark/>
          </w:tcPr>
          <w:p w14:paraId="7C2166C8"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597" w:type="dxa"/>
            <w:tcBorders>
              <w:top w:val="nil"/>
              <w:bottom w:val="nil"/>
            </w:tcBorders>
            <w:shd w:val="clear" w:color="auto" w:fill="auto"/>
            <w:noWrap/>
            <w:vAlign w:val="bottom"/>
            <w:hideMark/>
          </w:tcPr>
          <w:p w14:paraId="28710ECD"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584" w:type="dxa"/>
            <w:tcBorders>
              <w:top w:val="nil"/>
              <w:bottom w:val="nil"/>
            </w:tcBorders>
            <w:shd w:val="clear" w:color="auto" w:fill="auto"/>
            <w:noWrap/>
            <w:vAlign w:val="bottom"/>
            <w:hideMark/>
          </w:tcPr>
          <w:p w14:paraId="1451A9F7"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584" w:type="dxa"/>
            <w:tcBorders>
              <w:top w:val="nil"/>
              <w:bottom w:val="nil"/>
            </w:tcBorders>
            <w:shd w:val="clear" w:color="auto" w:fill="auto"/>
            <w:noWrap/>
            <w:vAlign w:val="bottom"/>
            <w:hideMark/>
          </w:tcPr>
          <w:p w14:paraId="1BF213E4"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1</w:t>
            </w:r>
          </w:p>
        </w:tc>
        <w:tc>
          <w:tcPr>
            <w:tcW w:w="555" w:type="dxa"/>
            <w:tcBorders>
              <w:top w:val="nil"/>
              <w:bottom w:val="nil"/>
            </w:tcBorders>
            <w:shd w:val="clear" w:color="auto" w:fill="auto"/>
            <w:noWrap/>
            <w:vAlign w:val="bottom"/>
            <w:hideMark/>
          </w:tcPr>
          <w:p w14:paraId="30F1DD48"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581" w:type="dxa"/>
            <w:tcBorders>
              <w:top w:val="nil"/>
              <w:bottom w:val="nil"/>
            </w:tcBorders>
            <w:shd w:val="clear" w:color="auto" w:fill="auto"/>
            <w:vAlign w:val="bottom"/>
          </w:tcPr>
          <w:p w14:paraId="49C2E9A0"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1</w:t>
            </w:r>
          </w:p>
        </w:tc>
        <w:tc>
          <w:tcPr>
            <w:tcW w:w="614" w:type="dxa"/>
            <w:tcBorders>
              <w:top w:val="nil"/>
              <w:bottom w:val="nil"/>
            </w:tcBorders>
            <w:shd w:val="clear" w:color="auto" w:fill="auto"/>
            <w:noWrap/>
            <w:vAlign w:val="bottom"/>
            <w:hideMark/>
          </w:tcPr>
          <w:p w14:paraId="55896A21"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1</w:t>
            </w:r>
          </w:p>
        </w:tc>
        <w:tc>
          <w:tcPr>
            <w:tcW w:w="608" w:type="dxa"/>
            <w:tcBorders>
              <w:top w:val="nil"/>
              <w:bottom w:val="nil"/>
            </w:tcBorders>
            <w:shd w:val="clear" w:color="auto" w:fill="auto"/>
            <w:noWrap/>
            <w:vAlign w:val="bottom"/>
            <w:hideMark/>
          </w:tcPr>
          <w:p w14:paraId="13B94703"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4</w:t>
            </w:r>
          </w:p>
        </w:tc>
      </w:tr>
      <w:tr w:rsidR="004655A3" w:rsidRPr="00400D2A" w14:paraId="56E5DA9A" w14:textId="77777777" w:rsidTr="00DD71C4">
        <w:trPr>
          <w:gridAfter w:val="1"/>
          <w:wAfter w:w="12" w:type="dxa"/>
          <w:trHeight w:val="558"/>
        </w:trPr>
        <w:tc>
          <w:tcPr>
            <w:tcW w:w="2739" w:type="dxa"/>
            <w:tcBorders>
              <w:top w:val="nil"/>
            </w:tcBorders>
            <w:shd w:val="clear" w:color="auto" w:fill="auto"/>
            <w:hideMark/>
          </w:tcPr>
          <w:p w14:paraId="22EC8847" w14:textId="0A776AA0" w:rsidR="004655A3" w:rsidRPr="00B81858" w:rsidRDefault="004655A3" w:rsidP="00B81858">
            <w:pPr>
              <w:suppressAutoHyphens w:val="0"/>
              <w:spacing w:before="40" w:after="40" w:line="220" w:lineRule="exact"/>
              <w:ind w:right="113"/>
              <w:rPr>
                <w:sz w:val="18"/>
                <w:szCs w:val="18"/>
              </w:rPr>
            </w:pPr>
            <w:r w:rsidRPr="00B81858">
              <w:rPr>
                <w:sz w:val="18"/>
                <w:szCs w:val="18"/>
              </w:rPr>
              <w:t xml:space="preserve">Across how many online platforms are the national </w:t>
            </w:r>
            <w:r w:rsidR="00D40339">
              <w:rPr>
                <w:sz w:val="18"/>
                <w:szCs w:val="18"/>
              </w:rPr>
              <w:t>data set</w:t>
            </w:r>
            <w:r w:rsidRPr="00B81858">
              <w:rPr>
                <w:sz w:val="18"/>
                <w:szCs w:val="18"/>
              </w:rPr>
              <w:t>s and related information published?</w:t>
            </w:r>
          </w:p>
        </w:tc>
        <w:tc>
          <w:tcPr>
            <w:tcW w:w="549" w:type="dxa"/>
            <w:tcBorders>
              <w:top w:val="nil"/>
            </w:tcBorders>
            <w:shd w:val="clear" w:color="auto" w:fill="auto"/>
            <w:vAlign w:val="bottom"/>
          </w:tcPr>
          <w:p w14:paraId="6734DE49"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6</w:t>
            </w:r>
          </w:p>
        </w:tc>
        <w:tc>
          <w:tcPr>
            <w:tcW w:w="541" w:type="dxa"/>
            <w:tcBorders>
              <w:top w:val="nil"/>
            </w:tcBorders>
            <w:shd w:val="clear" w:color="auto" w:fill="auto"/>
            <w:noWrap/>
            <w:vAlign w:val="bottom"/>
            <w:hideMark/>
          </w:tcPr>
          <w:p w14:paraId="72409632"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1</w:t>
            </w:r>
          </w:p>
        </w:tc>
        <w:tc>
          <w:tcPr>
            <w:tcW w:w="541" w:type="dxa"/>
            <w:tcBorders>
              <w:top w:val="nil"/>
            </w:tcBorders>
            <w:shd w:val="clear" w:color="auto" w:fill="auto"/>
            <w:noWrap/>
            <w:vAlign w:val="bottom"/>
            <w:hideMark/>
          </w:tcPr>
          <w:p w14:paraId="32CEE9C9"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597" w:type="dxa"/>
            <w:tcBorders>
              <w:top w:val="nil"/>
            </w:tcBorders>
            <w:shd w:val="clear" w:color="auto" w:fill="auto"/>
            <w:noWrap/>
            <w:vAlign w:val="bottom"/>
            <w:hideMark/>
          </w:tcPr>
          <w:p w14:paraId="46EB93F8"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1</w:t>
            </w:r>
          </w:p>
        </w:tc>
        <w:tc>
          <w:tcPr>
            <w:tcW w:w="584" w:type="dxa"/>
            <w:tcBorders>
              <w:top w:val="nil"/>
            </w:tcBorders>
            <w:shd w:val="clear" w:color="auto" w:fill="auto"/>
            <w:noWrap/>
            <w:vAlign w:val="bottom"/>
            <w:hideMark/>
          </w:tcPr>
          <w:p w14:paraId="569863AA"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4</w:t>
            </w:r>
          </w:p>
        </w:tc>
        <w:tc>
          <w:tcPr>
            <w:tcW w:w="584" w:type="dxa"/>
            <w:tcBorders>
              <w:top w:val="nil"/>
            </w:tcBorders>
            <w:shd w:val="clear" w:color="auto" w:fill="auto"/>
            <w:noWrap/>
            <w:vAlign w:val="bottom"/>
            <w:hideMark/>
          </w:tcPr>
          <w:p w14:paraId="2F34510B"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555" w:type="dxa"/>
            <w:tcBorders>
              <w:top w:val="nil"/>
            </w:tcBorders>
            <w:shd w:val="clear" w:color="auto" w:fill="auto"/>
            <w:noWrap/>
            <w:vAlign w:val="bottom"/>
            <w:hideMark/>
          </w:tcPr>
          <w:p w14:paraId="0515D623"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581" w:type="dxa"/>
            <w:tcBorders>
              <w:top w:val="nil"/>
            </w:tcBorders>
            <w:shd w:val="clear" w:color="auto" w:fill="auto"/>
            <w:vAlign w:val="bottom"/>
          </w:tcPr>
          <w:p w14:paraId="31C4A69A"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4</w:t>
            </w:r>
          </w:p>
        </w:tc>
        <w:tc>
          <w:tcPr>
            <w:tcW w:w="614" w:type="dxa"/>
            <w:tcBorders>
              <w:top w:val="nil"/>
            </w:tcBorders>
            <w:shd w:val="clear" w:color="auto" w:fill="auto"/>
            <w:noWrap/>
            <w:vAlign w:val="bottom"/>
            <w:hideMark/>
          </w:tcPr>
          <w:p w14:paraId="60382A06"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1</w:t>
            </w:r>
          </w:p>
        </w:tc>
        <w:tc>
          <w:tcPr>
            <w:tcW w:w="608" w:type="dxa"/>
            <w:tcBorders>
              <w:top w:val="nil"/>
            </w:tcBorders>
            <w:shd w:val="clear" w:color="auto" w:fill="auto"/>
            <w:noWrap/>
            <w:vAlign w:val="bottom"/>
            <w:hideMark/>
          </w:tcPr>
          <w:p w14:paraId="65B11E57"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1</w:t>
            </w:r>
          </w:p>
        </w:tc>
      </w:tr>
      <w:tr w:rsidR="004655A3" w:rsidRPr="00400D2A" w14:paraId="26E4DFF5" w14:textId="77777777" w:rsidTr="00DD71C4">
        <w:trPr>
          <w:gridAfter w:val="1"/>
          <w:wAfter w:w="12" w:type="dxa"/>
          <w:trHeight w:val="427"/>
        </w:trPr>
        <w:tc>
          <w:tcPr>
            <w:tcW w:w="2739" w:type="dxa"/>
            <w:tcBorders>
              <w:bottom w:val="nil"/>
            </w:tcBorders>
            <w:shd w:val="clear" w:color="auto" w:fill="auto"/>
            <w:hideMark/>
          </w:tcPr>
          <w:p w14:paraId="4B002E78" w14:textId="224243FC" w:rsidR="004655A3" w:rsidRPr="00B81858" w:rsidRDefault="004655A3" w:rsidP="00B81858">
            <w:pPr>
              <w:suppressAutoHyphens w:val="0"/>
              <w:spacing w:before="40" w:after="40" w:line="220" w:lineRule="exact"/>
              <w:ind w:right="113"/>
              <w:rPr>
                <w:sz w:val="18"/>
                <w:szCs w:val="18"/>
              </w:rPr>
            </w:pPr>
            <w:r w:rsidRPr="00B81858">
              <w:rPr>
                <w:sz w:val="18"/>
                <w:szCs w:val="18"/>
              </w:rPr>
              <w:t xml:space="preserve">In how many formats are the </w:t>
            </w:r>
            <w:r w:rsidR="00D40339">
              <w:rPr>
                <w:sz w:val="18"/>
                <w:szCs w:val="18"/>
              </w:rPr>
              <w:t>data set</w:t>
            </w:r>
            <w:r w:rsidRPr="00B81858">
              <w:rPr>
                <w:sz w:val="18"/>
                <w:szCs w:val="18"/>
              </w:rPr>
              <w:t>s and related information published?</w:t>
            </w:r>
          </w:p>
        </w:tc>
        <w:tc>
          <w:tcPr>
            <w:tcW w:w="549" w:type="dxa"/>
            <w:tcBorders>
              <w:bottom w:val="nil"/>
            </w:tcBorders>
            <w:shd w:val="clear" w:color="auto" w:fill="auto"/>
            <w:vAlign w:val="bottom"/>
          </w:tcPr>
          <w:p w14:paraId="61039A58"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541" w:type="dxa"/>
            <w:tcBorders>
              <w:bottom w:val="nil"/>
            </w:tcBorders>
            <w:shd w:val="clear" w:color="auto" w:fill="auto"/>
            <w:noWrap/>
            <w:vAlign w:val="bottom"/>
            <w:hideMark/>
          </w:tcPr>
          <w:p w14:paraId="6244F942"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1</w:t>
            </w:r>
          </w:p>
        </w:tc>
        <w:tc>
          <w:tcPr>
            <w:tcW w:w="541" w:type="dxa"/>
            <w:tcBorders>
              <w:bottom w:val="nil"/>
            </w:tcBorders>
            <w:shd w:val="clear" w:color="auto" w:fill="auto"/>
            <w:noWrap/>
            <w:vAlign w:val="bottom"/>
            <w:hideMark/>
          </w:tcPr>
          <w:p w14:paraId="0B1B4A46"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597" w:type="dxa"/>
            <w:tcBorders>
              <w:bottom w:val="nil"/>
            </w:tcBorders>
            <w:shd w:val="clear" w:color="auto" w:fill="auto"/>
            <w:noWrap/>
            <w:vAlign w:val="bottom"/>
            <w:hideMark/>
          </w:tcPr>
          <w:p w14:paraId="30FD051F"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1</w:t>
            </w:r>
          </w:p>
        </w:tc>
        <w:tc>
          <w:tcPr>
            <w:tcW w:w="584" w:type="dxa"/>
            <w:tcBorders>
              <w:bottom w:val="nil"/>
            </w:tcBorders>
            <w:shd w:val="clear" w:color="auto" w:fill="auto"/>
            <w:noWrap/>
            <w:vAlign w:val="bottom"/>
            <w:hideMark/>
          </w:tcPr>
          <w:p w14:paraId="75BA37BF"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584" w:type="dxa"/>
            <w:tcBorders>
              <w:bottom w:val="nil"/>
            </w:tcBorders>
            <w:shd w:val="clear" w:color="auto" w:fill="auto"/>
            <w:noWrap/>
            <w:vAlign w:val="bottom"/>
            <w:hideMark/>
          </w:tcPr>
          <w:p w14:paraId="03F99127"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555" w:type="dxa"/>
            <w:tcBorders>
              <w:bottom w:val="nil"/>
            </w:tcBorders>
            <w:shd w:val="clear" w:color="auto" w:fill="auto"/>
            <w:noWrap/>
            <w:vAlign w:val="bottom"/>
            <w:hideMark/>
          </w:tcPr>
          <w:p w14:paraId="184234E6"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581" w:type="dxa"/>
            <w:tcBorders>
              <w:bottom w:val="nil"/>
            </w:tcBorders>
            <w:shd w:val="clear" w:color="auto" w:fill="auto"/>
            <w:vAlign w:val="bottom"/>
          </w:tcPr>
          <w:p w14:paraId="3EF42A14"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c>
          <w:tcPr>
            <w:tcW w:w="614" w:type="dxa"/>
            <w:tcBorders>
              <w:bottom w:val="nil"/>
            </w:tcBorders>
            <w:shd w:val="clear" w:color="auto" w:fill="auto"/>
            <w:noWrap/>
            <w:vAlign w:val="bottom"/>
            <w:hideMark/>
          </w:tcPr>
          <w:p w14:paraId="37FF28E4"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1</w:t>
            </w:r>
          </w:p>
        </w:tc>
        <w:tc>
          <w:tcPr>
            <w:tcW w:w="608" w:type="dxa"/>
            <w:tcBorders>
              <w:bottom w:val="nil"/>
            </w:tcBorders>
            <w:shd w:val="clear" w:color="auto" w:fill="auto"/>
            <w:noWrap/>
            <w:vAlign w:val="bottom"/>
            <w:hideMark/>
          </w:tcPr>
          <w:p w14:paraId="52D094AF"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2</w:t>
            </w:r>
          </w:p>
        </w:tc>
      </w:tr>
      <w:tr w:rsidR="004655A3" w:rsidRPr="00400D2A" w14:paraId="3AE7F74E" w14:textId="77777777" w:rsidTr="00DD71C4">
        <w:trPr>
          <w:gridAfter w:val="1"/>
          <w:wAfter w:w="12" w:type="dxa"/>
          <w:trHeight w:val="417"/>
        </w:trPr>
        <w:tc>
          <w:tcPr>
            <w:tcW w:w="2739" w:type="dxa"/>
            <w:tcBorders>
              <w:top w:val="nil"/>
              <w:bottom w:val="single" w:sz="12" w:space="0" w:color="auto"/>
            </w:tcBorders>
            <w:shd w:val="clear" w:color="auto" w:fill="auto"/>
            <w:hideMark/>
          </w:tcPr>
          <w:p w14:paraId="35708070" w14:textId="77777777" w:rsidR="004655A3" w:rsidRPr="00B81858" w:rsidRDefault="004655A3" w:rsidP="00B81858">
            <w:pPr>
              <w:suppressAutoHyphens w:val="0"/>
              <w:spacing w:before="40" w:after="40" w:line="220" w:lineRule="exact"/>
              <w:ind w:right="113"/>
              <w:rPr>
                <w:sz w:val="18"/>
                <w:szCs w:val="18"/>
              </w:rPr>
            </w:pPr>
            <w:r w:rsidRPr="00B81858">
              <w:rPr>
                <w:sz w:val="18"/>
                <w:szCs w:val="18"/>
              </w:rPr>
              <w:t>How user friendly is the online platform? (%)</w:t>
            </w:r>
          </w:p>
        </w:tc>
        <w:tc>
          <w:tcPr>
            <w:tcW w:w="549" w:type="dxa"/>
            <w:tcBorders>
              <w:top w:val="nil"/>
              <w:bottom w:val="single" w:sz="12" w:space="0" w:color="auto"/>
            </w:tcBorders>
            <w:shd w:val="clear" w:color="auto" w:fill="auto"/>
            <w:vAlign w:val="bottom"/>
          </w:tcPr>
          <w:p w14:paraId="37FC18A3"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70</w:t>
            </w:r>
          </w:p>
        </w:tc>
        <w:tc>
          <w:tcPr>
            <w:tcW w:w="541" w:type="dxa"/>
            <w:tcBorders>
              <w:top w:val="nil"/>
              <w:bottom w:val="single" w:sz="12" w:space="0" w:color="auto"/>
            </w:tcBorders>
            <w:shd w:val="clear" w:color="auto" w:fill="auto"/>
            <w:noWrap/>
            <w:vAlign w:val="bottom"/>
            <w:hideMark/>
          </w:tcPr>
          <w:p w14:paraId="5D49F7C9"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60</w:t>
            </w:r>
          </w:p>
        </w:tc>
        <w:tc>
          <w:tcPr>
            <w:tcW w:w="541" w:type="dxa"/>
            <w:tcBorders>
              <w:top w:val="nil"/>
              <w:bottom w:val="single" w:sz="12" w:space="0" w:color="auto"/>
            </w:tcBorders>
            <w:shd w:val="clear" w:color="auto" w:fill="auto"/>
            <w:noWrap/>
            <w:vAlign w:val="bottom"/>
            <w:hideMark/>
          </w:tcPr>
          <w:p w14:paraId="79B3BA4D"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80</w:t>
            </w:r>
          </w:p>
        </w:tc>
        <w:tc>
          <w:tcPr>
            <w:tcW w:w="597" w:type="dxa"/>
            <w:tcBorders>
              <w:top w:val="nil"/>
              <w:bottom w:val="single" w:sz="12" w:space="0" w:color="auto"/>
            </w:tcBorders>
            <w:shd w:val="clear" w:color="auto" w:fill="auto"/>
            <w:noWrap/>
            <w:vAlign w:val="bottom"/>
            <w:hideMark/>
          </w:tcPr>
          <w:p w14:paraId="7EFF0578"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60</w:t>
            </w:r>
          </w:p>
        </w:tc>
        <w:tc>
          <w:tcPr>
            <w:tcW w:w="584" w:type="dxa"/>
            <w:tcBorders>
              <w:top w:val="nil"/>
              <w:bottom w:val="single" w:sz="12" w:space="0" w:color="auto"/>
            </w:tcBorders>
            <w:shd w:val="clear" w:color="auto" w:fill="auto"/>
            <w:noWrap/>
            <w:vAlign w:val="bottom"/>
            <w:hideMark/>
          </w:tcPr>
          <w:p w14:paraId="1881C335"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80</w:t>
            </w:r>
          </w:p>
        </w:tc>
        <w:tc>
          <w:tcPr>
            <w:tcW w:w="584" w:type="dxa"/>
            <w:tcBorders>
              <w:top w:val="nil"/>
              <w:bottom w:val="single" w:sz="12" w:space="0" w:color="auto"/>
            </w:tcBorders>
            <w:shd w:val="clear" w:color="auto" w:fill="auto"/>
            <w:noWrap/>
            <w:vAlign w:val="bottom"/>
            <w:hideMark/>
          </w:tcPr>
          <w:p w14:paraId="452A9069"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90</w:t>
            </w:r>
          </w:p>
        </w:tc>
        <w:tc>
          <w:tcPr>
            <w:tcW w:w="555" w:type="dxa"/>
            <w:tcBorders>
              <w:top w:val="nil"/>
              <w:bottom w:val="single" w:sz="12" w:space="0" w:color="auto"/>
            </w:tcBorders>
            <w:shd w:val="clear" w:color="auto" w:fill="auto"/>
            <w:noWrap/>
            <w:vAlign w:val="bottom"/>
            <w:hideMark/>
          </w:tcPr>
          <w:p w14:paraId="0CF2E2EA"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70</w:t>
            </w:r>
          </w:p>
        </w:tc>
        <w:tc>
          <w:tcPr>
            <w:tcW w:w="581" w:type="dxa"/>
            <w:tcBorders>
              <w:top w:val="nil"/>
              <w:bottom w:val="single" w:sz="12" w:space="0" w:color="auto"/>
            </w:tcBorders>
            <w:shd w:val="clear" w:color="auto" w:fill="auto"/>
            <w:vAlign w:val="bottom"/>
          </w:tcPr>
          <w:p w14:paraId="5CF7EB85"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70</w:t>
            </w:r>
          </w:p>
        </w:tc>
        <w:tc>
          <w:tcPr>
            <w:tcW w:w="614" w:type="dxa"/>
            <w:tcBorders>
              <w:top w:val="nil"/>
              <w:bottom w:val="single" w:sz="12" w:space="0" w:color="auto"/>
            </w:tcBorders>
            <w:shd w:val="clear" w:color="auto" w:fill="auto"/>
            <w:noWrap/>
            <w:vAlign w:val="bottom"/>
            <w:hideMark/>
          </w:tcPr>
          <w:p w14:paraId="2E133638"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100</w:t>
            </w:r>
          </w:p>
        </w:tc>
        <w:tc>
          <w:tcPr>
            <w:tcW w:w="608" w:type="dxa"/>
            <w:tcBorders>
              <w:top w:val="nil"/>
              <w:bottom w:val="single" w:sz="12" w:space="0" w:color="auto"/>
            </w:tcBorders>
            <w:shd w:val="clear" w:color="auto" w:fill="auto"/>
            <w:noWrap/>
            <w:vAlign w:val="bottom"/>
            <w:hideMark/>
          </w:tcPr>
          <w:p w14:paraId="3213C136" w14:textId="77777777" w:rsidR="004655A3" w:rsidRPr="00B81858" w:rsidRDefault="004655A3" w:rsidP="00B81858">
            <w:pPr>
              <w:suppressAutoHyphens w:val="0"/>
              <w:spacing w:before="40" w:after="40" w:line="220" w:lineRule="exact"/>
              <w:ind w:right="113"/>
              <w:jc w:val="right"/>
              <w:rPr>
                <w:sz w:val="18"/>
                <w:szCs w:val="18"/>
              </w:rPr>
            </w:pPr>
            <w:r w:rsidRPr="00B81858">
              <w:rPr>
                <w:sz w:val="18"/>
                <w:szCs w:val="18"/>
              </w:rPr>
              <w:t>100</w:t>
            </w:r>
          </w:p>
        </w:tc>
      </w:tr>
    </w:tbl>
    <w:p w14:paraId="70073823" w14:textId="39DBA49C" w:rsidR="00DD71C4" w:rsidRPr="00494ED9" w:rsidRDefault="00DD71C4" w:rsidP="008F2B75">
      <w:pPr>
        <w:pStyle w:val="SingleTxtG"/>
        <w:spacing w:before="120" w:after="0" w:line="220" w:lineRule="exact"/>
        <w:ind w:right="539" w:firstLine="170"/>
        <w:jc w:val="left"/>
      </w:pPr>
      <w:r>
        <w:rPr>
          <w:rFonts w:eastAsia="SimSun"/>
          <w:i/>
          <w:sz w:val="18"/>
          <w:szCs w:val="18"/>
          <w:lang w:eastAsia="en-GB"/>
        </w:rPr>
        <w:t>Abbreviations</w:t>
      </w:r>
      <w:r w:rsidRPr="00260FFA">
        <w:rPr>
          <w:rFonts w:eastAsia="SimSun"/>
          <w:sz w:val="18"/>
          <w:szCs w:val="18"/>
          <w:lang w:eastAsia="en-GB"/>
        </w:rPr>
        <w:t xml:space="preserve">: </w:t>
      </w:r>
      <w:r>
        <w:rPr>
          <w:rFonts w:eastAsia="SimSun"/>
          <w:sz w:val="18"/>
          <w:szCs w:val="18"/>
          <w:lang w:eastAsia="en-GB"/>
        </w:rPr>
        <w:t xml:space="preserve">AUT = Austria; </w:t>
      </w:r>
      <w:r w:rsidRPr="00260FFA">
        <w:rPr>
          <w:rFonts w:eastAsia="SimSun"/>
          <w:sz w:val="18"/>
          <w:szCs w:val="18"/>
          <w:lang w:eastAsia="en-GB"/>
        </w:rPr>
        <w:t>BIH</w:t>
      </w:r>
      <w:r>
        <w:rPr>
          <w:rFonts w:eastAsia="SimSun"/>
          <w:sz w:val="18"/>
          <w:szCs w:val="18"/>
          <w:lang w:eastAsia="en-GB"/>
        </w:rPr>
        <w:t xml:space="preserve"> = </w:t>
      </w:r>
      <w:r w:rsidRPr="00E32219">
        <w:rPr>
          <w:rFonts w:eastAsia="SimSun"/>
          <w:sz w:val="18"/>
          <w:szCs w:val="18"/>
          <w:lang w:eastAsia="en-GB"/>
        </w:rPr>
        <w:t xml:space="preserve">Bosnia </w:t>
      </w:r>
      <w:r>
        <w:rPr>
          <w:rFonts w:eastAsia="SimSun"/>
          <w:sz w:val="18"/>
          <w:szCs w:val="18"/>
          <w:lang w:eastAsia="en-GB"/>
        </w:rPr>
        <w:t>a</w:t>
      </w:r>
      <w:r w:rsidRPr="00E32219">
        <w:rPr>
          <w:rFonts w:eastAsia="SimSun"/>
          <w:sz w:val="18"/>
          <w:szCs w:val="18"/>
          <w:lang w:eastAsia="en-GB"/>
        </w:rPr>
        <w:t xml:space="preserve">nd </w:t>
      </w:r>
      <w:r w:rsidR="00AA6B9A" w:rsidRPr="00E32219">
        <w:rPr>
          <w:rFonts w:eastAsia="SimSun"/>
          <w:sz w:val="18"/>
          <w:szCs w:val="18"/>
          <w:lang w:eastAsia="en-GB"/>
        </w:rPr>
        <w:t>Herzegovina</w:t>
      </w:r>
      <w:r>
        <w:rPr>
          <w:rFonts w:eastAsia="SimSun"/>
          <w:sz w:val="18"/>
          <w:szCs w:val="18"/>
          <w:lang w:eastAsia="en-GB"/>
        </w:rPr>
        <w:t xml:space="preserve">; </w:t>
      </w:r>
      <w:r w:rsidRPr="00260FFA">
        <w:rPr>
          <w:rFonts w:eastAsia="SimSun"/>
          <w:sz w:val="18"/>
          <w:szCs w:val="18"/>
          <w:lang w:eastAsia="en-GB"/>
        </w:rPr>
        <w:t>FRA</w:t>
      </w:r>
      <w:r>
        <w:rPr>
          <w:rFonts w:eastAsia="SimSun"/>
          <w:sz w:val="18"/>
          <w:szCs w:val="18"/>
          <w:lang w:eastAsia="en-GB"/>
        </w:rPr>
        <w:t xml:space="preserve"> = </w:t>
      </w:r>
      <w:r w:rsidRPr="00E32219">
        <w:rPr>
          <w:rFonts w:eastAsia="SimSun"/>
          <w:sz w:val="18"/>
          <w:szCs w:val="18"/>
          <w:lang w:eastAsia="en-GB"/>
        </w:rPr>
        <w:t>France</w:t>
      </w:r>
      <w:r>
        <w:rPr>
          <w:rFonts w:eastAsia="SimSun"/>
          <w:sz w:val="18"/>
          <w:szCs w:val="18"/>
          <w:lang w:eastAsia="en-GB"/>
        </w:rPr>
        <w:t xml:space="preserve">; </w:t>
      </w:r>
      <w:r w:rsidRPr="00260FFA">
        <w:rPr>
          <w:rFonts w:eastAsia="SimSun"/>
          <w:sz w:val="18"/>
          <w:szCs w:val="18"/>
          <w:lang w:eastAsia="en-GB"/>
        </w:rPr>
        <w:t>GEO</w:t>
      </w:r>
      <w:r>
        <w:rPr>
          <w:rFonts w:eastAsia="SimSun"/>
          <w:sz w:val="18"/>
          <w:szCs w:val="18"/>
          <w:lang w:eastAsia="en-GB"/>
        </w:rPr>
        <w:t xml:space="preserve"> = </w:t>
      </w:r>
      <w:r w:rsidRPr="00E32219">
        <w:rPr>
          <w:rFonts w:eastAsia="SimSun"/>
          <w:sz w:val="18"/>
          <w:szCs w:val="18"/>
          <w:lang w:eastAsia="en-GB"/>
        </w:rPr>
        <w:t>Georgia</w:t>
      </w:r>
      <w:r>
        <w:rPr>
          <w:rFonts w:eastAsia="SimSun"/>
          <w:sz w:val="18"/>
          <w:szCs w:val="18"/>
          <w:lang w:eastAsia="en-GB"/>
        </w:rPr>
        <w:t xml:space="preserve">; </w:t>
      </w:r>
      <w:r w:rsidRPr="00E53D4C">
        <w:rPr>
          <w:rFonts w:eastAsia="SimSun"/>
          <w:sz w:val="18"/>
          <w:szCs w:val="18"/>
          <w:lang w:eastAsia="en-GB"/>
        </w:rPr>
        <w:t>DEU =</w:t>
      </w:r>
      <w:r>
        <w:rPr>
          <w:rFonts w:eastAsia="SimSun"/>
          <w:sz w:val="18"/>
          <w:szCs w:val="18"/>
          <w:lang w:eastAsia="en-GB"/>
        </w:rPr>
        <w:t xml:space="preserve"> </w:t>
      </w:r>
      <w:r w:rsidRPr="00E53D4C">
        <w:rPr>
          <w:rFonts w:eastAsia="SimSun"/>
          <w:sz w:val="18"/>
          <w:szCs w:val="18"/>
          <w:lang w:eastAsia="en-GB"/>
        </w:rPr>
        <w:t>Germany</w:t>
      </w:r>
      <w:r>
        <w:rPr>
          <w:rFonts w:eastAsia="SimSun"/>
          <w:sz w:val="18"/>
          <w:szCs w:val="18"/>
          <w:lang w:eastAsia="en-GB"/>
        </w:rPr>
        <w:t xml:space="preserve">; </w:t>
      </w:r>
      <w:r w:rsidRPr="00260FFA">
        <w:rPr>
          <w:rFonts w:eastAsia="SimSun"/>
          <w:sz w:val="18"/>
          <w:szCs w:val="18"/>
          <w:lang w:eastAsia="en-GB"/>
        </w:rPr>
        <w:t>KGZ</w:t>
      </w:r>
      <w:r>
        <w:rPr>
          <w:rFonts w:eastAsia="SimSun"/>
          <w:sz w:val="18"/>
          <w:szCs w:val="18"/>
          <w:lang w:eastAsia="en-GB"/>
        </w:rPr>
        <w:t xml:space="preserve"> = </w:t>
      </w:r>
      <w:r w:rsidRPr="00E32219">
        <w:rPr>
          <w:rFonts w:eastAsia="SimSun"/>
          <w:sz w:val="18"/>
          <w:szCs w:val="18"/>
          <w:lang w:eastAsia="en-GB"/>
        </w:rPr>
        <w:t>Kyrgyzstan</w:t>
      </w:r>
      <w:r>
        <w:rPr>
          <w:rFonts w:eastAsia="SimSun"/>
          <w:sz w:val="18"/>
          <w:szCs w:val="18"/>
          <w:lang w:eastAsia="en-GB"/>
        </w:rPr>
        <w:t xml:space="preserve">; </w:t>
      </w:r>
      <w:r w:rsidRPr="00260FFA">
        <w:rPr>
          <w:rFonts w:eastAsia="SimSun"/>
          <w:sz w:val="18"/>
          <w:szCs w:val="18"/>
          <w:lang w:eastAsia="en-GB"/>
        </w:rPr>
        <w:t>LTU</w:t>
      </w:r>
      <w:r>
        <w:rPr>
          <w:rFonts w:eastAsia="SimSun"/>
          <w:sz w:val="18"/>
          <w:szCs w:val="18"/>
          <w:lang w:eastAsia="en-GB"/>
        </w:rPr>
        <w:t xml:space="preserve"> = </w:t>
      </w:r>
      <w:r w:rsidRPr="00E32219">
        <w:rPr>
          <w:rFonts w:eastAsia="SimSun"/>
          <w:sz w:val="18"/>
          <w:szCs w:val="18"/>
          <w:lang w:eastAsia="en-GB"/>
        </w:rPr>
        <w:t>Lithuania</w:t>
      </w:r>
      <w:r>
        <w:rPr>
          <w:rFonts w:eastAsia="SimSun"/>
          <w:sz w:val="18"/>
          <w:szCs w:val="18"/>
          <w:lang w:eastAsia="en-GB"/>
        </w:rPr>
        <w:t xml:space="preserve">; </w:t>
      </w:r>
      <w:r w:rsidRPr="00260FFA">
        <w:rPr>
          <w:rFonts w:eastAsia="SimSun"/>
          <w:sz w:val="18"/>
          <w:szCs w:val="18"/>
          <w:lang w:eastAsia="en-GB"/>
        </w:rPr>
        <w:t>RUS</w:t>
      </w:r>
      <w:r>
        <w:rPr>
          <w:rFonts w:eastAsia="SimSun"/>
          <w:sz w:val="18"/>
          <w:szCs w:val="18"/>
          <w:lang w:eastAsia="en-GB"/>
        </w:rPr>
        <w:t xml:space="preserve"> = </w:t>
      </w:r>
      <w:r w:rsidRPr="00E32219">
        <w:rPr>
          <w:rFonts w:eastAsia="SimSun"/>
          <w:sz w:val="18"/>
          <w:szCs w:val="18"/>
          <w:lang w:eastAsia="en-GB"/>
        </w:rPr>
        <w:t>Russian Federation</w:t>
      </w:r>
      <w:r>
        <w:rPr>
          <w:rFonts w:eastAsia="SimSun"/>
          <w:sz w:val="18"/>
          <w:szCs w:val="18"/>
          <w:lang w:eastAsia="en-GB"/>
        </w:rPr>
        <w:t xml:space="preserve">; </w:t>
      </w:r>
      <w:r w:rsidRPr="00260FFA">
        <w:rPr>
          <w:rFonts w:eastAsia="SimSun"/>
          <w:sz w:val="18"/>
          <w:szCs w:val="18"/>
          <w:lang w:eastAsia="en-GB"/>
        </w:rPr>
        <w:t>SWE</w:t>
      </w:r>
      <w:r>
        <w:rPr>
          <w:rFonts w:eastAsia="SimSun"/>
          <w:sz w:val="18"/>
          <w:szCs w:val="18"/>
          <w:lang w:eastAsia="en-GB"/>
        </w:rPr>
        <w:t xml:space="preserve"> = </w:t>
      </w:r>
      <w:r w:rsidRPr="00E32219">
        <w:rPr>
          <w:rFonts w:eastAsia="SimSun"/>
          <w:sz w:val="18"/>
          <w:szCs w:val="18"/>
          <w:lang w:eastAsia="en-GB"/>
        </w:rPr>
        <w:t>Sweden</w:t>
      </w:r>
      <w:r>
        <w:rPr>
          <w:rFonts w:eastAsia="SimSun"/>
          <w:sz w:val="18"/>
          <w:szCs w:val="18"/>
          <w:lang w:eastAsia="en-GB"/>
        </w:rPr>
        <w:t xml:space="preserve">; </w:t>
      </w:r>
      <w:r w:rsidRPr="00E53D4C">
        <w:rPr>
          <w:rFonts w:eastAsia="SimSun"/>
          <w:sz w:val="18"/>
          <w:szCs w:val="18"/>
          <w:lang w:eastAsia="en-GB"/>
        </w:rPr>
        <w:t>CHE = Switzerland.</w:t>
      </w:r>
    </w:p>
    <w:p w14:paraId="60017785" w14:textId="77777777" w:rsidR="00DA5A3D" w:rsidRPr="00494ED9" w:rsidRDefault="00AC0544" w:rsidP="00AC0544">
      <w:pPr>
        <w:pStyle w:val="HChG"/>
      </w:pPr>
      <w:bookmarkStart w:id="123" w:name="_Toc440461429"/>
      <w:r>
        <w:tab/>
        <w:t>III.</w:t>
      </w:r>
      <w:r>
        <w:tab/>
      </w:r>
      <w:r w:rsidR="00DA5A3D" w:rsidRPr="00494ED9">
        <w:t>Conclusions and the way forward</w:t>
      </w:r>
      <w:bookmarkEnd w:id="123"/>
    </w:p>
    <w:p w14:paraId="33531D3B" w14:textId="6336D570" w:rsidR="00DA5A3D" w:rsidRPr="00AC0544" w:rsidRDefault="00AC0544" w:rsidP="00AC0544">
      <w:pPr>
        <w:pStyle w:val="SingleTxtG"/>
      </w:pPr>
      <w:r>
        <w:t>52</w:t>
      </w:r>
      <w:r w:rsidR="00DA5A3D" w:rsidRPr="00AC0544">
        <w:t>.</w:t>
      </w:r>
      <w:r w:rsidR="00DA5A3D" w:rsidRPr="00AC0544">
        <w:tab/>
        <w:t xml:space="preserve">The progress report demonstrates that 32 countries in the pan-European region have improved their SEIS performance score. Above 51 per cent of data and related information was found available online on national websites of reviewed countries. There are only a limited number of countries for which only a few or no </w:t>
      </w:r>
      <w:r w:rsidR="00D40339">
        <w:t>data set</w:t>
      </w:r>
      <w:r w:rsidR="00DA5A3D" w:rsidRPr="00AC0544">
        <w:t>s could be found online.</w:t>
      </w:r>
    </w:p>
    <w:p w14:paraId="16953A33" w14:textId="689A9FCD" w:rsidR="00DA5A3D" w:rsidRPr="00AC0544" w:rsidRDefault="00AC0544" w:rsidP="00AC0544">
      <w:pPr>
        <w:pStyle w:val="SingleTxtG"/>
      </w:pPr>
      <w:r>
        <w:t>53</w:t>
      </w:r>
      <w:r w:rsidR="00DA5A3D" w:rsidRPr="00AC0544">
        <w:t>.</w:t>
      </w:r>
      <w:r w:rsidR="00DA5A3D" w:rsidRPr="00AC0544">
        <w:tab/>
        <w:t xml:space="preserve">Several </w:t>
      </w:r>
      <w:r w:rsidR="00D40339">
        <w:t>data set</w:t>
      </w:r>
      <w:r w:rsidR="00DA5A3D" w:rsidRPr="00AC0544">
        <w:t xml:space="preserve">s and thematic areas are published by only a limited number of pan-European countries. In addition, </w:t>
      </w:r>
      <w:proofErr w:type="gramStart"/>
      <w:r w:rsidR="00DA5A3D" w:rsidRPr="00AC0544">
        <w:t xml:space="preserve">routines for updating </w:t>
      </w:r>
      <w:r w:rsidR="00D40339">
        <w:t>data set</w:t>
      </w:r>
      <w:r w:rsidR="00DA5A3D" w:rsidRPr="00AC0544">
        <w:t>s with more recent content (e.g. up-to-date time series) has</w:t>
      </w:r>
      <w:proofErr w:type="gramEnd"/>
      <w:r w:rsidR="00DA5A3D" w:rsidRPr="00AC0544">
        <w:t xml:space="preserve"> been identified as a challenge that needs to be addressed. At the same time, providing materials concerned with production methodologies, data interpretation and use as well as data sources for accessible </w:t>
      </w:r>
      <w:r w:rsidR="00D40339">
        <w:t>data set</w:t>
      </w:r>
      <w:r w:rsidR="00DA5A3D" w:rsidRPr="00AC0544">
        <w:t xml:space="preserve">s has not been found to be a concern. This review has not taken internationally accepted standards for </w:t>
      </w:r>
      <w:r w:rsidR="00D40339">
        <w:t>data set</w:t>
      </w:r>
      <w:r w:rsidR="00DA5A3D" w:rsidRPr="00AC0544">
        <w:t xml:space="preserve"> production nor data quality</w:t>
      </w:r>
      <w:r w:rsidR="006D69F7">
        <w:rPr>
          <w:rStyle w:val="FootnoteReference"/>
        </w:rPr>
        <w:footnoteReference w:id="20"/>
      </w:r>
      <w:r w:rsidR="00DA5A3D" w:rsidRPr="00AC0544">
        <w:t xml:space="preserve"> into account. Neither the type nor quality of data interpretation and use was assessed. This shortcoming should be rectified in the next review round.</w:t>
      </w:r>
    </w:p>
    <w:p w14:paraId="75E6813A" w14:textId="5CB020BB" w:rsidR="00DA5A3D" w:rsidRPr="00AC0544" w:rsidRDefault="00AC0544" w:rsidP="00AC0544">
      <w:pPr>
        <w:pStyle w:val="SingleTxtG"/>
      </w:pPr>
      <w:r>
        <w:t>54</w:t>
      </w:r>
      <w:r w:rsidR="00DA5A3D" w:rsidRPr="00AC0544">
        <w:t>.</w:t>
      </w:r>
      <w:r w:rsidR="00DA5A3D" w:rsidRPr="00AC0544">
        <w:tab/>
        <w:t xml:space="preserve">The review was also done to test the SEIS reporting mechanism. This was achieved by letting the secretariat pre-fill records (in accordance with the agreed criteria for review) that was subsequently validated by each country. This validation process provides the basis for assessing </w:t>
      </w:r>
      <w:r w:rsidR="00F76512">
        <w:t xml:space="preserve">the progress of </w:t>
      </w:r>
      <w:r w:rsidR="00DA5A3D" w:rsidRPr="00AC0544">
        <w:t xml:space="preserve">each </w:t>
      </w:r>
      <w:proofErr w:type="gramStart"/>
      <w:r w:rsidR="00DA5A3D" w:rsidRPr="00AC0544">
        <w:t>member</w:t>
      </w:r>
      <w:proofErr w:type="gramEnd"/>
      <w:r w:rsidR="00DA5A3D" w:rsidRPr="00AC0544">
        <w:t xml:space="preserve"> State</w:t>
      </w:r>
      <w:r w:rsidR="00F76512">
        <w:t>’s</w:t>
      </w:r>
      <w:r w:rsidR="00DA5A3D" w:rsidRPr="00AC0544">
        <w:t xml:space="preserve"> SEIS performance vis-à-vis the 67 SEIS </w:t>
      </w:r>
      <w:r w:rsidR="00D40339">
        <w:t>data set</w:t>
      </w:r>
      <w:r w:rsidR="00DA5A3D" w:rsidRPr="00AC0544">
        <w:t>s and thematic areas. It should be noted</w:t>
      </w:r>
      <w:r w:rsidR="00F76512">
        <w:t>, however,</w:t>
      </w:r>
      <w:r w:rsidR="00DA5A3D" w:rsidRPr="00AC0544">
        <w:t xml:space="preserve"> that only 22 countries have completed the validation to date. </w:t>
      </w:r>
    </w:p>
    <w:p w14:paraId="26F891F2" w14:textId="689A0221" w:rsidR="00DA5A3D" w:rsidRPr="00AC0544" w:rsidRDefault="00DA5A3D" w:rsidP="00AC0544">
      <w:pPr>
        <w:pStyle w:val="SingleTxtG"/>
      </w:pPr>
      <w:r w:rsidRPr="00AC0544">
        <w:t>5</w:t>
      </w:r>
      <w:r w:rsidR="00AC0544">
        <w:t>5</w:t>
      </w:r>
      <w:r w:rsidRPr="00AC0544">
        <w:t>.</w:t>
      </w:r>
      <w:r w:rsidRPr="00AC0544">
        <w:tab/>
        <w:t xml:space="preserve">Once the validation process has been completed by all reviewed countries, the results could serve as a baseline for future reviews as well as to monitor and assess progress made in establishing the SEIS. The baseline will also be used to assess country performance related to an effective operation of SEIS for all </w:t>
      </w:r>
      <w:r w:rsidR="00D40339">
        <w:t>data set</w:t>
      </w:r>
      <w:r w:rsidRPr="00AC0544">
        <w:t>s made available and accessible online. It is expected that the validation and continued review process will help to improve the SEIS performance in the pan-European region as demonstrated by the case study examples in Box 1.</w:t>
      </w:r>
    </w:p>
    <w:p w14:paraId="2903BEC4" w14:textId="301DDA9C" w:rsidR="00DA5A3D" w:rsidRPr="00AC0544" w:rsidRDefault="00DA5A3D" w:rsidP="00AC0544">
      <w:pPr>
        <w:pStyle w:val="SingleTxtG"/>
      </w:pPr>
      <w:r w:rsidRPr="00AC0544">
        <w:t>5</w:t>
      </w:r>
      <w:r w:rsidR="00AC0544">
        <w:t>6</w:t>
      </w:r>
      <w:r w:rsidRPr="00AC0544">
        <w:t>.</w:t>
      </w:r>
      <w:r w:rsidRPr="00AC0544">
        <w:tab/>
        <w:t>It is foreseen that all 53 countries will continue to be assessed by the Working Group against their past SEIS performance. The purpose of this process would be to ensure that each country improves their performance score from year to year. This applies both to countries who may consider its performance score as not yet satisfactory as well as for countries interested in maintaining its high performance level. Overall, the objective is that all reviewed countries will achieve and maintain high SEIS performance levels.</w:t>
      </w:r>
    </w:p>
    <w:p w14:paraId="0FBA347B" w14:textId="141E484C" w:rsidR="00DA5A3D" w:rsidRPr="00AC0544" w:rsidRDefault="00DA5A3D" w:rsidP="00AC0544">
      <w:pPr>
        <w:pStyle w:val="SingleTxtG"/>
      </w:pPr>
      <w:r w:rsidRPr="00AC0544">
        <w:t>5</w:t>
      </w:r>
      <w:r w:rsidR="00AC0544">
        <w:t>7</w:t>
      </w:r>
      <w:r w:rsidRPr="00AC0544">
        <w:t>.</w:t>
      </w:r>
      <w:r w:rsidRPr="00AC0544">
        <w:tab/>
        <w:t>The current status of SEIS implementation demonstrate</w:t>
      </w:r>
      <w:r w:rsidR="00080692">
        <w:t>s</w:t>
      </w:r>
      <w:r w:rsidRPr="00AC0544">
        <w:t xml:space="preserve"> the need to progress in developing the simple online application to facilitate and improve reporting on implementation. To this end, at the seventeenth session of the Working Group (Geneva, 7</w:t>
      </w:r>
      <w:r w:rsidR="00E944D8">
        <w:t>–</w:t>
      </w:r>
      <w:r w:rsidRPr="00AC0544">
        <w:t xml:space="preserve">8 September 2015), UNEP proposed its support </w:t>
      </w:r>
      <w:r w:rsidR="0029232C">
        <w:t>to</w:t>
      </w:r>
      <w:r w:rsidR="0029232C" w:rsidRPr="00AC0544">
        <w:t xml:space="preserve"> </w:t>
      </w:r>
      <w:r w:rsidRPr="00AC0544">
        <w:t xml:space="preserve">assist in developing a simple online application within </w:t>
      </w:r>
      <w:r w:rsidR="0029232C">
        <w:t>the</w:t>
      </w:r>
      <w:r w:rsidR="0029232C" w:rsidRPr="00AC0544">
        <w:t xml:space="preserve"> </w:t>
      </w:r>
      <w:r w:rsidRPr="00AC0544">
        <w:t xml:space="preserve">available capacity of </w:t>
      </w:r>
      <w:r w:rsidR="0029232C">
        <w:t xml:space="preserve">its </w:t>
      </w:r>
      <w:r w:rsidRPr="00AC0544">
        <w:t>Information Technolo</w:t>
      </w:r>
      <w:r w:rsidR="00890B48">
        <w:t>gy</w:t>
      </w:r>
      <w:r w:rsidRPr="00AC0544">
        <w:t xml:space="preserve"> service in charge of UNEP Live. This was accepted by the Working Group and communicated to the Committee at their twenty-first session</w:t>
      </w:r>
      <w:r w:rsidR="001D7B88">
        <w:t xml:space="preserve"> (see para 16 above)</w:t>
      </w:r>
      <w:r w:rsidRPr="00AC0544">
        <w:t xml:space="preserve">. It could provide the framework for continued efforts in evaluating the progress in establishing the SEIS in a sustainable way. </w:t>
      </w:r>
    </w:p>
    <w:p w14:paraId="757C0CE6" w14:textId="387E1EB2" w:rsidR="00DA5A3D" w:rsidRPr="00AC0544" w:rsidRDefault="00DA5A3D" w:rsidP="00AC0544">
      <w:pPr>
        <w:pStyle w:val="SingleTxtG"/>
      </w:pPr>
      <w:r w:rsidRPr="00AC0544">
        <w:t>5</w:t>
      </w:r>
      <w:r w:rsidR="00965992">
        <w:t>8</w:t>
      </w:r>
      <w:r w:rsidRPr="00AC0544">
        <w:t>.</w:t>
      </w:r>
      <w:r w:rsidRPr="00AC0544">
        <w:tab/>
        <w:t xml:space="preserve">The review can be seen as a milestone as it illustrates the considerable progress that has been achieved in the establishment of the SEIS process in the pan-European region. At the same time, some of the identified performance gaps demonstrate the continued need for assistance to achieve the complete production and sharing of all </w:t>
      </w:r>
      <w:r w:rsidR="004F21F1">
        <w:t xml:space="preserve">environmental </w:t>
      </w:r>
      <w:r w:rsidRPr="00AC0544">
        <w:t>indicators</w:t>
      </w:r>
      <w:r w:rsidR="004F21F1">
        <w:t xml:space="preserve"> and associated data sets</w:t>
      </w:r>
      <w:r w:rsidRPr="00AC0544">
        <w:t xml:space="preserve">, to the extent possible, in the years to come. It is for this reason recommended that the updating and extension of the environmental </w:t>
      </w:r>
      <w:r w:rsidR="00D40339">
        <w:t>data set</w:t>
      </w:r>
      <w:r w:rsidRPr="00AC0544">
        <w:t xml:space="preserve"> should be done in line with the work of the </w:t>
      </w:r>
      <w:r w:rsidR="005100CB">
        <w:t>EEA</w:t>
      </w:r>
      <w:r w:rsidRPr="00AC0544">
        <w:t xml:space="preserve"> Eionet network as well as </w:t>
      </w:r>
      <w:r w:rsidR="00717500">
        <w:t>UNEP</w:t>
      </w:r>
      <w:r w:rsidRPr="00AC0544">
        <w:t xml:space="preserve">. Coordinated efforts and more extensive cooperation </w:t>
      </w:r>
      <w:proofErr w:type="gramStart"/>
      <w:r w:rsidRPr="00AC0544">
        <w:t>is</w:t>
      </w:r>
      <w:proofErr w:type="gramEnd"/>
      <w:r w:rsidRPr="00AC0544">
        <w:t xml:space="preserve"> strongly encouraged between the </w:t>
      </w:r>
      <w:r w:rsidR="007B1E5C">
        <w:t>ECE</w:t>
      </w:r>
      <w:r w:rsidRPr="00AC0544">
        <w:t xml:space="preserve">, EEA and </w:t>
      </w:r>
      <w:r w:rsidR="00717500">
        <w:t>UNEP</w:t>
      </w:r>
      <w:r w:rsidRPr="00AC0544">
        <w:t xml:space="preserve"> to support the development of SEIS.</w:t>
      </w:r>
    </w:p>
    <w:p w14:paraId="3307D8EE" w14:textId="6BE49400" w:rsidR="00DA5A3D" w:rsidRPr="00AC0544" w:rsidRDefault="00DA5A3D" w:rsidP="00AC0544">
      <w:pPr>
        <w:pStyle w:val="SingleTxtG"/>
      </w:pPr>
      <w:r w:rsidRPr="00AC0544">
        <w:t>5</w:t>
      </w:r>
      <w:r w:rsidR="00965992">
        <w:t>9</w:t>
      </w:r>
      <w:r w:rsidRPr="00AC0544">
        <w:t>.</w:t>
      </w:r>
      <w:r w:rsidRPr="00AC0544">
        <w:tab/>
        <w:t xml:space="preserve">Given the limitations identified in the extended review concerned with data accessibility, it would be valuable to move beyond evaluating SEIS implementation across thematic areas and </w:t>
      </w:r>
      <w:r w:rsidR="00D40339">
        <w:t>data set</w:t>
      </w:r>
      <w:r w:rsidRPr="00AC0544">
        <w:t>s to include an assessment of the content (referring in this case to content quality) as well as national barriers for implementing the SEIS as part of the reporting mechanism. It is suggested that a follow-up</w:t>
      </w:r>
      <w:r w:rsidR="00F76512">
        <w:t>,</w:t>
      </w:r>
      <w:r w:rsidRPr="00AC0544">
        <w:t xml:space="preserve"> concerned with production methodologies and data interpretation and use</w:t>
      </w:r>
      <w:r w:rsidR="00F76512">
        <w:t>,</w:t>
      </w:r>
      <w:r w:rsidRPr="00AC0544">
        <w:t xml:space="preserve"> focus on reviewing how comparable the </w:t>
      </w:r>
      <w:r w:rsidR="00D40339">
        <w:t>data set</w:t>
      </w:r>
      <w:r w:rsidRPr="00AC0544">
        <w:t xml:space="preserve">s are across the pan-European countries and the need for common format requirements. The continued review should also take into account the need to identify gaps, monitor changes over time and to continue collaborative and capacity building activities within the scope of its activities. </w:t>
      </w:r>
    </w:p>
    <w:p w14:paraId="4F19E239" w14:textId="77777777" w:rsidR="00DA5A3D" w:rsidRPr="009E52C7" w:rsidRDefault="00965992" w:rsidP="00965992">
      <w:pPr>
        <w:pStyle w:val="H1G"/>
      </w:pPr>
      <w:bookmarkStart w:id="124" w:name="_Toc440461430"/>
      <w:r>
        <w:tab/>
        <w:t>A.</w:t>
      </w:r>
      <w:r>
        <w:tab/>
      </w:r>
      <w:r w:rsidR="00DA5A3D" w:rsidRPr="00FA0D37">
        <w:t>Key messages</w:t>
      </w:r>
      <w:r w:rsidR="00DA5A3D" w:rsidRPr="00CE44ED">
        <w:t xml:space="preserve"> and issues for consideration</w:t>
      </w:r>
      <w:bookmarkEnd w:id="124"/>
    </w:p>
    <w:p w14:paraId="2F0894A7" w14:textId="6546EB44" w:rsidR="00DA5A3D" w:rsidRPr="00CE44ED" w:rsidRDefault="00965992" w:rsidP="00965992">
      <w:pPr>
        <w:pStyle w:val="SingleTxtG"/>
      </w:pPr>
      <w:r>
        <w:t>60</w:t>
      </w:r>
      <w:r w:rsidR="00DA5A3D">
        <w:t>.</w:t>
      </w:r>
      <w:r w:rsidR="00DA5A3D">
        <w:tab/>
        <w:t>Key results from the review demonstrate that t</w:t>
      </w:r>
      <w:r w:rsidR="00DA5A3D" w:rsidRPr="009E52C7">
        <w:t xml:space="preserve">he drive towards </w:t>
      </w:r>
      <w:r w:rsidR="00DA5A3D">
        <w:t xml:space="preserve">establishing the SEIS (and to facilitate data </w:t>
      </w:r>
      <w:r w:rsidR="00DA5A3D" w:rsidRPr="009E52C7">
        <w:t>harmonisation</w:t>
      </w:r>
      <w:r w:rsidR="00DA5A3D">
        <w:t>)</w:t>
      </w:r>
      <w:r w:rsidR="00DA5A3D" w:rsidRPr="009E52C7">
        <w:t xml:space="preserve"> has had a positive impact</w:t>
      </w:r>
      <w:r w:rsidR="00DA5A3D">
        <w:t>,</w:t>
      </w:r>
      <w:r w:rsidR="00DA5A3D" w:rsidRPr="009E52C7">
        <w:t xml:space="preserve"> </w:t>
      </w:r>
      <w:r w:rsidR="00DA5A3D">
        <w:t>not only on</w:t>
      </w:r>
      <w:r w:rsidR="00DA5A3D" w:rsidRPr="009E52C7">
        <w:t xml:space="preserve"> capacities</w:t>
      </w:r>
      <w:r w:rsidR="00DA5A3D">
        <w:t xml:space="preserve"> and</w:t>
      </w:r>
      <w:r w:rsidR="00DA5A3D" w:rsidRPr="009E52C7">
        <w:t xml:space="preserve"> </w:t>
      </w:r>
      <w:r w:rsidR="00DA5A3D">
        <w:t>comparability</w:t>
      </w:r>
      <w:r w:rsidR="00DA5A3D" w:rsidRPr="009E52C7">
        <w:t xml:space="preserve"> </w:t>
      </w:r>
      <w:r w:rsidR="00DA5A3D">
        <w:t>of environmental data, but also</w:t>
      </w:r>
      <w:r w:rsidR="00DA5A3D" w:rsidRPr="009E52C7">
        <w:t xml:space="preserve"> </w:t>
      </w:r>
      <w:r w:rsidR="00DA5A3D">
        <w:t>on</w:t>
      </w:r>
      <w:r w:rsidR="00DA5A3D" w:rsidRPr="009E52C7">
        <w:t xml:space="preserve"> data accessibility</w:t>
      </w:r>
      <w:r w:rsidR="00DA5A3D">
        <w:t xml:space="preserve"> across the pan-European countries</w:t>
      </w:r>
      <w:r w:rsidR="00DA5A3D" w:rsidRPr="009E52C7">
        <w:t>.</w:t>
      </w:r>
      <w:r w:rsidR="00DA5A3D">
        <w:t xml:space="preserve"> It has however also highlighted the prevalence of performance gaps and areas in need of improvements. In particular the lack of systematic reporting as part of certain thematic areas (e.g. water) and the significant variations across member States in how the respective </w:t>
      </w:r>
      <w:r w:rsidR="00D40339">
        <w:t>data set</w:t>
      </w:r>
      <w:r w:rsidR="00DA5A3D">
        <w:t xml:space="preserve">s are provided and made accessible online (e.g. user-friendliness and number of online platforms). </w:t>
      </w:r>
    </w:p>
    <w:p w14:paraId="773B8C61" w14:textId="77777777" w:rsidR="00DA5A3D" w:rsidRPr="00373E57" w:rsidRDefault="00965992" w:rsidP="00965992">
      <w:pPr>
        <w:pStyle w:val="SingleTxtG"/>
      </w:pPr>
      <w:r>
        <w:t>61</w:t>
      </w:r>
      <w:r w:rsidR="00DA5A3D" w:rsidRPr="00373E57">
        <w:t>.</w:t>
      </w:r>
      <w:r w:rsidR="00DA5A3D" w:rsidRPr="00373E57">
        <w:tab/>
      </w:r>
      <w:r w:rsidR="00DA5A3D">
        <w:t>Taking into account</w:t>
      </w:r>
      <w:r w:rsidR="00DA5A3D" w:rsidRPr="002D7D3F">
        <w:t xml:space="preserve"> the </w:t>
      </w:r>
      <w:r w:rsidR="00DA5A3D">
        <w:t xml:space="preserve">progress achieved by countries in developing SEIS and </w:t>
      </w:r>
      <w:r w:rsidR="00DA5A3D" w:rsidRPr="00667421">
        <w:t xml:space="preserve">the </w:t>
      </w:r>
      <w:r w:rsidR="00DA5A3D" w:rsidRPr="002D7D3F">
        <w:t>challenges</w:t>
      </w:r>
      <w:r w:rsidR="00DA5A3D">
        <w:t xml:space="preserve"> identified as a result </w:t>
      </w:r>
      <w:r w:rsidR="00DA5A3D" w:rsidRPr="002D7D3F">
        <w:t>of the</w:t>
      </w:r>
      <w:r w:rsidR="00DA5A3D" w:rsidRPr="00667421">
        <w:t xml:space="preserve"> </w:t>
      </w:r>
      <w:r w:rsidR="00DA5A3D">
        <w:t>first</w:t>
      </w:r>
      <w:r w:rsidR="00DA5A3D" w:rsidRPr="002D7D3F">
        <w:t xml:space="preserve"> </w:t>
      </w:r>
      <w:r w:rsidR="00DA5A3D" w:rsidRPr="00667421">
        <w:t>review process</w:t>
      </w:r>
      <w:r w:rsidR="00DA5A3D" w:rsidRPr="00373E57">
        <w:t>, countries are encouraged to continue improving data collection to regularly produce and publish environmental information online.</w:t>
      </w:r>
    </w:p>
    <w:p w14:paraId="42854A8B" w14:textId="205E6439" w:rsidR="00DA5A3D" w:rsidRDefault="00965992" w:rsidP="00965992">
      <w:pPr>
        <w:pStyle w:val="SingleTxtG"/>
      </w:pPr>
      <w:r>
        <w:t>62</w:t>
      </w:r>
      <w:r w:rsidR="00DA5A3D">
        <w:t>.</w:t>
      </w:r>
      <w:r w:rsidR="00DA5A3D">
        <w:tab/>
        <w:t xml:space="preserve">Additional efforts are required to develop the </w:t>
      </w:r>
      <w:r w:rsidR="00DA5A3D" w:rsidRPr="00E445DC">
        <w:t>simple online application for the reporting mechanism</w:t>
      </w:r>
      <w:r w:rsidR="00DA5A3D">
        <w:t>,</w:t>
      </w:r>
      <w:r w:rsidR="00DA5A3D" w:rsidRPr="00E445DC">
        <w:t xml:space="preserve"> together with the </w:t>
      </w:r>
      <w:r w:rsidR="00DA5A3D">
        <w:t>Working Group’</w:t>
      </w:r>
      <w:r w:rsidR="00DA5A3D">
        <w:rPr>
          <w:lang w:val="en-US"/>
        </w:rPr>
        <w:t>s</w:t>
      </w:r>
      <w:r w:rsidR="00DA5A3D" w:rsidRPr="00587051">
        <w:t xml:space="preserve"> </w:t>
      </w:r>
      <w:r w:rsidR="00DA5A3D" w:rsidRPr="00667421">
        <w:t xml:space="preserve">sub-group </w:t>
      </w:r>
      <w:r w:rsidR="00DA5A3D">
        <w:t xml:space="preserve">on the development of the reporting mechanism and the </w:t>
      </w:r>
      <w:r w:rsidR="00717500">
        <w:t>UNEP</w:t>
      </w:r>
      <w:r w:rsidR="00DA5A3D">
        <w:t xml:space="preserve"> </w:t>
      </w:r>
      <w:r w:rsidR="00890B48" w:rsidRPr="00AC0544">
        <w:t>Information Technology</w:t>
      </w:r>
      <w:r w:rsidR="00DA5A3D" w:rsidRPr="00373E57">
        <w:t xml:space="preserve"> service</w:t>
      </w:r>
      <w:r w:rsidR="00DA5A3D">
        <w:t xml:space="preserve">. It is suggested that activities in this area continue and that the reporting tool is developed for piloting amongst the members of the sub-group to investigate how it could be operationalised within existing national monitoring infrastructure (e.g. taking into account the needs for technical and financial capacities). </w:t>
      </w:r>
    </w:p>
    <w:p w14:paraId="0E898027" w14:textId="77777777" w:rsidR="00DA5A3D" w:rsidRDefault="00965992" w:rsidP="00965992">
      <w:pPr>
        <w:pStyle w:val="SingleTxtG"/>
      </w:pPr>
      <w:r>
        <w:t>63</w:t>
      </w:r>
      <w:r w:rsidR="00DA5A3D">
        <w:t>.</w:t>
      </w:r>
      <w:r w:rsidR="00DA5A3D">
        <w:tab/>
        <w:t>The continued development of the self-assessment procedure and reporting mechanism could take some of the following issues into consideration:</w:t>
      </w:r>
    </w:p>
    <w:p w14:paraId="4C0620D9" w14:textId="77777777" w:rsidR="00DA5A3D" w:rsidRDefault="00A05AE0" w:rsidP="00965992">
      <w:pPr>
        <w:pStyle w:val="SingleTxtG"/>
      </w:pPr>
      <w:r>
        <w:tab/>
      </w:r>
      <w:r w:rsidR="00DA5A3D">
        <w:t>(a)</w:t>
      </w:r>
      <w:r w:rsidR="00DA5A3D">
        <w:tab/>
        <w:t xml:space="preserve">Include a voluntary and complimentary component in the reporting mechanism that </w:t>
      </w:r>
      <w:proofErr w:type="gramStart"/>
      <w:r w:rsidR="00DA5A3D">
        <w:t>address</w:t>
      </w:r>
      <w:proofErr w:type="gramEnd"/>
      <w:r w:rsidR="00DA5A3D">
        <w:t xml:space="preserve"> obligations under the Aarhus Convention for those member States that are Parties to the Convention. This component could facilitate increased capacities and knowledge transfer in fulfilling obligations </w:t>
      </w:r>
      <w:r w:rsidR="00DA5A3D" w:rsidRPr="00082A4F">
        <w:t>that Parties have</w:t>
      </w:r>
      <w:r w:rsidR="00DA5A3D">
        <w:t xml:space="preserve"> in providing access to information and in extension assist in</w:t>
      </w:r>
      <w:r w:rsidR="00A304AD">
        <w:t xml:space="preserve"> the implementation of the SEIS;</w:t>
      </w:r>
    </w:p>
    <w:p w14:paraId="22270604" w14:textId="77777777" w:rsidR="00DA5A3D" w:rsidRDefault="00A05AE0" w:rsidP="00965992">
      <w:pPr>
        <w:pStyle w:val="SingleTxtG"/>
      </w:pPr>
      <w:r>
        <w:tab/>
      </w:r>
      <w:r w:rsidR="00DA5A3D">
        <w:t>(b)</w:t>
      </w:r>
      <w:r w:rsidR="00DA5A3D">
        <w:tab/>
        <w:t xml:space="preserve">Conduct, as part of the continued SEIS review, a </w:t>
      </w:r>
      <w:r w:rsidR="00DA5A3D" w:rsidRPr="00A07428">
        <w:t>study</w:t>
      </w:r>
      <w:r w:rsidR="00DA5A3D">
        <w:t xml:space="preserve"> that focus on the best approach for the operationalization of the reporting mechanism. Results from the study would feed into the work that has so far been done by the Working Group’</w:t>
      </w:r>
      <w:r w:rsidR="00DA5A3D" w:rsidRPr="00373E57">
        <w:t xml:space="preserve"> development sub-group</w:t>
      </w:r>
      <w:r w:rsidR="00DA5A3D">
        <w:t xml:space="preserve"> and provide concrete and useful inputs into the design and operationalization of the simple online application as well as provide recommendations on how systematic reporting can be</w:t>
      </w:r>
      <w:r>
        <w:t xml:space="preserve"> made easier fo</w:t>
      </w:r>
      <w:r w:rsidR="00A304AD">
        <w:t>r member States;</w:t>
      </w:r>
    </w:p>
    <w:p w14:paraId="4E1E917B" w14:textId="1D1EE782" w:rsidR="00DA5A3D" w:rsidRDefault="00A05AE0" w:rsidP="00965992">
      <w:pPr>
        <w:pStyle w:val="SingleTxtG"/>
      </w:pPr>
      <w:r>
        <w:tab/>
      </w:r>
      <w:r w:rsidR="00DA5A3D">
        <w:t>(c)</w:t>
      </w:r>
      <w:r w:rsidR="00DA5A3D">
        <w:tab/>
        <w:t xml:space="preserve">Consider </w:t>
      </w:r>
      <w:r w:rsidR="00DA5A3D" w:rsidRPr="00B479FC">
        <w:t>how cooperation, as an inherent</w:t>
      </w:r>
      <w:r w:rsidR="00DA5A3D">
        <w:t xml:space="preserve"> part of SEIS, should be accounted in the review process. The current review criteria (see Table 1) are principally useful in assessing progress towards two of the three SEIS pillars (namel</w:t>
      </w:r>
      <w:r>
        <w:t>y</w:t>
      </w:r>
      <w:r w:rsidR="00A304AD">
        <w:t>, content and infrastructure);</w:t>
      </w:r>
    </w:p>
    <w:p w14:paraId="05C00736" w14:textId="13D083AC" w:rsidR="00DA5A3D" w:rsidRDefault="00A05AE0" w:rsidP="00965992">
      <w:pPr>
        <w:pStyle w:val="SingleTxtG"/>
      </w:pPr>
      <w:r>
        <w:tab/>
      </w:r>
      <w:r w:rsidR="00DA5A3D">
        <w:t>(d)</w:t>
      </w:r>
      <w:r w:rsidR="00DA5A3D">
        <w:tab/>
        <w:t xml:space="preserve">The consultations raised some concerns for how production methodologies and data interpretation and use have been assessed. More specifically, how the </w:t>
      </w:r>
      <w:r w:rsidR="00D40339">
        <w:t>data set</w:t>
      </w:r>
      <w:r w:rsidR="00DA5A3D">
        <w:t>s have been utilised and interpreted in national assessments. Addressing these concerns would help to further harmonise data formats and improve comparability across the pan-European countries as a prerequisite for improved</w:t>
      </w:r>
      <w:r>
        <w:t xml:space="preserve"> sharing of environmental data.</w:t>
      </w:r>
    </w:p>
    <w:p w14:paraId="32E148D5" w14:textId="4EF41620" w:rsidR="00DA5A3D" w:rsidRDefault="00965992" w:rsidP="00965992">
      <w:pPr>
        <w:pStyle w:val="SingleTxtG"/>
      </w:pPr>
      <w:r>
        <w:t>64</w:t>
      </w:r>
      <w:r w:rsidR="00DA5A3D">
        <w:t>.</w:t>
      </w:r>
      <w:r w:rsidR="00DA5A3D">
        <w:tab/>
        <w:t xml:space="preserve">Building on experiences and results from the review, continued efforts are needed in measuring progress in the SEIS process. The ongoing review may benefit from structuring future assessments more closely to the three main SEIS pillars </w:t>
      </w:r>
      <w:r w:rsidR="00DA5A3D" w:rsidRPr="009E52C7">
        <w:t>(cooperation, content and infrastructure)</w:t>
      </w:r>
      <w:r w:rsidR="00DA5A3D">
        <w:t xml:space="preserve"> and to expand on the review criteria to enhance data quality (referring to data for the review process) when assessing the design and implementation of SEIS across the pan-European countries. </w:t>
      </w:r>
    </w:p>
    <w:p w14:paraId="07B3DF49" w14:textId="119196F3" w:rsidR="00DA5A3D" w:rsidRDefault="00965992" w:rsidP="00965992">
      <w:pPr>
        <w:pStyle w:val="SingleTxtG"/>
      </w:pPr>
      <w:r>
        <w:t>65</w:t>
      </w:r>
      <w:r w:rsidR="00DA5A3D">
        <w:t>.</w:t>
      </w:r>
      <w:r w:rsidR="00DA5A3D">
        <w:tab/>
        <w:t xml:space="preserve">The review process should, in its activities, take into account the need for updating the environmental indicators and associated </w:t>
      </w:r>
      <w:r w:rsidR="00D40339">
        <w:t>data set</w:t>
      </w:r>
      <w:r w:rsidR="00DA5A3D">
        <w:t xml:space="preserve">s (such as the need to report on </w:t>
      </w:r>
      <w:r w:rsidR="00DA5A3D" w:rsidRPr="009E52C7">
        <w:t>ozone-depleting substances</w:t>
      </w:r>
      <w:r w:rsidR="00DA5A3D">
        <w:t>) and facilitate capacities of national administrators in their use of environmental indicators. T</w:t>
      </w:r>
      <w:r w:rsidR="00DA5A3D" w:rsidRPr="008907F0">
        <w:t>he Joint Task Force on Environment</w:t>
      </w:r>
      <w:r w:rsidR="00F1529E">
        <w:t>al</w:t>
      </w:r>
      <w:r w:rsidR="00DA5A3D" w:rsidRPr="008907F0">
        <w:t xml:space="preserve"> Statistics and Indicators should </w:t>
      </w:r>
      <w:r w:rsidR="00DA5A3D">
        <w:t>be involved in this process and p</w:t>
      </w:r>
      <w:r w:rsidR="00DA5A3D" w:rsidRPr="008907F0">
        <w:t xml:space="preserve">rovide advice to the </w:t>
      </w:r>
      <w:r w:rsidR="00DA5A3D">
        <w:t>Working Group</w:t>
      </w:r>
      <w:r w:rsidR="00DA5A3D" w:rsidRPr="008907F0">
        <w:t xml:space="preserve"> on the application of SEIS data production methodologies by the target countries</w:t>
      </w:r>
      <w:r w:rsidR="00DA5A3D">
        <w:t xml:space="preserve"> (e.g. a</w:t>
      </w:r>
      <w:r w:rsidR="00DA5A3D" w:rsidRPr="008907F0">
        <w:t xml:space="preserve">ddress specific challenges related to methodology and data quality </w:t>
      </w:r>
      <w:r w:rsidR="004F21F1">
        <w:t>during data collection and for</w:t>
      </w:r>
      <w:r w:rsidR="00DA5A3D" w:rsidRPr="008907F0">
        <w:t xml:space="preserve"> producing </w:t>
      </w:r>
      <w:r w:rsidR="004F21F1" w:rsidRPr="008907F0">
        <w:t xml:space="preserve">environmental </w:t>
      </w:r>
      <w:r w:rsidR="00DA5A3D" w:rsidRPr="008907F0">
        <w:t>indicators</w:t>
      </w:r>
      <w:r w:rsidR="00DA5A3D">
        <w:t xml:space="preserve">) and assist in building capacities for </w:t>
      </w:r>
      <w:r w:rsidR="00DA5A3D" w:rsidRPr="008907F0">
        <w:t>the compilation and integration of environmental data in support of mea</w:t>
      </w:r>
      <w:r w:rsidR="00DA5A3D">
        <w:t>suring sustainable development.</w:t>
      </w:r>
    </w:p>
    <w:p w14:paraId="1A89A713" w14:textId="77777777" w:rsidR="005C74C7" w:rsidRDefault="005C74C7">
      <w:pPr>
        <w:suppressAutoHyphens w:val="0"/>
        <w:spacing w:line="240" w:lineRule="auto"/>
      </w:pPr>
      <w:r>
        <w:br w:type="page"/>
      </w:r>
    </w:p>
    <w:p w14:paraId="2DDB362E" w14:textId="77777777" w:rsidR="0042442E" w:rsidRPr="0042442E" w:rsidRDefault="0042442E" w:rsidP="004D0C0C">
      <w:pPr>
        <w:pStyle w:val="HChG"/>
      </w:pPr>
      <w:bookmarkStart w:id="125" w:name="_Toc440461431"/>
      <w:r w:rsidRPr="0042442E">
        <w:t xml:space="preserve">Annex </w:t>
      </w:r>
      <w:bookmarkEnd w:id="125"/>
    </w:p>
    <w:p w14:paraId="4DBA57FB" w14:textId="77777777" w:rsidR="0042442E" w:rsidRPr="0042442E" w:rsidRDefault="004D0C0C" w:rsidP="004D0C0C">
      <w:pPr>
        <w:pStyle w:val="HChG"/>
      </w:pPr>
      <w:bookmarkStart w:id="126" w:name="_Toc439688167"/>
      <w:bookmarkStart w:id="127" w:name="_Toc439754746"/>
      <w:bookmarkStart w:id="128" w:name="_Toc439765054"/>
      <w:bookmarkStart w:id="129" w:name="_Toc439772015"/>
      <w:bookmarkStart w:id="130" w:name="_Toc439776017"/>
      <w:bookmarkStart w:id="131" w:name="_Toc439783428"/>
      <w:bookmarkStart w:id="132" w:name="_Toc439859103"/>
      <w:bookmarkStart w:id="133" w:name="_Toc439861969"/>
      <w:bookmarkStart w:id="134" w:name="_Toc439863776"/>
      <w:bookmarkStart w:id="135" w:name="_Toc439688168"/>
      <w:bookmarkStart w:id="136" w:name="_Toc439754747"/>
      <w:bookmarkStart w:id="137" w:name="_Toc439765055"/>
      <w:bookmarkStart w:id="138" w:name="_Toc439772016"/>
      <w:bookmarkStart w:id="139" w:name="_Toc439776018"/>
      <w:bookmarkStart w:id="140" w:name="_Toc439783429"/>
      <w:bookmarkStart w:id="141" w:name="_Toc439859104"/>
      <w:bookmarkStart w:id="142" w:name="_Toc439861970"/>
      <w:bookmarkStart w:id="143" w:name="_Toc439863777"/>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tab/>
        <w:t>A.</w:t>
      </w:r>
      <w:r w:rsidR="0042442E" w:rsidRPr="0042442E">
        <w:tab/>
      </w:r>
      <w:bookmarkStart w:id="144" w:name="_Toc440461432"/>
      <w:r w:rsidR="0042442E" w:rsidRPr="0042442E">
        <w:t>Reviewing online accessibility</w:t>
      </w:r>
      <w:bookmarkEnd w:id="144"/>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2"/>
        <w:gridCol w:w="5393"/>
      </w:tblGrid>
      <w:tr w:rsidR="00AB5508" w:rsidRPr="00D85B6E" w14:paraId="0E2715FD" w14:textId="77777777" w:rsidTr="00091ED1">
        <w:trPr>
          <w:tblHeader/>
        </w:trPr>
        <w:tc>
          <w:tcPr>
            <w:tcW w:w="2699" w:type="dxa"/>
            <w:tcBorders>
              <w:top w:val="single" w:sz="4" w:space="0" w:color="auto"/>
              <w:bottom w:val="single" w:sz="12" w:space="0" w:color="auto"/>
            </w:tcBorders>
            <w:shd w:val="clear" w:color="auto" w:fill="auto"/>
            <w:vAlign w:val="bottom"/>
          </w:tcPr>
          <w:p w14:paraId="00CE06CA" w14:textId="77777777" w:rsidR="00D85B6E" w:rsidRPr="00D85B6E" w:rsidRDefault="00D85B6E" w:rsidP="00D85B6E">
            <w:pPr>
              <w:suppressAutoHyphens w:val="0"/>
              <w:spacing w:before="80" w:after="80" w:line="200" w:lineRule="exact"/>
              <w:ind w:right="113"/>
              <w:rPr>
                <w:i/>
                <w:sz w:val="16"/>
                <w:szCs w:val="18"/>
              </w:rPr>
            </w:pPr>
            <w:r w:rsidRPr="00D85B6E">
              <w:rPr>
                <w:i/>
                <w:sz w:val="16"/>
                <w:szCs w:val="18"/>
                <w:lang w:eastAsia="en-GB"/>
              </w:rPr>
              <w:t>Review Questions</w:t>
            </w:r>
          </w:p>
        </w:tc>
        <w:tc>
          <w:tcPr>
            <w:tcW w:w="4677" w:type="dxa"/>
            <w:tcBorders>
              <w:top w:val="single" w:sz="4" w:space="0" w:color="auto"/>
              <w:bottom w:val="single" w:sz="12" w:space="0" w:color="auto"/>
            </w:tcBorders>
            <w:shd w:val="clear" w:color="auto" w:fill="auto"/>
            <w:vAlign w:val="bottom"/>
          </w:tcPr>
          <w:p w14:paraId="7AE7153F" w14:textId="77777777" w:rsidR="00D85B6E" w:rsidRPr="00D85B6E" w:rsidRDefault="00D85B6E" w:rsidP="00AB5508">
            <w:pPr>
              <w:suppressAutoHyphens w:val="0"/>
              <w:spacing w:before="80" w:after="80" w:line="200" w:lineRule="exact"/>
              <w:ind w:right="113"/>
              <w:rPr>
                <w:i/>
                <w:sz w:val="16"/>
                <w:szCs w:val="18"/>
              </w:rPr>
            </w:pPr>
            <w:r w:rsidRPr="00D85B6E">
              <w:rPr>
                <w:i/>
                <w:sz w:val="16"/>
                <w:szCs w:val="18"/>
                <w:lang w:eastAsia="en-GB"/>
              </w:rPr>
              <w:t>Description</w:t>
            </w:r>
          </w:p>
        </w:tc>
      </w:tr>
      <w:tr w:rsidR="00AB5508" w:rsidRPr="00D85B6E" w14:paraId="1029F5A6" w14:textId="77777777" w:rsidTr="00091ED1">
        <w:trPr>
          <w:trHeight w:hRule="exact" w:val="113"/>
          <w:tblHeader/>
        </w:trPr>
        <w:tc>
          <w:tcPr>
            <w:tcW w:w="2699" w:type="dxa"/>
            <w:tcBorders>
              <w:top w:val="single" w:sz="12" w:space="0" w:color="auto"/>
              <w:bottom w:val="nil"/>
            </w:tcBorders>
            <w:shd w:val="clear" w:color="auto" w:fill="auto"/>
            <w:vAlign w:val="bottom"/>
          </w:tcPr>
          <w:p w14:paraId="0C8352EB" w14:textId="77777777" w:rsidR="00AB5508" w:rsidRPr="00D85B6E" w:rsidRDefault="00AB5508" w:rsidP="00D85B6E">
            <w:pPr>
              <w:suppressAutoHyphens w:val="0"/>
              <w:spacing w:before="80" w:after="80" w:line="200" w:lineRule="exact"/>
              <w:ind w:right="113"/>
              <w:rPr>
                <w:i/>
                <w:sz w:val="16"/>
                <w:szCs w:val="18"/>
                <w:lang w:eastAsia="en-GB"/>
              </w:rPr>
            </w:pPr>
          </w:p>
        </w:tc>
        <w:tc>
          <w:tcPr>
            <w:tcW w:w="4677" w:type="dxa"/>
            <w:tcBorders>
              <w:top w:val="single" w:sz="12" w:space="0" w:color="auto"/>
              <w:bottom w:val="nil"/>
            </w:tcBorders>
            <w:shd w:val="clear" w:color="auto" w:fill="auto"/>
            <w:vAlign w:val="bottom"/>
          </w:tcPr>
          <w:p w14:paraId="2510CA34" w14:textId="77777777" w:rsidR="00AB5508" w:rsidRPr="00D85B6E" w:rsidRDefault="00AB5508" w:rsidP="00D85B6E">
            <w:pPr>
              <w:suppressAutoHyphens w:val="0"/>
              <w:spacing w:before="80" w:after="80" w:line="200" w:lineRule="exact"/>
              <w:ind w:right="113"/>
              <w:rPr>
                <w:i/>
                <w:sz w:val="16"/>
                <w:szCs w:val="18"/>
                <w:lang w:eastAsia="en-GB"/>
              </w:rPr>
            </w:pPr>
          </w:p>
        </w:tc>
      </w:tr>
      <w:tr w:rsidR="00D85B6E" w:rsidRPr="00D85B6E" w14:paraId="5C6B0705" w14:textId="77777777" w:rsidTr="00091ED1">
        <w:tc>
          <w:tcPr>
            <w:tcW w:w="2699" w:type="dxa"/>
            <w:tcBorders>
              <w:top w:val="nil"/>
            </w:tcBorders>
            <w:shd w:val="clear" w:color="auto" w:fill="auto"/>
          </w:tcPr>
          <w:p w14:paraId="34C1A318" w14:textId="692B0F13" w:rsidR="00D85B6E" w:rsidRPr="00DC6713" w:rsidRDefault="00D85B6E" w:rsidP="00AB5508">
            <w:pPr>
              <w:suppressAutoHyphens w:val="0"/>
              <w:spacing w:before="40" w:after="120"/>
              <w:ind w:right="113"/>
              <w:rPr>
                <w:szCs w:val="18"/>
              </w:rPr>
            </w:pPr>
            <w:r w:rsidRPr="00DC6713">
              <w:rPr>
                <w:bCs/>
                <w:szCs w:val="18"/>
                <w:lang w:eastAsia="en-GB"/>
              </w:rPr>
              <w:t xml:space="preserve">In how many languages are the national </w:t>
            </w:r>
            <w:r w:rsidR="00D40339">
              <w:rPr>
                <w:bCs/>
                <w:szCs w:val="18"/>
                <w:lang w:eastAsia="en-GB"/>
              </w:rPr>
              <w:t>data set</w:t>
            </w:r>
            <w:r w:rsidRPr="00DC6713">
              <w:rPr>
                <w:bCs/>
                <w:szCs w:val="18"/>
                <w:lang w:eastAsia="en-GB"/>
              </w:rPr>
              <w:t>s and related information published?</w:t>
            </w:r>
          </w:p>
        </w:tc>
        <w:tc>
          <w:tcPr>
            <w:tcW w:w="4677" w:type="dxa"/>
            <w:tcBorders>
              <w:top w:val="nil"/>
            </w:tcBorders>
            <w:shd w:val="clear" w:color="auto" w:fill="auto"/>
          </w:tcPr>
          <w:p w14:paraId="039A95A2" w14:textId="1AAFE3AB" w:rsidR="00D85B6E" w:rsidRPr="00D85B6E" w:rsidRDefault="00D85B6E" w:rsidP="00AB5508">
            <w:pPr>
              <w:suppressAutoHyphens w:val="0"/>
              <w:spacing w:before="40" w:after="120"/>
              <w:ind w:right="113"/>
              <w:rPr>
                <w:szCs w:val="18"/>
              </w:rPr>
            </w:pPr>
            <w:r w:rsidRPr="00D85B6E">
              <w:rPr>
                <w:szCs w:val="18"/>
                <w:lang w:eastAsia="en-GB"/>
              </w:rPr>
              <w:t>Tentatively this was divided into three categories (national language, national languages plus English or Russia</w:t>
            </w:r>
            <w:r w:rsidR="00230154">
              <w:rPr>
                <w:szCs w:val="18"/>
                <w:lang w:eastAsia="en-GB"/>
              </w:rPr>
              <w:t>n</w:t>
            </w:r>
            <w:r w:rsidRPr="00D85B6E">
              <w:rPr>
                <w:szCs w:val="18"/>
                <w:lang w:eastAsia="en-GB"/>
              </w:rPr>
              <w:t>, and more than 2 languages) once data has been collected.</w:t>
            </w:r>
          </w:p>
        </w:tc>
      </w:tr>
      <w:tr w:rsidR="00D85B6E" w:rsidRPr="00D85B6E" w14:paraId="4A117D4A" w14:textId="77777777" w:rsidTr="00091ED1">
        <w:tc>
          <w:tcPr>
            <w:tcW w:w="2699" w:type="dxa"/>
            <w:shd w:val="clear" w:color="auto" w:fill="auto"/>
          </w:tcPr>
          <w:p w14:paraId="10F93A3D" w14:textId="33EE3195" w:rsidR="00D85B6E" w:rsidRPr="00DC6713" w:rsidRDefault="00D85B6E" w:rsidP="00AB5508">
            <w:pPr>
              <w:suppressAutoHyphens w:val="0"/>
              <w:spacing w:before="40" w:after="120"/>
              <w:ind w:right="113"/>
              <w:rPr>
                <w:szCs w:val="18"/>
              </w:rPr>
            </w:pPr>
            <w:r w:rsidRPr="00DC6713">
              <w:rPr>
                <w:bCs/>
                <w:szCs w:val="18"/>
                <w:lang w:eastAsia="en-GB"/>
              </w:rPr>
              <w:t xml:space="preserve">Across how many online platforms are the national </w:t>
            </w:r>
            <w:r w:rsidR="00D40339">
              <w:rPr>
                <w:bCs/>
                <w:szCs w:val="18"/>
                <w:lang w:eastAsia="en-GB"/>
              </w:rPr>
              <w:t>data set</w:t>
            </w:r>
            <w:r w:rsidRPr="00DC6713">
              <w:rPr>
                <w:bCs/>
                <w:szCs w:val="18"/>
                <w:lang w:eastAsia="en-GB"/>
              </w:rPr>
              <w:t>s and related information published?</w:t>
            </w:r>
          </w:p>
        </w:tc>
        <w:tc>
          <w:tcPr>
            <w:tcW w:w="4677" w:type="dxa"/>
            <w:shd w:val="clear" w:color="auto" w:fill="auto"/>
          </w:tcPr>
          <w:p w14:paraId="443BED75" w14:textId="5BE4CFC7" w:rsidR="00D85B6E" w:rsidRPr="00D85B6E" w:rsidRDefault="00D85B6E" w:rsidP="00AB5508">
            <w:pPr>
              <w:suppressAutoHyphens w:val="0"/>
              <w:spacing w:before="40" w:after="120"/>
              <w:ind w:right="113"/>
              <w:rPr>
                <w:szCs w:val="18"/>
              </w:rPr>
            </w:pPr>
            <w:r w:rsidRPr="00D85B6E">
              <w:rPr>
                <w:szCs w:val="18"/>
                <w:lang w:eastAsia="en-GB"/>
              </w:rPr>
              <w:t xml:space="preserve">Data should not only be regularly updated but also presented in a clear manner. This implies that the </w:t>
            </w:r>
            <w:r w:rsidR="00D40339">
              <w:rPr>
                <w:szCs w:val="18"/>
                <w:lang w:eastAsia="en-GB"/>
              </w:rPr>
              <w:t>data set</w:t>
            </w:r>
            <w:r w:rsidRPr="00D85B6E">
              <w:rPr>
                <w:szCs w:val="18"/>
                <w:lang w:eastAsia="en-GB"/>
              </w:rPr>
              <w:t xml:space="preserve">s and related information should be presented in a cohesive manner. If the </w:t>
            </w:r>
            <w:r w:rsidR="00D40339">
              <w:rPr>
                <w:szCs w:val="18"/>
                <w:lang w:eastAsia="en-GB"/>
              </w:rPr>
              <w:t>data set</w:t>
            </w:r>
            <w:r w:rsidRPr="00D85B6E">
              <w:rPr>
                <w:szCs w:val="18"/>
                <w:lang w:eastAsia="en-GB"/>
              </w:rPr>
              <w:t>s are fragmented across many platforms this indicates low accessibility.</w:t>
            </w:r>
          </w:p>
        </w:tc>
      </w:tr>
      <w:tr w:rsidR="00D85B6E" w:rsidRPr="00D85B6E" w14:paraId="10298998" w14:textId="77777777" w:rsidTr="00091ED1">
        <w:tc>
          <w:tcPr>
            <w:tcW w:w="2699" w:type="dxa"/>
            <w:shd w:val="clear" w:color="auto" w:fill="auto"/>
          </w:tcPr>
          <w:p w14:paraId="1C006D48" w14:textId="7403E858" w:rsidR="00D85B6E" w:rsidRPr="00DC6713" w:rsidRDefault="00D85B6E" w:rsidP="00AB5508">
            <w:pPr>
              <w:suppressAutoHyphens w:val="0"/>
              <w:spacing w:before="40" w:after="120"/>
              <w:ind w:right="113"/>
              <w:rPr>
                <w:szCs w:val="18"/>
              </w:rPr>
            </w:pPr>
            <w:r w:rsidRPr="00DC6713">
              <w:rPr>
                <w:bCs/>
                <w:szCs w:val="18"/>
                <w:lang w:eastAsia="en-GB"/>
              </w:rPr>
              <w:t xml:space="preserve">In what formats are the </w:t>
            </w:r>
            <w:r w:rsidR="00D40339">
              <w:rPr>
                <w:bCs/>
                <w:szCs w:val="18"/>
                <w:lang w:eastAsia="en-GB"/>
              </w:rPr>
              <w:t>data set</w:t>
            </w:r>
            <w:r w:rsidRPr="00DC6713">
              <w:rPr>
                <w:bCs/>
                <w:szCs w:val="18"/>
                <w:lang w:eastAsia="en-GB"/>
              </w:rPr>
              <w:t>s and related information published?</w:t>
            </w:r>
          </w:p>
        </w:tc>
        <w:tc>
          <w:tcPr>
            <w:tcW w:w="4677" w:type="dxa"/>
            <w:shd w:val="clear" w:color="auto" w:fill="auto"/>
          </w:tcPr>
          <w:p w14:paraId="576D1E20" w14:textId="68CDB932" w:rsidR="00D85B6E" w:rsidRPr="00D85B6E" w:rsidRDefault="00D85B6E" w:rsidP="00AB5508">
            <w:pPr>
              <w:suppressAutoHyphens w:val="0"/>
              <w:spacing w:before="40" w:after="120"/>
              <w:ind w:right="113"/>
              <w:rPr>
                <w:szCs w:val="18"/>
              </w:rPr>
            </w:pPr>
            <w:r w:rsidRPr="00D85B6E">
              <w:rPr>
                <w:szCs w:val="18"/>
                <w:lang w:eastAsia="en-GB"/>
              </w:rPr>
              <w:t xml:space="preserve">This is foreseen to cover three categories: whether the </w:t>
            </w:r>
            <w:r w:rsidR="00D40339">
              <w:rPr>
                <w:szCs w:val="18"/>
                <w:lang w:eastAsia="en-GB"/>
              </w:rPr>
              <w:t>data set</w:t>
            </w:r>
            <w:r w:rsidRPr="00D85B6E">
              <w:rPr>
                <w:szCs w:val="18"/>
                <w:lang w:eastAsia="en-GB"/>
              </w:rPr>
              <w:t xml:space="preserve"> is only published in a report format (1), or only published online (not as a report) (2) or both in a report format and online (3). It should be distinguished that online publishing implies that the </w:t>
            </w:r>
            <w:r w:rsidR="00D40339">
              <w:rPr>
                <w:szCs w:val="18"/>
                <w:lang w:eastAsia="en-GB"/>
              </w:rPr>
              <w:t>data set</w:t>
            </w:r>
            <w:r w:rsidRPr="00D85B6E">
              <w:rPr>
                <w:szCs w:val="18"/>
                <w:lang w:eastAsia="en-GB"/>
              </w:rPr>
              <w:t>s are shared through specific infrastructure in this case (e.g. graphical representation of the data, etc.).</w:t>
            </w:r>
          </w:p>
        </w:tc>
      </w:tr>
      <w:tr w:rsidR="00D85B6E" w:rsidRPr="00D85B6E" w14:paraId="509317DB" w14:textId="77777777" w:rsidTr="00091ED1">
        <w:tc>
          <w:tcPr>
            <w:tcW w:w="2699" w:type="dxa"/>
            <w:shd w:val="clear" w:color="auto" w:fill="auto"/>
          </w:tcPr>
          <w:p w14:paraId="24904923" w14:textId="77777777" w:rsidR="00D85B6E" w:rsidRPr="00DC6713" w:rsidRDefault="00D85B6E" w:rsidP="00AB5508">
            <w:pPr>
              <w:suppressAutoHyphens w:val="0"/>
              <w:spacing w:before="40" w:after="120"/>
              <w:ind w:right="113"/>
              <w:rPr>
                <w:szCs w:val="18"/>
              </w:rPr>
            </w:pPr>
            <w:r w:rsidRPr="00DC6713">
              <w:rPr>
                <w:bCs/>
                <w:szCs w:val="18"/>
                <w:lang w:eastAsia="en-GB"/>
              </w:rPr>
              <w:t>How user friendly is the online platform(s)?</w:t>
            </w:r>
          </w:p>
        </w:tc>
        <w:tc>
          <w:tcPr>
            <w:tcW w:w="4677" w:type="dxa"/>
            <w:shd w:val="clear" w:color="auto" w:fill="auto"/>
          </w:tcPr>
          <w:p w14:paraId="4E52910A" w14:textId="3458F52D" w:rsidR="00D85B6E" w:rsidRPr="00D85B6E" w:rsidRDefault="00D85B6E" w:rsidP="00AB5508">
            <w:pPr>
              <w:suppressAutoHyphens w:val="0"/>
              <w:spacing w:before="40" w:after="120"/>
              <w:ind w:right="113"/>
              <w:rPr>
                <w:szCs w:val="18"/>
              </w:rPr>
            </w:pPr>
            <w:r w:rsidRPr="00D85B6E">
              <w:rPr>
                <w:szCs w:val="18"/>
                <w:lang w:eastAsia="en-GB"/>
              </w:rPr>
              <w:t xml:space="preserve">User friendliness is subjective and principally referees to the infrastructure where the </w:t>
            </w:r>
            <w:r w:rsidR="00D40339">
              <w:rPr>
                <w:szCs w:val="18"/>
                <w:lang w:eastAsia="en-GB"/>
              </w:rPr>
              <w:t>data set</w:t>
            </w:r>
            <w:r w:rsidRPr="00D85B6E">
              <w:rPr>
                <w:szCs w:val="18"/>
                <w:lang w:eastAsia="en-GB"/>
              </w:rPr>
              <w:t>s and related information is published. It will be addressed through a number of sub-questions in a YES/NO format as follows:         a. Is the platform easy to use?</w:t>
            </w:r>
            <w:r w:rsidRPr="00D85B6E">
              <w:rPr>
                <w:szCs w:val="18"/>
                <w:lang w:eastAsia="en-GB"/>
              </w:rPr>
              <w:br/>
              <w:t>b. Are there available search functions?</w:t>
            </w:r>
            <w:r w:rsidRPr="00D85B6E">
              <w:rPr>
                <w:szCs w:val="18"/>
                <w:lang w:eastAsia="en-GB"/>
              </w:rPr>
              <w:br/>
              <w:t xml:space="preserve">c. Are the </w:t>
            </w:r>
            <w:r w:rsidR="00D40339">
              <w:rPr>
                <w:szCs w:val="18"/>
                <w:lang w:eastAsia="en-GB"/>
              </w:rPr>
              <w:t>data set</w:t>
            </w:r>
            <w:r w:rsidRPr="00D85B6E">
              <w:rPr>
                <w:szCs w:val="18"/>
                <w:lang w:eastAsia="en-GB"/>
              </w:rPr>
              <w:t>s presented in text format?</w:t>
            </w:r>
            <w:r w:rsidRPr="00D85B6E">
              <w:rPr>
                <w:szCs w:val="18"/>
                <w:lang w:eastAsia="en-GB"/>
              </w:rPr>
              <w:br/>
              <w:t xml:space="preserve">d. Are the </w:t>
            </w:r>
            <w:r w:rsidR="00D40339">
              <w:rPr>
                <w:szCs w:val="18"/>
                <w:lang w:eastAsia="en-GB"/>
              </w:rPr>
              <w:t>data set</w:t>
            </w:r>
            <w:r w:rsidRPr="00D85B6E">
              <w:rPr>
                <w:szCs w:val="18"/>
                <w:lang w:eastAsia="en-GB"/>
              </w:rPr>
              <w:t>s presented in graphic format?</w:t>
            </w:r>
            <w:r w:rsidRPr="00D85B6E">
              <w:rPr>
                <w:szCs w:val="18"/>
                <w:lang w:eastAsia="en-GB"/>
              </w:rPr>
              <w:br/>
              <w:t>e. Are there clear contact points for the public to access more information?</w:t>
            </w:r>
          </w:p>
        </w:tc>
      </w:tr>
    </w:tbl>
    <w:p w14:paraId="34AEFA4A" w14:textId="77777777" w:rsidR="00C339C9" w:rsidRDefault="00C339C9" w:rsidP="007266BA">
      <w:pPr>
        <w:pStyle w:val="SingleTxtG"/>
      </w:pPr>
      <w:bookmarkStart w:id="145" w:name="_Toc439688170"/>
      <w:bookmarkStart w:id="146" w:name="_Toc439754749"/>
      <w:bookmarkStart w:id="147" w:name="_Toc439765057"/>
      <w:bookmarkStart w:id="148" w:name="_Toc439772018"/>
      <w:bookmarkStart w:id="149" w:name="_Toc439776020"/>
      <w:bookmarkStart w:id="150" w:name="_Toc439783431"/>
      <w:bookmarkStart w:id="151" w:name="_Toc439859106"/>
      <w:bookmarkStart w:id="152" w:name="_Toc439861972"/>
      <w:bookmarkStart w:id="153" w:name="_Toc439863779"/>
      <w:bookmarkStart w:id="154" w:name="_Toc439688171"/>
      <w:bookmarkStart w:id="155" w:name="_Toc439754750"/>
      <w:bookmarkStart w:id="156" w:name="_Toc439765058"/>
      <w:bookmarkStart w:id="157" w:name="_Toc439772019"/>
      <w:bookmarkStart w:id="158" w:name="_Toc439776021"/>
      <w:bookmarkStart w:id="159" w:name="_Toc439783432"/>
      <w:bookmarkStart w:id="160" w:name="_Toc439859107"/>
      <w:bookmarkStart w:id="161" w:name="_Toc439861973"/>
      <w:bookmarkStart w:id="162" w:name="_Toc439863780"/>
      <w:bookmarkStart w:id="163" w:name="_Toc440461433"/>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60703A0" w14:textId="18E8B206" w:rsidR="0042442E" w:rsidRPr="0042442E" w:rsidRDefault="004D0C0C" w:rsidP="004D0C0C">
      <w:pPr>
        <w:pStyle w:val="HChG"/>
      </w:pPr>
      <w:r>
        <w:tab/>
        <w:t>B.</w:t>
      </w:r>
      <w:r>
        <w:tab/>
      </w:r>
      <w:r w:rsidR="0042442E" w:rsidRPr="0042442E">
        <w:t xml:space="preserve">SEIS </w:t>
      </w:r>
      <w:r w:rsidR="00865634">
        <w:t>d</w:t>
      </w:r>
      <w:r w:rsidR="0042442E" w:rsidRPr="0042442E">
        <w:t xml:space="preserve">ata </w:t>
      </w:r>
      <w:r w:rsidR="00865634">
        <w:t>s</w:t>
      </w:r>
      <w:r w:rsidR="0042442E" w:rsidRPr="0042442E">
        <w:t xml:space="preserve">ets with </w:t>
      </w:r>
      <w:r w:rsidR="00865634">
        <w:t>h</w:t>
      </w:r>
      <w:r w:rsidR="0042442E" w:rsidRPr="0042442E">
        <w:t xml:space="preserve">ighest </w:t>
      </w:r>
      <w:r w:rsidR="00865634">
        <w:t>p</w:t>
      </w:r>
      <w:r w:rsidR="0042442E" w:rsidRPr="0042442E">
        <w:t xml:space="preserve">erformance </w:t>
      </w:r>
      <w:r w:rsidR="00865634">
        <w:t>s</w:t>
      </w:r>
      <w:r w:rsidR="0042442E" w:rsidRPr="0042442E">
        <w:t>core</w:t>
      </w:r>
      <w:bookmarkEnd w:id="163"/>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03"/>
        <w:gridCol w:w="3112"/>
        <w:gridCol w:w="4890"/>
      </w:tblGrid>
      <w:tr w:rsidR="001C3B67" w:rsidRPr="001C3B67" w14:paraId="2A247152" w14:textId="77777777" w:rsidTr="00D72F74">
        <w:trPr>
          <w:trHeight w:val="237"/>
          <w:tblHeader/>
        </w:trPr>
        <w:tc>
          <w:tcPr>
            <w:tcW w:w="503" w:type="dxa"/>
            <w:tcBorders>
              <w:top w:val="single" w:sz="4" w:space="0" w:color="auto"/>
              <w:bottom w:val="single" w:sz="12" w:space="0" w:color="auto"/>
            </w:tcBorders>
            <w:shd w:val="clear" w:color="auto" w:fill="auto"/>
            <w:vAlign w:val="bottom"/>
            <w:hideMark/>
          </w:tcPr>
          <w:p w14:paraId="4622ED83" w14:textId="77777777" w:rsidR="001C3B67" w:rsidRPr="001C3B67" w:rsidRDefault="001C3B67" w:rsidP="001C3B67">
            <w:pPr>
              <w:suppressAutoHyphens w:val="0"/>
              <w:spacing w:before="80" w:after="80" w:line="200" w:lineRule="exact"/>
              <w:ind w:right="113"/>
              <w:rPr>
                <w:bCs/>
                <w:i/>
                <w:sz w:val="16"/>
                <w:szCs w:val="18"/>
                <w:lang w:eastAsia="en-GB"/>
              </w:rPr>
            </w:pPr>
            <w:r w:rsidRPr="001C3B67">
              <w:rPr>
                <w:bCs/>
                <w:i/>
                <w:sz w:val="16"/>
                <w:szCs w:val="18"/>
                <w:lang w:eastAsia="en-GB"/>
              </w:rPr>
              <w:t>No.</w:t>
            </w:r>
          </w:p>
        </w:tc>
        <w:tc>
          <w:tcPr>
            <w:tcW w:w="3112" w:type="dxa"/>
            <w:tcBorders>
              <w:top w:val="single" w:sz="4" w:space="0" w:color="auto"/>
              <w:bottom w:val="single" w:sz="12" w:space="0" w:color="auto"/>
            </w:tcBorders>
            <w:shd w:val="clear" w:color="auto" w:fill="auto"/>
            <w:noWrap/>
            <w:vAlign w:val="bottom"/>
            <w:hideMark/>
          </w:tcPr>
          <w:p w14:paraId="44FE9301" w14:textId="53C29CEF" w:rsidR="001C3B67" w:rsidRPr="001C3B67" w:rsidRDefault="00D40339" w:rsidP="001C3B67">
            <w:pPr>
              <w:suppressAutoHyphens w:val="0"/>
              <w:spacing w:before="80" w:after="80" w:line="200" w:lineRule="exact"/>
              <w:ind w:right="113"/>
              <w:rPr>
                <w:bCs/>
                <w:i/>
                <w:sz w:val="16"/>
                <w:szCs w:val="18"/>
                <w:lang w:eastAsia="en-GB"/>
              </w:rPr>
            </w:pPr>
            <w:r>
              <w:rPr>
                <w:bCs/>
                <w:i/>
                <w:sz w:val="16"/>
                <w:szCs w:val="18"/>
                <w:lang w:eastAsia="en-GB"/>
              </w:rPr>
              <w:t>Data set</w:t>
            </w:r>
          </w:p>
        </w:tc>
        <w:tc>
          <w:tcPr>
            <w:tcW w:w="4890" w:type="dxa"/>
            <w:tcBorders>
              <w:top w:val="single" w:sz="4" w:space="0" w:color="auto"/>
              <w:bottom w:val="single" w:sz="12" w:space="0" w:color="auto"/>
            </w:tcBorders>
            <w:shd w:val="clear" w:color="auto" w:fill="auto"/>
            <w:noWrap/>
            <w:vAlign w:val="bottom"/>
            <w:hideMark/>
          </w:tcPr>
          <w:p w14:paraId="755A7416" w14:textId="6C0B51A4" w:rsidR="001C3B67" w:rsidRPr="001C3B67" w:rsidRDefault="001C3B67" w:rsidP="001C3B67">
            <w:pPr>
              <w:suppressAutoHyphens w:val="0"/>
              <w:spacing w:before="80" w:after="80" w:line="200" w:lineRule="exact"/>
              <w:ind w:right="113"/>
              <w:rPr>
                <w:bCs/>
                <w:i/>
                <w:sz w:val="16"/>
                <w:szCs w:val="18"/>
                <w:lang w:eastAsia="en-GB"/>
              </w:rPr>
            </w:pPr>
            <w:r w:rsidRPr="001C3B67">
              <w:rPr>
                <w:bCs/>
                <w:i/>
                <w:sz w:val="16"/>
                <w:szCs w:val="18"/>
                <w:lang w:eastAsia="en-GB"/>
              </w:rPr>
              <w:t xml:space="preserve">Grounds for collecting, updating and sharing </w:t>
            </w:r>
            <w:r w:rsidR="00D40339">
              <w:rPr>
                <w:bCs/>
                <w:i/>
                <w:sz w:val="16"/>
                <w:szCs w:val="18"/>
                <w:lang w:eastAsia="en-GB"/>
              </w:rPr>
              <w:t>data set</w:t>
            </w:r>
          </w:p>
        </w:tc>
      </w:tr>
      <w:tr w:rsidR="001C3B67" w:rsidRPr="001C3B67" w14:paraId="6A7D4488" w14:textId="77777777" w:rsidTr="00D72F74">
        <w:trPr>
          <w:trHeight w:hRule="exact" w:val="113"/>
          <w:tblHeader/>
        </w:trPr>
        <w:tc>
          <w:tcPr>
            <w:tcW w:w="503" w:type="dxa"/>
            <w:tcBorders>
              <w:top w:val="single" w:sz="12" w:space="0" w:color="auto"/>
              <w:bottom w:val="nil"/>
            </w:tcBorders>
            <w:shd w:val="clear" w:color="auto" w:fill="auto"/>
            <w:vAlign w:val="bottom"/>
          </w:tcPr>
          <w:p w14:paraId="531C1E0C" w14:textId="77777777" w:rsidR="001C3B67" w:rsidRPr="001C3B67" w:rsidRDefault="001C3B67" w:rsidP="001C3B67">
            <w:pPr>
              <w:suppressAutoHyphens w:val="0"/>
              <w:spacing w:before="80" w:after="80" w:line="200" w:lineRule="exact"/>
              <w:ind w:right="113"/>
              <w:rPr>
                <w:bCs/>
                <w:i/>
                <w:sz w:val="16"/>
                <w:szCs w:val="18"/>
                <w:lang w:eastAsia="en-GB"/>
              </w:rPr>
            </w:pPr>
          </w:p>
        </w:tc>
        <w:tc>
          <w:tcPr>
            <w:tcW w:w="3112" w:type="dxa"/>
            <w:tcBorders>
              <w:top w:val="single" w:sz="12" w:space="0" w:color="auto"/>
              <w:bottom w:val="nil"/>
            </w:tcBorders>
            <w:shd w:val="clear" w:color="auto" w:fill="auto"/>
            <w:noWrap/>
            <w:vAlign w:val="bottom"/>
          </w:tcPr>
          <w:p w14:paraId="78B9823B" w14:textId="77777777" w:rsidR="001C3B67" w:rsidRPr="001C3B67" w:rsidRDefault="001C3B67" w:rsidP="001C3B67">
            <w:pPr>
              <w:suppressAutoHyphens w:val="0"/>
              <w:spacing w:before="80" w:after="80" w:line="200" w:lineRule="exact"/>
              <w:ind w:right="113"/>
              <w:rPr>
                <w:bCs/>
                <w:i/>
                <w:sz w:val="16"/>
                <w:szCs w:val="18"/>
                <w:lang w:eastAsia="en-GB"/>
              </w:rPr>
            </w:pPr>
          </w:p>
        </w:tc>
        <w:tc>
          <w:tcPr>
            <w:tcW w:w="4890" w:type="dxa"/>
            <w:tcBorders>
              <w:top w:val="single" w:sz="12" w:space="0" w:color="auto"/>
              <w:bottom w:val="nil"/>
            </w:tcBorders>
            <w:shd w:val="clear" w:color="auto" w:fill="auto"/>
            <w:noWrap/>
            <w:vAlign w:val="bottom"/>
          </w:tcPr>
          <w:p w14:paraId="7FC60365" w14:textId="77777777" w:rsidR="001C3B67" w:rsidRPr="001C3B67" w:rsidRDefault="001C3B67" w:rsidP="001C3B67">
            <w:pPr>
              <w:suppressAutoHyphens w:val="0"/>
              <w:spacing w:before="80" w:after="80" w:line="200" w:lineRule="exact"/>
              <w:ind w:right="113"/>
              <w:rPr>
                <w:bCs/>
                <w:i/>
                <w:sz w:val="16"/>
                <w:szCs w:val="18"/>
                <w:lang w:eastAsia="en-GB"/>
              </w:rPr>
            </w:pPr>
          </w:p>
        </w:tc>
      </w:tr>
      <w:tr w:rsidR="001C3B67" w:rsidRPr="001C3B67" w14:paraId="4A7F7C41" w14:textId="77777777" w:rsidTr="00D72F74">
        <w:trPr>
          <w:trHeight w:val="600"/>
        </w:trPr>
        <w:tc>
          <w:tcPr>
            <w:tcW w:w="503" w:type="dxa"/>
            <w:tcBorders>
              <w:top w:val="nil"/>
            </w:tcBorders>
            <w:shd w:val="clear" w:color="auto" w:fill="auto"/>
            <w:noWrap/>
            <w:hideMark/>
          </w:tcPr>
          <w:p w14:paraId="62BB0592"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2</w:t>
            </w:r>
          </w:p>
        </w:tc>
        <w:tc>
          <w:tcPr>
            <w:tcW w:w="3112" w:type="dxa"/>
            <w:tcBorders>
              <w:top w:val="nil"/>
            </w:tcBorders>
            <w:shd w:val="clear" w:color="auto" w:fill="auto"/>
            <w:hideMark/>
          </w:tcPr>
          <w:p w14:paraId="3BD1AF05" w14:textId="77777777" w:rsidR="001C3B67" w:rsidRPr="001C3B67" w:rsidRDefault="001C3B67" w:rsidP="001C3B67">
            <w:pPr>
              <w:suppressAutoHyphens w:val="0"/>
              <w:spacing w:before="40" w:after="120"/>
              <w:ind w:right="113"/>
              <w:rPr>
                <w:lang w:eastAsia="en-GB"/>
              </w:rPr>
            </w:pPr>
            <w:r w:rsidRPr="001C3B67">
              <w:rPr>
                <w:lang w:eastAsia="en-GB"/>
              </w:rPr>
              <w:t>Emissions of nitrogen oxides expressed in nitrogen dioxide (total, stationary and mobile sources)</w:t>
            </w:r>
          </w:p>
        </w:tc>
        <w:tc>
          <w:tcPr>
            <w:tcW w:w="4890" w:type="dxa"/>
            <w:tcBorders>
              <w:top w:val="nil"/>
            </w:tcBorders>
            <w:shd w:val="clear" w:color="auto" w:fill="auto"/>
            <w:hideMark/>
          </w:tcPr>
          <w:p w14:paraId="76342BC1" w14:textId="0A6EB011"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Data collection under the ECE, CLRTAP</w:t>
            </w:r>
            <w:r w:rsidRPr="00D72F74">
              <w:rPr>
                <w:i/>
                <w:iCs/>
                <w:vertAlign w:val="superscript"/>
                <w:lang w:eastAsia="en-GB"/>
              </w:rPr>
              <w:t>a</w:t>
            </w:r>
            <w:r w:rsidRPr="001C3B67">
              <w:rPr>
                <w:lang w:eastAsia="en-GB"/>
              </w:rPr>
              <w:t>, Protocol on PRTRs</w:t>
            </w:r>
            <w:r w:rsidR="00D72F74" w:rsidRPr="00D72F74">
              <w:rPr>
                <w:i/>
                <w:iCs/>
                <w:vertAlign w:val="superscript"/>
                <w:lang w:eastAsia="en-GB"/>
              </w:rPr>
              <w:t>b</w:t>
            </w:r>
            <w:r w:rsidRPr="001C3B67">
              <w:rPr>
                <w:lang w:eastAsia="en-GB"/>
              </w:rPr>
              <w:t xml:space="preserve">, Health and well-being considerations under the green economy concept, Data collection under the </w:t>
            </w:r>
            <w:r w:rsidR="00D72F74" w:rsidRPr="00D72F74">
              <w:rPr>
                <w:lang w:eastAsia="en-GB"/>
              </w:rPr>
              <w:t>Montreal Protocol</w:t>
            </w:r>
            <w:r w:rsidR="00D72F74" w:rsidRPr="00D72F74">
              <w:rPr>
                <w:i/>
                <w:iCs/>
                <w:vertAlign w:val="superscript"/>
                <w:lang w:eastAsia="en-GB"/>
              </w:rPr>
              <w:t>d</w:t>
            </w:r>
            <w:r w:rsidR="00D72F74" w:rsidRPr="00D72F74">
              <w:rPr>
                <w:lang w:eastAsia="en-GB"/>
              </w:rPr>
              <w:t xml:space="preserve"> (a protocol to the Vienna Convention</w:t>
            </w:r>
            <w:r w:rsidR="00D72F74" w:rsidRPr="00D72F74">
              <w:rPr>
                <w:i/>
                <w:iCs/>
                <w:vertAlign w:val="superscript"/>
                <w:lang w:eastAsia="en-GB"/>
              </w:rPr>
              <w:t>e</w:t>
            </w:r>
            <w:r w:rsidR="00D72F74" w:rsidRPr="00D72F74">
              <w:rPr>
                <w:lang w:eastAsia="en-GB"/>
              </w:rPr>
              <w:t>)</w:t>
            </w:r>
            <w:r w:rsidR="00D72F74">
              <w:rPr>
                <w:lang w:eastAsia="en-GB"/>
              </w:rPr>
              <w:t>.</w:t>
            </w:r>
          </w:p>
        </w:tc>
      </w:tr>
      <w:tr w:rsidR="001C3B67" w:rsidRPr="001C3B67" w14:paraId="40722A24" w14:textId="77777777" w:rsidTr="00D72F74">
        <w:trPr>
          <w:trHeight w:val="697"/>
        </w:trPr>
        <w:tc>
          <w:tcPr>
            <w:tcW w:w="503" w:type="dxa"/>
            <w:tcBorders>
              <w:bottom w:val="nil"/>
            </w:tcBorders>
            <w:shd w:val="clear" w:color="auto" w:fill="auto"/>
            <w:noWrap/>
            <w:hideMark/>
          </w:tcPr>
          <w:p w14:paraId="17CEAE3F"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1</w:t>
            </w:r>
          </w:p>
        </w:tc>
        <w:tc>
          <w:tcPr>
            <w:tcW w:w="3112" w:type="dxa"/>
            <w:tcBorders>
              <w:bottom w:val="nil"/>
            </w:tcBorders>
            <w:shd w:val="clear" w:color="auto" w:fill="auto"/>
            <w:hideMark/>
          </w:tcPr>
          <w:p w14:paraId="6EFF5830" w14:textId="77777777" w:rsidR="001C3B67" w:rsidRPr="001C3B67" w:rsidRDefault="001C3B67" w:rsidP="001C3B67">
            <w:pPr>
              <w:suppressAutoHyphens w:val="0"/>
              <w:spacing w:before="40" w:after="120"/>
              <w:ind w:right="113"/>
              <w:rPr>
                <w:lang w:eastAsia="en-GB"/>
              </w:rPr>
            </w:pPr>
            <w:r w:rsidRPr="001C3B67">
              <w:rPr>
                <w:lang w:eastAsia="en-GB"/>
              </w:rPr>
              <w:t>Emissions of sulphur expressed in sulphur dioxide (total, stationary and mobile sources) total, stationary and mobile sources)</w:t>
            </w:r>
          </w:p>
        </w:tc>
        <w:tc>
          <w:tcPr>
            <w:tcW w:w="4890" w:type="dxa"/>
            <w:tcBorders>
              <w:bottom w:val="nil"/>
            </w:tcBorders>
            <w:shd w:val="clear" w:color="auto" w:fill="auto"/>
            <w:hideMark/>
          </w:tcPr>
          <w:p w14:paraId="54E71735" w14:textId="350B8696"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Data collection under the ECE, CLRTAP</w:t>
            </w:r>
            <w:r w:rsidRPr="00D72F74">
              <w:rPr>
                <w:i/>
                <w:iCs/>
                <w:vertAlign w:val="superscript"/>
                <w:lang w:eastAsia="en-GB"/>
              </w:rPr>
              <w:t>a</w:t>
            </w:r>
            <w:r w:rsidR="00D72F74">
              <w:rPr>
                <w:lang w:eastAsia="en-GB"/>
              </w:rPr>
              <w:t>, Protocol on PRTRs</w:t>
            </w:r>
            <w:r w:rsidR="00D72F74" w:rsidRPr="00D72F74">
              <w:rPr>
                <w:i/>
                <w:iCs/>
                <w:vertAlign w:val="superscript"/>
                <w:lang w:eastAsia="en-GB"/>
              </w:rPr>
              <w:t>b</w:t>
            </w:r>
            <w:r w:rsidR="00D72F74">
              <w:rPr>
                <w:lang w:eastAsia="en-GB"/>
              </w:rPr>
              <w:t xml:space="preserve">, </w:t>
            </w:r>
            <w:r w:rsidRPr="001C3B67">
              <w:rPr>
                <w:lang w:eastAsia="en-GB"/>
              </w:rPr>
              <w:t xml:space="preserve">Health and well-being considerations under the green economy concept, Data collection under the </w:t>
            </w:r>
            <w:r w:rsidR="00D72F74" w:rsidRPr="00D72F74">
              <w:rPr>
                <w:lang w:eastAsia="en-GB"/>
              </w:rPr>
              <w:t>Montreal Protocol</w:t>
            </w:r>
            <w:r w:rsidR="00D72F74" w:rsidRPr="00D72F74">
              <w:rPr>
                <w:i/>
                <w:iCs/>
                <w:vertAlign w:val="superscript"/>
                <w:lang w:eastAsia="en-GB"/>
              </w:rPr>
              <w:t>d</w:t>
            </w:r>
            <w:r w:rsidR="00D72F74" w:rsidRPr="00D72F74">
              <w:rPr>
                <w:lang w:eastAsia="en-GB"/>
              </w:rPr>
              <w:t xml:space="preserve"> (a protocol to the Vienna Convention</w:t>
            </w:r>
            <w:r w:rsidR="00D72F74" w:rsidRPr="00D72F74">
              <w:rPr>
                <w:i/>
                <w:iCs/>
                <w:vertAlign w:val="superscript"/>
                <w:lang w:eastAsia="en-GB"/>
              </w:rPr>
              <w:t>e</w:t>
            </w:r>
            <w:r w:rsidR="00D72F74" w:rsidRPr="00D72F74">
              <w:rPr>
                <w:lang w:eastAsia="en-GB"/>
              </w:rPr>
              <w:t>)</w:t>
            </w:r>
            <w:r w:rsidR="00D72F74">
              <w:rPr>
                <w:lang w:eastAsia="en-GB"/>
              </w:rPr>
              <w:t>.</w:t>
            </w:r>
          </w:p>
        </w:tc>
      </w:tr>
      <w:tr w:rsidR="001C3B67" w:rsidRPr="001C3B67" w14:paraId="1FC95E17" w14:textId="77777777" w:rsidTr="00D72F74">
        <w:trPr>
          <w:trHeight w:val="572"/>
        </w:trPr>
        <w:tc>
          <w:tcPr>
            <w:tcW w:w="503" w:type="dxa"/>
            <w:tcBorders>
              <w:top w:val="nil"/>
              <w:bottom w:val="nil"/>
            </w:tcBorders>
            <w:shd w:val="clear" w:color="auto" w:fill="auto"/>
            <w:noWrap/>
            <w:hideMark/>
          </w:tcPr>
          <w:p w14:paraId="76C77167"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5</w:t>
            </w:r>
          </w:p>
        </w:tc>
        <w:tc>
          <w:tcPr>
            <w:tcW w:w="3112" w:type="dxa"/>
            <w:tcBorders>
              <w:top w:val="nil"/>
              <w:bottom w:val="nil"/>
            </w:tcBorders>
            <w:shd w:val="clear" w:color="auto" w:fill="auto"/>
            <w:hideMark/>
          </w:tcPr>
          <w:p w14:paraId="5C5683D0" w14:textId="77777777" w:rsidR="001C3B67" w:rsidRPr="001C3B67" w:rsidRDefault="001C3B67" w:rsidP="001C3B67">
            <w:pPr>
              <w:suppressAutoHyphens w:val="0"/>
              <w:spacing w:before="40" w:after="120"/>
              <w:ind w:right="113"/>
              <w:rPr>
                <w:lang w:eastAsia="en-GB"/>
              </w:rPr>
            </w:pPr>
            <w:r w:rsidRPr="001C3B67">
              <w:rPr>
                <w:lang w:eastAsia="en-GB"/>
              </w:rPr>
              <w:t>Emissions of carbon monoxide (total, stationary and mobile sources) total, stationary and mobile sources)</w:t>
            </w:r>
          </w:p>
        </w:tc>
        <w:tc>
          <w:tcPr>
            <w:tcW w:w="4890" w:type="dxa"/>
            <w:tcBorders>
              <w:top w:val="nil"/>
              <w:bottom w:val="nil"/>
            </w:tcBorders>
            <w:shd w:val="clear" w:color="auto" w:fill="auto"/>
            <w:hideMark/>
          </w:tcPr>
          <w:p w14:paraId="7E0BA517" w14:textId="1636E88F"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Data collection under the ECE, CLRTAP</w:t>
            </w:r>
            <w:r w:rsidRPr="00D72F74">
              <w:rPr>
                <w:i/>
                <w:iCs/>
                <w:vertAlign w:val="superscript"/>
                <w:lang w:eastAsia="en-GB"/>
              </w:rPr>
              <w:t>a</w:t>
            </w:r>
            <w:r w:rsidRPr="001C3B67">
              <w:rPr>
                <w:lang w:eastAsia="en-GB"/>
              </w:rPr>
              <w:t>, Protocol on PRTRs</w:t>
            </w:r>
            <w:r w:rsidR="00D72F74" w:rsidRPr="00D72F74">
              <w:rPr>
                <w:i/>
                <w:iCs/>
                <w:vertAlign w:val="superscript"/>
                <w:lang w:eastAsia="en-GB"/>
              </w:rPr>
              <w:t>b</w:t>
            </w:r>
            <w:r w:rsidRPr="001C3B67">
              <w:rPr>
                <w:lang w:eastAsia="en-GB"/>
              </w:rPr>
              <w:t xml:space="preserve">, Health and well-being considerations under the green economy concept, Data collection under the </w:t>
            </w:r>
            <w:r w:rsidR="00D72F74" w:rsidRPr="00D72F74">
              <w:rPr>
                <w:lang w:eastAsia="en-GB"/>
              </w:rPr>
              <w:t>Montreal Protocol</w:t>
            </w:r>
            <w:r w:rsidR="00D72F74" w:rsidRPr="00D72F74">
              <w:rPr>
                <w:i/>
                <w:iCs/>
                <w:vertAlign w:val="superscript"/>
                <w:lang w:eastAsia="en-GB"/>
              </w:rPr>
              <w:t>d</w:t>
            </w:r>
            <w:r w:rsidR="00D72F74" w:rsidRPr="00D72F74">
              <w:rPr>
                <w:lang w:eastAsia="en-GB"/>
              </w:rPr>
              <w:t xml:space="preserve"> (a protocol to the Vienna Convention</w:t>
            </w:r>
            <w:r w:rsidR="00D72F74" w:rsidRPr="00D72F74">
              <w:rPr>
                <w:i/>
                <w:iCs/>
                <w:vertAlign w:val="superscript"/>
                <w:lang w:eastAsia="en-GB"/>
              </w:rPr>
              <w:t>e</w:t>
            </w:r>
            <w:r w:rsidR="00D72F74" w:rsidRPr="00D72F74">
              <w:rPr>
                <w:lang w:eastAsia="en-GB"/>
              </w:rPr>
              <w:t>)</w:t>
            </w:r>
            <w:r w:rsidR="00D72F74">
              <w:rPr>
                <w:lang w:eastAsia="en-GB"/>
              </w:rPr>
              <w:t>.</w:t>
            </w:r>
          </w:p>
        </w:tc>
      </w:tr>
      <w:tr w:rsidR="001C3B67" w:rsidRPr="001C3B67" w14:paraId="5EE855E9" w14:textId="77777777" w:rsidTr="00D72F74">
        <w:trPr>
          <w:trHeight w:val="775"/>
        </w:trPr>
        <w:tc>
          <w:tcPr>
            <w:tcW w:w="503" w:type="dxa"/>
            <w:tcBorders>
              <w:top w:val="nil"/>
            </w:tcBorders>
            <w:shd w:val="clear" w:color="auto" w:fill="auto"/>
            <w:noWrap/>
            <w:hideMark/>
          </w:tcPr>
          <w:p w14:paraId="0B2B6037"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3</w:t>
            </w:r>
          </w:p>
        </w:tc>
        <w:tc>
          <w:tcPr>
            <w:tcW w:w="3112" w:type="dxa"/>
            <w:tcBorders>
              <w:top w:val="nil"/>
            </w:tcBorders>
            <w:shd w:val="clear" w:color="auto" w:fill="auto"/>
            <w:hideMark/>
          </w:tcPr>
          <w:p w14:paraId="1A16D8E0" w14:textId="77777777" w:rsidR="001C3B67" w:rsidRPr="001C3B67" w:rsidRDefault="001C3B67" w:rsidP="001C3B67">
            <w:pPr>
              <w:suppressAutoHyphens w:val="0"/>
              <w:spacing w:before="40" w:after="120"/>
              <w:ind w:right="113"/>
              <w:rPr>
                <w:lang w:eastAsia="en-GB"/>
              </w:rPr>
            </w:pPr>
            <w:r w:rsidRPr="001C3B67">
              <w:rPr>
                <w:lang w:eastAsia="en-GB"/>
              </w:rPr>
              <w:t xml:space="preserve">Emissions of non-methane volatile organic compounds (NMVOCs) (total, stationary and mobile sources)( total, stationary and mobile sources) </w:t>
            </w:r>
          </w:p>
        </w:tc>
        <w:tc>
          <w:tcPr>
            <w:tcW w:w="4890" w:type="dxa"/>
            <w:tcBorders>
              <w:top w:val="nil"/>
            </w:tcBorders>
            <w:shd w:val="clear" w:color="auto" w:fill="auto"/>
            <w:hideMark/>
          </w:tcPr>
          <w:p w14:paraId="798ADA5F" w14:textId="5384750A"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Data collection under the ECE, CLRTAP</w:t>
            </w:r>
            <w:r w:rsidRPr="00D72F74">
              <w:rPr>
                <w:i/>
                <w:iCs/>
                <w:vertAlign w:val="superscript"/>
                <w:lang w:eastAsia="en-GB"/>
              </w:rPr>
              <w:t>a</w:t>
            </w:r>
            <w:r w:rsidRPr="001C3B67">
              <w:rPr>
                <w:lang w:eastAsia="en-GB"/>
              </w:rPr>
              <w:t>, Protocol on PRTRs</w:t>
            </w:r>
            <w:r w:rsidR="00D72F74" w:rsidRPr="00D72F74">
              <w:rPr>
                <w:i/>
                <w:iCs/>
                <w:vertAlign w:val="superscript"/>
                <w:lang w:eastAsia="en-GB"/>
              </w:rPr>
              <w:t>b</w:t>
            </w:r>
            <w:r w:rsidRPr="001C3B67">
              <w:rPr>
                <w:lang w:eastAsia="en-GB"/>
              </w:rPr>
              <w:t xml:space="preserve">, Health and well-being considerations under the green economy concept, Data collection under the </w:t>
            </w:r>
            <w:r w:rsidR="00D72F74" w:rsidRPr="00D72F74">
              <w:rPr>
                <w:lang w:eastAsia="en-GB"/>
              </w:rPr>
              <w:t>Montreal Protocol</w:t>
            </w:r>
            <w:r w:rsidR="00D72F74" w:rsidRPr="00D72F74">
              <w:rPr>
                <w:i/>
                <w:iCs/>
                <w:vertAlign w:val="superscript"/>
                <w:lang w:eastAsia="en-GB"/>
              </w:rPr>
              <w:t>d</w:t>
            </w:r>
            <w:r w:rsidR="00D72F74" w:rsidRPr="00D72F74">
              <w:rPr>
                <w:lang w:eastAsia="en-GB"/>
              </w:rPr>
              <w:t xml:space="preserve"> (a protocol to the Vienna Convention</w:t>
            </w:r>
            <w:r w:rsidR="00D72F74" w:rsidRPr="00D72F74">
              <w:rPr>
                <w:i/>
                <w:iCs/>
                <w:vertAlign w:val="superscript"/>
                <w:lang w:eastAsia="en-GB"/>
              </w:rPr>
              <w:t>e</w:t>
            </w:r>
            <w:r w:rsidR="00D72F74" w:rsidRPr="00D72F74">
              <w:rPr>
                <w:lang w:eastAsia="en-GB"/>
              </w:rPr>
              <w:t>)</w:t>
            </w:r>
            <w:r w:rsidR="00D72F74">
              <w:rPr>
                <w:lang w:eastAsia="en-GB"/>
              </w:rPr>
              <w:t>.</w:t>
            </w:r>
          </w:p>
        </w:tc>
      </w:tr>
      <w:tr w:rsidR="001C3B67" w:rsidRPr="001C3B67" w14:paraId="690BDBF6" w14:textId="77777777" w:rsidTr="00D72F74">
        <w:trPr>
          <w:trHeight w:val="565"/>
        </w:trPr>
        <w:tc>
          <w:tcPr>
            <w:tcW w:w="503" w:type="dxa"/>
            <w:shd w:val="clear" w:color="auto" w:fill="auto"/>
            <w:noWrap/>
            <w:hideMark/>
          </w:tcPr>
          <w:p w14:paraId="1234BEF6"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4</w:t>
            </w:r>
          </w:p>
        </w:tc>
        <w:tc>
          <w:tcPr>
            <w:tcW w:w="3112" w:type="dxa"/>
            <w:shd w:val="clear" w:color="auto" w:fill="auto"/>
            <w:hideMark/>
          </w:tcPr>
          <w:p w14:paraId="0C8EABC0" w14:textId="77777777" w:rsidR="001C3B67" w:rsidRPr="001C3B67" w:rsidRDefault="001C3B67" w:rsidP="001C3B67">
            <w:pPr>
              <w:suppressAutoHyphens w:val="0"/>
              <w:spacing w:before="40" w:after="120"/>
              <w:ind w:right="113"/>
              <w:rPr>
                <w:lang w:eastAsia="en-GB"/>
              </w:rPr>
            </w:pPr>
            <w:r w:rsidRPr="001C3B67">
              <w:rPr>
                <w:lang w:eastAsia="en-GB"/>
              </w:rPr>
              <w:t xml:space="preserve">Emissions of ammonia (total, stationary and mobile sources) </w:t>
            </w:r>
          </w:p>
        </w:tc>
        <w:tc>
          <w:tcPr>
            <w:tcW w:w="4890" w:type="dxa"/>
            <w:shd w:val="clear" w:color="auto" w:fill="auto"/>
            <w:hideMark/>
          </w:tcPr>
          <w:p w14:paraId="585FAA0F" w14:textId="1B8AD83A"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Data collection under the ECE, CLRTAP</w:t>
            </w:r>
            <w:r w:rsidRPr="00D72F74">
              <w:rPr>
                <w:i/>
                <w:iCs/>
                <w:vertAlign w:val="superscript"/>
                <w:lang w:eastAsia="en-GB"/>
              </w:rPr>
              <w:t>a</w:t>
            </w:r>
            <w:r w:rsidRPr="001C3B67">
              <w:rPr>
                <w:lang w:eastAsia="en-GB"/>
              </w:rPr>
              <w:t>, Protocol on PRTRs</w:t>
            </w:r>
            <w:r w:rsidR="00D72F74" w:rsidRPr="00D72F74">
              <w:rPr>
                <w:i/>
                <w:iCs/>
                <w:vertAlign w:val="superscript"/>
                <w:lang w:eastAsia="en-GB"/>
              </w:rPr>
              <w:t>b</w:t>
            </w:r>
            <w:r w:rsidRPr="001C3B67">
              <w:rPr>
                <w:lang w:eastAsia="en-GB"/>
              </w:rPr>
              <w:t>, Health and well-being considerations under the green economy concept, Data collection under the Montreal Protocol</w:t>
            </w:r>
          </w:p>
        </w:tc>
      </w:tr>
      <w:tr w:rsidR="001C3B67" w:rsidRPr="001C3B67" w14:paraId="6224AE82" w14:textId="77777777" w:rsidTr="00D72F74">
        <w:trPr>
          <w:trHeight w:val="342"/>
        </w:trPr>
        <w:tc>
          <w:tcPr>
            <w:tcW w:w="503" w:type="dxa"/>
            <w:shd w:val="clear" w:color="auto" w:fill="auto"/>
            <w:noWrap/>
            <w:hideMark/>
          </w:tcPr>
          <w:p w14:paraId="07025665"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60</w:t>
            </w:r>
          </w:p>
        </w:tc>
        <w:tc>
          <w:tcPr>
            <w:tcW w:w="3112" w:type="dxa"/>
            <w:shd w:val="clear" w:color="auto" w:fill="auto"/>
            <w:noWrap/>
            <w:hideMark/>
          </w:tcPr>
          <w:p w14:paraId="7FB914FD" w14:textId="77777777" w:rsidR="001C3B67" w:rsidRPr="001C3B67" w:rsidRDefault="001C3B67" w:rsidP="001C3B67">
            <w:pPr>
              <w:suppressAutoHyphens w:val="0"/>
              <w:spacing w:before="40" w:after="120"/>
              <w:ind w:right="113"/>
              <w:rPr>
                <w:lang w:eastAsia="en-GB"/>
              </w:rPr>
            </w:pPr>
            <w:r w:rsidRPr="001C3B67">
              <w:rPr>
                <w:lang w:eastAsia="en-GB"/>
              </w:rPr>
              <w:t>Total waste generation and its transfer</w:t>
            </w:r>
          </w:p>
        </w:tc>
        <w:tc>
          <w:tcPr>
            <w:tcW w:w="4890" w:type="dxa"/>
            <w:shd w:val="clear" w:color="auto" w:fill="auto"/>
            <w:hideMark/>
          </w:tcPr>
          <w:p w14:paraId="7A6725DE" w14:textId="404D7B96" w:rsidR="001C3B67" w:rsidRPr="001C3B67" w:rsidRDefault="001C3B67" w:rsidP="001C3B67">
            <w:pPr>
              <w:suppressAutoHyphens w:val="0"/>
              <w:spacing w:before="40" w:after="120"/>
              <w:ind w:right="113"/>
              <w:rPr>
                <w:lang w:eastAsia="en-GB"/>
              </w:rPr>
            </w:pPr>
            <w:r w:rsidRPr="001C3B67">
              <w:rPr>
                <w:lang w:eastAsia="en-GB"/>
              </w:rPr>
              <w:t>Pan-European priority (chemicals and waste), Global Environmental Goal, Data collection under the Protocol on PRTRs</w:t>
            </w:r>
            <w:r w:rsidR="00D72F74" w:rsidRPr="00D72F74">
              <w:rPr>
                <w:i/>
                <w:iCs/>
                <w:vertAlign w:val="superscript"/>
                <w:lang w:eastAsia="en-GB"/>
              </w:rPr>
              <w:t>b</w:t>
            </w:r>
            <w:r w:rsidRPr="001C3B67">
              <w:rPr>
                <w:lang w:eastAsia="en-GB"/>
              </w:rPr>
              <w:t xml:space="preserve"> and the Basel Convention</w:t>
            </w:r>
            <w:r w:rsidR="005D109B" w:rsidRPr="00D72F74">
              <w:rPr>
                <w:i/>
                <w:iCs/>
                <w:vertAlign w:val="superscript"/>
                <w:lang w:eastAsia="en-GB"/>
              </w:rPr>
              <w:t>c</w:t>
            </w:r>
          </w:p>
        </w:tc>
      </w:tr>
      <w:tr w:rsidR="001C3B67" w:rsidRPr="001C3B67" w14:paraId="177159B8" w14:textId="77777777" w:rsidTr="00D72F74">
        <w:trPr>
          <w:trHeight w:val="323"/>
        </w:trPr>
        <w:tc>
          <w:tcPr>
            <w:tcW w:w="503" w:type="dxa"/>
            <w:shd w:val="clear" w:color="auto" w:fill="auto"/>
            <w:noWrap/>
            <w:hideMark/>
          </w:tcPr>
          <w:p w14:paraId="34478A9E"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28</w:t>
            </w:r>
          </w:p>
        </w:tc>
        <w:tc>
          <w:tcPr>
            <w:tcW w:w="3112" w:type="dxa"/>
            <w:shd w:val="clear" w:color="auto" w:fill="auto"/>
            <w:hideMark/>
          </w:tcPr>
          <w:p w14:paraId="379D9DA0" w14:textId="77777777" w:rsidR="001C3B67" w:rsidRPr="001C3B67" w:rsidRDefault="001C3B67" w:rsidP="001C3B67">
            <w:pPr>
              <w:suppressAutoHyphens w:val="0"/>
              <w:spacing w:before="40" w:after="120"/>
              <w:ind w:right="113"/>
              <w:rPr>
                <w:lang w:eastAsia="en-GB"/>
              </w:rPr>
            </w:pPr>
            <w:r w:rsidRPr="001C3B67">
              <w:rPr>
                <w:lang w:eastAsia="en-GB"/>
              </w:rPr>
              <w:t xml:space="preserve">Aggregated GHG emissions including emissions/removals from LULUCF </w:t>
            </w:r>
          </w:p>
        </w:tc>
        <w:tc>
          <w:tcPr>
            <w:tcW w:w="4890" w:type="dxa"/>
            <w:shd w:val="clear" w:color="auto" w:fill="auto"/>
            <w:hideMark/>
          </w:tcPr>
          <w:p w14:paraId="34B4CEE1" w14:textId="77777777"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Data collection under the UNFCCC</w:t>
            </w:r>
          </w:p>
        </w:tc>
      </w:tr>
      <w:tr w:rsidR="001C3B67" w:rsidRPr="001C3B67" w14:paraId="36DAC756" w14:textId="77777777" w:rsidTr="00D72F74">
        <w:trPr>
          <w:trHeight w:val="559"/>
        </w:trPr>
        <w:tc>
          <w:tcPr>
            <w:tcW w:w="503" w:type="dxa"/>
            <w:tcBorders>
              <w:bottom w:val="nil"/>
            </w:tcBorders>
            <w:shd w:val="clear" w:color="auto" w:fill="auto"/>
            <w:noWrap/>
            <w:hideMark/>
          </w:tcPr>
          <w:p w14:paraId="728BA25C"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50</w:t>
            </w:r>
          </w:p>
        </w:tc>
        <w:tc>
          <w:tcPr>
            <w:tcW w:w="3112" w:type="dxa"/>
            <w:tcBorders>
              <w:bottom w:val="nil"/>
            </w:tcBorders>
            <w:shd w:val="clear" w:color="auto" w:fill="auto"/>
            <w:noWrap/>
            <w:hideMark/>
          </w:tcPr>
          <w:p w14:paraId="71E09E4D" w14:textId="77777777" w:rsidR="001C3B67" w:rsidRPr="001C3B67" w:rsidRDefault="001C3B67" w:rsidP="001C3B67">
            <w:pPr>
              <w:suppressAutoHyphens w:val="0"/>
              <w:spacing w:before="40" w:after="120"/>
              <w:ind w:right="113"/>
              <w:rPr>
                <w:lang w:eastAsia="en-GB"/>
              </w:rPr>
            </w:pPr>
            <w:r w:rsidRPr="001C3B67">
              <w:rPr>
                <w:lang w:eastAsia="en-GB"/>
              </w:rPr>
              <w:t>Total areas under protection (IUCN-categories)</w:t>
            </w:r>
          </w:p>
        </w:tc>
        <w:tc>
          <w:tcPr>
            <w:tcW w:w="4890" w:type="dxa"/>
            <w:tcBorders>
              <w:bottom w:val="nil"/>
            </w:tcBorders>
            <w:shd w:val="clear" w:color="auto" w:fill="auto"/>
            <w:hideMark/>
          </w:tcPr>
          <w:p w14:paraId="5125EBFA" w14:textId="77777777"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Resilience, considerations under the green economy concept, United Nations Convention on Biological Diversity (CBD)</w:t>
            </w:r>
          </w:p>
        </w:tc>
      </w:tr>
      <w:tr w:rsidR="001C3B67" w:rsidRPr="001C3B67" w14:paraId="35B4A647" w14:textId="77777777" w:rsidTr="00D72F74">
        <w:trPr>
          <w:trHeight w:val="757"/>
        </w:trPr>
        <w:tc>
          <w:tcPr>
            <w:tcW w:w="503" w:type="dxa"/>
            <w:tcBorders>
              <w:top w:val="nil"/>
              <w:bottom w:val="nil"/>
            </w:tcBorders>
            <w:shd w:val="clear" w:color="auto" w:fill="auto"/>
            <w:noWrap/>
            <w:hideMark/>
          </w:tcPr>
          <w:p w14:paraId="021E0F34"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17</w:t>
            </w:r>
          </w:p>
        </w:tc>
        <w:tc>
          <w:tcPr>
            <w:tcW w:w="3112" w:type="dxa"/>
            <w:tcBorders>
              <w:top w:val="nil"/>
              <w:bottom w:val="nil"/>
            </w:tcBorders>
            <w:shd w:val="clear" w:color="auto" w:fill="auto"/>
            <w:hideMark/>
          </w:tcPr>
          <w:p w14:paraId="5639F304" w14:textId="77777777" w:rsidR="001C3B67" w:rsidRPr="001C3B67" w:rsidRDefault="001C3B67" w:rsidP="001C3B67">
            <w:pPr>
              <w:suppressAutoHyphens w:val="0"/>
              <w:spacing w:before="40" w:after="120"/>
              <w:ind w:right="113"/>
              <w:rPr>
                <w:lang w:eastAsia="en-GB"/>
              </w:rPr>
            </w:pPr>
            <w:r w:rsidRPr="001C3B67">
              <w:rPr>
                <w:lang w:eastAsia="en-GB"/>
              </w:rPr>
              <w:t xml:space="preserve">Annual average concentration of ground-level ozone </w:t>
            </w:r>
          </w:p>
        </w:tc>
        <w:tc>
          <w:tcPr>
            <w:tcW w:w="4890" w:type="dxa"/>
            <w:tcBorders>
              <w:top w:val="nil"/>
              <w:bottom w:val="nil"/>
            </w:tcBorders>
            <w:shd w:val="clear" w:color="auto" w:fill="auto"/>
            <w:hideMark/>
          </w:tcPr>
          <w:p w14:paraId="082CB1FB" w14:textId="37D8D2D0" w:rsidR="001C3B67" w:rsidRPr="001C3B67" w:rsidRDefault="001C3B67" w:rsidP="001C3B67">
            <w:pPr>
              <w:suppressAutoHyphens w:val="0"/>
              <w:spacing w:before="40" w:after="120"/>
              <w:ind w:right="113"/>
              <w:rPr>
                <w:lang w:eastAsia="en-GB"/>
              </w:rPr>
            </w:pPr>
            <w:r w:rsidRPr="001C3B67">
              <w:rPr>
                <w:lang w:eastAsia="en-GB"/>
              </w:rPr>
              <w:t xml:space="preserve">Pan-European priority, Global Environmental Goal, Data collection under the ECE, </w:t>
            </w:r>
            <w:r w:rsidR="00D72F74">
              <w:rPr>
                <w:lang w:eastAsia="en-GB"/>
              </w:rPr>
              <w:t>CLRTAP</w:t>
            </w:r>
            <w:r w:rsidR="00D72F74" w:rsidRPr="00D72F74">
              <w:rPr>
                <w:i/>
                <w:iCs/>
                <w:vertAlign w:val="superscript"/>
                <w:lang w:eastAsia="en-GB"/>
              </w:rPr>
              <w:t>a</w:t>
            </w:r>
            <w:r w:rsidRPr="001C3B67">
              <w:rPr>
                <w:lang w:eastAsia="en-GB"/>
              </w:rPr>
              <w:t xml:space="preserve">, Health and well-being considerations under the green economy concept, Data collection under the </w:t>
            </w:r>
            <w:r w:rsidR="00D72F74" w:rsidRPr="00D72F74">
              <w:rPr>
                <w:lang w:eastAsia="en-GB"/>
              </w:rPr>
              <w:t>Montreal Protocol</w:t>
            </w:r>
            <w:r w:rsidR="00D72F74" w:rsidRPr="00D72F74">
              <w:rPr>
                <w:i/>
                <w:iCs/>
                <w:vertAlign w:val="superscript"/>
                <w:lang w:eastAsia="en-GB"/>
              </w:rPr>
              <w:t>d</w:t>
            </w:r>
            <w:r w:rsidR="00D72F74" w:rsidRPr="00D72F74">
              <w:rPr>
                <w:lang w:eastAsia="en-GB"/>
              </w:rPr>
              <w:t xml:space="preserve"> (a protocol to the Vienna Convention</w:t>
            </w:r>
            <w:r w:rsidR="00D72F74" w:rsidRPr="00D72F74">
              <w:rPr>
                <w:i/>
                <w:iCs/>
                <w:vertAlign w:val="superscript"/>
                <w:lang w:eastAsia="en-GB"/>
              </w:rPr>
              <w:t>e</w:t>
            </w:r>
            <w:r w:rsidR="00D72F74" w:rsidRPr="00D72F74">
              <w:rPr>
                <w:lang w:eastAsia="en-GB"/>
              </w:rPr>
              <w:t>)</w:t>
            </w:r>
            <w:r w:rsidR="00D72F74">
              <w:rPr>
                <w:lang w:eastAsia="en-GB"/>
              </w:rPr>
              <w:t>.</w:t>
            </w:r>
          </w:p>
        </w:tc>
      </w:tr>
      <w:tr w:rsidR="001C3B67" w:rsidRPr="001C3B67" w14:paraId="0018C41C" w14:textId="77777777" w:rsidTr="00D72F74">
        <w:trPr>
          <w:trHeight w:val="379"/>
        </w:trPr>
        <w:tc>
          <w:tcPr>
            <w:tcW w:w="503" w:type="dxa"/>
            <w:tcBorders>
              <w:top w:val="nil"/>
              <w:bottom w:val="nil"/>
            </w:tcBorders>
            <w:shd w:val="clear" w:color="auto" w:fill="auto"/>
            <w:noWrap/>
            <w:hideMark/>
          </w:tcPr>
          <w:p w14:paraId="6E5BBF31"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56</w:t>
            </w:r>
          </w:p>
        </w:tc>
        <w:tc>
          <w:tcPr>
            <w:tcW w:w="3112" w:type="dxa"/>
            <w:tcBorders>
              <w:top w:val="nil"/>
              <w:bottom w:val="nil"/>
            </w:tcBorders>
            <w:shd w:val="clear" w:color="auto" w:fill="auto"/>
            <w:noWrap/>
            <w:hideMark/>
          </w:tcPr>
          <w:p w14:paraId="50C2ACFE" w14:textId="77777777" w:rsidR="001C3B67" w:rsidRPr="001C3B67" w:rsidRDefault="001C3B67" w:rsidP="001C3B67">
            <w:pPr>
              <w:suppressAutoHyphens w:val="0"/>
              <w:spacing w:before="40" w:after="120"/>
              <w:ind w:right="113"/>
              <w:rPr>
                <w:lang w:eastAsia="en-GB"/>
              </w:rPr>
            </w:pPr>
            <w:r w:rsidRPr="001C3B67">
              <w:rPr>
                <w:lang w:eastAsia="en-GB"/>
              </w:rPr>
              <w:t xml:space="preserve">Total final energy consumption </w:t>
            </w:r>
          </w:p>
        </w:tc>
        <w:tc>
          <w:tcPr>
            <w:tcW w:w="4890" w:type="dxa"/>
            <w:tcBorders>
              <w:top w:val="nil"/>
              <w:bottom w:val="nil"/>
            </w:tcBorders>
            <w:shd w:val="clear" w:color="auto" w:fill="auto"/>
            <w:hideMark/>
          </w:tcPr>
          <w:p w14:paraId="57735F38" w14:textId="77777777" w:rsidR="001C3B67" w:rsidRPr="001C3B67" w:rsidRDefault="001C3B67" w:rsidP="001C3B67">
            <w:pPr>
              <w:suppressAutoHyphens w:val="0"/>
              <w:spacing w:before="40" w:after="120"/>
              <w:ind w:right="113"/>
              <w:rPr>
                <w:lang w:eastAsia="en-GB"/>
              </w:rPr>
            </w:pPr>
            <w:r w:rsidRPr="001C3B67">
              <w:rPr>
                <w:lang w:eastAsia="en-GB"/>
              </w:rPr>
              <w:t>Global Environmental Goal Efficiency, considerations under the green economy concept, Data collection for the International Energy Agency energy balance</w:t>
            </w:r>
          </w:p>
        </w:tc>
      </w:tr>
      <w:tr w:rsidR="001C3B67" w:rsidRPr="001C3B67" w14:paraId="542FE6EC" w14:textId="77777777" w:rsidTr="00D72F74">
        <w:trPr>
          <w:trHeight w:val="589"/>
        </w:trPr>
        <w:tc>
          <w:tcPr>
            <w:tcW w:w="503" w:type="dxa"/>
            <w:tcBorders>
              <w:top w:val="nil"/>
            </w:tcBorders>
            <w:shd w:val="clear" w:color="auto" w:fill="auto"/>
            <w:noWrap/>
            <w:hideMark/>
          </w:tcPr>
          <w:p w14:paraId="512814B4"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16</w:t>
            </w:r>
          </w:p>
        </w:tc>
        <w:tc>
          <w:tcPr>
            <w:tcW w:w="3112" w:type="dxa"/>
            <w:tcBorders>
              <w:top w:val="nil"/>
            </w:tcBorders>
            <w:shd w:val="clear" w:color="auto" w:fill="auto"/>
            <w:noWrap/>
            <w:hideMark/>
          </w:tcPr>
          <w:p w14:paraId="09AF0F84" w14:textId="77777777" w:rsidR="001C3B67" w:rsidRPr="001C3B67" w:rsidRDefault="001C3B67" w:rsidP="001C3B67">
            <w:pPr>
              <w:suppressAutoHyphens w:val="0"/>
              <w:spacing w:before="40" w:after="120"/>
              <w:ind w:right="113"/>
              <w:rPr>
                <w:lang w:eastAsia="en-GB"/>
              </w:rPr>
            </w:pPr>
            <w:r w:rsidRPr="001C3B67">
              <w:rPr>
                <w:lang w:eastAsia="en-GB"/>
              </w:rPr>
              <w:t xml:space="preserve">Annual average concentration of nitrogen dioxide </w:t>
            </w:r>
          </w:p>
        </w:tc>
        <w:tc>
          <w:tcPr>
            <w:tcW w:w="4890" w:type="dxa"/>
            <w:tcBorders>
              <w:top w:val="nil"/>
            </w:tcBorders>
            <w:shd w:val="clear" w:color="auto" w:fill="auto"/>
            <w:hideMark/>
          </w:tcPr>
          <w:p w14:paraId="1BF2FF11" w14:textId="08417C19"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Data c</w:t>
            </w:r>
            <w:r w:rsidR="00D72F74">
              <w:rPr>
                <w:lang w:eastAsia="en-GB"/>
              </w:rPr>
              <w:t>ollection under the ECE, CLRTAP</w:t>
            </w:r>
            <w:r w:rsidR="00D72F74" w:rsidRPr="00D72F74">
              <w:rPr>
                <w:i/>
                <w:iCs/>
                <w:vertAlign w:val="superscript"/>
                <w:lang w:eastAsia="en-GB"/>
              </w:rPr>
              <w:t>a</w:t>
            </w:r>
            <w:r w:rsidRPr="001C3B67">
              <w:rPr>
                <w:lang w:eastAsia="en-GB"/>
              </w:rPr>
              <w:t>, Health and well-being considerations under the green economy conc</w:t>
            </w:r>
            <w:r w:rsidR="00D72F74">
              <w:rPr>
                <w:lang w:eastAsia="en-GB"/>
              </w:rPr>
              <w:t xml:space="preserve">ept, Data collection under the </w:t>
            </w:r>
            <w:r w:rsidR="00D72F74" w:rsidRPr="00D72F74">
              <w:rPr>
                <w:lang w:eastAsia="en-GB"/>
              </w:rPr>
              <w:t>Montreal Protocol</w:t>
            </w:r>
            <w:r w:rsidR="00D72F74" w:rsidRPr="00D72F74">
              <w:rPr>
                <w:i/>
                <w:iCs/>
                <w:vertAlign w:val="superscript"/>
                <w:lang w:eastAsia="en-GB"/>
              </w:rPr>
              <w:t>d</w:t>
            </w:r>
            <w:r w:rsidR="00D72F74" w:rsidRPr="00D72F74">
              <w:rPr>
                <w:lang w:eastAsia="en-GB"/>
              </w:rPr>
              <w:t xml:space="preserve"> (a protocol to the Vienna Convention</w:t>
            </w:r>
            <w:r w:rsidR="00D72F74" w:rsidRPr="00D72F74">
              <w:rPr>
                <w:i/>
                <w:iCs/>
                <w:vertAlign w:val="superscript"/>
                <w:lang w:eastAsia="en-GB"/>
              </w:rPr>
              <w:t>e</w:t>
            </w:r>
            <w:r w:rsidR="00D72F74" w:rsidRPr="00D72F74">
              <w:rPr>
                <w:lang w:eastAsia="en-GB"/>
              </w:rPr>
              <w:t>)</w:t>
            </w:r>
            <w:r w:rsidR="00D72F74">
              <w:rPr>
                <w:lang w:eastAsia="en-GB"/>
              </w:rPr>
              <w:t>.</w:t>
            </w:r>
          </w:p>
        </w:tc>
      </w:tr>
      <w:tr w:rsidR="001C3B67" w:rsidRPr="001C3B67" w14:paraId="69CD7E11" w14:textId="77777777" w:rsidTr="00D72F74">
        <w:trPr>
          <w:trHeight w:val="900"/>
        </w:trPr>
        <w:tc>
          <w:tcPr>
            <w:tcW w:w="503" w:type="dxa"/>
            <w:tcBorders>
              <w:bottom w:val="nil"/>
            </w:tcBorders>
            <w:shd w:val="clear" w:color="auto" w:fill="auto"/>
            <w:noWrap/>
            <w:hideMark/>
          </w:tcPr>
          <w:p w14:paraId="4CBACAF8"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51</w:t>
            </w:r>
          </w:p>
        </w:tc>
        <w:tc>
          <w:tcPr>
            <w:tcW w:w="3112" w:type="dxa"/>
            <w:tcBorders>
              <w:bottom w:val="nil"/>
            </w:tcBorders>
            <w:shd w:val="clear" w:color="auto" w:fill="auto"/>
            <w:noWrap/>
            <w:hideMark/>
          </w:tcPr>
          <w:p w14:paraId="350960C4" w14:textId="77777777" w:rsidR="001C3B67" w:rsidRPr="001C3B67" w:rsidRDefault="001C3B67" w:rsidP="001C3B67">
            <w:pPr>
              <w:suppressAutoHyphens w:val="0"/>
              <w:spacing w:before="40" w:after="120"/>
              <w:ind w:right="113"/>
              <w:rPr>
                <w:lang w:eastAsia="en-GB"/>
              </w:rPr>
            </w:pPr>
            <w:r w:rsidRPr="001C3B67">
              <w:rPr>
                <w:lang w:eastAsia="en-GB"/>
              </w:rPr>
              <w:t xml:space="preserve">Total forest area (forest and other wooded land) </w:t>
            </w:r>
          </w:p>
        </w:tc>
        <w:tc>
          <w:tcPr>
            <w:tcW w:w="4890" w:type="dxa"/>
            <w:tcBorders>
              <w:bottom w:val="nil"/>
            </w:tcBorders>
            <w:shd w:val="clear" w:color="auto" w:fill="auto"/>
            <w:hideMark/>
          </w:tcPr>
          <w:p w14:paraId="43D1FC6B" w14:textId="77777777"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Resilience, considerations under the green economy concept, United Nations Convention on Biological Diversity (CBD)</w:t>
            </w:r>
          </w:p>
        </w:tc>
      </w:tr>
      <w:tr w:rsidR="001C3B67" w:rsidRPr="001C3B67" w14:paraId="392361EE" w14:textId="77777777" w:rsidTr="00D72F74">
        <w:trPr>
          <w:trHeight w:val="646"/>
        </w:trPr>
        <w:tc>
          <w:tcPr>
            <w:tcW w:w="503" w:type="dxa"/>
            <w:tcBorders>
              <w:top w:val="nil"/>
              <w:bottom w:val="nil"/>
            </w:tcBorders>
            <w:shd w:val="clear" w:color="auto" w:fill="auto"/>
            <w:noWrap/>
            <w:hideMark/>
          </w:tcPr>
          <w:p w14:paraId="0B6A5348"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13</w:t>
            </w:r>
          </w:p>
        </w:tc>
        <w:tc>
          <w:tcPr>
            <w:tcW w:w="3112" w:type="dxa"/>
            <w:tcBorders>
              <w:top w:val="nil"/>
              <w:bottom w:val="nil"/>
            </w:tcBorders>
            <w:shd w:val="clear" w:color="auto" w:fill="auto"/>
            <w:hideMark/>
          </w:tcPr>
          <w:p w14:paraId="0909A35D" w14:textId="77777777" w:rsidR="001C3B67" w:rsidRPr="001C3B67" w:rsidRDefault="001C3B67" w:rsidP="001C3B67">
            <w:pPr>
              <w:suppressAutoHyphens w:val="0"/>
              <w:spacing w:before="40" w:after="120"/>
              <w:ind w:right="113"/>
              <w:rPr>
                <w:lang w:eastAsia="en-GB"/>
              </w:rPr>
            </w:pPr>
            <w:r w:rsidRPr="001C3B67">
              <w:rPr>
                <w:lang w:eastAsia="en-GB"/>
              </w:rPr>
              <w:t>Emissions of PM10 (total, stationary and mobile sources)</w:t>
            </w:r>
          </w:p>
        </w:tc>
        <w:tc>
          <w:tcPr>
            <w:tcW w:w="4890" w:type="dxa"/>
            <w:tcBorders>
              <w:top w:val="nil"/>
              <w:bottom w:val="nil"/>
            </w:tcBorders>
            <w:shd w:val="clear" w:color="auto" w:fill="auto"/>
            <w:hideMark/>
          </w:tcPr>
          <w:p w14:paraId="51CCCEB9" w14:textId="6A2C0228"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Data c</w:t>
            </w:r>
            <w:r w:rsidR="00D72F74">
              <w:rPr>
                <w:lang w:eastAsia="en-GB"/>
              </w:rPr>
              <w:t>ollection under the ECE, CLRTAP</w:t>
            </w:r>
            <w:r w:rsidR="00D72F74" w:rsidRPr="00D72F74">
              <w:rPr>
                <w:i/>
                <w:iCs/>
                <w:vertAlign w:val="superscript"/>
                <w:lang w:eastAsia="en-GB"/>
              </w:rPr>
              <w:t>a</w:t>
            </w:r>
            <w:r w:rsidRPr="001C3B67">
              <w:rPr>
                <w:lang w:eastAsia="en-GB"/>
              </w:rPr>
              <w:t>, Protocol on PRTRs</w:t>
            </w:r>
            <w:r w:rsidR="00D72F74" w:rsidRPr="00D72F74">
              <w:rPr>
                <w:i/>
                <w:iCs/>
                <w:vertAlign w:val="superscript"/>
                <w:lang w:eastAsia="en-GB"/>
              </w:rPr>
              <w:t>b</w:t>
            </w:r>
            <w:r w:rsidRPr="001C3B67">
              <w:rPr>
                <w:lang w:eastAsia="en-GB"/>
              </w:rPr>
              <w:t xml:space="preserve">, Data collection under the </w:t>
            </w:r>
            <w:r w:rsidR="00D72F74" w:rsidRPr="00D72F74">
              <w:rPr>
                <w:lang w:eastAsia="en-GB"/>
              </w:rPr>
              <w:t>Montreal Protocol</w:t>
            </w:r>
            <w:r w:rsidR="00D72F74" w:rsidRPr="00D72F74">
              <w:rPr>
                <w:i/>
                <w:iCs/>
                <w:vertAlign w:val="superscript"/>
                <w:lang w:eastAsia="en-GB"/>
              </w:rPr>
              <w:t>d</w:t>
            </w:r>
            <w:r w:rsidR="00D72F74" w:rsidRPr="00D72F74">
              <w:rPr>
                <w:lang w:eastAsia="en-GB"/>
              </w:rPr>
              <w:t xml:space="preserve"> (a protocol to the Vienna Convention</w:t>
            </w:r>
            <w:r w:rsidR="00D72F74" w:rsidRPr="00D72F74">
              <w:rPr>
                <w:i/>
                <w:iCs/>
                <w:vertAlign w:val="superscript"/>
                <w:lang w:eastAsia="en-GB"/>
              </w:rPr>
              <w:t>e</w:t>
            </w:r>
            <w:r w:rsidR="00D72F74" w:rsidRPr="00D72F74">
              <w:rPr>
                <w:lang w:eastAsia="en-GB"/>
              </w:rPr>
              <w:t>)</w:t>
            </w:r>
            <w:r w:rsidR="00D72F74">
              <w:rPr>
                <w:lang w:eastAsia="en-GB"/>
              </w:rPr>
              <w:t>.</w:t>
            </w:r>
          </w:p>
        </w:tc>
      </w:tr>
      <w:tr w:rsidR="001C3B67" w:rsidRPr="001C3B67" w14:paraId="5750F970" w14:textId="77777777" w:rsidTr="00D72F74">
        <w:trPr>
          <w:trHeight w:val="601"/>
        </w:trPr>
        <w:tc>
          <w:tcPr>
            <w:tcW w:w="503" w:type="dxa"/>
            <w:tcBorders>
              <w:top w:val="nil"/>
            </w:tcBorders>
            <w:shd w:val="clear" w:color="auto" w:fill="auto"/>
            <w:noWrap/>
            <w:hideMark/>
          </w:tcPr>
          <w:p w14:paraId="1D70AF52"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15</w:t>
            </w:r>
          </w:p>
        </w:tc>
        <w:tc>
          <w:tcPr>
            <w:tcW w:w="3112" w:type="dxa"/>
            <w:tcBorders>
              <w:top w:val="nil"/>
            </w:tcBorders>
            <w:shd w:val="clear" w:color="auto" w:fill="auto"/>
            <w:noWrap/>
            <w:hideMark/>
          </w:tcPr>
          <w:p w14:paraId="070297B0" w14:textId="77777777" w:rsidR="001C3B67" w:rsidRPr="001C3B67" w:rsidRDefault="001C3B67" w:rsidP="001C3B67">
            <w:pPr>
              <w:suppressAutoHyphens w:val="0"/>
              <w:spacing w:before="40" w:after="120"/>
              <w:ind w:right="113"/>
              <w:rPr>
                <w:lang w:eastAsia="en-GB"/>
              </w:rPr>
            </w:pPr>
            <w:r w:rsidRPr="001C3B67">
              <w:rPr>
                <w:lang w:eastAsia="en-GB"/>
              </w:rPr>
              <w:t xml:space="preserve">Annual average concentration of sulphur dioxide </w:t>
            </w:r>
          </w:p>
        </w:tc>
        <w:tc>
          <w:tcPr>
            <w:tcW w:w="4890" w:type="dxa"/>
            <w:tcBorders>
              <w:top w:val="nil"/>
            </w:tcBorders>
            <w:shd w:val="clear" w:color="auto" w:fill="auto"/>
            <w:hideMark/>
          </w:tcPr>
          <w:p w14:paraId="0981E593" w14:textId="656A2CE1"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Data c</w:t>
            </w:r>
            <w:r w:rsidR="00D72F74">
              <w:rPr>
                <w:lang w:eastAsia="en-GB"/>
              </w:rPr>
              <w:t>ollection under the ECE, CLRTAP</w:t>
            </w:r>
            <w:r w:rsidR="00D72F74" w:rsidRPr="00D72F74">
              <w:rPr>
                <w:i/>
                <w:iCs/>
                <w:vertAlign w:val="superscript"/>
                <w:lang w:eastAsia="en-GB"/>
              </w:rPr>
              <w:t>a</w:t>
            </w:r>
            <w:r w:rsidRPr="001C3B67">
              <w:rPr>
                <w:lang w:eastAsia="en-GB"/>
              </w:rPr>
              <w:t xml:space="preserve">, Health and well-being considerations under the green economy concept, Data collection under the </w:t>
            </w:r>
            <w:r w:rsidR="00D72F74" w:rsidRPr="00D72F74">
              <w:rPr>
                <w:lang w:eastAsia="en-GB"/>
              </w:rPr>
              <w:t>Montreal Protocol</w:t>
            </w:r>
            <w:r w:rsidR="00D72F74" w:rsidRPr="00D72F74">
              <w:rPr>
                <w:i/>
                <w:iCs/>
                <w:vertAlign w:val="superscript"/>
                <w:lang w:eastAsia="en-GB"/>
              </w:rPr>
              <w:t>d</w:t>
            </w:r>
            <w:r w:rsidR="00D72F74" w:rsidRPr="00D72F74">
              <w:rPr>
                <w:lang w:eastAsia="en-GB"/>
              </w:rPr>
              <w:t xml:space="preserve"> (a protocol to the Vienna Convention</w:t>
            </w:r>
            <w:r w:rsidR="00D72F74" w:rsidRPr="00D72F74">
              <w:rPr>
                <w:i/>
                <w:iCs/>
                <w:vertAlign w:val="superscript"/>
                <w:lang w:eastAsia="en-GB"/>
              </w:rPr>
              <w:t>e</w:t>
            </w:r>
            <w:r w:rsidR="00D72F74" w:rsidRPr="00D72F74">
              <w:rPr>
                <w:lang w:eastAsia="en-GB"/>
              </w:rPr>
              <w:t>)</w:t>
            </w:r>
            <w:r w:rsidR="00D72F74">
              <w:rPr>
                <w:lang w:eastAsia="en-GB"/>
              </w:rPr>
              <w:t>.</w:t>
            </w:r>
          </w:p>
        </w:tc>
      </w:tr>
      <w:tr w:rsidR="001C3B67" w:rsidRPr="001C3B67" w14:paraId="2CA4AE41" w14:textId="77777777" w:rsidTr="00D72F74">
        <w:trPr>
          <w:trHeight w:val="803"/>
        </w:trPr>
        <w:tc>
          <w:tcPr>
            <w:tcW w:w="503" w:type="dxa"/>
            <w:shd w:val="clear" w:color="auto" w:fill="auto"/>
            <w:noWrap/>
            <w:hideMark/>
          </w:tcPr>
          <w:p w14:paraId="587E3100"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57</w:t>
            </w:r>
          </w:p>
        </w:tc>
        <w:tc>
          <w:tcPr>
            <w:tcW w:w="3112" w:type="dxa"/>
            <w:shd w:val="clear" w:color="auto" w:fill="auto"/>
            <w:hideMark/>
          </w:tcPr>
          <w:p w14:paraId="7C2ABBBE" w14:textId="77777777" w:rsidR="001C3B67" w:rsidRPr="001C3B67" w:rsidRDefault="001C3B67" w:rsidP="001C3B67">
            <w:pPr>
              <w:suppressAutoHyphens w:val="0"/>
              <w:spacing w:before="40" w:after="120"/>
              <w:ind w:right="113"/>
              <w:rPr>
                <w:lang w:eastAsia="en-GB"/>
              </w:rPr>
            </w:pPr>
            <w:r w:rsidRPr="001C3B67">
              <w:rPr>
                <w:lang w:eastAsia="en-GB"/>
              </w:rPr>
              <w:t>Final energy consumption by category (industry, transport, households, commercial and public services, agriculture forestry and fishery, non-specified, non-energy use)</w:t>
            </w:r>
          </w:p>
        </w:tc>
        <w:tc>
          <w:tcPr>
            <w:tcW w:w="4890" w:type="dxa"/>
            <w:shd w:val="clear" w:color="auto" w:fill="auto"/>
            <w:hideMark/>
          </w:tcPr>
          <w:p w14:paraId="0E7153B3" w14:textId="77777777" w:rsidR="001C3B67" w:rsidRPr="001C3B67" w:rsidRDefault="001C3B67" w:rsidP="001C3B67">
            <w:pPr>
              <w:suppressAutoHyphens w:val="0"/>
              <w:spacing w:before="40" w:after="120"/>
              <w:ind w:right="113"/>
              <w:rPr>
                <w:lang w:eastAsia="en-GB"/>
              </w:rPr>
            </w:pPr>
            <w:r w:rsidRPr="001C3B67">
              <w:rPr>
                <w:lang w:eastAsia="en-GB"/>
              </w:rPr>
              <w:t>Global Environmental Goal Efficiency, considerations under the green economy concept, Data collection for the International Energy Agency energy balance</w:t>
            </w:r>
          </w:p>
        </w:tc>
      </w:tr>
      <w:tr w:rsidR="001C3B67" w:rsidRPr="001C3B67" w14:paraId="1F7D45B5" w14:textId="77777777" w:rsidTr="00D72F74">
        <w:trPr>
          <w:trHeight w:val="579"/>
        </w:trPr>
        <w:tc>
          <w:tcPr>
            <w:tcW w:w="503" w:type="dxa"/>
            <w:shd w:val="clear" w:color="auto" w:fill="auto"/>
            <w:noWrap/>
            <w:hideMark/>
          </w:tcPr>
          <w:p w14:paraId="44BDBE3E"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29</w:t>
            </w:r>
          </w:p>
        </w:tc>
        <w:tc>
          <w:tcPr>
            <w:tcW w:w="3112" w:type="dxa"/>
            <w:shd w:val="clear" w:color="auto" w:fill="auto"/>
            <w:hideMark/>
          </w:tcPr>
          <w:p w14:paraId="3E382711" w14:textId="77777777" w:rsidR="001C3B67" w:rsidRPr="001C3B67" w:rsidRDefault="001C3B67" w:rsidP="001C3B67">
            <w:pPr>
              <w:suppressAutoHyphens w:val="0"/>
              <w:spacing w:before="40" w:after="120"/>
              <w:ind w:right="113"/>
              <w:rPr>
                <w:lang w:eastAsia="en-GB"/>
              </w:rPr>
            </w:pPr>
            <w:r w:rsidRPr="001C3B67">
              <w:rPr>
                <w:lang w:eastAsia="en-GB"/>
              </w:rPr>
              <w:t>Aggregated GHG emissions by energy, industrial processes, solvent and other product use, agriculture, land use and forestry, waste</w:t>
            </w:r>
          </w:p>
        </w:tc>
        <w:tc>
          <w:tcPr>
            <w:tcW w:w="4890" w:type="dxa"/>
            <w:shd w:val="clear" w:color="auto" w:fill="auto"/>
            <w:hideMark/>
          </w:tcPr>
          <w:p w14:paraId="0B3F8927" w14:textId="77777777"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Data collection under the UNFCCC</w:t>
            </w:r>
          </w:p>
        </w:tc>
      </w:tr>
      <w:tr w:rsidR="001C3B67" w:rsidRPr="001C3B67" w14:paraId="587AB488" w14:textId="77777777" w:rsidTr="00D72F74">
        <w:trPr>
          <w:trHeight w:val="380"/>
        </w:trPr>
        <w:tc>
          <w:tcPr>
            <w:tcW w:w="503" w:type="dxa"/>
            <w:tcBorders>
              <w:bottom w:val="nil"/>
            </w:tcBorders>
            <w:shd w:val="clear" w:color="auto" w:fill="auto"/>
            <w:noWrap/>
            <w:hideMark/>
          </w:tcPr>
          <w:p w14:paraId="23E7EE7F"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26</w:t>
            </w:r>
          </w:p>
        </w:tc>
        <w:tc>
          <w:tcPr>
            <w:tcW w:w="3112" w:type="dxa"/>
            <w:tcBorders>
              <w:bottom w:val="nil"/>
            </w:tcBorders>
            <w:shd w:val="clear" w:color="auto" w:fill="auto"/>
            <w:hideMark/>
          </w:tcPr>
          <w:p w14:paraId="13B54B64" w14:textId="77777777" w:rsidR="001C3B67" w:rsidRPr="001C3B67" w:rsidRDefault="001C3B67" w:rsidP="001C3B67">
            <w:pPr>
              <w:suppressAutoHyphens w:val="0"/>
              <w:spacing w:before="40" w:after="120"/>
              <w:ind w:right="113"/>
              <w:rPr>
                <w:lang w:eastAsia="en-GB"/>
              </w:rPr>
            </w:pPr>
            <w:r w:rsidRPr="001C3B67">
              <w:rPr>
                <w:lang w:eastAsia="en-GB"/>
              </w:rPr>
              <w:t xml:space="preserve">Average annual deviation from the long-term average temperature </w:t>
            </w:r>
          </w:p>
        </w:tc>
        <w:tc>
          <w:tcPr>
            <w:tcW w:w="4890" w:type="dxa"/>
            <w:tcBorders>
              <w:bottom w:val="nil"/>
            </w:tcBorders>
            <w:shd w:val="clear" w:color="auto" w:fill="auto"/>
            <w:hideMark/>
          </w:tcPr>
          <w:p w14:paraId="2D19F938" w14:textId="77777777"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Data collection under the UNFCCC</w:t>
            </w:r>
          </w:p>
        </w:tc>
      </w:tr>
      <w:tr w:rsidR="001C3B67" w:rsidRPr="001C3B67" w14:paraId="174A8596" w14:textId="77777777" w:rsidTr="00D72F74">
        <w:trPr>
          <w:trHeight w:val="364"/>
        </w:trPr>
        <w:tc>
          <w:tcPr>
            <w:tcW w:w="503" w:type="dxa"/>
            <w:tcBorders>
              <w:top w:val="nil"/>
              <w:bottom w:val="nil"/>
            </w:tcBorders>
            <w:shd w:val="clear" w:color="auto" w:fill="auto"/>
            <w:noWrap/>
            <w:hideMark/>
          </w:tcPr>
          <w:p w14:paraId="766CA16A"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62</w:t>
            </w:r>
          </w:p>
        </w:tc>
        <w:tc>
          <w:tcPr>
            <w:tcW w:w="3112" w:type="dxa"/>
            <w:tcBorders>
              <w:top w:val="nil"/>
              <w:bottom w:val="nil"/>
            </w:tcBorders>
            <w:shd w:val="clear" w:color="auto" w:fill="auto"/>
            <w:noWrap/>
            <w:hideMark/>
          </w:tcPr>
          <w:p w14:paraId="407961CF" w14:textId="77777777" w:rsidR="001C3B67" w:rsidRPr="001C3B67" w:rsidRDefault="001C3B67" w:rsidP="001C3B67">
            <w:pPr>
              <w:suppressAutoHyphens w:val="0"/>
              <w:spacing w:before="40" w:after="120"/>
              <w:ind w:right="113"/>
              <w:rPr>
                <w:lang w:eastAsia="en-GB"/>
              </w:rPr>
            </w:pPr>
            <w:r w:rsidRPr="001C3B67">
              <w:rPr>
                <w:lang w:eastAsia="en-GB"/>
              </w:rPr>
              <w:t>Hazardous waste generated and its transfer and its transfer</w:t>
            </w:r>
          </w:p>
        </w:tc>
        <w:tc>
          <w:tcPr>
            <w:tcW w:w="4890" w:type="dxa"/>
            <w:tcBorders>
              <w:top w:val="nil"/>
              <w:bottom w:val="nil"/>
            </w:tcBorders>
            <w:shd w:val="clear" w:color="auto" w:fill="auto"/>
            <w:hideMark/>
          </w:tcPr>
          <w:p w14:paraId="0BAA173F" w14:textId="355BA1E2" w:rsidR="001C3B67" w:rsidRPr="001C3B67" w:rsidRDefault="001C3B67" w:rsidP="001C3B67">
            <w:pPr>
              <w:suppressAutoHyphens w:val="0"/>
              <w:spacing w:before="40" w:after="120"/>
              <w:ind w:right="113"/>
              <w:rPr>
                <w:lang w:eastAsia="en-GB"/>
              </w:rPr>
            </w:pPr>
            <w:r w:rsidRPr="001C3B67">
              <w:rPr>
                <w:lang w:eastAsia="en-GB"/>
              </w:rPr>
              <w:t>Pan-European priority (chemicals and waste), Global Environmental Goal, Data collection under the Protocol on PRTRs</w:t>
            </w:r>
            <w:r w:rsidR="00D72F74" w:rsidRPr="00D72F74">
              <w:rPr>
                <w:i/>
                <w:iCs/>
                <w:vertAlign w:val="superscript"/>
                <w:lang w:eastAsia="en-GB"/>
              </w:rPr>
              <w:t>b</w:t>
            </w:r>
            <w:r w:rsidRPr="001C3B67">
              <w:rPr>
                <w:lang w:eastAsia="en-GB"/>
              </w:rPr>
              <w:t xml:space="preserve"> and the Basel Convention</w:t>
            </w:r>
            <w:r w:rsidR="00D72F74" w:rsidRPr="00D72F74">
              <w:rPr>
                <w:i/>
                <w:iCs/>
                <w:vertAlign w:val="superscript"/>
                <w:lang w:eastAsia="en-GB"/>
              </w:rPr>
              <w:t>c</w:t>
            </w:r>
          </w:p>
        </w:tc>
      </w:tr>
      <w:tr w:rsidR="001C3B67" w:rsidRPr="001C3B67" w14:paraId="15AA8841" w14:textId="77777777" w:rsidTr="00D72F74">
        <w:trPr>
          <w:trHeight w:val="567"/>
        </w:trPr>
        <w:tc>
          <w:tcPr>
            <w:tcW w:w="503" w:type="dxa"/>
            <w:tcBorders>
              <w:top w:val="nil"/>
              <w:bottom w:val="nil"/>
            </w:tcBorders>
            <w:shd w:val="clear" w:color="auto" w:fill="auto"/>
            <w:noWrap/>
            <w:hideMark/>
          </w:tcPr>
          <w:p w14:paraId="20F379BA"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18</w:t>
            </w:r>
          </w:p>
        </w:tc>
        <w:tc>
          <w:tcPr>
            <w:tcW w:w="3112" w:type="dxa"/>
            <w:tcBorders>
              <w:top w:val="nil"/>
              <w:bottom w:val="nil"/>
            </w:tcBorders>
            <w:shd w:val="clear" w:color="auto" w:fill="auto"/>
            <w:noWrap/>
            <w:hideMark/>
          </w:tcPr>
          <w:p w14:paraId="37918AD2" w14:textId="77777777" w:rsidR="001C3B67" w:rsidRPr="001C3B67" w:rsidRDefault="001C3B67" w:rsidP="001C3B67">
            <w:pPr>
              <w:suppressAutoHyphens w:val="0"/>
              <w:spacing w:before="40" w:after="120"/>
              <w:ind w:right="113"/>
              <w:rPr>
                <w:lang w:eastAsia="en-GB"/>
              </w:rPr>
            </w:pPr>
            <w:r w:rsidRPr="001C3B67">
              <w:rPr>
                <w:lang w:eastAsia="en-GB"/>
              </w:rPr>
              <w:t xml:space="preserve">Annual average concentration of PM </w:t>
            </w:r>
          </w:p>
        </w:tc>
        <w:tc>
          <w:tcPr>
            <w:tcW w:w="4890" w:type="dxa"/>
            <w:tcBorders>
              <w:top w:val="nil"/>
              <w:bottom w:val="nil"/>
            </w:tcBorders>
            <w:shd w:val="clear" w:color="auto" w:fill="auto"/>
            <w:hideMark/>
          </w:tcPr>
          <w:p w14:paraId="6587613F" w14:textId="77D45092" w:rsidR="001C3B67" w:rsidRPr="001C3B67" w:rsidRDefault="001C3B67" w:rsidP="00D72F74">
            <w:pPr>
              <w:suppressAutoHyphens w:val="0"/>
              <w:spacing w:before="40" w:after="120"/>
              <w:ind w:right="113"/>
              <w:rPr>
                <w:lang w:eastAsia="en-GB"/>
              </w:rPr>
            </w:pPr>
            <w:r w:rsidRPr="001C3B67">
              <w:rPr>
                <w:lang w:eastAsia="en-GB"/>
              </w:rPr>
              <w:t xml:space="preserve">Pan-European priority, Global Environmental Goal, Data collection under the ECE, CLRTAP, Data collection under the </w:t>
            </w:r>
            <w:r w:rsidR="00D72F74" w:rsidRPr="00D72F74">
              <w:rPr>
                <w:lang w:eastAsia="en-GB"/>
              </w:rPr>
              <w:t>Montreal Protocol</w:t>
            </w:r>
            <w:r w:rsidR="00D72F74" w:rsidRPr="00D72F74">
              <w:rPr>
                <w:i/>
                <w:iCs/>
                <w:vertAlign w:val="superscript"/>
                <w:lang w:eastAsia="en-GB"/>
              </w:rPr>
              <w:t>d</w:t>
            </w:r>
            <w:r w:rsidR="00D72F74" w:rsidRPr="00D72F74">
              <w:rPr>
                <w:lang w:eastAsia="en-GB"/>
              </w:rPr>
              <w:t xml:space="preserve"> (a protocol to the Vienna Convention</w:t>
            </w:r>
            <w:r w:rsidR="00D72F74" w:rsidRPr="00D72F74">
              <w:rPr>
                <w:i/>
                <w:iCs/>
                <w:vertAlign w:val="superscript"/>
                <w:lang w:eastAsia="en-GB"/>
              </w:rPr>
              <w:t>e</w:t>
            </w:r>
            <w:r w:rsidR="00D72F74" w:rsidRPr="00D72F74">
              <w:rPr>
                <w:lang w:eastAsia="en-GB"/>
              </w:rPr>
              <w:t>)</w:t>
            </w:r>
            <w:r w:rsidR="00D72F74">
              <w:rPr>
                <w:lang w:eastAsia="en-GB"/>
              </w:rPr>
              <w:t>.</w:t>
            </w:r>
          </w:p>
        </w:tc>
      </w:tr>
      <w:tr w:rsidR="001C3B67" w:rsidRPr="001C3B67" w14:paraId="5FCED721" w14:textId="77777777" w:rsidTr="00D72F74">
        <w:trPr>
          <w:trHeight w:val="804"/>
        </w:trPr>
        <w:tc>
          <w:tcPr>
            <w:tcW w:w="503" w:type="dxa"/>
            <w:tcBorders>
              <w:top w:val="nil"/>
            </w:tcBorders>
            <w:shd w:val="clear" w:color="auto" w:fill="auto"/>
            <w:noWrap/>
            <w:hideMark/>
          </w:tcPr>
          <w:p w14:paraId="4A39DB56" w14:textId="77777777" w:rsidR="001C3B67" w:rsidRPr="001C3B67" w:rsidRDefault="001C3B67" w:rsidP="001C3B67">
            <w:pPr>
              <w:suppressAutoHyphens w:val="0"/>
              <w:spacing w:before="96" w:after="96" w:line="220" w:lineRule="exact"/>
              <w:ind w:right="113"/>
              <w:rPr>
                <w:b/>
                <w:bCs/>
                <w:lang w:eastAsia="en-GB"/>
              </w:rPr>
            </w:pPr>
            <w:r w:rsidRPr="001C3B67">
              <w:rPr>
                <w:b/>
                <w:bCs/>
                <w:lang w:eastAsia="en-GB"/>
              </w:rPr>
              <w:t>42</w:t>
            </w:r>
          </w:p>
        </w:tc>
        <w:tc>
          <w:tcPr>
            <w:tcW w:w="3112" w:type="dxa"/>
            <w:tcBorders>
              <w:top w:val="nil"/>
            </w:tcBorders>
            <w:shd w:val="clear" w:color="auto" w:fill="auto"/>
            <w:noWrap/>
            <w:hideMark/>
          </w:tcPr>
          <w:p w14:paraId="28A05526" w14:textId="77777777" w:rsidR="001C3B67" w:rsidRPr="001C3B67" w:rsidRDefault="001C3B67" w:rsidP="001C3B67">
            <w:pPr>
              <w:suppressAutoHyphens w:val="0"/>
              <w:spacing w:before="40" w:after="120"/>
              <w:ind w:right="113"/>
              <w:rPr>
                <w:lang w:eastAsia="en-GB"/>
              </w:rPr>
            </w:pPr>
            <w:r w:rsidRPr="001C3B67">
              <w:rPr>
                <w:lang w:eastAsia="en-GB"/>
              </w:rPr>
              <w:t xml:space="preserve">Mean concentration of nitrates in major rivers </w:t>
            </w:r>
          </w:p>
        </w:tc>
        <w:tc>
          <w:tcPr>
            <w:tcW w:w="4890" w:type="dxa"/>
            <w:tcBorders>
              <w:top w:val="nil"/>
            </w:tcBorders>
            <w:shd w:val="clear" w:color="auto" w:fill="auto"/>
            <w:hideMark/>
          </w:tcPr>
          <w:p w14:paraId="29EF63A7" w14:textId="77777777" w:rsidR="001C3B67" w:rsidRPr="001C3B67" w:rsidRDefault="001C3B67" w:rsidP="001C3B67">
            <w:pPr>
              <w:suppressAutoHyphens w:val="0"/>
              <w:spacing w:before="40" w:after="120"/>
              <w:ind w:right="113"/>
              <w:rPr>
                <w:lang w:eastAsia="en-GB"/>
              </w:rPr>
            </w:pPr>
            <w:r w:rsidRPr="001C3B67">
              <w:rPr>
                <w:lang w:eastAsia="en-GB"/>
              </w:rPr>
              <w:t>Pan-European priority, Global Environmental Goal, Resilience, efficiency, health and well-being considerations under the green economy concept, Data collection through the UNEP/United Nations Statistics Division questionnaire, Data collection under the ECE Protocol on Water and Health</w:t>
            </w:r>
          </w:p>
        </w:tc>
      </w:tr>
    </w:tbl>
    <w:p w14:paraId="7A38C1D0" w14:textId="27083805" w:rsidR="00C339C9" w:rsidRDefault="00D72F74" w:rsidP="00D72F74">
      <w:pPr>
        <w:pStyle w:val="SingleTxtG"/>
        <w:tabs>
          <w:tab w:val="left" w:pos="1418"/>
        </w:tabs>
        <w:spacing w:before="120" w:after="0" w:line="220" w:lineRule="exact"/>
        <w:ind w:firstLine="142"/>
        <w:jc w:val="left"/>
        <w:rPr>
          <w:sz w:val="18"/>
          <w:szCs w:val="18"/>
        </w:rPr>
      </w:pPr>
      <w:bookmarkStart w:id="164" w:name="_Toc440461434"/>
      <w:proofErr w:type="gramStart"/>
      <w:r w:rsidRPr="00D72F74">
        <w:rPr>
          <w:i/>
          <w:iCs/>
          <w:sz w:val="18"/>
          <w:szCs w:val="18"/>
          <w:vertAlign w:val="superscript"/>
        </w:rPr>
        <w:t>a</w:t>
      </w:r>
      <w:r w:rsidR="001969AA" w:rsidRPr="001F6079">
        <w:rPr>
          <w:i/>
          <w:sz w:val="18"/>
          <w:szCs w:val="18"/>
        </w:rPr>
        <w:t xml:space="preserve"> </w:t>
      </w:r>
      <w:r w:rsidR="001969AA">
        <w:rPr>
          <w:i/>
          <w:sz w:val="18"/>
          <w:szCs w:val="18"/>
        </w:rPr>
        <w:t xml:space="preserve"> </w:t>
      </w:r>
      <w:r w:rsidRPr="00D72F74">
        <w:rPr>
          <w:sz w:val="18"/>
          <w:szCs w:val="18"/>
        </w:rPr>
        <w:t>The</w:t>
      </w:r>
      <w:proofErr w:type="gramEnd"/>
      <w:r w:rsidRPr="00D72F74">
        <w:rPr>
          <w:sz w:val="18"/>
          <w:szCs w:val="18"/>
        </w:rPr>
        <w:t xml:space="preserve"> Convention on Long-Range Transboundary Air Pollution</w:t>
      </w:r>
      <w:r>
        <w:rPr>
          <w:sz w:val="18"/>
          <w:szCs w:val="18"/>
        </w:rPr>
        <w:t xml:space="preserve"> (CLRTAP).</w:t>
      </w:r>
    </w:p>
    <w:p w14:paraId="35337CA3" w14:textId="704E2615" w:rsidR="00D72F74" w:rsidRDefault="00D72F74" w:rsidP="00D72F74">
      <w:pPr>
        <w:pStyle w:val="SingleTxtG"/>
        <w:tabs>
          <w:tab w:val="left" w:pos="1418"/>
        </w:tabs>
        <w:spacing w:after="0" w:line="220" w:lineRule="exact"/>
        <w:ind w:firstLine="142"/>
        <w:jc w:val="left"/>
        <w:rPr>
          <w:sz w:val="18"/>
          <w:szCs w:val="18"/>
        </w:rPr>
      </w:pPr>
      <w:proofErr w:type="gramStart"/>
      <w:r w:rsidRPr="00D72F74">
        <w:rPr>
          <w:i/>
          <w:iCs/>
          <w:sz w:val="18"/>
          <w:szCs w:val="18"/>
          <w:vertAlign w:val="superscript"/>
        </w:rPr>
        <w:t>b</w:t>
      </w:r>
      <w:r w:rsidR="001969AA" w:rsidRPr="001F6079">
        <w:rPr>
          <w:i/>
          <w:sz w:val="18"/>
          <w:szCs w:val="18"/>
        </w:rPr>
        <w:t xml:space="preserve"> </w:t>
      </w:r>
      <w:r w:rsidR="001969AA">
        <w:rPr>
          <w:i/>
          <w:sz w:val="18"/>
          <w:szCs w:val="18"/>
        </w:rPr>
        <w:t xml:space="preserve"> </w:t>
      </w:r>
      <w:r>
        <w:rPr>
          <w:sz w:val="18"/>
          <w:szCs w:val="18"/>
        </w:rPr>
        <w:t>Protocol</w:t>
      </w:r>
      <w:proofErr w:type="gramEnd"/>
      <w:r>
        <w:rPr>
          <w:sz w:val="18"/>
          <w:szCs w:val="18"/>
        </w:rPr>
        <w:t xml:space="preserve"> on </w:t>
      </w:r>
      <w:r w:rsidRPr="00D72F74">
        <w:rPr>
          <w:sz w:val="18"/>
          <w:szCs w:val="18"/>
        </w:rPr>
        <w:t>Pollutant Release and Transfer Register</w:t>
      </w:r>
      <w:r>
        <w:rPr>
          <w:sz w:val="18"/>
          <w:szCs w:val="18"/>
        </w:rPr>
        <w:t xml:space="preserve"> (PRTR).</w:t>
      </w:r>
    </w:p>
    <w:p w14:paraId="704786E9" w14:textId="0E625622" w:rsidR="00D72F74" w:rsidRDefault="00D72F74" w:rsidP="00D72F74">
      <w:pPr>
        <w:pStyle w:val="SingleTxtG"/>
        <w:tabs>
          <w:tab w:val="left" w:pos="1418"/>
        </w:tabs>
        <w:spacing w:after="0" w:line="220" w:lineRule="exact"/>
        <w:ind w:right="0" w:firstLine="142"/>
        <w:jc w:val="left"/>
        <w:rPr>
          <w:sz w:val="18"/>
          <w:szCs w:val="18"/>
        </w:rPr>
      </w:pPr>
      <w:proofErr w:type="gramStart"/>
      <w:r w:rsidRPr="00D72F74">
        <w:rPr>
          <w:i/>
          <w:iCs/>
          <w:sz w:val="18"/>
          <w:szCs w:val="18"/>
          <w:vertAlign w:val="superscript"/>
        </w:rPr>
        <w:t>c</w:t>
      </w:r>
      <w:r w:rsidR="001969AA" w:rsidRPr="001F6079">
        <w:rPr>
          <w:i/>
          <w:sz w:val="18"/>
          <w:szCs w:val="18"/>
        </w:rPr>
        <w:t xml:space="preserve"> </w:t>
      </w:r>
      <w:r w:rsidR="001969AA">
        <w:rPr>
          <w:i/>
          <w:sz w:val="18"/>
          <w:szCs w:val="18"/>
        </w:rPr>
        <w:t xml:space="preserve"> </w:t>
      </w:r>
      <w:r w:rsidRPr="00D72F74">
        <w:rPr>
          <w:sz w:val="18"/>
          <w:szCs w:val="18"/>
        </w:rPr>
        <w:t>Basel</w:t>
      </w:r>
      <w:proofErr w:type="gramEnd"/>
      <w:r w:rsidRPr="00D72F74">
        <w:rPr>
          <w:sz w:val="18"/>
          <w:szCs w:val="18"/>
        </w:rPr>
        <w:t xml:space="preserve"> Convention on the Control of Transboundary Movements of Hazardous Wastes and their Disposal.</w:t>
      </w:r>
    </w:p>
    <w:p w14:paraId="6AE344CB" w14:textId="3AA0CDD5" w:rsidR="005D109B" w:rsidRPr="005D109B" w:rsidRDefault="001969AA" w:rsidP="00D72F74">
      <w:pPr>
        <w:pStyle w:val="SingleTxtG"/>
        <w:tabs>
          <w:tab w:val="left" w:pos="1418"/>
        </w:tabs>
        <w:spacing w:after="0" w:line="220" w:lineRule="exact"/>
        <w:ind w:right="0" w:firstLine="142"/>
        <w:jc w:val="left"/>
        <w:rPr>
          <w:sz w:val="18"/>
          <w:szCs w:val="18"/>
        </w:rPr>
      </w:pPr>
      <w:proofErr w:type="gramStart"/>
      <w:r>
        <w:rPr>
          <w:i/>
          <w:iCs/>
          <w:sz w:val="18"/>
          <w:szCs w:val="18"/>
          <w:vertAlign w:val="superscript"/>
        </w:rPr>
        <w:t>d</w:t>
      </w:r>
      <w:r w:rsidRPr="001F6079">
        <w:rPr>
          <w:i/>
          <w:sz w:val="18"/>
          <w:szCs w:val="18"/>
        </w:rPr>
        <w:t xml:space="preserve"> </w:t>
      </w:r>
      <w:r>
        <w:rPr>
          <w:i/>
          <w:sz w:val="18"/>
          <w:szCs w:val="18"/>
        </w:rPr>
        <w:t xml:space="preserve"> </w:t>
      </w:r>
      <w:r w:rsidR="005D109B" w:rsidRPr="005D109B">
        <w:rPr>
          <w:sz w:val="18"/>
          <w:szCs w:val="18"/>
        </w:rPr>
        <w:t>Montreal</w:t>
      </w:r>
      <w:proofErr w:type="gramEnd"/>
      <w:r w:rsidR="005D109B" w:rsidRPr="005D109B">
        <w:rPr>
          <w:sz w:val="18"/>
          <w:szCs w:val="18"/>
        </w:rPr>
        <w:t xml:space="preserve"> Protocol on Substances that Deplete the</w:t>
      </w:r>
      <w:r w:rsidR="005D109B">
        <w:rPr>
          <w:sz w:val="18"/>
          <w:szCs w:val="18"/>
        </w:rPr>
        <w:t xml:space="preserve"> Ozone Layer.</w:t>
      </w:r>
    </w:p>
    <w:p w14:paraId="0D720981" w14:textId="778A161B" w:rsidR="005D109B" w:rsidRPr="00D72F74" w:rsidRDefault="001969AA" w:rsidP="00504757">
      <w:pPr>
        <w:pStyle w:val="SingleTxtG"/>
        <w:tabs>
          <w:tab w:val="left" w:pos="1418"/>
        </w:tabs>
        <w:spacing w:after="0" w:line="220" w:lineRule="exact"/>
        <w:ind w:right="0" w:firstLine="142"/>
        <w:jc w:val="left"/>
        <w:rPr>
          <w:sz w:val="18"/>
          <w:szCs w:val="18"/>
        </w:rPr>
      </w:pPr>
      <w:proofErr w:type="gramStart"/>
      <w:r>
        <w:rPr>
          <w:i/>
          <w:iCs/>
          <w:sz w:val="18"/>
          <w:szCs w:val="18"/>
          <w:vertAlign w:val="superscript"/>
        </w:rPr>
        <w:t>e</w:t>
      </w:r>
      <w:r w:rsidRPr="001F6079">
        <w:rPr>
          <w:i/>
          <w:sz w:val="18"/>
          <w:szCs w:val="18"/>
        </w:rPr>
        <w:t xml:space="preserve"> </w:t>
      </w:r>
      <w:r>
        <w:rPr>
          <w:i/>
          <w:sz w:val="18"/>
          <w:szCs w:val="18"/>
        </w:rPr>
        <w:t xml:space="preserve"> </w:t>
      </w:r>
      <w:r w:rsidR="005D109B" w:rsidRPr="005D109B">
        <w:rPr>
          <w:sz w:val="18"/>
          <w:szCs w:val="18"/>
        </w:rPr>
        <w:t>Vienna</w:t>
      </w:r>
      <w:proofErr w:type="gramEnd"/>
      <w:r w:rsidR="005D109B" w:rsidRPr="005D109B">
        <w:rPr>
          <w:sz w:val="18"/>
          <w:szCs w:val="18"/>
        </w:rPr>
        <w:t xml:space="preserve"> Convention for th</w:t>
      </w:r>
      <w:r w:rsidR="005D109B">
        <w:rPr>
          <w:sz w:val="18"/>
          <w:szCs w:val="18"/>
        </w:rPr>
        <w:t>e Protection of the Ozone Layer.</w:t>
      </w:r>
    </w:p>
    <w:p w14:paraId="1EDA36D9" w14:textId="4BD99237" w:rsidR="00D72F74" w:rsidRDefault="00D72F74" w:rsidP="00504757">
      <w:pPr>
        <w:pStyle w:val="SingleTxtG"/>
        <w:spacing w:after="0"/>
      </w:pPr>
    </w:p>
    <w:p w14:paraId="1D20088C" w14:textId="174EE0F2" w:rsidR="0042442E" w:rsidRPr="0042442E" w:rsidRDefault="004D0C0C" w:rsidP="00504757">
      <w:pPr>
        <w:pStyle w:val="HChG"/>
        <w:tabs>
          <w:tab w:val="left" w:pos="1112"/>
        </w:tabs>
        <w:spacing w:before="0"/>
      </w:pPr>
      <w:r>
        <w:tab/>
        <w:t>C.</w:t>
      </w:r>
      <w:r>
        <w:tab/>
      </w:r>
      <w:r w:rsidR="00504757">
        <w:tab/>
      </w:r>
      <w:r w:rsidR="0042442E" w:rsidRPr="0042442E">
        <w:t xml:space="preserve">SEIS </w:t>
      </w:r>
      <w:r w:rsidR="00D40339">
        <w:t>data set</w:t>
      </w:r>
      <w:r w:rsidR="0042442E" w:rsidRPr="0042442E">
        <w:t>s with lowest performance score</w:t>
      </w:r>
      <w:bookmarkEnd w:id="164"/>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95"/>
        <w:gridCol w:w="3193"/>
        <w:gridCol w:w="4817"/>
      </w:tblGrid>
      <w:tr w:rsidR="00D859F2" w:rsidRPr="00D859F2" w14:paraId="087C81C6" w14:textId="77777777" w:rsidTr="00D72F74">
        <w:trPr>
          <w:trHeight w:val="123"/>
          <w:tblHeader/>
        </w:trPr>
        <w:tc>
          <w:tcPr>
            <w:tcW w:w="495" w:type="dxa"/>
            <w:tcBorders>
              <w:top w:val="single" w:sz="4" w:space="0" w:color="auto"/>
              <w:bottom w:val="single" w:sz="12" w:space="0" w:color="auto"/>
            </w:tcBorders>
            <w:shd w:val="clear" w:color="auto" w:fill="auto"/>
            <w:vAlign w:val="bottom"/>
            <w:hideMark/>
          </w:tcPr>
          <w:p w14:paraId="70F4AA7D" w14:textId="77777777" w:rsidR="00D859F2" w:rsidRPr="00D859F2" w:rsidRDefault="00D859F2" w:rsidP="00D859F2">
            <w:pPr>
              <w:suppressAutoHyphens w:val="0"/>
              <w:spacing w:before="80" w:after="80" w:line="200" w:lineRule="exact"/>
              <w:ind w:right="113"/>
              <w:rPr>
                <w:bCs/>
                <w:i/>
                <w:sz w:val="16"/>
                <w:szCs w:val="18"/>
                <w:lang w:eastAsia="en-GB"/>
              </w:rPr>
            </w:pPr>
            <w:r w:rsidRPr="00D859F2">
              <w:rPr>
                <w:bCs/>
                <w:i/>
                <w:sz w:val="16"/>
                <w:szCs w:val="18"/>
                <w:lang w:eastAsia="en-GB"/>
              </w:rPr>
              <w:t>No.</w:t>
            </w:r>
          </w:p>
        </w:tc>
        <w:tc>
          <w:tcPr>
            <w:tcW w:w="3193" w:type="dxa"/>
            <w:tcBorders>
              <w:top w:val="single" w:sz="4" w:space="0" w:color="auto"/>
              <w:bottom w:val="single" w:sz="12" w:space="0" w:color="auto"/>
            </w:tcBorders>
            <w:shd w:val="clear" w:color="auto" w:fill="auto"/>
            <w:noWrap/>
            <w:vAlign w:val="bottom"/>
            <w:hideMark/>
          </w:tcPr>
          <w:p w14:paraId="753D701F" w14:textId="281F63C1" w:rsidR="00D859F2" w:rsidRPr="00D859F2" w:rsidRDefault="00D40339" w:rsidP="00D859F2">
            <w:pPr>
              <w:suppressAutoHyphens w:val="0"/>
              <w:spacing w:before="80" w:after="80" w:line="200" w:lineRule="exact"/>
              <w:ind w:right="113"/>
              <w:rPr>
                <w:bCs/>
                <w:i/>
                <w:sz w:val="16"/>
                <w:szCs w:val="18"/>
                <w:lang w:eastAsia="en-GB"/>
              </w:rPr>
            </w:pPr>
            <w:r>
              <w:rPr>
                <w:bCs/>
                <w:i/>
                <w:sz w:val="16"/>
                <w:szCs w:val="18"/>
                <w:lang w:eastAsia="en-GB"/>
              </w:rPr>
              <w:t>Data set</w:t>
            </w:r>
          </w:p>
        </w:tc>
        <w:tc>
          <w:tcPr>
            <w:tcW w:w="4817" w:type="dxa"/>
            <w:tcBorders>
              <w:top w:val="single" w:sz="4" w:space="0" w:color="auto"/>
              <w:bottom w:val="single" w:sz="12" w:space="0" w:color="auto"/>
            </w:tcBorders>
            <w:shd w:val="clear" w:color="auto" w:fill="auto"/>
            <w:noWrap/>
            <w:vAlign w:val="bottom"/>
            <w:hideMark/>
          </w:tcPr>
          <w:p w14:paraId="5103590F" w14:textId="57429F34" w:rsidR="00D859F2" w:rsidRPr="00D859F2" w:rsidRDefault="00D859F2" w:rsidP="00D859F2">
            <w:pPr>
              <w:suppressAutoHyphens w:val="0"/>
              <w:spacing w:before="80" w:after="80" w:line="200" w:lineRule="exact"/>
              <w:ind w:right="113"/>
              <w:rPr>
                <w:bCs/>
                <w:i/>
                <w:sz w:val="16"/>
                <w:szCs w:val="18"/>
                <w:lang w:eastAsia="en-GB"/>
              </w:rPr>
            </w:pPr>
            <w:r w:rsidRPr="00D859F2">
              <w:rPr>
                <w:bCs/>
                <w:i/>
                <w:sz w:val="16"/>
                <w:szCs w:val="18"/>
                <w:lang w:eastAsia="en-GB"/>
              </w:rPr>
              <w:t xml:space="preserve">Grounds for collecting, updating and sharing </w:t>
            </w:r>
            <w:r w:rsidR="00D40339">
              <w:rPr>
                <w:bCs/>
                <w:i/>
                <w:sz w:val="16"/>
                <w:szCs w:val="18"/>
                <w:lang w:eastAsia="en-GB"/>
              </w:rPr>
              <w:t>data set</w:t>
            </w:r>
          </w:p>
        </w:tc>
      </w:tr>
      <w:tr w:rsidR="008347D2" w:rsidRPr="00D859F2" w14:paraId="37E4DB0D" w14:textId="77777777" w:rsidTr="00D72F74">
        <w:trPr>
          <w:trHeight w:hRule="exact" w:val="113"/>
          <w:tblHeader/>
        </w:trPr>
        <w:tc>
          <w:tcPr>
            <w:tcW w:w="495" w:type="dxa"/>
            <w:tcBorders>
              <w:top w:val="single" w:sz="12" w:space="0" w:color="auto"/>
              <w:bottom w:val="nil"/>
            </w:tcBorders>
            <w:shd w:val="clear" w:color="auto" w:fill="auto"/>
            <w:vAlign w:val="bottom"/>
          </w:tcPr>
          <w:p w14:paraId="2B8B3CEE" w14:textId="77777777" w:rsidR="008347D2" w:rsidRPr="00D859F2" w:rsidRDefault="008347D2" w:rsidP="00D859F2">
            <w:pPr>
              <w:suppressAutoHyphens w:val="0"/>
              <w:spacing w:before="80" w:after="80" w:line="200" w:lineRule="exact"/>
              <w:ind w:right="113"/>
              <w:rPr>
                <w:bCs/>
                <w:i/>
                <w:sz w:val="16"/>
                <w:szCs w:val="18"/>
                <w:lang w:eastAsia="en-GB"/>
              </w:rPr>
            </w:pPr>
          </w:p>
        </w:tc>
        <w:tc>
          <w:tcPr>
            <w:tcW w:w="3193" w:type="dxa"/>
            <w:tcBorders>
              <w:top w:val="single" w:sz="12" w:space="0" w:color="auto"/>
              <w:bottom w:val="nil"/>
            </w:tcBorders>
            <w:shd w:val="clear" w:color="auto" w:fill="auto"/>
            <w:noWrap/>
            <w:vAlign w:val="bottom"/>
          </w:tcPr>
          <w:p w14:paraId="17AD528D" w14:textId="77777777" w:rsidR="008347D2" w:rsidRPr="00D859F2" w:rsidRDefault="008347D2" w:rsidP="00D859F2">
            <w:pPr>
              <w:suppressAutoHyphens w:val="0"/>
              <w:spacing w:before="80" w:after="80" w:line="200" w:lineRule="exact"/>
              <w:ind w:right="113"/>
              <w:rPr>
                <w:bCs/>
                <w:i/>
                <w:sz w:val="16"/>
                <w:szCs w:val="18"/>
                <w:lang w:eastAsia="en-GB"/>
              </w:rPr>
            </w:pPr>
          </w:p>
        </w:tc>
        <w:tc>
          <w:tcPr>
            <w:tcW w:w="4817" w:type="dxa"/>
            <w:tcBorders>
              <w:top w:val="single" w:sz="12" w:space="0" w:color="auto"/>
              <w:bottom w:val="nil"/>
            </w:tcBorders>
            <w:shd w:val="clear" w:color="auto" w:fill="auto"/>
            <w:noWrap/>
            <w:vAlign w:val="bottom"/>
          </w:tcPr>
          <w:p w14:paraId="6F44A7C3" w14:textId="77777777" w:rsidR="008347D2" w:rsidRPr="00D859F2" w:rsidRDefault="008347D2" w:rsidP="00D859F2">
            <w:pPr>
              <w:suppressAutoHyphens w:val="0"/>
              <w:spacing w:before="80" w:after="80" w:line="200" w:lineRule="exact"/>
              <w:ind w:right="113"/>
              <w:rPr>
                <w:bCs/>
                <w:i/>
                <w:sz w:val="16"/>
                <w:szCs w:val="18"/>
                <w:lang w:eastAsia="en-GB"/>
              </w:rPr>
            </w:pPr>
          </w:p>
        </w:tc>
      </w:tr>
      <w:tr w:rsidR="00D859F2" w:rsidRPr="00D859F2" w14:paraId="50BA449A" w14:textId="77777777" w:rsidTr="00D72F74">
        <w:trPr>
          <w:trHeight w:val="794"/>
        </w:trPr>
        <w:tc>
          <w:tcPr>
            <w:tcW w:w="495" w:type="dxa"/>
            <w:tcBorders>
              <w:top w:val="nil"/>
              <w:bottom w:val="nil"/>
            </w:tcBorders>
            <w:shd w:val="clear" w:color="auto" w:fill="auto"/>
            <w:noWrap/>
            <w:hideMark/>
          </w:tcPr>
          <w:p w14:paraId="61B45B43"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55</w:t>
            </w:r>
          </w:p>
        </w:tc>
        <w:tc>
          <w:tcPr>
            <w:tcW w:w="3193" w:type="dxa"/>
            <w:tcBorders>
              <w:top w:val="nil"/>
              <w:bottom w:val="nil"/>
            </w:tcBorders>
            <w:shd w:val="clear" w:color="auto" w:fill="auto"/>
            <w:hideMark/>
          </w:tcPr>
          <w:p w14:paraId="5F1DF580" w14:textId="77777777" w:rsidR="00D859F2" w:rsidRPr="00D859F2" w:rsidRDefault="00D859F2" w:rsidP="00D859F2">
            <w:pPr>
              <w:suppressAutoHyphens w:val="0"/>
              <w:spacing w:before="40" w:after="120"/>
              <w:ind w:right="113"/>
              <w:rPr>
                <w:szCs w:val="18"/>
                <w:lang w:eastAsia="en-GB"/>
              </w:rPr>
            </w:pPr>
            <w:r w:rsidRPr="00D859F2">
              <w:rPr>
                <w:szCs w:val="18"/>
                <w:lang w:eastAsia="en-GB"/>
              </w:rPr>
              <w:t>Land uptake by mining and quarrying, construction, manufacturing, technical infrastructure, transport and storage infrastructure, residential including recreational, landfills waste dumps tailing pits</w:t>
            </w:r>
          </w:p>
        </w:tc>
        <w:tc>
          <w:tcPr>
            <w:tcW w:w="4817" w:type="dxa"/>
            <w:tcBorders>
              <w:top w:val="nil"/>
              <w:bottom w:val="nil"/>
            </w:tcBorders>
            <w:shd w:val="clear" w:color="auto" w:fill="auto"/>
            <w:hideMark/>
          </w:tcPr>
          <w:p w14:paraId="1B601960" w14:textId="77777777"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Resilience, considerations under the green economy concept</w:t>
            </w:r>
          </w:p>
        </w:tc>
      </w:tr>
      <w:tr w:rsidR="00D859F2" w:rsidRPr="00D859F2" w14:paraId="31BE6C9A" w14:textId="77777777" w:rsidTr="00D72F74">
        <w:trPr>
          <w:trHeight w:val="809"/>
        </w:trPr>
        <w:tc>
          <w:tcPr>
            <w:tcW w:w="495" w:type="dxa"/>
            <w:tcBorders>
              <w:top w:val="nil"/>
            </w:tcBorders>
            <w:shd w:val="clear" w:color="auto" w:fill="auto"/>
            <w:noWrap/>
            <w:hideMark/>
          </w:tcPr>
          <w:p w14:paraId="14E6A1CA"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9</w:t>
            </w:r>
          </w:p>
        </w:tc>
        <w:tc>
          <w:tcPr>
            <w:tcW w:w="3193" w:type="dxa"/>
            <w:tcBorders>
              <w:top w:val="nil"/>
            </w:tcBorders>
            <w:shd w:val="clear" w:color="auto" w:fill="auto"/>
            <w:hideMark/>
          </w:tcPr>
          <w:p w14:paraId="6ED96DB0" w14:textId="77777777" w:rsidR="00D859F2" w:rsidRPr="00D859F2" w:rsidRDefault="00D859F2" w:rsidP="00D859F2">
            <w:pPr>
              <w:suppressAutoHyphens w:val="0"/>
              <w:spacing w:before="40" w:after="120"/>
              <w:ind w:right="113"/>
              <w:rPr>
                <w:szCs w:val="18"/>
                <w:lang w:eastAsia="en-GB"/>
              </w:rPr>
            </w:pPr>
            <w:r w:rsidRPr="00D859F2">
              <w:rPr>
                <w:szCs w:val="18"/>
                <w:lang w:eastAsia="en-GB"/>
              </w:rPr>
              <w:t xml:space="preserve">Emissions of polycyclic aromatic hydrocarbon (PAH) (total, stationary and mobile sources) </w:t>
            </w:r>
          </w:p>
        </w:tc>
        <w:tc>
          <w:tcPr>
            <w:tcW w:w="4817" w:type="dxa"/>
            <w:tcBorders>
              <w:top w:val="nil"/>
            </w:tcBorders>
            <w:shd w:val="clear" w:color="auto" w:fill="auto"/>
            <w:hideMark/>
          </w:tcPr>
          <w:p w14:paraId="2651F8B1" w14:textId="1BFAEC36"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Data c</w:t>
            </w:r>
            <w:r w:rsidR="00D72F74">
              <w:rPr>
                <w:szCs w:val="18"/>
                <w:lang w:eastAsia="en-GB"/>
              </w:rPr>
              <w:t>ollection under the ECE, CLRTAP</w:t>
            </w:r>
            <w:r w:rsidR="00D72F74" w:rsidRPr="00D72F74">
              <w:rPr>
                <w:i/>
                <w:iCs/>
                <w:vertAlign w:val="superscript"/>
                <w:lang w:eastAsia="en-GB"/>
              </w:rPr>
              <w:t>a</w:t>
            </w:r>
            <w:r w:rsidR="005D109B">
              <w:rPr>
                <w:szCs w:val="18"/>
                <w:lang w:eastAsia="en-GB"/>
              </w:rPr>
              <w:t>, Protocol on PRTRs</w:t>
            </w:r>
            <w:r w:rsidR="005D109B" w:rsidRPr="00D72F74">
              <w:rPr>
                <w:i/>
                <w:iCs/>
                <w:vertAlign w:val="superscript"/>
                <w:lang w:eastAsia="en-GB"/>
              </w:rPr>
              <w:t>b</w:t>
            </w:r>
            <w:r w:rsidRPr="00D859F2">
              <w:rPr>
                <w:szCs w:val="18"/>
                <w:lang w:eastAsia="en-GB"/>
              </w:rPr>
              <w:t>, Health and well-being considerations under the green economy concept, Data collection under the Montreal Protocol</w:t>
            </w:r>
          </w:p>
        </w:tc>
      </w:tr>
      <w:tr w:rsidR="00D859F2" w:rsidRPr="00D859F2" w14:paraId="58EC3122" w14:textId="77777777" w:rsidTr="00D72F74">
        <w:trPr>
          <w:trHeight w:val="962"/>
        </w:trPr>
        <w:tc>
          <w:tcPr>
            <w:tcW w:w="495" w:type="dxa"/>
            <w:shd w:val="clear" w:color="auto" w:fill="auto"/>
            <w:noWrap/>
            <w:hideMark/>
          </w:tcPr>
          <w:p w14:paraId="715922AA"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32</w:t>
            </w:r>
          </w:p>
        </w:tc>
        <w:tc>
          <w:tcPr>
            <w:tcW w:w="3193" w:type="dxa"/>
            <w:shd w:val="clear" w:color="auto" w:fill="auto"/>
            <w:hideMark/>
          </w:tcPr>
          <w:p w14:paraId="0393C1FB" w14:textId="77777777" w:rsidR="00D859F2" w:rsidRPr="00D859F2" w:rsidRDefault="00D859F2" w:rsidP="00D859F2">
            <w:pPr>
              <w:suppressAutoHyphens w:val="0"/>
              <w:spacing w:before="40" w:after="120"/>
              <w:ind w:right="113"/>
              <w:rPr>
                <w:szCs w:val="18"/>
                <w:lang w:eastAsia="en-GB"/>
              </w:rPr>
            </w:pPr>
            <w:r w:rsidRPr="00D859F2">
              <w:rPr>
                <w:szCs w:val="18"/>
                <w:lang w:eastAsia="en-GB"/>
              </w:rPr>
              <w:t>Freshwater abstraction by water supply industry, households, agriculture forestry and fishing, manufacturing, electric industry, other economic activities</w:t>
            </w:r>
          </w:p>
        </w:tc>
        <w:tc>
          <w:tcPr>
            <w:tcW w:w="4817" w:type="dxa"/>
            <w:shd w:val="clear" w:color="auto" w:fill="auto"/>
            <w:hideMark/>
          </w:tcPr>
          <w:p w14:paraId="56857527" w14:textId="77777777"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Resilience, efficiency, health and well-being considerations under the green economy concept, Data collection through the UNEP/United Nations Statistics Division questionnaire, Data collection under the ECE Protocol on Water and Health</w:t>
            </w:r>
          </w:p>
        </w:tc>
      </w:tr>
      <w:tr w:rsidR="00D859F2" w:rsidRPr="00D859F2" w14:paraId="2D3AB91B" w14:textId="77777777" w:rsidTr="00D72F74">
        <w:trPr>
          <w:trHeight w:val="600"/>
        </w:trPr>
        <w:tc>
          <w:tcPr>
            <w:tcW w:w="495" w:type="dxa"/>
            <w:shd w:val="clear" w:color="auto" w:fill="auto"/>
            <w:noWrap/>
            <w:hideMark/>
          </w:tcPr>
          <w:p w14:paraId="7825C8A1"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64</w:t>
            </w:r>
          </w:p>
        </w:tc>
        <w:tc>
          <w:tcPr>
            <w:tcW w:w="3193" w:type="dxa"/>
            <w:shd w:val="clear" w:color="auto" w:fill="auto"/>
            <w:hideMark/>
          </w:tcPr>
          <w:p w14:paraId="5C8EBC2D" w14:textId="77777777" w:rsidR="00D859F2" w:rsidRPr="00D859F2" w:rsidRDefault="00D859F2" w:rsidP="00D859F2">
            <w:pPr>
              <w:suppressAutoHyphens w:val="0"/>
              <w:spacing w:before="40" w:after="120"/>
              <w:ind w:right="113"/>
              <w:rPr>
                <w:szCs w:val="18"/>
                <w:lang w:eastAsia="en-GB"/>
              </w:rPr>
            </w:pPr>
            <w:r w:rsidRPr="00D859F2">
              <w:rPr>
                <w:szCs w:val="18"/>
                <w:lang w:eastAsia="en-GB"/>
              </w:rPr>
              <w:t>Hazardous waste exported</w:t>
            </w:r>
          </w:p>
        </w:tc>
        <w:tc>
          <w:tcPr>
            <w:tcW w:w="4817" w:type="dxa"/>
            <w:shd w:val="clear" w:color="auto" w:fill="auto"/>
            <w:hideMark/>
          </w:tcPr>
          <w:p w14:paraId="6AD5F591" w14:textId="6B9139BE"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(chemicals and waste), Global Environmental Goal, Data collection under the Protocol on PRTRs</w:t>
            </w:r>
            <w:r w:rsidR="005D109B" w:rsidRPr="00D72F74">
              <w:rPr>
                <w:i/>
                <w:iCs/>
                <w:vertAlign w:val="superscript"/>
                <w:lang w:eastAsia="en-GB"/>
              </w:rPr>
              <w:t>b</w:t>
            </w:r>
            <w:r w:rsidRPr="00D859F2">
              <w:rPr>
                <w:szCs w:val="18"/>
                <w:lang w:eastAsia="en-GB"/>
              </w:rPr>
              <w:t xml:space="preserve"> and the Basel Convention</w:t>
            </w:r>
            <w:r w:rsidR="005D109B" w:rsidRPr="00D72F74">
              <w:rPr>
                <w:i/>
                <w:iCs/>
                <w:vertAlign w:val="superscript"/>
                <w:lang w:eastAsia="en-GB"/>
              </w:rPr>
              <w:t>c</w:t>
            </w:r>
          </w:p>
        </w:tc>
      </w:tr>
      <w:tr w:rsidR="00D859F2" w:rsidRPr="00D859F2" w14:paraId="44D8B824" w14:textId="77777777" w:rsidTr="00D72F74">
        <w:trPr>
          <w:trHeight w:val="986"/>
        </w:trPr>
        <w:tc>
          <w:tcPr>
            <w:tcW w:w="495" w:type="dxa"/>
            <w:shd w:val="clear" w:color="auto" w:fill="auto"/>
            <w:noWrap/>
            <w:hideMark/>
          </w:tcPr>
          <w:p w14:paraId="40DC1D58"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47</w:t>
            </w:r>
          </w:p>
        </w:tc>
        <w:tc>
          <w:tcPr>
            <w:tcW w:w="3193" w:type="dxa"/>
            <w:shd w:val="clear" w:color="auto" w:fill="auto"/>
            <w:hideMark/>
          </w:tcPr>
          <w:p w14:paraId="575E9F52" w14:textId="77777777" w:rsidR="00D859F2" w:rsidRPr="00D859F2" w:rsidRDefault="00D859F2" w:rsidP="00D859F2">
            <w:pPr>
              <w:suppressAutoHyphens w:val="0"/>
              <w:spacing w:before="40" w:after="120"/>
              <w:ind w:right="113"/>
              <w:rPr>
                <w:szCs w:val="18"/>
                <w:lang w:eastAsia="en-GB"/>
              </w:rPr>
            </w:pPr>
            <w:r w:rsidRPr="00D859F2">
              <w:rPr>
                <w:szCs w:val="18"/>
                <w:lang w:eastAsia="en-GB"/>
              </w:rPr>
              <w:t xml:space="preserve">Wastewater treated in urban wastewater treatment plants (primary, secondary, tertiary) </w:t>
            </w:r>
          </w:p>
        </w:tc>
        <w:tc>
          <w:tcPr>
            <w:tcW w:w="4817" w:type="dxa"/>
            <w:shd w:val="clear" w:color="auto" w:fill="auto"/>
            <w:hideMark/>
          </w:tcPr>
          <w:p w14:paraId="6412EB46" w14:textId="77777777"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Resilience, efficiency, health and well-being considerations under the green economy concept, Data collection through the UNEP/United Nations Statistics Division questionnaire, Data collection under the ECE Protocol on Water and Health</w:t>
            </w:r>
          </w:p>
        </w:tc>
      </w:tr>
      <w:tr w:rsidR="00D859F2" w:rsidRPr="00D859F2" w14:paraId="0F6BE855" w14:textId="77777777" w:rsidTr="00D72F74">
        <w:trPr>
          <w:trHeight w:val="630"/>
        </w:trPr>
        <w:tc>
          <w:tcPr>
            <w:tcW w:w="495" w:type="dxa"/>
            <w:shd w:val="clear" w:color="auto" w:fill="auto"/>
            <w:noWrap/>
            <w:hideMark/>
          </w:tcPr>
          <w:p w14:paraId="491D2381"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63</w:t>
            </w:r>
          </w:p>
        </w:tc>
        <w:tc>
          <w:tcPr>
            <w:tcW w:w="3193" w:type="dxa"/>
            <w:shd w:val="clear" w:color="auto" w:fill="auto"/>
            <w:noWrap/>
            <w:hideMark/>
          </w:tcPr>
          <w:p w14:paraId="7DE7F150" w14:textId="77777777" w:rsidR="00D859F2" w:rsidRPr="00D859F2" w:rsidRDefault="00D859F2" w:rsidP="00D859F2">
            <w:pPr>
              <w:suppressAutoHyphens w:val="0"/>
              <w:spacing w:before="40" w:after="120"/>
              <w:ind w:right="113"/>
              <w:rPr>
                <w:szCs w:val="18"/>
                <w:lang w:eastAsia="en-GB"/>
              </w:rPr>
            </w:pPr>
            <w:r w:rsidRPr="00D859F2">
              <w:rPr>
                <w:szCs w:val="18"/>
                <w:lang w:eastAsia="en-GB"/>
              </w:rPr>
              <w:t xml:space="preserve">Hazardous waste imported </w:t>
            </w:r>
          </w:p>
        </w:tc>
        <w:tc>
          <w:tcPr>
            <w:tcW w:w="4817" w:type="dxa"/>
            <w:shd w:val="clear" w:color="auto" w:fill="auto"/>
            <w:hideMark/>
          </w:tcPr>
          <w:p w14:paraId="46218804" w14:textId="3D612BD4"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(chemicals and waste), Global Environmental Goal, Data collection under the Basel Convention</w:t>
            </w:r>
            <w:r w:rsidR="005D109B" w:rsidRPr="00D72F74">
              <w:rPr>
                <w:i/>
                <w:iCs/>
                <w:vertAlign w:val="superscript"/>
                <w:lang w:eastAsia="en-GB"/>
              </w:rPr>
              <w:t>c</w:t>
            </w:r>
          </w:p>
        </w:tc>
      </w:tr>
      <w:tr w:rsidR="00D859F2" w:rsidRPr="00D859F2" w14:paraId="34CFE622" w14:textId="77777777" w:rsidTr="00D72F74">
        <w:trPr>
          <w:trHeight w:val="868"/>
        </w:trPr>
        <w:tc>
          <w:tcPr>
            <w:tcW w:w="495" w:type="dxa"/>
            <w:tcBorders>
              <w:bottom w:val="nil"/>
            </w:tcBorders>
            <w:shd w:val="clear" w:color="auto" w:fill="auto"/>
            <w:noWrap/>
            <w:hideMark/>
          </w:tcPr>
          <w:p w14:paraId="39BCC76A"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25</w:t>
            </w:r>
          </w:p>
        </w:tc>
        <w:tc>
          <w:tcPr>
            <w:tcW w:w="3193" w:type="dxa"/>
            <w:tcBorders>
              <w:bottom w:val="nil"/>
            </w:tcBorders>
            <w:shd w:val="clear" w:color="auto" w:fill="auto"/>
            <w:hideMark/>
          </w:tcPr>
          <w:p w14:paraId="1A3B12BD" w14:textId="77777777" w:rsidR="00D859F2" w:rsidRPr="00D859F2" w:rsidRDefault="00D859F2" w:rsidP="00D859F2">
            <w:pPr>
              <w:suppressAutoHyphens w:val="0"/>
              <w:spacing w:before="40" w:after="120"/>
              <w:ind w:right="113"/>
              <w:rPr>
                <w:szCs w:val="18"/>
                <w:lang w:eastAsia="en-GB"/>
              </w:rPr>
            </w:pPr>
            <w:r w:rsidRPr="00D859F2">
              <w:rPr>
                <w:szCs w:val="18"/>
                <w:lang w:eastAsia="en-GB"/>
              </w:rPr>
              <w:t>Total ODP of methyl bromide</w:t>
            </w:r>
          </w:p>
        </w:tc>
        <w:tc>
          <w:tcPr>
            <w:tcW w:w="4817" w:type="dxa"/>
            <w:tcBorders>
              <w:bottom w:val="nil"/>
            </w:tcBorders>
            <w:shd w:val="clear" w:color="auto" w:fill="auto"/>
            <w:hideMark/>
          </w:tcPr>
          <w:p w14:paraId="674A9F58" w14:textId="6E44A0E2"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Data c</w:t>
            </w:r>
            <w:r w:rsidR="00D72F74">
              <w:rPr>
                <w:szCs w:val="18"/>
                <w:lang w:eastAsia="en-GB"/>
              </w:rPr>
              <w:t>ollection under the ECE, CLRTAP</w:t>
            </w:r>
            <w:r w:rsidR="00D72F74" w:rsidRPr="00D72F74">
              <w:rPr>
                <w:i/>
                <w:iCs/>
                <w:vertAlign w:val="superscript"/>
                <w:lang w:eastAsia="en-GB"/>
              </w:rPr>
              <w:t>a</w:t>
            </w:r>
            <w:r w:rsidRPr="00D859F2">
              <w:rPr>
                <w:szCs w:val="18"/>
                <w:lang w:eastAsia="en-GB"/>
              </w:rPr>
              <w:t xml:space="preserve">, Health and well-being considerations under the green economy concept, Data collection under the </w:t>
            </w:r>
            <w:r w:rsidR="005D109B" w:rsidRPr="00D72F74">
              <w:rPr>
                <w:lang w:eastAsia="en-GB"/>
              </w:rPr>
              <w:t>Montreal Protocol</w:t>
            </w:r>
            <w:r w:rsidR="005D109B" w:rsidRPr="00D72F74">
              <w:rPr>
                <w:i/>
                <w:iCs/>
                <w:vertAlign w:val="superscript"/>
                <w:lang w:eastAsia="en-GB"/>
              </w:rPr>
              <w:t>d</w:t>
            </w:r>
            <w:r w:rsidR="005D109B" w:rsidRPr="00D72F74">
              <w:rPr>
                <w:lang w:eastAsia="en-GB"/>
              </w:rPr>
              <w:t xml:space="preserve"> (a protocol to the Vienna Convention</w:t>
            </w:r>
            <w:r w:rsidR="005D109B" w:rsidRPr="00D72F74">
              <w:rPr>
                <w:i/>
                <w:iCs/>
                <w:vertAlign w:val="superscript"/>
                <w:lang w:eastAsia="en-GB"/>
              </w:rPr>
              <w:t>e</w:t>
            </w:r>
            <w:r w:rsidR="005D109B" w:rsidRPr="00D72F74">
              <w:rPr>
                <w:lang w:eastAsia="en-GB"/>
              </w:rPr>
              <w:t>)</w:t>
            </w:r>
            <w:r w:rsidR="005D109B">
              <w:rPr>
                <w:lang w:eastAsia="en-GB"/>
              </w:rPr>
              <w:t>.</w:t>
            </w:r>
          </w:p>
        </w:tc>
      </w:tr>
      <w:tr w:rsidR="00D859F2" w:rsidRPr="00D859F2" w14:paraId="031E276B" w14:textId="77777777" w:rsidTr="00D72F74">
        <w:trPr>
          <w:trHeight w:val="540"/>
        </w:trPr>
        <w:tc>
          <w:tcPr>
            <w:tcW w:w="495" w:type="dxa"/>
            <w:tcBorders>
              <w:top w:val="nil"/>
              <w:bottom w:val="nil"/>
            </w:tcBorders>
            <w:shd w:val="clear" w:color="auto" w:fill="auto"/>
            <w:noWrap/>
            <w:hideMark/>
          </w:tcPr>
          <w:p w14:paraId="26BC8729"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67</w:t>
            </w:r>
          </w:p>
        </w:tc>
        <w:tc>
          <w:tcPr>
            <w:tcW w:w="3193" w:type="dxa"/>
            <w:tcBorders>
              <w:top w:val="nil"/>
              <w:bottom w:val="nil"/>
            </w:tcBorders>
            <w:shd w:val="clear" w:color="auto" w:fill="auto"/>
            <w:noWrap/>
            <w:hideMark/>
          </w:tcPr>
          <w:p w14:paraId="2999FD72" w14:textId="77777777" w:rsidR="00D859F2" w:rsidRPr="00D859F2" w:rsidRDefault="00D859F2" w:rsidP="00D859F2">
            <w:pPr>
              <w:suppressAutoHyphens w:val="0"/>
              <w:spacing w:before="40" w:after="120"/>
              <w:ind w:right="113"/>
              <w:rPr>
                <w:szCs w:val="18"/>
                <w:lang w:eastAsia="en-GB"/>
              </w:rPr>
            </w:pPr>
            <w:r w:rsidRPr="00D859F2">
              <w:rPr>
                <w:szCs w:val="18"/>
                <w:lang w:eastAsia="en-GB"/>
              </w:rPr>
              <w:t xml:space="preserve">Stock of hazardous waste </w:t>
            </w:r>
          </w:p>
        </w:tc>
        <w:tc>
          <w:tcPr>
            <w:tcW w:w="4817" w:type="dxa"/>
            <w:tcBorders>
              <w:top w:val="nil"/>
              <w:bottom w:val="nil"/>
            </w:tcBorders>
            <w:shd w:val="clear" w:color="auto" w:fill="auto"/>
            <w:hideMark/>
          </w:tcPr>
          <w:p w14:paraId="139CD82E" w14:textId="53DB3CF4"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(chemicals and waste), Global Environmental Goal, Data collection under the Basel Convention</w:t>
            </w:r>
            <w:r w:rsidR="005D109B" w:rsidRPr="00D72F74">
              <w:rPr>
                <w:i/>
                <w:iCs/>
                <w:vertAlign w:val="superscript"/>
                <w:lang w:eastAsia="en-GB"/>
              </w:rPr>
              <w:t>c</w:t>
            </w:r>
          </w:p>
        </w:tc>
      </w:tr>
      <w:tr w:rsidR="00D859F2" w:rsidRPr="00D859F2" w14:paraId="6C9A1A92" w14:textId="77777777" w:rsidTr="00D72F74">
        <w:trPr>
          <w:trHeight w:val="889"/>
        </w:trPr>
        <w:tc>
          <w:tcPr>
            <w:tcW w:w="495" w:type="dxa"/>
            <w:tcBorders>
              <w:top w:val="nil"/>
              <w:bottom w:val="nil"/>
            </w:tcBorders>
            <w:shd w:val="clear" w:color="auto" w:fill="auto"/>
            <w:noWrap/>
            <w:hideMark/>
          </w:tcPr>
          <w:p w14:paraId="36DAEB05"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49</w:t>
            </w:r>
          </w:p>
        </w:tc>
        <w:tc>
          <w:tcPr>
            <w:tcW w:w="3193" w:type="dxa"/>
            <w:tcBorders>
              <w:top w:val="nil"/>
              <w:bottom w:val="nil"/>
            </w:tcBorders>
            <w:shd w:val="clear" w:color="auto" w:fill="auto"/>
            <w:hideMark/>
          </w:tcPr>
          <w:p w14:paraId="0776ECAC" w14:textId="77777777" w:rsidR="00D859F2" w:rsidRPr="00D859F2" w:rsidRDefault="00D859F2" w:rsidP="00D859F2">
            <w:pPr>
              <w:suppressAutoHyphens w:val="0"/>
              <w:spacing w:before="40" w:after="120"/>
              <w:ind w:right="113"/>
              <w:rPr>
                <w:szCs w:val="18"/>
                <w:lang w:eastAsia="en-GB"/>
              </w:rPr>
            </w:pPr>
            <w:r w:rsidRPr="00D859F2">
              <w:rPr>
                <w:szCs w:val="18"/>
                <w:lang w:eastAsia="en-GB"/>
              </w:rPr>
              <w:t xml:space="preserve">Non-treated/not adequately treated wastewater </w:t>
            </w:r>
          </w:p>
        </w:tc>
        <w:tc>
          <w:tcPr>
            <w:tcW w:w="4817" w:type="dxa"/>
            <w:tcBorders>
              <w:top w:val="nil"/>
              <w:bottom w:val="nil"/>
            </w:tcBorders>
            <w:shd w:val="clear" w:color="auto" w:fill="auto"/>
            <w:hideMark/>
          </w:tcPr>
          <w:p w14:paraId="78624265" w14:textId="77777777"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Resilience, efficiency, health and well-being considerations under the green economy concept, Data collection through the UNEP/United Nations Statistics Division questionnaire, Data collection under the ECE Protocol on Water and Health</w:t>
            </w:r>
          </w:p>
        </w:tc>
      </w:tr>
      <w:tr w:rsidR="00D859F2" w:rsidRPr="00D859F2" w14:paraId="73B53DF9" w14:textId="77777777" w:rsidTr="00D72F74">
        <w:trPr>
          <w:trHeight w:val="1035"/>
        </w:trPr>
        <w:tc>
          <w:tcPr>
            <w:tcW w:w="495" w:type="dxa"/>
            <w:tcBorders>
              <w:top w:val="nil"/>
              <w:bottom w:val="nil"/>
            </w:tcBorders>
            <w:shd w:val="clear" w:color="auto" w:fill="auto"/>
            <w:noWrap/>
            <w:hideMark/>
          </w:tcPr>
          <w:p w14:paraId="6EFA32DF"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36</w:t>
            </w:r>
          </w:p>
        </w:tc>
        <w:tc>
          <w:tcPr>
            <w:tcW w:w="3193" w:type="dxa"/>
            <w:tcBorders>
              <w:top w:val="nil"/>
              <w:bottom w:val="nil"/>
            </w:tcBorders>
            <w:shd w:val="clear" w:color="auto" w:fill="auto"/>
            <w:noWrap/>
            <w:hideMark/>
          </w:tcPr>
          <w:p w14:paraId="0F7E7B24" w14:textId="77777777" w:rsidR="00D859F2" w:rsidRPr="00D859F2" w:rsidRDefault="00D859F2" w:rsidP="00D859F2">
            <w:pPr>
              <w:suppressAutoHyphens w:val="0"/>
              <w:spacing w:before="40" w:after="120"/>
              <w:ind w:right="113"/>
              <w:rPr>
                <w:szCs w:val="18"/>
                <w:lang w:eastAsia="en-GB"/>
              </w:rPr>
            </w:pPr>
            <w:r w:rsidRPr="00D859F2">
              <w:rPr>
                <w:szCs w:val="18"/>
                <w:lang w:eastAsia="en-GB"/>
              </w:rPr>
              <w:t xml:space="preserve">Losses of water during transport </w:t>
            </w:r>
          </w:p>
        </w:tc>
        <w:tc>
          <w:tcPr>
            <w:tcW w:w="4817" w:type="dxa"/>
            <w:tcBorders>
              <w:top w:val="nil"/>
              <w:bottom w:val="nil"/>
            </w:tcBorders>
            <w:shd w:val="clear" w:color="auto" w:fill="auto"/>
            <w:hideMark/>
          </w:tcPr>
          <w:p w14:paraId="0246DDBD" w14:textId="77777777"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Resilience, efficiency, health and well-being considerations under the green economy concept, Data collection through the UNEP/United Nations Statistics Division questionnaire, Data collection under the ECE Protocol on Water and Health</w:t>
            </w:r>
          </w:p>
        </w:tc>
      </w:tr>
      <w:tr w:rsidR="00D859F2" w:rsidRPr="00D859F2" w14:paraId="18A15435" w14:textId="77777777" w:rsidTr="00D72F74">
        <w:trPr>
          <w:trHeight w:val="776"/>
        </w:trPr>
        <w:tc>
          <w:tcPr>
            <w:tcW w:w="495" w:type="dxa"/>
            <w:tcBorders>
              <w:top w:val="nil"/>
            </w:tcBorders>
            <w:shd w:val="clear" w:color="auto" w:fill="auto"/>
            <w:noWrap/>
            <w:hideMark/>
          </w:tcPr>
          <w:p w14:paraId="0B178102"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11</w:t>
            </w:r>
          </w:p>
        </w:tc>
        <w:tc>
          <w:tcPr>
            <w:tcW w:w="3193" w:type="dxa"/>
            <w:tcBorders>
              <w:top w:val="nil"/>
            </w:tcBorders>
            <w:shd w:val="clear" w:color="auto" w:fill="auto"/>
            <w:hideMark/>
          </w:tcPr>
          <w:p w14:paraId="1FBCE466" w14:textId="77777777" w:rsidR="00D859F2" w:rsidRPr="00D859F2" w:rsidRDefault="00D859F2" w:rsidP="00D859F2">
            <w:pPr>
              <w:suppressAutoHyphens w:val="0"/>
              <w:spacing w:before="40" w:after="120"/>
              <w:ind w:right="113"/>
              <w:rPr>
                <w:szCs w:val="18"/>
                <w:lang w:eastAsia="en-GB"/>
              </w:rPr>
            </w:pPr>
            <w:r w:rsidRPr="00D859F2">
              <w:rPr>
                <w:szCs w:val="18"/>
                <w:lang w:eastAsia="en-GB"/>
              </w:rPr>
              <w:t>Emissions of polychlorinated dibenzo-p-dioxin and polychlorinated dibenzofuran (PCDD/F) (total, stationary and mobile sources)</w:t>
            </w:r>
          </w:p>
        </w:tc>
        <w:tc>
          <w:tcPr>
            <w:tcW w:w="4817" w:type="dxa"/>
            <w:tcBorders>
              <w:top w:val="nil"/>
            </w:tcBorders>
            <w:shd w:val="clear" w:color="auto" w:fill="auto"/>
            <w:hideMark/>
          </w:tcPr>
          <w:p w14:paraId="2C92D926" w14:textId="1CEF411A"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Data c</w:t>
            </w:r>
            <w:r w:rsidR="00D72F74">
              <w:rPr>
                <w:szCs w:val="18"/>
                <w:lang w:eastAsia="en-GB"/>
              </w:rPr>
              <w:t>ollection under the ECE, CLRTAP</w:t>
            </w:r>
            <w:r w:rsidR="00D72F74" w:rsidRPr="00D72F74">
              <w:rPr>
                <w:i/>
                <w:iCs/>
                <w:vertAlign w:val="superscript"/>
                <w:lang w:eastAsia="en-GB"/>
              </w:rPr>
              <w:t>a</w:t>
            </w:r>
            <w:r w:rsidRPr="00D859F2">
              <w:rPr>
                <w:szCs w:val="18"/>
                <w:lang w:eastAsia="en-GB"/>
              </w:rPr>
              <w:t>, Protocol on PRTRs</w:t>
            </w:r>
            <w:r w:rsidR="005D109B" w:rsidRPr="00D72F74">
              <w:rPr>
                <w:i/>
                <w:iCs/>
                <w:vertAlign w:val="superscript"/>
                <w:lang w:eastAsia="en-GB"/>
              </w:rPr>
              <w:t>b</w:t>
            </w:r>
            <w:r w:rsidRPr="00D859F2">
              <w:rPr>
                <w:szCs w:val="18"/>
                <w:lang w:eastAsia="en-GB"/>
              </w:rPr>
              <w:t xml:space="preserve">, Health and well-being considerations under the green economy concept, Data collection under the </w:t>
            </w:r>
            <w:r w:rsidR="005D109B" w:rsidRPr="00D72F74">
              <w:rPr>
                <w:lang w:eastAsia="en-GB"/>
              </w:rPr>
              <w:t>Montreal Protocol</w:t>
            </w:r>
            <w:r w:rsidR="005D109B" w:rsidRPr="00D72F74">
              <w:rPr>
                <w:i/>
                <w:iCs/>
                <w:vertAlign w:val="superscript"/>
                <w:lang w:eastAsia="en-GB"/>
              </w:rPr>
              <w:t>d</w:t>
            </w:r>
            <w:r w:rsidR="005D109B" w:rsidRPr="00D72F74">
              <w:rPr>
                <w:lang w:eastAsia="en-GB"/>
              </w:rPr>
              <w:t xml:space="preserve"> (a protocol to the Vienna Convention</w:t>
            </w:r>
            <w:r w:rsidR="005D109B" w:rsidRPr="00D72F74">
              <w:rPr>
                <w:i/>
                <w:iCs/>
                <w:vertAlign w:val="superscript"/>
                <w:lang w:eastAsia="en-GB"/>
              </w:rPr>
              <w:t>e</w:t>
            </w:r>
            <w:r w:rsidR="005D109B" w:rsidRPr="00D72F74">
              <w:rPr>
                <w:lang w:eastAsia="en-GB"/>
              </w:rPr>
              <w:t>)</w:t>
            </w:r>
            <w:r w:rsidR="005D109B">
              <w:rPr>
                <w:lang w:eastAsia="en-GB"/>
              </w:rPr>
              <w:t>.</w:t>
            </w:r>
          </w:p>
        </w:tc>
      </w:tr>
      <w:tr w:rsidR="00D859F2" w:rsidRPr="00D859F2" w14:paraId="3CCAFF8A" w14:textId="77777777" w:rsidTr="00D72F74">
        <w:trPr>
          <w:trHeight w:val="930"/>
        </w:trPr>
        <w:tc>
          <w:tcPr>
            <w:tcW w:w="495" w:type="dxa"/>
            <w:shd w:val="clear" w:color="auto" w:fill="auto"/>
            <w:noWrap/>
            <w:hideMark/>
          </w:tcPr>
          <w:p w14:paraId="00284116"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20</w:t>
            </w:r>
          </w:p>
        </w:tc>
        <w:tc>
          <w:tcPr>
            <w:tcW w:w="3193" w:type="dxa"/>
            <w:shd w:val="clear" w:color="auto" w:fill="auto"/>
            <w:noWrap/>
            <w:hideMark/>
          </w:tcPr>
          <w:p w14:paraId="23559594" w14:textId="77777777" w:rsidR="00D859F2" w:rsidRPr="00D859F2" w:rsidRDefault="00D859F2" w:rsidP="00D859F2">
            <w:pPr>
              <w:suppressAutoHyphens w:val="0"/>
              <w:spacing w:before="40" w:after="120"/>
              <w:ind w:right="113"/>
              <w:rPr>
                <w:szCs w:val="18"/>
                <w:lang w:eastAsia="en-GB"/>
              </w:rPr>
            </w:pPr>
            <w:r w:rsidRPr="00D859F2">
              <w:rPr>
                <w:szCs w:val="18"/>
                <w:lang w:eastAsia="en-GB"/>
              </w:rPr>
              <w:t>Total ODP of Halons</w:t>
            </w:r>
          </w:p>
        </w:tc>
        <w:tc>
          <w:tcPr>
            <w:tcW w:w="4817" w:type="dxa"/>
            <w:shd w:val="clear" w:color="auto" w:fill="auto"/>
            <w:hideMark/>
          </w:tcPr>
          <w:p w14:paraId="2558052B" w14:textId="43AC4D3B"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Data c</w:t>
            </w:r>
            <w:r w:rsidR="00D72F74">
              <w:rPr>
                <w:szCs w:val="18"/>
                <w:lang w:eastAsia="en-GB"/>
              </w:rPr>
              <w:t>ollection under the ECE, CLRTAP</w:t>
            </w:r>
            <w:r w:rsidR="00D72F74" w:rsidRPr="00D72F74">
              <w:rPr>
                <w:i/>
                <w:iCs/>
                <w:vertAlign w:val="superscript"/>
                <w:lang w:eastAsia="en-GB"/>
              </w:rPr>
              <w:t>a</w:t>
            </w:r>
            <w:r w:rsidRPr="00D859F2">
              <w:rPr>
                <w:szCs w:val="18"/>
                <w:lang w:eastAsia="en-GB"/>
              </w:rPr>
              <w:t xml:space="preserve">, Health and well-being considerations under the green economy concept, Data collection under the </w:t>
            </w:r>
            <w:r w:rsidR="005D109B" w:rsidRPr="00D72F74">
              <w:rPr>
                <w:lang w:eastAsia="en-GB"/>
              </w:rPr>
              <w:t>Montreal Protocol</w:t>
            </w:r>
            <w:r w:rsidR="005D109B" w:rsidRPr="00D72F74">
              <w:rPr>
                <w:i/>
                <w:iCs/>
                <w:vertAlign w:val="superscript"/>
                <w:lang w:eastAsia="en-GB"/>
              </w:rPr>
              <w:t>d</w:t>
            </w:r>
            <w:r w:rsidR="005D109B" w:rsidRPr="00D72F74">
              <w:rPr>
                <w:lang w:eastAsia="en-GB"/>
              </w:rPr>
              <w:t xml:space="preserve"> (a protocol to the Vienna Convention</w:t>
            </w:r>
            <w:r w:rsidR="005D109B" w:rsidRPr="00D72F74">
              <w:rPr>
                <w:i/>
                <w:iCs/>
                <w:vertAlign w:val="superscript"/>
                <w:lang w:eastAsia="en-GB"/>
              </w:rPr>
              <w:t>e</w:t>
            </w:r>
            <w:r w:rsidR="005D109B" w:rsidRPr="00D72F74">
              <w:rPr>
                <w:lang w:eastAsia="en-GB"/>
              </w:rPr>
              <w:t>)</w:t>
            </w:r>
            <w:r w:rsidR="005D109B">
              <w:rPr>
                <w:lang w:eastAsia="en-GB"/>
              </w:rPr>
              <w:t>.</w:t>
            </w:r>
          </w:p>
        </w:tc>
      </w:tr>
      <w:tr w:rsidR="00D859F2" w:rsidRPr="00D859F2" w14:paraId="55D5489A" w14:textId="77777777" w:rsidTr="00D72F74">
        <w:trPr>
          <w:trHeight w:val="746"/>
        </w:trPr>
        <w:tc>
          <w:tcPr>
            <w:tcW w:w="495" w:type="dxa"/>
            <w:shd w:val="clear" w:color="auto" w:fill="auto"/>
            <w:noWrap/>
            <w:hideMark/>
          </w:tcPr>
          <w:p w14:paraId="52BA1E75"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10</w:t>
            </w:r>
          </w:p>
        </w:tc>
        <w:tc>
          <w:tcPr>
            <w:tcW w:w="3193" w:type="dxa"/>
            <w:shd w:val="clear" w:color="auto" w:fill="auto"/>
            <w:hideMark/>
          </w:tcPr>
          <w:p w14:paraId="492F59BA" w14:textId="77777777" w:rsidR="00D859F2" w:rsidRPr="00D859F2" w:rsidRDefault="00D859F2" w:rsidP="00D859F2">
            <w:pPr>
              <w:suppressAutoHyphens w:val="0"/>
              <w:spacing w:before="40" w:after="120"/>
              <w:ind w:right="113"/>
              <w:rPr>
                <w:szCs w:val="18"/>
                <w:lang w:eastAsia="en-GB"/>
              </w:rPr>
            </w:pPr>
            <w:r w:rsidRPr="00D859F2">
              <w:rPr>
                <w:szCs w:val="18"/>
                <w:lang w:eastAsia="en-GB"/>
              </w:rPr>
              <w:t xml:space="preserve">Emissions of polychlorinated biphenyl (PCB) (total, stationary and mobile sources) </w:t>
            </w:r>
          </w:p>
        </w:tc>
        <w:tc>
          <w:tcPr>
            <w:tcW w:w="4817" w:type="dxa"/>
            <w:shd w:val="clear" w:color="auto" w:fill="auto"/>
            <w:hideMark/>
          </w:tcPr>
          <w:p w14:paraId="38920BA3" w14:textId="730CE05C"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Data c</w:t>
            </w:r>
            <w:r w:rsidR="00D72F74">
              <w:rPr>
                <w:szCs w:val="18"/>
                <w:lang w:eastAsia="en-GB"/>
              </w:rPr>
              <w:t>ollection under the ECE, CLRTAP</w:t>
            </w:r>
            <w:r w:rsidR="00D72F74" w:rsidRPr="00D72F74">
              <w:rPr>
                <w:i/>
                <w:iCs/>
                <w:vertAlign w:val="superscript"/>
                <w:lang w:eastAsia="en-GB"/>
              </w:rPr>
              <w:t>a</w:t>
            </w:r>
            <w:r w:rsidRPr="00D859F2">
              <w:rPr>
                <w:szCs w:val="18"/>
                <w:lang w:eastAsia="en-GB"/>
              </w:rPr>
              <w:t xml:space="preserve">, Health and well-being considerations under the green economy concept, Data collection under the </w:t>
            </w:r>
            <w:r w:rsidR="005D109B" w:rsidRPr="00D72F74">
              <w:rPr>
                <w:lang w:eastAsia="en-GB"/>
              </w:rPr>
              <w:t>Montreal Protocol</w:t>
            </w:r>
            <w:r w:rsidR="005D109B" w:rsidRPr="00D72F74">
              <w:rPr>
                <w:i/>
                <w:iCs/>
                <w:vertAlign w:val="superscript"/>
                <w:lang w:eastAsia="en-GB"/>
              </w:rPr>
              <w:t>d</w:t>
            </w:r>
            <w:r w:rsidR="005D109B" w:rsidRPr="00D72F74">
              <w:rPr>
                <w:lang w:eastAsia="en-GB"/>
              </w:rPr>
              <w:t xml:space="preserve"> (a protocol to the Vienna Convention</w:t>
            </w:r>
            <w:r w:rsidR="005D109B" w:rsidRPr="00D72F74">
              <w:rPr>
                <w:i/>
                <w:iCs/>
                <w:vertAlign w:val="superscript"/>
                <w:lang w:eastAsia="en-GB"/>
              </w:rPr>
              <w:t>e</w:t>
            </w:r>
            <w:r w:rsidR="005D109B" w:rsidRPr="00D72F74">
              <w:rPr>
                <w:lang w:eastAsia="en-GB"/>
              </w:rPr>
              <w:t>)</w:t>
            </w:r>
            <w:r w:rsidR="005D109B">
              <w:rPr>
                <w:lang w:eastAsia="en-GB"/>
              </w:rPr>
              <w:t>.</w:t>
            </w:r>
          </w:p>
        </w:tc>
      </w:tr>
      <w:tr w:rsidR="00D859F2" w:rsidRPr="00D859F2" w14:paraId="7CC19C8A" w14:textId="77777777" w:rsidTr="00D72F74">
        <w:trPr>
          <w:trHeight w:val="900"/>
        </w:trPr>
        <w:tc>
          <w:tcPr>
            <w:tcW w:w="495" w:type="dxa"/>
            <w:shd w:val="clear" w:color="auto" w:fill="auto"/>
            <w:noWrap/>
            <w:hideMark/>
          </w:tcPr>
          <w:p w14:paraId="724F145C"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23</w:t>
            </w:r>
          </w:p>
        </w:tc>
        <w:tc>
          <w:tcPr>
            <w:tcW w:w="3193" w:type="dxa"/>
            <w:shd w:val="clear" w:color="auto" w:fill="auto"/>
            <w:noWrap/>
            <w:hideMark/>
          </w:tcPr>
          <w:p w14:paraId="5ECCF426" w14:textId="77777777" w:rsidR="00D859F2" w:rsidRPr="00D859F2" w:rsidRDefault="00D859F2" w:rsidP="00D859F2">
            <w:pPr>
              <w:suppressAutoHyphens w:val="0"/>
              <w:spacing w:before="40" w:after="120"/>
              <w:ind w:right="113"/>
              <w:rPr>
                <w:szCs w:val="18"/>
                <w:lang w:eastAsia="en-GB"/>
              </w:rPr>
            </w:pPr>
            <w:r w:rsidRPr="00D859F2">
              <w:rPr>
                <w:szCs w:val="18"/>
                <w:lang w:eastAsia="en-GB"/>
              </w:rPr>
              <w:t xml:space="preserve">Total ODP of 1,1,1-trichloroethane </w:t>
            </w:r>
          </w:p>
        </w:tc>
        <w:tc>
          <w:tcPr>
            <w:tcW w:w="4817" w:type="dxa"/>
            <w:shd w:val="clear" w:color="auto" w:fill="auto"/>
            <w:hideMark/>
          </w:tcPr>
          <w:p w14:paraId="77BF30D7" w14:textId="6243471D"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Data c</w:t>
            </w:r>
            <w:r w:rsidR="00D72F74">
              <w:rPr>
                <w:szCs w:val="18"/>
                <w:lang w:eastAsia="en-GB"/>
              </w:rPr>
              <w:t>ollection under the ECE, CLRTAP</w:t>
            </w:r>
            <w:r w:rsidR="00D72F74" w:rsidRPr="00D72F74">
              <w:rPr>
                <w:i/>
                <w:iCs/>
                <w:vertAlign w:val="superscript"/>
                <w:lang w:eastAsia="en-GB"/>
              </w:rPr>
              <w:t>a</w:t>
            </w:r>
            <w:r w:rsidRPr="00D859F2">
              <w:rPr>
                <w:szCs w:val="18"/>
                <w:lang w:eastAsia="en-GB"/>
              </w:rPr>
              <w:t xml:space="preserve">, Health and well-being considerations under the green economy concept, Data collection under the </w:t>
            </w:r>
            <w:r w:rsidR="005D109B" w:rsidRPr="00D72F74">
              <w:rPr>
                <w:lang w:eastAsia="en-GB"/>
              </w:rPr>
              <w:t>Montreal Protocol</w:t>
            </w:r>
            <w:r w:rsidR="005D109B" w:rsidRPr="00D72F74">
              <w:rPr>
                <w:i/>
                <w:iCs/>
                <w:vertAlign w:val="superscript"/>
                <w:lang w:eastAsia="en-GB"/>
              </w:rPr>
              <w:t>d</w:t>
            </w:r>
            <w:r w:rsidR="005D109B" w:rsidRPr="00D72F74">
              <w:rPr>
                <w:lang w:eastAsia="en-GB"/>
              </w:rPr>
              <w:t xml:space="preserve"> (a protocol to the Vienna Convention</w:t>
            </w:r>
            <w:r w:rsidR="005D109B" w:rsidRPr="00D72F74">
              <w:rPr>
                <w:i/>
                <w:iCs/>
                <w:vertAlign w:val="superscript"/>
                <w:lang w:eastAsia="en-GB"/>
              </w:rPr>
              <w:t>e</w:t>
            </w:r>
            <w:r w:rsidR="005D109B" w:rsidRPr="00D72F74">
              <w:rPr>
                <w:lang w:eastAsia="en-GB"/>
              </w:rPr>
              <w:t>)</w:t>
            </w:r>
            <w:r w:rsidR="005D109B">
              <w:rPr>
                <w:lang w:eastAsia="en-GB"/>
              </w:rPr>
              <w:t>.</w:t>
            </w:r>
          </w:p>
        </w:tc>
      </w:tr>
      <w:tr w:rsidR="00D859F2" w:rsidRPr="00D859F2" w14:paraId="62C1758E" w14:textId="77777777" w:rsidTr="00D72F74">
        <w:trPr>
          <w:trHeight w:val="830"/>
        </w:trPr>
        <w:tc>
          <w:tcPr>
            <w:tcW w:w="495" w:type="dxa"/>
            <w:tcBorders>
              <w:bottom w:val="nil"/>
            </w:tcBorders>
            <w:shd w:val="clear" w:color="auto" w:fill="auto"/>
            <w:noWrap/>
            <w:hideMark/>
          </w:tcPr>
          <w:p w14:paraId="2A9F64D4"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22</w:t>
            </w:r>
          </w:p>
        </w:tc>
        <w:tc>
          <w:tcPr>
            <w:tcW w:w="3193" w:type="dxa"/>
            <w:tcBorders>
              <w:bottom w:val="nil"/>
            </w:tcBorders>
            <w:shd w:val="clear" w:color="auto" w:fill="auto"/>
            <w:hideMark/>
          </w:tcPr>
          <w:p w14:paraId="3FEBD4E2" w14:textId="77777777" w:rsidR="00D859F2" w:rsidRPr="00D859F2" w:rsidRDefault="00D859F2" w:rsidP="00D859F2">
            <w:pPr>
              <w:suppressAutoHyphens w:val="0"/>
              <w:spacing w:before="40" w:after="120"/>
              <w:ind w:right="113"/>
              <w:rPr>
                <w:szCs w:val="18"/>
                <w:lang w:eastAsia="en-GB"/>
              </w:rPr>
            </w:pPr>
            <w:r w:rsidRPr="00D859F2">
              <w:rPr>
                <w:szCs w:val="18"/>
                <w:lang w:eastAsia="en-GB"/>
              </w:rPr>
              <w:t xml:space="preserve">Total ODP of carbon tetrachloride </w:t>
            </w:r>
          </w:p>
        </w:tc>
        <w:tc>
          <w:tcPr>
            <w:tcW w:w="4817" w:type="dxa"/>
            <w:tcBorders>
              <w:bottom w:val="nil"/>
            </w:tcBorders>
            <w:shd w:val="clear" w:color="auto" w:fill="auto"/>
            <w:hideMark/>
          </w:tcPr>
          <w:p w14:paraId="5552C0F6" w14:textId="4CBB92BD"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Data c</w:t>
            </w:r>
            <w:r w:rsidR="00D72F74">
              <w:rPr>
                <w:szCs w:val="18"/>
                <w:lang w:eastAsia="en-GB"/>
              </w:rPr>
              <w:t>ollection under the ECE, CLRTAP</w:t>
            </w:r>
            <w:r w:rsidR="00D72F74" w:rsidRPr="00D72F74">
              <w:rPr>
                <w:i/>
                <w:iCs/>
                <w:vertAlign w:val="superscript"/>
                <w:lang w:eastAsia="en-GB"/>
              </w:rPr>
              <w:t>a</w:t>
            </w:r>
            <w:r w:rsidRPr="00D859F2">
              <w:rPr>
                <w:szCs w:val="18"/>
                <w:lang w:eastAsia="en-GB"/>
              </w:rPr>
              <w:t xml:space="preserve">, Health and well-being considerations under the green economy concept, Data collection under the </w:t>
            </w:r>
            <w:r w:rsidR="005D109B" w:rsidRPr="00D72F74">
              <w:rPr>
                <w:lang w:eastAsia="en-GB"/>
              </w:rPr>
              <w:t>Montreal Protocol</w:t>
            </w:r>
            <w:r w:rsidR="005D109B" w:rsidRPr="00D72F74">
              <w:rPr>
                <w:i/>
                <w:iCs/>
                <w:vertAlign w:val="superscript"/>
                <w:lang w:eastAsia="en-GB"/>
              </w:rPr>
              <w:t>d</w:t>
            </w:r>
            <w:r w:rsidR="005D109B" w:rsidRPr="00D72F74">
              <w:rPr>
                <w:lang w:eastAsia="en-GB"/>
              </w:rPr>
              <w:t xml:space="preserve"> (a protocol to the Vienna Convention</w:t>
            </w:r>
            <w:r w:rsidR="005D109B" w:rsidRPr="00D72F74">
              <w:rPr>
                <w:i/>
                <w:iCs/>
                <w:vertAlign w:val="superscript"/>
                <w:lang w:eastAsia="en-GB"/>
              </w:rPr>
              <w:t>e</w:t>
            </w:r>
            <w:r w:rsidR="005D109B" w:rsidRPr="00D72F74">
              <w:rPr>
                <w:lang w:eastAsia="en-GB"/>
              </w:rPr>
              <w:t>)</w:t>
            </w:r>
            <w:r w:rsidR="005D109B">
              <w:rPr>
                <w:lang w:eastAsia="en-GB"/>
              </w:rPr>
              <w:t>.</w:t>
            </w:r>
          </w:p>
        </w:tc>
      </w:tr>
      <w:tr w:rsidR="00D859F2" w:rsidRPr="00D859F2" w14:paraId="7E8A71D9" w14:textId="77777777" w:rsidTr="00D72F74">
        <w:trPr>
          <w:trHeight w:val="788"/>
        </w:trPr>
        <w:tc>
          <w:tcPr>
            <w:tcW w:w="495" w:type="dxa"/>
            <w:tcBorders>
              <w:top w:val="nil"/>
              <w:bottom w:val="nil"/>
            </w:tcBorders>
            <w:shd w:val="clear" w:color="auto" w:fill="auto"/>
            <w:noWrap/>
            <w:hideMark/>
          </w:tcPr>
          <w:p w14:paraId="32C7C0C6"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21</w:t>
            </w:r>
          </w:p>
        </w:tc>
        <w:tc>
          <w:tcPr>
            <w:tcW w:w="3193" w:type="dxa"/>
            <w:tcBorders>
              <w:top w:val="nil"/>
              <w:bottom w:val="nil"/>
            </w:tcBorders>
            <w:shd w:val="clear" w:color="auto" w:fill="auto"/>
            <w:hideMark/>
          </w:tcPr>
          <w:p w14:paraId="343B2CE5" w14:textId="77777777" w:rsidR="00D859F2" w:rsidRPr="00D859F2" w:rsidRDefault="00D859F2" w:rsidP="00D859F2">
            <w:pPr>
              <w:suppressAutoHyphens w:val="0"/>
              <w:spacing w:before="40" w:after="120"/>
              <w:ind w:right="113"/>
              <w:rPr>
                <w:szCs w:val="18"/>
                <w:lang w:eastAsia="en-GB"/>
              </w:rPr>
            </w:pPr>
            <w:r w:rsidRPr="00D859F2">
              <w:rPr>
                <w:szCs w:val="18"/>
                <w:lang w:eastAsia="en-GB"/>
              </w:rPr>
              <w:t xml:space="preserve">Total ODP of other fully halogenated CFCs </w:t>
            </w:r>
          </w:p>
        </w:tc>
        <w:tc>
          <w:tcPr>
            <w:tcW w:w="4817" w:type="dxa"/>
            <w:tcBorders>
              <w:top w:val="nil"/>
              <w:bottom w:val="nil"/>
            </w:tcBorders>
            <w:shd w:val="clear" w:color="auto" w:fill="auto"/>
            <w:hideMark/>
          </w:tcPr>
          <w:p w14:paraId="5D36132C" w14:textId="4027E197"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Data c</w:t>
            </w:r>
            <w:r w:rsidR="00D72F74">
              <w:rPr>
                <w:szCs w:val="18"/>
                <w:lang w:eastAsia="en-GB"/>
              </w:rPr>
              <w:t>ollection under the ECE, CLRTAP</w:t>
            </w:r>
            <w:r w:rsidR="00D72F74" w:rsidRPr="00D72F74">
              <w:rPr>
                <w:i/>
                <w:iCs/>
                <w:vertAlign w:val="superscript"/>
                <w:lang w:eastAsia="en-GB"/>
              </w:rPr>
              <w:t>a</w:t>
            </w:r>
            <w:r w:rsidRPr="00D859F2">
              <w:rPr>
                <w:szCs w:val="18"/>
                <w:lang w:eastAsia="en-GB"/>
              </w:rPr>
              <w:t xml:space="preserve">, Health and well-being considerations under the green economy concept, Data collection under the </w:t>
            </w:r>
            <w:r w:rsidR="005D109B" w:rsidRPr="00D72F74">
              <w:rPr>
                <w:lang w:eastAsia="en-GB"/>
              </w:rPr>
              <w:t>Montreal Protocol</w:t>
            </w:r>
            <w:r w:rsidR="005D109B" w:rsidRPr="00D72F74">
              <w:rPr>
                <w:i/>
                <w:iCs/>
                <w:vertAlign w:val="superscript"/>
                <w:lang w:eastAsia="en-GB"/>
              </w:rPr>
              <w:t>d</w:t>
            </w:r>
            <w:r w:rsidR="005D109B" w:rsidRPr="00D72F74">
              <w:rPr>
                <w:lang w:eastAsia="en-GB"/>
              </w:rPr>
              <w:t xml:space="preserve"> (a protocol to the Vienna Convention</w:t>
            </w:r>
            <w:r w:rsidR="005D109B" w:rsidRPr="00D72F74">
              <w:rPr>
                <w:i/>
                <w:iCs/>
                <w:vertAlign w:val="superscript"/>
                <w:lang w:eastAsia="en-GB"/>
              </w:rPr>
              <w:t>e</w:t>
            </w:r>
            <w:r w:rsidR="005D109B" w:rsidRPr="00D72F74">
              <w:rPr>
                <w:lang w:eastAsia="en-GB"/>
              </w:rPr>
              <w:t>)</w:t>
            </w:r>
            <w:r w:rsidR="005D109B">
              <w:rPr>
                <w:lang w:eastAsia="en-GB"/>
              </w:rPr>
              <w:t>.</w:t>
            </w:r>
          </w:p>
        </w:tc>
      </w:tr>
      <w:tr w:rsidR="00D859F2" w:rsidRPr="00D859F2" w14:paraId="0ABCB535" w14:textId="77777777" w:rsidTr="00D72F74">
        <w:trPr>
          <w:trHeight w:val="873"/>
        </w:trPr>
        <w:tc>
          <w:tcPr>
            <w:tcW w:w="495" w:type="dxa"/>
            <w:tcBorders>
              <w:top w:val="nil"/>
              <w:bottom w:val="nil"/>
            </w:tcBorders>
            <w:shd w:val="clear" w:color="auto" w:fill="auto"/>
            <w:noWrap/>
            <w:hideMark/>
          </w:tcPr>
          <w:p w14:paraId="203E7D22"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30</w:t>
            </w:r>
          </w:p>
        </w:tc>
        <w:tc>
          <w:tcPr>
            <w:tcW w:w="3193" w:type="dxa"/>
            <w:tcBorders>
              <w:top w:val="nil"/>
              <w:bottom w:val="nil"/>
            </w:tcBorders>
            <w:shd w:val="clear" w:color="auto" w:fill="auto"/>
            <w:hideMark/>
          </w:tcPr>
          <w:p w14:paraId="18533907" w14:textId="77777777" w:rsidR="00D859F2" w:rsidRPr="00D859F2" w:rsidRDefault="00D859F2" w:rsidP="00D859F2">
            <w:pPr>
              <w:suppressAutoHyphens w:val="0"/>
              <w:spacing w:before="40" w:after="120"/>
              <w:ind w:right="113"/>
              <w:rPr>
                <w:szCs w:val="18"/>
                <w:lang w:eastAsia="en-GB"/>
              </w:rPr>
            </w:pPr>
            <w:r w:rsidRPr="00D859F2">
              <w:rPr>
                <w:szCs w:val="18"/>
                <w:lang w:eastAsia="en-GB"/>
              </w:rPr>
              <w:t xml:space="preserve">Renewable freshwater resources </w:t>
            </w:r>
          </w:p>
        </w:tc>
        <w:tc>
          <w:tcPr>
            <w:tcW w:w="4817" w:type="dxa"/>
            <w:tcBorders>
              <w:top w:val="nil"/>
              <w:bottom w:val="nil"/>
            </w:tcBorders>
            <w:shd w:val="clear" w:color="auto" w:fill="auto"/>
            <w:hideMark/>
          </w:tcPr>
          <w:p w14:paraId="4BBF7372" w14:textId="77777777"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Resilience, efficiency, health and well-being considerations under the green economy concept, Data collection through the UNEP/United Nations Statistics Division questionnaire, Data collection under the ECE Protocol on Water and Health</w:t>
            </w:r>
          </w:p>
        </w:tc>
      </w:tr>
      <w:tr w:rsidR="00D859F2" w:rsidRPr="00D859F2" w14:paraId="758D7998" w14:textId="77777777" w:rsidTr="005D109B">
        <w:trPr>
          <w:trHeight w:val="93"/>
        </w:trPr>
        <w:tc>
          <w:tcPr>
            <w:tcW w:w="495" w:type="dxa"/>
            <w:tcBorders>
              <w:top w:val="nil"/>
              <w:bottom w:val="nil"/>
            </w:tcBorders>
            <w:shd w:val="clear" w:color="auto" w:fill="auto"/>
            <w:noWrap/>
            <w:hideMark/>
          </w:tcPr>
          <w:p w14:paraId="04806F1A"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46</w:t>
            </w:r>
          </w:p>
        </w:tc>
        <w:tc>
          <w:tcPr>
            <w:tcW w:w="3193" w:type="dxa"/>
            <w:tcBorders>
              <w:top w:val="nil"/>
              <w:bottom w:val="nil"/>
            </w:tcBorders>
            <w:shd w:val="clear" w:color="auto" w:fill="auto"/>
            <w:hideMark/>
          </w:tcPr>
          <w:p w14:paraId="4E32D870" w14:textId="77777777" w:rsidR="00D859F2" w:rsidRPr="00D859F2" w:rsidRDefault="00D859F2" w:rsidP="00D859F2">
            <w:pPr>
              <w:suppressAutoHyphens w:val="0"/>
              <w:spacing w:before="40" w:after="120"/>
              <w:ind w:right="113"/>
              <w:rPr>
                <w:szCs w:val="18"/>
                <w:lang w:eastAsia="en-GB"/>
              </w:rPr>
            </w:pPr>
            <w:r w:rsidRPr="00D859F2">
              <w:rPr>
                <w:szCs w:val="18"/>
                <w:lang w:eastAsia="en-GB"/>
              </w:rPr>
              <w:t>Population connected to a wastewater collecting system (with and without treatment facilities)</w:t>
            </w:r>
          </w:p>
        </w:tc>
        <w:tc>
          <w:tcPr>
            <w:tcW w:w="4817" w:type="dxa"/>
            <w:tcBorders>
              <w:top w:val="nil"/>
              <w:bottom w:val="nil"/>
            </w:tcBorders>
            <w:shd w:val="clear" w:color="auto" w:fill="auto"/>
            <w:hideMark/>
          </w:tcPr>
          <w:p w14:paraId="0FA63009" w14:textId="77777777"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Resilience, efficiency, health and well-being considerations under the green economy concept, Data collection through the UNEP/United Nations Statistics Division questionnaire, Data collection under the ECE Protocol on Water and Health</w:t>
            </w:r>
          </w:p>
        </w:tc>
      </w:tr>
      <w:tr w:rsidR="00D859F2" w:rsidRPr="00D859F2" w14:paraId="4F04AA22" w14:textId="77777777" w:rsidTr="00D72F74">
        <w:trPr>
          <w:trHeight w:val="1046"/>
        </w:trPr>
        <w:tc>
          <w:tcPr>
            <w:tcW w:w="495" w:type="dxa"/>
            <w:tcBorders>
              <w:top w:val="nil"/>
            </w:tcBorders>
            <w:shd w:val="clear" w:color="auto" w:fill="auto"/>
            <w:noWrap/>
            <w:hideMark/>
          </w:tcPr>
          <w:p w14:paraId="4F7EC27D"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33</w:t>
            </w:r>
          </w:p>
        </w:tc>
        <w:tc>
          <w:tcPr>
            <w:tcW w:w="3193" w:type="dxa"/>
            <w:tcBorders>
              <w:top w:val="nil"/>
            </w:tcBorders>
            <w:shd w:val="clear" w:color="auto" w:fill="auto"/>
            <w:noWrap/>
            <w:hideMark/>
          </w:tcPr>
          <w:p w14:paraId="4CF8226E" w14:textId="77777777" w:rsidR="00D859F2" w:rsidRPr="00D859F2" w:rsidRDefault="00D859F2" w:rsidP="00D859F2">
            <w:pPr>
              <w:suppressAutoHyphens w:val="0"/>
              <w:spacing w:before="40" w:after="120"/>
              <w:ind w:right="113"/>
              <w:rPr>
                <w:szCs w:val="18"/>
                <w:lang w:eastAsia="en-GB"/>
              </w:rPr>
            </w:pPr>
            <w:r w:rsidRPr="00D859F2">
              <w:rPr>
                <w:szCs w:val="18"/>
                <w:lang w:eastAsia="en-GB"/>
              </w:rPr>
              <w:t xml:space="preserve">Water exploitation index </w:t>
            </w:r>
          </w:p>
        </w:tc>
        <w:tc>
          <w:tcPr>
            <w:tcW w:w="4817" w:type="dxa"/>
            <w:tcBorders>
              <w:top w:val="nil"/>
            </w:tcBorders>
            <w:shd w:val="clear" w:color="auto" w:fill="auto"/>
            <w:hideMark/>
          </w:tcPr>
          <w:p w14:paraId="664DBAD0" w14:textId="77777777"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Resilience, efficiency, health and well-being considerations under the green economy concept, Data collection through the UNEP/United Nations Statistics Division questionnaire, Data collection under the ECE Protocol on Water and Health</w:t>
            </w:r>
          </w:p>
        </w:tc>
      </w:tr>
      <w:tr w:rsidR="00D859F2" w:rsidRPr="00D859F2" w14:paraId="3D70B893" w14:textId="77777777" w:rsidTr="00D72F74">
        <w:trPr>
          <w:trHeight w:val="990"/>
        </w:trPr>
        <w:tc>
          <w:tcPr>
            <w:tcW w:w="495" w:type="dxa"/>
            <w:shd w:val="clear" w:color="auto" w:fill="auto"/>
            <w:noWrap/>
            <w:hideMark/>
          </w:tcPr>
          <w:p w14:paraId="00FFBBC3" w14:textId="77777777" w:rsidR="00D859F2" w:rsidRPr="00D859F2" w:rsidRDefault="00D859F2" w:rsidP="00D859F2">
            <w:pPr>
              <w:suppressAutoHyphens w:val="0"/>
              <w:spacing w:before="40" w:after="120"/>
              <w:ind w:right="113"/>
              <w:rPr>
                <w:b/>
                <w:bCs/>
                <w:szCs w:val="18"/>
                <w:lang w:eastAsia="en-GB"/>
              </w:rPr>
            </w:pPr>
            <w:r w:rsidRPr="00D859F2">
              <w:rPr>
                <w:b/>
                <w:bCs/>
                <w:szCs w:val="18"/>
                <w:lang w:eastAsia="en-GB"/>
              </w:rPr>
              <w:t>38</w:t>
            </w:r>
          </w:p>
        </w:tc>
        <w:tc>
          <w:tcPr>
            <w:tcW w:w="3193" w:type="dxa"/>
            <w:shd w:val="clear" w:color="auto" w:fill="auto"/>
            <w:hideMark/>
          </w:tcPr>
          <w:p w14:paraId="6DD2E069" w14:textId="77777777" w:rsidR="00D859F2" w:rsidRPr="00D859F2" w:rsidRDefault="00D859F2" w:rsidP="00D859F2">
            <w:pPr>
              <w:suppressAutoHyphens w:val="0"/>
              <w:spacing w:before="40" w:after="120"/>
              <w:ind w:right="113"/>
              <w:rPr>
                <w:szCs w:val="18"/>
                <w:lang w:eastAsia="en-GB"/>
              </w:rPr>
            </w:pPr>
            <w:r w:rsidRPr="00D859F2">
              <w:rPr>
                <w:szCs w:val="18"/>
                <w:lang w:eastAsia="en-GB"/>
              </w:rPr>
              <w:t>Population connected and not-connected to water supply industry</w:t>
            </w:r>
          </w:p>
        </w:tc>
        <w:tc>
          <w:tcPr>
            <w:tcW w:w="4817" w:type="dxa"/>
            <w:shd w:val="clear" w:color="auto" w:fill="auto"/>
            <w:hideMark/>
          </w:tcPr>
          <w:p w14:paraId="4DF7FB4E" w14:textId="77777777" w:rsidR="00D859F2" w:rsidRPr="00D859F2" w:rsidRDefault="00D859F2" w:rsidP="00D859F2">
            <w:pPr>
              <w:suppressAutoHyphens w:val="0"/>
              <w:spacing w:before="40" w:after="120"/>
              <w:ind w:right="113"/>
              <w:rPr>
                <w:szCs w:val="18"/>
                <w:lang w:eastAsia="en-GB"/>
              </w:rPr>
            </w:pPr>
            <w:r w:rsidRPr="00D859F2">
              <w:rPr>
                <w:szCs w:val="18"/>
                <w:lang w:eastAsia="en-GB"/>
              </w:rPr>
              <w:t>Pan-European priority, Global Environmental Goal, Resilience, efficiency, health and well-being considerations under the green economy concept, Data collection through the UNEP/United Nations Statistics Division questionnaire, Data collection under the ECE Protocol on Water and Health</w:t>
            </w:r>
          </w:p>
        </w:tc>
      </w:tr>
    </w:tbl>
    <w:p w14:paraId="5EC6BA4B" w14:textId="0A0FFF03" w:rsidR="005D109B" w:rsidRDefault="005D109B" w:rsidP="005D109B">
      <w:pPr>
        <w:pStyle w:val="SingleTxtG"/>
        <w:tabs>
          <w:tab w:val="left" w:pos="1418"/>
        </w:tabs>
        <w:spacing w:before="120" w:after="0" w:line="220" w:lineRule="exact"/>
        <w:ind w:firstLine="142"/>
        <w:jc w:val="left"/>
        <w:rPr>
          <w:sz w:val="18"/>
          <w:szCs w:val="18"/>
        </w:rPr>
      </w:pPr>
      <w:proofErr w:type="gramStart"/>
      <w:r w:rsidRPr="00D72F74">
        <w:rPr>
          <w:i/>
          <w:iCs/>
          <w:sz w:val="18"/>
          <w:szCs w:val="18"/>
          <w:vertAlign w:val="superscript"/>
        </w:rPr>
        <w:t>a</w:t>
      </w:r>
      <w:r w:rsidR="00DB1842" w:rsidRPr="001F6079">
        <w:rPr>
          <w:i/>
          <w:sz w:val="18"/>
          <w:szCs w:val="18"/>
        </w:rPr>
        <w:t xml:space="preserve"> </w:t>
      </w:r>
      <w:r w:rsidR="00DB1842">
        <w:rPr>
          <w:i/>
          <w:sz w:val="18"/>
          <w:szCs w:val="18"/>
        </w:rPr>
        <w:t xml:space="preserve"> </w:t>
      </w:r>
      <w:r w:rsidRPr="00D72F74">
        <w:rPr>
          <w:sz w:val="18"/>
          <w:szCs w:val="18"/>
        </w:rPr>
        <w:t>The</w:t>
      </w:r>
      <w:proofErr w:type="gramEnd"/>
      <w:r w:rsidRPr="00D72F74">
        <w:rPr>
          <w:sz w:val="18"/>
          <w:szCs w:val="18"/>
        </w:rPr>
        <w:t xml:space="preserve"> Convention on Long-Range Transboundary Air Pollution</w:t>
      </w:r>
      <w:r>
        <w:rPr>
          <w:sz w:val="18"/>
          <w:szCs w:val="18"/>
        </w:rPr>
        <w:t xml:space="preserve"> (CLRTAP).</w:t>
      </w:r>
    </w:p>
    <w:p w14:paraId="08E5AD96" w14:textId="5C2E3104" w:rsidR="005D109B" w:rsidRDefault="005D109B" w:rsidP="005D109B">
      <w:pPr>
        <w:pStyle w:val="SingleTxtG"/>
        <w:tabs>
          <w:tab w:val="left" w:pos="1418"/>
        </w:tabs>
        <w:spacing w:after="0" w:line="220" w:lineRule="exact"/>
        <w:ind w:firstLine="142"/>
        <w:jc w:val="left"/>
        <w:rPr>
          <w:sz w:val="18"/>
          <w:szCs w:val="18"/>
        </w:rPr>
      </w:pPr>
      <w:proofErr w:type="gramStart"/>
      <w:r w:rsidRPr="00D72F74">
        <w:rPr>
          <w:i/>
          <w:iCs/>
          <w:sz w:val="18"/>
          <w:szCs w:val="18"/>
          <w:vertAlign w:val="superscript"/>
        </w:rPr>
        <w:t>b</w:t>
      </w:r>
      <w:r w:rsidR="00DB1842" w:rsidRPr="001F6079">
        <w:rPr>
          <w:i/>
          <w:sz w:val="18"/>
          <w:szCs w:val="18"/>
        </w:rPr>
        <w:t xml:space="preserve"> </w:t>
      </w:r>
      <w:r w:rsidR="00DB1842">
        <w:rPr>
          <w:i/>
          <w:sz w:val="18"/>
          <w:szCs w:val="18"/>
        </w:rPr>
        <w:t xml:space="preserve"> </w:t>
      </w:r>
      <w:r>
        <w:rPr>
          <w:sz w:val="18"/>
          <w:szCs w:val="18"/>
        </w:rPr>
        <w:t>Protocol</w:t>
      </w:r>
      <w:proofErr w:type="gramEnd"/>
      <w:r>
        <w:rPr>
          <w:sz w:val="18"/>
          <w:szCs w:val="18"/>
        </w:rPr>
        <w:t xml:space="preserve"> on </w:t>
      </w:r>
      <w:r w:rsidRPr="00D72F74">
        <w:rPr>
          <w:sz w:val="18"/>
          <w:szCs w:val="18"/>
        </w:rPr>
        <w:t>Pollutant Release and Transfer Register</w:t>
      </w:r>
      <w:r>
        <w:rPr>
          <w:sz w:val="18"/>
          <w:szCs w:val="18"/>
        </w:rPr>
        <w:t xml:space="preserve"> (PRTR).</w:t>
      </w:r>
    </w:p>
    <w:p w14:paraId="6E40FAE7" w14:textId="7841C61F" w:rsidR="005D109B" w:rsidRDefault="005D109B" w:rsidP="005D109B">
      <w:pPr>
        <w:pStyle w:val="SingleTxtG"/>
        <w:tabs>
          <w:tab w:val="left" w:pos="1418"/>
        </w:tabs>
        <w:spacing w:after="0" w:line="220" w:lineRule="exact"/>
        <w:ind w:right="0" w:firstLine="142"/>
        <w:jc w:val="left"/>
        <w:rPr>
          <w:sz w:val="18"/>
          <w:szCs w:val="18"/>
        </w:rPr>
      </w:pPr>
      <w:proofErr w:type="gramStart"/>
      <w:r w:rsidRPr="00D72F74">
        <w:rPr>
          <w:i/>
          <w:iCs/>
          <w:sz w:val="18"/>
          <w:szCs w:val="18"/>
          <w:vertAlign w:val="superscript"/>
        </w:rPr>
        <w:t>c</w:t>
      </w:r>
      <w:r w:rsidR="00DB1842" w:rsidRPr="001F6079">
        <w:rPr>
          <w:i/>
          <w:sz w:val="18"/>
          <w:szCs w:val="18"/>
        </w:rPr>
        <w:t xml:space="preserve"> </w:t>
      </w:r>
      <w:r w:rsidR="00DB1842">
        <w:rPr>
          <w:i/>
          <w:sz w:val="18"/>
          <w:szCs w:val="18"/>
        </w:rPr>
        <w:t xml:space="preserve"> </w:t>
      </w:r>
      <w:r w:rsidRPr="00D72F74">
        <w:rPr>
          <w:sz w:val="18"/>
          <w:szCs w:val="18"/>
        </w:rPr>
        <w:t>Basel</w:t>
      </w:r>
      <w:proofErr w:type="gramEnd"/>
      <w:r w:rsidRPr="00D72F74">
        <w:rPr>
          <w:sz w:val="18"/>
          <w:szCs w:val="18"/>
        </w:rPr>
        <w:t xml:space="preserve"> Convention on the Control of Transboundary Movements of Hazardous Wastes and their Disposal.</w:t>
      </w:r>
    </w:p>
    <w:p w14:paraId="4DE65E96" w14:textId="669AE1AC" w:rsidR="005D109B" w:rsidRPr="005D109B" w:rsidRDefault="00DB1842" w:rsidP="005D109B">
      <w:pPr>
        <w:pStyle w:val="SingleTxtG"/>
        <w:tabs>
          <w:tab w:val="left" w:pos="1418"/>
        </w:tabs>
        <w:spacing w:after="0" w:line="220" w:lineRule="exact"/>
        <w:ind w:right="0" w:firstLine="142"/>
        <w:jc w:val="left"/>
        <w:rPr>
          <w:sz w:val="18"/>
          <w:szCs w:val="18"/>
        </w:rPr>
      </w:pPr>
      <w:proofErr w:type="gramStart"/>
      <w:r>
        <w:rPr>
          <w:i/>
          <w:iCs/>
          <w:sz w:val="18"/>
          <w:szCs w:val="18"/>
          <w:vertAlign w:val="superscript"/>
        </w:rPr>
        <w:t>d</w:t>
      </w:r>
      <w:r w:rsidRPr="001F6079">
        <w:rPr>
          <w:i/>
          <w:sz w:val="18"/>
          <w:szCs w:val="18"/>
        </w:rPr>
        <w:t xml:space="preserve"> </w:t>
      </w:r>
      <w:r>
        <w:rPr>
          <w:i/>
          <w:sz w:val="18"/>
          <w:szCs w:val="18"/>
        </w:rPr>
        <w:t xml:space="preserve"> </w:t>
      </w:r>
      <w:r w:rsidR="005D109B" w:rsidRPr="005D109B">
        <w:rPr>
          <w:sz w:val="18"/>
          <w:szCs w:val="18"/>
        </w:rPr>
        <w:t>Montreal</w:t>
      </w:r>
      <w:proofErr w:type="gramEnd"/>
      <w:r w:rsidR="005D109B" w:rsidRPr="005D109B">
        <w:rPr>
          <w:sz w:val="18"/>
          <w:szCs w:val="18"/>
        </w:rPr>
        <w:t xml:space="preserve"> Protocol on Substances that Deplete the</w:t>
      </w:r>
      <w:r w:rsidR="005D109B">
        <w:rPr>
          <w:sz w:val="18"/>
          <w:szCs w:val="18"/>
        </w:rPr>
        <w:t xml:space="preserve"> Ozone Layer.</w:t>
      </w:r>
    </w:p>
    <w:p w14:paraId="19C78546" w14:textId="641AE482" w:rsidR="005D109B" w:rsidRPr="005D109B" w:rsidRDefault="00DB1842" w:rsidP="005D109B">
      <w:pPr>
        <w:pStyle w:val="SingleTxtG"/>
        <w:tabs>
          <w:tab w:val="left" w:pos="1418"/>
        </w:tabs>
        <w:spacing w:after="0" w:line="220" w:lineRule="exact"/>
        <w:ind w:right="0" w:firstLine="142"/>
        <w:jc w:val="left"/>
        <w:rPr>
          <w:sz w:val="18"/>
          <w:szCs w:val="18"/>
        </w:rPr>
      </w:pPr>
      <w:proofErr w:type="gramStart"/>
      <w:r>
        <w:rPr>
          <w:i/>
          <w:iCs/>
          <w:sz w:val="18"/>
          <w:szCs w:val="18"/>
          <w:vertAlign w:val="superscript"/>
        </w:rPr>
        <w:t>e</w:t>
      </w:r>
      <w:r w:rsidRPr="001F6079">
        <w:rPr>
          <w:i/>
          <w:sz w:val="18"/>
          <w:szCs w:val="18"/>
        </w:rPr>
        <w:t xml:space="preserve"> </w:t>
      </w:r>
      <w:r>
        <w:rPr>
          <w:i/>
          <w:sz w:val="18"/>
          <w:szCs w:val="18"/>
        </w:rPr>
        <w:t xml:space="preserve"> </w:t>
      </w:r>
      <w:r w:rsidR="005D109B" w:rsidRPr="005D109B">
        <w:rPr>
          <w:sz w:val="18"/>
          <w:szCs w:val="18"/>
        </w:rPr>
        <w:t>Vienna</w:t>
      </w:r>
      <w:proofErr w:type="gramEnd"/>
      <w:r w:rsidR="005D109B" w:rsidRPr="005D109B">
        <w:rPr>
          <w:sz w:val="18"/>
          <w:szCs w:val="18"/>
        </w:rPr>
        <w:t xml:space="preserve"> Convention for th</w:t>
      </w:r>
      <w:r w:rsidR="005D109B">
        <w:rPr>
          <w:sz w:val="18"/>
          <w:szCs w:val="18"/>
        </w:rPr>
        <w:t>e Protection of the Ozone Layer.</w:t>
      </w:r>
    </w:p>
    <w:p w14:paraId="2865C60E" w14:textId="77777777" w:rsidR="0042442E" w:rsidRPr="00A07754" w:rsidRDefault="00A07754" w:rsidP="00A07754">
      <w:pPr>
        <w:spacing w:before="240"/>
        <w:ind w:left="1134" w:right="1134"/>
        <w:jc w:val="center"/>
        <w:rPr>
          <w:u w:val="single"/>
          <w:lang w:val="x-none"/>
        </w:rPr>
      </w:pPr>
      <w:r>
        <w:rPr>
          <w:u w:val="single"/>
          <w:lang w:val="x-none"/>
        </w:rPr>
        <w:tab/>
      </w:r>
      <w:r>
        <w:rPr>
          <w:u w:val="single"/>
          <w:lang w:val="x-none"/>
        </w:rPr>
        <w:tab/>
      </w:r>
      <w:r>
        <w:rPr>
          <w:u w:val="single"/>
          <w:lang w:val="x-none"/>
        </w:rPr>
        <w:tab/>
      </w:r>
    </w:p>
    <w:sectPr w:rsidR="0042442E" w:rsidRPr="00A07754" w:rsidSect="006A540D">
      <w:headerReference w:type="even" r:id="rId23"/>
      <w:headerReference w:type="default" r:id="rId24"/>
      <w:footerReference w:type="even" r:id="rId25"/>
      <w:footerReference w:type="default" r:id="rId2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71ECF" w14:textId="77777777" w:rsidR="008F49BC" w:rsidRDefault="008F49BC"/>
  </w:endnote>
  <w:endnote w:type="continuationSeparator" w:id="0">
    <w:p w14:paraId="3FEC63CD" w14:textId="77777777" w:rsidR="008F49BC" w:rsidRDefault="008F49BC"/>
  </w:endnote>
  <w:endnote w:type="continuationNotice" w:id="1">
    <w:p w14:paraId="0335A027" w14:textId="77777777" w:rsidR="008F49BC" w:rsidRDefault="008F4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329C5" w14:textId="77777777" w:rsidR="0034669B" w:rsidRPr="005C74C7" w:rsidRDefault="0034669B" w:rsidP="005C74C7">
    <w:pPr>
      <w:pStyle w:val="Footer"/>
      <w:tabs>
        <w:tab w:val="right" w:pos="9638"/>
      </w:tabs>
      <w:rPr>
        <w:sz w:val="18"/>
      </w:rPr>
    </w:pPr>
    <w:r w:rsidRPr="005C74C7">
      <w:rPr>
        <w:b/>
        <w:sz w:val="18"/>
      </w:rPr>
      <w:fldChar w:fldCharType="begin"/>
    </w:r>
    <w:r w:rsidRPr="005C74C7">
      <w:rPr>
        <w:b/>
        <w:sz w:val="18"/>
      </w:rPr>
      <w:instrText xml:space="preserve"> PAGE  \* MERGEFORMAT </w:instrText>
    </w:r>
    <w:r w:rsidRPr="005C74C7">
      <w:rPr>
        <w:b/>
        <w:sz w:val="18"/>
      </w:rPr>
      <w:fldChar w:fldCharType="separate"/>
    </w:r>
    <w:r w:rsidR="004E4EC6">
      <w:rPr>
        <w:b/>
        <w:noProof/>
        <w:sz w:val="18"/>
      </w:rPr>
      <w:t>12</w:t>
    </w:r>
    <w:r w:rsidRPr="005C74C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4F609" w14:textId="77777777" w:rsidR="0034669B" w:rsidRPr="005C74C7" w:rsidRDefault="0034669B" w:rsidP="005C74C7">
    <w:pPr>
      <w:pStyle w:val="Footer"/>
      <w:tabs>
        <w:tab w:val="right" w:pos="9638"/>
      </w:tabs>
      <w:rPr>
        <w:b/>
        <w:sz w:val="18"/>
      </w:rPr>
    </w:pPr>
    <w:r>
      <w:tab/>
    </w:r>
    <w:r w:rsidRPr="005C74C7">
      <w:rPr>
        <w:b/>
        <w:sz w:val="18"/>
      </w:rPr>
      <w:fldChar w:fldCharType="begin"/>
    </w:r>
    <w:r w:rsidRPr="005C74C7">
      <w:rPr>
        <w:b/>
        <w:sz w:val="18"/>
      </w:rPr>
      <w:instrText xml:space="preserve"> PAGE  \* MERGEFORMAT </w:instrText>
    </w:r>
    <w:r w:rsidRPr="005C74C7">
      <w:rPr>
        <w:b/>
        <w:sz w:val="18"/>
      </w:rPr>
      <w:fldChar w:fldCharType="separate"/>
    </w:r>
    <w:r w:rsidR="004E4EC6">
      <w:rPr>
        <w:b/>
        <w:noProof/>
        <w:sz w:val="18"/>
      </w:rPr>
      <w:t>11</w:t>
    </w:r>
    <w:r w:rsidRPr="005C7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725E2D" w14:paraId="2FFA6D17" w14:textId="77777777" w:rsidTr="00725E2D">
      <w:tc>
        <w:tcPr>
          <w:tcW w:w="3758" w:type="dxa"/>
          <w:shd w:val="clear" w:color="auto" w:fill="auto"/>
        </w:tcPr>
        <w:p w14:paraId="2D16002E" w14:textId="52888E0E" w:rsidR="00725E2D" w:rsidRDefault="00725E2D" w:rsidP="00725E2D">
          <w:pPr>
            <w:pStyle w:val="Footer"/>
            <w:rPr>
              <w:sz w:val="20"/>
            </w:rPr>
          </w:pPr>
          <w:r>
            <w:rPr>
              <w:noProof/>
              <w:sz w:val="20"/>
              <w:lang w:eastAsia="en-GB"/>
            </w:rPr>
            <w:drawing>
              <wp:anchor distT="0" distB="0" distL="114300" distR="114300" simplePos="0" relativeHeight="251663360" behindDoc="0" locked="0" layoutInCell="1" allowOverlap="1" wp14:anchorId="1B39893B" wp14:editId="202166DF">
                <wp:simplePos x="0" y="0"/>
                <wp:positionH relativeFrom="column">
                  <wp:posOffset>5605145</wp:posOffset>
                </wp:positionH>
                <wp:positionV relativeFrom="paragraph">
                  <wp:posOffset>-365760</wp:posOffset>
                </wp:positionV>
                <wp:extent cx="694690" cy="694690"/>
                <wp:effectExtent l="0" t="0" r="0" b="0"/>
                <wp:wrapNone/>
                <wp:docPr id="9" name="Picture 9" descr="http://undocs.org/m2/QRCode2.ashx?DS=ECE/CEP/S/2016/L.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L.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GE.16-01191(E)</w:t>
          </w:r>
        </w:p>
        <w:p w14:paraId="5D683344" w14:textId="4011A599" w:rsidR="00725E2D" w:rsidRPr="00725E2D" w:rsidRDefault="00725E2D" w:rsidP="00725E2D">
          <w:pPr>
            <w:pStyle w:val="Footer"/>
            <w:rPr>
              <w:rFonts w:ascii="Barcode 3 of 9 by request" w:hAnsi="Barcode 3 of 9 by request"/>
              <w:sz w:val="24"/>
            </w:rPr>
          </w:pPr>
          <w:r>
            <w:rPr>
              <w:rFonts w:ascii="Barcode 3 of 9 by request" w:hAnsi="Barcode 3 of 9 by request"/>
              <w:sz w:val="24"/>
            </w:rPr>
            <w:t>*1601191*</w:t>
          </w:r>
        </w:p>
      </w:tc>
      <w:tc>
        <w:tcPr>
          <w:tcW w:w="4928" w:type="dxa"/>
          <w:shd w:val="clear" w:color="auto" w:fill="auto"/>
        </w:tcPr>
        <w:p w14:paraId="01839511" w14:textId="046DD4AC" w:rsidR="00725E2D" w:rsidRDefault="00725E2D" w:rsidP="00725E2D">
          <w:pPr>
            <w:pStyle w:val="Footer"/>
            <w:spacing w:line="240" w:lineRule="atLeast"/>
            <w:jc w:val="right"/>
            <w:rPr>
              <w:sz w:val="20"/>
            </w:rPr>
          </w:pPr>
          <w:r>
            <w:rPr>
              <w:noProof/>
              <w:sz w:val="20"/>
              <w:lang w:eastAsia="en-GB"/>
            </w:rPr>
            <w:drawing>
              <wp:inline distT="0" distB="0" distL="0" distR="0" wp14:anchorId="04848D8D" wp14:editId="149A1A48">
                <wp:extent cx="9296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B351D7F" w14:textId="77777777" w:rsidR="00725E2D" w:rsidRPr="00725E2D" w:rsidRDefault="00725E2D" w:rsidP="00725E2D">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EF84C" w14:textId="77777777" w:rsidR="0034669B" w:rsidRPr="006A540D" w:rsidRDefault="0034669B" w:rsidP="006A540D">
    <w:pPr>
      <w:pStyle w:val="Footer"/>
    </w:pPr>
    <w:r>
      <w:rPr>
        <w:noProof/>
        <w:lang w:eastAsia="en-GB"/>
      </w:rPr>
      <mc:AlternateContent>
        <mc:Choice Requires="wps">
          <w:drawing>
            <wp:anchor distT="0" distB="0" distL="114300" distR="114300" simplePos="0" relativeHeight="251662336" behindDoc="0" locked="0" layoutInCell="1" allowOverlap="1" wp14:anchorId="24F7DE75" wp14:editId="541DF7B5">
              <wp:simplePos x="0" y="0"/>
              <wp:positionH relativeFrom="margin">
                <wp:posOffset>-431800</wp:posOffset>
              </wp:positionH>
              <wp:positionV relativeFrom="margin">
                <wp:posOffset>0</wp:posOffset>
              </wp:positionV>
              <wp:extent cx="219456" cy="6122822"/>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46D9B277" w14:textId="77777777" w:rsidR="0034669B" w:rsidRPr="005C74C7" w:rsidRDefault="0034669B" w:rsidP="006A540D">
                          <w:pPr>
                            <w:pStyle w:val="Footer"/>
                            <w:tabs>
                              <w:tab w:val="right" w:pos="9638"/>
                            </w:tabs>
                            <w:rPr>
                              <w:sz w:val="18"/>
                            </w:rPr>
                          </w:pPr>
                          <w:r w:rsidRPr="005C74C7">
                            <w:rPr>
                              <w:b/>
                              <w:sz w:val="18"/>
                            </w:rPr>
                            <w:fldChar w:fldCharType="begin"/>
                          </w:r>
                          <w:r w:rsidRPr="005C74C7">
                            <w:rPr>
                              <w:b/>
                              <w:sz w:val="18"/>
                            </w:rPr>
                            <w:instrText xml:space="preserve"> PAGE  \* MERGEFORMAT </w:instrText>
                          </w:r>
                          <w:r w:rsidRPr="005C74C7">
                            <w:rPr>
                              <w:b/>
                              <w:sz w:val="18"/>
                            </w:rPr>
                            <w:fldChar w:fldCharType="separate"/>
                          </w:r>
                          <w:r w:rsidR="004E4EC6">
                            <w:rPr>
                              <w:b/>
                              <w:noProof/>
                              <w:sz w:val="18"/>
                            </w:rPr>
                            <w:t>14</w:t>
                          </w:r>
                          <w:r w:rsidRPr="005C74C7">
                            <w:rPr>
                              <w:b/>
                              <w:sz w:val="18"/>
                            </w:rPr>
                            <w:fldChar w:fldCharType="end"/>
                          </w:r>
                          <w:r>
                            <w:rPr>
                              <w:sz w:val="18"/>
                            </w:rPr>
                            <w:tab/>
                          </w:r>
                        </w:p>
                        <w:p w14:paraId="28A059AC" w14:textId="77777777" w:rsidR="0034669B" w:rsidRDefault="003466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pt;margin-top:0;width:17.3pt;height:482.1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" fillcolor="white [3212]" stroked="f">
              <v:stroke joinstyle="round"/>
              <v:path arrowok="t"/>
              <v:textbox style="layout-flow:vertical" inset="0,0,0,0">
                <w:txbxContent>
                  <w:p w14:paraId="46D9B277" w14:textId="77777777" w:rsidR="0034669B" w:rsidRPr="005C74C7" w:rsidRDefault="0034669B" w:rsidP="006A540D">
                    <w:pPr>
                      <w:pStyle w:val="Footer"/>
                      <w:tabs>
                        <w:tab w:val="right" w:pos="9638"/>
                      </w:tabs>
                      <w:rPr>
                        <w:sz w:val="18"/>
                      </w:rPr>
                    </w:pPr>
                    <w:r w:rsidRPr="005C74C7">
                      <w:rPr>
                        <w:b/>
                        <w:sz w:val="18"/>
                      </w:rPr>
                      <w:fldChar w:fldCharType="begin"/>
                    </w:r>
                    <w:r w:rsidRPr="005C74C7">
                      <w:rPr>
                        <w:b/>
                        <w:sz w:val="18"/>
                      </w:rPr>
                      <w:instrText xml:space="preserve"> PAGE  \* MERGEFORMAT </w:instrText>
                    </w:r>
                    <w:r w:rsidRPr="005C74C7">
                      <w:rPr>
                        <w:b/>
                        <w:sz w:val="18"/>
                      </w:rPr>
                      <w:fldChar w:fldCharType="separate"/>
                    </w:r>
                    <w:r w:rsidR="004E4EC6">
                      <w:rPr>
                        <w:b/>
                        <w:noProof/>
                        <w:sz w:val="18"/>
                      </w:rPr>
                      <w:t>14</w:t>
                    </w:r>
                    <w:r w:rsidRPr="005C74C7">
                      <w:rPr>
                        <w:b/>
                        <w:sz w:val="18"/>
                      </w:rPr>
                      <w:fldChar w:fldCharType="end"/>
                    </w:r>
                    <w:r>
                      <w:rPr>
                        <w:sz w:val="18"/>
                      </w:rPr>
                      <w:tab/>
                    </w:r>
                  </w:p>
                  <w:p w14:paraId="28A059AC" w14:textId="77777777" w:rsidR="0034669B" w:rsidRDefault="0034669B"/>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40C92" w14:textId="77777777" w:rsidR="0034669B" w:rsidRPr="006A540D" w:rsidRDefault="0034669B" w:rsidP="006A540D">
    <w:pPr>
      <w:pStyle w:val="Footer"/>
    </w:pPr>
    <w:r>
      <w:rPr>
        <w:noProof/>
        <w:lang w:eastAsia="en-GB"/>
      </w:rPr>
      <mc:AlternateContent>
        <mc:Choice Requires="wps">
          <w:drawing>
            <wp:anchor distT="0" distB="0" distL="114300" distR="114300" simplePos="0" relativeHeight="251660288" behindDoc="0" locked="0" layoutInCell="1" allowOverlap="1" wp14:anchorId="1CB4C65A" wp14:editId="5E2A3E3D">
              <wp:simplePos x="0" y="0"/>
              <wp:positionH relativeFrom="margin">
                <wp:posOffset>-431800</wp:posOffset>
              </wp:positionH>
              <wp:positionV relativeFrom="margin">
                <wp:posOffset>0</wp:posOffset>
              </wp:positionV>
              <wp:extent cx="219456" cy="6122822"/>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E1E1521" w14:textId="77777777" w:rsidR="0034669B" w:rsidRPr="005C74C7" w:rsidRDefault="0034669B" w:rsidP="006A540D">
                          <w:pPr>
                            <w:pStyle w:val="Footer"/>
                            <w:tabs>
                              <w:tab w:val="right" w:pos="9638"/>
                            </w:tabs>
                            <w:rPr>
                              <w:b/>
                              <w:sz w:val="18"/>
                            </w:rPr>
                          </w:pPr>
                          <w:r>
                            <w:tab/>
                          </w:r>
                          <w:r w:rsidRPr="005C74C7">
                            <w:rPr>
                              <w:b/>
                              <w:sz w:val="18"/>
                            </w:rPr>
                            <w:fldChar w:fldCharType="begin"/>
                          </w:r>
                          <w:r w:rsidRPr="005C74C7">
                            <w:rPr>
                              <w:b/>
                              <w:sz w:val="18"/>
                            </w:rPr>
                            <w:instrText xml:space="preserve"> PAGE  \* MERGEFORMAT </w:instrText>
                          </w:r>
                          <w:r w:rsidRPr="005C74C7">
                            <w:rPr>
                              <w:b/>
                              <w:sz w:val="18"/>
                            </w:rPr>
                            <w:fldChar w:fldCharType="separate"/>
                          </w:r>
                          <w:r w:rsidR="004E4EC6">
                            <w:rPr>
                              <w:b/>
                              <w:noProof/>
                              <w:sz w:val="18"/>
                            </w:rPr>
                            <w:t>13</w:t>
                          </w:r>
                          <w:r w:rsidRPr="005C74C7">
                            <w:rPr>
                              <w:b/>
                              <w:sz w:val="18"/>
                            </w:rPr>
                            <w:fldChar w:fldCharType="end"/>
                          </w:r>
                        </w:p>
                        <w:p w14:paraId="431D8A93" w14:textId="77777777" w:rsidR="0034669B" w:rsidRDefault="003466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4pt;margin-top:0;width:17.3pt;height:482.1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" fillcolor="white [3212]" stroked="f">
              <v:stroke joinstyle="round"/>
              <v:path arrowok="t"/>
              <v:textbox style="layout-flow:vertical" inset="0,0,0,0">
                <w:txbxContent>
                  <w:p w14:paraId="5E1E1521" w14:textId="77777777" w:rsidR="0034669B" w:rsidRPr="005C74C7" w:rsidRDefault="0034669B" w:rsidP="006A540D">
                    <w:pPr>
                      <w:pStyle w:val="Footer"/>
                      <w:tabs>
                        <w:tab w:val="right" w:pos="9638"/>
                      </w:tabs>
                      <w:rPr>
                        <w:b/>
                        <w:sz w:val="18"/>
                      </w:rPr>
                    </w:pPr>
                    <w:r>
                      <w:tab/>
                    </w:r>
                    <w:r w:rsidRPr="005C74C7">
                      <w:rPr>
                        <w:b/>
                        <w:sz w:val="18"/>
                      </w:rPr>
                      <w:fldChar w:fldCharType="begin"/>
                    </w:r>
                    <w:r w:rsidRPr="005C74C7">
                      <w:rPr>
                        <w:b/>
                        <w:sz w:val="18"/>
                      </w:rPr>
                      <w:instrText xml:space="preserve"> PAGE  \* MERGEFORMAT </w:instrText>
                    </w:r>
                    <w:r w:rsidRPr="005C74C7">
                      <w:rPr>
                        <w:b/>
                        <w:sz w:val="18"/>
                      </w:rPr>
                      <w:fldChar w:fldCharType="separate"/>
                    </w:r>
                    <w:r w:rsidR="004E4EC6">
                      <w:rPr>
                        <w:b/>
                        <w:noProof/>
                        <w:sz w:val="18"/>
                      </w:rPr>
                      <w:t>13</w:t>
                    </w:r>
                    <w:r w:rsidRPr="005C74C7">
                      <w:rPr>
                        <w:b/>
                        <w:sz w:val="18"/>
                      </w:rPr>
                      <w:fldChar w:fldCharType="end"/>
                    </w:r>
                  </w:p>
                  <w:p w14:paraId="431D8A93" w14:textId="77777777" w:rsidR="0034669B" w:rsidRDefault="0034669B"/>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8A16" w14:textId="77777777" w:rsidR="0034669B" w:rsidRPr="006A540D" w:rsidRDefault="0034669B" w:rsidP="006A540D">
    <w:pPr>
      <w:pStyle w:val="Footer"/>
      <w:tabs>
        <w:tab w:val="right" w:pos="9638"/>
      </w:tabs>
    </w:pPr>
    <w:r w:rsidRPr="006A540D">
      <w:rPr>
        <w:b/>
        <w:sz w:val="18"/>
      </w:rPr>
      <w:fldChar w:fldCharType="begin"/>
    </w:r>
    <w:r w:rsidRPr="006A540D">
      <w:rPr>
        <w:b/>
        <w:sz w:val="18"/>
      </w:rPr>
      <w:instrText xml:space="preserve"> PAGE  \* MERGEFORMAT </w:instrText>
    </w:r>
    <w:r w:rsidRPr="006A540D">
      <w:rPr>
        <w:b/>
        <w:sz w:val="18"/>
      </w:rPr>
      <w:fldChar w:fldCharType="separate"/>
    </w:r>
    <w:r w:rsidR="004E4EC6">
      <w:rPr>
        <w:b/>
        <w:noProof/>
        <w:sz w:val="18"/>
      </w:rPr>
      <w:t>26</w:t>
    </w:r>
    <w:r w:rsidRPr="006A540D">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87BC8" w14:textId="77777777" w:rsidR="0034669B" w:rsidRPr="006A540D" w:rsidRDefault="0034669B" w:rsidP="006A540D">
    <w:pPr>
      <w:pStyle w:val="Footer"/>
      <w:tabs>
        <w:tab w:val="right" w:pos="9638"/>
      </w:tabs>
      <w:rPr>
        <w:b/>
        <w:sz w:val="18"/>
      </w:rPr>
    </w:pPr>
    <w:r>
      <w:rPr>
        <w:noProof/>
        <w:lang w:val="en-US"/>
      </w:rPr>
      <w:tab/>
    </w:r>
    <w:r w:rsidRPr="006A540D">
      <w:rPr>
        <w:b/>
        <w:noProof/>
        <w:sz w:val="18"/>
        <w:lang w:val="en-US"/>
      </w:rPr>
      <w:fldChar w:fldCharType="begin"/>
    </w:r>
    <w:r w:rsidRPr="006A540D">
      <w:rPr>
        <w:b/>
        <w:noProof/>
        <w:sz w:val="18"/>
        <w:lang w:val="en-US"/>
      </w:rPr>
      <w:instrText xml:space="preserve"> PAGE  \* MERGEFORMAT </w:instrText>
    </w:r>
    <w:r w:rsidRPr="006A540D">
      <w:rPr>
        <w:b/>
        <w:noProof/>
        <w:sz w:val="18"/>
        <w:lang w:val="en-US"/>
      </w:rPr>
      <w:fldChar w:fldCharType="separate"/>
    </w:r>
    <w:r w:rsidR="004E4EC6">
      <w:rPr>
        <w:b/>
        <w:noProof/>
        <w:sz w:val="18"/>
        <w:lang w:val="en-US"/>
      </w:rPr>
      <w:t>27</w:t>
    </w:r>
    <w:r w:rsidRPr="006A540D">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13EE4" w14:textId="77777777" w:rsidR="008F49BC" w:rsidRPr="000B175B" w:rsidRDefault="008F49BC" w:rsidP="000B175B">
      <w:pPr>
        <w:tabs>
          <w:tab w:val="right" w:pos="2155"/>
        </w:tabs>
        <w:spacing w:after="80"/>
        <w:ind w:left="680"/>
        <w:rPr>
          <w:u w:val="single"/>
        </w:rPr>
      </w:pPr>
      <w:r>
        <w:rPr>
          <w:u w:val="single"/>
        </w:rPr>
        <w:tab/>
      </w:r>
    </w:p>
  </w:footnote>
  <w:footnote w:type="continuationSeparator" w:id="0">
    <w:p w14:paraId="72ED54C1" w14:textId="77777777" w:rsidR="008F49BC" w:rsidRPr="00FC68B7" w:rsidRDefault="008F49BC" w:rsidP="00FC68B7">
      <w:pPr>
        <w:tabs>
          <w:tab w:val="left" w:pos="2155"/>
        </w:tabs>
        <w:spacing w:after="80"/>
        <w:ind w:left="680"/>
        <w:rPr>
          <w:u w:val="single"/>
        </w:rPr>
      </w:pPr>
      <w:r>
        <w:rPr>
          <w:u w:val="single"/>
        </w:rPr>
        <w:tab/>
      </w:r>
    </w:p>
  </w:footnote>
  <w:footnote w:type="continuationNotice" w:id="1">
    <w:p w14:paraId="5043D5EE" w14:textId="77777777" w:rsidR="008F49BC" w:rsidRDefault="008F49BC"/>
  </w:footnote>
  <w:footnote w:id="2">
    <w:p w14:paraId="15A2984F" w14:textId="035953C3" w:rsidR="0034669B" w:rsidRPr="00604451" w:rsidRDefault="0034669B" w:rsidP="00DA5A3D">
      <w:pPr>
        <w:pStyle w:val="FootnoteText"/>
        <w:rPr>
          <w:lang w:val="en-US"/>
        </w:rPr>
      </w:pPr>
      <w:r>
        <w:rPr>
          <w:rStyle w:val="FootnoteReference"/>
        </w:rPr>
        <w:tab/>
      </w:r>
      <w:r w:rsidRPr="00604451">
        <w:rPr>
          <w:rStyle w:val="FootnoteReference"/>
          <w:sz w:val="20"/>
          <w:vertAlign w:val="baseline"/>
        </w:rPr>
        <w:t>*</w:t>
      </w:r>
      <w:r>
        <w:rPr>
          <w:rStyle w:val="FootnoteReference"/>
          <w:sz w:val="20"/>
          <w:vertAlign w:val="baseline"/>
        </w:rPr>
        <w:tab/>
      </w:r>
      <w:r>
        <w:t xml:space="preserve">This note was submitted on the above date owing to the need to </w:t>
      </w:r>
      <w:r w:rsidR="001969AA">
        <w:t>consult with external partners.</w:t>
      </w:r>
    </w:p>
  </w:footnote>
  <w:footnote w:id="3">
    <w:p w14:paraId="1DC5C0F2" w14:textId="4687C600" w:rsidR="0034669B" w:rsidRPr="004327CF" w:rsidRDefault="0034669B" w:rsidP="00D6081E">
      <w:pPr>
        <w:pStyle w:val="FootnoteText"/>
      </w:pPr>
      <w:r>
        <w:rPr>
          <w:rStyle w:val="FootnoteReference"/>
        </w:rPr>
        <w:tab/>
      </w:r>
      <w:r w:rsidRPr="004327CF">
        <w:rPr>
          <w:rStyle w:val="FootnoteReference"/>
          <w:sz w:val="20"/>
          <w:vertAlign w:val="baseline"/>
        </w:rPr>
        <w:t>*</w:t>
      </w:r>
      <w:r>
        <w:rPr>
          <w:sz w:val="20"/>
        </w:rPr>
        <w:t>*</w:t>
      </w:r>
      <w:r>
        <w:rPr>
          <w:rStyle w:val="FootnoteReference"/>
          <w:sz w:val="20"/>
          <w:vertAlign w:val="baseline"/>
        </w:rPr>
        <w:tab/>
      </w:r>
      <w:r>
        <w:t>This document was not formally edited.</w:t>
      </w:r>
    </w:p>
  </w:footnote>
  <w:footnote w:id="4">
    <w:p w14:paraId="707B56EE" w14:textId="43A90366" w:rsidR="0034669B" w:rsidRPr="00D6081E" w:rsidRDefault="0034669B">
      <w:pPr>
        <w:pStyle w:val="FootnoteText"/>
        <w:rPr>
          <w:lang w:val="en-US"/>
        </w:rPr>
      </w:pPr>
      <w:r>
        <w:tab/>
      </w:r>
      <w:r>
        <w:rPr>
          <w:rStyle w:val="FootnoteReference"/>
        </w:rPr>
        <w:footnoteRef/>
      </w:r>
      <w:r>
        <w:tab/>
      </w:r>
      <w:r w:rsidRPr="00D6081E">
        <w:t>The pan-European region under the Environment for Europe Process covers the full membership of ECE, i.e., the 56 ECE member States.</w:t>
      </w:r>
    </w:p>
  </w:footnote>
  <w:footnote w:id="5">
    <w:p w14:paraId="5AEE504B" w14:textId="6F6372BD" w:rsidR="0034669B" w:rsidRPr="00D6081E" w:rsidRDefault="0034669B" w:rsidP="00D6081E">
      <w:pPr>
        <w:pStyle w:val="FootnoteText"/>
        <w:widowControl w:val="0"/>
        <w:rPr>
          <w:lang w:val="en-US"/>
        </w:rPr>
      </w:pPr>
      <w:r>
        <w:tab/>
      </w:r>
      <w:r>
        <w:rPr>
          <w:rStyle w:val="FootnoteReference"/>
        </w:rPr>
        <w:footnoteRef/>
      </w:r>
      <w:r>
        <w:tab/>
      </w:r>
      <w:r w:rsidRPr="00D6081E">
        <w:t>The term “data sets” covers both environment statistics and environmental indicators.</w:t>
      </w:r>
    </w:p>
  </w:footnote>
  <w:footnote w:id="6">
    <w:p w14:paraId="15BC2E71" w14:textId="090B32FD" w:rsidR="0034669B" w:rsidRPr="00D6081E" w:rsidRDefault="0034669B">
      <w:pPr>
        <w:pStyle w:val="FootnoteText"/>
        <w:rPr>
          <w:lang w:val="en-US"/>
        </w:rPr>
      </w:pPr>
      <w:r>
        <w:tab/>
      </w:r>
      <w:r>
        <w:rPr>
          <w:rStyle w:val="FootnoteReference"/>
        </w:rPr>
        <w:footnoteRef/>
      </w:r>
      <w:r>
        <w:tab/>
      </w:r>
      <w:r w:rsidRPr="00113256">
        <w:t xml:space="preserve">See </w:t>
      </w:r>
      <w:r>
        <w:t>the United Nations Environment Programme (</w:t>
      </w:r>
      <w:r w:rsidRPr="00113256">
        <w:t>UNEP</w:t>
      </w:r>
      <w:r>
        <w:t>)</w:t>
      </w:r>
      <w:r w:rsidRPr="00113256">
        <w:t xml:space="preserve"> Global Environment Goals (see http://geg.informea.org).</w:t>
      </w:r>
    </w:p>
  </w:footnote>
  <w:footnote w:id="7">
    <w:p w14:paraId="31620FB2" w14:textId="4A99B691" w:rsidR="0034669B" w:rsidRPr="00113256" w:rsidRDefault="0034669B" w:rsidP="0095797F">
      <w:pPr>
        <w:pStyle w:val="FootnoteText"/>
        <w:widowControl w:val="0"/>
        <w:tabs>
          <w:tab w:val="clear" w:pos="1021"/>
          <w:tab w:val="right" w:pos="1020"/>
        </w:tabs>
      </w:pPr>
      <w:r>
        <w:tab/>
      </w:r>
      <w:r w:rsidRPr="00113256">
        <w:rPr>
          <w:vertAlign w:val="superscript"/>
        </w:rPr>
        <w:footnoteRef/>
      </w:r>
      <w:r>
        <w:tab/>
        <w:t>This is also i</w:t>
      </w:r>
      <w:r w:rsidRPr="00113256">
        <w:t>n line with the approach taken for the ENPI-SEIS East Region Synthesis Report.</w:t>
      </w:r>
    </w:p>
  </w:footnote>
  <w:footnote w:id="8">
    <w:p w14:paraId="1A00FCA8" w14:textId="38A2F589" w:rsidR="0034669B" w:rsidRPr="0095797F" w:rsidRDefault="0034669B" w:rsidP="0095797F">
      <w:pPr>
        <w:pStyle w:val="FootnoteText"/>
        <w:widowControl w:val="0"/>
        <w:tabs>
          <w:tab w:val="clear" w:pos="1021"/>
          <w:tab w:val="right" w:pos="1020"/>
        </w:tabs>
        <w:rPr>
          <w:lang w:val="en-US"/>
        </w:rPr>
      </w:pPr>
      <w:r>
        <w:tab/>
      </w:r>
      <w:r w:rsidRPr="00113256">
        <w:rPr>
          <w:vertAlign w:val="superscript"/>
        </w:rPr>
        <w:footnoteRef/>
      </w:r>
      <w:r>
        <w:tab/>
      </w:r>
      <w:r w:rsidRPr="00113256">
        <w:t xml:space="preserve">EEA members are the ECE countries members of the European Union as well as Iceland, Lichtenstein, Norway, Switzerland and Turkey. The capacity for the review body should be examined by the EEA and ECE </w:t>
      </w:r>
      <w:r>
        <w:t>s</w:t>
      </w:r>
      <w:r w:rsidRPr="00113256">
        <w:t>ecretariat.</w:t>
      </w:r>
    </w:p>
  </w:footnote>
  <w:footnote w:id="9">
    <w:p w14:paraId="32E96D1C" w14:textId="77777777" w:rsidR="0034669B" w:rsidRPr="000B032D" w:rsidRDefault="0034669B" w:rsidP="000B032D">
      <w:pPr>
        <w:pStyle w:val="FootnoteText"/>
        <w:widowControl w:val="0"/>
        <w:tabs>
          <w:tab w:val="clear" w:pos="1021"/>
          <w:tab w:val="right" w:pos="1020"/>
        </w:tabs>
        <w:rPr>
          <w:lang w:val="en-US"/>
        </w:rPr>
      </w:pPr>
      <w:r>
        <w:tab/>
      </w:r>
      <w:r>
        <w:rPr>
          <w:rStyle w:val="FootnoteReference"/>
        </w:rPr>
        <w:footnoteRef/>
      </w:r>
      <w:r>
        <w:tab/>
      </w:r>
      <w:r w:rsidRPr="002962F0">
        <w:t>See www.unep.org/uneplive.</w:t>
      </w:r>
    </w:p>
  </w:footnote>
  <w:footnote w:id="10">
    <w:p w14:paraId="400B87DD" w14:textId="77777777" w:rsidR="0034669B" w:rsidRPr="000B032D" w:rsidRDefault="0034669B" w:rsidP="000B032D">
      <w:pPr>
        <w:pStyle w:val="FootnoteText"/>
        <w:widowControl w:val="0"/>
        <w:tabs>
          <w:tab w:val="clear" w:pos="1021"/>
          <w:tab w:val="right" w:pos="1020"/>
        </w:tabs>
        <w:rPr>
          <w:lang w:val="en-US"/>
        </w:rPr>
      </w:pPr>
      <w:r>
        <w:tab/>
      </w:r>
      <w:r>
        <w:rPr>
          <w:rStyle w:val="FootnoteReference"/>
        </w:rPr>
        <w:footnoteRef/>
      </w:r>
      <w:r>
        <w:tab/>
      </w:r>
      <w:r w:rsidRPr="00623362">
        <w:t>Austria, Bosnia and Herzegovina, Georgia, Germany, France, Kyrgyzstan, Lithuania, Russian Federation, Sweden, Switzerland.</w:t>
      </w:r>
    </w:p>
  </w:footnote>
  <w:footnote w:id="11">
    <w:p w14:paraId="15680813" w14:textId="77777777" w:rsidR="0034669B" w:rsidRPr="000B032D" w:rsidRDefault="0034669B" w:rsidP="000B032D">
      <w:pPr>
        <w:pStyle w:val="FootnoteText"/>
        <w:widowControl w:val="0"/>
        <w:tabs>
          <w:tab w:val="clear" w:pos="1021"/>
          <w:tab w:val="right" w:pos="1020"/>
        </w:tabs>
        <w:rPr>
          <w:lang w:val="en-US"/>
        </w:rPr>
      </w:pPr>
      <w:r>
        <w:tab/>
      </w:r>
      <w:r>
        <w:rPr>
          <w:rStyle w:val="FootnoteReference"/>
        </w:rPr>
        <w:footnoteRef/>
      </w:r>
      <w:r>
        <w:tab/>
      </w:r>
      <w:r w:rsidRPr="00623362">
        <w:t>All references to Kosovo in this report should be understood to be in the context of United Nations Security Council resolution 1244 (1999).</w:t>
      </w:r>
    </w:p>
  </w:footnote>
  <w:footnote w:id="12">
    <w:p w14:paraId="530A6BC3" w14:textId="77777777" w:rsidR="0034669B" w:rsidRPr="000B032D" w:rsidRDefault="0034669B" w:rsidP="000B032D">
      <w:pPr>
        <w:pStyle w:val="FootnoteText"/>
        <w:widowControl w:val="0"/>
        <w:tabs>
          <w:tab w:val="clear" w:pos="1021"/>
          <w:tab w:val="right" w:pos="1020"/>
        </w:tabs>
        <w:rPr>
          <w:lang w:val="en-US"/>
        </w:rPr>
      </w:pPr>
      <w:r>
        <w:tab/>
      </w:r>
      <w:r>
        <w:rPr>
          <w:rStyle w:val="FootnoteReference"/>
        </w:rPr>
        <w:footnoteRef/>
      </w:r>
      <w:r>
        <w:tab/>
      </w:r>
      <w:r w:rsidRPr="00623362">
        <w:t>Albania, Armenia, Austria, Azerbaijan, Belarus, Bosnia and Herzegovina, Bulgaria, Czech Republic, Germany, Finland, France, Italy, Kyrgyzstan, Republic of Moldova, Romania, Russian Federation, Serbia, Slovakia, Spain, Switzerland, the former Yugoslav Republic of Macedonia and Ukraine.</w:t>
      </w:r>
    </w:p>
  </w:footnote>
  <w:footnote w:id="13">
    <w:p w14:paraId="51D4EDC8" w14:textId="77777777" w:rsidR="0034669B" w:rsidRPr="000B032D" w:rsidRDefault="0034669B" w:rsidP="000B032D">
      <w:pPr>
        <w:pStyle w:val="FootnoteText"/>
        <w:widowControl w:val="0"/>
        <w:tabs>
          <w:tab w:val="clear" w:pos="1021"/>
          <w:tab w:val="right" w:pos="1020"/>
        </w:tabs>
        <w:rPr>
          <w:lang w:val="en-US"/>
        </w:rPr>
      </w:pPr>
      <w:r>
        <w:tab/>
      </w:r>
      <w:r>
        <w:rPr>
          <w:rStyle w:val="FootnoteReference"/>
        </w:rPr>
        <w:footnoteRef/>
      </w:r>
      <w:r>
        <w:tab/>
      </w:r>
      <w:proofErr w:type="gramStart"/>
      <w:r w:rsidRPr="00E915E3">
        <w:rPr>
          <w:sz w:val="16"/>
          <w:szCs w:val="16"/>
        </w:rPr>
        <w:t>B</w:t>
      </w:r>
      <w:r w:rsidRPr="00623362">
        <w:t>elgium, Denmark, Georgia, Kazakhstan, Latvia, Luxembourg, Malta, Tajikistan and Uzbekistan.</w:t>
      </w:r>
      <w:proofErr w:type="gramEnd"/>
    </w:p>
  </w:footnote>
  <w:footnote w:id="14">
    <w:p w14:paraId="70B2F89B" w14:textId="77777777" w:rsidR="0034669B" w:rsidRPr="000B032D" w:rsidRDefault="0034669B" w:rsidP="000B032D">
      <w:pPr>
        <w:pStyle w:val="FootnoteText"/>
        <w:widowControl w:val="0"/>
        <w:tabs>
          <w:tab w:val="clear" w:pos="1021"/>
          <w:tab w:val="right" w:pos="1020"/>
        </w:tabs>
        <w:rPr>
          <w:lang w:val="en-US"/>
        </w:rPr>
      </w:pPr>
      <w:r>
        <w:tab/>
      </w:r>
      <w:r>
        <w:rPr>
          <w:rStyle w:val="FootnoteReference"/>
        </w:rPr>
        <w:footnoteRef/>
      </w:r>
      <w:r>
        <w:tab/>
      </w:r>
      <w:r w:rsidRPr="00623362">
        <w:t>Canada, the United States of America and Israel were not included in the review.</w:t>
      </w:r>
    </w:p>
  </w:footnote>
  <w:footnote w:id="15">
    <w:p w14:paraId="1CF8422E" w14:textId="77777777" w:rsidR="0034669B" w:rsidRPr="005309A9" w:rsidRDefault="0034669B" w:rsidP="005309A9">
      <w:pPr>
        <w:pStyle w:val="FootnoteText"/>
        <w:widowControl w:val="0"/>
        <w:tabs>
          <w:tab w:val="clear" w:pos="1021"/>
          <w:tab w:val="right" w:pos="1020"/>
        </w:tabs>
        <w:rPr>
          <w:lang w:val="en-US"/>
        </w:rPr>
      </w:pPr>
      <w:r>
        <w:tab/>
      </w:r>
      <w:r>
        <w:rPr>
          <w:rStyle w:val="FootnoteReference"/>
        </w:rPr>
        <w:footnoteRef/>
      </w:r>
      <w:r>
        <w:tab/>
      </w:r>
      <w:r w:rsidRPr="00623362">
        <w:t>The themes correspond to regional priorities and/or Global Environmental Goals (See UNEP Global Environment Goals website http://geg.informea.org/).</w:t>
      </w:r>
    </w:p>
  </w:footnote>
  <w:footnote w:id="16">
    <w:p w14:paraId="7B0F9987" w14:textId="6D3E622D" w:rsidR="0034669B" w:rsidRPr="005309A9" w:rsidRDefault="0034669B" w:rsidP="005309A9">
      <w:pPr>
        <w:pStyle w:val="FootnoteText"/>
        <w:widowControl w:val="0"/>
        <w:tabs>
          <w:tab w:val="clear" w:pos="1021"/>
          <w:tab w:val="right" w:pos="1020"/>
        </w:tabs>
        <w:rPr>
          <w:lang w:val="en-US"/>
        </w:rPr>
      </w:pPr>
      <w:r>
        <w:tab/>
      </w:r>
      <w:r w:rsidRPr="00054F1D">
        <w:rPr>
          <w:rStyle w:val="FootnoteReference"/>
        </w:rPr>
        <w:footnoteRef/>
      </w:r>
      <w:r w:rsidRPr="00054F1D">
        <w:tab/>
        <w:t>Covering the same member States as indicated in Section B, paragraph 30.</w:t>
      </w:r>
    </w:p>
  </w:footnote>
  <w:footnote w:id="17">
    <w:p w14:paraId="2081C070" w14:textId="5BB3C550" w:rsidR="0034669B" w:rsidRPr="00C21DE9" w:rsidRDefault="0034669B" w:rsidP="00C21DE9">
      <w:pPr>
        <w:pStyle w:val="FootnoteText"/>
        <w:widowControl w:val="0"/>
        <w:tabs>
          <w:tab w:val="clear" w:pos="1021"/>
          <w:tab w:val="right" w:pos="1020"/>
        </w:tabs>
        <w:rPr>
          <w:lang w:val="en-US"/>
        </w:rPr>
      </w:pPr>
      <w:r>
        <w:tab/>
      </w:r>
      <w:r>
        <w:rPr>
          <w:rStyle w:val="FootnoteReference"/>
        </w:rPr>
        <w:footnoteRef/>
      </w:r>
      <w:r>
        <w:tab/>
      </w:r>
      <w:r w:rsidRPr="00623362">
        <w:t>The geographical area covered by the project is laid out in regulation EC/1638/2006 establishing a European Neighbourhood and Partnership Instrument, covering Armenia, Azerbaijan, Belarus, Georgia, Moldova and Ukraine (see www.eea.europa.eu/publications/enpi-seis-east-region-synthesis-report).</w:t>
      </w:r>
    </w:p>
  </w:footnote>
  <w:footnote w:id="18">
    <w:p w14:paraId="2CC04DD9" w14:textId="2F2E754C" w:rsidR="0034669B" w:rsidRPr="00C21DE9" w:rsidRDefault="0034669B" w:rsidP="00C21DE9">
      <w:pPr>
        <w:pStyle w:val="FootnoteText"/>
        <w:widowControl w:val="0"/>
        <w:tabs>
          <w:tab w:val="clear" w:pos="1021"/>
          <w:tab w:val="right" w:pos="1020"/>
        </w:tabs>
        <w:rPr>
          <w:lang w:val="en-US"/>
        </w:rPr>
      </w:pPr>
      <w:r>
        <w:tab/>
      </w:r>
      <w:r>
        <w:rPr>
          <w:rStyle w:val="FootnoteReference"/>
        </w:rPr>
        <w:footnoteRef/>
      </w:r>
      <w:r>
        <w:tab/>
        <w:t xml:space="preserve">See document </w:t>
      </w:r>
      <w:r w:rsidRPr="009932B3">
        <w:t xml:space="preserve">PRTR/WG.1/2015/Inf.4 </w:t>
      </w:r>
      <w:r>
        <w:t>(</w:t>
      </w:r>
      <w:r w:rsidRPr="009932B3">
        <w:t>availa</w:t>
      </w:r>
      <w:r>
        <w:t>b</w:t>
      </w:r>
      <w:r w:rsidRPr="009932B3">
        <w:t>le from www.unece.org/prtrwgp4.html</w:t>
      </w:r>
      <w:r>
        <w:t>).</w:t>
      </w:r>
    </w:p>
  </w:footnote>
  <w:footnote w:id="19">
    <w:p w14:paraId="68774A68" w14:textId="2B2BFD9C" w:rsidR="0034669B" w:rsidRPr="00C21DE9" w:rsidRDefault="0034669B" w:rsidP="00C21DE9">
      <w:pPr>
        <w:pStyle w:val="FootnoteText"/>
        <w:widowControl w:val="0"/>
        <w:tabs>
          <w:tab w:val="clear" w:pos="1021"/>
          <w:tab w:val="right" w:pos="1020"/>
        </w:tabs>
        <w:rPr>
          <w:lang w:val="en-US"/>
        </w:rPr>
      </w:pPr>
      <w:r>
        <w:tab/>
      </w:r>
      <w:r>
        <w:rPr>
          <w:rStyle w:val="FootnoteReference"/>
        </w:rPr>
        <w:footnoteRef/>
      </w:r>
      <w:r>
        <w:tab/>
      </w:r>
      <w:r w:rsidRPr="009932B3">
        <w:t xml:space="preserve">See document AC/TF.AI-4/Inf. 5 </w:t>
      </w:r>
      <w:r>
        <w:t>(</w:t>
      </w:r>
      <w:r w:rsidRPr="009932B3">
        <w:t>available from www.unece.org/env/pp/aarhus/tfai4.html</w:t>
      </w:r>
      <w:r>
        <w:t>).</w:t>
      </w:r>
    </w:p>
  </w:footnote>
  <w:footnote w:id="20">
    <w:p w14:paraId="436E6A0C" w14:textId="6225B33D" w:rsidR="0034669B" w:rsidRPr="006D69F7" w:rsidRDefault="0034669B" w:rsidP="006D69F7">
      <w:pPr>
        <w:pStyle w:val="FootnoteText"/>
        <w:widowControl w:val="0"/>
        <w:tabs>
          <w:tab w:val="clear" w:pos="1021"/>
          <w:tab w:val="right" w:pos="1020"/>
        </w:tabs>
        <w:rPr>
          <w:lang w:val="en-US"/>
        </w:rPr>
      </w:pPr>
      <w:r>
        <w:tab/>
      </w:r>
      <w:r>
        <w:rPr>
          <w:rStyle w:val="FootnoteReference"/>
        </w:rPr>
        <w:footnoteRef/>
      </w:r>
      <w:r>
        <w:tab/>
        <w:t xml:space="preserve">The </w:t>
      </w:r>
      <w:r w:rsidRPr="007629AD">
        <w:t xml:space="preserve">ECE data quality framework </w:t>
      </w:r>
      <w:r>
        <w:t>should</w:t>
      </w:r>
      <w:r w:rsidRPr="007629AD">
        <w:t xml:space="preserve"> be considered </w:t>
      </w:r>
      <w:r>
        <w:t xml:space="preserve">in future performance analysis (see </w:t>
      </w:r>
      <w:r w:rsidRPr="007629AD">
        <w:t>http://unstats.un.org/unsd/dnss/docs-nqaf/UNECE-Quality%20Improvement%20Programme%202010.pdf)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C04F" w14:textId="77777777" w:rsidR="0034669B" w:rsidRPr="005C74C7" w:rsidRDefault="0034669B">
    <w:pPr>
      <w:pStyle w:val="Header"/>
    </w:pPr>
    <w:r>
      <w:t>ECE/CEP/S/2016/L.9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B6BC" w14:textId="77777777" w:rsidR="0034669B" w:rsidRPr="005C74C7" w:rsidRDefault="0034669B" w:rsidP="005C74C7">
    <w:pPr>
      <w:pStyle w:val="Header"/>
      <w:jc w:val="right"/>
    </w:pPr>
    <w:r>
      <w:t>ECE/CEP/S/2016/L.9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44AC" w14:textId="77777777" w:rsidR="0034669B" w:rsidRPr="006A540D" w:rsidRDefault="0034669B" w:rsidP="006A540D">
    <w:r>
      <w:rPr>
        <w:noProof/>
        <w:lang w:eastAsia="en-GB"/>
      </w:rPr>
      <mc:AlternateContent>
        <mc:Choice Requires="wps">
          <w:drawing>
            <wp:anchor distT="0" distB="0" distL="114300" distR="114300" simplePos="0" relativeHeight="251661312" behindDoc="0" locked="0" layoutInCell="1" allowOverlap="1" wp14:anchorId="4E1A9B4D" wp14:editId="6DC4C65E">
              <wp:simplePos x="0" y="0"/>
              <wp:positionH relativeFrom="page">
                <wp:posOffset>9791700</wp:posOffset>
              </wp:positionH>
              <wp:positionV relativeFrom="margin">
                <wp:posOffset>0</wp:posOffset>
              </wp:positionV>
              <wp:extent cx="219456" cy="6122822"/>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47FFE698" w14:textId="77777777" w:rsidR="0034669B" w:rsidRPr="005C74C7" w:rsidRDefault="0034669B" w:rsidP="006A540D">
                          <w:pPr>
                            <w:pStyle w:val="Header"/>
                          </w:pPr>
                          <w:r>
                            <w:t>ECE/CEP/S/2016/L.9</w:t>
                          </w:r>
                        </w:p>
                        <w:p w14:paraId="3F3E3367" w14:textId="77777777" w:rsidR="0034669B" w:rsidRDefault="003466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6" o:spid="_x0000_s1026" type="#_x0000_t202" style="position:absolute;margin-left:771pt;margin-top:0;width:17.3pt;height:482.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" fillcolor="white [3212]" stroked="f">
              <v:stroke joinstyle="round"/>
              <v:path arrowok="t"/>
              <v:textbox style="layout-flow:vertical" inset="0,0,0,0">
                <w:txbxContent>
                  <w:p w14:paraId="47FFE698" w14:textId="77777777" w:rsidR="00E275A5" w:rsidRPr="005C74C7" w:rsidRDefault="00E275A5" w:rsidP="006A540D">
                    <w:pPr>
                      <w:pStyle w:val="Header"/>
                    </w:pPr>
                    <w:r>
                      <w:t>ECE/CEP/S/2016/L.9</w:t>
                    </w:r>
                  </w:p>
                  <w:p w14:paraId="3F3E3367" w14:textId="77777777" w:rsidR="00E275A5" w:rsidRDefault="00E275A5"/>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5C3A4" w14:textId="77777777" w:rsidR="0034669B" w:rsidRPr="006A540D" w:rsidRDefault="0034669B" w:rsidP="006A540D">
    <w:r>
      <w:rPr>
        <w:noProof/>
        <w:lang w:eastAsia="en-GB"/>
      </w:rPr>
      <mc:AlternateContent>
        <mc:Choice Requires="wps">
          <w:drawing>
            <wp:anchor distT="0" distB="0" distL="114300" distR="114300" simplePos="0" relativeHeight="251659264" behindDoc="0" locked="0" layoutInCell="1" allowOverlap="1" wp14:anchorId="30FAE57B" wp14:editId="244277BA">
              <wp:simplePos x="0" y="0"/>
              <wp:positionH relativeFrom="page">
                <wp:posOffset>9791700</wp:posOffset>
              </wp:positionH>
              <wp:positionV relativeFrom="margin">
                <wp:posOffset>0</wp:posOffset>
              </wp:positionV>
              <wp:extent cx="219456" cy="6122822"/>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456" cy="6122822"/>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498A904F" w14:textId="77777777" w:rsidR="0034669B" w:rsidRPr="005C74C7" w:rsidRDefault="0034669B" w:rsidP="006A540D">
                          <w:pPr>
                            <w:pStyle w:val="Header"/>
                            <w:jc w:val="right"/>
                          </w:pPr>
                          <w:r>
                            <w:t>ECE/CEP/S/2016/L.9</w:t>
                          </w:r>
                        </w:p>
                        <w:p w14:paraId="63CF0AA7" w14:textId="77777777" w:rsidR="0034669B" w:rsidRDefault="003466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7" type="#_x0000_t202" style="position:absolute;margin-left:771pt;margin-top:0;width:17.3pt;height:482.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" fillcolor="white [3212]" stroked="f">
              <v:stroke joinstyle="round"/>
              <v:path arrowok="t"/>
              <v:textbox style="layout-flow:vertical" inset="0,0,0,0">
                <w:txbxContent>
                  <w:p w14:paraId="498A904F" w14:textId="77777777" w:rsidR="00E275A5" w:rsidRPr="005C74C7" w:rsidRDefault="00E275A5" w:rsidP="006A540D">
                    <w:pPr>
                      <w:pStyle w:val="Header"/>
                      <w:jc w:val="right"/>
                    </w:pPr>
                    <w:r>
                      <w:t>ECE/CEP/S/2016/L.9</w:t>
                    </w:r>
                  </w:p>
                  <w:p w14:paraId="63CF0AA7" w14:textId="77777777" w:rsidR="00E275A5" w:rsidRDefault="00E275A5"/>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BD3F8" w14:textId="77777777" w:rsidR="0034669B" w:rsidRDefault="003466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BBDB2" w14:textId="77777777" w:rsidR="0034669B" w:rsidRPr="006A540D" w:rsidRDefault="0034669B" w:rsidP="006A540D">
    <w:pPr>
      <w:pStyle w:val="Header"/>
    </w:pPr>
    <w:r>
      <w:t>ECE/CEP/S/2016/L.9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1472C" w14:textId="77777777" w:rsidR="0034669B" w:rsidRPr="006A540D" w:rsidRDefault="0034669B" w:rsidP="006A540D">
    <w:pPr>
      <w:pStyle w:val="Header"/>
      <w:jc w:val="right"/>
    </w:pPr>
    <w:r>
      <w:t>ECE/CEP/S/2016/L.9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2C1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8C5740"/>
    <w:multiLevelType w:val="multilevel"/>
    <w:tmpl w:val="F7D2EF4C"/>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059E2BA5"/>
    <w:multiLevelType w:val="hybridMultilevel"/>
    <w:tmpl w:val="21CABD9E"/>
    <w:lvl w:ilvl="0" w:tplc="5CC0C3E8">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08184181"/>
    <w:multiLevelType w:val="multilevel"/>
    <w:tmpl w:val="17F8C6A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0CDD39EC"/>
    <w:multiLevelType w:val="hybridMultilevel"/>
    <w:tmpl w:val="234EB308"/>
    <w:lvl w:ilvl="0" w:tplc="08090019">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6">
    <w:nsid w:val="0E06286D"/>
    <w:multiLevelType w:val="hybridMultilevel"/>
    <w:tmpl w:val="234EB308"/>
    <w:lvl w:ilvl="0" w:tplc="08090019">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7">
    <w:nsid w:val="118721CB"/>
    <w:multiLevelType w:val="multilevel"/>
    <w:tmpl w:val="F3C6761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15C01A58"/>
    <w:multiLevelType w:val="multilevel"/>
    <w:tmpl w:val="E7122DE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nsid w:val="18470F58"/>
    <w:multiLevelType w:val="multilevel"/>
    <w:tmpl w:val="EFAE683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F51172B"/>
    <w:multiLevelType w:val="hybridMultilevel"/>
    <w:tmpl w:val="24B810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229D2BAA"/>
    <w:multiLevelType w:val="hybridMultilevel"/>
    <w:tmpl w:val="B6BCD3A2"/>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5">
    <w:nsid w:val="2E05299C"/>
    <w:multiLevelType w:val="hybridMultilevel"/>
    <w:tmpl w:val="C8EC9552"/>
    <w:lvl w:ilvl="0" w:tplc="26B8BB80">
      <w:start w:val="1"/>
      <w:numFmt w:val="lowerRoman"/>
      <w:lvlText w:val="(%1)"/>
      <w:lvlJc w:val="left"/>
      <w:pPr>
        <w:ind w:left="3408" w:hanging="114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nsid w:val="300E39F0"/>
    <w:multiLevelType w:val="multilevel"/>
    <w:tmpl w:val="D710277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474093C"/>
    <w:multiLevelType w:val="hybridMultilevel"/>
    <w:tmpl w:val="9ADA1032"/>
    <w:lvl w:ilvl="0" w:tplc="C4F0E01E">
      <w:start w:val="1"/>
      <w:numFmt w:val="upperRoman"/>
      <w:lvlText w:val="%1."/>
      <w:lvlJc w:val="left"/>
      <w:pPr>
        <w:ind w:left="1288"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A982206"/>
    <w:multiLevelType w:val="hybridMultilevel"/>
    <w:tmpl w:val="067649FE"/>
    <w:lvl w:ilvl="0" w:tplc="5CC0C3E8">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nsid w:val="4CBE6A50"/>
    <w:multiLevelType w:val="hybridMultilevel"/>
    <w:tmpl w:val="0BBA22DE"/>
    <w:lvl w:ilvl="0" w:tplc="2366790A">
      <w:start w:val="1"/>
      <w:numFmt w:val="upp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2">
    <w:nsid w:val="4FF66247"/>
    <w:multiLevelType w:val="multilevel"/>
    <w:tmpl w:val="A49A0F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7"/>
  </w:num>
  <w:num w:numId="12">
    <w:abstractNumId w:val="22"/>
  </w:num>
  <w:num w:numId="13">
    <w:abstractNumId w:val="11"/>
  </w:num>
  <w:num w:numId="14">
    <w:abstractNumId w:val="20"/>
  </w:num>
  <w:num w:numId="15">
    <w:abstractNumId w:val="29"/>
  </w:num>
  <w:num w:numId="16">
    <w:abstractNumId w:val="21"/>
  </w:num>
  <w:num w:numId="17">
    <w:abstractNumId w:val="33"/>
  </w:num>
  <w:num w:numId="18">
    <w:abstractNumId w:val="34"/>
  </w:num>
  <w:num w:numId="19">
    <w:abstractNumId w:val="28"/>
  </w:num>
  <w:num w:numId="20">
    <w:abstractNumId w:val="30"/>
  </w:num>
  <w:num w:numId="21">
    <w:abstractNumId w:val="13"/>
  </w:num>
  <w:num w:numId="22">
    <w:abstractNumId w:val="16"/>
  </w:num>
  <w:num w:numId="23">
    <w:abstractNumId w:val="15"/>
  </w:num>
  <w:num w:numId="24">
    <w:abstractNumId w:val="25"/>
  </w:num>
  <w:num w:numId="25">
    <w:abstractNumId w:val="0"/>
  </w:num>
  <w:num w:numId="26">
    <w:abstractNumId w:val="31"/>
  </w:num>
  <w:num w:numId="27">
    <w:abstractNumId w:val="19"/>
  </w:num>
  <w:num w:numId="28">
    <w:abstractNumId w:val="17"/>
  </w:num>
  <w:num w:numId="29">
    <w:abstractNumId w:val="18"/>
  </w:num>
  <w:num w:numId="30">
    <w:abstractNumId w:val="32"/>
  </w:num>
  <w:num w:numId="31">
    <w:abstractNumId w:val="14"/>
  </w:num>
  <w:num w:numId="32">
    <w:abstractNumId w:val="26"/>
  </w:num>
  <w:num w:numId="33">
    <w:abstractNumId w:val="23"/>
  </w:num>
  <w:num w:numId="34">
    <w:abstractNumId w:val="12"/>
  </w:num>
  <w:num w:numId="3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C7"/>
    <w:rsid w:val="00002A7D"/>
    <w:rsid w:val="000038A8"/>
    <w:rsid w:val="00006790"/>
    <w:rsid w:val="00014B6E"/>
    <w:rsid w:val="00023B78"/>
    <w:rsid w:val="00027624"/>
    <w:rsid w:val="00046182"/>
    <w:rsid w:val="00050F6B"/>
    <w:rsid w:val="00054F1D"/>
    <w:rsid w:val="000561BC"/>
    <w:rsid w:val="00062B87"/>
    <w:rsid w:val="000678CD"/>
    <w:rsid w:val="00072C8C"/>
    <w:rsid w:val="000764C5"/>
    <w:rsid w:val="00080692"/>
    <w:rsid w:val="00081CE0"/>
    <w:rsid w:val="00084D30"/>
    <w:rsid w:val="00090320"/>
    <w:rsid w:val="00091ED1"/>
    <w:rsid w:val="000931C0"/>
    <w:rsid w:val="000A0B34"/>
    <w:rsid w:val="000A1750"/>
    <w:rsid w:val="000A2E09"/>
    <w:rsid w:val="000B032D"/>
    <w:rsid w:val="000B175B"/>
    <w:rsid w:val="000B3A0F"/>
    <w:rsid w:val="000C71F8"/>
    <w:rsid w:val="000E0415"/>
    <w:rsid w:val="000F0602"/>
    <w:rsid w:val="000F7715"/>
    <w:rsid w:val="0010150F"/>
    <w:rsid w:val="0010287C"/>
    <w:rsid w:val="00112A40"/>
    <w:rsid w:val="00113256"/>
    <w:rsid w:val="001338D0"/>
    <w:rsid w:val="00135416"/>
    <w:rsid w:val="001423CA"/>
    <w:rsid w:val="00144C71"/>
    <w:rsid w:val="001472B7"/>
    <w:rsid w:val="001476AD"/>
    <w:rsid w:val="00153B62"/>
    <w:rsid w:val="0015425F"/>
    <w:rsid w:val="00156426"/>
    <w:rsid w:val="00156B99"/>
    <w:rsid w:val="00166124"/>
    <w:rsid w:val="001722EB"/>
    <w:rsid w:val="0017623A"/>
    <w:rsid w:val="00184DDA"/>
    <w:rsid w:val="001900CD"/>
    <w:rsid w:val="001969AA"/>
    <w:rsid w:val="001A0452"/>
    <w:rsid w:val="001A5CFE"/>
    <w:rsid w:val="001B0EB4"/>
    <w:rsid w:val="001B4B04"/>
    <w:rsid w:val="001B5875"/>
    <w:rsid w:val="001C3B67"/>
    <w:rsid w:val="001C4B9C"/>
    <w:rsid w:val="001C6663"/>
    <w:rsid w:val="001C7895"/>
    <w:rsid w:val="001D26DF"/>
    <w:rsid w:val="001D5AB5"/>
    <w:rsid w:val="001D7B88"/>
    <w:rsid w:val="001E0651"/>
    <w:rsid w:val="001F1599"/>
    <w:rsid w:val="001F19C4"/>
    <w:rsid w:val="002023D2"/>
    <w:rsid w:val="002043F0"/>
    <w:rsid w:val="00211E0B"/>
    <w:rsid w:val="00214309"/>
    <w:rsid w:val="00217730"/>
    <w:rsid w:val="00226753"/>
    <w:rsid w:val="00230154"/>
    <w:rsid w:val="00230462"/>
    <w:rsid w:val="00231E32"/>
    <w:rsid w:val="00232575"/>
    <w:rsid w:val="00233D9F"/>
    <w:rsid w:val="0023543F"/>
    <w:rsid w:val="00247258"/>
    <w:rsid w:val="002558F6"/>
    <w:rsid w:val="00257CAC"/>
    <w:rsid w:val="00260FFA"/>
    <w:rsid w:val="0027237A"/>
    <w:rsid w:val="00273EAA"/>
    <w:rsid w:val="0029232C"/>
    <w:rsid w:val="002962F0"/>
    <w:rsid w:val="00296F82"/>
    <w:rsid w:val="002974E9"/>
    <w:rsid w:val="002A7F94"/>
    <w:rsid w:val="002B109A"/>
    <w:rsid w:val="002B2D44"/>
    <w:rsid w:val="002C6D45"/>
    <w:rsid w:val="002D2078"/>
    <w:rsid w:val="002D2D39"/>
    <w:rsid w:val="002D4816"/>
    <w:rsid w:val="002D6E53"/>
    <w:rsid w:val="002E1E5B"/>
    <w:rsid w:val="002F046D"/>
    <w:rsid w:val="00301764"/>
    <w:rsid w:val="0031507D"/>
    <w:rsid w:val="003171D2"/>
    <w:rsid w:val="003229D8"/>
    <w:rsid w:val="0033367A"/>
    <w:rsid w:val="0033434C"/>
    <w:rsid w:val="00336C97"/>
    <w:rsid w:val="00337F88"/>
    <w:rsid w:val="00342432"/>
    <w:rsid w:val="0034669B"/>
    <w:rsid w:val="0035223F"/>
    <w:rsid w:val="00352D4B"/>
    <w:rsid w:val="00353C8C"/>
    <w:rsid w:val="00354B59"/>
    <w:rsid w:val="0035638C"/>
    <w:rsid w:val="00357D9F"/>
    <w:rsid w:val="00360899"/>
    <w:rsid w:val="003672C4"/>
    <w:rsid w:val="003A46BB"/>
    <w:rsid w:val="003A4EC7"/>
    <w:rsid w:val="003A7295"/>
    <w:rsid w:val="003B0FDE"/>
    <w:rsid w:val="003B1F60"/>
    <w:rsid w:val="003B3FA6"/>
    <w:rsid w:val="003B44B6"/>
    <w:rsid w:val="003C2CC4"/>
    <w:rsid w:val="003D4B23"/>
    <w:rsid w:val="003D4BF9"/>
    <w:rsid w:val="003E2653"/>
    <w:rsid w:val="003E278A"/>
    <w:rsid w:val="003F4E8C"/>
    <w:rsid w:val="003F68D5"/>
    <w:rsid w:val="00413520"/>
    <w:rsid w:val="0042442E"/>
    <w:rsid w:val="004325CB"/>
    <w:rsid w:val="004327CF"/>
    <w:rsid w:val="00433796"/>
    <w:rsid w:val="0043388D"/>
    <w:rsid w:val="00440A07"/>
    <w:rsid w:val="00442829"/>
    <w:rsid w:val="004552ED"/>
    <w:rsid w:val="00462880"/>
    <w:rsid w:val="004655A3"/>
    <w:rsid w:val="00472128"/>
    <w:rsid w:val="00476F24"/>
    <w:rsid w:val="0048007C"/>
    <w:rsid w:val="00492B4B"/>
    <w:rsid w:val="004B27A4"/>
    <w:rsid w:val="004C55B0"/>
    <w:rsid w:val="004C593E"/>
    <w:rsid w:val="004D0C0C"/>
    <w:rsid w:val="004D1617"/>
    <w:rsid w:val="004D7ED4"/>
    <w:rsid w:val="004E4EC6"/>
    <w:rsid w:val="004F21F1"/>
    <w:rsid w:val="004F6BA0"/>
    <w:rsid w:val="00502025"/>
    <w:rsid w:val="0050324B"/>
    <w:rsid w:val="00503BEA"/>
    <w:rsid w:val="00504353"/>
    <w:rsid w:val="00504757"/>
    <w:rsid w:val="005079FB"/>
    <w:rsid w:val="005100CB"/>
    <w:rsid w:val="00511975"/>
    <w:rsid w:val="005309A9"/>
    <w:rsid w:val="00533616"/>
    <w:rsid w:val="00535ABA"/>
    <w:rsid w:val="0053768B"/>
    <w:rsid w:val="005420F2"/>
    <w:rsid w:val="0054285C"/>
    <w:rsid w:val="00584173"/>
    <w:rsid w:val="005868C8"/>
    <w:rsid w:val="00595520"/>
    <w:rsid w:val="005A44B9"/>
    <w:rsid w:val="005A7587"/>
    <w:rsid w:val="005B1BA0"/>
    <w:rsid w:val="005B2B5C"/>
    <w:rsid w:val="005B3DB3"/>
    <w:rsid w:val="005C74C7"/>
    <w:rsid w:val="005D109B"/>
    <w:rsid w:val="005D15CA"/>
    <w:rsid w:val="005D1FE9"/>
    <w:rsid w:val="005D3C2E"/>
    <w:rsid w:val="005D4C81"/>
    <w:rsid w:val="005E4119"/>
    <w:rsid w:val="005F3066"/>
    <w:rsid w:val="005F3E61"/>
    <w:rsid w:val="00604375"/>
    <w:rsid w:val="00604DDD"/>
    <w:rsid w:val="00605308"/>
    <w:rsid w:val="006115CC"/>
    <w:rsid w:val="00611FC4"/>
    <w:rsid w:val="006176FB"/>
    <w:rsid w:val="00620B6F"/>
    <w:rsid w:val="00622CB3"/>
    <w:rsid w:val="00623362"/>
    <w:rsid w:val="00630FCB"/>
    <w:rsid w:val="00632E11"/>
    <w:rsid w:val="00635045"/>
    <w:rsid w:val="0063679C"/>
    <w:rsid w:val="00640B26"/>
    <w:rsid w:val="00641964"/>
    <w:rsid w:val="00674B28"/>
    <w:rsid w:val="006770B2"/>
    <w:rsid w:val="00692999"/>
    <w:rsid w:val="006940E1"/>
    <w:rsid w:val="006A3C72"/>
    <w:rsid w:val="006A540D"/>
    <w:rsid w:val="006A7392"/>
    <w:rsid w:val="006B03A1"/>
    <w:rsid w:val="006B67D9"/>
    <w:rsid w:val="006C1A1F"/>
    <w:rsid w:val="006C5535"/>
    <w:rsid w:val="006C5FD5"/>
    <w:rsid w:val="006D0589"/>
    <w:rsid w:val="006D429B"/>
    <w:rsid w:val="006D69F7"/>
    <w:rsid w:val="006E564B"/>
    <w:rsid w:val="006E7154"/>
    <w:rsid w:val="007003CD"/>
    <w:rsid w:val="0070701E"/>
    <w:rsid w:val="007135A1"/>
    <w:rsid w:val="00717500"/>
    <w:rsid w:val="007256CF"/>
    <w:rsid w:val="00725E2D"/>
    <w:rsid w:val="0072632A"/>
    <w:rsid w:val="007265FC"/>
    <w:rsid w:val="007266BA"/>
    <w:rsid w:val="0073185A"/>
    <w:rsid w:val="007337E3"/>
    <w:rsid w:val="007358E8"/>
    <w:rsid w:val="00736ECE"/>
    <w:rsid w:val="00743D21"/>
    <w:rsid w:val="00744068"/>
    <w:rsid w:val="0074533B"/>
    <w:rsid w:val="00753EEA"/>
    <w:rsid w:val="007643BC"/>
    <w:rsid w:val="00766DF8"/>
    <w:rsid w:val="00774EA7"/>
    <w:rsid w:val="007959FE"/>
    <w:rsid w:val="00796C71"/>
    <w:rsid w:val="00796CA1"/>
    <w:rsid w:val="007A0CF1"/>
    <w:rsid w:val="007B1E5C"/>
    <w:rsid w:val="007B6BA5"/>
    <w:rsid w:val="007C3390"/>
    <w:rsid w:val="007C42D8"/>
    <w:rsid w:val="007C4F4B"/>
    <w:rsid w:val="007D3BB8"/>
    <w:rsid w:val="007D418B"/>
    <w:rsid w:val="007D6C0B"/>
    <w:rsid w:val="007D7362"/>
    <w:rsid w:val="007F5CE2"/>
    <w:rsid w:val="007F6611"/>
    <w:rsid w:val="008054BA"/>
    <w:rsid w:val="008071CE"/>
    <w:rsid w:val="00810BAC"/>
    <w:rsid w:val="00810C6A"/>
    <w:rsid w:val="008175E9"/>
    <w:rsid w:val="008204A3"/>
    <w:rsid w:val="008206B7"/>
    <w:rsid w:val="008242D7"/>
    <w:rsid w:val="0082577B"/>
    <w:rsid w:val="008307F1"/>
    <w:rsid w:val="008347D2"/>
    <w:rsid w:val="008409CD"/>
    <w:rsid w:val="0085686A"/>
    <w:rsid w:val="00865634"/>
    <w:rsid w:val="00866893"/>
    <w:rsid w:val="00866F02"/>
    <w:rsid w:val="00867D18"/>
    <w:rsid w:val="00871F9A"/>
    <w:rsid w:val="00871FD5"/>
    <w:rsid w:val="00876292"/>
    <w:rsid w:val="00877501"/>
    <w:rsid w:val="0088172E"/>
    <w:rsid w:val="00881EFA"/>
    <w:rsid w:val="00884BD2"/>
    <w:rsid w:val="008879CB"/>
    <w:rsid w:val="00890B48"/>
    <w:rsid w:val="00893C92"/>
    <w:rsid w:val="00894AAE"/>
    <w:rsid w:val="008979B1"/>
    <w:rsid w:val="008A6B25"/>
    <w:rsid w:val="008A6C4F"/>
    <w:rsid w:val="008B389E"/>
    <w:rsid w:val="008D045E"/>
    <w:rsid w:val="008D3F25"/>
    <w:rsid w:val="008D4B06"/>
    <w:rsid w:val="008D4D82"/>
    <w:rsid w:val="008D4F7A"/>
    <w:rsid w:val="008E0E46"/>
    <w:rsid w:val="008E7116"/>
    <w:rsid w:val="008F143B"/>
    <w:rsid w:val="008F2B75"/>
    <w:rsid w:val="008F3882"/>
    <w:rsid w:val="008F49BC"/>
    <w:rsid w:val="008F4B7C"/>
    <w:rsid w:val="00901859"/>
    <w:rsid w:val="0090276D"/>
    <w:rsid w:val="009077EF"/>
    <w:rsid w:val="00917234"/>
    <w:rsid w:val="00921697"/>
    <w:rsid w:val="00926E47"/>
    <w:rsid w:val="00943C78"/>
    <w:rsid w:val="00947162"/>
    <w:rsid w:val="0095797F"/>
    <w:rsid w:val="009610D0"/>
    <w:rsid w:val="0096375C"/>
    <w:rsid w:val="00965992"/>
    <w:rsid w:val="009662E6"/>
    <w:rsid w:val="0097095E"/>
    <w:rsid w:val="00971E00"/>
    <w:rsid w:val="009858D3"/>
    <w:rsid w:val="0098592B"/>
    <w:rsid w:val="00985FC4"/>
    <w:rsid w:val="00990766"/>
    <w:rsid w:val="00991261"/>
    <w:rsid w:val="009964C4"/>
    <w:rsid w:val="009A7B81"/>
    <w:rsid w:val="009B6599"/>
    <w:rsid w:val="009C25F5"/>
    <w:rsid w:val="009C73BB"/>
    <w:rsid w:val="009D01C0"/>
    <w:rsid w:val="009D0811"/>
    <w:rsid w:val="009D29E4"/>
    <w:rsid w:val="009D6A08"/>
    <w:rsid w:val="009E0A16"/>
    <w:rsid w:val="009E6CB7"/>
    <w:rsid w:val="009E7970"/>
    <w:rsid w:val="009F2EAC"/>
    <w:rsid w:val="009F57E3"/>
    <w:rsid w:val="00A05AE0"/>
    <w:rsid w:val="00A07754"/>
    <w:rsid w:val="00A10F4F"/>
    <w:rsid w:val="00A11067"/>
    <w:rsid w:val="00A15F8A"/>
    <w:rsid w:val="00A1704A"/>
    <w:rsid w:val="00A26D54"/>
    <w:rsid w:val="00A304AD"/>
    <w:rsid w:val="00A35FC9"/>
    <w:rsid w:val="00A425EB"/>
    <w:rsid w:val="00A72F22"/>
    <w:rsid w:val="00A733BC"/>
    <w:rsid w:val="00A748A6"/>
    <w:rsid w:val="00A76A69"/>
    <w:rsid w:val="00A77EDA"/>
    <w:rsid w:val="00A801AF"/>
    <w:rsid w:val="00A879A4"/>
    <w:rsid w:val="00AA0FF8"/>
    <w:rsid w:val="00AA6B9A"/>
    <w:rsid w:val="00AB5508"/>
    <w:rsid w:val="00AC0544"/>
    <w:rsid w:val="00AC09E1"/>
    <w:rsid w:val="00AC0F2C"/>
    <w:rsid w:val="00AC502A"/>
    <w:rsid w:val="00AC78B5"/>
    <w:rsid w:val="00AE3915"/>
    <w:rsid w:val="00AF2AE5"/>
    <w:rsid w:val="00AF58C1"/>
    <w:rsid w:val="00AF795A"/>
    <w:rsid w:val="00B04A3F"/>
    <w:rsid w:val="00B06643"/>
    <w:rsid w:val="00B13F6A"/>
    <w:rsid w:val="00B15055"/>
    <w:rsid w:val="00B20A8F"/>
    <w:rsid w:val="00B20E8D"/>
    <w:rsid w:val="00B2330F"/>
    <w:rsid w:val="00B30179"/>
    <w:rsid w:val="00B30C48"/>
    <w:rsid w:val="00B31C59"/>
    <w:rsid w:val="00B37B15"/>
    <w:rsid w:val="00B45C02"/>
    <w:rsid w:val="00B47C22"/>
    <w:rsid w:val="00B601F4"/>
    <w:rsid w:val="00B72A1E"/>
    <w:rsid w:val="00B74F8C"/>
    <w:rsid w:val="00B81858"/>
    <w:rsid w:val="00B81E12"/>
    <w:rsid w:val="00B91AD5"/>
    <w:rsid w:val="00BA339B"/>
    <w:rsid w:val="00BA5A31"/>
    <w:rsid w:val="00BA77A6"/>
    <w:rsid w:val="00BC1E7E"/>
    <w:rsid w:val="00BC58FD"/>
    <w:rsid w:val="00BC74E9"/>
    <w:rsid w:val="00BC7F91"/>
    <w:rsid w:val="00BD376A"/>
    <w:rsid w:val="00BE36A9"/>
    <w:rsid w:val="00BE618E"/>
    <w:rsid w:val="00BE6986"/>
    <w:rsid w:val="00BE7BEC"/>
    <w:rsid w:val="00BF0A5A"/>
    <w:rsid w:val="00BF0E63"/>
    <w:rsid w:val="00BF12A3"/>
    <w:rsid w:val="00BF16D7"/>
    <w:rsid w:val="00BF2373"/>
    <w:rsid w:val="00BF5000"/>
    <w:rsid w:val="00BF5869"/>
    <w:rsid w:val="00BF6275"/>
    <w:rsid w:val="00C00D64"/>
    <w:rsid w:val="00C044E2"/>
    <w:rsid w:val="00C048CB"/>
    <w:rsid w:val="00C066F3"/>
    <w:rsid w:val="00C0711B"/>
    <w:rsid w:val="00C21DE9"/>
    <w:rsid w:val="00C339C9"/>
    <w:rsid w:val="00C41FCC"/>
    <w:rsid w:val="00C463DD"/>
    <w:rsid w:val="00C504F5"/>
    <w:rsid w:val="00C67C64"/>
    <w:rsid w:val="00C745C3"/>
    <w:rsid w:val="00C81943"/>
    <w:rsid w:val="00C90D51"/>
    <w:rsid w:val="00CA24A4"/>
    <w:rsid w:val="00CB1DC1"/>
    <w:rsid w:val="00CB348D"/>
    <w:rsid w:val="00CC57AD"/>
    <w:rsid w:val="00CD3DAD"/>
    <w:rsid w:val="00CD46F5"/>
    <w:rsid w:val="00CE061E"/>
    <w:rsid w:val="00CE4A8F"/>
    <w:rsid w:val="00CF071D"/>
    <w:rsid w:val="00CF1DE4"/>
    <w:rsid w:val="00D15B04"/>
    <w:rsid w:val="00D1659D"/>
    <w:rsid w:val="00D2031B"/>
    <w:rsid w:val="00D256F4"/>
    <w:rsid w:val="00D25FE2"/>
    <w:rsid w:val="00D31656"/>
    <w:rsid w:val="00D37101"/>
    <w:rsid w:val="00D37DA9"/>
    <w:rsid w:val="00D40339"/>
    <w:rsid w:val="00D406A7"/>
    <w:rsid w:val="00D43252"/>
    <w:rsid w:val="00D44D86"/>
    <w:rsid w:val="00D50B7D"/>
    <w:rsid w:val="00D52012"/>
    <w:rsid w:val="00D6081E"/>
    <w:rsid w:val="00D704E5"/>
    <w:rsid w:val="00D72727"/>
    <w:rsid w:val="00D72F74"/>
    <w:rsid w:val="00D73A66"/>
    <w:rsid w:val="00D80837"/>
    <w:rsid w:val="00D818A0"/>
    <w:rsid w:val="00D859F2"/>
    <w:rsid w:val="00D85B6E"/>
    <w:rsid w:val="00D9616C"/>
    <w:rsid w:val="00D978C6"/>
    <w:rsid w:val="00DA0956"/>
    <w:rsid w:val="00DA357F"/>
    <w:rsid w:val="00DA3E12"/>
    <w:rsid w:val="00DA5A3D"/>
    <w:rsid w:val="00DB1842"/>
    <w:rsid w:val="00DC18AD"/>
    <w:rsid w:val="00DC6713"/>
    <w:rsid w:val="00DD1AE3"/>
    <w:rsid w:val="00DD5478"/>
    <w:rsid w:val="00DD6121"/>
    <w:rsid w:val="00DD71C4"/>
    <w:rsid w:val="00DE2A62"/>
    <w:rsid w:val="00DF26B2"/>
    <w:rsid w:val="00DF7CAE"/>
    <w:rsid w:val="00E000F9"/>
    <w:rsid w:val="00E12277"/>
    <w:rsid w:val="00E1665F"/>
    <w:rsid w:val="00E275A5"/>
    <w:rsid w:val="00E32219"/>
    <w:rsid w:val="00E32985"/>
    <w:rsid w:val="00E34B6B"/>
    <w:rsid w:val="00E423C0"/>
    <w:rsid w:val="00E425D5"/>
    <w:rsid w:val="00E53D4C"/>
    <w:rsid w:val="00E603B0"/>
    <w:rsid w:val="00E6414C"/>
    <w:rsid w:val="00E6636A"/>
    <w:rsid w:val="00E71C8F"/>
    <w:rsid w:val="00E7260F"/>
    <w:rsid w:val="00E76A33"/>
    <w:rsid w:val="00E8702D"/>
    <w:rsid w:val="00E916A9"/>
    <w:rsid w:val="00E916DE"/>
    <w:rsid w:val="00E925AD"/>
    <w:rsid w:val="00E944D8"/>
    <w:rsid w:val="00E96630"/>
    <w:rsid w:val="00EA0D5B"/>
    <w:rsid w:val="00EB042D"/>
    <w:rsid w:val="00EB1FCF"/>
    <w:rsid w:val="00EC0410"/>
    <w:rsid w:val="00ED18DC"/>
    <w:rsid w:val="00ED6201"/>
    <w:rsid w:val="00ED7A2A"/>
    <w:rsid w:val="00EF1D7F"/>
    <w:rsid w:val="00F0137E"/>
    <w:rsid w:val="00F1529E"/>
    <w:rsid w:val="00F21786"/>
    <w:rsid w:val="00F23885"/>
    <w:rsid w:val="00F253AA"/>
    <w:rsid w:val="00F35FB1"/>
    <w:rsid w:val="00F3742B"/>
    <w:rsid w:val="00F41FDB"/>
    <w:rsid w:val="00F507EC"/>
    <w:rsid w:val="00F537D7"/>
    <w:rsid w:val="00F56D63"/>
    <w:rsid w:val="00F609A9"/>
    <w:rsid w:val="00F64F0E"/>
    <w:rsid w:val="00F76512"/>
    <w:rsid w:val="00F80C99"/>
    <w:rsid w:val="00F867EC"/>
    <w:rsid w:val="00F91613"/>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E11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5C7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C74C7"/>
    <w:rPr>
      <w:rFonts w:ascii="Tahoma" w:hAnsi="Tahoma" w:cs="Tahoma"/>
      <w:sz w:val="16"/>
      <w:szCs w:val="16"/>
      <w:lang w:eastAsia="en-US"/>
    </w:rPr>
  </w:style>
  <w:style w:type="character" w:customStyle="1" w:styleId="FootnoteTextChar">
    <w:name w:val="Footnote Text Char"/>
    <w:aliases w:val="5_G Char,Fußnote Char,Footnote Text Char Char Char,single space Char,footnote text Char"/>
    <w:link w:val="FootnoteText"/>
    <w:rsid w:val="00DA5A3D"/>
    <w:rPr>
      <w:sz w:val="18"/>
      <w:lang w:eastAsia="en-US"/>
    </w:rPr>
  </w:style>
  <w:style w:type="character" w:customStyle="1" w:styleId="H1GChar">
    <w:name w:val="_ H_1_G Char"/>
    <w:link w:val="H1G"/>
    <w:rsid w:val="00DA5A3D"/>
    <w:rPr>
      <w:b/>
      <w:sz w:val="24"/>
      <w:lang w:eastAsia="en-US"/>
    </w:rPr>
  </w:style>
  <w:style w:type="paragraph" w:styleId="ListParagraph">
    <w:name w:val="List Paragraph"/>
    <w:basedOn w:val="Normal"/>
    <w:uiPriority w:val="34"/>
    <w:qFormat/>
    <w:rsid w:val="00DA5A3D"/>
    <w:pPr>
      <w:ind w:left="720"/>
      <w:contextualSpacing/>
    </w:pPr>
  </w:style>
  <w:style w:type="character" w:customStyle="1" w:styleId="HeaderChar">
    <w:name w:val="Header Char"/>
    <w:aliases w:val="6_G Char"/>
    <w:link w:val="Header"/>
    <w:rsid w:val="00DA5A3D"/>
    <w:rPr>
      <w:b/>
      <w:sz w:val="18"/>
      <w:lang w:eastAsia="en-US"/>
    </w:rPr>
  </w:style>
  <w:style w:type="character" w:styleId="CommentReference">
    <w:name w:val="annotation reference"/>
    <w:rsid w:val="00DA5A3D"/>
    <w:rPr>
      <w:sz w:val="16"/>
      <w:szCs w:val="16"/>
    </w:rPr>
  </w:style>
  <w:style w:type="paragraph" w:styleId="CommentText">
    <w:name w:val="annotation text"/>
    <w:basedOn w:val="Normal"/>
    <w:link w:val="CommentTextChar"/>
    <w:uiPriority w:val="99"/>
    <w:rsid w:val="00DA5A3D"/>
    <w:rPr>
      <w:lang w:val="x-none"/>
    </w:rPr>
  </w:style>
  <w:style w:type="character" w:customStyle="1" w:styleId="CommentTextChar">
    <w:name w:val="Comment Text Char"/>
    <w:basedOn w:val="DefaultParagraphFont"/>
    <w:link w:val="CommentText"/>
    <w:uiPriority w:val="99"/>
    <w:rsid w:val="00DA5A3D"/>
    <w:rPr>
      <w:lang w:val="x-none" w:eastAsia="en-US"/>
    </w:rPr>
  </w:style>
  <w:style w:type="paragraph" w:styleId="CommentSubject">
    <w:name w:val="annotation subject"/>
    <w:basedOn w:val="CommentText"/>
    <w:next w:val="CommentText"/>
    <w:link w:val="CommentSubjectChar"/>
    <w:rsid w:val="00DA5A3D"/>
    <w:rPr>
      <w:b/>
      <w:bCs/>
    </w:rPr>
  </w:style>
  <w:style w:type="character" w:customStyle="1" w:styleId="CommentSubjectChar">
    <w:name w:val="Comment Subject Char"/>
    <w:basedOn w:val="CommentTextChar"/>
    <w:link w:val="CommentSubject"/>
    <w:rsid w:val="00DA5A3D"/>
    <w:rPr>
      <w:b/>
      <w:bCs/>
      <w:lang w:val="x-none" w:eastAsia="en-US"/>
    </w:rPr>
  </w:style>
  <w:style w:type="paragraph" w:styleId="Revision">
    <w:name w:val="Revision"/>
    <w:hidden/>
    <w:uiPriority w:val="99"/>
    <w:semiHidden/>
    <w:rsid w:val="00DA5A3D"/>
    <w:rPr>
      <w:lang w:eastAsia="en-US"/>
    </w:rPr>
  </w:style>
  <w:style w:type="character" w:customStyle="1" w:styleId="SingleTxtGChar">
    <w:name w:val="_ Single Txt_G Char"/>
    <w:link w:val="SingleTxtG"/>
    <w:rsid w:val="00DA5A3D"/>
    <w:rPr>
      <w:lang w:eastAsia="en-US"/>
    </w:rPr>
  </w:style>
  <w:style w:type="paragraph" w:customStyle="1" w:styleId="Default">
    <w:name w:val="Default"/>
    <w:rsid w:val="00DA5A3D"/>
    <w:pPr>
      <w:autoSpaceDE w:val="0"/>
      <w:autoSpaceDN w:val="0"/>
      <w:adjustRightInd w:val="0"/>
    </w:pPr>
    <w:rPr>
      <w:color w:val="000000"/>
      <w:sz w:val="24"/>
      <w:szCs w:val="24"/>
    </w:rPr>
  </w:style>
  <w:style w:type="paragraph" w:customStyle="1" w:styleId="font5">
    <w:name w:val="font5"/>
    <w:basedOn w:val="Normal"/>
    <w:rsid w:val="00DA5A3D"/>
    <w:pPr>
      <w:suppressAutoHyphens w:val="0"/>
      <w:spacing w:before="100" w:beforeAutospacing="1" w:after="100" w:afterAutospacing="1" w:line="240" w:lineRule="auto"/>
    </w:pPr>
    <w:rPr>
      <w:sz w:val="18"/>
      <w:szCs w:val="18"/>
      <w:lang w:eastAsia="en-GB"/>
    </w:rPr>
  </w:style>
  <w:style w:type="paragraph" w:customStyle="1" w:styleId="font6">
    <w:name w:val="font6"/>
    <w:basedOn w:val="Normal"/>
    <w:rsid w:val="00DA5A3D"/>
    <w:pPr>
      <w:suppressAutoHyphens w:val="0"/>
      <w:spacing w:before="100" w:beforeAutospacing="1" w:after="100" w:afterAutospacing="1" w:line="240" w:lineRule="auto"/>
    </w:pPr>
    <w:rPr>
      <w:sz w:val="18"/>
      <w:szCs w:val="18"/>
      <w:lang w:eastAsia="en-GB"/>
    </w:rPr>
  </w:style>
  <w:style w:type="paragraph" w:customStyle="1" w:styleId="xl65">
    <w:name w:val="xl65"/>
    <w:basedOn w:val="Normal"/>
    <w:rsid w:val="00DA5A3D"/>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pPr>
    <w:rPr>
      <w:sz w:val="18"/>
      <w:szCs w:val="18"/>
      <w:lang w:eastAsia="en-GB"/>
    </w:rPr>
  </w:style>
  <w:style w:type="paragraph" w:customStyle="1" w:styleId="xl66">
    <w:name w:val="xl66"/>
    <w:basedOn w:val="Normal"/>
    <w:rsid w:val="00DA5A3D"/>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textAlignment w:val="center"/>
    </w:pPr>
    <w:rPr>
      <w:sz w:val="18"/>
      <w:szCs w:val="18"/>
      <w:lang w:eastAsia="en-GB"/>
    </w:rPr>
  </w:style>
  <w:style w:type="paragraph" w:customStyle="1" w:styleId="xl67">
    <w:name w:val="xl67"/>
    <w:basedOn w:val="Normal"/>
    <w:rsid w:val="00DA5A3D"/>
    <w:pPr>
      <w:pBdr>
        <w:top w:val="single" w:sz="4" w:space="0" w:color="auto"/>
        <w:left w:val="single" w:sz="4" w:space="0" w:color="auto"/>
        <w:bottom w:val="single" w:sz="4" w:space="0" w:color="auto"/>
        <w:right w:val="single" w:sz="4" w:space="0" w:color="auto"/>
      </w:pBdr>
      <w:shd w:val="clear" w:color="000000" w:fill="DDF2DA"/>
      <w:suppressAutoHyphens w:val="0"/>
      <w:spacing w:before="100" w:beforeAutospacing="1" w:after="100" w:afterAutospacing="1" w:line="240" w:lineRule="auto"/>
      <w:textAlignment w:val="center"/>
    </w:pPr>
    <w:rPr>
      <w:sz w:val="18"/>
      <w:szCs w:val="18"/>
      <w:lang w:eastAsia="en-GB"/>
    </w:rPr>
  </w:style>
  <w:style w:type="paragraph" w:customStyle="1" w:styleId="xl68">
    <w:name w:val="xl68"/>
    <w:basedOn w:val="Normal"/>
    <w:rsid w:val="00DA5A3D"/>
    <w:pPr>
      <w:pBdr>
        <w:top w:val="single" w:sz="4" w:space="0" w:color="auto"/>
        <w:left w:val="single" w:sz="4" w:space="0" w:color="auto"/>
        <w:bottom w:val="single" w:sz="4" w:space="0" w:color="auto"/>
        <w:right w:val="single" w:sz="4" w:space="0" w:color="auto"/>
      </w:pBdr>
      <w:shd w:val="clear" w:color="000000" w:fill="DDF2DA"/>
      <w:suppressAutoHyphens w:val="0"/>
      <w:spacing w:before="100" w:beforeAutospacing="1" w:after="100" w:afterAutospacing="1" w:line="240" w:lineRule="auto"/>
      <w:jc w:val="center"/>
      <w:textAlignment w:val="center"/>
    </w:pPr>
    <w:rPr>
      <w:sz w:val="18"/>
      <w:szCs w:val="18"/>
      <w:lang w:eastAsia="en-GB"/>
    </w:rPr>
  </w:style>
  <w:style w:type="paragraph" w:customStyle="1" w:styleId="xl69">
    <w:name w:val="xl69"/>
    <w:basedOn w:val="Normal"/>
    <w:rsid w:val="00DA5A3D"/>
    <w:pPr>
      <w:pBdr>
        <w:top w:val="single" w:sz="4" w:space="0" w:color="auto"/>
        <w:left w:val="single" w:sz="4" w:space="0" w:color="auto"/>
        <w:bottom w:val="single" w:sz="4" w:space="0" w:color="auto"/>
        <w:right w:val="single" w:sz="4" w:space="0" w:color="auto"/>
      </w:pBdr>
      <w:shd w:val="clear" w:color="000000" w:fill="DAE9F2"/>
      <w:suppressAutoHyphens w:val="0"/>
      <w:spacing w:before="100" w:beforeAutospacing="1" w:after="100" w:afterAutospacing="1" w:line="240" w:lineRule="auto"/>
      <w:jc w:val="right"/>
    </w:pPr>
    <w:rPr>
      <w:sz w:val="18"/>
      <w:szCs w:val="18"/>
      <w:lang w:eastAsia="en-GB"/>
    </w:rPr>
  </w:style>
  <w:style w:type="paragraph" w:customStyle="1" w:styleId="xl70">
    <w:name w:val="xl70"/>
    <w:basedOn w:val="Normal"/>
    <w:rsid w:val="00DA5A3D"/>
    <w:pPr>
      <w:pBdr>
        <w:top w:val="single" w:sz="4" w:space="0" w:color="auto"/>
        <w:left w:val="single" w:sz="4" w:space="0" w:color="auto"/>
        <w:bottom w:val="single" w:sz="4" w:space="0" w:color="auto"/>
        <w:right w:val="single" w:sz="4" w:space="0" w:color="auto"/>
      </w:pBdr>
      <w:shd w:val="clear" w:color="000000" w:fill="DAE9F2"/>
      <w:suppressAutoHyphens w:val="0"/>
      <w:spacing w:before="100" w:beforeAutospacing="1" w:after="100" w:afterAutospacing="1" w:line="240" w:lineRule="auto"/>
      <w:jc w:val="right"/>
    </w:pPr>
    <w:rPr>
      <w:sz w:val="18"/>
      <w:szCs w:val="18"/>
      <w:lang w:eastAsia="en-GB"/>
    </w:rPr>
  </w:style>
  <w:style w:type="paragraph" w:customStyle="1" w:styleId="xl71">
    <w:name w:val="xl71"/>
    <w:basedOn w:val="Normal"/>
    <w:rsid w:val="00DA5A3D"/>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paragraph" w:customStyle="1" w:styleId="xl72">
    <w:name w:val="xl72"/>
    <w:basedOn w:val="Normal"/>
    <w:rsid w:val="00DA5A3D"/>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paragraph" w:customStyle="1" w:styleId="xl73">
    <w:name w:val="xl73"/>
    <w:basedOn w:val="Normal"/>
    <w:rsid w:val="00DA5A3D"/>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paragraph" w:customStyle="1" w:styleId="xl74">
    <w:name w:val="xl74"/>
    <w:basedOn w:val="Normal"/>
    <w:rsid w:val="00DA5A3D"/>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character" w:customStyle="1" w:styleId="Heading1Char">
    <w:name w:val="Heading 1 Char"/>
    <w:aliases w:val="Table_G Char"/>
    <w:link w:val="Heading1"/>
    <w:rsid w:val="00DA5A3D"/>
    <w:rPr>
      <w:lang w:eastAsia="en-US"/>
    </w:rPr>
  </w:style>
  <w:style w:type="character" w:customStyle="1" w:styleId="Heading2Char">
    <w:name w:val="Heading 2 Char"/>
    <w:link w:val="Heading2"/>
    <w:rsid w:val="00DA5A3D"/>
    <w:rPr>
      <w:lang w:eastAsia="en-US"/>
    </w:rPr>
  </w:style>
  <w:style w:type="character" w:customStyle="1" w:styleId="Heading3Char">
    <w:name w:val="Heading 3 Char"/>
    <w:link w:val="Heading3"/>
    <w:rsid w:val="00DA5A3D"/>
    <w:rPr>
      <w:lang w:eastAsia="en-US"/>
    </w:rPr>
  </w:style>
  <w:style w:type="character" w:customStyle="1" w:styleId="Heading4Char">
    <w:name w:val="Heading 4 Char"/>
    <w:link w:val="Heading4"/>
    <w:rsid w:val="00DA5A3D"/>
    <w:rPr>
      <w:lang w:eastAsia="en-US"/>
    </w:rPr>
  </w:style>
  <w:style w:type="character" w:customStyle="1" w:styleId="Heading5Char">
    <w:name w:val="Heading 5 Char"/>
    <w:link w:val="Heading5"/>
    <w:rsid w:val="00DA5A3D"/>
    <w:rPr>
      <w:lang w:eastAsia="en-US"/>
    </w:rPr>
  </w:style>
  <w:style w:type="character" w:customStyle="1" w:styleId="Heading6Char">
    <w:name w:val="Heading 6 Char"/>
    <w:link w:val="Heading6"/>
    <w:rsid w:val="00DA5A3D"/>
    <w:rPr>
      <w:lang w:eastAsia="en-US"/>
    </w:rPr>
  </w:style>
  <w:style w:type="character" w:customStyle="1" w:styleId="Heading7Char">
    <w:name w:val="Heading 7 Char"/>
    <w:link w:val="Heading7"/>
    <w:rsid w:val="00DA5A3D"/>
    <w:rPr>
      <w:lang w:eastAsia="en-US"/>
    </w:rPr>
  </w:style>
  <w:style w:type="character" w:customStyle="1" w:styleId="Heading8Char">
    <w:name w:val="Heading 8 Char"/>
    <w:link w:val="Heading8"/>
    <w:rsid w:val="00DA5A3D"/>
    <w:rPr>
      <w:lang w:eastAsia="en-US"/>
    </w:rPr>
  </w:style>
  <w:style w:type="character" w:customStyle="1" w:styleId="Heading9Char">
    <w:name w:val="Heading 9 Char"/>
    <w:link w:val="Heading9"/>
    <w:rsid w:val="00DA5A3D"/>
    <w:rPr>
      <w:lang w:eastAsia="en-US"/>
    </w:rPr>
  </w:style>
  <w:style w:type="character" w:customStyle="1" w:styleId="EndnoteTextChar">
    <w:name w:val="Endnote Text Char"/>
    <w:aliases w:val="2_G Char"/>
    <w:link w:val="EndnoteText"/>
    <w:rsid w:val="00DA5A3D"/>
    <w:rPr>
      <w:sz w:val="18"/>
      <w:lang w:eastAsia="en-US"/>
    </w:rPr>
  </w:style>
  <w:style w:type="character" w:customStyle="1" w:styleId="FooterChar">
    <w:name w:val="Footer Char"/>
    <w:aliases w:val="3_G Char"/>
    <w:link w:val="Footer"/>
    <w:uiPriority w:val="99"/>
    <w:rsid w:val="00DA5A3D"/>
    <w:rPr>
      <w:sz w:val="16"/>
      <w:lang w:eastAsia="en-US"/>
    </w:rPr>
  </w:style>
  <w:style w:type="paragraph" w:styleId="TOC1">
    <w:name w:val="toc 1"/>
    <w:basedOn w:val="Normal"/>
    <w:next w:val="Normal"/>
    <w:autoRedefine/>
    <w:rsid w:val="00DA5A3D"/>
  </w:style>
  <w:style w:type="paragraph" w:styleId="TOC2">
    <w:name w:val="toc 2"/>
    <w:basedOn w:val="Normal"/>
    <w:next w:val="Normal"/>
    <w:autoRedefine/>
    <w:uiPriority w:val="39"/>
    <w:rsid w:val="00DA5A3D"/>
    <w:pPr>
      <w:tabs>
        <w:tab w:val="left" w:pos="557"/>
        <w:tab w:val="left" w:pos="1701"/>
        <w:tab w:val="right" w:leader="dot" w:pos="8505"/>
      </w:tabs>
      <w:ind w:left="1701" w:right="1134" w:hanging="567"/>
    </w:pPr>
  </w:style>
  <w:style w:type="paragraph" w:styleId="TOC3">
    <w:name w:val="toc 3"/>
    <w:basedOn w:val="Normal"/>
    <w:next w:val="Normal"/>
    <w:autoRedefine/>
    <w:uiPriority w:val="39"/>
    <w:rsid w:val="00DA5A3D"/>
    <w:pPr>
      <w:tabs>
        <w:tab w:val="left" w:pos="2127"/>
        <w:tab w:val="right" w:leader="dot" w:pos="8505"/>
      </w:tabs>
      <w:ind w:left="2127" w:right="1134" w:hanging="426"/>
    </w:pPr>
  </w:style>
  <w:style w:type="paragraph" w:styleId="TOC4">
    <w:name w:val="toc 4"/>
    <w:basedOn w:val="Normal"/>
    <w:next w:val="Normal"/>
    <w:autoRedefine/>
    <w:rsid w:val="00DA5A3D"/>
    <w:pPr>
      <w:ind w:left="600"/>
    </w:pPr>
  </w:style>
  <w:style w:type="paragraph" w:styleId="TOC5">
    <w:name w:val="toc 5"/>
    <w:basedOn w:val="Normal"/>
    <w:next w:val="Normal"/>
    <w:autoRedefine/>
    <w:rsid w:val="00DA5A3D"/>
    <w:pPr>
      <w:ind w:left="800"/>
    </w:pPr>
  </w:style>
  <w:style w:type="paragraph" w:styleId="TOC6">
    <w:name w:val="toc 6"/>
    <w:basedOn w:val="Normal"/>
    <w:next w:val="Normal"/>
    <w:autoRedefine/>
    <w:rsid w:val="00DA5A3D"/>
    <w:pPr>
      <w:ind w:left="1000"/>
    </w:pPr>
  </w:style>
  <w:style w:type="paragraph" w:styleId="TOC7">
    <w:name w:val="toc 7"/>
    <w:basedOn w:val="Normal"/>
    <w:next w:val="Normal"/>
    <w:autoRedefine/>
    <w:rsid w:val="00DA5A3D"/>
    <w:pPr>
      <w:ind w:left="1200"/>
    </w:pPr>
  </w:style>
  <w:style w:type="paragraph" w:styleId="TOC8">
    <w:name w:val="toc 8"/>
    <w:basedOn w:val="Normal"/>
    <w:next w:val="Normal"/>
    <w:autoRedefine/>
    <w:rsid w:val="00DA5A3D"/>
    <w:pPr>
      <w:ind w:left="1400"/>
    </w:pPr>
  </w:style>
  <w:style w:type="paragraph" w:styleId="TOC9">
    <w:name w:val="toc 9"/>
    <w:basedOn w:val="Normal"/>
    <w:next w:val="Normal"/>
    <w:autoRedefine/>
    <w:rsid w:val="00DA5A3D"/>
    <w:pPr>
      <w:ind w:left="1600"/>
    </w:pPr>
  </w:style>
  <w:style w:type="character" w:customStyle="1" w:styleId="CommentTextChar1">
    <w:name w:val="Comment Text Char1"/>
    <w:uiPriority w:val="99"/>
    <w:rsid w:val="00DA5A3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5C74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C74C7"/>
    <w:rPr>
      <w:rFonts w:ascii="Tahoma" w:hAnsi="Tahoma" w:cs="Tahoma"/>
      <w:sz w:val="16"/>
      <w:szCs w:val="16"/>
      <w:lang w:eastAsia="en-US"/>
    </w:rPr>
  </w:style>
  <w:style w:type="character" w:customStyle="1" w:styleId="FootnoteTextChar">
    <w:name w:val="Footnote Text Char"/>
    <w:aliases w:val="5_G Char,Fußnote Char,Footnote Text Char Char Char,single space Char,footnote text Char"/>
    <w:link w:val="FootnoteText"/>
    <w:rsid w:val="00DA5A3D"/>
    <w:rPr>
      <w:sz w:val="18"/>
      <w:lang w:eastAsia="en-US"/>
    </w:rPr>
  </w:style>
  <w:style w:type="character" w:customStyle="1" w:styleId="H1GChar">
    <w:name w:val="_ H_1_G Char"/>
    <w:link w:val="H1G"/>
    <w:rsid w:val="00DA5A3D"/>
    <w:rPr>
      <w:b/>
      <w:sz w:val="24"/>
      <w:lang w:eastAsia="en-US"/>
    </w:rPr>
  </w:style>
  <w:style w:type="paragraph" w:styleId="ListParagraph">
    <w:name w:val="List Paragraph"/>
    <w:basedOn w:val="Normal"/>
    <w:uiPriority w:val="34"/>
    <w:qFormat/>
    <w:rsid w:val="00DA5A3D"/>
    <w:pPr>
      <w:ind w:left="720"/>
      <w:contextualSpacing/>
    </w:pPr>
  </w:style>
  <w:style w:type="character" w:customStyle="1" w:styleId="HeaderChar">
    <w:name w:val="Header Char"/>
    <w:aliases w:val="6_G Char"/>
    <w:link w:val="Header"/>
    <w:rsid w:val="00DA5A3D"/>
    <w:rPr>
      <w:b/>
      <w:sz w:val="18"/>
      <w:lang w:eastAsia="en-US"/>
    </w:rPr>
  </w:style>
  <w:style w:type="character" w:styleId="CommentReference">
    <w:name w:val="annotation reference"/>
    <w:rsid w:val="00DA5A3D"/>
    <w:rPr>
      <w:sz w:val="16"/>
      <w:szCs w:val="16"/>
    </w:rPr>
  </w:style>
  <w:style w:type="paragraph" w:styleId="CommentText">
    <w:name w:val="annotation text"/>
    <w:basedOn w:val="Normal"/>
    <w:link w:val="CommentTextChar"/>
    <w:uiPriority w:val="99"/>
    <w:rsid w:val="00DA5A3D"/>
    <w:rPr>
      <w:lang w:val="x-none"/>
    </w:rPr>
  </w:style>
  <w:style w:type="character" w:customStyle="1" w:styleId="CommentTextChar">
    <w:name w:val="Comment Text Char"/>
    <w:basedOn w:val="DefaultParagraphFont"/>
    <w:link w:val="CommentText"/>
    <w:uiPriority w:val="99"/>
    <w:rsid w:val="00DA5A3D"/>
    <w:rPr>
      <w:lang w:val="x-none" w:eastAsia="en-US"/>
    </w:rPr>
  </w:style>
  <w:style w:type="paragraph" w:styleId="CommentSubject">
    <w:name w:val="annotation subject"/>
    <w:basedOn w:val="CommentText"/>
    <w:next w:val="CommentText"/>
    <w:link w:val="CommentSubjectChar"/>
    <w:rsid w:val="00DA5A3D"/>
    <w:rPr>
      <w:b/>
      <w:bCs/>
    </w:rPr>
  </w:style>
  <w:style w:type="character" w:customStyle="1" w:styleId="CommentSubjectChar">
    <w:name w:val="Comment Subject Char"/>
    <w:basedOn w:val="CommentTextChar"/>
    <w:link w:val="CommentSubject"/>
    <w:rsid w:val="00DA5A3D"/>
    <w:rPr>
      <w:b/>
      <w:bCs/>
      <w:lang w:val="x-none" w:eastAsia="en-US"/>
    </w:rPr>
  </w:style>
  <w:style w:type="paragraph" w:styleId="Revision">
    <w:name w:val="Revision"/>
    <w:hidden/>
    <w:uiPriority w:val="99"/>
    <w:semiHidden/>
    <w:rsid w:val="00DA5A3D"/>
    <w:rPr>
      <w:lang w:eastAsia="en-US"/>
    </w:rPr>
  </w:style>
  <w:style w:type="character" w:customStyle="1" w:styleId="SingleTxtGChar">
    <w:name w:val="_ Single Txt_G Char"/>
    <w:link w:val="SingleTxtG"/>
    <w:rsid w:val="00DA5A3D"/>
    <w:rPr>
      <w:lang w:eastAsia="en-US"/>
    </w:rPr>
  </w:style>
  <w:style w:type="paragraph" w:customStyle="1" w:styleId="Default">
    <w:name w:val="Default"/>
    <w:rsid w:val="00DA5A3D"/>
    <w:pPr>
      <w:autoSpaceDE w:val="0"/>
      <w:autoSpaceDN w:val="0"/>
      <w:adjustRightInd w:val="0"/>
    </w:pPr>
    <w:rPr>
      <w:color w:val="000000"/>
      <w:sz w:val="24"/>
      <w:szCs w:val="24"/>
    </w:rPr>
  </w:style>
  <w:style w:type="paragraph" w:customStyle="1" w:styleId="font5">
    <w:name w:val="font5"/>
    <w:basedOn w:val="Normal"/>
    <w:rsid w:val="00DA5A3D"/>
    <w:pPr>
      <w:suppressAutoHyphens w:val="0"/>
      <w:spacing w:before="100" w:beforeAutospacing="1" w:after="100" w:afterAutospacing="1" w:line="240" w:lineRule="auto"/>
    </w:pPr>
    <w:rPr>
      <w:sz w:val="18"/>
      <w:szCs w:val="18"/>
      <w:lang w:eastAsia="en-GB"/>
    </w:rPr>
  </w:style>
  <w:style w:type="paragraph" w:customStyle="1" w:styleId="font6">
    <w:name w:val="font6"/>
    <w:basedOn w:val="Normal"/>
    <w:rsid w:val="00DA5A3D"/>
    <w:pPr>
      <w:suppressAutoHyphens w:val="0"/>
      <w:spacing w:before="100" w:beforeAutospacing="1" w:after="100" w:afterAutospacing="1" w:line="240" w:lineRule="auto"/>
    </w:pPr>
    <w:rPr>
      <w:sz w:val="18"/>
      <w:szCs w:val="18"/>
      <w:lang w:eastAsia="en-GB"/>
    </w:rPr>
  </w:style>
  <w:style w:type="paragraph" w:customStyle="1" w:styleId="xl65">
    <w:name w:val="xl65"/>
    <w:basedOn w:val="Normal"/>
    <w:rsid w:val="00DA5A3D"/>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pPr>
    <w:rPr>
      <w:sz w:val="18"/>
      <w:szCs w:val="18"/>
      <w:lang w:eastAsia="en-GB"/>
    </w:rPr>
  </w:style>
  <w:style w:type="paragraph" w:customStyle="1" w:styleId="xl66">
    <w:name w:val="xl66"/>
    <w:basedOn w:val="Normal"/>
    <w:rsid w:val="00DA5A3D"/>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textAlignment w:val="center"/>
    </w:pPr>
    <w:rPr>
      <w:sz w:val="18"/>
      <w:szCs w:val="18"/>
      <w:lang w:eastAsia="en-GB"/>
    </w:rPr>
  </w:style>
  <w:style w:type="paragraph" w:customStyle="1" w:styleId="xl67">
    <w:name w:val="xl67"/>
    <w:basedOn w:val="Normal"/>
    <w:rsid w:val="00DA5A3D"/>
    <w:pPr>
      <w:pBdr>
        <w:top w:val="single" w:sz="4" w:space="0" w:color="auto"/>
        <w:left w:val="single" w:sz="4" w:space="0" w:color="auto"/>
        <w:bottom w:val="single" w:sz="4" w:space="0" w:color="auto"/>
        <w:right w:val="single" w:sz="4" w:space="0" w:color="auto"/>
      </w:pBdr>
      <w:shd w:val="clear" w:color="000000" w:fill="DDF2DA"/>
      <w:suppressAutoHyphens w:val="0"/>
      <w:spacing w:before="100" w:beforeAutospacing="1" w:after="100" w:afterAutospacing="1" w:line="240" w:lineRule="auto"/>
      <w:textAlignment w:val="center"/>
    </w:pPr>
    <w:rPr>
      <w:sz w:val="18"/>
      <w:szCs w:val="18"/>
      <w:lang w:eastAsia="en-GB"/>
    </w:rPr>
  </w:style>
  <w:style w:type="paragraph" w:customStyle="1" w:styleId="xl68">
    <w:name w:val="xl68"/>
    <w:basedOn w:val="Normal"/>
    <w:rsid w:val="00DA5A3D"/>
    <w:pPr>
      <w:pBdr>
        <w:top w:val="single" w:sz="4" w:space="0" w:color="auto"/>
        <w:left w:val="single" w:sz="4" w:space="0" w:color="auto"/>
        <w:bottom w:val="single" w:sz="4" w:space="0" w:color="auto"/>
        <w:right w:val="single" w:sz="4" w:space="0" w:color="auto"/>
      </w:pBdr>
      <w:shd w:val="clear" w:color="000000" w:fill="DDF2DA"/>
      <w:suppressAutoHyphens w:val="0"/>
      <w:spacing w:before="100" w:beforeAutospacing="1" w:after="100" w:afterAutospacing="1" w:line="240" w:lineRule="auto"/>
      <w:jc w:val="center"/>
      <w:textAlignment w:val="center"/>
    </w:pPr>
    <w:rPr>
      <w:sz w:val="18"/>
      <w:szCs w:val="18"/>
      <w:lang w:eastAsia="en-GB"/>
    </w:rPr>
  </w:style>
  <w:style w:type="paragraph" w:customStyle="1" w:styleId="xl69">
    <w:name w:val="xl69"/>
    <w:basedOn w:val="Normal"/>
    <w:rsid w:val="00DA5A3D"/>
    <w:pPr>
      <w:pBdr>
        <w:top w:val="single" w:sz="4" w:space="0" w:color="auto"/>
        <w:left w:val="single" w:sz="4" w:space="0" w:color="auto"/>
        <w:bottom w:val="single" w:sz="4" w:space="0" w:color="auto"/>
        <w:right w:val="single" w:sz="4" w:space="0" w:color="auto"/>
      </w:pBdr>
      <w:shd w:val="clear" w:color="000000" w:fill="DAE9F2"/>
      <w:suppressAutoHyphens w:val="0"/>
      <w:spacing w:before="100" w:beforeAutospacing="1" w:after="100" w:afterAutospacing="1" w:line="240" w:lineRule="auto"/>
      <w:jc w:val="right"/>
    </w:pPr>
    <w:rPr>
      <w:sz w:val="18"/>
      <w:szCs w:val="18"/>
      <w:lang w:eastAsia="en-GB"/>
    </w:rPr>
  </w:style>
  <w:style w:type="paragraph" w:customStyle="1" w:styleId="xl70">
    <w:name w:val="xl70"/>
    <w:basedOn w:val="Normal"/>
    <w:rsid w:val="00DA5A3D"/>
    <w:pPr>
      <w:pBdr>
        <w:top w:val="single" w:sz="4" w:space="0" w:color="auto"/>
        <w:left w:val="single" w:sz="4" w:space="0" w:color="auto"/>
        <w:bottom w:val="single" w:sz="4" w:space="0" w:color="auto"/>
        <w:right w:val="single" w:sz="4" w:space="0" w:color="auto"/>
      </w:pBdr>
      <w:shd w:val="clear" w:color="000000" w:fill="DAE9F2"/>
      <w:suppressAutoHyphens w:val="0"/>
      <w:spacing w:before="100" w:beforeAutospacing="1" w:after="100" w:afterAutospacing="1" w:line="240" w:lineRule="auto"/>
      <w:jc w:val="right"/>
    </w:pPr>
    <w:rPr>
      <w:sz w:val="18"/>
      <w:szCs w:val="18"/>
      <w:lang w:eastAsia="en-GB"/>
    </w:rPr>
  </w:style>
  <w:style w:type="paragraph" w:customStyle="1" w:styleId="xl71">
    <w:name w:val="xl71"/>
    <w:basedOn w:val="Normal"/>
    <w:rsid w:val="00DA5A3D"/>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paragraph" w:customStyle="1" w:styleId="xl72">
    <w:name w:val="xl72"/>
    <w:basedOn w:val="Normal"/>
    <w:rsid w:val="00DA5A3D"/>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paragraph" w:customStyle="1" w:styleId="xl73">
    <w:name w:val="xl73"/>
    <w:basedOn w:val="Normal"/>
    <w:rsid w:val="00DA5A3D"/>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paragraph" w:customStyle="1" w:styleId="xl74">
    <w:name w:val="xl74"/>
    <w:basedOn w:val="Normal"/>
    <w:rsid w:val="00DA5A3D"/>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line="240" w:lineRule="auto"/>
      <w:jc w:val="center"/>
    </w:pPr>
    <w:rPr>
      <w:sz w:val="18"/>
      <w:szCs w:val="18"/>
      <w:lang w:eastAsia="en-GB"/>
    </w:rPr>
  </w:style>
  <w:style w:type="character" w:customStyle="1" w:styleId="Heading1Char">
    <w:name w:val="Heading 1 Char"/>
    <w:aliases w:val="Table_G Char"/>
    <w:link w:val="Heading1"/>
    <w:rsid w:val="00DA5A3D"/>
    <w:rPr>
      <w:lang w:eastAsia="en-US"/>
    </w:rPr>
  </w:style>
  <w:style w:type="character" w:customStyle="1" w:styleId="Heading2Char">
    <w:name w:val="Heading 2 Char"/>
    <w:link w:val="Heading2"/>
    <w:rsid w:val="00DA5A3D"/>
    <w:rPr>
      <w:lang w:eastAsia="en-US"/>
    </w:rPr>
  </w:style>
  <w:style w:type="character" w:customStyle="1" w:styleId="Heading3Char">
    <w:name w:val="Heading 3 Char"/>
    <w:link w:val="Heading3"/>
    <w:rsid w:val="00DA5A3D"/>
    <w:rPr>
      <w:lang w:eastAsia="en-US"/>
    </w:rPr>
  </w:style>
  <w:style w:type="character" w:customStyle="1" w:styleId="Heading4Char">
    <w:name w:val="Heading 4 Char"/>
    <w:link w:val="Heading4"/>
    <w:rsid w:val="00DA5A3D"/>
    <w:rPr>
      <w:lang w:eastAsia="en-US"/>
    </w:rPr>
  </w:style>
  <w:style w:type="character" w:customStyle="1" w:styleId="Heading5Char">
    <w:name w:val="Heading 5 Char"/>
    <w:link w:val="Heading5"/>
    <w:rsid w:val="00DA5A3D"/>
    <w:rPr>
      <w:lang w:eastAsia="en-US"/>
    </w:rPr>
  </w:style>
  <w:style w:type="character" w:customStyle="1" w:styleId="Heading6Char">
    <w:name w:val="Heading 6 Char"/>
    <w:link w:val="Heading6"/>
    <w:rsid w:val="00DA5A3D"/>
    <w:rPr>
      <w:lang w:eastAsia="en-US"/>
    </w:rPr>
  </w:style>
  <w:style w:type="character" w:customStyle="1" w:styleId="Heading7Char">
    <w:name w:val="Heading 7 Char"/>
    <w:link w:val="Heading7"/>
    <w:rsid w:val="00DA5A3D"/>
    <w:rPr>
      <w:lang w:eastAsia="en-US"/>
    </w:rPr>
  </w:style>
  <w:style w:type="character" w:customStyle="1" w:styleId="Heading8Char">
    <w:name w:val="Heading 8 Char"/>
    <w:link w:val="Heading8"/>
    <w:rsid w:val="00DA5A3D"/>
    <w:rPr>
      <w:lang w:eastAsia="en-US"/>
    </w:rPr>
  </w:style>
  <w:style w:type="character" w:customStyle="1" w:styleId="Heading9Char">
    <w:name w:val="Heading 9 Char"/>
    <w:link w:val="Heading9"/>
    <w:rsid w:val="00DA5A3D"/>
    <w:rPr>
      <w:lang w:eastAsia="en-US"/>
    </w:rPr>
  </w:style>
  <w:style w:type="character" w:customStyle="1" w:styleId="EndnoteTextChar">
    <w:name w:val="Endnote Text Char"/>
    <w:aliases w:val="2_G Char"/>
    <w:link w:val="EndnoteText"/>
    <w:rsid w:val="00DA5A3D"/>
    <w:rPr>
      <w:sz w:val="18"/>
      <w:lang w:eastAsia="en-US"/>
    </w:rPr>
  </w:style>
  <w:style w:type="character" w:customStyle="1" w:styleId="FooterChar">
    <w:name w:val="Footer Char"/>
    <w:aliases w:val="3_G Char"/>
    <w:link w:val="Footer"/>
    <w:uiPriority w:val="99"/>
    <w:rsid w:val="00DA5A3D"/>
    <w:rPr>
      <w:sz w:val="16"/>
      <w:lang w:eastAsia="en-US"/>
    </w:rPr>
  </w:style>
  <w:style w:type="paragraph" w:styleId="TOC1">
    <w:name w:val="toc 1"/>
    <w:basedOn w:val="Normal"/>
    <w:next w:val="Normal"/>
    <w:autoRedefine/>
    <w:rsid w:val="00DA5A3D"/>
  </w:style>
  <w:style w:type="paragraph" w:styleId="TOC2">
    <w:name w:val="toc 2"/>
    <w:basedOn w:val="Normal"/>
    <w:next w:val="Normal"/>
    <w:autoRedefine/>
    <w:uiPriority w:val="39"/>
    <w:rsid w:val="00DA5A3D"/>
    <w:pPr>
      <w:tabs>
        <w:tab w:val="left" w:pos="557"/>
        <w:tab w:val="left" w:pos="1701"/>
        <w:tab w:val="right" w:leader="dot" w:pos="8505"/>
      </w:tabs>
      <w:ind w:left="1701" w:right="1134" w:hanging="567"/>
    </w:pPr>
  </w:style>
  <w:style w:type="paragraph" w:styleId="TOC3">
    <w:name w:val="toc 3"/>
    <w:basedOn w:val="Normal"/>
    <w:next w:val="Normal"/>
    <w:autoRedefine/>
    <w:uiPriority w:val="39"/>
    <w:rsid w:val="00DA5A3D"/>
    <w:pPr>
      <w:tabs>
        <w:tab w:val="left" w:pos="2127"/>
        <w:tab w:val="right" w:leader="dot" w:pos="8505"/>
      </w:tabs>
      <w:ind w:left="2127" w:right="1134" w:hanging="426"/>
    </w:pPr>
  </w:style>
  <w:style w:type="paragraph" w:styleId="TOC4">
    <w:name w:val="toc 4"/>
    <w:basedOn w:val="Normal"/>
    <w:next w:val="Normal"/>
    <w:autoRedefine/>
    <w:rsid w:val="00DA5A3D"/>
    <w:pPr>
      <w:ind w:left="600"/>
    </w:pPr>
  </w:style>
  <w:style w:type="paragraph" w:styleId="TOC5">
    <w:name w:val="toc 5"/>
    <w:basedOn w:val="Normal"/>
    <w:next w:val="Normal"/>
    <w:autoRedefine/>
    <w:rsid w:val="00DA5A3D"/>
    <w:pPr>
      <w:ind w:left="800"/>
    </w:pPr>
  </w:style>
  <w:style w:type="paragraph" w:styleId="TOC6">
    <w:name w:val="toc 6"/>
    <w:basedOn w:val="Normal"/>
    <w:next w:val="Normal"/>
    <w:autoRedefine/>
    <w:rsid w:val="00DA5A3D"/>
    <w:pPr>
      <w:ind w:left="1000"/>
    </w:pPr>
  </w:style>
  <w:style w:type="paragraph" w:styleId="TOC7">
    <w:name w:val="toc 7"/>
    <w:basedOn w:val="Normal"/>
    <w:next w:val="Normal"/>
    <w:autoRedefine/>
    <w:rsid w:val="00DA5A3D"/>
    <w:pPr>
      <w:ind w:left="1200"/>
    </w:pPr>
  </w:style>
  <w:style w:type="paragraph" w:styleId="TOC8">
    <w:name w:val="toc 8"/>
    <w:basedOn w:val="Normal"/>
    <w:next w:val="Normal"/>
    <w:autoRedefine/>
    <w:rsid w:val="00DA5A3D"/>
    <w:pPr>
      <w:ind w:left="1400"/>
    </w:pPr>
  </w:style>
  <w:style w:type="paragraph" w:styleId="TOC9">
    <w:name w:val="toc 9"/>
    <w:basedOn w:val="Normal"/>
    <w:next w:val="Normal"/>
    <w:autoRedefine/>
    <w:rsid w:val="00DA5A3D"/>
    <w:pPr>
      <w:ind w:left="1600"/>
    </w:pPr>
  </w:style>
  <w:style w:type="character" w:customStyle="1" w:styleId="CommentTextChar1">
    <w:name w:val="Comment Text Char1"/>
    <w:uiPriority w:val="99"/>
    <w:rsid w:val="00DA5A3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ichuk\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A26B-A4D6-45A3-A211-6511360E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27</Pages>
  <Words>10259</Words>
  <Characters>58481</Characters>
  <Application>Microsoft Office Word</Application>
  <DocSecurity>0</DocSecurity>
  <Lines>487</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Ludmila Boichuk</dc:creator>
  <cp:lastModifiedBy>sochirca</cp:lastModifiedBy>
  <cp:revision>4</cp:revision>
  <cp:lastPrinted>2016-01-29T08:04:00Z</cp:lastPrinted>
  <dcterms:created xsi:type="dcterms:W3CDTF">2016-01-29T08:04:00Z</dcterms:created>
  <dcterms:modified xsi:type="dcterms:W3CDTF">2016-03-01T09:50:00Z</dcterms:modified>
</cp:coreProperties>
</file>