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4" w:rsidRPr="00020A6F" w:rsidRDefault="00CE4144" w:rsidP="00CE4144">
      <w:pPr>
        <w:spacing w:line="60" w:lineRule="exact"/>
        <w:rPr>
          <w:color w:val="010000"/>
          <w:sz w:val="6"/>
          <w:lang w:val="en-US"/>
        </w:rPr>
        <w:sectPr w:rsidR="00CE4144" w:rsidRPr="00020A6F" w:rsidSect="00CE41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Letter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020A6F" w:rsidRPr="00020A6F" w:rsidRDefault="00020A6F" w:rsidP="00020A6F">
      <w:pPr>
        <w:rPr>
          <w:b/>
          <w:bCs/>
          <w:sz w:val="28"/>
          <w:szCs w:val="28"/>
        </w:rPr>
      </w:pPr>
      <w:r w:rsidRPr="00020A6F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020A6F" w:rsidRPr="00020A6F" w:rsidRDefault="00020A6F" w:rsidP="00020A6F">
      <w:pPr>
        <w:spacing w:line="120" w:lineRule="exact"/>
        <w:rPr>
          <w:sz w:val="10"/>
          <w:szCs w:val="28"/>
        </w:rPr>
      </w:pPr>
    </w:p>
    <w:p w:rsidR="00020A6F" w:rsidRPr="00020A6F" w:rsidRDefault="00020A6F" w:rsidP="00020A6F">
      <w:pPr>
        <w:rPr>
          <w:sz w:val="28"/>
          <w:szCs w:val="28"/>
        </w:rPr>
      </w:pPr>
      <w:r w:rsidRPr="00020A6F">
        <w:rPr>
          <w:sz w:val="28"/>
          <w:szCs w:val="28"/>
        </w:rPr>
        <w:t>Комитет по экологической политике</w:t>
      </w:r>
    </w:p>
    <w:p w:rsidR="00CF6B37" w:rsidRPr="00CF6B37" w:rsidRDefault="00CF6B37" w:rsidP="00CF6B37">
      <w:pPr>
        <w:spacing w:line="120" w:lineRule="exact"/>
        <w:rPr>
          <w:sz w:val="10"/>
        </w:rPr>
      </w:pPr>
    </w:p>
    <w:p w:rsidR="00020A6F" w:rsidRPr="00CF6B37" w:rsidRDefault="00020A6F" w:rsidP="00020A6F">
      <w:pPr>
        <w:rPr>
          <w:b/>
          <w:bCs/>
        </w:rPr>
      </w:pPr>
      <w:r w:rsidRPr="00CF6B37">
        <w:rPr>
          <w:b/>
          <w:bCs/>
        </w:rPr>
        <w:t>Специальная сессия</w:t>
      </w:r>
      <w:bookmarkStart w:id="0" w:name="_GoBack"/>
      <w:bookmarkEnd w:id="0"/>
    </w:p>
    <w:p w:rsidR="00020A6F" w:rsidRPr="00020A6F" w:rsidRDefault="00020A6F" w:rsidP="00235020">
      <w:r w:rsidRPr="00020A6F">
        <w:t xml:space="preserve">Женева, 23−25 </w:t>
      </w:r>
      <w:r w:rsidR="00235020">
        <w:t>февраля</w:t>
      </w:r>
      <w:r w:rsidRPr="00020A6F">
        <w:t xml:space="preserve"> 201</w:t>
      </w:r>
      <w:r w:rsidR="00235020">
        <w:t>6</w:t>
      </w:r>
      <w:r w:rsidRPr="00020A6F">
        <w:t xml:space="preserve"> года</w:t>
      </w:r>
    </w:p>
    <w:p w:rsidR="00020A6F" w:rsidRPr="00020A6F" w:rsidRDefault="00020A6F" w:rsidP="00020A6F">
      <w:r w:rsidRPr="00020A6F">
        <w:t>Пункт 3 g) предварительной повестки дня</w:t>
      </w:r>
    </w:p>
    <w:p w:rsidR="00020A6F" w:rsidRPr="00CF6B37" w:rsidRDefault="00020A6F" w:rsidP="00CF6B37">
      <w:pPr>
        <w:rPr>
          <w:b/>
          <w:bCs/>
        </w:rPr>
      </w:pPr>
      <w:r w:rsidRPr="00CF6B37">
        <w:rPr>
          <w:b/>
          <w:bCs/>
        </w:rPr>
        <w:t xml:space="preserve">Восьмая Конференция министров «Окружающая среда </w:t>
      </w:r>
      <w:r w:rsidR="00CF6B37" w:rsidRPr="00CF6B37">
        <w:rPr>
          <w:b/>
          <w:bCs/>
        </w:rPr>
        <w:br/>
      </w:r>
      <w:r w:rsidRPr="00CF6B37">
        <w:rPr>
          <w:b/>
          <w:bCs/>
        </w:rPr>
        <w:t>для Европы»:</w:t>
      </w:r>
      <w:r w:rsidR="00CF6B37" w:rsidRPr="00CF6B37">
        <w:rPr>
          <w:b/>
          <w:bCs/>
        </w:rPr>
        <w:t xml:space="preserve"> </w:t>
      </w:r>
      <w:r w:rsidRPr="00CF6B37">
        <w:rPr>
          <w:b/>
          <w:bCs/>
        </w:rPr>
        <w:t>предлагаемые итоги Конференции</w:t>
      </w:r>
    </w:p>
    <w:p w:rsidR="00CF6B37" w:rsidRPr="00CF6B37" w:rsidRDefault="00CF6B37" w:rsidP="00CF6B37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CF6B37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CF6B37">
      <w:pPr>
        <w:pStyle w:val="SingleTxt"/>
        <w:spacing w:after="0" w:line="120" w:lineRule="exact"/>
        <w:rPr>
          <w:b/>
          <w:sz w:val="10"/>
        </w:rPr>
      </w:pPr>
    </w:p>
    <w:p w:rsidR="00020A6F" w:rsidRPr="00020A6F" w:rsidRDefault="00020A6F" w:rsidP="00CF6B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0A6F">
        <w:tab/>
      </w:r>
      <w:r w:rsidRPr="00020A6F">
        <w:tab/>
        <w:t>Проект Батумской инициативы по борьбе за чистый воздух (2016–2021 годы)</w:t>
      </w:r>
    </w:p>
    <w:p w:rsidR="00CF6B37" w:rsidRPr="00CF6B37" w:rsidRDefault="00CF6B37" w:rsidP="00CF6B37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CF6B37">
      <w:pPr>
        <w:pStyle w:val="SingleTxt"/>
        <w:spacing w:after="0" w:line="120" w:lineRule="exact"/>
        <w:rPr>
          <w:sz w:val="10"/>
        </w:rPr>
      </w:pPr>
    </w:p>
    <w:p w:rsidR="00CE4144" w:rsidRPr="004C0102" w:rsidRDefault="00020A6F" w:rsidP="00CF6B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0A6F">
        <w:tab/>
      </w:r>
      <w:r w:rsidRPr="00020A6F">
        <w:tab/>
        <w:t>Записка Президиума Конвенции о трансграничном загрязнении воздуха на большие расстояния</w:t>
      </w:r>
    </w:p>
    <w:p w:rsidR="00020A6F" w:rsidRPr="004C0102" w:rsidRDefault="00020A6F" w:rsidP="00CF6B37">
      <w:pPr>
        <w:pStyle w:val="SingleTxt"/>
        <w:spacing w:after="0" w:line="120" w:lineRule="exact"/>
        <w:rPr>
          <w:sz w:val="10"/>
        </w:rPr>
      </w:pPr>
    </w:p>
    <w:p w:rsidR="00CF6B37" w:rsidRPr="004C0102" w:rsidRDefault="00CF6B37" w:rsidP="00CF6B37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020A6F" w:rsidTr="00020A6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20A6F" w:rsidRPr="00020A6F" w:rsidRDefault="00020A6F" w:rsidP="00020A6F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4C0102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020A6F" w:rsidRPr="00020A6F" w:rsidTr="00020A6F">
        <w:tc>
          <w:tcPr>
            <w:tcW w:w="10051" w:type="dxa"/>
            <w:shd w:val="clear" w:color="auto" w:fill="auto"/>
          </w:tcPr>
          <w:p w:rsidR="00020A6F" w:rsidRPr="00020A6F" w:rsidRDefault="00020A6F" w:rsidP="00020A6F">
            <w:pPr>
              <w:pStyle w:val="SingleTxt"/>
            </w:pPr>
            <w:r w:rsidRPr="00020A6F">
              <w:tab/>
            </w:r>
            <w:proofErr w:type="gramStart"/>
            <w:r>
              <w:t>На своей двадцатой сессии (Женева, 28–31 октября 2014 года) Комитет по экологической политике (КЭП) Европейской экономической комиссии (ЕЭК) уполномочил свой Президиум, при поддержке секретариата ЕЭК и в сотруднич</w:t>
            </w:r>
            <w:r>
              <w:t>е</w:t>
            </w:r>
            <w:r>
              <w:t>стве с соответствующими заинтересованными сторонами, приступить к подг</w:t>
            </w:r>
            <w:r>
              <w:t>о</w:t>
            </w:r>
            <w:r>
              <w:t>товке восьмой Конференции министров «Окружающая среда для Европы» (ОСЕ) (Батуми, Грузия, 8–10 июня 2016 года), включая подготовку соответствующих документов в целях содействия организации Конференции (ECE/CEP</w:t>
            </w:r>
            <w:proofErr w:type="gramEnd"/>
            <w:r>
              <w:t>/</w:t>
            </w:r>
            <w:proofErr w:type="gramStart"/>
            <w:r>
              <w:t xml:space="preserve">2014/2, пункты 84 c) и 98 </w:t>
            </w:r>
            <w:proofErr w:type="spellStart"/>
            <w:r>
              <w:t>gg</w:t>
            </w:r>
            <w:proofErr w:type="spellEnd"/>
            <w:r>
              <w:t xml:space="preserve">) </w:t>
            </w:r>
            <w:proofErr w:type="spellStart"/>
            <w:r>
              <w:t>xi</w:t>
            </w:r>
            <w:proofErr w:type="spellEnd"/>
            <w:r>
              <w:t>) c)).</w:t>
            </w:r>
            <w:proofErr w:type="gramEnd"/>
          </w:p>
        </w:tc>
      </w:tr>
      <w:tr w:rsidR="00020A6F" w:rsidRPr="00020A6F" w:rsidTr="00CF6B3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20A6F" w:rsidRPr="00020A6F" w:rsidRDefault="00020A6F" w:rsidP="00FB703F">
            <w:pPr>
              <w:pStyle w:val="SingleTxt"/>
            </w:pPr>
            <w:r>
              <w:tab/>
              <w:t>Одной из тем Конференции, согласованных Комитетом по экологической политике, является «Повышение качества воздуха в интересах улучшения сост</w:t>
            </w:r>
            <w:r>
              <w:t>о</w:t>
            </w:r>
            <w:r>
              <w:t>яния окружающей среды и здоровья человека». В настоящем документе излаг</w:t>
            </w:r>
            <w:r>
              <w:t>а</w:t>
            </w:r>
            <w:r>
              <w:t>ется инициатива, направленная на повышение качества воздуха в регионе, подг</w:t>
            </w:r>
            <w:r>
              <w:t>о</w:t>
            </w:r>
            <w:r>
              <w:t xml:space="preserve">товленная Президиумом Конвенции ЕЭК о трансграничном загрязнении воздуха на большие расстояния (Конвенция по воздуху). </w:t>
            </w:r>
            <w:proofErr w:type="gramStart"/>
            <w:r>
              <w:t>Также на своей последней се</w:t>
            </w:r>
            <w:r>
              <w:t>с</w:t>
            </w:r>
            <w:r>
              <w:t>сии Комитет положительно оценил Батумскую инициативу по борьбе за чистый воздух, которая, по его мнению, могла бы стать одним из значимых инструментов осуществления итогов Конференции по вопросу о чистом воздухе, и предложил Президиуму Конвенции по воздуху представить обновленный проект, подгото</w:t>
            </w:r>
            <w:r>
              <w:t>в</w:t>
            </w:r>
            <w:r>
              <w:t>ленный с учетом замечаний членов Комитета и наблюдателей, а также Рабочей группы по мониторингу и оценке окружающей</w:t>
            </w:r>
            <w:proofErr w:type="gramEnd"/>
            <w:r>
              <w:t xml:space="preserve"> среды.</w:t>
            </w:r>
          </w:p>
        </w:tc>
      </w:tr>
      <w:tr w:rsidR="00020A6F" w:rsidRPr="00020A6F" w:rsidTr="00FB703F">
        <w:tc>
          <w:tcPr>
            <w:tcW w:w="10051" w:type="dxa"/>
            <w:shd w:val="clear" w:color="auto" w:fill="auto"/>
          </w:tcPr>
          <w:p w:rsidR="00020A6F" w:rsidRPr="00020A6F" w:rsidRDefault="00020A6F" w:rsidP="00FB703F">
            <w:pPr>
              <w:pStyle w:val="SingleTxt"/>
              <w:pageBreakBefore/>
            </w:pPr>
            <w:r>
              <w:lastRenderedPageBreak/>
              <w:tab/>
              <w:t>Комитету будет предложено рассмотреть вопрос об одобрении пересмо</w:t>
            </w:r>
            <w:r>
              <w:t>т</w:t>
            </w:r>
            <w:r>
              <w:t>ренного проекта инициативы для представления министрам в Батуми, а также предложить заинтересованным странам и сторонам представить информацию о своих обязательствах в рамках этой инициативы с использованием прилагаемой типовой формы.</w:t>
            </w:r>
          </w:p>
        </w:tc>
      </w:tr>
      <w:tr w:rsidR="00FB703F" w:rsidRPr="00020A6F" w:rsidTr="00CF6B37"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</w:tcPr>
          <w:p w:rsidR="00FB703F" w:rsidRPr="004C0102" w:rsidRDefault="00FB703F" w:rsidP="00020A6F">
            <w:pPr>
              <w:pStyle w:val="SingleTxt"/>
            </w:pPr>
          </w:p>
        </w:tc>
      </w:tr>
    </w:tbl>
    <w:p w:rsidR="00FB703F" w:rsidRDefault="00FB703F" w:rsidP="00CF6B37">
      <w:pPr>
        <w:pStyle w:val="SingleTxt"/>
        <w:rPr>
          <w:b/>
        </w:rPr>
      </w:pPr>
    </w:p>
    <w:p w:rsidR="00CF6B37" w:rsidRPr="00CF6B37" w:rsidRDefault="00FB703F" w:rsidP="00FB70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F6B37" w:rsidRPr="00CF6B37">
        <w:lastRenderedPageBreak/>
        <w:tab/>
      </w:r>
      <w:r w:rsidR="00CF6B37" w:rsidRPr="00CF6B37">
        <w:tab/>
        <w:t>Введение</w:t>
      </w: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FB703F">
      <w:pPr>
        <w:pStyle w:val="SingleTxt"/>
      </w:pPr>
      <w:r w:rsidRPr="00CF6B37">
        <w:t>1.</w:t>
      </w:r>
      <w:r w:rsidRPr="00CF6B37">
        <w:tab/>
        <w:t>С учетом того, что положение в области загрязнения воздуха в регионе Е</w:t>
      </w:r>
      <w:r w:rsidRPr="00CF6B37">
        <w:t>в</w:t>
      </w:r>
      <w:r w:rsidRPr="00CF6B37">
        <w:t>ропейской экономической комиссии (ЕЭК) остается серьезным, а также необх</w:t>
      </w:r>
      <w:r w:rsidRPr="00CF6B37">
        <w:t>о</w:t>
      </w:r>
      <w:r w:rsidRPr="00CF6B37">
        <w:t>димости действий в целях охраны здоровья населения и экосистем, Батумская инициатива по борьбе за чистый воздух предусматривает ряд действий, напра</w:t>
      </w:r>
      <w:r w:rsidRPr="00CF6B37">
        <w:t>в</w:t>
      </w:r>
      <w:r w:rsidRPr="00CF6B37">
        <w:t>ленных на повышение качества воздуха в</w:t>
      </w:r>
      <w:r w:rsidR="00FB703F">
        <w:t xml:space="preserve"> </w:t>
      </w:r>
      <w:r w:rsidRPr="00CF6B37">
        <w:t>регионе. Цель Батумской инициативы по борьбе за чистый воздух заключается в поощрении и поддержке правительств и других заинтересованных сторон в их работе по повышению качества воздуха в период 2016</w:t>
      </w:r>
      <w:r w:rsidR="00FB703F">
        <w:t>–</w:t>
      </w:r>
      <w:r w:rsidRPr="00CF6B37">
        <w:t>2021 годов.</w:t>
      </w:r>
    </w:p>
    <w:p w:rsidR="00CF6B37" w:rsidRPr="00CF6B37" w:rsidRDefault="00CF6B37" w:rsidP="00CF6B37">
      <w:pPr>
        <w:pStyle w:val="SingleTxt"/>
      </w:pPr>
      <w:r w:rsidRPr="00CF6B37">
        <w:t>2.</w:t>
      </w:r>
      <w:r w:rsidRPr="00CF6B37">
        <w:tab/>
        <w:t>Более конкретно, Батумская инициатива по борьбе за чистый воздух пр</w:t>
      </w:r>
      <w:r w:rsidRPr="00CF6B37">
        <w:t>е</w:t>
      </w:r>
      <w:r w:rsidRPr="00CF6B37">
        <w:t>следует следующие цели:</w:t>
      </w:r>
    </w:p>
    <w:p w:rsidR="00CF6B37" w:rsidRPr="00CF6B37" w:rsidRDefault="00CF6B37" w:rsidP="00CF6B37">
      <w:pPr>
        <w:pStyle w:val="SingleTxt"/>
      </w:pPr>
      <w:r w:rsidRPr="00CF6B37">
        <w:tab/>
        <w:t>a)</w:t>
      </w:r>
      <w:r w:rsidRPr="00CF6B37">
        <w:tab/>
        <w:t>предоставить правительствам и другим заинтересованным сторонам перечень возможных конкретных действий по решению проблем, связанных с з</w:t>
      </w:r>
      <w:r w:rsidRPr="00CF6B37">
        <w:t>а</w:t>
      </w:r>
      <w:r w:rsidRPr="00CF6B37">
        <w:t xml:space="preserve">грязнением воздуха, на местном, национальном и региональном уровнях; </w:t>
      </w:r>
    </w:p>
    <w:p w:rsidR="00CF6B37" w:rsidRPr="00CF6B37" w:rsidRDefault="00CF6B37" w:rsidP="00CF6B37">
      <w:pPr>
        <w:pStyle w:val="SingleTxt"/>
      </w:pPr>
      <w:r w:rsidRPr="00CF6B37">
        <w:tab/>
        <w:t>b)</w:t>
      </w:r>
      <w:r w:rsidRPr="00CF6B37">
        <w:tab/>
        <w:t>побудить к действиям по решению тех проблем загрязнения воздуха, которым в настоящее время не уделяется внимание;</w:t>
      </w:r>
    </w:p>
    <w:p w:rsidR="00CF6B37" w:rsidRPr="00CF6B37" w:rsidRDefault="00CF6B37" w:rsidP="00CF6B37">
      <w:pPr>
        <w:pStyle w:val="SingleTxt"/>
      </w:pPr>
      <w:r w:rsidRPr="00CF6B37">
        <w:tab/>
        <w:t>c)</w:t>
      </w:r>
      <w:r w:rsidRPr="00CF6B37">
        <w:tab/>
        <w:t>оказать помощь в дальнейшем осуществлении обязательств, взятых в рамках Конвенции ЕЭК о трансграничном загрязнении воздуха на большие ра</w:t>
      </w:r>
      <w:r w:rsidRPr="00CF6B37">
        <w:t>с</w:t>
      </w:r>
      <w:r w:rsidRPr="00CF6B37">
        <w:t>стояния (Конвенция по воздуху) и протоколов к ней;</w:t>
      </w:r>
    </w:p>
    <w:p w:rsidR="00CF6B37" w:rsidRPr="00CF6B37" w:rsidRDefault="00CF6B37" w:rsidP="00CF6B37">
      <w:pPr>
        <w:pStyle w:val="SingleTxt"/>
      </w:pPr>
      <w:r w:rsidRPr="00CF6B37">
        <w:tab/>
        <w:t>d)</w:t>
      </w:r>
      <w:r w:rsidRPr="00CF6B37">
        <w:tab/>
        <w:t>предложить заинтересованным сторонам (международным организ</w:t>
      </w:r>
      <w:r w:rsidRPr="00CF6B37">
        <w:t>а</w:t>
      </w:r>
      <w:r w:rsidRPr="00CF6B37">
        <w:t>циям, донорам и неправительственным организациям (НПО)) поддерживать де</w:t>
      </w:r>
      <w:r w:rsidRPr="00CF6B37">
        <w:t>й</w:t>
      </w:r>
      <w:r w:rsidRPr="00CF6B37">
        <w:t>ствия по повышению качества воздуха, в частности мероприятия по наращив</w:t>
      </w:r>
      <w:r w:rsidRPr="00CF6B37">
        <w:t>а</w:t>
      </w:r>
      <w:r w:rsidRPr="00CF6B37">
        <w:t xml:space="preserve">нию потенциала и оказанию технической помощи; </w:t>
      </w:r>
    </w:p>
    <w:p w:rsidR="00CF6B37" w:rsidRPr="00CF6B37" w:rsidRDefault="00CF6B37" w:rsidP="00CF6B37">
      <w:pPr>
        <w:pStyle w:val="SingleTxt"/>
      </w:pPr>
      <w:r w:rsidRPr="00CF6B37">
        <w:tab/>
        <w:t>e)</w:t>
      </w:r>
      <w:r w:rsidRPr="00CF6B37">
        <w:tab/>
        <w:t>призвать правительства взять на себя обязательства по осуществлению конкретных действий и обмену информацией о достигнутых успехах и новых вызовах в ходе будущих совещаний Комитета ЕЭК по экологической политике (КЭП).</w:t>
      </w:r>
    </w:p>
    <w:p w:rsidR="00CF6B37" w:rsidRPr="00CF6B37" w:rsidRDefault="00CF6B37" w:rsidP="005B7A9B">
      <w:pPr>
        <w:pStyle w:val="SingleTxt"/>
      </w:pPr>
      <w:r w:rsidRPr="00CF6B37">
        <w:t>3.</w:t>
      </w:r>
      <w:r w:rsidRPr="00CF6B37">
        <w:tab/>
        <w:t>Ввиду различий в положении дел с загрязнением воздуха в странах региона ЕЭК, воздействия загрязнения на здоровье человека и окружающую среду, а та</w:t>
      </w:r>
      <w:r w:rsidRPr="00CF6B37">
        <w:t>к</w:t>
      </w:r>
      <w:r w:rsidRPr="00CF6B37">
        <w:t>же реальные проблемы и приоритеты действий будут различ</w:t>
      </w:r>
      <w:r w:rsidR="00FB703F">
        <w:t>н</w:t>
      </w:r>
      <w:r w:rsidRPr="00CF6B37">
        <w:t>ыми в зависимости от страны. Поэтому комп</w:t>
      </w:r>
      <w:r w:rsidR="005B7A9B">
        <w:t>о</w:t>
      </w:r>
      <w:r w:rsidRPr="00CF6B37">
        <w:t>новку и порядок перечисления действий, предлага</w:t>
      </w:r>
      <w:r w:rsidRPr="00CF6B37">
        <w:t>е</w:t>
      </w:r>
      <w:r w:rsidRPr="00CF6B37">
        <w:t>мых для изучения в настоящем документе, ни в коем случае не следует рассма</w:t>
      </w:r>
      <w:r w:rsidRPr="00CF6B37">
        <w:t>т</w:t>
      </w:r>
      <w:r w:rsidRPr="00CF6B37">
        <w:t>ривать в качестве какой-то схемы ранжирования действий по иерархии или озн</w:t>
      </w:r>
      <w:r w:rsidRPr="00CF6B37">
        <w:t>а</w:t>
      </w:r>
      <w:r w:rsidRPr="00CF6B37">
        <w:t>чающих приоритетность тех действий, которые указываются первыми.</w:t>
      </w:r>
    </w:p>
    <w:p w:rsidR="00020A6F" w:rsidRPr="00020A6F" w:rsidRDefault="00CF6B37" w:rsidP="00CF6B37">
      <w:pPr>
        <w:pStyle w:val="SingleTxt"/>
      </w:pPr>
      <w:r w:rsidRPr="00CF6B37">
        <w:t>4.</w:t>
      </w:r>
      <w:r w:rsidRPr="00CF6B37">
        <w:tab/>
      </w:r>
      <w:proofErr w:type="gramStart"/>
      <w:r w:rsidRPr="00CF6B37">
        <w:t>Некоторые действия носят общий характер и служат важной отправной то</w:t>
      </w:r>
      <w:r w:rsidRPr="00CF6B37">
        <w:t>ч</w:t>
      </w:r>
      <w:r w:rsidRPr="00CF6B37">
        <w:t xml:space="preserve">кой для более подробной </w:t>
      </w:r>
      <w:proofErr w:type="spellStart"/>
      <w:r w:rsidRPr="00CF6B37">
        <w:t>характеризации</w:t>
      </w:r>
      <w:proofErr w:type="spellEnd"/>
      <w:r w:rsidRPr="00CF6B37">
        <w:t xml:space="preserve"> источников загрязнителей воздуха.</w:t>
      </w:r>
      <w:proofErr w:type="gramEnd"/>
      <w:r w:rsidRPr="00CF6B37">
        <w:t xml:space="preserve"> </w:t>
      </w:r>
      <w:r w:rsidR="00FB703F">
        <w:br/>
      </w:r>
      <w:r w:rsidRPr="00CF6B37">
        <w:t xml:space="preserve">К таким действиям относится деятельность в области </w:t>
      </w:r>
      <w:proofErr w:type="gramStart"/>
      <w:r w:rsidRPr="00CF6B37">
        <w:t>мониторинга</w:t>
      </w:r>
      <w:proofErr w:type="gramEnd"/>
      <w:r w:rsidRPr="00CF6B37">
        <w:t xml:space="preserve"> как качества воздуха, так и результирующего воздействия на здоровье человека и экосистемы. Эту деятельность можно рассматривать в качестве необходимого предварител</w:t>
      </w:r>
      <w:r w:rsidRPr="00CF6B37">
        <w:t>ь</w:t>
      </w:r>
      <w:r w:rsidRPr="00CF6B37">
        <w:t>ного условия для повышения уровня информированности общественности и ра</w:t>
      </w:r>
      <w:r w:rsidRPr="00CF6B37">
        <w:t>з</w:t>
      </w:r>
      <w:r w:rsidRPr="00CF6B37">
        <w:t>работчиков политики о необходимости борьбы с вредными выбросами.</w:t>
      </w:r>
    </w:p>
    <w:p w:rsidR="00CF6B37" w:rsidRPr="00CF6B37" w:rsidRDefault="00CF6B37" w:rsidP="00FB703F">
      <w:pPr>
        <w:pStyle w:val="SingleTxt"/>
      </w:pPr>
      <w:r w:rsidRPr="00CF6B37">
        <w:t>5.</w:t>
      </w:r>
      <w:r w:rsidRPr="00CF6B37">
        <w:tab/>
        <w:t>Другие действия конкретно необходимы в качестве отправных точе</w:t>
      </w:r>
      <w:r w:rsidR="00FB703F">
        <w:t>к</w:t>
      </w:r>
      <w:r w:rsidRPr="00CF6B37">
        <w:t xml:space="preserve"> для с</w:t>
      </w:r>
      <w:r w:rsidRPr="00CF6B37">
        <w:t>о</w:t>
      </w:r>
      <w:r w:rsidRPr="00CF6B37">
        <w:t>здания общей основы для сотрудничества с другими странами и для присоедин</w:t>
      </w:r>
      <w:r w:rsidRPr="00CF6B37">
        <w:t>е</w:t>
      </w:r>
      <w:r w:rsidRPr="00CF6B37">
        <w:t>ния к международным соглашениям. В случае стран, в которых деятельность по сбору данных и оценке находится на раннем этапе, будут приветствоваться те</w:t>
      </w:r>
      <w:r w:rsidRPr="00CF6B37">
        <w:t>х</w:t>
      </w:r>
      <w:r w:rsidRPr="00CF6B37">
        <w:t>ническая помощь и обмен опытом.</w:t>
      </w:r>
    </w:p>
    <w:p w:rsidR="00CF6B37" w:rsidRPr="00CF6B37" w:rsidRDefault="00FB703F" w:rsidP="00CF6B37">
      <w:pPr>
        <w:pStyle w:val="SingleTxt"/>
      </w:pPr>
      <w:r>
        <w:br w:type="page"/>
      </w:r>
      <w:r w:rsidR="00CF6B37" w:rsidRPr="00CF6B37">
        <w:lastRenderedPageBreak/>
        <w:t>6.</w:t>
      </w:r>
      <w:r w:rsidR="00CF6B37" w:rsidRPr="00CF6B37">
        <w:tab/>
        <w:t>Правительствам и другим заинтересованным сторонам предлагается в</w:t>
      </w:r>
      <w:r w:rsidR="00CF6B37" w:rsidRPr="00CF6B37">
        <w:t>ы</w:t>
      </w:r>
      <w:r w:rsidR="00CF6B37" w:rsidRPr="00CF6B37">
        <w:t xml:space="preserve">брать соответствующие действия из перечня возможных действий, предлагаемых ниже, исходя из конкретных потребностей каждой страны, с </w:t>
      </w:r>
      <w:proofErr w:type="gramStart"/>
      <w:r w:rsidR="00CF6B37" w:rsidRPr="00CF6B37">
        <w:t>тем</w:t>
      </w:r>
      <w:proofErr w:type="gramEnd"/>
      <w:r w:rsidR="00CF6B37" w:rsidRPr="00CF6B37">
        <w:t xml:space="preserve"> чтобы взять на себя добровольное обязательство по их осуществлению.</w:t>
      </w:r>
    </w:p>
    <w:p w:rsidR="00CF6B37" w:rsidRPr="00CF6B37" w:rsidRDefault="00CF6B37" w:rsidP="005B7A9B">
      <w:pPr>
        <w:pStyle w:val="SingleTxt"/>
      </w:pPr>
      <w:r w:rsidRPr="00CF6B37">
        <w:t>7.</w:t>
      </w:r>
      <w:r w:rsidRPr="00CF6B37">
        <w:tab/>
        <w:t xml:space="preserve">По аналогии с </w:t>
      </w:r>
      <w:proofErr w:type="spellStart"/>
      <w:r w:rsidRPr="00CF6B37">
        <w:t>Астанинскими</w:t>
      </w:r>
      <w:proofErr w:type="spellEnd"/>
      <w:r w:rsidRPr="00CF6B37">
        <w:t xml:space="preserve"> предложениями относительно действий по воде странам и другим потенциальным заинтересованным сторонам (междун</w:t>
      </w:r>
      <w:r w:rsidRPr="00CF6B37">
        <w:t>а</w:t>
      </w:r>
      <w:r w:rsidRPr="00CF6B37">
        <w:t xml:space="preserve">родным организациям, организациям-донорам и НПО) может быть </w:t>
      </w:r>
      <w:proofErr w:type="gramStart"/>
      <w:r w:rsidRPr="00CF6B37">
        <w:t>предложено</w:t>
      </w:r>
      <w:proofErr w:type="gramEnd"/>
      <w:r w:rsidRPr="00CF6B37">
        <w:t xml:space="preserve"> представить информацию о своих добровольных обязательствах с использован</w:t>
      </w:r>
      <w:r w:rsidRPr="00CF6B37">
        <w:t>и</w:t>
      </w:r>
      <w:r w:rsidRPr="00CF6B37">
        <w:t>ем типовой формы, которую можно включить в приложение к настоящему док</w:t>
      </w:r>
      <w:r w:rsidRPr="00CF6B37">
        <w:t>у</w:t>
      </w:r>
      <w:r w:rsidRPr="00CF6B37">
        <w:t>менту.</w:t>
      </w:r>
    </w:p>
    <w:p w:rsidR="00FB703F" w:rsidRPr="00FB703F" w:rsidRDefault="00FB703F" w:rsidP="00FB703F">
      <w:pPr>
        <w:pStyle w:val="SingleTxt"/>
        <w:spacing w:after="0" w:line="120" w:lineRule="exact"/>
        <w:rPr>
          <w:b/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FB70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tab/>
        <w:t>I.</w:t>
      </w:r>
      <w:r w:rsidRPr="00CF6B37">
        <w:tab/>
        <w:t xml:space="preserve">Налаживание систематической, сопоставимой </w:t>
      </w:r>
      <w:r w:rsidR="00FB703F">
        <w:br/>
      </w:r>
      <w:r w:rsidRPr="00CF6B37">
        <w:t xml:space="preserve">и транспарентной деятельности по мониторингу </w:t>
      </w:r>
      <w:r w:rsidR="00FB703F">
        <w:br/>
      </w:r>
      <w:r w:rsidRPr="00CF6B37">
        <w:t>и ведению кадастров выбросов</w:t>
      </w: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0D1E55">
      <w:pPr>
        <w:pStyle w:val="SingleTxt"/>
      </w:pPr>
      <w:r w:rsidRPr="00CF6B37">
        <w:t>8.</w:t>
      </w:r>
      <w:r w:rsidRPr="00CF6B37">
        <w:tab/>
        <w:t>Возможные действия по налаживани</w:t>
      </w:r>
      <w:r w:rsidR="000D1E55">
        <w:t>ю</w:t>
      </w:r>
      <w:r w:rsidRPr="00CF6B37">
        <w:t xml:space="preserve"> систематической, сопоставимой и транспарентной деятельности по мониторингу и ведению кадастров выбросов, включают в себя:</w:t>
      </w:r>
    </w:p>
    <w:p w:rsidR="00CF6B37" w:rsidRPr="00CF6B37" w:rsidRDefault="00CF6B37" w:rsidP="00CF6B37">
      <w:pPr>
        <w:pStyle w:val="SingleTxt"/>
      </w:pPr>
      <w:r w:rsidRPr="00CF6B37">
        <w:tab/>
        <w:t>a)</w:t>
      </w:r>
      <w:r w:rsidRPr="00CF6B37">
        <w:tab/>
        <w:t xml:space="preserve">ежегодный сбор информации и ведение кадастров об уровнях: </w:t>
      </w:r>
    </w:p>
    <w:p w:rsidR="00CF6B37" w:rsidRPr="00CF6B37" w:rsidRDefault="00CF6B37" w:rsidP="000D1E55">
      <w:pPr>
        <w:pStyle w:val="SingleTxt"/>
        <w:ind w:left="1742"/>
      </w:pPr>
      <w:proofErr w:type="gramStart"/>
      <w:r w:rsidRPr="00CF6B37">
        <w:t xml:space="preserve">i) </w:t>
      </w:r>
      <w:r w:rsidRPr="00CF6B37">
        <w:tab/>
        <w:t>выбросов серы, оксидов азота, дисперсного вещества, аммиака, лет</w:t>
      </w:r>
      <w:r w:rsidRPr="00CF6B37">
        <w:t>у</w:t>
      </w:r>
      <w:r w:rsidRPr="00CF6B37">
        <w:t>чих органических соединений и некоторых тяжелых металлов (которые п</w:t>
      </w:r>
      <w:r w:rsidRPr="00CF6B37">
        <w:t>е</w:t>
      </w:r>
      <w:r w:rsidRPr="00CF6B37">
        <w:t>речислены в Протоколе по тяжелым металлам 1998 года с внесенными в н</w:t>
      </w:r>
      <w:r w:rsidRPr="00CF6B37">
        <w:t>е</w:t>
      </w:r>
      <w:r w:rsidRPr="00CF6B37">
        <w:t>го в 2012 году поправками) и некоторых стойких органических загрязнит</w:t>
      </w:r>
      <w:r w:rsidRPr="00CF6B37">
        <w:t>е</w:t>
      </w:r>
      <w:r w:rsidRPr="00CF6B37">
        <w:t>лей как минимум с учетом, в соответствующих случаях, Руководящих принципов представления данных о выбросах и прогнозах в соответствии с Конвенцией о трансграничном загрязнении воздуха</w:t>
      </w:r>
      <w:proofErr w:type="gramEnd"/>
      <w:r w:rsidRPr="00CF6B37">
        <w:t xml:space="preserve"> на большие расстояния (ECE/AB.AIR/125) (</w:t>
      </w:r>
      <w:r w:rsidRPr="00CF6B37">
        <w:rPr>
          <w:b/>
          <w:bCs/>
        </w:rPr>
        <w:t>Действие 1</w:t>
      </w:r>
      <w:r w:rsidRPr="00CF6B37">
        <w:t>);</w:t>
      </w:r>
    </w:p>
    <w:p w:rsidR="00CF6B37" w:rsidRPr="00CF6B37" w:rsidRDefault="00CF6B37" w:rsidP="00FB703F">
      <w:pPr>
        <w:pStyle w:val="SingleTxt"/>
        <w:ind w:left="1742"/>
      </w:pPr>
      <w:proofErr w:type="spellStart"/>
      <w:r w:rsidRPr="00CF6B37">
        <w:t>ii</w:t>
      </w:r>
      <w:proofErr w:type="spellEnd"/>
      <w:r w:rsidRPr="00CF6B37">
        <w:t xml:space="preserve">) </w:t>
      </w:r>
      <w:r w:rsidRPr="00CF6B37">
        <w:tab/>
        <w:t>фоновых концентраций соединений, упомянутых в подпункте а) i) в</w:t>
      </w:r>
      <w:r w:rsidRPr="00CF6B37">
        <w:t>ы</w:t>
      </w:r>
      <w:r w:rsidRPr="00CF6B37">
        <w:t>ше, и приземного озона (</w:t>
      </w:r>
      <w:r w:rsidRPr="00CF6B37">
        <w:rPr>
          <w:b/>
          <w:bCs/>
        </w:rPr>
        <w:t>Действие 2</w:t>
      </w:r>
      <w:r w:rsidRPr="00CF6B37">
        <w:t>);</w:t>
      </w:r>
    </w:p>
    <w:p w:rsidR="00CF6B37" w:rsidRPr="00CF6B37" w:rsidRDefault="00CF6B37" w:rsidP="00FC0420">
      <w:pPr>
        <w:pStyle w:val="SingleTxt"/>
        <w:rPr>
          <w:bCs/>
        </w:rPr>
      </w:pPr>
      <w:r w:rsidRPr="00CF6B37">
        <w:tab/>
      </w:r>
      <w:proofErr w:type="gramStart"/>
      <w:r w:rsidRPr="00CF6B37">
        <w:t>b)</w:t>
      </w:r>
      <w:r w:rsidRPr="00CF6B37">
        <w:tab/>
        <w:t>представление данных по как минимум всем крупным точечным и</w:t>
      </w:r>
      <w:r w:rsidRPr="00CF6B37">
        <w:t>с</w:t>
      </w:r>
      <w:r w:rsidRPr="00CF6B37">
        <w:t>точникам и, по мере возможности, информации по сельскохозяйственным и м</w:t>
      </w:r>
      <w:r w:rsidRPr="00CF6B37">
        <w:t>о</w:t>
      </w:r>
      <w:r w:rsidRPr="00CF6B37">
        <w:t>бильным источникам в соответствии с механизмом, установленным в соотве</w:t>
      </w:r>
      <w:r w:rsidRPr="00CF6B37">
        <w:t>т</w:t>
      </w:r>
      <w:r w:rsidRPr="00CF6B37">
        <w:t>ствии с Протоколом о регистрах выбросов и переноса загрязнителей (Протокол о РВПЗ) к Конвенции ЕЭК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  <w:proofErr w:type="gramEnd"/>
      <w:r w:rsidRPr="00CF6B37">
        <w:t xml:space="preserve"> (</w:t>
      </w:r>
      <w:r w:rsidRPr="00CF6B37">
        <w:rPr>
          <w:b/>
          <w:bCs/>
        </w:rPr>
        <w:t>Действие 3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c)</w:t>
      </w:r>
      <w:r w:rsidRPr="00CF6B37">
        <w:tab/>
        <w:t>стимулирование сотрудничества и обмена информацией между межд</w:t>
      </w:r>
      <w:r w:rsidRPr="00CF6B37">
        <w:t>у</w:t>
      </w:r>
      <w:r w:rsidRPr="00CF6B37">
        <w:t>народными, национальными, субнациональными и местными органами власти по вопросам, связанным с загрязнением воздуха (</w:t>
      </w:r>
      <w:r w:rsidRPr="00CF6B37">
        <w:rPr>
          <w:b/>
          <w:bCs/>
        </w:rPr>
        <w:t>Действие 4</w:t>
      </w:r>
      <w:r w:rsidRPr="00CF6B37">
        <w:t>);</w:t>
      </w:r>
    </w:p>
    <w:p w:rsidR="00020A6F" w:rsidRPr="004C0102" w:rsidRDefault="00CF6B37" w:rsidP="00CF6B37">
      <w:pPr>
        <w:pStyle w:val="SingleTxt"/>
      </w:pPr>
      <w:r w:rsidRPr="00CF6B37">
        <w:tab/>
        <w:t>d)</w:t>
      </w:r>
      <w:r w:rsidRPr="00CF6B37">
        <w:tab/>
        <w:t>назначение учреждений, отвечающих за мониторинг качества воздуха и обмен данными между различными субнациональными сетями, а также за с</w:t>
      </w:r>
      <w:r w:rsidRPr="00CF6B37">
        <w:t>о</w:t>
      </w:r>
      <w:r w:rsidRPr="00CF6B37">
        <w:t>гласование методологий мониторинга, с учетом национальных обстоятельств (</w:t>
      </w:r>
      <w:r w:rsidRPr="00CF6B37">
        <w:rPr>
          <w:b/>
          <w:bCs/>
        </w:rPr>
        <w:t>Действие 5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e)</w:t>
      </w:r>
      <w:r w:rsidRPr="00CF6B37">
        <w:tab/>
        <w:t>назначение учреждений, отвечающих за разработку ежегодных кадас</w:t>
      </w:r>
      <w:r w:rsidRPr="00CF6B37">
        <w:t>т</w:t>
      </w:r>
      <w:r w:rsidRPr="00CF6B37">
        <w:t>ров выбросов загрязнителей воздуха (</w:t>
      </w:r>
      <w:r w:rsidRPr="00CF6B37">
        <w:rPr>
          <w:b/>
          <w:bCs/>
        </w:rPr>
        <w:t>Действие 6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f)</w:t>
      </w:r>
      <w:r w:rsidRPr="00CF6B37">
        <w:tab/>
        <w:t>в тех случаях, когда системы уже хорошо отлажены, оказание технич</w:t>
      </w:r>
      <w:r w:rsidRPr="00CF6B37">
        <w:t>е</w:t>
      </w:r>
      <w:r w:rsidRPr="00CF6B37">
        <w:t>ской поддержки в области мониторинга качества воздуха и ведения кадастров странам, приступившим к осуществлению такой деятельности, и обмен с ними экспертными знаниями в этом отношении (</w:t>
      </w:r>
      <w:r w:rsidRPr="00CF6B37">
        <w:rPr>
          <w:b/>
          <w:bCs/>
        </w:rPr>
        <w:t>Действие 7</w:t>
      </w:r>
      <w:r w:rsidRPr="00CF6B37">
        <w:t>).</w:t>
      </w:r>
    </w:p>
    <w:p w:rsidR="00CF6B37" w:rsidRPr="00CF6B37" w:rsidRDefault="00CF6B37" w:rsidP="00FB70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lastRenderedPageBreak/>
        <w:tab/>
        <w:t>II.</w:t>
      </w:r>
      <w:r w:rsidRPr="00CF6B37">
        <w:tab/>
        <w:t xml:space="preserve">Разработка национальных программ действий, </w:t>
      </w:r>
      <w:r w:rsidR="00FB703F">
        <w:br/>
      </w:r>
      <w:r w:rsidRPr="00CF6B37">
        <w:t>по сокращению загрязнения воздуха</w:t>
      </w: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CF6B37">
      <w:pPr>
        <w:pStyle w:val="SingleTxt"/>
      </w:pPr>
      <w:r w:rsidRPr="00CF6B37">
        <w:t>9.</w:t>
      </w:r>
      <w:r w:rsidRPr="00CF6B37">
        <w:tab/>
        <w:t>Возможные действия в связи с разработкой национальных программ де</w:t>
      </w:r>
      <w:r w:rsidRPr="00CF6B37">
        <w:t>й</w:t>
      </w:r>
      <w:r w:rsidRPr="00CF6B37">
        <w:t>ствий по сокращению загрязнения воздуха включают в себя:</w:t>
      </w:r>
    </w:p>
    <w:p w:rsidR="00CF6B37" w:rsidRPr="00CF6B37" w:rsidRDefault="00CF6B37" w:rsidP="00CF6B37">
      <w:pPr>
        <w:pStyle w:val="SingleTxt"/>
      </w:pPr>
      <w:r w:rsidRPr="00CF6B37">
        <w:tab/>
      </w:r>
      <w:proofErr w:type="gramStart"/>
      <w:r w:rsidRPr="00CF6B37">
        <w:t>a)</w:t>
      </w:r>
      <w:r w:rsidRPr="00CF6B37">
        <w:tab/>
        <w:t>ограничение и сокращение выбросов серы, оксидов азота, аммиака и летучих органических соединений, а также дисперсного вещества (включая че</w:t>
      </w:r>
      <w:r w:rsidRPr="00CF6B37">
        <w:t>р</w:t>
      </w:r>
      <w:r w:rsidRPr="00CF6B37">
        <w:t>ный углерод), тяжелых металлов и некоторых стойких органических загрязнит</w:t>
      </w:r>
      <w:r w:rsidRPr="00CF6B37">
        <w:t>е</w:t>
      </w:r>
      <w:r w:rsidRPr="00CF6B37">
        <w:t>лей, которые играют важную роль с учетом их потенциала трансграничного а</w:t>
      </w:r>
      <w:r w:rsidRPr="00CF6B37">
        <w:t>т</w:t>
      </w:r>
      <w:r w:rsidRPr="00CF6B37">
        <w:t>мосферного переноса на большие расстояния и негативного воздействия на зд</w:t>
      </w:r>
      <w:r w:rsidRPr="00CF6B37">
        <w:t>о</w:t>
      </w:r>
      <w:r w:rsidRPr="00CF6B37">
        <w:t xml:space="preserve">ровье человека, природные экосистемы, материалы или сельскохозяйственные культуры, за счет, например, подкисления, </w:t>
      </w:r>
      <w:proofErr w:type="spellStart"/>
      <w:r w:rsidRPr="00CF6B37">
        <w:t>эвтрофикации</w:t>
      </w:r>
      <w:proofErr w:type="spellEnd"/>
      <w:r w:rsidRPr="00CF6B37">
        <w:t xml:space="preserve"> или образования</w:t>
      </w:r>
      <w:proofErr w:type="gramEnd"/>
      <w:r w:rsidRPr="00CF6B37">
        <w:t xml:space="preserve"> пр</w:t>
      </w:r>
      <w:r w:rsidRPr="00CF6B37">
        <w:t>и</w:t>
      </w:r>
      <w:r w:rsidRPr="00CF6B37">
        <w:t>земного озона (</w:t>
      </w:r>
      <w:r w:rsidRPr="00CF6B37">
        <w:rPr>
          <w:b/>
          <w:bCs/>
        </w:rPr>
        <w:t>Действие 8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b)</w:t>
      </w:r>
      <w:r w:rsidRPr="00CF6B37">
        <w:tab/>
        <w:t xml:space="preserve">принятие в случае необходимости и на основе надежных научных и экономических критериев стратегий, политики и программ, предусматривающих меры, направленные </w:t>
      </w:r>
      <w:proofErr w:type="gramStart"/>
      <w:r w:rsidRPr="00CF6B37">
        <w:t>на</w:t>
      </w:r>
      <w:proofErr w:type="gramEnd"/>
      <w:r w:rsidRPr="00CF6B37">
        <w:t>: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  <w:t>i)</w:t>
      </w:r>
      <w:r w:rsidRPr="00CF6B37">
        <w:tab/>
        <w:t>ограничение и сокращение выбросов серы, оксидов азота, аммиака, летучих органических соединений и дисперсного вещества (</w:t>
      </w:r>
      <w:r w:rsidRPr="00CF6B37">
        <w:rPr>
          <w:b/>
          <w:bCs/>
        </w:rPr>
        <w:t>Действие 9</w:t>
      </w:r>
      <w:r w:rsidRPr="00CF6B37">
        <w:t>);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</w:t>
      </w:r>
      <w:proofErr w:type="spellEnd"/>
      <w:r w:rsidRPr="00CF6B37">
        <w:t>)</w:t>
      </w:r>
      <w:r w:rsidRPr="00CF6B37">
        <w:tab/>
        <w:t xml:space="preserve">принятие мер по повышению </w:t>
      </w:r>
      <w:proofErr w:type="spellStart"/>
      <w:r w:rsidRPr="00CF6B37">
        <w:t>энергоэффективности</w:t>
      </w:r>
      <w:proofErr w:type="spellEnd"/>
      <w:r w:rsidRPr="00CF6B37">
        <w:t xml:space="preserve"> и использованию возобновляемых источников энергии, а также стимулированию разработки систем сжигания биомассы с низким уровнем выбросов</w:t>
      </w:r>
      <w:r w:rsidR="00FB703F">
        <w:t xml:space="preserve"> </w:t>
      </w:r>
      <w:r w:rsidRPr="00CF6B37">
        <w:t>(</w:t>
      </w:r>
      <w:r w:rsidRPr="00CF6B37">
        <w:rPr>
          <w:b/>
          <w:bCs/>
        </w:rPr>
        <w:t>Действие 10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iii</w:t>
      </w:r>
      <w:proofErr w:type="spellEnd"/>
      <w:r w:rsidRPr="00CF6B37">
        <w:t>)</w:t>
      </w:r>
      <w:r w:rsidRPr="00CF6B37">
        <w:tab/>
        <w:t>ратификацию и осуществление Протокола 1999 года о борьбе с по</w:t>
      </w:r>
      <w:r w:rsidRPr="00CF6B37">
        <w:t>д</w:t>
      </w:r>
      <w:r w:rsidRPr="00CF6B37">
        <w:t xml:space="preserve">кислением, </w:t>
      </w:r>
      <w:proofErr w:type="spellStart"/>
      <w:r w:rsidRPr="00CF6B37">
        <w:t>эвтрофикацией</w:t>
      </w:r>
      <w:proofErr w:type="spellEnd"/>
      <w:r w:rsidRPr="00CF6B37">
        <w:t xml:space="preserve"> и приземным озоном (</w:t>
      </w:r>
      <w:proofErr w:type="spellStart"/>
      <w:r w:rsidRPr="00CF6B37">
        <w:t>Гётеборгский</w:t>
      </w:r>
      <w:proofErr w:type="spellEnd"/>
      <w:r w:rsidRPr="00CF6B37">
        <w:t xml:space="preserve"> протокол) </w:t>
      </w:r>
      <w:r w:rsidR="00FB703F">
        <w:br/>
      </w:r>
      <w:r w:rsidRPr="00CF6B37">
        <w:t>(с внесенными в него в 2012 году поправками), Протокола 1998 года по стойким органическим загрязнителям (с внесенными в него в 2009 году п</w:t>
      </w:r>
      <w:r w:rsidRPr="00CF6B37">
        <w:t>о</w:t>
      </w:r>
      <w:r w:rsidRPr="00CF6B37">
        <w:t>правками) и пересмотренного Протокола по тяжелым металлам (</w:t>
      </w:r>
      <w:r w:rsidRPr="00CF6B37">
        <w:rPr>
          <w:b/>
          <w:bCs/>
        </w:rPr>
        <w:t>Де</w:t>
      </w:r>
      <w:r w:rsidRPr="00CF6B37">
        <w:rPr>
          <w:b/>
          <w:bCs/>
        </w:rPr>
        <w:t>й</w:t>
      </w:r>
      <w:r w:rsidRPr="00CF6B37">
        <w:rPr>
          <w:b/>
          <w:bCs/>
        </w:rPr>
        <w:t>ствие</w:t>
      </w:r>
      <w:r w:rsidR="00FB703F">
        <w:rPr>
          <w:b/>
          <w:bCs/>
        </w:rPr>
        <w:t> </w:t>
      </w:r>
      <w:r w:rsidRPr="00CF6B37">
        <w:rPr>
          <w:b/>
          <w:bCs/>
        </w:rPr>
        <w:t>11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iv</w:t>
      </w:r>
      <w:proofErr w:type="spellEnd"/>
      <w:r w:rsidRPr="00CF6B37">
        <w:t>)</w:t>
      </w:r>
      <w:r w:rsidRPr="00CF6B37">
        <w:tab/>
        <w:t>сокращение использования загрязняющих видов топлива, в частности (низкосортного) угля и топлива с высоким содержанием серы (</w:t>
      </w:r>
      <w:r w:rsidRPr="00CF6B37">
        <w:rPr>
          <w:b/>
          <w:bCs/>
        </w:rPr>
        <w:t>Де</w:t>
      </w:r>
      <w:r w:rsidRPr="00CF6B37">
        <w:rPr>
          <w:b/>
          <w:bCs/>
        </w:rPr>
        <w:t>й</w:t>
      </w:r>
      <w:r w:rsidRPr="00CF6B37">
        <w:rPr>
          <w:b/>
          <w:bCs/>
        </w:rPr>
        <w:t>ствие</w:t>
      </w:r>
      <w:r w:rsidR="00FB703F">
        <w:rPr>
          <w:b/>
          <w:bCs/>
        </w:rPr>
        <w:t> </w:t>
      </w:r>
      <w:r w:rsidRPr="00CF6B37">
        <w:rPr>
          <w:b/>
          <w:bCs/>
        </w:rPr>
        <w:t>12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  <w:t>v)</w:t>
      </w:r>
      <w:r w:rsidRPr="00CF6B37">
        <w:tab/>
        <w:t>внедрение менее загрязняющих транспортных систем и поощрение т</w:t>
      </w:r>
      <w:r w:rsidRPr="00CF6B37">
        <w:t>а</w:t>
      </w:r>
      <w:r w:rsidRPr="00CF6B37">
        <w:t>ких систем управления транспортом, которые способствуют сокращению общего объема выбросов и негативного воздействия дорожных перевозок (</w:t>
      </w:r>
      <w:r w:rsidRPr="00CF6B37">
        <w:rPr>
          <w:b/>
          <w:bCs/>
        </w:rPr>
        <w:t>Действие 13</w:t>
      </w:r>
      <w:r w:rsidRPr="00CF6B37">
        <w:t>);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vi</w:t>
      </w:r>
      <w:proofErr w:type="spellEnd"/>
      <w:r w:rsidRPr="00CF6B37">
        <w:t>)</w:t>
      </w:r>
      <w:r w:rsidRPr="00CF6B37">
        <w:tab/>
        <w:t>продвижение норм в рамках Международной морской организации, направленных на сокращение использования топлива с высоким содержан</w:t>
      </w:r>
      <w:r w:rsidRPr="00CF6B37">
        <w:t>и</w:t>
      </w:r>
      <w:r w:rsidRPr="00CF6B37">
        <w:t>ем серы (</w:t>
      </w:r>
      <w:r w:rsidRPr="00CF6B37">
        <w:rPr>
          <w:b/>
          <w:bCs/>
        </w:rPr>
        <w:t>Действие 14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vii</w:t>
      </w:r>
      <w:proofErr w:type="spellEnd"/>
      <w:r w:rsidRPr="00CF6B37">
        <w:t>)</w:t>
      </w:r>
      <w:r w:rsidRPr="00CF6B37">
        <w:tab/>
        <w:t>разработку надлежащей сельскохозяйственной практики, позволяющей избежать выбросов аммиака в окружающую среду, и пропаганду альтерн</w:t>
      </w:r>
      <w:r w:rsidRPr="00CF6B37">
        <w:t>а</w:t>
      </w:r>
      <w:r w:rsidRPr="00CF6B37">
        <w:t>тив открытому сжиганию сельскохозяйственных отходов во избежание вредных выбросов (</w:t>
      </w:r>
      <w:r w:rsidRPr="00CF6B37">
        <w:rPr>
          <w:b/>
          <w:bCs/>
        </w:rPr>
        <w:t>Действие 15)</w:t>
      </w:r>
      <w:r w:rsidRPr="00CF6B37">
        <w:t>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viii</w:t>
      </w:r>
      <w:proofErr w:type="spellEnd"/>
      <w:r w:rsidRPr="00CF6B37">
        <w:t>)</w:t>
      </w:r>
      <w:r w:rsidRPr="00CF6B37">
        <w:tab/>
        <w:t>разработку программ в отношении атмосферного мониторинга и мод</w:t>
      </w:r>
      <w:r w:rsidRPr="00CF6B37">
        <w:t>е</w:t>
      </w:r>
      <w:r w:rsidRPr="00CF6B37">
        <w:t>лирования и воздействия на здоровье населения и экосистемы и облегчение сообщения результатов общественности (</w:t>
      </w:r>
      <w:r w:rsidRPr="00CF6B37">
        <w:rPr>
          <w:b/>
          <w:bCs/>
        </w:rPr>
        <w:t>Действие 16</w:t>
      </w:r>
      <w:r w:rsidRPr="00CF6B37">
        <w:t>);</w:t>
      </w:r>
      <w:proofErr w:type="gramEnd"/>
    </w:p>
    <w:p w:rsidR="00CF6B37" w:rsidRPr="00CF6B37" w:rsidRDefault="00CF6B37" w:rsidP="00CF6B37">
      <w:pPr>
        <w:pStyle w:val="SingleTxt"/>
      </w:pPr>
      <w:r w:rsidRPr="00CF6B37">
        <w:tab/>
        <w:t>c)</w:t>
      </w:r>
      <w:r w:rsidRPr="00CF6B37">
        <w:tab/>
        <w:t>применение наилучших доступных технологий к мобильным источн</w:t>
      </w:r>
      <w:r w:rsidRPr="00CF6B37">
        <w:t>и</w:t>
      </w:r>
      <w:r w:rsidRPr="00CF6B37">
        <w:t>кам и к новым и существующим стационарным источникам, в том числе в сект</w:t>
      </w:r>
      <w:r w:rsidRPr="00CF6B37">
        <w:t>о</w:t>
      </w:r>
      <w:r w:rsidRPr="00CF6B37">
        <w:t>ре сельского хозяйства, с учетом соответствующих руководящих документов, принятых Исполнительным органом по Конвенции по воздуху</w:t>
      </w:r>
      <w:r w:rsidR="00FB703F">
        <w:t xml:space="preserve"> </w:t>
      </w:r>
      <w:r w:rsidRPr="00CF6B37">
        <w:t>(</w:t>
      </w:r>
      <w:r w:rsidRPr="00CF6B37">
        <w:rPr>
          <w:b/>
          <w:bCs/>
        </w:rPr>
        <w:t>Действие 17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lastRenderedPageBreak/>
        <w:tab/>
        <w:t>d)</w:t>
      </w:r>
      <w:r w:rsidRPr="00CF6B37">
        <w:tab/>
        <w:t>представление информации о принятых мерах и результатах их прим</w:t>
      </w:r>
      <w:r w:rsidRPr="00CF6B37">
        <w:t>е</w:t>
      </w:r>
      <w:r w:rsidRPr="00CF6B37">
        <w:t>нения Исполнительному органу по Конвенции по воздуху через секретариат Конвенции (</w:t>
      </w:r>
      <w:r w:rsidRPr="00CF6B37">
        <w:rPr>
          <w:b/>
          <w:bCs/>
        </w:rPr>
        <w:t>Действие 18</w:t>
      </w:r>
      <w:r w:rsidRPr="00CF6B37">
        <w:t>).</w:t>
      </w:r>
    </w:p>
    <w:p w:rsidR="00FB703F" w:rsidRPr="00FB703F" w:rsidRDefault="00FB703F" w:rsidP="00FB703F">
      <w:pPr>
        <w:pStyle w:val="SingleTxt"/>
        <w:spacing w:after="0" w:line="120" w:lineRule="exact"/>
        <w:rPr>
          <w:b/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FB70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tab/>
        <w:t>III.</w:t>
      </w:r>
      <w:r w:rsidRPr="00CF6B37">
        <w:tab/>
        <w:t>Повышение информированности общественности</w:t>
      </w: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FB703F" w:rsidRPr="00FB703F" w:rsidRDefault="00FB703F" w:rsidP="00FB703F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CF6B37">
      <w:pPr>
        <w:pStyle w:val="SingleTxt"/>
      </w:pPr>
      <w:r w:rsidRPr="00CF6B37">
        <w:t>10.</w:t>
      </w:r>
      <w:r w:rsidRPr="00CF6B37">
        <w:tab/>
        <w:t>Возможные действия по повышению уровня информированности общ</w:t>
      </w:r>
      <w:r w:rsidRPr="00CF6B37">
        <w:t>е</w:t>
      </w:r>
      <w:r w:rsidRPr="00CF6B37">
        <w:t>ственности включают в себя:</w:t>
      </w:r>
    </w:p>
    <w:p w:rsidR="00CF6B37" w:rsidRPr="00CF6B37" w:rsidRDefault="00CF6B37" w:rsidP="00CF6B37">
      <w:pPr>
        <w:pStyle w:val="SingleTxt"/>
      </w:pPr>
      <w:r w:rsidRPr="00CF6B37">
        <w:tab/>
        <w:t>a)</w:t>
      </w:r>
      <w:r w:rsidRPr="00CF6B37">
        <w:tab/>
        <w:t>поощрение в соответствии с национальными законами, правилами и практикой предоставления информации широкой общественности, включая и</w:t>
      </w:r>
      <w:r w:rsidRPr="00CF6B37">
        <w:t>н</w:t>
      </w:r>
      <w:r w:rsidRPr="00CF6B37">
        <w:t>формацию о: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gramStart"/>
      <w:r w:rsidRPr="00CF6B37">
        <w:t>i)</w:t>
      </w:r>
      <w:r w:rsidRPr="00CF6B37">
        <w:tab/>
        <w:t>национальных годовых выбросах серы, оксидов азота, аммиака, лет</w:t>
      </w:r>
      <w:r w:rsidRPr="00CF6B37">
        <w:t>у</w:t>
      </w:r>
      <w:r w:rsidRPr="00CF6B37">
        <w:t>чих органических соединений, дисперсного вещества, тяжелых металлов (по крайней мере, свинца, ртути и кадмия) и стойких органических загря</w:t>
      </w:r>
      <w:r w:rsidRPr="00CF6B37">
        <w:t>з</w:t>
      </w:r>
      <w:r w:rsidRPr="00CF6B37">
        <w:t>нителей (</w:t>
      </w:r>
      <w:r w:rsidRPr="00CF6B37">
        <w:rPr>
          <w:b/>
          <w:bCs/>
        </w:rPr>
        <w:t>Действие 19</w:t>
      </w:r>
      <w:r w:rsidRPr="00CF6B37">
        <w:t>);</w:t>
      </w:r>
      <w:proofErr w:type="gramEnd"/>
    </w:p>
    <w:p w:rsidR="00CF6B37" w:rsidRPr="00CF6B37" w:rsidRDefault="00CF6B37" w:rsidP="00FC0420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</w:t>
      </w:r>
      <w:proofErr w:type="spellEnd"/>
      <w:r w:rsidRPr="00CF6B37">
        <w:t>)</w:t>
      </w:r>
      <w:r w:rsidRPr="00CF6B37">
        <w:tab/>
        <w:t>уровнях загрязнения воздуха и его воздействии на здоровье населения и экосистемы в соответствии с руководящими принципами Совместной программы наблюдения и оценки распространения загрязнителей воздуха на большие расстояния в Европе (ЕМЕП) (</w:t>
      </w:r>
      <w:r w:rsidRPr="00CF6B37">
        <w:rPr>
          <w:b/>
          <w:bCs/>
        </w:rPr>
        <w:t>Действие 20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iii</w:t>
      </w:r>
      <w:proofErr w:type="spellEnd"/>
      <w:r w:rsidRPr="00CF6B37">
        <w:t>)</w:t>
      </w:r>
      <w:r w:rsidRPr="00CF6B37">
        <w:tab/>
        <w:t>реальном и прогнозируемом качестве воздуха (</w:t>
      </w:r>
      <w:r w:rsidRPr="00CF6B37">
        <w:rPr>
          <w:b/>
          <w:bCs/>
        </w:rPr>
        <w:t>Действие 21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iv</w:t>
      </w:r>
      <w:proofErr w:type="spellEnd"/>
      <w:r w:rsidRPr="00CF6B37">
        <w:t>)</w:t>
      </w:r>
      <w:r w:rsidRPr="00CF6B37">
        <w:tab/>
        <w:t>мерах, которые применяются или будут применяться для решения пр</w:t>
      </w:r>
      <w:r w:rsidRPr="00CF6B37">
        <w:t>о</w:t>
      </w:r>
      <w:r w:rsidRPr="00CF6B37">
        <w:t>блем, связанных с загрязнением воздуха</w:t>
      </w:r>
      <w:r w:rsidR="00FB703F">
        <w:t xml:space="preserve"> </w:t>
      </w:r>
      <w:r w:rsidRPr="00CF6B37">
        <w:t>(</w:t>
      </w:r>
      <w:r w:rsidRPr="00CF6B37">
        <w:rPr>
          <w:b/>
          <w:bCs/>
        </w:rPr>
        <w:t>Действие 22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  <w:t>v)</w:t>
      </w:r>
      <w:r w:rsidRPr="00CF6B37">
        <w:tab/>
      </w:r>
      <w:proofErr w:type="gramStart"/>
      <w:r w:rsidRPr="00CF6B37">
        <w:t>источниках</w:t>
      </w:r>
      <w:proofErr w:type="gramEnd"/>
      <w:r w:rsidRPr="00CF6B37">
        <w:t>, механизмах, уровнях и воздействиях трансграничного з</w:t>
      </w:r>
      <w:r w:rsidRPr="00CF6B37">
        <w:t>а</w:t>
      </w:r>
      <w:r w:rsidRPr="00CF6B37">
        <w:t>грязнения воздуха (</w:t>
      </w:r>
      <w:r w:rsidRPr="00CF6B37">
        <w:rPr>
          <w:b/>
          <w:bCs/>
        </w:rPr>
        <w:t>Действие 23</w:t>
      </w:r>
      <w:r w:rsidRPr="00CF6B37">
        <w:t xml:space="preserve">); </w:t>
      </w:r>
    </w:p>
    <w:p w:rsidR="00CF6B37" w:rsidRPr="00CF6B37" w:rsidRDefault="00CF6B37" w:rsidP="00FB703F">
      <w:pPr>
        <w:pStyle w:val="SingleTxt"/>
      </w:pPr>
      <w:r w:rsidRPr="00CF6B37">
        <w:tab/>
        <w:t>b)</w:t>
      </w:r>
      <w:r w:rsidRPr="00CF6B37">
        <w:tab/>
        <w:t>предоставление общественности информации, описанной в подпун</w:t>
      </w:r>
      <w:r w:rsidRPr="00CF6B37">
        <w:t>к</w:t>
      </w:r>
      <w:r w:rsidRPr="00CF6B37">
        <w:t>те</w:t>
      </w:r>
      <w:r w:rsidR="00FB703F">
        <w:t> </w:t>
      </w:r>
      <w:r w:rsidRPr="00CF6B37">
        <w:t>а) выше, с целью минимизации выбросов, включая информацию о: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  <w:t>i)</w:t>
      </w:r>
      <w:r w:rsidRPr="00CF6B37">
        <w:tab/>
        <w:t xml:space="preserve">менее загрязняющих </w:t>
      </w:r>
      <w:proofErr w:type="gramStart"/>
      <w:r w:rsidRPr="00CF6B37">
        <w:t>видах</w:t>
      </w:r>
      <w:proofErr w:type="gramEnd"/>
      <w:r w:rsidRPr="00CF6B37">
        <w:t xml:space="preserve"> топлива, возобновляемых источниках эне</w:t>
      </w:r>
      <w:r w:rsidRPr="00CF6B37">
        <w:t>р</w:t>
      </w:r>
      <w:r w:rsidRPr="00CF6B37">
        <w:t xml:space="preserve">гии и </w:t>
      </w:r>
      <w:proofErr w:type="spellStart"/>
      <w:r w:rsidRPr="00CF6B37">
        <w:t>энергоэффективности</w:t>
      </w:r>
      <w:proofErr w:type="spellEnd"/>
      <w:r w:rsidRPr="00CF6B37">
        <w:t>, в частности в том, что касается транспортного сектора (</w:t>
      </w:r>
      <w:r w:rsidRPr="00CF6B37">
        <w:rPr>
          <w:b/>
          <w:bCs/>
        </w:rPr>
        <w:t>Действие 24</w:t>
      </w:r>
      <w:r w:rsidRPr="00CF6B37">
        <w:t>);</w:t>
      </w:r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</w:t>
      </w:r>
      <w:proofErr w:type="spellEnd"/>
      <w:r w:rsidRPr="00CF6B37">
        <w:t>)</w:t>
      </w:r>
      <w:r w:rsidRPr="00CF6B37">
        <w:tab/>
        <w:t>надлежащей сельскохозяйственной практике, обеспечивающей сокр</w:t>
      </w:r>
      <w:r w:rsidRPr="00CF6B37">
        <w:t>а</w:t>
      </w:r>
      <w:r w:rsidRPr="00CF6B37">
        <w:t>щение выбросов аммиака и повышение эффективности использования азо</w:t>
      </w:r>
      <w:r w:rsidRPr="00CF6B37">
        <w:t>т</w:t>
      </w:r>
      <w:r w:rsidRPr="00CF6B37">
        <w:t>ных удобрений, и альтернативах открытому сжиганию сельскохозяйстве</w:t>
      </w:r>
      <w:r w:rsidRPr="00CF6B37">
        <w:t>н</w:t>
      </w:r>
      <w:r w:rsidRPr="00CF6B37">
        <w:t>ных отходов во избежание вредных выбросов (</w:t>
      </w:r>
      <w:r w:rsidRPr="00CF6B37">
        <w:rPr>
          <w:b/>
          <w:bCs/>
        </w:rPr>
        <w:t>Действие 25</w:t>
      </w:r>
      <w:r w:rsidRPr="00CF6B37">
        <w:t>);</w:t>
      </w:r>
      <w:proofErr w:type="gramEnd"/>
    </w:p>
    <w:p w:rsidR="00CF6B37" w:rsidRPr="004C0102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iii</w:t>
      </w:r>
      <w:proofErr w:type="spellEnd"/>
      <w:r w:rsidRPr="00CF6B37">
        <w:t>)</w:t>
      </w:r>
      <w:r w:rsidRPr="00CF6B37">
        <w:tab/>
        <w:t>последствиях для здоровья, окружающей среды и климата, связанных с сокращением выбросов загрязнителей, перечисленных в подпункте а) i) выше (</w:t>
      </w:r>
      <w:r w:rsidRPr="00CF6B37">
        <w:rPr>
          <w:b/>
          <w:bCs/>
        </w:rPr>
        <w:t>Действие 26</w:t>
      </w:r>
      <w:r w:rsidRPr="00CF6B37">
        <w:t>);</w:t>
      </w:r>
      <w:proofErr w:type="gramEnd"/>
    </w:p>
    <w:p w:rsidR="00CF6B37" w:rsidRPr="00CF6B37" w:rsidRDefault="00CF6B37" w:rsidP="00FB703F">
      <w:pPr>
        <w:pStyle w:val="SingleTxt"/>
        <w:ind w:left="1742" w:hanging="475"/>
      </w:pPr>
      <w:r w:rsidRPr="00CF6B37">
        <w:tab/>
      </w:r>
      <w:proofErr w:type="spellStart"/>
      <w:proofErr w:type="gramStart"/>
      <w:r w:rsidRPr="00CF6B37">
        <w:t>iv</w:t>
      </w:r>
      <w:proofErr w:type="spellEnd"/>
      <w:r w:rsidRPr="00CF6B37">
        <w:t>)</w:t>
      </w:r>
      <w:r w:rsidRPr="00CF6B37">
        <w:tab/>
        <w:t>шагах, которые население и частный сектор могут предпринять для уменьшения выбросов загрязнителей, перечисленных в подпункте а) i) в</w:t>
      </w:r>
      <w:r w:rsidRPr="00CF6B37">
        <w:t>ы</w:t>
      </w:r>
      <w:r w:rsidRPr="00CF6B37">
        <w:t>ше (</w:t>
      </w:r>
      <w:r w:rsidRPr="00CF6B37">
        <w:rPr>
          <w:b/>
          <w:bCs/>
        </w:rPr>
        <w:t>Действие 27</w:t>
      </w:r>
      <w:r w:rsidRPr="00CF6B37">
        <w:t>);</w:t>
      </w:r>
      <w:proofErr w:type="gramEnd"/>
    </w:p>
    <w:p w:rsidR="00CF6B37" w:rsidRPr="00CF6B37" w:rsidRDefault="00CF6B37" w:rsidP="008A1BB0">
      <w:pPr>
        <w:pStyle w:val="SingleTxt"/>
      </w:pPr>
      <w:r w:rsidRPr="00CF6B37">
        <w:tab/>
        <w:t>c)</w:t>
      </w:r>
      <w:r w:rsidRPr="00CF6B37">
        <w:tab/>
        <w:t>представление информации, перечисленной в подпунктах а)</w:t>
      </w:r>
      <w:r w:rsidR="00FB703F">
        <w:t>–</w:t>
      </w:r>
      <w:r w:rsidRPr="00CF6B37">
        <w:t>b), И</w:t>
      </w:r>
      <w:r w:rsidRPr="00CF6B37">
        <w:t>с</w:t>
      </w:r>
      <w:r w:rsidRPr="00CF6B37">
        <w:t>полнительному органу по Конвенции по воздуху и, в соответствующих случаях, Совещанию Сторон Протокола о РВПЗ. Эта информация или ее части могут та</w:t>
      </w:r>
      <w:r w:rsidRPr="00CF6B37">
        <w:t>к</w:t>
      </w:r>
      <w:r w:rsidRPr="00CF6B37">
        <w:t>же представляться Европейскому региональному отделению Всемирной орган</w:t>
      </w:r>
      <w:r w:rsidRPr="00CF6B37">
        <w:t>и</w:t>
      </w:r>
      <w:r w:rsidRPr="00CF6B37">
        <w:t>зации здравоохранения и Организации экономического сотрудничества и разв</w:t>
      </w:r>
      <w:r w:rsidRPr="00CF6B37">
        <w:t>и</w:t>
      </w:r>
      <w:r w:rsidRPr="00CF6B37">
        <w:t xml:space="preserve">тия, а также, в зависимости от различных вопросов и </w:t>
      </w:r>
      <w:proofErr w:type="spellStart"/>
      <w:r w:rsidRPr="00CF6B37">
        <w:t>аффилирования</w:t>
      </w:r>
      <w:proofErr w:type="spellEnd"/>
      <w:r w:rsidRPr="00CF6B37">
        <w:t>, сетям Совместной системы экологической информации (СЕИС) через секретариаты различных конвенций и организации (</w:t>
      </w:r>
      <w:r w:rsidRPr="00CF6B37">
        <w:rPr>
          <w:b/>
          <w:bCs/>
        </w:rPr>
        <w:t>Действие 28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lastRenderedPageBreak/>
        <w:tab/>
        <w:t>d)</w:t>
      </w:r>
      <w:r w:rsidRPr="00CF6B37">
        <w:tab/>
        <w:t>использование третьего цикла Программы обзоров результативности экологической деятельности (ОРЭД) ЕЭК ООН для представления отчетности и информации по вопросам, касающимся качества воздуха и возможных мер по борьбе с загрязнением воздуха, которые могли бы быть реализованы на наци</w:t>
      </w:r>
      <w:r w:rsidRPr="00CF6B37">
        <w:t>о</w:t>
      </w:r>
      <w:r w:rsidRPr="00CF6B37">
        <w:t>нальном уровне (</w:t>
      </w:r>
      <w:r w:rsidRPr="00CF6B37">
        <w:rPr>
          <w:b/>
          <w:bCs/>
        </w:rPr>
        <w:t>Действие 29</w:t>
      </w:r>
      <w:r w:rsidRPr="00CF6B37">
        <w:t>);</w:t>
      </w:r>
    </w:p>
    <w:p w:rsidR="00CF6B37" w:rsidRPr="00CF6B37" w:rsidRDefault="00CF6B37" w:rsidP="008A1BB0">
      <w:pPr>
        <w:pStyle w:val="SingleTxt"/>
      </w:pPr>
      <w:r w:rsidRPr="00CF6B37">
        <w:tab/>
        <w:t>e)</w:t>
      </w:r>
      <w:r w:rsidRPr="00CF6B37">
        <w:tab/>
        <w:t xml:space="preserve">поощрение ратификации </w:t>
      </w:r>
      <w:proofErr w:type="spellStart"/>
      <w:r w:rsidRPr="00CF6B37">
        <w:t>Орхусской</w:t>
      </w:r>
      <w:proofErr w:type="spellEnd"/>
      <w:r w:rsidRPr="00CF6B37">
        <w:t xml:space="preserve"> конвенции и Протокола о рег</w:t>
      </w:r>
      <w:r w:rsidRPr="00CF6B37">
        <w:t>и</w:t>
      </w:r>
      <w:r w:rsidRPr="00CF6B37">
        <w:t>страх выбросов и переноса загрязнителей к ней в целях обеспечения эффекти</w:t>
      </w:r>
      <w:r w:rsidRPr="00CF6B37">
        <w:t>в</w:t>
      </w:r>
      <w:r w:rsidRPr="00CF6B37">
        <w:t>ности е</w:t>
      </w:r>
      <w:r w:rsidR="008A1BB0">
        <w:t>е</w:t>
      </w:r>
      <w:r w:rsidRPr="00CF6B37">
        <w:t xml:space="preserve"> осуществления в масштабах всего регион для предоставления общ</w:t>
      </w:r>
      <w:r w:rsidRPr="00CF6B37">
        <w:t>е</w:t>
      </w:r>
      <w:r w:rsidRPr="00CF6B37">
        <w:t xml:space="preserve">ственности информации о выбросах загрязнителей </w:t>
      </w:r>
      <w:r w:rsidRPr="00CF6B37">
        <w:rPr>
          <w:b/>
          <w:bCs/>
        </w:rPr>
        <w:t>(Действие 30</w:t>
      </w:r>
      <w:r w:rsidRPr="00CF6B37">
        <w:t>).</w:t>
      </w: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2350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tab/>
        <w:t>IV.</w:t>
      </w:r>
      <w:r w:rsidRPr="00CF6B37">
        <w:tab/>
        <w:t>Наращивание потенциала и техническая поддержка</w:t>
      </w:r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CF6B37">
      <w:pPr>
        <w:pStyle w:val="SingleTxt"/>
      </w:pPr>
      <w:r w:rsidRPr="00CF6B37">
        <w:t>11.</w:t>
      </w:r>
      <w:r w:rsidRPr="00CF6B37">
        <w:tab/>
        <w:t>Возможные действия по наращиванию потенциала и оказанию технической помощи включают в себя:</w:t>
      </w:r>
    </w:p>
    <w:p w:rsidR="00CF6B37" w:rsidRPr="00CF6B37" w:rsidRDefault="00CF6B37" w:rsidP="008A1BB0">
      <w:pPr>
        <w:pStyle w:val="SingleTxt"/>
      </w:pPr>
      <w:r w:rsidRPr="00CF6B37">
        <w:tab/>
        <w:t>a)</w:t>
      </w:r>
      <w:r w:rsidRPr="00CF6B37">
        <w:tab/>
        <w:t>активизацию деятельности по наращиванию потенциала в области к</w:t>
      </w:r>
      <w:r w:rsidRPr="00CF6B37">
        <w:t>а</w:t>
      </w:r>
      <w:r w:rsidRPr="00CF6B37">
        <w:t xml:space="preserve">чества воздуха, например по оказанию технической </w:t>
      </w:r>
      <w:proofErr w:type="gramStart"/>
      <w:r w:rsidRPr="00CF6B37">
        <w:t>помощи</w:t>
      </w:r>
      <w:proofErr w:type="gramEnd"/>
      <w:r w:rsidRPr="00CF6B37">
        <w:t xml:space="preserve"> и поддержки в деле разработки политики и осуществления мер по повышению качества воздуха (</w:t>
      </w:r>
      <w:r w:rsidRPr="00CF6B37">
        <w:rPr>
          <w:b/>
          <w:bCs/>
        </w:rPr>
        <w:t>Действие 31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b)</w:t>
      </w:r>
      <w:r w:rsidRPr="00CF6B37">
        <w:tab/>
        <w:t>более активное участие в международной научно-технической де</w:t>
      </w:r>
      <w:r w:rsidRPr="00CF6B37">
        <w:t>я</w:t>
      </w:r>
      <w:r w:rsidRPr="00CF6B37">
        <w:t>тельности, осуществляемой в рамках Конвенции по воздуху в целях передачи знаний и технологии, призванных соде</w:t>
      </w:r>
      <w:r w:rsidR="00235020">
        <w:t>й</w:t>
      </w:r>
      <w:r w:rsidRPr="00CF6B37">
        <w:t>ствовать борьбе с загрязнением воздуха, и назначение национальных экспертов для проведения такой деятельности (</w:t>
      </w:r>
      <w:r w:rsidRPr="00CF6B37">
        <w:rPr>
          <w:b/>
          <w:bCs/>
        </w:rPr>
        <w:t>Де</w:t>
      </w:r>
      <w:r w:rsidRPr="00CF6B37">
        <w:rPr>
          <w:b/>
          <w:bCs/>
        </w:rPr>
        <w:t>й</w:t>
      </w:r>
      <w:r w:rsidRPr="00CF6B37">
        <w:rPr>
          <w:b/>
          <w:bCs/>
        </w:rPr>
        <w:t>ствие 32</w:t>
      </w:r>
      <w:r w:rsidRPr="00CF6B37">
        <w:t xml:space="preserve">); </w:t>
      </w:r>
    </w:p>
    <w:p w:rsidR="00CF6B37" w:rsidRPr="00CF6B37" w:rsidRDefault="00CF6B37" w:rsidP="00CF6B37">
      <w:pPr>
        <w:pStyle w:val="SingleTxt"/>
      </w:pPr>
      <w:r w:rsidRPr="00CF6B37">
        <w:tab/>
        <w:t>c)</w:t>
      </w:r>
      <w:r w:rsidRPr="00CF6B37">
        <w:tab/>
        <w:t>дальнейшее развитие сотрудничества на основе двустороннего пар</w:t>
      </w:r>
      <w:r w:rsidRPr="00CF6B37">
        <w:t>т</w:t>
      </w:r>
      <w:r w:rsidRPr="00CF6B37">
        <w:t>нерства (объединения усилий) или многосторонней деятельности в соответствии с планом работы по осуществлению Конвенции по воздуху и протоколов к ней (</w:t>
      </w:r>
      <w:r w:rsidRPr="00CF6B37">
        <w:rPr>
          <w:b/>
          <w:bCs/>
        </w:rPr>
        <w:t>Действие 33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d)</w:t>
      </w:r>
      <w:r w:rsidRPr="00CF6B37">
        <w:tab/>
        <w:t>содействие дальнейшему наращиванию под эгидой Всемирного банка и Европейского банка реконструкции и развития финансирования мер по борьбе с загрязнением воздуха в регионе ЕЭК (</w:t>
      </w:r>
      <w:r w:rsidRPr="00CF6B37">
        <w:rPr>
          <w:b/>
          <w:bCs/>
        </w:rPr>
        <w:t>Действие 34</w:t>
      </w:r>
      <w:r w:rsidRPr="00CF6B37">
        <w:t xml:space="preserve">); </w:t>
      </w:r>
    </w:p>
    <w:p w:rsidR="00CF6B37" w:rsidRPr="00CF6B37" w:rsidRDefault="00CF6B37" w:rsidP="008A1BB0">
      <w:pPr>
        <w:pStyle w:val="SingleTxt"/>
        <w:rPr>
          <w:b/>
        </w:rPr>
      </w:pPr>
      <w:r w:rsidRPr="00CF6B37">
        <w:tab/>
        <w:t>e)</w:t>
      </w:r>
      <w:r w:rsidRPr="00CF6B37">
        <w:tab/>
        <w:t>налаживание партнерства с частным сектором в деле пропаганды эк</w:t>
      </w:r>
      <w:r w:rsidRPr="00CF6B37">
        <w:t>о</w:t>
      </w:r>
      <w:r w:rsidRPr="00CF6B37">
        <w:t>логически чистых технологий и применения технологий с низким уровнем в</w:t>
      </w:r>
      <w:r w:rsidRPr="00CF6B37">
        <w:t>ы</w:t>
      </w:r>
      <w:r w:rsidRPr="00CF6B37">
        <w:t>бросов, а также дальнейшего развития «зеленой» экономики. Следует совместно развивать связи и</w:t>
      </w:r>
      <w:r w:rsidR="00FB703F">
        <w:t xml:space="preserve"> </w:t>
      </w:r>
      <w:r w:rsidRPr="00CF6B37">
        <w:t>возможности для предпринимательской деятельности с пре</w:t>
      </w:r>
      <w:r w:rsidRPr="00CF6B37">
        <w:t>д</w:t>
      </w:r>
      <w:r w:rsidRPr="00CF6B37">
        <w:t xml:space="preserve">приятиями электроэнергетической отрасли, автомобильной промышленности или с организациями нефтегазовой и химической промышленности </w:t>
      </w:r>
      <w:r w:rsidRPr="00CF6B37">
        <w:rPr>
          <w:b/>
          <w:bCs/>
        </w:rPr>
        <w:t>(Действие 35</w:t>
      </w:r>
      <w:r w:rsidRPr="00CF6B37">
        <w:t>).</w:t>
      </w: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2350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tab/>
        <w:t>V.</w:t>
      </w:r>
      <w:r w:rsidRPr="00CF6B37">
        <w:tab/>
        <w:t>Политика</w:t>
      </w:r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CF6B37" w:rsidRPr="00CF6B37" w:rsidRDefault="00CF6B37" w:rsidP="00CF6B37">
      <w:pPr>
        <w:pStyle w:val="SingleTxt"/>
      </w:pPr>
      <w:r w:rsidRPr="00CF6B37">
        <w:t>12.</w:t>
      </w:r>
      <w:r w:rsidRPr="00CF6B37">
        <w:tab/>
        <w:t>Возможные действия в сфере политики включают в себя:</w:t>
      </w:r>
    </w:p>
    <w:p w:rsidR="00CF6B37" w:rsidRPr="00CF6B37" w:rsidRDefault="00CF6B37" w:rsidP="008A1BB0">
      <w:pPr>
        <w:pStyle w:val="SingleTxt"/>
      </w:pPr>
      <w:r w:rsidRPr="00CF6B37">
        <w:tab/>
        <w:t>a)</w:t>
      </w:r>
      <w:r w:rsidRPr="00CF6B37">
        <w:tab/>
        <w:t xml:space="preserve">изучение возможностей укрепления международного сотрудничества в области борьбы с загрязнением воздуха, например в рамках </w:t>
      </w:r>
      <w:proofErr w:type="gramStart"/>
      <w:r w:rsidRPr="00CF6B37">
        <w:t>Конвенции</w:t>
      </w:r>
      <w:proofErr w:type="gramEnd"/>
      <w:r w:rsidRPr="00CF6B37">
        <w:t xml:space="preserve"> по возд</w:t>
      </w:r>
      <w:r w:rsidRPr="00CF6B37">
        <w:t>у</w:t>
      </w:r>
      <w:r w:rsidRPr="00CF6B37">
        <w:t>ху, а также между международными организациями и форумами регионального сотрудничества, такими как Арктический совет, направленного на достижение Целей в области устойчивого развития, принятых Генеральной Ассамблеей О</w:t>
      </w:r>
      <w:r w:rsidRPr="00CF6B37">
        <w:t>р</w:t>
      </w:r>
      <w:r w:rsidRPr="00CF6B37">
        <w:t>ганизации Объединенных Наций в сентябре 2015 года (</w:t>
      </w:r>
      <w:r w:rsidRPr="00CF6B37">
        <w:rPr>
          <w:b/>
          <w:bCs/>
        </w:rPr>
        <w:t>Действие 36</w:t>
      </w:r>
      <w:r w:rsidRPr="00CF6B37">
        <w:t>);</w:t>
      </w:r>
    </w:p>
    <w:p w:rsidR="00CF6B37" w:rsidRPr="00CF6B37" w:rsidRDefault="00CF6B37" w:rsidP="00235020">
      <w:pPr>
        <w:pStyle w:val="SingleTxt"/>
      </w:pPr>
      <w:r w:rsidRPr="00CF6B37">
        <w:tab/>
        <w:t>b)</w:t>
      </w:r>
      <w:r w:rsidRPr="00CF6B37">
        <w:tab/>
        <w:t>присоединение в качестве стороны к соответствующим междунаро</w:t>
      </w:r>
      <w:r w:rsidRPr="00CF6B37">
        <w:t>д</w:t>
      </w:r>
      <w:r w:rsidRPr="00CF6B37">
        <w:t xml:space="preserve">ным соглашениям по борьбе с загрязнением воздуха, таким как Конвенция по воздуху и протоколы к ней, а также другим многосторонним природоохранным </w:t>
      </w:r>
      <w:r w:rsidRPr="00CF6B37">
        <w:lastRenderedPageBreak/>
        <w:t xml:space="preserve">соглашения, и представление доклада о достигнутом прогрессе на следующей Конференции министров </w:t>
      </w:r>
      <w:r w:rsidR="00235020">
        <w:t>«</w:t>
      </w:r>
      <w:r w:rsidRPr="00CF6B37">
        <w:t>Окружающая среда для Европы</w:t>
      </w:r>
      <w:r w:rsidR="00235020">
        <w:t>»</w:t>
      </w:r>
      <w:r w:rsidRPr="00CF6B37">
        <w:t xml:space="preserve"> (</w:t>
      </w:r>
      <w:r w:rsidRPr="00CF6B37">
        <w:rPr>
          <w:b/>
          <w:bCs/>
        </w:rPr>
        <w:t>Действие 37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c)</w:t>
      </w:r>
      <w:r w:rsidRPr="00CF6B37">
        <w:tab/>
        <w:t>проведение работы в целях ратификации пересмотренного Протокола по тяжелым металлам к Конвенции по воздуху и представление доклада о д</w:t>
      </w:r>
      <w:r w:rsidRPr="00CF6B37">
        <w:t>о</w:t>
      </w:r>
      <w:r w:rsidRPr="00CF6B37">
        <w:t>стигнутом прогрессе Рабочей группе Конвенции по стратегиям и обзору на ее ежегодной сессии (</w:t>
      </w:r>
      <w:r w:rsidRPr="00CF6B37">
        <w:rPr>
          <w:b/>
          <w:bCs/>
        </w:rPr>
        <w:t>Действие 38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d)</w:t>
      </w:r>
      <w:r w:rsidRPr="00CF6B37">
        <w:tab/>
        <w:t>проведение работы в целях ратификации пересмотренного Протокола по стойким органическим загрязнителям к Конвенции по воздуху и представл</w:t>
      </w:r>
      <w:r w:rsidRPr="00CF6B37">
        <w:t>е</w:t>
      </w:r>
      <w:r w:rsidRPr="00CF6B37">
        <w:t xml:space="preserve">ние доклада о достигнутом прогрессе Рабочей группе Конвенции по стратегиям и обзору на ее ежегодной сессии </w:t>
      </w:r>
      <w:r w:rsidRPr="00CF6B37">
        <w:rPr>
          <w:b/>
          <w:bCs/>
        </w:rPr>
        <w:t>(Действие 39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e)</w:t>
      </w:r>
      <w:r w:rsidRPr="00CF6B37">
        <w:tab/>
        <w:t>проведение работы в целях ратификации Протокола о регистрах в</w:t>
      </w:r>
      <w:r w:rsidRPr="00CF6B37">
        <w:t>ы</w:t>
      </w:r>
      <w:r w:rsidRPr="00CF6B37">
        <w:t xml:space="preserve">бросов и переноса загрязнителей к </w:t>
      </w:r>
      <w:proofErr w:type="spellStart"/>
      <w:r w:rsidRPr="00CF6B37">
        <w:t>Орхусской</w:t>
      </w:r>
      <w:proofErr w:type="spellEnd"/>
      <w:r w:rsidRPr="00CF6B37">
        <w:t xml:space="preserve"> конвенции и</w:t>
      </w:r>
      <w:r w:rsidR="00FB703F">
        <w:t xml:space="preserve"> </w:t>
      </w:r>
      <w:r w:rsidRPr="00CF6B37">
        <w:t>представление докл</w:t>
      </w:r>
      <w:r w:rsidRPr="00CF6B37">
        <w:t>а</w:t>
      </w:r>
      <w:r w:rsidRPr="00CF6B37">
        <w:t>да о достигнутом прогрессе Рабочей группе Сторон Протокола</w:t>
      </w:r>
      <w:r w:rsidR="00FB703F">
        <w:t xml:space="preserve"> </w:t>
      </w:r>
      <w:r w:rsidRPr="00CF6B37">
        <w:t>(</w:t>
      </w:r>
      <w:r w:rsidRPr="00CF6B37">
        <w:rPr>
          <w:b/>
          <w:bCs/>
        </w:rPr>
        <w:t>Действие 40</w:t>
      </w:r>
      <w:r w:rsidRPr="00CF6B37">
        <w:t>);</w:t>
      </w:r>
    </w:p>
    <w:p w:rsidR="00CF6B37" w:rsidRPr="00CF6B37" w:rsidRDefault="00CF6B37" w:rsidP="00CF6B37">
      <w:pPr>
        <w:pStyle w:val="SingleTxt"/>
      </w:pPr>
      <w:r w:rsidRPr="00CF6B37">
        <w:tab/>
        <w:t>f)</w:t>
      </w:r>
      <w:r w:rsidRPr="00CF6B37">
        <w:tab/>
        <w:t xml:space="preserve">проведение работы в целях ратификации пересмотренного </w:t>
      </w:r>
      <w:proofErr w:type="spellStart"/>
      <w:r w:rsidRPr="00CF6B37">
        <w:t>Гётебор</w:t>
      </w:r>
      <w:r w:rsidRPr="00CF6B37">
        <w:t>г</w:t>
      </w:r>
      <w:r w:rsidRPr="00CF6B37">
        <w:t>ского</w:t>
      </w:r>
      <w:proofErr w:type="spellEnd"/>
      <w:r w:rsidRPr="00CF6B37">
        <w:t xml:space="preserve"> протокола к Конвенции по воздуху и представление доклада о достигнутом прогрессе Рабочей группе Конвенции по стратегиям и обзору на ее ежегодной сессии (</w:t>
      </w:r>
      <w:r w:rsidRPr="00CF6B37">
        <w:rPr>
          <w:b/>
          <w:bCs/>
        </w:rPr>
        <w:t>Действие 41</w:t>
      </w:r>
      <w:r w:rsidRPr="00CF6B37">
        <w:t>);</w:t>
      </w:r>
    </w:p>
    <w:p w:rsidR="00CF6B37" w:rsidRPr="004C0102" w:rsidRDefault="00CF6B37" w:rsidP="00CF6B37">
      <w:pPr>
        <w:pStyle w:val="SingleTxt"/>
      </w:pPr>
      <w:r w:rsidRPr="00CF6B37">
        <w:tab/>
        <w:t>g)</w:t>
      </w:r>
      <w:r w:rsidRPr="00CF6B37">
        <w:tab/>
      </w:r>
      <w:proofErr w:type="spellStart"/>
      <w:r w:rsidRPr="00CF6B37">
        <w:t>предпринятие</w:t>
      </w:r>
      <w:proofErr w:type="spellEnd"/>
      <w:r w:rsidRPr="00CF6B37">
        <w:t xml:space="preserve"> действий в тех секторах, которые имеют приоритетное значение для соответствующей страны, с учетом конкретных руководящих док</w:t>
      </w:r>
      <w:r w:rsidRPr="00CF6B37">
        <w:t>у</w:t>
      </w:r>
      <w:r w:rsidRPr="00CF6B37">
        <w:t>ментов, разработанных в рамках Конвенции по воздуху, и регулярное предста</w:t>
      </w:r>
      <w:r w:rsidRPr="00CF6B37">
        <w:t>в</w:t>
      </w:r>
      <w:r w:rsidRPr="00CF6B37">
        <w:t>ление докладов о достигнутом прогрессе на сессиях Рабочей группы Конвенции по стратегиям и обзору. Такие действия могли бы включать в себя действия в секторах сельского хозяйства, энергетики и транспорта (</w:t>
      </w:r>
      <w:r w:rsidRPr="00CF6B37">
        <w:rPr>
          <w:b/>
          <w:bCs/>
        </w:rPr>
        <w:t>Действие 42</w:t>
      </w:r>
      <w:r w:rsidRPr="00CF6B37">
        <w:t>).</w:t>
      </w:r>
    </w:p>
    <w:p w:rsidR="00CF6B37" w:rsidRPr="00CF6B37" w:rsidRDefault="00CF6B37" w:rsidP="002350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6B37">
        <w:br w:type="page"/>
      </w:r>
      <w:r w:rsidRPr="00CF6B37">
        <w:lastRenderedPageBreak/>
        <w:t>Приложение</w:t>
      </w: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b/>
          <w:sz w:val="10"/>
        </w:rPr>
      </w:pPr>
    </w:p>
    <w:p w:rsidR="00CF6B37" w:rsidRPr="00CF6B37" w:rsidRDefault="00CF6B37" w:rsidP="002350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CF6B37">
        <w:tab/>
      </w:r>
      <w:r w:rsidRPr="00CF6B37">
        <w:tab/>
        <w:t xml:space="preserve">Типовая форма </w:t>
      </w:r>
      <w:proofErr w:type="gramStart"/>
      <w:r w:rsidRPr="00CF6B37">
        <w:t xml:space="preserve">для представления информации </w:t>
      </w:r>
      <w:r w:rsidR="00235020">
        <w:br/>
      </w:r>
      <w:r w:rsidRPr="00CF6B37">
        <w:t>о добровольных обязательствах в рамках Батумской инициативы по борьбе за чистый воздух</w:t>
      </w:r>
      <w:proofErr w:type="gramEnd"/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235020" w:rsidRPr="00235020" w:rsidRDefault="00235020" w:rsidP="00235020">
      <w:pPr>
        <w:pStyle w:val="SingleTxt"/>
        <w:spacing w:after="0" w:line="120" w:lineRule="exact"/>
        <w:rPr>
          <w:sz w:val="10"/>
        </w:rPr>
      </w:pPr>
    </w:p>
    <w:p w:rsidR="00CF6B37" w:rsidRPr="00CF6B37" w:rsidRDefault="00235020" w:rsidP="00CF6B37">
      <w:pPr>
        <w:pStyle w:val="SingleTxt"/>
      </w:pPr>
      <w:r>
        <w:tab/>
      </w:r>
      <w:r w:rsidR="00CF6B37" w:rsidRPr="00CF6B37">
        <w:t>Приводимую ниже типовую форму следует использовать для представления информации о деятельности, осуществляемой странами, организациями и час</w:t>
      </w:r>
      <w:r w:rsidR="00CF6B37" w:rsidRPr="00CF6B37">
        <w:t>т</w:t>
      </w:r>
      <w:r w:rsidR="00CF6B37" w:rsidRPr="00CF6B37">
        <w:t>ным сектором в целях реализации действий, определенных в Батумской иници</w:t>
      </w:r>
      <w:r w:rsidR="00CF6B37" w:rsidRPr="00CF6B37">
        <w:t>а</w:t>
      </w:r>
      <w:r w:rsidR="00CF6B37" w:rsidRPr="00CF6B37">
        <w:t>тиве по борьбе за чистый воздух. Просьба представить в отношении каждого в</w:t>
      </w:r>
      <w:r w:rsidR="00CF6B37" w:rsidRPr="00CF6B37">
        <w:t>и</w:t>
      </w:r>
      <w:r w:rsidR="00CF6B37" w:rsidRPr="00CF6B37">
        <w:t>да деятельности информацию по следующим шести позициям.</w:t>
      </w:r>
    </w:p>
    <w:p w:rsidR="00CF6B37" w:rsidRPr="00CF6B37" w:rsidRDefault="00CF6B37" w:rsidP="00CF6B37">
      <w:pPr>
        <w:pStyle w:val="SingleTxt"/>
      </w:pPr>
      <w:r w:rsidRPr="00CF6B37">
        <w:t>1.</w:t>
      </w:r>
      <w:r w:rsidRPr="00CF6B37">
        <w:tab/>
        <w:t>Страна или организация:</w:t>
      </w:r>
    </w:p>
    <w:p w:rsidR="00CF6B37" w:rsidRPr="00CF6B37" w:rsidRDefault="00CF6B37" w:rsidP="00CF6B37">
      <w:pPr>
        <w:pStyle w:val="SingleTxt"/>
      </w:pPr>
      <w:r w:rsidRPr="00CF6B37">
        <w:t>2.</w:t>
      </w:r>
      <w:r w:rsidRPr="00CF6B37">
        <w:tab/>
        <w:t>Название</w:t>
      </w:r>
      <w:r w:rsidRPr="00235020">
        <w:rPr>
          <w:vertAlign w:val="superscript"/>
        </w:rPr>
        <w:footnoteReference w:id="1"/>
      </w:r>
      <w:r w:rsidRPr="00CF6B37">
        <w:t xml:space="preserve"> вида деятельности (с указанием в скобках номер</w:t>
      </w:r>
      <w:proofErr w:type="gramStart"/>
      <w:r w:rsidRPr="00CF6B37">
        <w:t>а(</w:t>
      </w:r>
      <w:proofErr w:type="spellStart"/>
      <w:proofErr w:type="gramEnd"/>
      <w:r w:rsidRPr="00CF6B37">
        <w:t>ов</w:t>
      </w:r>
      <w:proofErr w:type="spellEnd"/>
      <w:r w:rsidRPr="00CF6B37">
        <w:t>) соотве</w:t>
      </w:r>
      <w:r w:rsidRPr="00CF6B37">
        <w:t>т</w:t>
      </w:r>
      <w:r w:rsidRPr="00CF6B37">
        <w:t>ствующего(их) действия(</w:t>
      </w:r>
      <w:proofErr w:type="spellStart"/>
      <w:r w:rsidRPr="00CF6B37">
        <w:t>ий</w:t>
      </w:r>
      <w:proofErr w:type="spellEnd"/>
      <w:r w:rsidRPr="00CF6B37">
        <w:t>) Батумской инициативы, на реализацию котор</w:t>
      </w:r>
      <w:r w:rsidRPr="00CF6B37">
        <w:t>о</w:t>
      </w:r>
      <w:r w:rsidRPr="00CF6B37">
        <w:t>го(</w:t>
      </w:r>
      <w:proofErr w:type="spellStart"/>
      <w:r w:rsidRPr="00CF6B37">
        <w:t>ых</w:t>
      </w:r>
      <w:proofErr w:type="spellEnd"/>
      <w:r w:rsidRPr="00CF6B37">
        <w:t>) он направлен):</w:t>
      </w:r>
    </w:p>
    <w:p w:rsidR="00CF6B37" w:rsidRPr="00CF6B37" w:rsidRDefault="00CF6B37" w:rsidP="008A1BB0">
      <w:pPr>
        <w:pStyle w:val="SingleTxt"/>
      </w:pPr>
      <w:r w:rsidRPr="00CF6B37">
        <w:t>3.</w:t>
      </w:r>
      <w:r w:rsidRPr="00CF6B37">
        <w:tab/>
        <w:t>Описание</w:t>
      </w:r>
      <w:r w:rsidR="00FB703F">
        <w:t xml:space="preserve"> </w:t>
      </w:r>
      <w:r w:rsidRPr="00CF6B37">
        <w:t>вида деятельности с указанием, по возможности, планируемых сроков осуществления</w:t>
      </w:r>
      <w:r w:rsidRPr="00235020">
        <w:rPr>
          <w:vertAlign w:val="superscript"/>
        </w:rPr>
        <w:footnoteReference w:id="2"/>
      </w:r>
      <w:r w:rsidR="008A1BB0">
        <w:t>:</w:t>
      </w:r>
    </w:p>
    <w:p w:rsidR="00CF6B37" w:rsidRPr="00CF6B37" w:rsidRDefault="00CF6B37" w:rsidP="00CF6B37">
      <w:pPr>
        <w:pStyle w:val="SingleTxt"/>
      </w:pPr>
      <w:r w:rsidRPr="00CF6B37">
        <w:t>4.</w:t>
      </w:r>
      <w:r w:rsidRPr="00CF6B37">
        <w:tab/>
        <w:t>Ожидаемые результаты:</w:t>
      </w:r>
    </w:p>
    <w:p w:rsidR="00CF6B37" w:rsidRPr="00CF6B37" w:rsidRDefault="00CF6B37" w:rsidP="00CF6B37">
      <w:pPr>
        <w:pStyle w:val="SingleTxt"/>
      </w:pPr>
      <w:r w:rsidRPr="00CF6B37">
        <w:t>5.</w:t>
      </w:r>
      <w:r w:rsidRPr="00CF6B37">
        <w:tab/>
        <w:t>Партнеры:</w:t>
      </w:r>
    </w:p>
    <w:p w:rsidR="00CF6B37" w:rsidRPr="00CF6B37" w:rsidRDefault="00CF6B37" w:rsidP="00CF6B37">
      <w:pPr>
        <w:pStyle w:val="SingleTxt"/>
      </w:pPr>
      <w:r w:rsidRPr="00CF6B37">
        <w:t>6.</w:t>
      </w:r>
      <w:r w:rsidRPr="00CF6B37">
        <w:tab/>
        <w:t>Контактные лица/органы</w:t>
      </w:r>
      <w:r w:rsidRPr="00235020">
        <w:rPr>
          <w:vertAlign w:val="superscript"/>
        </w:rPr>
        <w:footnoteReference w:id="3"/>
      </w:r>
      <w:r w:rsidRPr="00CF6B37">
        <w:t>:</w:t>
      </w:r>
    </w:p>
    <w:p w:rsidR="00CF6B37" w:rsidRPr="00CF6B37" w:rsidRDefault="00CF6B37" w:rsidP="00CF6B37">
      <w:pPr>
        <w:pStyle w:val="SingleTxt"/>
      </w:pPr>
      <w:r w:rsidRPr="00235020">
        <w:rPr>
          <w:i/>
          <w:iCs/>
        </w:rPr>
        <w:t>Примечание</w:t>
      </w:r>
      <w:r w:rsidRPr="00CF6B37">
        <w:t xml:space="preserve">: настоящую типовую форму следует представить, по возможности, </w:t>
      </w:r>
      <w:proofErr w:type="gramStart"/>
      <w:r w:rsidRPr="00CF6B37">
        <w:t>до</w:t>
      </w:r>
      <w:proofErr w:type="gramEnd"/>
      <w:r w:rsidRPr="00CF6B37">
        <w:t xml:space="preserve"> [</w:t>
      </w:r>
      <w:proofErr w:type="gramStart"/>
      <w:r w:rsidRPr="00CF6B37">
        <w:t>день</w:t>
      </w:r>
      <w:proofErr w:type="gramEnd"/>
      <w:r w:rsidRPr="00CF6B37">
        <w:t xml:space="preserve">, месяц] 2016 года по следующему адресу [адрес электронной почты]. </w:t>
      </w:r>
    </w:p>
    <w:p w:rsidR="00CF6B37" w:rsidRPr="00235020" w:rsidRDefault="00235020" w:rsidP="0023502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F6B37" w:rsidRPr="00235020" w:rsidSect="00CE4144">
      <w:footnotePr>
        <w:numFmt w:val="lowerLetter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F5" w:rsidRDefault="00B709F5" w:rsidP="008A1A7A">
      <w:pPr>
        <w:spacing w:line="240" w:lineRule="auto"/>
      </w:pPr>
      <w:r>
        <w:separator/>
      </w:r>
    </w:p>
  </w:endnote>
  <w:endnote w:type="continuationSeparator" w:id="0">
    <w:p w:rsidR="00B709F5" w:rsidRDefault="00B709F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E4144" w:rsidTr="00CE41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F2555">
            <w:rPr>
              <w:noProof/>
            </w:rPr>
            <w:t>8</w:t>
          </w:r>
          <w:r>
            <w:fldChar w:fldCharType="end"/>
          </w:r>
          <w:r>
            <w:t>/</w:t>
          </w:r>
          <w:r w:rsidR="009F2555">
            <w:fldChar w:fldCharType="begin"/>
          </w:r>
          <w:r w:rsidR="009F2555">
            <w:instrText xml:space="preserve"> NUMPAGES  \* Arabic  \* MERGEFORMAT </w:instrText>
          </w:r>
          <w:r w:rsidR="009F2555">
            <w:fldChar w:fldCharType="separate"/>
          </w:r>
          <w:r w:rsidR="009F2555">
            <w:rPr>
              <w:noProof/>
            </w:rPr>
            <w:t>8</w:t>
          </w:r>
          <w:r w:rsidR="009F255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41A9">
            <w:rPr>
              <w:b w:val="0"/>
              <w:color w:val="000000"/>
              <w:sz w:val="14"/>
            </w:rPr>
            <w:t>GE.15-22158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E4144" w:rsidRPr="00CE4144" w:rsidRDefault="00CE4144" w:rsidP="00CE4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E4144" w:rsidTr="00CE41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41A9">
            <w:rPr>
              <w:b w:val="0"/>
              <w:color w:val="000000"/>
              <w:sz w:val="14"/>
            </w:rPr>
            <w:t>GE.15-22158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F2555">
            <w:rPr>
              <w:noProof/>
            </w:rPr>
            <w:t>9</w:t>
          </w:r>
          <w:r>
            <w:fldChar w:fldCharType="end"/>
          </w:r>
          <w:r>
            <w:t>/</w:t>
          </w:r>
          <w:r w:rsidR="009F2555">
            <w:fldChar w:fldCharType="begin"/>
          </w:r>
          <w:r w:rsidR="009F2555">
            <w:instrText xml:space="preserve"> NUMPAGES  \* Arabic  \* MERGEFORMAT </w:instrText>
          </w:r>
          <w:r w:rsidR="009F2555">
            <w:fldChar w:fldCharType="separate"/>
          </w:r>
          <w:r w:rsidR="009F2555">
            <w:rPr>
              <w:noProof/>
            </w:rPr>
            <w:t>9</w:t>
          </w:r>
          <w:r w:rsidR="009F2555">
            <w:rPr>
              <w:noProof/>
            </w:rPr>
            <w:fldChar w:fldCharType="end"/>
          </w:r>
        </w:p>
      </w:tc>
    </w:tr>
  </w:tbl>
  <w:p w:rsidR="00CE4144" w:rsidRPr="00CE4144" w:rsidRDefault="00CE4144" w:rsidP="00CE4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E4144" w:rsidTr="00CE4144">
      <w:tc>
        <w:tcPr>
          <w:tcW w:w="3873" w:type="dxa"/>
        </w:tcPr>
        <w:p w:rsidR="00CE4144" w:rsidRDefault="00CE4144" w:rsidP="00CE414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5BFC8F" wp14:editId="1BF4C62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CEP/S/2016/L.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L.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GE.15-22158 (R)</w:t>
          </w:r>
          <w:r>
            <w:rPr>
              <w:color w:val="010000"/>
            </w:rPr>
            <w:t xml:space="preserve">    241215    241215</w:t>
          </w:r>
        </w:p>
        <w:p w:rsidR="00CE4144" w:rsidRPr="00CE4144" w:rsidRDefault="00CE4144" w:rsidP="00CE414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*1522158*</w:t>
          </w:r>
        </w:p>
      </w:tc>
      <w:tc>
        <w:tcPr>
          <w:tcW w:w="5127" w:type="dxa"/>
        </w:tcPr>
        <w:p w:rsidR="00CE4144" w:rsidRDefault="00CE4144" w:rsidP="00CE414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8629598" wp14:editId="1911B061">
                <wp:extent cx="2703582" cy="231648"/>
                <wp:effectExtent l="0" t="0" r="190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144" w:rsidRPr="00CE4144" w:rsidRDefault="00CE4144" w:rsidP="00CE414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F5" w:rsidRPr="00235020" w:rsidRDefault="00235020" w:rsidP="00235020">
      <w:pPr>
        <w:pStyle w:val="Footer"/>
        <w:spacing w:after="80"/>
        <w:ind w:left="792"/>
        <w:rPr>
          <w:sz w:val="16"/>
        </w:rPr>
      </w:pPr>
      <w:r w:rsidRPr="00235020">
        <w:rPr>
          <w:sz w:val="16"/>
        </w:rPr>
        <w:t>__________________</w:t>
      </w:r>
    </w:p>
  </w:footnote>
  <w:footnote w:type="continuationSeparator" w:id="0">
    <w:p w:rsidR="00B709F5" w:rsidRPr="00235020" w:rsidRDefault="00235020" w:rsidP="00235020">
      <w:pPr>
        <w:pStyle w:val="Footer"/>
        <w:spacing w:after="80"/>
        <w:ind w:left="792"/>
        <w:rPr>
          <w:sz w:val="16"/>
        </w:rPr>
      </w:pPr>
      <w:r w:rsidRPr="00235020">
        <w:rPr>
          <w:sz w:val="16"/>
        </w:rPr>
        <w:t>__________________</w:t>
      </w:r>
    </w:p>
  </w:footnote>
  <w:footnote w:id="1">
    <w:p w:rsidR="00CF6B37" w:rsidRDefault="00CF6B37" w:rsidP="0023502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>
        <w:tab/>
        <w:t>Название должно быть как можно более точным.</w:t>
      </w:r>
    </w:p>
  </w:footnote>
  <w:footnote w:id="2">
    <w:p w:rsidR="00CF6B37" w:rsidRDefault="00CF6B37" w:rsidP="008A1BB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Максимум шесть строк (возможно с указанием информационных источников, </w:t>
      </w:r>
      <w:proofErr w:type="gramStart"/>
      <w:r>
        <w:t>например</w:t>
      </w:r>
      <w:proofErr w:type="gramEnd"/>
      <w:r>
        <w:t xml:space="preserve"> таких как веб-сайты).</w:t>
      </w:r>
    </w:p>
  </w:footnote>
  <w:footnote w:id="3">
    <w:p w:rsidR="00CF6B37" w:rsidRDefault="00CF6B37" w:rsidP="0023502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Например, делегат в Комитете по экологической политике и координационный центр Конвенции ЕЭК по воздуху и/или ведомство, занимающееся вопросами борьбы с загрязнением воздуха.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E4144" w:rsidTr="00CE41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41A9">
            <w:rPr>
              <w:b/>
            </w:rPr>
            <w:t>ECE/CEP/S/2016/L.5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E4144" w:rsidRDefault="00CE4144" w:rsidP="00CE4144">
          <w:pPr>
            <w:pStyle w:val="Header"/>
          </w:pPr>
        </w:p>
      </w:tc>
    </w:tr>
  </w:tbl>
  <w:p w:rsidR="00CE4144" w:rsidRPr="00CE4144" w:rsidRDefault="00CE4144" w:rsidP="00CE4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E4144" w:rsidTr="00CE41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E4144" w:rsidRDefault="00CE4144" w:rsidP="00CE414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E4144" w:rsidRPr="00CE4144" w:rsidRDefault="00CE4144" w:rsidP="00CE414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41A9">
            <w:rPr>
              <w:b/>
            </w:rPr>
            <w:t>ECE/CEP/S/2016/L.5</w:t>
          </w:r>
          <w:r>
            <w:rPr>
              <w:b/>
            </w:rPr>
            <w:fldChar w:fldCharType="end"/>
          </w:r>
        </w:p>
      </w:tc>
    </w:tr>
  </w:tbl>
  <w:p w:rsidR="00CE4144" w:rsidRPr="00CE4144" w:rsidRDefault="00CE4144" w:rsidP="00CE4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E4144" w:rsidTr="00CE414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E4144" w:rsidRPr="00CE4144" w:rsidRDefault="00CE4144" w:rsidP="00CE414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4144" w:rsidRDefault="00CE4144" w:rsidP="00CE414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E4144" w:rsidRPr="00CE4144" w:rsidRDefault="00CE4144" w:rsidP="00CE414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/CEP/S/2016/L.5</w:t>
          </w:r>
        </w:p>
      </w:tc>
    </w:tr>
    <w:tr w:rsidR="00CE4144" w:rsidRPr="00D36813" w:rsidTr="00CE414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4144" w:rsidRPr="00CE4144" w:rsidRDefault="00CE4144" w:rsidP="00CE414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B3F323F" wp14:editId="62775DF2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4144" w:rsidRPr="00CE4144" w:rsidRDefault="00CE4144" w:rsidP="00CE414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4144" w:rsidRPr="00CE4144" w:rsidRDefault="00CE4144" w:rsidP="00CE414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4144" w:rsidRPr="00020A6F" w:rsidRDefault="00CE4144" w:rsidP="00CE4144">
          <w:pPr>
            <w:pStyle w:val="Distribution"/>
            <w:rPr>
              <w:color w:val="000000"/>
              <w:lang w:val="en-US"/>
            </w:rPr>
          </w:pPr>
          <w:r w:rsidRPr="00020A6F">
            <w:rPr>
              <w:color w:val="000000"/>
              <w:lang w:val="en-US"/>
            </w:rPr>
            <w:t>Distr.: Limited</w:t>
          </w:r>
        </w:p>
        <w:p w:rsidR="00CE4144" w:rsidRPr="00020A6F" w:rsidRDefault="00CE4144" w:rsidP="00020A6F">
          <w:pPr>
            <w:pStyle w:val="Publication"/>
            <w:rPr>
              <w:color w:val="000000"/>
              <w:lang w:val="en-US"/>
            </w:rPr>
          </w:pPr>
          <w:r w:rsidRPr="00020A6F">
            <w:rPr>
              <w:color w:val="000000"/>
              <w:lang w:val="en-US"/>
            </w:rPr>
            <w:t>15 December 2015</w:t>
          </w:r>
        </w:p>
        <w:p w:rsidR="00CE4144" w:rsidRPr="00020A6F" w:rsidRDefault="00CE4144" w:rsidP="00CE4144">
          <w:pPr>
            <w:rPr>
              <w:color w:val="000000"/>
              <w:lang w:val="en-US"/>
            </w:rPr>
          </w:pPr>
          <w:r w:rsidRPr="00020A6F">
            <w:rPr>
              <w:color w:val="000000"/>
              <w:lang w:val="en-US"/>
            </w:rPr>
            <w:t>Russian</w:t>
          </w:r>
        </w:p>
        <w:p w:rsidR="00CE4144" w:rsidRPr="00020A6F" w:rsidRDefault="00CE4144" w:rsidP="00CE4144">
          <w:pPr>
            <w:pStyle w:val="Original"/>
            <w:rPr>
              <w:color w:val="000000"/>
              <w:lang w:val="en-US"/>
            </w:rPr>
          </w:pPr>
          <w:r w:rsidRPr="00020A6F">
            <w:rPr>
              <w:color w:val="000000"/>
              <w:lang w:val="en-US"/>
            </w:rPr>
            <w:t>Original: English</w:t>
          </w:r>
        </w:p>
        <w:p w:rsidR="00CE4144" w:rsidRPr="00020A6F" w:rsidRDefault="00CE4144" w:rsidP="00CE4144">
          <w:pPr>
            <w:rPr>
              <w:lang w:val="en-US"/>
            </w:rPr>
          </w:pPr>
        </w:p>
      </w:tc>
    </w:tr>
  </w:tbl>
  <w:p w:rsidR="00CE4144" w:rsidRPr="00020A6F" w:rsidRDefault="00CE4144" w:rsidP="00CE414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58*"/>
    <w:docVar w:name="CreationDt" w:val="12/24/2015 10:28 AM"/>
    <w:docVar w:name="DocCategory" w:val="Doc"/>
    <w:docVar w:name="DocType" w:val="Final"/>
    <w:docVar w:name="DutyStation" w:val="Geneva"/>
    <w:docVar w:name="FooterJN" w:val="GE.15-22158"/>
    <w:docVar w:name="jobn" w:val="GE.15-22158 (R)"/>
    <w:docVar w:name="jobnDT" w:val="GE.15-22158 (R)   241215"/>
    <w:docVar w:name="jobnDTDT" w:val="GE.15-22158 (R)   241215   241215"/>
    <w:docVar w:name="JobNo" w:val="GE.1522158R"/>
    <w:docVar w:name="JobNo2" w:val="1528680R"/>
    <w:docVar w:name="LocalDrive" w:val="0"/>
    <w:docVar w:name="OandT" w:val=" "/>
    <w:docVar w:name="PaperSize" w:val="A4"/>
    <w:docVar w:name="sss1" w:val="ECE/CEP/S/2016/L.5"/>
    <w:docVar w:name="sss2" w:val="-"/>
    <w:docVar w:name="Symbol1" w:val="ECE/CEP/S/2016/L.5"/>
    <w:docVar w:name="Symbol2" w:val="-"/>
  </w:docVars>
  <w:rsids>
    <w:rsidRoot w:val="00B709F5"/>
    <w:rsid w:val="00004615"/>
    <w:rsid w:val="00004756"/>
    <w:rsid w:val="00010735"/>
    <w:rsid w:val="00013E03"/>
    <w:rsid w:val="00015201"/>
    <w:rsid w:val="0001588C"/>
    <w:rsid w:val="000162FB"/>
    <w:rsid w:val="00020A6F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1E55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5020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B14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0102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B7A9B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1A9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1BB0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2555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09F5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144"/>
    <w:rsid w:val="00CE4211"/>
    <w:rsid w:val="00CF021B"/>
    <w:rsid w:val="00CF066B"/>
    <w:rsid w:val="00CF07BE"/>
    <w:rsid w:val="00CF40E0"/>
    <w:rsid w:val="00CF4412"/>
    <w:rsid w:val="00CF5B33"/>
    <w:rsid w:val="00CF6B37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6813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513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61F2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703F"/>
    <w:rsid w:val="00FC0420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E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E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67F-A6BE-4F22-ABBF-002FE44C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sochirca</cp:lastModifiedBy>
  <cp:revision>4</cp:revision>
  <cp:lastPrinted>2015-12-24T10:58:00Z</cp:lastPrinted>
  <dcterms:created xsi:type="dcterms:W3CDTF">2015-12-24T10:58:00Z</dcterms:created>
  <dcterms:modified xsi:type="dcterms:W3CDTF">2016-01-26T14:49:00Z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1522158R</vt:lpwstr>
  </property>
  <property fmtid="{D5CDD505-2E9C-101B-9397-08002B2CF9AE}" pid="3" name="ODSRefJobNo">
    <vt:lpwstr>1528680R</vt:lpwstr>
  </property>
  <property fmtid="{D5CDD505-2E9C-101B-9397-08002B2CF9AE}" pid="4" name="Symbol1">
    <vt:lpwstr>ECE/CEP/S/2016/L.5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241215</vt:lpwstr>
  </property>
</Properties>
</file>