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6592E" w:rsidTr="0069766A">
        <w:trPr>
          <w:cantSplit/>
          <w:trHeight w:hRule="exact" w:val="851"/>
        </w:trPr>
        <w:tc>
          <w:tcPr>
            <w:tcW w:w="1276" w:type="dxa"/>
            <w:tcBorders>
              <w:bottom w:val="single" w:sz="4" w:space="0" w:color="auto"/>
            </w:tcBorders>
            <w:shd w:val="clear" w:color="auto" w:fill="auto"/>
            <w:vAlign w:val="bottom"/>
          </w:tcPr>
          <w:p w:rsidR="00B56E9C" w:rsidRPr="000D6D34" w:rsidRDefault="00B56E9C" w:rsidP="000D6D34">
            <w:pPr>
              <w:spacing w:line="20" w:lineRule="exact"/>
              <w:rPr>
                <w:sz w:val="2"/>
              </w:rPr>
            </w:pPr>
            <w:bookmarkStart w:id="0" w:name="_GoBack"/>
            <w:bookmarkEnd w:id="0"/>
          </w:p>
          <w:p w:rsidR="000D6D34" w:rsidRPr="00B6592E" w:rsidRDefault="000D6D34" w:rsidP="0069766A">
            <w:pPr>
              <w:spacing w:after="80"/>
            </w:pPr>
          </w:p>
        </w:tc>
        <w:tc>
          <w:tcPr>
            <w:tcW w:w="2268" w:type="dxa"/>
            <w:tcBorders>
              <w:bottom w:val="single" w:sz="4" w:space="0" w:color="auto"/>
            </w:tcBorders>
            <w:shd w:val="clear" w:color="auto" w:fill="auto"/>
            <w:vAlign w:val="bottom"/>
          </w:tcPr>
          <w:p w:rsidR="00B56E9C" w:rsidRPr="00B6592E" w:rsidRDefault="00B56E9C" w:rsidP="0069766A">
            <w:pPr>
              <w:spacing w:after="80" w:line="300" w:lineRule="exact"/>
              <w:rPr>
                <w:b/>
                <w:sz w:val="24"/>
                <w:szCs w:val="24"/>
              </w:rPr>
            </w:pPr>
            <w:r w:rsidRPr="00B6592E">
              <w:rPr>
                <w:sz w:val="28"/>
                <w:szCs w:val="28"/>
              </w:rPr>
              <w:t>United Nations</w:t>
            </w:r>
          </w:p>
        </w:tc>
        <w:tc>
          <w:tcPr>
            <w:tcW w:w="6095" w:type="dxa"/>
            <w:gridSpan w:val="2"/>
            <w:tcBorders>
              <w:bottom w:val="single" w:sz="4" w:space="0" w:color="auto"/>
            </w:tcBorders>
            <w:shd w:val="clear" w:color="auto" w:fill="auto"/>
            <w:vAlign w:val="bottom"/>
          </w:tcPr>
          <w:p w:rsidR="00B56E9C" w:rsidRPr="00B6592E" w:rsidRDefault="003B51CB" w:rsidP="008110BB">
            <w:pPr>
              <w:jc w:val="right"/>
            </w:pPr>
            <w:r w:rsidRPr="00B6592E">
              <w:rPr>
                <w:sz w:val="40"/>
              </w:rPr>
              <w:t>ECE</w:t>
            </w:r>
            <w:r w:rsidRPr="00B6592E">
              <w:t>/CEP/201</w:t>
            </w:r>
            <w:r w:rsidR="00CA453E" w:rsidRPr="00B6592E">
              <w:t>5/</w:t>
            </w:r>
            <w:r w:rsidR="008110BB" w:rsidRPr="00B6592E">
              <w:t>8</w:t>
            </w:r>
          </w:p>
        </w:tc>
      </w:tr>
      <w:tr w:rsidR="00B56E9C" w:rsidRPr="00B6592E" w:rsidTr="0069766A">
        <w:trPr>
          <w:cantSplit/>
          <w:trHeight w:hRule="exact" w:val="2835"/>
        </w:trPr>
        <w:tc>
          <w:tcPr>
            <w:tcW w:w="1276" w:type="dxa"/>
            <w:tcBorders>
              <w:top w:val="single" w:sz="4" w:space="0" w:color="auto"/>
              <w:bottom w:val="single" w:sz="12" w:space="0" w:color="auto"/>
            </w:tcBorders>
            <w:shd w:val="clear" w:color="auto" w:fill="auto"/>
          </w:tcPr>
          <w:p w:rsidR="00B56E9C" w:rsidRPr="00B6592E" w:rsidRDefault="00FB7252" w:rsidP="0069766A">
            <w:pPr>
              <w:spacing w:before="120"/>
            </w:pPr>
            <w:r>
              <w:rPr>
                <w:noProof/>
                <w:lang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6592E" w:rsidRDefault="00D773DF" w:rsidP="0069766A">
            <w:pPr>
              <w:spacing w:before="120" w:line="420" w:lineRule="exact"/>
              <w:rPr>
                <w:b/>
                <w:sz w:val="40"/>
                <w:szCs w:val="40"/>
              </w:rPr>
            </w:pPr>
            <w:r w:rsidRPr="00B6592E">
              <w:rPr>
                <w:b/>
                <w:sz w:val="40"/>
                <w:szCs w:val="40"/>
              </w:rPr>
              <w:t>Economic and Social Council</w:t>
            </w:r>
          </w:p>
          <w:p w:rsidR="00141F96" w:rsidRPr="00B6592E" w:rsidRDefault="00141F96" w:rsidP="0069766A">
            <w:pPr>
              <w:spacing w:before="120" w:line="420" w:lineRule="exact"/>
              <w:rPr>
                <w:i/>
                <w:color w:val="FF0000"/>
                <w:sz w:val="40"/>
                <w:szCs w:val="40"/>
              </w:rPr>
            </w:pPr>
          </w:p>
        </w:tc>
        <w:tc>
          <w:tcPr>
            <w:tcW w:w="2835" w:type="dxa"/>
            <w:tcBorders>
              <w:top w:val="single" w:sz="4" w:space="0" w:color="auto"/>
              <w:bottom w:val="single" w:sz="12" w:space="0" w:color="auto"/>
            </w:tcBorders>
            <w:shd w:val="clear" w:color="auto" w:fill="auto"/>
          </w:tcPr>
          <w:p w:rsidR="00B56E9C" w:rsidRPr="00B6592E" w:rsidRDefault="003B51CB" w:rsidP="0069766A">
            <w:pPr>
              <w:spacing w:before="240" w:line="240" w:lineRule="exact"/>
            </w:pPr>
            <w:r w:rsidRPr="00B6592E">
              <w:t>Distr.: General</w:t>
            </w:r>
          </w:p>
          <w:p w:rsidR="003B51CB" w:rsidRPr="00B6592E" w:rsidRDefault="00B63316" w:rsidP="0069766A">
            <w:pPr>
              <w:spacing w:line="240" w:lineRule="exact"/>
            </w:pPr>
            <w:r>
              <w:t>18</w:t>
            </w:r>
            <w:r w:rsidRPr="00B6592E">
              <w:t xml:space="preserve"> </w:t>
            </w:r>
            <w:r w:rsidR="005A4200" w:rsidRPr="00B6592E">
              <w:t xml:space="preserve">August </w:t>
            </w:r>
            <w:r w:rsidR="003B51CB" w:rsidRPr="00B6592E">
              <w:t>201</w:t>
            </w:r>
            <w:r w:rsidR="0029556E" w:rsidRPr="00B6592E">
              <w:t>5</w:t>
            </w:r>
          </w:p>
          <w:p w:rsidR="003B51CB" w:rsidRPr="00B6592E" w:rsidRDefault="003B51CB" w:rsidP="0069766A">
            <w:pPr>
              <w:spacing w:line="240" w:lineRule="exact"/>
            </w:pPr>
          </w:p>
          <w:p w:rsidR="003B51CB" w:rsidRPr="00B6592E" w:rsidRDefault="003B51CB" w:rsidP="0069766A">
            <w:pPr>
              <w:spacing w:line="240" w:lineRule="exact"/>
            </w:pPr>
            <w:r w:rsidRPr="00B6592E">
              <w:t>Original: English</w:t>
            </w:r>
          </w:p>
        </w:tc>
      </w:tr>
    </w:tbl>
    <w:p w:rsidR="002B6E60" w:rsidRPr="00B6592E" w:rsidRDefault="002B6E60" w:rsidP="002B6E60">
      <w:pPr>
        <w:spacing w:before="120"/>
        <w:rPr>
          <w:b/>
          <w:sz w:val="28"/>
          <w:szCs w:val="28"/>
        </w:rPr>
      </w:pPr>
      <w:r w:rsidRPr="00B6592E">
        <w:rPr>
          <w:b/>
          <w:sz w:val="28"/>
          <w:szCs w:val="28"/>
        </w:rPr>
        <w:t>Economic Commission for Europe</w:t>
      </w:r>
    </w:p>
    <w:p w:rsidR="002B6E60" w:rsidRPr="00B6592E" w:rsidRDefault="002B6E60" w:rsidP="002B6E60">
      <w:pPr>
        <w:spacing w:before="120"/>
        <w:rPr>
          <w:bCs/>
          <w:sz w:val="28"/>
          <w:szCs w:val="28"/>
        </w:rPr>
      </w:pPr>
      <w:r w:rsidRPr="00B6592E">
        <w:rPr>
          <w:bCs/>
          <w:sz w:val="28"/>
          <w:szCs w:val="28"/>
        </w:rPr>
        <w:t>Committee on Environmental Policy</w:t>
      </w:r>
    </w:p>
    <w:p w:rsidR="002B6E60" w:rsidRPr="00B6592E" w:rsidRDefault="002B6E60" w:rsidP="002B6E60">
      <w:pPr>
        <w:spacing w:before="120"/>
        <w:rPr>
          <w:b/>
        </w:rPr>
      </w:pPr>
      <w:r w:rsidRPr="00B6592E">
        <w:rPr>
          <w:b/>
        </w:rPr>
        <w:t>Twent</w:t>
      </w:r>
      <w:r w:rsidR="00E22F4C" w:rsidRPr="00B6592E">
        <w:rPr>
          <w:b/>
        </w:rPr>
        <w:t>y-first</w:t>
      </w:r>
      <w:r w:rsidRPr="00B6592E">
        <w:rPr>
          <w:b/>
        </w:rPr>
        <w:t xml:space="preserve"> </w:t>
      </w:r>
      <w:proofErr w:type="gramStart"/>
      <w:r w:rsidRPr="00B6592E">
        <w:rPr>
          <w:b/>
        </w:rPr>
        <w:t>session</w:t>
      </w:r>
      <w:proofErr w:type="gramEnd"/>
    </w:p>
    <w:p w:rsidR="002B6E60" w:rsidRPr="00B6592E" w:rsidRDefault="002B6E60" w:rsidP="002B6E60">
      <w:pPr>
        <w:spacing w:line="264" w:lineRule="auto"/>
      </w:pPr>
      <w:r w:rsidRPr="00B6592E">
        <w:t>Geneva, 2</w:t>
      </w:r>
      <w:r w:rsidR="00E22F4C" w:rsidRPr="00B6592E">
        <w:t>7</w:t>
      </w:r>
      <w:r w:rsidRPr="00B6592E">
        <w:t>–3</w:t>
      </w:r>
      <w:r w:rsidR="00E22F4C" w:rsidRPr="00B6592E">
        <w:t>0</w:t>
      </w:r>
      <w:r w:rsidRPr="00B6592E">
        <w:t xml:space="preserve"> October 201</w:t>
      </w:r>
      <w:r w:rsidR="00E22F4C" w:rsidRPr="00B6592E">
        <w:t>5</w:t>
      </w:r>
    </w:p>
    <w:p w:rsidR="002B6E60" w:rsidRPr="00B6592E" w:rsidRDefault="002B6E60" w:rsidP="00784743">
      <w:pPr>
        <w:spacing w:line="240" w:lineRule="auto"/>
      </w:pPr>
      <w:r w:rsidRPr="00B6592E">
        <w:t xml:space="preserve">Item </w:t>
      </w:r>
      <w:r w:rsidR="00D975D6" w:rsidRPr="00B6592E">
        <w:t>5 (f)</w:t>
      </w:r>
      <w:r w:rsidRPr="00B6592E">
        <w:t xml:space="preserve"> of the provisional agenda</w:t>
      </w:r>
    </w:p>
    <w:p w:rsidR="002B6E60" w:rsidRPr="00B6592E" w:rsidRDefault="002B6E60" w:rsidP="00784743">
      <w:pPr>
        <w:spacing w:line="240" w:lineRule="auto"/>
        <w:rPr>
          <w:b/>
        </w:rPr>
      </w:pPr>
      <w:r w:rsidRPr="00B6592E">
        <w:rPr>
          <w:b/>
        </w:rPr>
        <w:t>The Eighth Environment for</w:t>
      </w:r>
      <w:r w:rsidR="008D67FA" w:rsidRPr="00B6592E">
        <w:rPr>
          <w:b/>
        </w:rPr>
        <w:t xml:space="preserve"> Europe Ministerial Conference</w:t>
      </w:r>
      <w:proofErr w:type="gramStart"/>
      <w:r w:rsidR="00D975D6" w:rsidRPr="00B6592E">
        <w:rPr>
          <w:b/>
        </w:rPr>
        <w:t>:</w:t>
      </w:r>
      <w:proofErr w:type="gramEnd"/>
      <w:r w:rsidR="00D975D6" w:rsidRPr="00B6592E">
        <w:rPr>
          <w:b/>
        </w:rPr>
        <w:br/>
        <w:t>proposed outcomes of the Conference</w:t>
      </w:r>
    </w:p>
    <w:p w:rsidR="002B6E60" w:rsidRPr="00B6592E" w:rsidRDefault="002B6E60" w:rsidP="00784743">
      <w:pPr>
        <w:pStyle w:val="HChG"/>
        <w:spacing w:line="240" w:lineRule="auto"/>
        <w:rPr>
          <w:lang w:eastAsia="en-GB"/>
        </w:rPr>
      </w:pPr>
      <w:r w:rsidRPr="00B6592E">
        <w:tab/>
      </w:r>
      <w:r w:rsidRPr="00B6592E">
        <w:tab/>
      </w:r>
      <w:r w:rsidR="008227D5" w:rsidRPr="00B6592E">
        <w:t xml:space="preserve">Proposed outcomes </w:t>
      </w:r>
      <w:r w:rsidR="00F92435" w:rsidRPr="00B6592E">
        <w:rPr>
          <w:lang w:eastAsia="en-GB"/>
        </w:rPr>
        <w:t>for the Eighth Environment for Europe Ministerial Conference</w:t>
      </w:r>
      <w:r w:rsidRPr="00B6592E">
        <w:rPr>
          <w:lang w:eastAsia="en-GB"/>
        </w:rPr>
        <w:t xml:space="preserve"> </w:t>
      </w:r>
    </w:p>
    <w:p w:rsidR="002B6E60" w:rsidRPr="00B6592E" w:rsidRDefault="002B6E60" w:rsidP="00784743">
      <w:pPr>
        <w:pStyle w:val="H1G"/>
        <w:spacing w:line="240" w:lineRule="auto"/>
        <w:rPr>
          <w:lang w:eastAsia="en-GB"/>
        </w:rPr>
      </w:pPr>
      <w:r w:rsidRPr="00B6592E">
        <w:rPr>
          <w:lang w:eastAsia="en-GB"/>
        </w:rPr>
        <w:tab/>
      </w:r>
      <w:r w:rsidRPr="00B6592E">
        <w:rPr>
          <w:lang w:eastAsia="en-GB"/>
        </w:rPr>
        <w:tab/>
      </w:r>
      <w:r w:rsidR="00001782" w:rsidRPr="00B6592E">
        <w:rPr>
          <w:lang w:eastAsia="en-GB"/>
        </w:rPr>
        <w:t>Note</w:t>
      </w:r>
      <w:r w:rsidRPr="00B6592E">
        <w:rPr>
          <w:lang w:eastAsia="en-GB"/>
        </w:rPr>
        <w:t xml:space="preserve"> by the </w:t>
      </w:r>
      <w:r w:rsidR="008227D5" w:rsidRPr="00B6592E">
        <w:rPr>
          <w:lang w:eastAsia="en-GB"/>
        </w:rPr>
        <w:t>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2B02CF" w:rsidRPr="00B6592E" w:rsidTr="0069766A">
        <w:trPr>
          <w:jc w:val="center"/>
        </w:trPr>
        <w:tc>
          <w:tcPr>
            <w:tcW w:w="9637" w:type="dxa"/>
            <w:shd w:val="clear" w:color="auto" w:fill="auto"/>
          </w:tcPr>
          <w:p w:rsidR="002B02CF" w:rsidRPr="00B6592E" w:rsidRDefault="002B02CF" w:rsidP="00E43C3D">
            <w:pPr>
              <w:spacing w:before="240" w:after="120"/>
              <w:ind w:left="255"/>
              <w:rPr>
                <w:i/>
                <w:sz w:val="24"/>
                <w:lang w:eastAsia="en-GB"/>
              </w:rPr>
            </w:pPr>
            <w:r w:rsidRPr="00B6592E">
              <w:rPr>
                <w:i/>
                <w:sz w:val="24"/>
                <w:lang w:eastAsia="en-GB"/>
              </w:rPr>
              <w:t>Summary</w:t>
            </w:r>
          </w:p>
        </w:tc>
      </w:tr>
      <w:tr w:rsidR="002B02CF" w:rsidRPr="00B6592E" w:rsidTr="007D0396">
        <w:trPr>
          <w:jc w:val="center"/>
        </w:trPr>
        <w:tc>
          <w:tcPr>
            <w:tcW w:w="9637" w:type="dxa"/>
            <w:tcBorders>
              <w:bottom w:val="nil"/>
            </w:tcBorders>
            <w:shd w:val="clear" w:color="auto" w:fill="auto"/>
          </w:tcPr>
          <w:p w:rsidR="000136C9" w:rsidRPr="00B6592E" w:rsidRDefault="000136C9" w:rsidP="00E43C3D">
            <w:pPr>
              <w:pStyle w:val="SingleTxtG"/>
            </w:pPr>
            <w:r w:rsidRPr="00B6592E">
              <w:rPr>
                <w:lang w:eastAsia="en-GB"/>
              </w:rPr>
              <w:tab/>
            </w:r>
            <w:r w:rsidR="00052690">
              <w:rPr>
                <w:lang w:eastAsia="en-GB"/>
              </w:rPr>
              <w:t xml:space="preserve">At its twentieth session (Geneva, </w:t>
            </w:r>
            <w:r w:rsidR="009C0C7F">
              <w:rPr>
                <w:lang w:eastAsia="en-GB"/>
              </w:rPr>
              <w:t xml:space="preserve">28–31 October </w:t>
            </w:r>
            <w:r w:rsidR="00052690">
              <w:rPr>
                <w:lang w:eastAsia="en-GB"/>
              </w:rPr>
              <w:t>2014), t</w:t>
            </w:r>
            <w:r w:rsidRPr="00B6592E">
              <w:t>he Economic Commission for Europe (ECE) Committee on Environmental Policy (CEP) mandated its Bureau, with support from the ECE secretariat and in cooperation with relevant stakeholders, to proceed with the preparation of the Eighth Environment for Europe (EfE) Ministerial Conference (Batumi,</w:t>
            </w:r>
            <w:r w:rsidR="00052690">
              <w:t xml:space="preserve"> Georgia,</w:t>
            </w:r>
            <w:r w:rsidRPr="00B6592E">
              <w:t xml:space="preserve"> 8–10 June 2016), including preparing relevant documents to facilitate the organization of the Conference (ECE/CEP/2014/2, </w:t>
            </w:r>
            <w:r w:rsidR="00B63316" w:rsidRPr="00C27E18">
              <w:t>para</w:t>
            </w:r>
            <w:r w:rsidR="00B63316">
              <w:t>s.</w:t>
            </w:r>
            <w:r w:rsidR="00B63316" w:rsidRPr="00C27E18">
              <w:t xml:space="preserve"> </w:t>
            </w:r>
            <w:r w:rsidR="00B63316">
              <w:t>84 (c) and 98 (</w:t>
            </w:r>
            <w:proofErr w:type="spellStart"/>
            <w:r w:rsidR="00B63316">
              <w:t>gg</w:t>
            </w:r>
            <w:proofErr w:type="spellEnd"/>
            <w:r w:rsidR="00B63316">
              <w:t>) (xi) c</w:t>
            </w:r>
            <w:r w:rsidRPr="00B6592E">
              <w:t xml:space="preserve">). </w:t>
            </w:r>
          </w:p>
          <w:p w:rsidR="00F83959" w:rsidRPr="00B6592E" w:rsidRDefault="004F5067" w:rsidP="00E43C3D">
            <w:pPr>
              <w:pStyle w:val="SingleTxtG"/>
              <w:rPr>
                <w:lang w:eastAsia="en-GB"/>
              </w:rPr>
            </w:pPr>
            <w:r w:rsidRPr="00B6592E">
              <w:rPr>
                <w:lang w:eastAsia="en-GB"/>
              </w:rPr>
              <w:tab/>
              <w:t xml:space="preserve">The present document was prepared </w:t>
            </w:r>
            <w:r w:rsidR="00C614CE" w:rsidRPr="00B6592E">
              <w:rPr>
                <w:lang w:eastAsia="en-GB"/>
              </w:rPr>
              <w:t>at the request of and in consultation with</w:t>
            </w:r>
            <w:r w:rsidRPr="00B6592E">
              <w:rPr>
                <w:lang w:eastAsia="en-GB"/>
              </w:rPr>
              <w:t xml:space="preserve"> the CEP Bureau with a view to support</w:t>
            </w:r>
            <w:r w:rsidR="009C0C7F">
              <w:rPr>
                <w:lang w:eastAsia="en-GB"/>
              </w:rPr>
              <w:t>ing</w:t>
            </w:r>
            <w:r w:rsidRPr="00B6592E">
              <w:rPr>
                <w:lang w:eastAsia="en-GB"/>
              </w:rPr>
              <w:t xml:space="preserve"> CEP in </w:t>
            </w:r>
            <w:r w:rsidR="00365C62" w:rsidRPr="00B6592E">
              <w:rPr>
                <w:lang w:eastAsia="en-GB"/>
              </w:rPr>
              <w:t xml:space="preserve">identifying and preparing or negotiating, as appropriate, the outcomes of the Conference. </w:t>
            </w:r>
            <w:r w:rsidRPr="00B6592E">
              <w:rPr>
                <w:lang w:eastAsia="en-GB"/>
              </w:rPr>
              <w:t xml:space="preserve"> </w:t>
            </w:r>
            <w:r w:rsidR="00F83959" w:rsidRPr="00B6592E">
              <w:rPr>
                <w:lang w:eastAsia="en-GB"/>
              </w:rPr>
              <w:t xml:space="preserve">  </w:t>
            </w:r>
          </w:p>
          <w:p w:rsidR="00DE5141" w:rsidRPr="00B6592E" w:rsidRDefault="00F83959" w:rsidP="00E43C3D">
            <w:pPr>
              <w:pStyle w:val="SingleTxtG"/>
              <w:rPr>
                <w:lang w:eastAsia="en-GB"/>
              </w:rPr>
            </w:pPr>
            <w:r w:rsidRPr="00B6592E">
              <w:rPr>
                <w:lang w:eastAsia="en-GB"/>
              </w:rPr>
              <w:tab/>
              <w:t xml:space="preserve">CEP will be invited </w:t>
            </w:r>
            <w:r w:rsidR="004F5067" w:rsidRPr="00B6592E">
              <w:t>to consider</w:t>
            </w:r>
            <w:r w:rsidR="00497091" w:rsidRPr="00B6592E">
              <w:t xml:space="preserve"> and deliberate on the</w:t>
            </w:r>
            <w:r w:rsidR="004F5067" w:rsidRPr="00B6592E">
              <w:t xml:space="preserve"> possible outcomes of the Batumi EfE Ministerial Conference.</w:t>
            </w:r>
            <w:r w:rsidRPr="00B6592E">
              <w:rPr>
                <w:lang w:eastAsia="en-GB"/>
              </w:rPr>
              <w:t xml:space="preserve"> </w:t>
            </w:r>
            <w:r w:rsidR="001E1257" w:rsidRPr="00B6592E">
              <w:rPr>
                <w:lang w:eastAsia="en-GB"/>
              </w:rPr>
              <w:t xml:space="preserve"> </w:t>
            </w:r>
          </w:p>
        </w:tc>
      </w:tr>
      <w:tr w:rsidR="002B02CF" w:rsidRPr="00B6592E" w:rsidTr="007D0396">
        <w:trPr>
          <w:jc w:val="center"/>
        </w:trPr>
        <w:tc>
          <w:tcPr>
            <w:tcW w:w="9637" w:type="dxa"/>
            <w:tcBorders>
              <w:top w:val="nil"/>
            </w:tcBorders>
            <w:shd w:val="clear" w:color="auto" w:fill="auto"/>
          </w:tcPr>
          <w:p w:rsidR="002B02CF" w:rsidRPr="00B6592E" w:rsidRDefault="002B02CF" w:rsidP="002B02CF">
            <w:pPr>
              <w:rPr>
                <w:lang w:eastAsia="en-GB"/>
              </w:rPr>
            </w:pPr>
          </w:p>
        </w:tc>
      </w:tr>
    </w:tbl>
    <w:p w:rsidR="00D03F79" w:rsidRPr="00B6592E" w:rsidRDefault="00D03F79" w:rsidP="0069766A">
      <w:pPr>
        <w:shd w:val="clear" w:color="auto" w:fill="FFFFFF"/>
        <w:spacing w:before="240" w:after="120"/>
        <w:rPr>
          <w:sz w:val="28"/>
          <w:lang w:eastAsia="en-GB"/>
        </w:rPr>
      </w:pPr>
    </w:p>
    <w:p w:rsidR="008F3BE5" w:rsidRPr="00B6592E" w:rsidRDefault="00B64851" w:rsidP="00E43C3D">
      <w:pPr>
        <w:pStyle w:val="HChG"/>
        <w:ind w:left="0" w:firstLine="0"/>
        <w:rPr>
          <w:i/>
        </w:rPr>
      </w:pPr>
      <w:r w:rsidRPr="00B6592E">
        <w:rPr>
          <w:lang w:eastAsia="en-GB"/>
        </w:rPr>
        <w:br w:type="page"/>
      </w:r>
      <w:r w:rsidR="003259A3">
        <w:rPr>
          <w:rFonts w:eastAsia="SimSun"/>
          <w:lang w:eastAsia="en-GB"/>
        </w:rPr>
        <w:lastRenderedPageBreak/>
        <w:tab/>
      </w:r>
      <w:r w:rsidR="003259A3">
        <w:rPr>
          <w:rFonts w:eastAsia="SimSun"/>
          <w:lang w:eastAsia="en-GB"/>
        </w:rPr>
        <w:tab/>
      </w:r>
      <w:r w:rsidR="00ED1C59" w:rsidRPr="00B6592E">
        <w:rPr>
          <w:rFonts w:eastAsia="SimSun"/>
          <w:lang w:eastAsia="en-GB"/>
        </w:rPr>
        <w:t>Introduction</w:t>
      </w:r>
    </w:p>
    <w:p w:rsidR="009D349F" w:rsidRPr="00B6592E" w:rsidRDefault="009D349F" w:rsidP="009D349F">
      <w:pPr>
        <w:pStyle w:val="SingleTxtG"/>
      </w:pPr>
      <w:r w:rsidRPr="00B6592E">
        <w:t>1.</w:t>
      </w:r>
      <w:r w:rsidRPr="00B6592E">
        <w:tab/>
      </w:r>
      <w:r w:rsidR="00F01D66">
        <w:t xml:space="preserve">As </w:t>
      </w:r>
      <w:r w:rsidRPr="00B6592E">
        <w:t>deci</w:t>
      </w:r>
      <w:r w:rsidR="00F01D66">
        <w:t>ded</w:t>
      </w:r>
      <w:r w:rsidRPr="00B6592E">
        <w:t xml:space="preserve"> by the United Nations Economic Commission for Europe (ECE) Committee on Environmental Policy (CEP) at its twentieth session (Geneva, 28–31 October 2014), the organization of the Eighth Environment for Europe (EfE) Ministerial Conference (Batumi, </w:t>
      </w:r>
      <w:r w:rsidR="00F01D66">
        <w:t xml:space="preserve">Georgia, </w:t>
      </w:r>
      <w:r w:rsidRPr="00B6592E">
        <w:t xml:space="preserve">8–10 June 2016) is ongoing. </w:t>
      </w:r>
    </w:p>
    <w:p w:rsidR="009D349F" w:rsidRPr="00B6592E" w:rsidRDefault="009D349F" w:rsidP="009D349F">
      <w:pPr>
        <w:pStyle w:val="SingleTxtG"/>
      </w:pPr>
      <w:r w:rsidRPr="00B6592E">
        <w:t>2.</w:t>
      </w:r>
      <w:r w:rsidRPr="00B6592E">
        <w:tab/>
      </w:r>
      <w:r w:rsidR="00174578">
        <w:t xml:space="preserve">At its 2014 session, </w:t>
      </w:r>
      <w:r w:rsidRPr="00B6592E">
        <w:t>CEP agreed unanimously on the two themes for the Conference, i.e.</w:t>
      </w:r>
      <w:r w:rsidR="00F01D66">
        <w:t>,</w:t>
      </w:r>
      <w:r w:rsidRPr="00B6592E">
        <w:t xml:space="preserve"> greening the economy in the pan-European region; and improving air quality for a better environment and human health. To focus the ministerial discussion under the two themes, a set of questions has been developed by the CEP Bureau, with support </w:t>
      </w:r>
      <w:r w:rsidR="00F01D66">
        <w:t xml:space="preserve">from </w:t>
      </w:r>
      <w:r w:rsidRPr="00B6592E">
        <w:t xml:space="preserve">the ECE </w:t>
      </w:r>
      <w:r w:rsidR="00CA0860" w:rsidRPr="00B6592E">
        <w:t xml:space="preserve">secretariat </w:t>
      </w:r>
      <w:r w:rsidRPr="00B6592E">
        <w:t>and</w:t>
      </w:r>
      <w:r w:rsidR="009C3D82" w:rsidRPr="00B6592E">
        <w:t xml:space="preserve"> in consultation with</w:t>
      </w:r>
      <w:r w:rsidRPr="00B6592E">
        <w:t xml:space="preserve"> the United Nations Environment Programme (UNEP)</w:t>
      </w:r>
      <w:r w:rsidR="001D7CCB" w:rsidRPr="00B6592E">
        <w:t>.</w:t>
      </w:r>
      <w:r w:rsidRPr="00B6592E">
        <w:t xml:space="preserve"> </w:t>
      </w:r>
      <w:r w:rsidR="00721749" w:rsidRPr="00B6592E">
        <w:t xml:space="preserve">These questions are included in the </w:t>
      </w:r>
      <w:r w:rsidR="00A10F01" w:rsidRPr="00B6592E">
        <w:t xml:space="preserve">CEP </w:t>
      </w:r>
      <w:r w:rsidR="00721749" w:rsidRPr="00B6592E">
        <w:t xml:space="preserve">document presenting the draft agenda for the Batumi </w:t>
      </w:r>
      <w:r w:rsidR="00A10F01" w:rsidRPr="00B6592E">
        <w:t xml:space="preserve">Ministerial </w:t>
      </w:r>
      <w:r w:rsidR="00721749" w:rsidRPr="00B6592E">
        <w:t>Conference</w:t>
      </w:r>
      <w:r w:rsidR="00A10F01" w:rsidRPr="00B6592E">
        <w:t xml:space="preserve"> (ECE/CEP/2015/L.1).</w:t>
      </w:r>
    </w:p>
    <w:p w:rsidR="009D349F" w:rsidRPr="00B6592E" w:rsidRDefault="009D349F" w:rsidP="009D349F">
      <w:pPr>
        <w:pStyle w:val="SingleTxtG"/>
      </w:pPr>
      <w:r w:rsidRPr="00B6592E">
        <w:t>3.</w:t>
      </w:r>
      <w:r w:rsidRPr="00B6592E">
        <w:tab/>
        <w:t xml:space="preserve">CEP also agreed </w:t>
      </w:r>
      <w:r w:rsidR="00F01D66">
        <w:t xml:space="preserve">to </w:t>
      </w:r>
      <w:r w:rsidRPr="00B6592E">
        <w:t xml:space="preserve">hold a </w:t>
      </w:r>
      <w:r w:rsidR="007C4420" w:rsidRPr="00B6592E">
        <w:t xml:space="preserve">segment </w:t>
      </w:r>
      <w:r w:rsidRPr="00B6592E">
        <w:t>on education for sustainable development (ESD)</w:t>
      </w:r>
      <w:r w:rsidR="007F2AD2" w:rsidRPr="00B6592E">
        <w:t>,</w:t>
      </w:r>
      <w:r w:rsidRPr="00B6592E">
        <w:t xml:space="preserve"> </w:t>
      </w:r>
      <w:r w:rsidR="00255A06" w:rsidRPr="00B6592E">
        <w:t xml:space="preserve">in the form of a </w:t>
      </w:r>
      <w:r w:rsidR="009907D8" w:rsidRPr="00B6592E">
        <w:t>High-level Meeting of Education and Environment Ministries</w:t>
      </w:r>
      <w:r w:rsidR="007F2AD2" w:rsidRPr="00B6592E">
        <w:t>,</w:t>
      </w:r>
      <w:r w:rsidR="00255A06" w:rsidRPr="00B6592E">
        <w:t xml:space="preserve"> in the framework of the Conference with a view </w:t>
      </w:r>
      <w:r w:rsidRPr="00B6592E">
        <w:t>to assess</w:t>
      </w:r>
      <w:r w:rsidR="003F6DA3">
        <w:t>ing</w:t>
      </w:r>
      <w:r w:rsidRPr="00B6592E">
        <w:t xml:space="preserve"> progress during the first 10 years of the ECE Strategy for ESD and </w:t>
      </w:r>
      <w:r w:rsidR="00A4167D">
        <w:t xml:space="preserve">to </w:t>
      </w:r>
      <w:r w:rsidRPr="00B6592E">
        <w:t>consider its future development.</w:t>
      </w:r>
    </w:p>
    <w:p w:rsidR="00AF2B6D" w:rsidRPr="00B6592E" w:rsidRDefault="009D349F" w:rsidP="009D349F">
      <w:pPr>
        <w:pStyle w:val="SingleTxtG"/>
      </w:pPr>
      <w:r w:rsidRPr="00B6592E">
        <w:t>4</w:t>
      </w:r>
      <w:r w:rsidR="001F0023" w:rsidRPr="00B6592E">
        <w:t>.</w:t>
      </w:r>
      <w:r w:rsidRPr="00B6592E">
        <w:tab/>
        <w:t>Based on the relevant provisions contained in the EfE Reform Plan</w:t>
      </w:r>
      <w:r w:rsidR="003F6DA3">
        <w:t>,</w:t>
      </w:r>
      <w:r w:rsidRPr="00B6592E">
        <w:rPr>
          <w:rStyle w:val="FootnoteReference"/>
        </w:rPr>
        <w:footnoteReference w:id="2"/>
      </w:r>
      <w:r w:rsidRPr="00B6592E">
        <w:t xml:space="preserve"> the CEP Bureau with support </w:t>
      </w:r>
      <w:r w:rsidR="003F6DA3">
        <w:t xml:space="preserve">from </w:t>
      </w:r>
      <w:r w:rsidRPr="00B6592E">
        <w:t>the secretariat prepar</w:t>
      </w:r>
      <w:r w:rsidR="00AF2B6D" w:rsidRPr="00B6592E">
        <w:t>ed</w:t>
      </w:r>
      <w:r w:rsidRPr="00B6592E">
        <w:t xml:space="preserve"> </w:t>
      </w:r>
      <w:r w:rsidR="00AF2B6D" w:rsidRPr="00B6592E">
        <w:t>the present</w:t>
      </w:r>
      <w:r w:rsidRPr="00B6592E">
        <w:t xml:space="preserve"> document to facilitate </w:t>
      </w:r>
      <w:r w:rsidR="003F6DA3">
        <w:t xml:space="preserve">the </w:t>
      </w:r>
      <w:r w:rsidRPr="00B6592E">
        <w:t xml:space="preserve">deliberations on the possible outcomes of the Conference. </w:t>
      </w:r>
    </w:p>
    <w:p w:rsidR="0022762D" w:rsidRPr="00B6592E" w:rsidRDefault="009D349F" w:rsidP="009D349F">
      <w:pPr>
        <w:pStyle w:val="SingleTxtG"/>
      </w:pPr>
      <w:r w:rsidRPr="00B6592E">
        <w:t>5.</w:t>
      </w:r>
      <w:r w:rsidRPr="00B6592E">
        <w:tab/>
      </w:r>
      <w:proofErr w:type="gramStart"/>
      <w:r w:rsidRPr="003D086D">
        <w:t>In</w:t>
      </w:r>
      <w:proofErr w:type="gramEnd"/>
      <w:r w:rsidRPr="003D086D">
        <w:t xml:space="preserve"> that context, countries and EfE partners are invited to identify</w:t>
      </w:r>
      <w:r w:rsidR="00A4167D">
        <w:t xml:space="preserve"> </w:t>
      </w:r>
      <w:r w:rsidRPr="00B6592E">
        <w:t>bi</w:t>
      </w:r>
      <w:r w:rsidR="00751744">
        <w:t>lateral</w:t>
      </w:r>
      <w:r w:rsidR="00174578">
        <w:t>,</w:t>
      </w:r>
      <w:r w:rsidRPr="00B6592E">
        <w:t xml:space="preserve"> tri</w:t>
      </w:r>
      <w:r w:rsidR="00751744">
        <w:t>lateral</w:t>
      </w:r>
      <w:r w:rsidRPr="00B6592E">
        <w:t xml:space="preserve"> and multilateral</w:t>
      </w:r>
      <w:r w:rsidR="00751744">
        <w:t xml:space="preserve"> initiatives</w:t>
      </w:r>
      <w:r w:rsidRPr="00B6592E">
        <w:t xml:space="preserve"> relevant to the Conference </w:t>
      </w:r>
      <w:r w:rsidR="00751744">
        <w:t xml:space="preserve">themes that can be </w:t>
      </w:r>
      <w:r w:rsidRPr="00B6592E">
        <w:t xml:space="preserve">launched at the Conference. Final consideration of all initiatives will be </w:t>
      </w:r>
      <w:r w:rsidR="00174578">
        <w:t xml:space="preserve">undertaken </w:t>
      </w:r>
      <w:r w:rsidRPr="00B6592E">
        <w:t xml:space="preserve">by CEP at the latest at </w:t>
      </w:r>
      <w:r w:rsidR="00A4167D">
        <w:t xml:space="preserve">its </w:t>
      </w:r>
      <w:r w:rsidRPr="00B6592E">
        <w:t>special session in February 2016.</w:t>
      </w:r>
    </w:p>
    <w:p w:rsidR="009D349F" w:rsidRPr="00B6592E" w:rsidRDefault="009D349F" w:rsidP="009D349F">
      <w:pPr>
        <w:pStyle w:val="HChG"/>
      </w:pPr>
      <w:r w:rsidRPr="00B6592E">
        <w:tab/>
        <w:t>I.</w:t>
      </w:r>
      <w:r w:rsidRPr="00B6592E">
        <w:tab/>
        <w:t>Possible outcomes of Environment for Europe ministerial</w:t>
      </w:r>
      <w:r w:rsidR="00174578">
        <w:t> </w:t>
      </w:r>
      <w:r w:rsidRPr="00B6592E">
        <w:t>conferences</w:t>
      </w:r>
    </w:p>
    <w:p w:rsidR="009D349F" w:rsidRPr="00B6592E" w:rsidRDefault="009D349F" w:rsidP="009D349F">
      <w:pPr>
        <w:pStyle w:val="SingleTxtG"/>
      </w:pPr>
      <w:r w:rsidRPr="00B6592E">
        <w:t>6.</w:t>
      </w:r>
      <w:r w:rsidRPr="00B6592E">
        <w:tab/>
        <w:t xml:space="preserve">The EfE Reform Plan stipulates that conference outcomes may include an agreed outcome of two pages on follow-up and further actions, strictly limited, in terms of scope, to the themes of the conference. In addition, a chair’s summary </w:t>
      </w:r>
      <w:r w:rsidR="00AE1A11" w:rsidRPr="00F2401E">
        <w:t xml:space="preserve">of the </w:t>
      </w:r>
      <w:r w:rsidR="00461ECE" w:rsidRPr="00F2401E">
        <w:t xml:space="preserve">conference </w:t>
      </w:r>
      <w:r w:rsidR="008638DA" w:rsidRPr="00F2401E">
        <w:t xml:space="preserve">should </w:t>
      </w:r>
      <w:r w:rsidRPr="00F2401E">
        <w:t>be prepared.</w:t>
      </w:r>
      <w:r w:rsidRPr="00B6592E">
        <w:t xml:space="preserve"> </w:t>
      </w:r>
    </w:p>
    <w:p w:rsidR="009D349F" w:rsidRPr="00B6592E" w:rsidRDefault="009D349F" w:rsidP="009D349F">
      <w:pPr>
        <w:pStyle w:val="SingleTxtG"/>
      </w:pPr>
      <w:r w:rsidRPr="00B6592E">
        <w:t>7.</w:t>
      </w:r>
      <w:r w:rsidRPr="00B6592E">
        <w:tab/>
      </w:r>
      <w:r w:rsidR="008638DA">
        <w:t>C</w:t>
      </w:r>
      <w:r w:rsidRPr="00B6592E">
        <w:t xml:space="preserve">onference outcomes </w:t>
      </w:r>
      <w:r w:rsidR="008638DA">
        <w:t xml:space="preserve">can </w:t>
      </w:r>
      <w:r w:rsidRPr="00B6592E">
        <w:t>include statements, initiatives, agreements</w:t>
      </w:r>
      <w:r w:rsidR="008638DA">
        <w:t xml:space="preserve"> and</w:t>
      </w:r>
      <w:r w:rsidRPr="00B6592E">
        <w:t xml:space="preserve"> pledges by interested ministers and stakeholders on specific subjects and/or for specific subregions. </w:t>
      </w:r>
    </w:p>
    <w:p w:rsidR="009D349F" w:rsidRPr="00B6592E" w:rsidRDefault="009D349F" w:rsidP="009D349F">
      <w:pPr>
        <w:pStyle w:val="SingleTxtG"/>
      </w:pPr>
      <w:r w:rsidRPr="00B6592E">
        <w:t>8.</w:t>
      </w:r>
      <w:r w:rsidRPr="00B6592E">
        <w:tab/>
        <w:t>Conference outcomes may also include policy tools (e.g., strategies, action plans with time frames, guidelines, recommendations, good practices and lessons learned) that are presented to the conference by interested countries and/or organizations taking the lead for these issues, and that were not negotiated within the preparatory process for the conference.</w:t>
      </w:r>
      <w:r w:rsidR="000E4FDB" w:rsidRPr="00B6592E">
        <w:t xml:space="preserve"> </w:t>
      </w:r>
    </w:p>
    <w:p w:rsidR="009D349F" w:rsidRPr="00B6592E" w:rsidRDefault="009D349F" w:rsidP="009D349F">
      <w:pPr>
        <w:pStyle w:val="SingleTxtG"/>
      </w:pPr>
      <w:r w:rsidRPr="00B6592E">
        <w:lastRenderedPageBreak/>
        <w:t>9.</w:t>
      </w:r>
      <w:r w:rsidRPr="00B6592E">
        <w:tab/>
        <w:t xml:space="preserve">Assessment reports (used in </w:t>
      </w:r>
      <w:r w:rsidR="00AE1A11">
        <w:t xml:space="preserve">the </w:t>
      </w:r>
      <w:r w:rsidRPr="00B6592E">
        <w:t xml:space="preserve">preparation of or presented to the conference) that are important for the implementation of the conference outcomes may also be considered as conference outcomes. </w:t>
      </w:r>
    </w:p>
    <w:p w:rsidR="009D349F" w:rsidRPr="00B6592E" w:rsidRDefault="009D349F" w:rsidP="009D349F">
      <w:pPr>
        <w:pStyle w:val="HChG"/>
      </w:pPr>
      <w:r w:rsidRPr="00B6592E">
        <w:tab/>
        <w:t>II.</w:t>
      </w:r>
      <w:r w:rsidRPr="00B6592E">
        <w:tab/>
        <w:t xml:space="preserve">Possible agreed outcomes of the Batumi </w:t>
      </w:r>
      <w:r w:rsidR="000B6DC8" w:rsidRPr="00B6592E">
        <w:t xml:space="preserve">Environment for Europe </w:t>
      </w:r>
      <w:r w:rsidR="000E4FDB" w:rsidRPr="00B6592E">
        <w:t xml:space="preserve">Ministerial </w:t>
      </w:r>
      <w:r w:rsidRPr="00B6592E">
        <w:t>Conference</w:t>
      </w:r>
    </w:p>
    <w:p w:rsidR="009D349F" w:rsidRPr="00B6592E" w:rsidRDefault="009D349F" w:rsidP="009D349F">
      <w:pPr>
        <w:pStyle w:val="H1G"/>
      </w:pPr>
      <w:r w:rsidRPr="00B6592E">
        <w:tab/>
        <w:t>A.</w:t>
      </w:r>
      <w:r w:rsidRPr="00B6592E">
        <w:tab/>
        <w:t>Ministerial Declaration</w:t>
      </w:r>
    </w:p>
    <w:p w:rsidR="009D349F" w:rsidRPr="00B6592E" w:rsidRDefault="009D349F" w:rsidP="009D349F">
      <w:pPr>
        <w:pStyle w:val="SingleTxtG"/>
      </w:pPr>
      <w:r w:rsidRPr="00B6592E">
        <w:t>10.</w:t>
      </w:r>
      <w:r w:rsidRPr="00B6592E">
        <w:tab/>
        <w:t xml:space="preserve">The Batumi EfE Ministerial Conference could culminate in the adoption of a two-page Ministerial Declaration on follow-up and further actions related to the two main themes of the Conference. </w:t>
      </w:r>
    </w:p>
    <w:p w:rsidR="009D349F" w:rsidRPr="00B6592E" w:rsidRDefault="009D349F" w:rsidP="009D349F">
      <w:pPr>
        <w:pStyle w:val="SingleTxtG"/>
      </w:pPr>
      <w:r w:rsidRPr="00B6592E">
        <w:t>11.</w:t>
      </w:r>
      <w:r w:rsidRPr="00B6592E">
        <w:tab/>
        <w:t xml:space="preserve">Similar to the Astana Ministerial Declaration, the two-page document could be focused on the expected decisions to be taken under the two </w:t>
      </w:r>
      <w:r w:rsidR="005974BB">
        <w:t xml:space="preserve">conference </w:t>
      </w:r>
      <w:r w:rsidRPr="00B6592E">
        <w:t>themes. A possible framework for such a document could be as follows:</w:t>
      </w:r>
    </w:p>
    <w:p w:rsidR="009D349F" w:rsidRPr="00B6592E" w:rsidRDefault="00004A7E" w:rsidP="00004A7E">
      <w:pPr>
        <w:pStyle w:val="SingleTxtG"/>
      </w:pPr>
      <w:r w:rsidRPr="00B6592E">
        <w:tab/>
        <w:t>(a)</w:t>
      </w:r>
      <w:r w:rsidRPr="00B6592E">
        <w:tab/>
      </w:r>
      <w:r w:rsidR="009D349F" w:rsidRPr="00F4610E">
        <w:rPr>
          <w:b/>
        </w:rPr>
        <w:t>Introduction</w:t>
      </w:r>
      <w:r w:rsidR="009D349F" w:rsidRPr="00B6592E">
        <w:t xml:space="preserve">: a short introductory paragraph presenting the date and place of the Conference and the number of participating countries, followed by a paragraph on countries’ continuing commitment to protect the environment and the contribution of the EfE process to this cause (maximum length, a quarter of a page); </w:t>
      </w:r>
    </w:p>
    <w:p w:rsidR="009D349F" w:rsidRPr="00B6592E" w:rsidRDefault="00004A7E" w:rsidP="00004A7E">
      <w:pPr>
        <w:pStyle w:val="SingleTxtG"/>
      </w:pPr>
      <w:r w:rsidRPr="00B6592E">
        <w:tab/>
        <w:t>(b)</w:t>
      </w:r>
      <w:r w:rsidRPr="00B6592E">
        <w:tab/>
      </w:r>
      <w:r w:rsidR="009D349F" w:rsidRPr="00F4610E">
        <w:rPr>
          <w:b/>
        </w:rPr>
        <w:t>Greening the economy in the pan-European region</w:t>
      </w:r>
      <w:r w:rsidR="009D349F" w:rsidRPr="00B6592E">
        <w:t xml:space="preserve">: decisions on follow-up and further actions taken </w:t>
      </w:r>
      <w:r w:rsidR="003D086D">
        <w:t xml:space="preserve">at </w:t>
      </w:r>
      <w:r w:rsidR="009D349F" w:rsidRPr="00B6592E">
        <w:t xml:space="preserve">the Conference under this theme (maximum length, </w:t>
      </w:r>
      <w:r w:rsidR="005974BB">
        <w:t xml:space="preserve">half </w:t>
      </w:r>
      <w:r w:rsidR="009D349F" w:rsidRPr="00B6592E">
        <w:t>a page);</w:t>
      </w:r>
    </w:p>
    <w:p w:rsidR="009D349F" w:rsidRPr="00B6592E" w:rsidRDefault="00004A7E" w:rsidP="00004A7E">
      <w:pPr>
        <w:pStyle w:val="SingleTxtG"/>
      </w:pPr>
      <w:r w:rsidRPr="00B6592E">
        <w:tab/>
        <w:t>(c)</w:t>
      </w:r>
      <w:r w:rsidRPr="00B6592E">
        <w:tab/>
      </w:r>
      <w:r w:rsidR="009D349F" w:rsidRPr="00F4610E">
        <w:rPr>
          <w:b/>
        </w:rPr>
        <w:t>Improving air quality for a better environment and human health</w:t>
      </w:r>
      <w:r w:rsidR="009D349F" w:rsidRPr="00B6592E">
        <w:t xml:space="preserve">: decisions on follow-up and further actions taken </w:t>
      </w:r>
      <w:r w:rsidR="003D086D">
        <w:t xml:space="preserve">at </w:t>
      </w:r>
      <w:r w:rsidR="009D349F" w:rsidRPr="00B6592E">
        <w:t xml:space="preserve">the Conference under this theme (maximum length, </w:t>
      </w:r>
      <w:r w:rsidR="005974BB">
        <w:t xml:space="preserve">half </w:t>
      </w:r>
      <w:r w:rsidR="009D349F" w:rsidRPr="00B6592E">
        <w:t xml:space="preserve">a page); </w:t>
      </w:r>
    </w:p>
    <w:p w:rsidR="009D349F" w:rsidRPr="00B6592E" w:rsidRDefault="00004A7E" w:rsidP="00004A7E">
      <w:pPr>
        <w:pStyle w:val="SingleTxtG"/>
      </w:pPr>
      <w:r w:rsidRPr="00B6592E">
        <w:tab/>
        <w:t>(d)</w:t>
      </w:r>
      <w:r w:rsidRPr="00B6592E">
        <w:tab/>
      </w:r>
      <w:r w:rsidR="009D349F" w:rsidRPr="00F4610E">
        <w:rPr>
          <w:b/>
        </w:rPr>
        <w:t>Following up on Astana key commitments</w:t>
      </w:r>
      <w:r w:rsidR="009D349F" w:rsidRPr="00B6592E">
        <w:t>: ratifying and implementing the ECE multilateral environmental agreements (MEAs); implementing the Astana Water Action</w:t>
      </w:r>
      <w:r w:rsidR="00CA6F17" w:rsidRPr="00B6592E">
        <w:t xml:space="preserve"> (AWA)</w:t>
      </w:r>
      <w:r w:rsidR="009D349F" w:rsidRPr="00B6592E">
        <w:t>; conducting the third cycle of ECE environmental performance reviews (EPRs); establishing a regular process of environmental assessment and developing the Shared Environmental Information System (SEIS) across the region to keep the pan-European environment under review; and continuing the work of the Organi</w:t>
      </w:r>
      <w:r w:rsidR="003D086D">
        <w:t>z</w:t>
      </w:r>
      <w:r w:rsidR="009D349F" w:rsidRPr="00B6592E">
        <w:t xml:space="preserve">ation for Economic Cooperation and Development (OECD) Environmental Action Programme Task Force (EAP Task Force) and strengthening the work of the Regional Environmental Centres (maximum length, </w:t>
      </w:r>
      <w:r w:rsidR="003D086D">
        <w:t xml:space="preserve">half </w:t>
      </w:r>
      <w:r w:rsidR="009D349F" w:rsidRPr="00B6592E">
        <w:t>a page);</w:t>
      </w:r>
    </w:p>
    <w:p w:rsidR="009D349F" w:rsidRPr="00B6592E" w:rsidRDefault="00004A7E" w:rsidP="00004A7E">
      <w:pPr>
        <w:pStyle w:val="SingleTxtG"/>
      </w:pPr>
      <w:r w:rsidRPr="00B6592E">
        <w:tab/>
        <w:t>(e)</w:t>
      </w:r>
      <w:r w:rsidRPr="00B6592E">
        <w:tab/>
      </w:r>
      <w:r w:rsidR="009D349F" w:rsidRPr="00F4610E">
        <w:rPr>
          <w:b/>
        </w:rPr>
        <w:t>Closing</w:t>
      </w:r>
      <w:r w:rsidR="009D349F" w:rsidRPr="00B6592E">
        <w:t xml:space="preserve">: </w:t>
      </w:r>
      <w:r w:rsidR="003D086D">
        <w:t xml:space="preserve">announcing </w:t>
      </w:r>
      <w:r w:rsidR="009D349F" w:rsidRPr="00B6592E">
        <w:t xml:space="preserve">the venue of the next </w:t>
      </w:r>
      <w:r w:rsidR="00AE1A11">
        <w:t>c</w:t>
      </w:r>
      <w:r w:rsidR="009D349F" w:rsidRPr="00B6592E">
        <w:t>onference; thanking the Government of Georgia for hosting the Conference (maximum length, a quarter of a page).</w:t>
      </w:r>
    </w:p>
    <w:p w:rsidR="009D349F" w:rsidRPr="00B6592E" w:rsidRDefault="009D349F" w:rsidP="009D349F">
      <w:pPr>
        <w:pStyle w:val="SingleTxtG"/>
        <w:rPr>
          <w:bCs/>
          <w:iCs/>
        </w:rPr>
      </w:pPr>
      <w:r w:rsidRPr="00B6592E">
        <w:t>12.</w:t>
      </w:r>
      <w:r w:rsidRPr="00B6592E">
        <w:tab/>
        <w:t>A draft of the agreed outcome will be developed by CEP</w:t>
      </w:r>
      <w:r w:rsidR="00FD2937" w:rsidRPr="00B6592E">
        <w:t xml:space="preserve"> at its twenty-first </w:t>
      </w:r>
      <w:r w:rsidR="00697BD3">
        <w:t xml:space="preserve">session </w:t>
      </w:r>
      <w:r w:rsidR="00FD2937" w:rsidRPr="00B6592E">
        <w:t xml:space="preserve">and </w:t>
      </w:r>
      <w:r w:rsidR="00697BD3">
        <w:t xml:space="preserve">its </w:t>
      </w:r>
      <w:r w:rsidR="00FD2937" w:rsidRPr="00B6592E">
        <w:t xml:space="preserve">special session in February 2016 </w:t>
      </w:r>
      <w:r w:rsidRPr="00B6592E">
        <w:t>and submitted to the Conference for adoption</w:t>
      </w:r>
      <w:r w:rsidRPr="00B6592E">
        <w:rPr>
          <w:bCs/>
          <w:iCs/>
        </w:rPr>
        <w:t>.</w:t>
      </w:r>
      <w:r w:rsidR="00BC234D" w:rsidRPr="00B6592E">
        <w:rPr>
          <w:bCs/>
          <w:iCs/>
        </w:rPr>
        <w:t xml:space="preserve"> The CEP Bureau requested support </w:t>
      </w:r>
      <w:r w:rsidR="005E77EE">
        <w:rPr>
          <w:bCs/>
          <w:iCs/>
        </w:rPr>
        <w:t xml:space="preserve">from </w:t>
      </w:r>
      <w:r w:rsidR="00BC234D" w:rsidRPr="00B6592E">
        <w:rPr>
          <w:bCs/>
          <w:iCs/>
        </w:rPr>
        <w:t xml:space="preserve">the ECE secretariat in preparing </w:t>
      </w:r>
      <w:r w:rsidR="002B47F7">
        <w:rPr>
          <w:bCs/>
          <w:iCs/>
        </w:rPr>
        <w:t xml:space="preserve">possible elements for </w:t>
      </w:r>
      <w:r w:rsidR="00BC234D" w:rsidRPr="00F2401E">
        <w:rPr>
          <w:bCs/>
          <w:iCs/>
        </w:rPr>
        <w:t xml:space="preserve">a first draft of the </w:t>
      </w:r>
      <w:r w:rsidR="00AE1A11" w:rsidRPr="00F2401E">
        <w:rPr>
          <w:bCs/>
          <w:iCs/>
        </w:rPr>
        <w:t>m</w:t>
      </w:r>
      <w:r w:rsidR="00BC234D" w:rsidRPr="00F2401E">
        <w:rPr>
          <w:bCs/>
          <w:iCs/>
        </w:rPr>
        <w:t xml:space="preserve">inisterial </w:t>
      </w:r>
      <w:r w:rsidR="00AE1A11" w:rsidRPr="00F2401E">
        <w:rPr>
          <w:bCs/>
          <w:iCs/>
        </w:rPr>
        <w:t>d</w:t>
      </w:r>
      <w:r w:rsidR="00BC234D" w:rsidRPr="00F2401E">
        <w:rPr>
          <w:bCs/>
          <w:iCs/>
        </w:rPr>
        <w:t>eclaration to faci</w:t>
      </w:r>
      <w:r w:rsidR="00BC234D" w:rsidRPr="00B6592E">
        <w:rPr>
          <w:bCs/>
          <w:iCs/>
        </w:rPr>
        <w:t xml:space="preserve">litate the </w:t>
      </w:r>
      <w:r w:rsidR="005E77EE">
        <w:rPr>
          <w:bCs/>
          <w:iCs/>
        </w:rPr>
        <w:t>Committee’s task (see annex)</w:t>
      </w:r>
      <w:r w:rsidR="00027E08" w:rsidRPr="00B6592E">
        <w:rPr>
          <w:bCs/>
          <w:iCs/>
        </w:rPr>
        <w:t>.</w:t>
      </w:r>
      <w:r w:rsidR="00BC234D" w:rsidRPr="00B6592E">
        <w:rPr>
          <w:bCs/>
          <w:iCs/>
        </w:rPr>
        <w:t xml:space="preserve"> </w:t>
      </w:r>
    </w:p>
    <w:p w:rsidR="009D349F" w:rsidRPr="00B6592E" w:rsidRDefault="009D349F" w:rsidP="009D349F">
      <w:pPr>
        <w:pStyle w:val="SingleTxtG"/>
        <w:rPr>
          <w:bCs/>
          <w:iCs/>
        </w:rPr>
      </w:pPr>
      <w:r w:rsidRPr="00B6592E">
        <w:rPr>
          <w:bCs/>
          <w:iCs/>
        </w:rPr>
        <w:t>13.</w:t>
      </w:r>
      <w:r w:rsidRPr="00B6592E">
        <w:rPr>
          <w:bCs/>
          <w:iCs/>
        </w:rPr>
        <w:tab/>
        <w:t>In this context, it should be emphasi</w:t>
      </w:r>
      <w:r w:rsidR="005E77EE">
        <w:rPr>
          <w:bCs/>
          <w:iCs/>
        </w:rPr>
        <w:t>z</w:t>
      </w:r>
      <w:r w:rsidRPr="00B6592E">
        <w:rPr>
          <w:bCs/>
          <w:iCs/>
        </w:rPr>
        <w:t>ed that progress in implementing the main outcomes of the Conference will be reviewed during the mid-term review of the Batumi Conference to be organized by CEP about two years after the Conference (e.g.</w:t>
      </w:r>
      <w:r w:rsidR="00CD66C1">
        <w:rPr>
          <w:bCs/>
          <w:iCs/>
        </w:rPr>
        <w:t>,</w:t>
      </w:r>
      <w:r w:rsidRPr="00B6592E">
        <w:rPr>
          <w:bCs/>
          <w:iCs/>
        </w:rPr>
        <w:t xml:space="preserve"> in 2018)</w:t>
      </w:r>
      <w:r w:rsidR="00AE1A11">
        <w:rPr>
          <w:bCs/>
          <w:iCs/>
        </w:rPr>
        <w:t>,</w:t>
      </w:r>
      <w:r w:rsidRPr="00B6592E">
        <w:rPr>
          <w:bCs/>
          <w:iCs/>
        </w:rPr>
        <w:t xml:space="preserve"> </w:t>
      </w:r>
      <w:r w:rsidRPr="00B6592E">
        <w:rPr>
          <w:bCs/>
          <w:iCs/>
        </w:rPr>
        <w:lastRenderedPageBreak/>
        <w:t>tak</w:t>
      </w:r>
      <w:r w:rsidR="00CD66C1">
        <w:rPr>
          <w:bCs/>
          <w:iCs/>
        </w:rPr>
        <w:t>ing</w:t>
      </w:r>
      <w:r w:rsidRPr="00B6592E">
        <w:rPr>
          <w:bCs/>
          <w:iCs/>
        </w:rPr>
        <w:t xml:space="preserve"> into account the lessons learned from the mid-term review of the Astana Conference</w:t>
      </w:r>
      <w:r w:rsidR="00CD66C1">
        <w:rPr>
          <w:bCs/>
          <w:iCs/>
        </w:rPr>
        <w:t xml:space="preserve"> (</w:t>
      </w:r>
      <w:r w:rsidR="000F1116" w:rsidRPr="000F1116">
        <w:rPr>
          <w:bCs/>
          <w:iCs/>
        </w:rPr>
        <w:t>ECE/CEP/2014/10</w:t>
      </w:r>
      <w:r w:rsidR="000F1116">
        <w:rPr>
          <w:bCs/>
          <w:iCs/>
        </w:rPr>
        <w:t>)</w:t>
      </w:r>
      <w:r w:rsidR="00CD66C1">
        <w:rPr>
          <w:bCs/>
          <w:iCs/>
        </w:rPr>
        <w:t>.</w:t>
      </w:r>
      <w:r w:rsidRPr="00B6592E">
        <w:rPr>
          <w:rStyle w:val="FootnoteReference"/>
          <w:bCs/>
          <w:iCs/>
        </w:rPr>
        <w:footnoteReference w:id="3"/>
      </w:r>
      <w:r w:rsidRPr="00B6592E">
        <w:rPr>
          <w:bCs/>
          <w:iCs/>
        </w:rPr>
        <w:t xml:space="preserve"> </w:t>
      </w:r>
    </w:p>
    <w:p w:rsidR="009D349F" w:rsidRPr="00B6592E" w:rsidRDefault="009D349F" w:rsidP="009D349F">
      <w:pPr>
        <w:pStyle w:val="H1G"/>
        <w:rPr>
          <w:bCs/>
          <w:iCs/>
        </w:rPr>
      </w:pPr>
      <w:r w:rsidRPr="00B6592E">
        <w:tab/>
        <w:t>B.</w:t>
      </w:r>
      <w:r w:rsidRPr="00B6592E">
        <w:tab/>
        <w:t xml:space="preserve">Statement on </w:t>
      </w:r>
      <w:r w:rsidR="00F9282A" w:rsidRPr="00B6592E">
        <w:t xml:space="preserve">education </w:t>
      </w:r>
      <w:r w:rsidRPr="00B6592E">
        <w:t xml:space="preserve">for </w:t>
      </w:r>
      <w:r w:rsidR="00F9282A" w:rsidRPr="00B6592E">
        <w:t>sustainable development</w:t>
      </w:r>
    </w:p>
    <w:p w:rsidR="009D349F" w:rsidRPr="00B6592E" w:rsidRDefault="009D349F" w:rsidP="009D349F">
      <w:pPr>
        <w:pStyle w:val="SingleTxtG"/>
        <w:rPr>
          <w:bCs/>
          <w:iCs/>
        </w:rPr>
      </w:pPr>
      <w:r w:rsidRPr="00B6592E">
        <w:rPr>
          <w:bCs/>
          <w:iCs/>
        </w:rPr>
        <w:t>14.</w:t>
      </w:r>
      <w:r w:rsidRPr="00B6592E">
        <w:rPr>
          <w:bCs/>
          <w:iCs/>
        </w:rPr>
        <w:tab/>
      </w:r>
      <w:r w:rsidR="00DA371E" w:rsidRPr="00B6592E">
        <w:rPr>
          <w:bCs/>
          <w:iCs/>
        </w:rPr>
        <w:t>The H</w:t>
      </w:r>
      <w:r w:rsidR="0025748D" w:rsidRPr="00B6592E">
        <w:t xml:space="preserve">igh-level </w:t>
      </w:r>
      <w:r w:rsidR="001F7E40" w:rsidRPr="00B6592E">
        <w:t>M</w:t>
      </w:r>
      <w:r w:rsidR="0025748D" w:rsidRPr="00B6592E">
        <w:t xml:space="preserve">eeting of </w:t>
      </w:r>
      <w:r w:rsidR="001F7E40" w:rsidRPr="00B6592E">
        <w:t>E</w:t>
      </w:r>
      <w:r w:rsidR="0025748D" w:rsidRPr="00B6592E">
        <w:t xml:space="preserve">ducation and </w:t>
      </w:r>
      <w:r w:rsidR="001F7E40" w:rsidRPr="00B6592E">
        <w:t>E</w:t>
      </w:r>
      <w:r w:rsidR="0025748D" w:rsidRPr="00B6592E">
        <w:t xml:space="preserve">nvironment </w:t>
      </w:r>
      <w:r w:rsidR="001F7E40" w:rsidRPr="00B6592E">
        <w:t>M</w:t>
      </w:r>
      <w:r w:rsidR="0025748D" w:rsidRPr="00B6592E">
        <w:t>inistries</w:t>
      </w:r>
      <w:r w:rsidRPr="00B6592E">
        <w:rPr>
          <w:bCs/>
          <w:iCs/>
        </w:rPr>
        <w:t xml:space="preserve">, which is being organized </w:t>
      </w:r>
      <w:r w:rsidR="003C4055" w:rsidRPr="00B6592E">
        <w:rPr>
          <w:bCs/>
          <w:iCs/>
        </w:rPr>
        <w:t xml:space="preserve">in the framework of </w:t>
      </w:r>
      <w:r w:rsidRPr="00B6592E">
        <w:rPr>
          <w:bCs/>
          <w:iCs/>
        </w:rPr>
        <w:t xml:space="preserve">the Conference, might culminate in a separate </w:t>
      </w:r>
      <w:r w:rsidR="00BA1766">
        <w:rPr>
          <w:bCs/>
          <w:iCs/>
        </w:rPr>
        <w:t xml:space="preserve">Batumi Ministerial </w:t>
      </w:r>
      <w:r w:rsidRPr="00B6592E">
        <w:rPr>
          <w:bCs/>
          <w:iCs/>
        </w:rPr>
        <w:t xml:space="preserve">Statement on </w:t>
      </w:r>
      <w:r w:rsidR="00BA1766">
        <w:rPr>
          <w:bCs/>
          <w:iCs/>
        </w:rPr>
        <w:t>Education for Sustainable Development</w:t>
      </w:r>
      <w:r w:rsidRPr="00B6592E">
        <w:rPr>
          <w:bCs/>
          <w:iCs/>
        </w:rPr>
        <w:t xml:space="preserve"> to be adopted </w:t>
      </w:r>
      <w:r w:rsidR="001F7E40" w:rsidRPr="00B6592E">
        <w:rPr>
          <w:bCs/>
          <w:iCs/>
        </w:rPr>
        <w:t>during that segment of the Conference</w:t>
      </w:r>
      <w:r w:rsidRPr="00B6592E">
        <w:rPr>
          <w:bCs/>
          <w:iCs/>
        </w:rPr>
        <w:t xml:space="preserve">. </w:t>
      </w:r>
    </w:p>
    <w:p w:rsidR="009D349F" w:rsidRPr="00B6592E" w:rsidRDefault="009D349F" w:rsidP="009D349F">
      <w:pPr>
        <w:pStyle w:val="SingleTxtG"/>
      </w:pPr>
      <w:r w:rsidRPr="00B6592E">
        <w:rPr>
          <w:bCs/>
          <w:iCs/>
        </w:rPr>
        <w:t>15.</w:t>
      </w:r>
      <w:r w:rsidRPr="00B6592E">
        <w:rPr>
          <w:bCs/>
          <w:iCs/>
        </w:rPr>
        <w:tab/>
      </w:r>
      <w:r w:rsidR="00AC7089">
        <w:rPr>
          <w:bCs/>
          <w:iCs/>
        </w:rPr>
        <w:t>A</w:t>
      </w:r>
      <w:r w:rsidRPr="00B6592E">
        <w:rPr>
          <w:bCs/>
          <w:iCs/>
        </w:rPr>
        <w:t xml:space="preserve"> </w:t>
      </w:r>
      <w:r w:rsidR="00AC7089">
        <w:rPr>
          <w:bCs/>
          <w:iCs/>
        </w:rPr>
        <w:t xml:space="preserve">draft </w:t>
      </w:r>
      <w:r w:rsidRPr="00B6592E">
        <w:rPr>
          <w:bCs/>
          <w:iCs/>
        </w:rPr>
        <w:t xml:space="preserve">statement </w:t>
      </w:r>
      <w:r w:rsidR="001F7E40" w:rsidRPr="00B6592E">
        <w:rPr>
          <w:bCs/>
          <w:iCs/>
        </w:rPr>
        <w:t>is being</w:t>
      </w:r>
      <w:r w:rsidRPr="00B6592E">
        <w:rPr>
          <w:bCs/>
          <w:iCs/>
        </w:rPr>
        <w:t xml:space="preserve"> prepared by the ECE Steering Committee on ESD and </w:t>
      </w:r>
      <w:r w:rsidR="001F7E40" w:rsidRPr="00B6592E">
        <w:rPr>
          <w:bCs/>
          <w:iCs/>
        </w:rPr>
        <w:t xml:space="preserve">will be </w:t>
      </w:r>
      <w:r w:rsidRPr="00B6592E">
        <w:rPr>
          <w:bCs/>
          <w:iCs/>
        </w:rPr>
        <w:t xml:space="preserve">submitted to the </w:t>
      </w:r>
      <w:r w:rsidR="001F7E40" w:rsidRPr="00B6592E">
        <w:t>High-level Meeting of Education and Environment Ministries</w:t>
      </w:r>
      <w:r w:rsidRPr="00B6592E">
        <w:rPr>
          <w:bCs/>
          <w:iCs/>
        </w:rPr>
        <w:t xml:space="preserve"> for adoption. CEP will be informed about developments in that regard.</w:t>
      </w:r>
      <w:r w:rsidR="003F7E34" w:rsidRPr="00B6592E">
        <w:rPr>
          <w:rStyle w:val="FootnoteReference"/>
          <w:bCs/>
          <w:iCs/>
        </w:rPr>
        <w:footnoteReference w:id="4"/>
      </w:r>
    </w:p>
    <w:p w:rsidR="009D349F" w:rsidRPr="00B6592E" w:rsidRDefault="009D349F" w:rsidP="009D349F">
      <w:pPr>
        <w:pStyle w:val="HChG"/>
      </w:pPr>
      <w:r w:rsidRPr="00B6592E">
        <w:tab/>
        <w:t>III.</w:t>
      </w:r>
      <w:r w:rsidRPr="00B6592E">
        <w:tab/>
        <w:t>Initiatives</w:t>
      </w:r>
      <w:r w:rsidR="0005765F" w:rsidRPr="00B6592E">
        <w:t xml:space="preserve">, </w:t>
      </w:r>
      <w:r w:rsidRPr="00B6592E">
        <w:t xml:space="preserve">policy tools </w:t>
      </w:r>
      <w:r w:rsidR="0005765F" w:rsidRPr="00B6592E">
        <w:t>and assessments</w:t>
      </w:r>
    </w:p>
    <w:p w:rsidR="00B163A2" w:rsidRPr="00B6592E" w:rsidRDefault="00C2028C" w:rsidP="00101381">
      <w:pPr>
        <w:pStyle w:val="H1G"/>
      </w:pPr>
      <w:r w:rsidRPr="00B6592E">
        <w:tab/>
        <w:t>A.</w:t>
      </w:r>
      <w:r w:rsidRPr="00B6592E">
        <w:tab/>
        <w:t>Getting the pan-European region ready for sustainable development</w:t>
      </w:r>
      <w:r w:rsidR="00E328BF" w:rsidRPr="00B6592E">
        <w:t>: k</w:t>
      </w:r>
      <w:r w:rsidR="00B163A2" w:rsidRPr="00B6592E">
        <w:t>eeping the pan-European environment under review</w:t>
      </w:r>
    </w:p>
    <w:p w:rsidR="00E73359" w:rsidRPr="00B6592E" w:rsidRDefault="00E73359" w:rsidP="00101381">
      <w:pPr>
        <w:pStyle w:val="H23G"/>
        <w:rPr>
          <w:bCs/>
          <w:iCs/>
        </w:rPr>
      </w:pPr>
      <w:r w:rsidRPr="00B6592E">
        <w:tab/>
        <w:t>1.</w:t>
      </w:r>
      <w:r w:rsidRPr="00B6592E">
        <w:tab/>
        <w:t>Shap</w:t>
      </w:r>
      <w:r w:rsidR="00C321C6" w:rsidRPr="00B6592E">
        <w:t>e and organization of</w:t>
      </w:r>
      <w:r w:rsidRPr="00B6592E">
        <w:t xml:space="preserve"> the regular </w:t>
      </w:r>
      <w:r w:rsidR="00C321C6" w:rsidRPr="00B6592E">
        <w:t xml:space="preserve">environmental </w:t>
      </w:r>
      <w:r w:rsidRPr="00B6592E">
        <w:t xml:space="preserve">assessment </w:t>
      </w:r>
      <w:r w:rsidR="00C321C6" w:rsidRPr="00B6592E">
        <w:t xml:space="preserve">process </w:t>
      </w:r>
      <w:r w:rsidRPr="00B6592E">
        <w:t xml:space="preserve">based on the Shared Environmental Information System </w:t>
      </w:r>
      <w:r w:rsidR="00C321C6" w:rsidRPr="00B6592E">
        <w:t>in the pan-European region</w:t>
      </w:r>
    </w:p>
    <w:p w:rsidR="00E73359" w:rsidRPr="00B6592E" w:rsidRDefault="00194B30" w:rsidP="00E73359">
      <w:pPr>
        <w:pStyle w:val="SingleTxtG"/>
        <w:rPr>
          <w:bCs/>
          <w:iCs/>
        </w:rPr>
      </w:pPr>
      <w:r w:rsidRPr="00B6592E">
        <w:rPr>
          <w:bCs/>
          <w:iCs/>
        </w:rPr>
        <w:t>1</w:t>
      </w:r>
      <w:r w:rsidR="00E73359" w:rsidRPr="00B6592E">
        <w:rPr>
          <w:bCs/>
          <w:iCs/>
        </w:rPr>
        <w:t>6.</w:t>
      </w:r>
      <w:r w:rsidR="00E73359" w:rsidRPr="00B6592E">
        <w:rPr>
          <w:bCs/>
          <w:iCs/>
        </w:rPr>
        <w:tab/>
        <w:t xml:space="preserve">Following up </w:t>
      </w:r>
      <w:r w:rsidR="00AE1A11">
        <w:rPr>
          <w:bCs/>
          <w:iCs/>
        </w:rPr>
        <w:t xml:space="preserve">on </w:t>
      </w:r>
      <w:r w:rsidR="00E73359" w:rsidRPr="00B6592E">
        <w:rPr>
          <w:bCs/>
          <w:iCs/>
        </w:rPr>
        <w:t xml:space="preserve">the commitment of Ministers in Astana to establish a regular process of environmental assessment and to develop </w:t>
      </w:r>
      <w:r w:rsidR="00E73359" w:rsidRPr="00B6592E">
        <w:t xml:space="preserve">SEIS across the region, an evaluation report in that regard will be prepared for the Batumi Conference. The report </w:t>
      </w:r>
      <w:r w:rsidR="008A6DEB">
        <w:t xml:space="preserve">will </w:t>
      </w:r>
      <w:r w:rsidR="00E73359" w:rsidRPr="00B6592E">
        <w:t>comprise two sections</w:t>
      </w:r>
      <w:r w:rsidR="008A6DEB">
        <w:t>:</w:t>
      </w:r>
      <w:r w:rsidR="008572E8" w:rsidRPr="00B6592E">
        <w:rPr>
          <w:rStyle w:val="FootnoteReference"/>
        </w:rPr>
        <w:footnoteReference w:id="5"/>
      </w:r>
      <w:r w:rsidR="00E73359" w:rsidRPr="00B6592E">
        <w:t xml:space="preserve"> (a) a model for the regular process of environmental assessment</w:t>
      </w:r>
      <w:r w:rsidR="00974981" w:rsidRPr="00B6592E">
        <w:t xml:space="preserve"> to be agreed by CEP before the Conference</w:t>
      </w:r>
      <w:r w:rsidR="00E73359" w:rsidRPr="00B6592E">
        <w:t>;</w:t>
      </w:r>
      <w:r w:rsidR="00974981" w:rsidRPr="00B6592E">
        <w:t xml:space="preserve"> and</w:t>
      </w:r>
      <w:r w:rsidR="00E73359" w:rsidRPr="00B6592E">
        <w:t xml:space="preserve"> (b) </w:t>
      </w:r>
      <w:r w:rsidR="00DD5691">
        <w:t xml:space="preserve">an </w:t>
      </w:r>
      <w:r w:rsidR="00E73359" w:rsidRPr="00B6592E">
        <w:t>assess</w:t>
      </w:r>
      <w:r w:rsidR="00DD5691">
        <w:t>ment of</w:t>
      </w:r>
      <w:r w:rsidR="00E73359" w:rsidRPr="00B6592E">
        <w:t xml:space="preserve"> progress in developing SEIS across the region</w:t>
      </w:r>
      <w:r w:rsidR="00AE1A11">
        <w:t xml:space="preserve">, </w:t>
      </w:r>
      <w:r w:rsidR="00E73359" w:rsidRPr="00B6592E">
        <w:t>based on the adopted SEIS targets and performance indicators</w:t>
      </w:r>
      <w:r w:rsidR="00DD5691">
        <w:t xml:space="preserve"> (</w:t>
      </w:r>
      <w:r w:rsidR="00DE40B1" w:rsidRPr="00B6592E">
        <w:t>ECE/CEP/2014/8</w:t>
      </w:r>
      <w:r w:rsidR="00E73359" w:rsidRPr="00B6592E">
        <w:t xml:space="preserve">). </w:t>
      </w:r>
    </w:p>
    <w:p w:rsidR="00E73359" w:rsidRPr="00B6592E" w:rsidRDefault="00194B30" w:rsidP="00E73359">
      <w:pPr>
        <w:pStyle w:val="SingleTxtG"/>
      </w:pPr>
      <w:r w:rsidRPr="00A20D21">
        <w:t>1</w:t>
      </w:r>
      <w:r w:rsidR="00E73359" w:rsidRPr="00A20D21">
        <w:t>7.</w:t>
      </w:r>
      <w:r w:rsidR="00E73359" w:rsidRPr="00B6592E">
        <w:tab/>
        <w:t xml:space="preserve">CEP mandated its Working Group on Environmental Monitoring and Assessment to prepare the progress report </w:t>
      </w:r>
      <w:r w:rsidR="00DD5691">
        <w:t>o</w:t>
      </w:r>
      <w:r w:rsidR="00E73359" w:rsidRPr="00B6592E">
        <w:t>n developing SEIS. At the same time, t</w:t>
      </w:r>
      <w:r w:rsidR="008C1140" w:rsidRPr="00B6592E">
        <w:t xml:space="preserve">he </w:t>
      </w:r>
      <w:r w:rsidR="00E73359" w:rsidRPr="00B6592E">
        <w:t xml:space="preserve">shape </w:t>
      </w:r>
      <w:r w:rsidR="00044B82" w:rsidRPr="00B6592E">
        <w:t xml:space="preserve">and organization </w:t>
      </w:r>
      <w:r w:rsidR="00E73359" w:rsidRPr="00B6592E">
        <w:t xml:space="preserve">of the regular process of environmental assessment </w:t>
      </w:r>
      <w:r w:rsidR="00DD5691">
        <w:t xml:space="preserve">has been </w:t>
      </w:r>
      <w:r w:rsidR="00E73359" w:rsidRPr="00B6592E">
        <w:t xml:space="preserve">developed by the Group of Friends of SEIS </w:t>
      </w:r>
      <w:r w:rsidR="00A20D21">
        <w:t>(ECE/CEP/2015/</w:t>
      </w:r>
      <w:r w:rsidR="004E5FC3">
        <w:t>10</w:t>
      </w:r>
      <w:r w:rsidR="00A20D21">
        <w:t xml:space="preserve">) </w:t>
      </w:r>
      <w:r w:rsidR="00E73359" w:rsidRPr="00B6592E">
        <w:t xml:space="preserve">for consideration by CEP </w:t>
      </w:r>
      <w:r w:rsidR="00A20D21">
        <w:t xml:space="preserve">at its present session </w:t>
      </w:r>
      <w:r w:rsidR="00E73359" w:rsidRPr="00B6592E">
        <w:t xml:space="preserve">and </w:t>
      </w:r>
      <w:r w:rsidR="00CC6B02">
        <w:t xml:space="preserve">a </w:t>
      </w:r>
      <w:r w:rsidR="00E73359" w:rsidRPr="00B6592E">
        <w:t xml:space="preserve">subsequent decision regarding </w:t>
      </w:r>
      <w:r w:rsidR="00A20D21">
        <w:t xml:space="preserve">its </w:t>
      </w:r>
      <w:r w:rsidR="00E73359" w:rsidRPr="00B6592E">
        <w:t>present</w:t>
      </w:r>
      <w:r w:rsidR="00A20D21">
        <w:t>ation</w:t>
      </w:r>
      <w:r w:rsidR="00E73359" w:rsidRPr="00B6592E">
        <w:t xml:space="preserve"> at the Batumi </w:t>
      </w:r>
      <w:r w:rsidR="006C289B" w:rsidRPr="00B6592E">
        <w:t xml:space="preserve">Ministerial </w:t>
      </w:r>
      <w:r w:rsidR="00E73359" w:rsidRPr="00B6592E">
        <w:t xml:space="preserve">Conference.  </w:t>
      </w:r>
    </w:p>
    <w:p w:rsidR="00E73359" w:rsidRPr="00B6592E" w:rsidRDefault="00194B30" w:rsidP="00E73359">
      <w:pPr>
        <w:pStyle w:val="SingleTxtG"/>
      </w:pPr>
      <w:r w:rsidRPr="00B6592E">
        <w:t>1</w:t>
      </w:r>
      <w:r w:rsidR="00E73359" w:rsidRPr="00B6592E">
        <w:t>8.</w:t>
      </w:r>
      <w:r w:rsidR="00E73359" w:rsidRPr="00B6592E">
        <w:tab/>
        <w:t xml:space="preserve">Launching the SEIS-based regular process of environmental assessment in the pan-European region could be envisaged </w:t>
      </w:r>
      <w:r w:rsidR="008C1140" w:rsidRPr="00B6592E">
        <w:t>during</w:t>
      </w:r>
      <w:r w:rsidR="00E73359" w:rsidRPr="00B6592E">
        <w:t xml:space="preserve"> the Conference</w:t>
      </w:r>
      <w:r w:rsidR="00A20D21">
        <w:t>,</w:t>
      </w:r>
      <w:r w:rsidR="00E73359" w:rsidRPr="00B6592E">
        <w:t xml:space="preserve"> </w:t>
      </w:r>
      <w:r w:rsidR="008C1140" w:rsidRPr="00B6592E">
        <w:t xml:space="preserve">as well as on the margins of the Conference </w:t>
      </w:r>
      <w:r w:rsidR="00E73359" w:rsidRPr="00B6592E">
        <w:t xml:space="preserve">as a promotional event.  </w:t>
      </w:r>
    </w:p>
    <w:p w:rsidR="00E73359" w:rsidRPr="00B6592E" w:rsidRDefault="00E73359" w:rsidP="00101381">
      <w:pPr>
        <w:pStyle w:val="H23G"/>
        <w:rPr>
          <w:bCs/>
          <w:iCs/>
        </w:rPr>
      </w:pPr>
      <w:r w:rsidRPr="00B6592E">
        <w:tab/>
        <w:t>2.</w:t>
      </w:r>
      <w:r w:rsidRPr="00B6592E">
        <w:tab/>
      </w:r>
      <w:r w:rsidR="00F63821" w:rsidRPr="00B6592E">
        <w:t xml:space="preserve">Sixth </w:t>
      </w:r>
      <w:r w:rsidRPr="00B6592E">
        <w:t>Global Environment Outlook:</w:t>
      </w:r>
      <w:r w:rsidR="005C3D62" w:rsidRPr="00B6592E">
        <w:t xml:space="preserve"> regional component for the </w:t>
      </w:r>
      <w:r w:rsidRPr="00B6592E">
        <w:t xml:space="preserve">European region  </w:t>
      </w:r>
    </w:p>
    <w:p w:rsidR="00E73359" w:rsidRPr="00B6592E" w:rsidRDefault="00A42D0E" w:rsidP="00E73359">
      <w:pPr>
        <w:pStyle w:val="SingleTxtG"/>
        <w:rPr>
          <w:bCs/>
          <w:iCs/>
        </w:rPr>
      </w:pPr>
      <w:r w:rsidRPr="00B6592E">
        <w:rPr>
          <w:bCs/>
          <w:iCs/>
        </w:rPr>
        <w:t>19</w:t>
      </w:r>
      <w:r w:rsidR="00E73359" w:rsidRPr="00B6592E">
        <w:rPr>
          <w:bCs/>
          <w:iCs/>
        </w:rPr>
        <w:t>.</w:t>
      </w:r>
      <w:r w:rsidR="00E73359" w:rsidRPr="00B6592E">
        <w:rPr>
          <w:bCs/>
          <w:iCs/>
        </w:rPr>
        <w:tab/>
        <w:t xml:space="preserve">The </w:t>
      </w:r>
      <w:r w:rsidR="00F63821" w:rsidRPr="00B6592E">
        <w:rPr>
          <w:bCs/>
          <w:iCs/>
        </w:rPr>
        <w:t>Sixth</w:t>
      </w:r>
      <w:r w:rsidR="00E73359" w:rsidRPr="00B6592E">
        <w:rPr>
          <w:bCs/>
          <w:iCs/>
        </w:rPr>
        <w:t xml:space="preserve"> Global Environment Outlook</w:t>
      </w:r>
      <w:r w:rsidR="00F63821" w:rsidRPr="00B6592E">
        <w:rPr>
          <w:bCs/>
          <w:iCs/>
        </w:rPr>
        <w:t xml:space="preserve"> (GEO-6)</w:t>
      </w:r>
      <w:r w:rsidR="00E73359" w:rsidRPr="00B6592E">
        <w:rPr>
          <w:bCs/>
          <w:iCs/>
        </w:rPr>
        <w:t xml:space="preserve"> is under development by UNEP </w:t>
      </w:r>
      <w:r w:rsidR="00CC6B02">
        <w:rPr>
          <w:bCs/>
          <w:iCs/>
        </w:rPr>
        <w:t xml:space="preserve">and will be </w:t>
      </w:r>
      <w:r w:rsidR="00E73359" w:rsidRPr="00B6592E">
        <w:rPr>
          <w:bCs/>
          <w:iCs/>
        </w:rPr>
        <w:t xml:space="preserve">launched in 2018. </w:t>
      </w:r>
      <w:r w:rsidR="00A20D21">
        <w:rPr>
          <w:bCs/>
          <w:iCs/>
        </w:rPr>
        <w:t>T</w:t>
      </w:r>
      <w:r w:rsidR="00CC6B02">
        <w:rPr>
          <w:bCs/>
          <w:iCs/>
        </w:rPr>
        <w:t xml:space="preserve">he </w:t>
      </w:r>
      <w:r w:rsidR="00E73359" w:rsidRPr="00B6592E">
        <w:rPr>
          <w:bCs/>
          <w:iCs/>
        </w:rPr>
        <w:t xml:space="preserve">regional component </w:t>
      </w:r>
      <w:r w:rsidR="00CC6B02">
        <w:rPr>
          <w:bCs/>
          <w:iCs/>
        </w:rPr>
        <w:t xml:space="preserve">of GEO-6 </w:t>
      </w:r>
      <w:r w:rsidR="00E73359" w:rsidRPr="00B6592E">
        <w:rPr>
          <w:bCs/>
          <w:iCs/>
        </w:rPr>
        <w:t xml:space="preserve">covering the European region is </w:t>
      </w:r>
      <w:r w:rsidR="00CC6B02">
        <w:rPr>
          <w:bCs/>
          <w:iCs/>
        </w:rPr>
        <w:t xml:space="preserve">expected </w:t>
      </w:r>
      <w:r w:rsidR="00E73359" w:rsidRPr="00B6592E">
        <w:rPr>
          <w:bCs/>
          <w:iCs/>
        </w:rPr>
        <w:t xml:space="preserve">to be launched in 2016 and could serve as a valuable contribution to the </w:t>
      </w:r>
      <w:r w:rsidR="00E73359" w:rsidRPr="00B6592E">
        <w:rPr>
          <w:bCs/>
          <w:iCs/>
        </w:rPr>
        <w:lastRenderedPageBreak/>
        <w:t>Batumi discussions. The European regional GEO-6 will build on exis</w:t>
      </w:r>
      <w:r w:rsidR="004E7DC4" w:rsidRPr="00B6592E">
        <w:rPr>
          <w:bCs/>
          <w:iCs/>
        </w:rPr>
        <w:t xml:space="preserve">ting assessments, including </w:t>
      </w:r>
      <w:r w:rsidR="004E7DC4" w:rsidRPr="008C2531">
        <w:rPr>
          <w:bCs/>
          <w:i/>
          <w:iCs/>
        </w:rPr>
        <w:t xml:space="preserve">The European environment </w:t>
      </w:r>
      <w:r w:rsidR="000F3F0F">
        <w:rPr>
          <w:bCs/>
          <w:i/>
          <w:iCs/>
        </w:rPr>
        <w:t>—</w:t>
      </w:r>
      <w:r w:rsidR="004E7DC4" w:rsidRPr="008C2531">
        <w:rPr>
          <w:bCs/>
          <w:i/>
          <w:iCs/>
        </w:rPr>
        <w:t xml:space="preserve"> state and outlook 2015 report </w:t>
      </w:r>
      <w:r w:rsidR="00E73359" w:rsidRPr="00B6592E">
        <w:rPr>
          <w:bCs/>
          <w:iCs/>
        </w:rPr>
        <w:t>(SOER</w:t>
      </w:r>
      <w:r w:rsidR="004E7DC4" w:rsidRPr="00B6592E">
        <w:rPr>
          <w:bCs/>
          <w:iCs/>
        </w:rPr>
        <w:t xml:space="preserve"> 2015</w:t>
      </w:r>
      <w:r w:rsidR="00295907" w:rsidRPr="00B6592E">
        <w:rPr>
          <w:bCs/>
          <w:iCs/>
        </w:rPr>
        <w:t xml:space="preserve">) </w:t>
      </w:r>
      <w:r w:rsidR="00E73359" w:rsidRPr="00B6592E">
        <w:rPr>
          <w:bCs/>
          <w:iCs/>
        </w:rPr>
        <w:t xml:space="preserve">produced by </w:t>
      </w:r>
      <w:r w:rsidR="000F3F0F">
        <w:rPr>
          <w:bCs/>
          <w:iCs/>
        </w:rPr>
        <w:t>the European Environment Agency (</w:t>
      </w:r>
      <w:r w:rsidR="00E73359" w:rsidRPr="00B6592E">
        <w:rPr>
          <w:bCs/>
          <w:iCs/>
        </w:rPr>
        <w:t>EEA</w:t>
      </w:r>
      <w:r w:rsidR="000F3F0F">
        <w:rPr>
          <w:bCs/>
          <w:iCs/>
        </w:rPr>
        <w:t>)</w:t>
      </w:r>
      <w:r w:rsidR="00E73359" w:rsidRPr="00B6592E">
        <w:rPr>
          <w:bCs/>
          <w:iCs/>
        </w:rPr>
        <w:t xml:space="preserve"> in 2015. </w:t>
      </w:r>
    </w:p>
    <w:p w:rsidR="00E73359" w:rsidRPr="00B6592E" w:rsidRDefault="00F9529B" w:rsidP="00E73359">
      <w:pPr>
        <w:pStyle w:val="SingleTxtG"/>
        <w:rPr>
          <w:bCs/>
          <w:iCs/>
        </w:rPr>
      </w:pPr>
      <w:r w:rsidRPr="00B6592E">
        <w:rPr>
          <w:bCs/>
          <w:iCs/>
        </w:rPr>
        <w:t>20</w:t>
      </w:r>
      <w:r w:rsidR="00E73359" w:rsidRPr="00B6592E">
        <w:rPr>
          <w:bCs/>
          <w:iCs/>
        </w:rPr>
        <w:t>.</w:t>
      </w:r>
      <w:r w:rsidR="00E73359" w:rsidRPr="00B6592E">
        <w:rPr>
          <w:bCs/>
          <w:iCs/>
        </w:rPr>
        <w:tab/>
        <w:t xml:space="preserve">In addition, based on key findings of the European regional GEO-6, two policy briefs could be prepared for the Batumi </w:t>
      </w:r>
      <w:r w:rsidR="00295907" w:rsidRPr="00B6592E">
        <w:rPr>
          <w:bCs/>
          <w:iCs/>
        </w:rPr>
        <w:t xml:space="preserve">Ministerial </w:t>
      </w:r>
      <w:r w:rsidR="00E73359" w:rsidRPr="00B6592E">
        <w:rPr>
          <w:bCs/>
          <w:iCs/>
        </w:rPr>
        <w:t>Conference covering the green economy and the clean air themes. CEP could consider mandating its Working Group on Environmental Monitoring and Assessment to develop such policy briefs.</w:t>
      </w:r>
    </w:p>
    <w:p w:rsidR="00B163A2" w:rsidRPr="00B6592E" w:rsidRDefault="00F9529B" w:rsidP="00101381">
      <w:pPr>
        <w:pStyle w:val="SingleTxtG"/>
        <w:rPr>
          <w:bCs/>
          <w:iCs/>
        </w:rPr>
      </w:pPr>
      <w:r w:rsidRPr="00B6592E">
        <w:rPr>
          <w:bCs/>
          <w:iCs/>
        </w:rPr>
        <w:t>2</w:t>
      </w:r>
      <w:r w:rsidR="00E73359" w:rsidRPr="00B6592E">
        <w:rPr>
          <w:bCs/>
          <w:iCs/>
        </w:rPr>
        <w:t>1.</w:t>
      </w:r>
      <w:r w:rsidR="00E73359" w:rsidRPr="00B6592E">
        <w:rPr>
          <w:bCs/>
          <w:iCs/>
        </w:rPr>
        <w:tab/>
      </w:r>
      <w:proofErr w:type="gramStart"/>
      <w:r w:rsidR="00E73359" w:rsidRPr="00B6592E">
        <w:rPr>
          <w:bCs/>
          <w:iCs/>
        </w:rPr>
        <w:t>In</w:t>
      </w:r>
      <w:proofErr w:type="gramEnd"/>
      <w:r w:rsidR="00E73359" w:rsidRPr="00B6592E">
        <w:rPr>
          <w:bCs/>
          <w:iCs/>
        </w:rPr>
        <w:t xml:space="preserve"> that regard, the regional component of future GEOs could be considered for inclusion in the regular process of environmental assessment in the pan-Europe</w:t>
      </w:r>
      <w:r w:rsidR="000F3F0F">
        <w:rPr>
          <w:bCs/>
          <w:iCs/>
        </w:rPr>
        <w:t>an region</w:t>
      </w:r>
      <w:r w:rsidR="00E73359" w:rsidRPr="00B6592E">
        <w:rPr>
          <w:bCs/>
          <w:iCs/>
        </w:rPr>
        <w:t>, as a main input and output of EfE ministerial conferences to support the discussions on the state</w:t>
      </w:r>
      <w:r w:rsidR="000F3F0F">
        <w:rPr>
          <w:bCs/>
          <w:iCs/>
        </w:rPr>
        <w:t xml:space="preserve"> </w:t>
      </w:r>
      <w:r w:rsidR="00E73359" w:rsidRPr="00B6592E">
        <w:rPr>
          <w:bCs/>
          <w:iCs/>
        </w:rPr>
        <w:t>of</w:t>
      </w:r>
      <w:r w:rsidR="000F3F0F">
        <w:rPr>
          <w:bCs/>
          <w:iCs/>
        </w:rPr>
        <w:t xml:space="preserve"> </w:t>
      </w:r>
      <w:r w:rsidR="00E73359" w:rsidRPr="00B6592E">
        <w:rPr>
          <w:bCs/>
          <w:iCs/>
        </w:rPr>
        <w:t>the</w:t>
      </w:r>
      <w:r w:rsidR="000F3F0F">
        <w:rPr>
          <w:bCs/>
          <w:iCs/>
        </w:rPr>
        <w:t xml:space="preserve"> </w:t>
      </w:r>
      <w:r w:rsidR="00E73359" w:rsidRPr="00B6592E">
        <w:rPr>
          <w:bCs/>
          <w:iCs/>
        </w:rPr>
        <w:t xml:space="preserve">environment, as well as the development of policy briefs on the themes of the conferences.  </w:t>
      </w:r>
    </w:p>
    <w:p w:rsidR="00E328BF" w:rsidRPr="00B6592E" w:rsidRDefault="00E328BF" w:rsidP="00E328BF">
      <w:pPr>
        <w:pStyle w:val="H1G"/>
      </w:pPr>
      <w:r w:rsidRPr="00B6592E">
        <w:tab/>
        <w:t>B.</w:t>
      </w:r>
      <w:r w:rsidRPr="00B6592E">
        <w:tab/>
        <w:t>Getting the pan-European region ready for sustainable development: multilateral environmental agreements, mechanisms, policies and institutions supporting the post-2015 development agenda</w:t>
      </w:r>
    </w:p>
    <w:p w:rsidR="00C2028C" w:rsidRPr="00B6592E" w:rsidRDefault="00C2028C" w:rsidP="00C2028C">
      <w:pPr>
        <w:pStyle w:val="H23G"/>
        <w:rPr>
          <w:bCs/>
          <w:iCs/>
        </w:rPr>
      </w:pPr>
      <w:r w:rsidRPr="00B6592E">
        <w:tab/>
        <w:t>1.</w:t>
      </w:r>
      <w:r w:rsidRPr="00B6592E">
        <w:tab/>
        <w:t>E</w:t>
      </w:r>
      <w:r w:rsidR="001E6B8E" w:rsidRPr="00B6592E">
        <w:t xml:space="preserve">conomic </w:t>
      </w:r>
      <w:r w:rsidRPr="00B6592E">
        <w:t>C</w:t>
      </w:r>
      <w:r w:rsidR="001E6B8E" w:rsidRPr="00B6592E">
        <w:t xml:space="preserve">ommission for </w:t>
      </w:r>
      <w:r w:rsidRPr="00B6592E">
        <w:t>E</w:t>
      </w:r>
      <w:r w:rsidR="001E6B8E" w:rsidRPr="00B6592E">
        <w:t>urope</w:t>
      </w:r>
      <w:r w:rsidRPr="00B6592E">
        <w:t xml:space="preserve"> Environmental Performance Reviews </w:t>
      </w:r>
      <w:r w:rsidR="000F3F0F">
        <w:t>—</w:t>
      </w:r>
      <w:r w:rsidRPr="00B6592E">
        <w:t xml:space="preserve"> celebrating 20 years of success and getting ready to support the achievement of </w:t>
      </w:r>
      <w:r w:rsidR="000A0C29">
        <w:t xml:space="preserve">the </w:t>
      </w:r>
      <w:r w:rsidRPr="00B6592E">
        <w:t>S</w:t>
      </w:r>
      <w:r w:rsidR="001E6B8E" w:rsidRPr="00B6592E">
        <w:t xml:space="preserve">ustainable </w:t>
      </w:r>
      <w:r w:rsidRPr="00B6592E">
        <w:t>D</w:t>
      </w:r>
      <w:r w:rsidR="001E6B8E" w:rsidRPr="00B6592E">
        <w:t xml:space="preserve">evelopment </w:t>
      </w:r>
      <w:r w:rsidRPr="00B6592E">
        <w:t>G</w:t>
      </w:r>
      <w:r w:rsidR="001E6B8E" w:rsidRPr="00B6592E">
        <w:t>oals</w:t>
      </w:r>
      <w:r w:rsidRPr="00B6592E">
        <w:t xml:space="preserve">  </w:t>
      </w:r>
    </w:p>
    <w:p w:rsidR="00C2028C" w:rsidRPr="00B6592E" w:rsidRDefault="00C2028C" w:rsidP="00C2028C">
      <w:pPr>
        <w:pStyle w:val="SingleTxtG"/>
        <w:rPr>
          <w:bCs/>
          <w:iCs/>
        </w:rPr>
      </w:pPr>
      <w:r w:rsidRPr="00B6592E">
        <w:rPr>
          <w:bCs/>
          <w:iCs/>
        </w:rPr>
        <w:t>2</w:t>
      </w:r>
      <w:r w:rsidR="008C26F9" w:rsidRPr="00B6592E">
        <w:rPr>
          <w:bCs/>
          <w:iCs/>
        </w:rPr>
        <w:t>2</w:t>
      </w:r>
      <w:r w:rsidRPr="00B6592E">
        <w:rPr>
          <w:bCs/>
          <w:iCs/>
        </w:rPr>
        <w:t>.</w:t>
      </w:r>
      <w:r w:rsidRPr="00B6592E">
        <w:rPr>
          <w:bCs/>
          <w:iCs/>
        </w:rPr>
        <w:tab/>
        <w:t xml:space="preserve">In 2016, the ECE </w:t>
      </w:r>
      <w:r w:rsidR="000F3F0F">
        <w:rPr>
          <w:bCs/>
          <w:iCs/>
        </w:rPr>
        <w:t>Environmental Performance Review (</w:t>
      </w:r>
      <w:r w:rsidRPr="00B6592E">
        <w:rPr>
          <w:bCs/>
          <w:iCs/>
        </w:rPr>
        <w:t>EPR</w:t>
      </w:r>
      <w:r w:rsidR="000F3F0F">
        <w:rPr>
          <w:bCs/>
          <w:iCs/>
        </w:rPr>
        <w:t>)</w:t>
      </w:r>
      <w:r w:rsidRPr="00B6592E">
        <w:rPr>
          <w:bCs/>
          <w:iCs/>
        </w:rPr>
        <w:t xml:space="preserve"> Programme </w:t>
      </w:r>
      <w:r w:rsidR="000A0C29">
        <w:rPr>
          <w:bCs/>
          <w:iCs/>
        </w:rPr>
        <w:t xml:space="preserve">will </w:t>
      </w:r>
      <w:r w:rsidR="00900763">
        <w:rPr>
          <w:bCs/>
          <w:iCs/>
        </w:rPr>
        <w:t>celebrate its twentieth anniversary</w:t>
      </w:r>
      <w:r w:rsidRPr="00B6592E">
        <w:rPr>
          <w:bCs/>
          <w:iCs/>
        </w:rPr>
        <w:t xml:space="preserve">. Since 1996, 45 countries </w:t>
      </w:r>
      <w:r w:rsidR="00900763">
        <w:rPr>
          <w:bCs/>
          <w:iCs/>
        </w:rPr>
        <w:t xml:space="preserve">have </w:t>
      </w:r>
      <w:r w:rsidRPr="00B6592E">
        <w:rPr>
          <w:bCs/>
          <w:iCs/>
        </w:rPr>
        <w:t>participated in the Programme as reviewed countries and/or by providing experts and financial support. Twelve international organi</w:t>
      </w:r>
      <w:r w:rsidR="00900763">
        <w:rPr>
          <w:bCs/>
          <w:iCs/>
        </w:rPr>
        <w:t>z</w:t>
      </w:r>
      <w:r w:rsidRPr="00B6592E">
        <w:rPr>
          <w:bCs/>
          <w:iCs/>
        </w:rPr>
        <w:t xml:space="preserve">ations </w:t>
      </w:r>
      <w:r w:rsidR="00900763">
        <w:rPr>
          <w:bCs/>
          <w:iCs/>
        </w:rPr>
        <w:t xml:space="preserve">have </w:t>
      </w:r>
      <w:r w:rsidRPr="00B6592E">
        <w:rPr>
          <w:bCs/>
          <w:iCs/>
        </w:rPr>
        <w:t>provided their knowledge and expertise. Altogether</w:t>
      </w:r>
      <w:r w:rsidR="00900763">
        <w:rPr>
          <w:bCs/>
          <w:iCs/>
        </w:rPr>
        <w:t>,</w:t>
      </w:r>
      <w:r w:rsidRPr="00B6592E">
        <w:rPr>
          <w:bCs/>
          <w:iCs/>
        </w:rPr>
        <w:t xml:space="preserve"> 42 reviews </w:t>
      </w:r>
      <w:r w:rsidR="00900763">
        <w:rPr>
          <w:bCs/>
          <w:iCs/>
        </w:rPr>
        <w:t xml:space="preserve">have been </w:t>
      </w:r>
      <w:r w:rsidRPr="00B6592E">
        <w:rPr>
          <w:bCs/>
          <w:iCs/>
        </w:rPr>
        <w:t>produced in the three cycles of the Programme, with the third cycle now approaching its midpoint.</w:t>
      </w:r>
    </w:p>
    <w:p w:rsidR="00C2028C" w:rsidRPr="00B6592E" w:rsidRDefault="00C2028C" w:rsidP="00C2028C">
      <w:pPr>
        <w:pStyle w:val="SingleTxtG"/>
        <w:rPr>
          <w:bCs/>
          <w:iCs/>
        </w:rPr>
      </w:pPr>
      <w:r w:rsidRPr="00B6592E">
        <w:rPr>
          <w:bCs/>
          <w:iCs/>
        </w:rPr>
        <w:t>2</w:t>
      </w:r>
      <w:r w:rsidR="008C26F9" w:rsidRPr="00B6592E">
        <w:rPr>
          <w:bCs/>
          <w:iCs/>
        </w:rPr>
        <w:t>3</w:t>
      </w:r>
      <w:r w:rsidRPr="00B6592E">
        <w:rPr>
          <w:bCs/>
          <w:iCs/>
        </w:rPr>
        <w:t>.</w:t>
      </w:r>
      <w:r w:rsidRPr="00B6592E">
        <w:rPr>
          <w:bCs/>
          <w:iCs/>
        </w:rPr>
        <w:tab/>
        <w:t>A ceremony will be organi</w:t>
      </w:r>
      <w:r w:rsidR="00900763">
        <w:rPr>
          <w:bCs/>
          <w:iCs/>
        </w:rPr>
        <w:t>z</w:t>
      </w:r>
      <w:r w:rsidRPr="00B6592E">
        <w:rPr>
          <w:bCs/>
          <w:iCs/>
        </w:rPr>
        <w:t xml:space="preserve">ed to </w:t>
      </w:r>
      <w:r w:rsidR="00EC34F1">
        <w:rPr>
          <w:bCs/>
          <w:iCs/>
        </w:rPr>
        <w:t xml:space="preserve">celebrate </w:t>
      </w:r>
      <w:r w:rsidRPr="00B6592E">
        <w:rPr>
          <w:bCs/>
          <w:iCs/>
        </w:rPr>
        <w:t xml:space="preserve">the successes of the ECE EPR Programme </w:t>
      </w:r>
      <w:r w:rsidR="00EC34F1">
        <w:rPr>
          <w:bCs/>
          <w:iCs/>
        </w:rPr>
        <w:t xml:space="preserve">and to bring them </w:t>
      </w:r>
      <w:r w:rsidRPr="00B6592E">
        <w:rPr>
          <w:bCs/>
          <w:iCs/>
        </w:rPr>
        <w:t xml:space="preserve">to the attention of policymakers. The event </w:t>
      </w:r>
      <w:r w:rsidR="00EC34F1">
        <w:rPr>
          <w:bCs/>
          <w:iCs/>
        </w:rPr>
        <w:t xml:space="preserve">will </w:t>
      </w:r>
      <w:r w:rsidRPr="00B6592E">
        <w:rPr>
          <w:bCs/>
          <w:iCs/>
        </w:rPr>
        <w:t xml:space="preserve">provide an opportunity to look into the future of this policy tool, in particular by highlighting the role EPRs </w:t>
      </w:r>
      <w:r w:rsidR="00EC34F1">
        <w:rPr>
          <w:bCs/>
          <w:iCs/>
        </w:rPr>
        <w:t xml:space="preserve">can play </w:t>
      </w:r>
      <w:r w:rsidRPr="00B6592E">
        <w:rPr>
          <w:bCs/>
          <w:iCs/>
        </w:rPr>
        <w:t xml:space="preserve">in supporting the achievement and monitoring of </w:t>
      </w:r>
      <w:r w:rsidR="000A0C29">
        <w:rPr>
          <w:bCs/>
          <w:iCs/>
        </w:rPr>
        <w:t xml:space="preserve">the </w:t>
      </w:r>
      <w:r w:rsidR="00B8488A">
        <w:rPr>
          <w:bCs/>
          <w:iCs/>
        </w:rPr>
        <w:t>Sustain</w:t>
      </w:r>
      <w:r w:rsidR="000A0C29">
        <w:rPr>
          <w:bCs/>
          <w:iCs/>
        </w:rPr>
        <w:t>a</w:t>
      </w:r>
      <w:r w:rsidR="00B8488A">
        <w:rPr>
          <w:bCs/>
          <w:iCs/>
        </w:rPr>
        <w:t>ble Development Goals (</w:t>
      </w:r>
      <w:r w:rsidRPr="00B6592E">
        <w:rPr>
          <w:bCs/>
          <w:iCs/>
        </w:rPr>
        <w:t>SDGs</w:t>
      </w:r>
      <w:r w:rsidR="00B8488A">
        <w:rPr>
          <w:bCs/>
          <w:iCs/>
        </w:rPr>
        <w:t>)</w:t>
      </w:r>
      <w:r w:rsidRPr="00B6592E">
        <w:rPr>
          <w:bCs/>
          <w:iCs/>
        </w:rPr>
        <w:t xml:space="preserve"> in countries covered by the Programme.</w:t>
      </w:r>
      <w:r w:rsidRPr="00B6592E" w:rsidDel="00506335">
        <w:rPr>
          <w:bCs/>
          <w:iCs/>
        </w:rPr>
        <w:t xml:space="preserve"> </w:t>
      </w:r>
      <w:r w:rsidRPr="00B6592E">
        <w:rPr>
          <w:bCs/>
          <w:iCs/>
        </w:rPr>
        <w:t xml:space="preserve">  </w:t>
      </w:r>
    </w:p>
    <w:p w:rsidR="00C2028C" w:rsidRPr="00B6592E" w:rsidRDefault="00C2028C" w:rsidP="00C2028C">
      <w:pPr>
        <w:pStyle w:val="SingleTxtG"/>
        <w:rPr>
          <w:bCs/>
          <w:iCs/>
        </w:rPr>
      </w:pPr>
      <w:r w:rsidRPr="00B6592E">
        <w:t>2</w:t>
      </w:r>
      <w:r w:rsidR="008C26F9" w:rsidRPr="00B6592E">
        <w:t>4</w:t>
      </w:r>
      <w:r w:rsidRPr="00B6592E">
        <w:t>.</w:t>
      </w:r>
      <w:r w:rsidRPr="00B6592E">
        <w:tab/>
        <w:t xml:space="preserve">The celebratory event will be prepared by the ECE EPRs secretariat. </w:t>
      </w:r>
      <w:r w:rsidRPr="00B6592E">
        <w:rPr>
          <w:bCs/>
          <w:iCs/>
        </w:rPr>
        <w:t xml:space="preserve">CEP will </w:t>
      </w:r>
      <w:r w:rsidR="007C2754" w:rsidRPr="00B6592E">
        <w:rPr>
          <w:bCs/>
          <w:iCs/>
        </w:rPr>
        <w:t xml:space="preserve">be invited to </w:t>
      </w:r>
      <w:r w:rsidRPr="00B6592E">
        <w:rPr>
          <w:bCs/>
          <w:iCs/>
        </w:rPr>
        <w:t xml:space="preserve">consider promoting EPRs as an effective and practical policy tool at the Batumi </w:t>
      </w:r>
      <w:r w:rsidR="007C2754" w:rsidRPr="00B6592E">
        <w:rPr>
          <w:bCs/>
          <w:iCs/>
        </w:rPr>
        <w:t xml:space="preserve">Ministerial </w:t>
      </w:r>
      <w:r w:rsidRPr="00B6592E">
        <w:rPr>
          <w:bCs/>
          <w:iCs/>
        </w:rPr>
        <w:t xml:space="preserve">Conference. </w:t>
      </w:r>
    </w:p>
    <w:p w:rsidR="00CC6427" w:rsidRPr="00B6592E" w:rsidRDefault="00CC6427" w:rsidP="00101381">
      <w:pPr>
        <w:pStyle w:val="H23G"/>
        <w:rPr>
          <w:bCs/>
          <w:iCs/>
        </w:rPr>
      </w:pPr>
      <w:r w:rsidRPr="00B6592E">
        <w:tab/>
        <w:t>2.</w:t>
      </w:r>
      <w:r w:rsidRPr="00B6592E">
        <w:tab/>
        <w:t xml:space="preserve">Implementation of the Astana Water Action: fostering progress towards improved water management   </w:t>
      </w:r>
    </w:p>
    <w:p w:rsidR="00CC6427" w:rsidRPr="00B6592E" w:rsidRDefault="008C26F9" w:rsidP="00CC6427">
      <w:pPr>
        <w:pStyle w:val="SingleTxtG"/>
        <w:rPr>
          <w:bCs/>
          <w:iCs/>
        </w:rPr>
      </w:pPr>
      <w:r w:rsidRPr="00B6592E">
        <w:rPr>
          <w:bCs/>
          <w:iCs/>
        </w:rPr>
        <w:t>25</w:t>
      </w:r>
      <w:r w:rsidR="00CC6427" w:rsidRPr="00B6592E">
        <w:rPr>
          <w:bCs/>
          <w:iCs/>
        </w:rPr>
        <w:t>.</w:t>
      </w:r>
      <w:r w:rsidR="00CC6427" w:rsidRPr="00B6592E">
        <w:rPr>
          <w:bCs/>
          <w:iCs/>
        </w:rPr>
        <w:tab/>
        <w:t xml:space="preserve">Following to a decision by CEP, a second report to assess the progress in implementing </w:t>
      </w:r>
      <w:r w:rsidR="003577CC" w:rsidRPr="00B6592E">
        <w:rPr>
          <w:bCs/>
          <w:iCs/>
        </w:rPr>
        <w:t>AWA</w:t>
      </w:r>
      <w:r w:rsidR="00CC6427" w:rsidRPr="00B6592E">
        <w:rPr>
          <w:bCs/>
          <w:iCs/>
        </w:rPr>
        <w:t xml:space="preserve"> will be prepared for the CEP special session in February 2016 </w:t>
      </w:r>
      <w:r w:rsidR="000A0C29">
        <w:rPr>
          <w:bCs/>
          <w:iCs/>
        </w:rPr>
        <w:t xml:space="preserve">and </w:t>
      </w:r>
      <w:r w:rsidR="00CC6427" w:rsidRPr="00B6592E">
        <w:rPr>
          <w:bCs/>
          <w:iCs/>
        </w:rPr>
        <w:t xml:space="preserve">subsequent submission to the Batumi Ministerial Conference. </w:t>
      </w:r>
    </w:p>
    <w:p w:rsidR="00CC6427" w:rsidRPr="00B6592E" w:rsidRDefault="00C00E2E" w:rsidP="00CC6427">
      <w:pPr>
        <w:pStyle w:val="SingleTxtG"/>
      </w:pPr>
      <w:r w:rsidRPr="00B6592E">
        <w:t>26</w:t>
      </w:r>
      <w:r w:rsidR="00CC6427" w:rsidRPr="00B6592E">
        <w:t>.</w:t>
      </w:r>
      <w:r w:rsidR="00CC6427" w:rsidRPr="00B6592E">
        <w:tab/>
        <w:t xml:space="preserve">Based on inputs by </w:t>
      </w:r>
      <w:r w:rsidR="00BB1D4B" w:rsidRPr="00B6592E">
        <w:rPr>
          <w:bCs/>
          <w:iCs/>
        </w:rPr>
        <w:t>AWA</w:t>
      </w:r>
      <w:r w:rsidR="00CC6427" w:rsidRPr="00B6592E">
        <w:t xml:space="preserve"> stakeholders, the report will be developed by the ECE secretariat with guidance </w:t>
      </w:r>
      <w:r w:rsidR="00EC34F1">
        <w:t xml:space="preserve">from </w:t>
      </w:r>
      <w:r w:rsidR="00CC6427" w:rsidRPr="00B6592E">
        <w:t>the Bureaux</w:t>
      </w:r>
      <w:r w:rsidR="00EC34F1">
        <w:t xml:space="preserve"> of CEP and the Convention on the Protection and Use of Transboundary Watercourses and International Lakes</w:t>
      </w:r>
      <w:r w:rsidR="004E4830">
        <w:t xml:space="preserve"> (Water Convention)</w:t>
      </w:r>
      <w:r w:rsidR="00CB6428">
        <w:t>. The report will follow</w:t>
      </w:r>
      <w:r w:rsidR="00CC6427" w:rsidRPr="00B6592E">
        <w:t xml:space="preserve"> a similar format to the first progress report</w:t>
      </w:r>
      <w:r w:rsidR="00CB6428">
        <w:t xml:space="preserve"> (</w:t>
      </w:r>
      <w:r w:rsidR="00CB6428" w:rsidRPr="00CB6428">
        <w:t>ECE/CEP/2013/12</w:t>
      </w:r>
      <w:r w:rsidR="00CB6428">
        <w:t>), prepared for the Committee’s nineteenth session.</w:t>
      </w:r>
      <w:r w:rsidR="00CC6427" w:rsidRPr="00B6592E">
        <w:rPr>
          <w:rStyle w:val="FootnoteReference"/>
        </w:rPr>
        <w:footnoteReference w:id="6"/>
      </w:r>
      <w:r w:rsidRPr="00B6592E">
        <w:t xml:space="preserve"> In addition, following </w:t>
      </w:r>
      <w:r w:rsidR="00CB6428">
        <w:t xml:space="preserve">a </w:t>
      </w:r>
      <w:r w:rsidRPr="00B6592E">
        <w:t xml:space="preserve">recommendation by the CEP Bureau, a leaflet </w:t>
      </w:r>
      <w:r w:rsidR="00CB6428">
        <w:t>summariz</w:t>
      </w:r>
      <w:r w:rsidRPr="00B6592E">
        <w:t xml:space="preserve">ing the key findings of the report, including graphs and </w:t>
      </w:r>
      <w:r w:rsidRPr="00B6592E">
        <w:lastRenderedPageBreak/>
        <w:t>charts</w:t>
      </w:r>
      <w:r w:rsidR="00A25D73" w:rsidRPr="00B6592E">
        <w:t xml:space="preserve"> to present the</w:t>
      </w:r>
      <w:r w:rsidR="00E35DF3" w:rsidRPr="00B6592E">
        <w:t xml:space="preserve"> AWA statistics and</w:t>
      </w:r>
      <w:r w:rsidR="00A25D73" w:rsidRPr="00B6592E">
        <w:t xml:space="preserve"> figures in an interactive way</w:t>
      </w:r>
      <w:r w:rsidR="00AF6B07" w:rsidRPr="00B6592E">
        <w:t>,</w:t>
      </w:r>
      <w:r w:rsidRPr="00B6592E">
        <w:t xml:space="preserve"> will be prepared for the Conference.  </w:t>
      </w:r>
    </w:p>
    <w:p w:rsidR="00CC6427" w:rsidRPr="00B6592E" w:rsidRDefault="00CC6427" w:rsidP="00101381">
      <w:pPr>
        <w:pStyle w:val="H23G"/>
      </w:pPr>
      <w:r w:rsidRPr="00B6592E">
        <w:tab/>
        <w:t>3.</w:t>
      </w:r>
      <w:r w:rsidRPr="00B6592E">
        <w:tab/>
        <w:t xml:space="preserve">Assessment of the water-food-energy-ecosystems nexus in transboundary basins  </w:t>
      </w:r>
    </w:p>
    <w:p w:rsidR="00CC6427" w:rsidRPr="00B6592E" w:rsidRDefault="00C00E2E" w:rsidP="00CC6427">
      <w:pPr>
        <w:pStyle w:val="SingleTxtG"/>
        <w:rPr>
          <w:bCs/>
          <w:iCs/>
        </w:rPr>
      </w:pPr>
      <w:r w:rsidRPr="00B6592E">
        <w:rPr>
          <w:bCs/>
          <w:iCs/>
        </w:rPr>
        <w:t>27</w:t>
      </w:r>
      <w:r w:rsidR="00CC6427" w:rsidRPr="00B6592E">
        <w:rPr>
          <w:bCs/>
          <w:iCs/>
        </w:rPr>
        <w:t>.</w:t>
      </w:r>
      <w:r w:rsidR="00CC6427" w:rsidRPr="00B6592E">
        <w:rPr>
          <w:bCs/>
          <w:iCs/>
        </w:rPr>
        <w:tab/>
        <w:t xml:space="preserve">A stocktaking report of a series of assessments of the water-food-energy-ecosystems nexus in transboundary basins will be considered by the Meeting of the Parties to the </w:t>
      </w:r>
      <w:r w:rsidR="004E4830">
        <w:rPr>
          <w:bCs/>
          <w:iCs/>
        </w:rPr>
        <w:t xml:space="preserve">Water </w:t>
      </w:r>
      <w:r w:rsidR="00CC6427" w:rsidRPr="00B6592E">
        <w:rPr>
          <w:bCs/>
          <w:iCs/>
        </w:rPr>
        <w:t xml:space="preserve">Convention (Budapest, 17–20 November 2015). One of the assessments will be of the </w:t>
      </w:r>
      <w:proofErr w:type="spellStart"/>
      <w:r w:rsidR="00CC6427" w:rsidRPr="00B6592E">
        <w:rPr>
          <w:bCs/>
          <w:iCs/>
        </w:rPr>
        <w:t>Alazani</w:t>
      </w:r>
      <w:proofErr w:type="spellEnd"/>
      <w:r w:rsidR="00CC6427" w:rsidRPr="00B6592E">
        <w:rPr>
          <w:bCs/>
          <w:iCs/>
        </w:rPr>
        <w:t>/</w:t>
      </w:r>
      <w:proofErr w:type="spellStart"/>
      <w:r w:rsidR="00CC6427" w:rsidRPr="00B6592E">
        <w:rPr>
          <w:bCs/>
          <w:iCs/>
        </w:rPr>
        <w:t>Gan</w:t>
      </w:r>
      <w:r w:rsidR="004E4830">
        <w:rPr>
          <w:bCs/>
          <w:iCs/>
        </w:rPr>
        <w:t>y</w:t>
      </w:r>
      <w:r w:rsidR="00CC6427" w:rsidRPr="00B6592E">
        <w:rPr>
          <w:bCs/>
          <w:iCs/>
        </w:rPr>
        <w:t>kh</w:t>
      </w:r>
      <w:proofErr w:type="spellEnd"/>
      <w:r w:rsidR="00CC6427" w:rsidRPr="00B6592E">
        <w:rPr>
          <w:bCs/>
          <w:iCs/>
        </w:rPr>
        <w:t xml:space="preserve"> River Basin, shared by Azerbaijan and Georgia, a full version of which will be presented at the Batumi</w:t>
      </w:r>
      <w:r w:rsidR="00BB1D4B" w:rsidRPr="00B6592E">
        <w:rPr>
          <w:bCs/>
          <w:iCs/>
        </w:rPr>
        <w:t xml:space="preserve"> Ministerial </w:t>
      </w:r>
      <w:r w:rsidR="00CC6427" w:rsidRPr="00B6592E">
        <w:rPr>
          <w:bCs/>
          <w:iCs/>
        </w:rPr>
        <w:t>Conference. Further nexus assessments may also be presented</w:t>
      </w:r>
      <w:r w:rsidR="00B80437">
        <w:rPr>
          <w:bCs/>
          <w:iCs/>
        </w:rPr>
        <w:t>,</w:t>
      </w:r>
      <w:r w:rsidR="00CC6427" w:rsidRPr="00B6592E">
        <w:rPr>
          <w:bCs/>
          <w:iCs/>
        </w:rPr>
        <w:t xml:space="preserve"> together with information on measures being taken to follow up on the assessment conclusions and recommendations. </w:t>
      </w:r>
    </w:p>
    <w:p w:rsidR="00CC6427" w:rsidRPr="00B6592E" w:rsidRDefault="00CE7A49" w:rsidP="00C2028C">
      <w:pPr>
        <w:pStyle w:val="SingleTxtG"/>
        <w:rPr>
          <w:bCs/>
          <w:iCs/>
        </w:rPr>
      </w:pPr>
      <w:r w:rsidRPr="00B6592E">
        <w:rPr>
          <w:bCs/>
          <w:iCs/>
        </w:rPr>
        <w:t>28</w:t>
      </w:r>
      <w:r w:rsidR="00CC6427" w:rsidRPr="00B6592E">
        <w:rPr>
          <w:bCs/>
          <w:iCs/>
        </w:rPr>
        <w:t>.</w:t>
      </w:r>
      <w:r w:rsidR="00CC6427" w:rsidRPr="00B6592E">
        <w:rPr>
          <w:bCs/>
          <w:iCs/>
        </w:rPr>
        <w:tab/>
        <w:t xml:space="preserve">The presentations could provide the basis for the Conference </w:t>
      </w:r>
      <w:r w:rsidR="005764D4">
        <w:rPr>
          <w:bCs/>
          <w:iCs/>
        </w:rPr>
        <w:t xml:space="preserve">delegates to affirm </w:t>
      </w:r>
      <w:r w:rsidR="00CC6427" w:rsidRPr="00B6592E">
        <w:rPr>
          <w:bCs/>
          <w:iCs/>
        </w:rPr>
        <w:t xml:space="preserve">the value of the intersectoral, cross-border approach </w:t>
      </w:r>
      <w:r w:rsidR="005764D4">
        <w:rPr>
          <w:bCs/>
          <w:iCs/>
        </w:rPr>
        <w:t xml:space="preserve">used in </w:t>
      </w:r>
      <w:r w:rsidR="00CC6427" w:rsidRPr="00B6592E">
        <w:rPr>
          <w:bCs/>
          <w:iCs/>
        </w:rPr>
        <w:t xml:space="preserve">the assessments, as a means of </w:t>
      </w:r>
      <w:r w:rsidR="005764D4">
        <w:rPr>
          <w:bCs/>
          <w:iCs/>
        </w:rPr>
        <w:t xml:space="preserve">ensuring </w:t>
      </w:r>
      <w:r w:rsidR="0012120B" w:rsidRPr="00B6592E">
        <w:rPr>
          <w:bCs/>
          <w:iCs/>
        </w:rPr>
        <w:t xml:space="preserve">sustainable development, including </w:t>
      </w:r>
      <w:r w:rsidR="00CC6427" w:rsidRPr="00B6592E">
        <w:rPr>
          <w:bCs/>
          <w:iCs/>
        </w:rPr>
        <w:t>greening the economy</w:t>
      </w:r>
      <w:r w:rsidR="005764D4">
        <w:rPr>
          <w:bCs/>
          <w:iCs/>
        </w:rPr>
        <w:t xml:space="preserve"> </w:t>
      </w:r>
      <w:r w:rsidR="00CC6427" w:rsidRPr="00B6592E">
        <w:rPr>
          <w:bCs/>
          <w:iCs/>
        </w:rPr>
        <w:t>—</w:t>
      </w:r>
      <w:r w:rsidR="005764D4">
        <w:rPr>
          <w:bCs/>
          <w:iCs/>
        </w:rPr>
        <w:t xml:space="preserve"> </w:t>
      </w:r>
      <w:r w:rsidR="00CC6427" w:rsidRPr="00B6592E">
        <w:rPr>
          <w:bCs/>
          <w:iCs/>
        </w:rPr>
        <w:t>through, for example, increasing efficiency in resource use and mainstreaming environmental protection into sectoral policies and decision-making</w:t>
      </w:r>
      <w:r w:rsidR="005764D4">
        <w:rPr>
          <w:bCs/>
          <w:iCs/>
        </w:rPr>
        <w:t xml:space="preserve"> </w:t>
      </w:r>
      <w:r w:rsidR="00CC6427" w:rsidRPr="00B6592E">
        <w:rPr>
          <w:bCs/>
          <w:iCs/>
        </w:rPr>
        <w:t>—</w:t>
      </w:r>
      <w:r w:rsidR="005764D4">
        <w:rPr>
          <w:bCs/>
          <w:iCs/>
        </w:rPr>
        <w:t xml:space="preserve"> </w:t>
      </w:r>
      <w:r w:rsidR="00CC6427" w:rsidRPr="00B6592E">
        <w:rPr>
          <w:bCs/>
          <w:iCs/>
        </w:rPr>
        <w:t xml:space="preserve">as well as promoting regional economic integration and dispute prevention. </w:t>
      </w:r>
      <w:r w:rsidR="005932F2" w:rsidRPr="00B6592E">
        <w:rPr>
          <w:bCs/>
          <w:iCs/>
        </w:rPr>
        <w:t xml:space="preserve">Also, the nexus methodology could be </w:t>
      </w:r>
      <w:r w:rsidR="00B80437">
        <w:rPr>
          <w:bCs/>
          <w:iCs/>
        </w:rPr>
        <w:t xml:space="preserve">welcomed </w:t>
      </w:r>
      <w:r w:rsidR="005932F2" w:rsidRPr="00B6592E">
        <w:rPr>
          <w:bCs/>
          <w:iCs/>
        </w:rPr>
        <w:t xml:space="preserve">as an efficient approach facilitating the cross-cutting and cross-sectoral integration of issues for the </w:t>
      </w:r>
      <w:r w:rsidR="00D11F7B" w:rsidRPr="00B6592E">
        <w:rPr>
          <w:bCs/>
          <w:iCs/>
        </w:rPr>
        <w:t xml:space="preserve">various </w:t>
      </w:r>
      <w:r w:rsidR="005932F2" w:rsidRPr="00B6592E">
        <w:rPr>
          <w:bCs/>
          <w:iCs/>
        </w:rPr>
        <w:t>future assessments</w:t>
      </w:r>
      <w:r w:rsidR="00AA00FF" w:rsidRPr="00B6592E">
        <w:rPr>
          <w:bCs/>
          <w:iCs/>
        </w:rPr>
        <w:t xml:space="preserve"> </w:t>
      </w:r>
      <w:r w:rsidR="005764D4">
        <w:rPr>
          <w:bCs/>
          <w:iCs/>
        </w:rPr>
        <w:t xml:space="preserve">that may be </w:t>
      </w:r>
      <w:r w:rsidR="00AA00FF" w:rsidRPr="00B6592E">
        <w:rPr>
          <w:bCs/>
          <w:iCs/>
        </w:rPr>
        <w:t>requested</w:t>
      </w:r>
      <w:r w:rsidR="005932F2" w:rsidRPr="00B6592E">
        <w:rPr>
          <w:bCs/>
          <w:iCs/>
        </w:rPr>
        <w:t xml:space="preserve"> in the region.  </w:t>
      </w:r>
    </w:p>
    <w:p w:rsidR="008D6010" w:rsidRPr="00B6592E" w:rsidRDefault="008D6010" w:rsidP="00101381">
      <w:pPr>
        <w:pStyle w:val="H23G"/>
      </w:pPr>
      <w:r w:rsidRPr="00B6592E">
        <w:tab/>
      </w:r>
      <w:r w:rsidR="00C43285" w:rsidRPr="00B6592E">
        <w:t>4</w:t>
      </w:r>
      <w:r w:rsidR="00B10761" w:rsidRPr="00B6592E">
        <w:t>.</w:t>
      </w:r>
      <w:r w:rsidR="00B10761" w:rsidRPr="00B6592E">
        <w:tab/>
      </w:r>
      <w:r w:rsidR="00113127" w:rsidRPr="00B6592E">
        <w:t xml:space="preserve">Central and Eastern European Regional Action Programme to </w:t>
      </w:r>
      <w:r w:rsidR="00B80437">
        <w:t>C</w:t>
      </w:r>
      <w:r w:rsidR="00113127" w:rsidRPr="00B6592E">
        <w:t xml:space="preserve">ombat </w:t>
      </w:r>
      <w:r w:rsidR="00B80437">
        <w:t>D</w:t>
      </w:r>
      <w:r w:rsidR="00113127" w:rsidRPr="00B6592E">
        <w:t xml:space="preserve">esertification, </w:t>
      </w:r>
      <w:r w:rsidR="00B80437">
        <w:t>L</w:t>
      </w:r>
      <w:r w:rsidR="00113127" w:rsidRPr="00B6592E">
        <w:t xml:space="preserve">and </w:t>
      </w:r>
      <w:r w:rsidR="00B80437">
        <w:t>D</w:t>
      </w:r>
      <w:r w:rsidR="00113127" w:rsidRPr="00B6592E">
        <w:t xml:space="preserve">egradation and </w:t>
      </w:r>
      <w:r w:rsidR="00B80437">
        <w:t>D</w:t>
      </w:r>
      <w:r w:rsidR="00113127" w:rsidRPr="00B6592E">
        <w:t>rought</w:t>
      </w:r>
    </w:p>
    <w:p w:rsidR="003B17AF" w:rsidRPr="00B6592E" w:rsidRDefault="00ED355C" w:rsidP="008D6010">
      <w:pPr>
        <w:pStyle w:val="SingleTxtG"/>
        <w:rPr>
          <w:bCs/>
          <w:iCs/>
        </w:rPr>
      </w:pPr>
      <w:r w:rsidRPr="00B6592E">
        <w:rPr>
          <w:bCs/>
          <w:iCs/>
        </w:rPr>
        <w:t>29.</w:t>
      </w:r>
      <w:r w:rsidRPr="00B6592E">
        <w:rPr>
          <w:bCs/>
          <w:iCs/>
        </w:rPr>
        <w:tab/>
      </w:r>
      <w:r w:rsidR="000936A0" w:rsidRPr="00B6592E">
        <w:rPr>
          <w:bCs/>
          <w:iCs/>
        </w:rPr>
        <w:t xml:space="preserve">The </w:t>
      </w:r>
      <w:r w:rsidR="008D6010" w:rsidRPr="00B6592E">
        <w:rPr>
          <w:bCs/>
          <w:iCs/>
        </w:rPr>
        <w:t>U</w:t>
      </w:r>
      <w:r w:rsidR="000936A0" w:rsidRPr="00B6592E">
        <w:rPr>
          <w:bCs/>
          <w:iCs/>
        </w:rPr>
        <w:t xml:space="preserve">nited </w:t>
      </w:r>
      <w:r w:rsidR="008D6010" w:rsidRPr="00B6592E">
        <w:rPr>
          <w:bCs/>
          <w:iCs/>
        </w:rPr>
        <w:t>N</w:t>
      </w:r>
      <w:r w:rsidR="000936A0" w:rsidRPr="00B6592E">
        <w:rPr>
          <w:bCs/>
          <w:iCs/>
        </w:rPr>
        <w:t xml:space="preserve">ations </w:t>
      </w:r>
      <w:r w:rsidR="008D6010" w:rsidRPr="00B6592E">
        <w:rPr>
          <w:bCs/>
          <w:iCs/>
        </w:rPr>
        <w:t>C</w:t>
      </w:r>
      <w:r w:rsidR="000936A0" w:rsidRPr="00B6592E">
        <w:rPr>
          <w:bCs/>
          <w:iCs/>
        </w:rPr>
        <w:t xml:space="preserve">onvention </w:t>
      </w:r>
      <w:r w:rsidR="008852B5">
        <w:rPr>
          <w:bCs/>
          <w:iCs/>
        </w:rPr>
        <w:t xml:space="preserve">to </w:t>
      </w:r>
      <w:r w:rsidR="008D6010" w:rsidRPr="00B6592E">
        <w:rPr>
          <w:bCs/>
          <w:iCs/>
        </w:rPr>
        <w:t>C</w:t>
      </w:r>
      <w:r w:rsidR="000936A0" w:rsidRPr="00B6592E">
        <w:rPr>
          <w:bCs/>
          <w:iCs/>
        </w:rPr>
        <w:t xml:space="preserve">ombat of </w:t>
      </w:r>
      <w:r w:rsidR="008D6010" w:rsidRPr="00B6592E">
        <w:rPr>
          <w:bCs/>
          <w:iCs/>
        </w:rPr>
        <w:t>D</w:t>
      </w:r>
      <w:r w:rsidR="000936A0" w:rsidRPr="00B6592E">
        <w:rPr>
          <w:bCs/>
          <w:iCs/>
        </w:rPr>
        <w:t xml:space="preserve">esertification (UNCCD) Regional Committee for Central and Eastern Europe </w:t>
      </w:r>
      <w:r w:rsidR="00CC1D04" w:rsidRPr="00B6592E">
        <w:rPr>
          <w:bCs/>
          <w:iCs/>
        </w:rPr>
        <w:t xml:space="preserve">proposed to enhance its cooperation under the EfE process and </w:t>
      </w:r>
      <w:r w:rsidR="00992E33" w:rsidRPr="00B6592E">
        <w:rPr>
          <w:bCs/>
          <w:iCs/>
        </w:rPr>
        <w:t>would like to use the platform of the Batumi Ministerial Conference to launch</w:t>
      </w:r>
      <w:r w:rsidR="00E13FC8" w:rsidRPr="00B6592E">
        <w:rPr>
          <w:bCs/>
          <w:iCs/>
        </w:rPr>
        <w:t xml:space="preserve"> and </w:t>
      </w:r>
      <w:r w:rsidR="003342ED" w:rsidRPr="00B6592E">
        <w:rPr>
          <w:bCs/>
          <w:iCs/>
        </w:rPr>
        <w:t xml:space="preserve">further </w:t>
      </w:r>
      <w:r w:rsidR="00E13FC8" w:rsidRPr="00B6592E">
        <w:rPr>
          <w:bCs/>
          <w:iCs/>
        </w:rPr>
        <w:t>promote</w:t>
      </w:r>
      <w:r w:rsidR="00992E33" w:rsidRPr="00B6592E">
        <w:rPr>
          <w:bCs/>
          <w:iCs/>
        </w:rPr>
        <w:t xml:space="preserve"> the </w:t>
      </w:r>
      <w:r w:rsidR="008852B5">
        <w:rPr>
          <w:bCs/>
          <w:iCs/>
        </w:rPr>
        <w:t>Central and Eastern Europe (</w:t>
      </w:r>
      <w:r w:rsidR="00992E33" w:rsidRPr="00B6592E">
        <w:rPr>
          <w:bCs/>
          <w:iCs/>
        </w:rPr>
        <w:t>CEE</w:t>
      </w:r>
      <w:r w:rsidR="008852B5">
        <w:rPr>
          <w:bCs/>
          <w:iCs/>
        </w:rPr>
        <w:t>)</w:t>
      </w:r>
      <w:r w:rsidR="00992E33" w:rsidRPr="00B6592E">
        <w:rPr>
          <w:bCs/>
          <w:iCs/>
        </w:rPr>
        <w:t xml:space="preserve"> Regional Action Programme to </w:t>
      </w:r>
      <w:r w:rsidR="00B80437">
        <w:rPr>
          <w:bCs/>
          <w:iCs/>
        </w:rPr>
        <w:t>C</w:t>
      </w:r>
      <w:r w:rsidR="00992E33" w:rsidRPr="00B6592E">
        <w:rPr>
          <w:bCs/>
          <w:iCs/>
        </w:rPr>
        <w:t xml:space="preserve">ombat </w:t>
      </w:r>
      <w:r w:rsidR="00B80437">
        <w:rPr>
          <w:bCs/>
          <w:iCs/>
        </w:rPr>
        <w:t>D</w:t>
      </w:r>
      <w:r w:rsidR="00992E33" w:rsidRPr="00B6592E">
        <w:rPr>
          <w:bCs/>
          <w:iCs/>
        </w:rPr>
        <w:t xml:space="preserve">esertification, </w:t>
      </w:r>
      <w:r w:rsidR="00B80437">
        <w:rPr>
          <w:bCs/>
          <w:iCs/>
        </w:rPr>
        <w:t>L</w:t>
      </w:r>
      <w:r w:rsidR="00992E33" w:rsidRPr="00B6592E">
        <w:rPr>
          <w:bCs/>
          <w:iCs/>
        </w:rPr>
        <w:t xml:space="preserve">and </w:t>
      </w:r>
      <w:r w:rsidR="00B80437">
        <w:rPr>
          <w:bCs/>
          <w:iCs/>
        </w:rPr>
        <w:t>D</w:t>
      </w:r>
      <w:r w:rsidR="00992E33" w:rsidRPr="00B6592E">
        <w:rPr>
          <w:bCs/>
          <w:iCs/>
        </w:rPr>
        <w:t xml:space="preserve">egradation and </w:t>
      </w:r>
      <w:r w:rsidR="00B80437">
        <w:rPr>
          <w:bCs/>
          <w:iCs/>
        </w:rPr>
        <w:t>D</w:t>
      </w:r>
      <w:r w:rsidR="00992E33" w:rsidRPr="00B6592E">
        <w:rPr>
          <w:bCs/>
          <w:iCs/>
        </w:rPr>
        <w:t>rought</w:t>
      </w:r>
      <w:r w:rsidR="00CC1D04" w:rsidRPr="00B6592E">
        <w:rPr>
          <w:bCs/>
          <w:iCs/>
        </w:rPr>
        <w:t xml:space="preserve">. </w:t>
      </w:r>
    </w:p>
    <w:p w:rsidR="00FD2A21" w:rsidRPr="00B6592E" w:rsidRDefault="003B17AF" w:rsidP="008D6010">
      <w:pPr>
        <w:pStyle w:val="SingleTxtG"/>
        <w:rPr>
          <w:bCs/>
          <w:iCs/>
        </w:rPr>
      </w:pPr>
      <w:r w:rsidRPr="00B6592E">
        <w:rPr>
          <w:bCs/>
          <w:iCs/>
        </w:rPr>
        <w:t>30.</w:t>
      </w:r>
      <w:r w:rsidRPr="00B6592E">
        <w:rPr>
          <w:bCs/>
          <w:iCs/>
        </w:rPr>
        <w:tab/>
      </w:r>
      <w:r w:rsidR="00CC1D04" w:rsidRPr="00B6592E">
        <w:rPr>
          <w:bCs/>
          <w:iCs/>
        </w:rPr>
        <w:t xml:space="preserve">The Regional Action Programme is being prepared following a decision by the UNCCD Annex V Parties at their regional meeting in 2013. </w:t>
      </w:r>
      <w:r w:rsidR="00FD2A21" w:rsidRPr="00B6592E">
        <w:rPr>
          <w:bCs/>
          <w:iCs/>
        </w:rPr>
        <w:t xml:space="preserve">The </w:t>
      </w:r>
      <w:r w:rsidRPr="00B6592E">
        <w:rPr>
          <w:bCs/>
          <w:iCs/>
        </w:rPr>
        <w:t>initiative</w:t>
      </w:r>
      <w:r w:rsidR="00FD2A21" w:rsidRPr="00B6592E">
        <w:rPr>
          <w:bCs/>
          <w:iCs/>
        </w:rPr>
        <w:t xml:space="preserve"> will be presented at the </w:t>
      </w:r>
      <w:r w:rsidR="003342ED" w:rsidRPr="00B6592E">
        <w:rPr>
          <w:bCs/>
          <w:iCs/>
        </w:rPr>
        <w:t xml:space="preserve">twelfth session of the </w:t>
      </w:r>
      <w:r w:rsidR="00FD2A21" w:rsidRPr="00B6592E">
        <w:rPr>
          <w:bCs/>
          <w:iCs/>
        </w:rPr>
        <w:t>UNCCD Conference of the Parties in October 2015 in Turkey and finalized by end of 2015.</w:t>
      </w:r>
      <w:r w:rsidRPr="00B6592E">
        <w:rPr>
          <w:bCs/>
          <w:iCs/>
        </w:rPr>
        <w:t xml:space="preserve"> Subsequently, it could be presented during the Batumi Ministerial Conference, as appropriate, as well as at a side</w:t>
      </w:r>
      <w:r w:rsidR="008852B5">
        <w:rPr>
          <w:bCs/>
          <w:iCs/>
        </w:rPr>
        <w:t xml:space="preserve"> </w:t>
      </w:r>
      <w:r w:rsidRPr="00B6592E">
        <w:rPr>
          <w:bCs/>
          <w:iCs/>
        </w:rPr>
        <w:t xml:space="preserve">event organized on the margins of the Conference. </w:t>
      </w:r>
      <w:r w:rsidR="00A57CBF" w:rsidRPr="00B6592E">
        <w:rPr>
          <w:bCs/>
          <w:iCs/>
        </w:rPr>
        <w:t>In presenting the initiative</w:t>
      </w:r>
      <w:r w:rsidR="00A80FD6" w:rsidRPr="00B6592E">
        <w:rPr>
          <w:bCs/>
          <w:iCs/>
        </w:rPr>
        <w:t xml:space="preserve">, its role </w:t>
      </w:r>
      <w:r w:rsidR="00357604">
        <w:rPr>
          <w:bCs/>
          <w:iCs/>
        </w:rPr>
        <w:t xml:space="preserve">in </w:t>
      </w:r>
      <w:r w:rsidR="00A80FD6" w:rsidRPr="00B6592E">
        <w:rPr>
          <w:bCs/>
          <w:iCs/>
        </w:rPr>
        <w:t>support</w:t>
      </w:r>
      <w:r w:rsidR="00357604">
        <w:rPr>
          <w:bCs/>
          <w:iCs/>
        </w:rPr>
        <w:t>ing</w:t>
      </w:r>
      <w:r w:rsidR="00A80FD6" w:rsidRPr="00B6592E">
        <w:rPr>
          <w:bCs/>
          <w:iCs/>
        </w:rPr>
        <w:t xml:space="preserve"> CEE countries in achieving related SDGs and targets could be emphasized. </w:t>
      </w:r>
      <w:r w:rsidR="00A57CBF" w:rsidRPr="00B6592E">
        <w:rPr>
          <w:bCs/>
          <w:iCs/>
        </w:rPr>
        <w:t>CEP will be invited to consider this initiative as one of the outcomes of the Conference.</w:t>
      </w:r>
      <w:r w:rsidR="00886DEA" w:rsidRPr="00B6592E">
        <w:rPr>
          <w:bCs/>
          <w:iCs/>
        </w:rPr>
        <w:t xml:space="preserve"> </w:t>
      </w:r>
    </w:p>
    <w:p w:rsidR="00995EF0" w:rsidRPr="00B6592E" w:rsidRDefault="009D349F" w:rsidP="009D349F">
      <w:pPr>
        <w:pStyle w:val="H1G"/>
      </w:pPr>
      <w:r w:rsidRPr="00B6592E">
        <w:tab/>
      </w:r>
      <w:r w:rsidR="009D7C88" w:rsidRPr="00B6592E">
        <w:t>C</w:t>
      </w:r>
      <w:r w:rsidRPr="00B6592E">
        <w:t>.</w:t>
      </w:r>
      <w:r w:rsidRPr="00B6592E">
        <w:tab/>
      </w:r>
      <w:r w:rsidR="00995EF0" w:rsidRPr="00B6592E">
        <w:t>Greening the economy in the pan-European region</w:t>
      </w:r>
    </w:p>
    <w:p w:rsidR="009D349F" w:rsidRPr="00B6592E" w:rsidRDefault="00995EF0" w:rsidP="00101381">
      <w:pPr>
        <w:pStyle w:val="H23G"/>
      </w:pPr>
      <w:r w:rsidRPr="00B6592E">
        <w:tab/>
        <w:t>1.</w:t>
      </w:r>
      <w:r w:rsidRPr="00B6592E">
        <w:tab/>
      </w:r>
      <w:r w:rsidR="009D349F" w:rsidRPr="00B6592E">
        <w:t xml:space="preserve">Pan-European </w:t>
      </w:r>
      <w:r w:rsidR="00DD2ABC" w:rsidRPr="00B6592E">
        <w:t xml:space="preserve">strategic framework </w:t>
      </w:r>
      <w:r w:rsidR="009D349F" w:rsidRPr="00B6592E">
        <w:t xml:space="preserve">for </w:t>
      </w:r>
      <w:r w:rsidR="00DD2ABC" w:rsidRPr="00B6592E">
        <w:t xml:space="preserve">greening </w:t>
      </w:r>
      <w:r w:rsidR="009D349F" w:rsidRPr="00B6592E">
        <w:t xml:space="preserve">the </w:t>
      </w:r>
      <w:r w:rsidR="00DD2ABC" w:rsidRPr="00B6592E">
        <w:t xml:space="preserve">economy </w:t>
      </w:r>
    </w:p>
    <w:p w:rsidR="009D349F" w:rsidRPr="00B6592E" w:rsidRDefault="00886DEA" w:rsidP="009D349F">
      <w:pPr>
        <w:pStyle w:val="SingleTxtG"/>
        <w:rPr>
          <w:bCs/>
          <w:iCs/>
        </w:rPr>
      </w:pPr>
      <w:r w:rsidRPr="00B6592E">
        <w:rPr>
          <w:bCs/>
          <w:iCs/>
        </w:rPr>
        <w:t>31</w:t>
      </w:r>
      <w:r w:rsidR="009D349F" w:rsidRPr="00B6592E">
        <w:rPr>
          <w:bCs/>
          <w:iCs/>
        </w:rPr>
        <w:t>.</w:t>
      </w:r>
      <w:r w:rsidR="009D349F" w:rsidRPr="00B6592E">
        <w:rPr>
          <w:bCs/>
          <w:iCs/>
        </w:rPr>
        <w:tab/>
        <w:t xml:space="preserve">Taking into account developments in green economy </w:t>
      </w:r>
      <w:r w:rsidR="00CD60EE">
        <w:rPr>
          <w:bCs/>
          <w:iCs/>
        </w:rPr>
        <w:t xml:space="preserve">in the framework of </w:t>
      </w:r>
      <w:r w:rsidR="009D349F" w:rsidRPr="00B6592E">
        <w:rPr>
          <w:bCs/>
          <w:iCs/>
        </w:rPr>
        <w:t xml:space="preserve">other Regional Commissions shared during the twentieth session of CEP, and building on the existing fruitful collaboration between ECE and UNEP, CEP decided that a joint proposal for a pan-European strategic framework for greening the economy should be elaborated in time for </w:t>
      </w:r>
      <w:r w:rsidR="008E0D3C">
        <w:rPr>
          <w:bCs/>
          <w:iCs/>
        </w:rPr>
        <w:t xml:space="preserve">the </w:t>
      </w:r>
      <w:r w:rsidR="009D349F" w:rsidRPr="00B6592E">
        <w:rPr>
          <w:bCs/>
          <w:iCs/>
        </w:rPr>
        <w:t xml:space="preserve">Batumi </w:t>
      </w:r>
      <w:r w:rsidR="004850EF" w:rsidRPr="00B6592E">
        <w:rPr>
          <w:bCs/>
          <w:iCs/>
        </w:rPr>
        <w:t xml:space="preserve">Ministerial </w:t>
      </w:r>
      <w:r w:rsidR="009D349F" w:rsidRPr="00B6592E">
        <w:rPr>
          <w:bCs/>
          <w:iCs/>
        </w:rPr>
        <w:t>Conference</w:t>
      </w:r>
      <w:r w:rsidR="008E0D3C">
        <w:rPr>
          <w:bCs/>
          <w:iCs/>
        </w:rPr>
        <w:t xml:space="preserve"> to </w:t>
      </w:r>
      <w:r w:rsidR="009D349F" w:rsidRPr="00B6592E">
        <w:rPr>
          <w:bCs/>
          <w:iCs/>
        </w:rPr>
        <w:t>support</w:t>
      </w:r>
      <w:r w:rsidR="008E0D3C">
        <w:rPr>
          <w:bCs/>
          <w:iCs/>
        </w:rPr>
        <w:t xml:space="preserve"> </w:t>
      </w:r>
      <w:r w:rsidR="009D349F" w:rsidRPr="00B6592E">
        <w:rPr>
          <w:bCs/>
          <w:iCs/>
        </w:rPr>
        <w:t xml:space="preserve">the commitment made </w:t>
      </w:r>
      <w:r w:rsidR="008E0D3C">
        <w:rPr>
          <w:bCs/>
          <w:iCs/>
        </w:rPr>
        <w:t xml:space="preserve">by ECE ministers in Astana </w:t>
      </w:r>
      <w:r w:rsidR="009D349F" w:rsidRPr="00B6592E">
        <w:rPr>
          <w:bCs/>
          <w:iCs/>
        </w:rPr>
        <w:t>to take the lead in greening the economy.</w:t>
      </w:r>
    </w:p>
    <w:p w:rsidR="009D349F" w:rsidRPr="00B6592E" w:rsidRDefault="003C4BBB" w:rsidP="009D349F">
      <w:pPr>
        <w:pStyle w:val="SingleTxtG"/>
        <w:rPr>
          <w:bCs/>
          <w:iCs/>
        </w:rPr>
      </w:pPr>
      <w:r w:rsidRPr="00B6592E">
        <w:rPr>
          <w:bCs/>
          <w:iCs/>
        </w:rPr>
        <w:t>32</w:t>
      </w:r>
      <w:r w:rsidR="009D349F" w:rsidRPr="00B6592E">
        <w:rPr>
          <w:bCs/>
          <w:iCs/>
        </w:rPr>
        <w:t>.</w:t>
      </w:r>
      <w:r w:rsidR="009D349F" w:rsidRPr="00B6592E">
        <w:rPr>
          <w:bCs/>
          <w:iCs/>
        </w:rPr>
        <w:tab/>
        <w:t xml:space="preserve">The proposed strategic framework should include practical examples, good practices and tools to be used for accelerating the transition to a green economy, while promoting a </w:t>
      </w:r>
      <w:r w:rsidR="009D349F" w:rsidRPr="00B6592E">
        <w:rPr>
          <w:bCs/>
          <w:iCs/>
        </w:rPr>
        <w:lastRenderedPageBreak/>
        <w:t xml:space="preserve">bottom-up approach. It should also build upon existing knowledge products and platforms, and </w:t>
      </w:r>
      <w:r w:rsidR="00634F16">
        <w:rPr>
          <w:bCs/>
          <w:iCs/>
        </w:rPr>
        <w:t xml:space="preserve">contain </w:t>
      </w:r>
      <w:r w:rsidR="009D349F" w:rsidRPr="00B6592E">
        <w:rPr>
          <w:bCs/>
          <w:iCs/>
        </w:rPr>
        <w:t>a proposal for a “Green Economy Action” similar to the Astana Water Action</w:t>
      </w:r>
      <w:r w:rsidR="00634F16">
        <w:rPr>
          <w:bCs/>
          <w:iCs/>
        </w:rPr>
        <w:t>.</w:t>
      </w:r>
      <w:r w:rsidR="009D349F" w:rsidRPr="00B6592E">
        <w:rPr>
          <w:rStyle w:val="FootnoteReference"/>
          <w:bCs/>
          <w:iCs/>
        </w:rPr>
        <w:footnoteReference w:id="7"/>
      </w:r>
      <w:r w:rsidR="009D349F" w:rsidRPr="00B6592E">
        <w:rPr>
          <w:bCs/>
          <w:iCs/>
        </w:rPr>
        <w:t xml:space="preserve"> </w:t>
      </w:r>
    </w:p>
    <w:p w:rsidR="009D349F" w:rsidRPr="00B6592E" w:rsidRDefault="00A143FA" w:rsidP="009D349F">
      <w:pPr>
        <w:pStyle w:val="SingleTxtG"/>
        <w:rPr>
          <w:bCs/>
          <w:iCs/>
        </w:rPr>
      </w:pPr>
      <w:r w:rsidRPr="00B6592E">
        <w:rPr>
          <w:bCs/>
          <w:iCs/>
        </w:rPr>
        <w:t>33</w:t>
      </w:r>
      <w:r w:rsidR="009D349F" w:rsidRPr="00B6592E">
        <w:rPr>
          <w:bCs/>
          <w:iCs/>
        </w:rPr>
        <w:t>.</w:t>
      </w:r>
      <w:r w:rsidR="009D349F" w:rsidRPr="00B6592E">
        <w:rPr>
          <w:bCs/>
          <w:iCs/>
        </w:rPr>
        <w:tab/>
      </w:r>
      <w:r w:rsidR="00DF1A6E" w:rsidRPr="00B6592E">
        <w:rPr>
          <w:bCs/>
          <w:iCs/>
        </w:rPr>
        <w:t xml:space="preserve">The strategic framework is expected to </w:t>
      </w:r>
      <w:r w:rsidR="00D566F4">
        <w:rPr>
          <w:bCs/>
          <w:iCs/>
        </w:rPr>
        <w:t>serve as a tool for environment ministers to initiate and sustain discussions on the green economy in their national Government and, ultimately, to drive the green economy agenda forward</w:t>
      </w:r>
      <w:r w:rsidR="00DF1A6E" w:rsidRPr="00B6592E">
        <w:rPr>
          <w:bCs/>
          <w:iCs/>
        </w:rPr>
        <w:t xml:space="preserve">. </w:t>
      </w:r>
      <w:r w:rsidR="00346F7B" w:rsidRPr="00B6592E">
        <w:rPr>
          <w:bCs/>
          <w:iCs/>
        </w:rPr>
        <w:t>T</w:t>
      </w:r>
      <w:r w:rsidR="009D349F" w:rsidRPr="00B6592E">
        <w:rPr>
          <w:bCs/>
          <w:iCs/>
        </w:rPr>
        <w:t xml:space="preserve">he framework </w:t>
      </w:r>
      <w:r w:rsidR="00346F7B" w:rsidRPr="00B6592E">
        <w:rPr>
          <w:bCs/>
          <w:iCs/>
        </w:rPr>
        <w:t xml:space="preserve">will </w:t>
      </w:r>
      <w:r w:rsidR="00CA240A" w:rsidRPr="00B6592E">
        <w:rPr>
          <w:bCs/>
          <w:iCs/>
        </w:rPr>
        <w:t xml:space="preserve">enable the assessment of progress in greening the economy across the pan-European region and will </w:t>
      </w:r>
      <w:r w:rsidR="00CD60EE">
        <w:rPr>
          <w:bCs/>
          <w:iCs/>
        </w:rPr>
        <w:t xml:space="preserve">thereby </w:t>
      </w:r>
      <w:r w:rsidR="00346F7B" w:rsidRPr="00B6592E">
        <w:rPr>
          <w:bCs/>
          <w:iCs/>
        </w:rPr>
        <w:t>also</w:t>
      </w:r>
      <w:r w:rsidR="000D1BE5" w:rsidRPr="00B6592E">
        <w:rPr>
          <w:bCs/>
          <w:iCs/>
        </w:rPr>
        <w:t xml:space="preserve"> contribute to regional implementation of SDGs by </w:t>
      </w:r>
      <w:r w:rsidR="00346F7B" w:rsidRPr="00B6592E">
        <w:rPr>
          <w:bCs/>
          <w:iCs/>
        </w:rPr>
        <w:t>support</w:t>
      </w:r>
      <w:r w:rsidR="000D1BE5" w:rsidRPr="00B6592E">
        <w:rPr>
          <w:bCs/>
          <w:iCs/>
        </w:rPr>
        <w:t>ing</w:t>
      </w:r>
      <w:r w:rsidR="00346F7B" w:rsidRPr="00B6592E">
        <w:rPr>
          <w:bCs/>
          <w:iCs/>
        </w:rPr>
        <w:t xml:space="preserve"> countries</w:t>
      </w:r>
      <w:r w:rsidR="009C0FAF">
        <w:rPr>
          <w:bCs/>
          <w:iCs/>
        </w:rPr>
        <w:t>’</w:t>
      </w:r>
      <w:r w:rsidR="00346F7B" w:rsidRPr="00B6592E">
        <w:rPr>
          <w:bCs/>
          <w:iCs/>
        </w:rPr>
        <w:t xml:space="preserve"> efforts to accomplish related targets </w:t>
      </w:r>
      <w:r w:rsidR="009D349F" w:rsidRPr="00B6592E">
        <w:rPr>
          <w:bCs/>
          <w:iCs/>
        </w:rPr>
        <w:t>and indicators</w:t>
      </w:r>
      <w:r w:rsidR="00CA240A" w:rsidRPr="00B6592E">
        <w:rPr>
          <w:bCs/>
          <w:iCs/>
        </w:rPr>
        <w:t xml:space="preserve">. </w:t>
      </w:r>
      <w:r w:rsidR="009D349F" w:rsidRPr="00B6592E">
        <w:rPr>
          <w:bCs/>
          <w:iCs/>
        </w:rPr>
        <w:t xml:space="preserve">  </w:t>
      </w:r>
    </w:p>
    <w:p w:rsidR="009D349F" w:rsidRPr="00B6592E" w:rsidRDefault="000C4989" w:rsidP="009D349F">
      <w:pPr>
        <w:pStyle w:val="SingleTxtG"/>
        <w:rPr>
          <w:bCs/>
          <w:iCs/>
        </w:rPr>
      </w:pPr>
      <w:r w:rsidRPr="00B6592E">
        <w:rPr>
          <w:bCs/>
          <w:iCs/>
        </w:rPr>
        <w:t>34</w:t>
      </w:r>
      <w:r w:rsidR="009D349F" w:rsidRPr="00B6592E">
        <w:rPr>
          <w:bCs/>
          <w:iCs/>
        </w:rPr>
        <w:t>.</w:t>
      </w:r>
      <w:r w:rsidR="009D349F" w:rsidRPr="00B6592E">
        <w:rPr>
          <w:bCs/>
          <w:iCs/>
        </w:rPr>
        <w:tab/>
        <w:t xml:space="preserve">The strategic framework is being developed under the auspices of CEP by ECE and UNEP, with support </w:t>
      </w:r>
      <w:r w:rsidR="009C0FAF">
        <w:rPr>
          <w:bCs/>
          <w:iCs/>
        </w:rPr>
        <w:t xml:space="preserve">from </w:t>
      </w:r>
      <w:r w:rsidR="009D349F" w:rsidRPr="00B6592E">
        <w:rPr>
          <w:bCs/>
          <w:iCs/>
        </w:rPr>
        <w:t>other rel</w:t>
      </w:r>
      <w:r w:rsidR="003074A1" w:rsidRPr="00B6592E">
        <w:rPr>
          <w:bCs/>
          <w:iCs/>
        </w:rPr>
        <w:t>evant partners (e.g.</w:t>
      </w:r>
      <w:r w:rsidR="009C0FAF">
        <w:rPr>
          <w:bCs/>
          <w:iCs/>
        </w:rPr>
        <w:t>,</w:t>
      </w:r>
      <w:r w:rsidR="003074A1" w:rsidRPr="00B6592E">
        <w:rPr>
          <w:bCs/>
          <w:iCs/>
        </w:rPr>
        <w:t xml:space="preserve"> EEA, OECD</w:t>
      </w:r>
      <w:r w:rsidR="009C0FAF">
        <w:rPr>
          <w:bCs/>
          <w:iCs/>
        </w:rPr>
        <w:t xml:space="preserve"> and</w:t>
      </w:r>
      <w:r w:rsidR="003074A1" w:rsidRPr="00B6592E">
        <w:rPr>
          <w:bCs/>
          <w:iCs/>
        </w:rPr>
        <w:t xml:space="preserve"> </w:t>
      </w:r>
      <w:r w:rsidR="009C0FAF">
        <w:rPr>
          <w:bCs/>
          <w:iCs/>
        </w:rPr>
        <w:t xml:space="preserve">the </w:t>
      </w:r>
      <w:r w:rsidR="003074A1" w:rsidRPr="00B6592E">
        <w:rPr>
          <w:bCs/>
          <w:iCs/>
        </w:rPr>
        <w:t>W</w:t>
      </w:r>
      <w:r w:rsidR="009C0FAF">
        <w:rPr>
          <w:bCs/>
          <w:iCs/>
        </w:rPr>
        <w:t>orld Health Organization</w:t>
      </w:r>
      <w:r w:rsidR="003074A1" w:rsidRPr="00B6592E">
        <w:rPr>
          <w:bCs/>
          <w:iCs/>
        </w:rPr>
        <w:t xml:space="preserve"> </w:t>
      </w:r>
      <w:r w:rsidR="00F80A78">
        <w:rPr>
          <w:bCs/>
          <w:iCs/>
        </w:rPr>
        <w:t>(WHO)</w:t>
      </w:r>
      <w:r w:rsidR="00CD60EE">
        <w:rPr>
          <w:bCs/>
          <w:iCs/>
        </w:rPr>
        <w:t>)</w:t>
      </w:r>
      <w:r w:rsidR="00F80A78">
        <w:rPr>
          <w:bCs/>
          <w:iCs/>
        </w:rPr>
        <w:t xml:space="preserve"> </w:t>
      </w:r>
      <w:r w:rsidR="009D349F" w:rsidRPr="00B6592E">
        <w:rPr>
          <w:bCs/>
          <w:iCs/>
        </w:rPr>
        <w:t>and in consultation with organizations participating in the Regional Coordination Mechanism</w:t>
      </w:r>
      <w:r w:rsidR="00CD60EE">
        <w:rPr>
          <w:bCs/>
          <w:iCs/>
        </w:rPr>
        <w:t xml:space="preserve"> for Europe and Central Asia</w:t>
      </w:r>
      <w:r w:rsidR="009D349F" w:rsidRPr="00B6592E">
        <w:rPr>
          <w:bCs/>
          <w:iCs/>
        </w:rPr>
        <w:t xml:space="preserve">. This pan-European policy tool will be submitted to the Conference for prospective adoption </w:t>
      </w:r>
      <w:r w:rsidR="009C0FAF">
        <w:rPr>
          <w:bCs/>
          <w:iCs/>
        </w:rPr>
        <w:t xml:space="preserve">by ministers </w:t>
      </w:r>
      <w:r w:rsidR="009D349F" w:rsidRPr="00B6592E">
        <w:rPr>
          <w:bCs/>
          <w:iCs/>
        </w:rPr>
        <w:t xml:space="preserve">and </w:t>
      </w:r>
      <w:r w:rsidR="009C0FAF">
        <w:rPr>
          <w:bCs/>
          <w:iCs/>
        </w:rPr>
        <w:t xml:space="preserve">a </w:t>
      </w:r>
      <w:r w:rsidR="009D349F" w:rsidRPr="00B6592E">
        <w:rPr>
          <w:bCs/>
          <w:iCs/>
        </w:rPr>
        <w:t xml:space="preserve">commitment to implement it. </w:t>
      </w:r>
    </w:p>
    <w:p w:rsidR="00261FFF" w:rsidRPr="00B6592E" w:rsidRDefault="00261FFF" w:rsidP="00101381">
      <w:pPr>
        <w:pStyle w:val="H23G"/>
        <w:rPr>
          <w:bCs/>
          <w:iCs/>
        </w:rPr>
      </w:pPr>
      <w:r w:rsidRPr="00B6592E">
        <w:tab/>
      </w:r>
      <w:r w:rsidR="00C2028C" w:rsidRPr="00B6592E">
        <w:t>2</w:t>
      </w:r>
      <w:r w:rsidRPr="00B6592E">
        <w:t>.</w:t>
      </w:r>
      <w:r w:rsidRPr="00B6592E">
        <w:tab/>
        <w:t xml:space="preserve">Strategic environmental assessment as a </w:t>
      </w:r>
      <w:r w:rsidR="000966C4" w:rsidRPr="00B6592E">
        <w:t>core</w:t>
      </w:r>
      <w:r w:rsidRPr="00B6592E">
        <w:t xml:space="preserve"> tool for </w:t>
      </w:r>
      <w:r w:rsidR="00356EA3" w:rsidRPr="00B6592E">
        <w:t>g</w:t>
      </w:r>
      <w:r w:rsidRPr="00B6592E">
        <w:t xml:space="preserve">reen </w:t>
      </w:r>
      <w:r w:rsidR="00356EA3" w:rsidRPr="00B6592E">
        <w:t>e</w:t>
      </w:r>
      <w:r w:rsidRPr="00B6592E">
        <w:t>conomy</w:t>
      </w:r>
    </w:p>
    <w:p w:rsidR="00261FFF" w:rsidRPr="00B6592E" w:rsidRDefault="00261FFF" w:rsidP="00261FFF">
      <w:pPr>
        <w:pStyle w:val="SingleTxtG"/>
        <w:rPr>
          <w:bCs/>
          <w:iCs/>
        </w:rPr>
      </w:pPr>
      <w:r w:rsidRPr="00B6592E">
        <w:rPr>
          <w:bCs/>
          <w:iCs/>
        </w:rPr>
        <w:t>3</w:t>
      </w:r>
      <w:r w:rsidR="00195E83" w:rsidRPr="00B6592E">
        <w:rPr>
          <w:bCs/>
          <w:iCs/>
        </w:rPr>
        <w:t>5</w:t>
      </w:r>
      <w:r w:rsidRPr="00B6592E">
        <w:rPr>
          <w:bCs/>
          <w:iCs/>
        </w:rPr>
        <w:t>.</w:t>
      </w:r>
      <w:r w:rsidRPr="00B6592E">
        <w:rPr>
          <w:bCs/>
          <w:iCs/>
        </w:rPr>
        <w:tab/>
      </w:r>
      <w:r w:rsidRPr="00B6592E">
        <w:t xml:space="preserve">From 2013 to 2016, the secretariat of the </w:t>
      </w:r>
      <w:r w:rsidR="0038077A" w:rsidRPr="00B6592E">
        <w:t xml:space="preserve">ECE </w:t>
      </w:r>
      <w:r w:rsidRPr="00B6592E">
        <w:t>Convention on Environmental Impact Assessment in a Transboundary Context and its Protocol on Strategic Environmental Assessment, together with OECD, UNEP and the United Nations Industrial Development Organization (UNIDO)</w:t>
      </w:r>
      <w:r w:rsidR="009C0FAF">
        <w:t>,</w:t>
      </w:r>
      <w:r w:rsidRPr="00B6592E">
        <w:t xml:space="preserve"> </w:t>
      </w:r>
      <w:r w:rsidR="009C0FAF">
        <w:t xml:space="preserve">are </w:t>
      </w:r>
      <w:r w:rsidRPr="00B6592E">
        <w:t>implementing the Greening Economies in the Eastern Neighbourhood (</w:t>
      </w:r>
      <w:proofErr w:type="spellStart"/>
      <w:r w:rsidRPr="00B6592E">
        <w:t>EaP</w:t>
      </w:r>
      <w:proofErr w:type="spellEnd"/>
      <w:r w:rsidRPr="00B6592E">
        <w:t xml:space="preserve"> GREEN) programme.</w:t>
      </w:r>
      <w:r w:rsidRPr="00B6592E">
        <w:rPr>
          <w:rStyle w:val="FootnoteReference"/>
        </w:rPr>
        <w:footnoteReference w:id="8"/>
      </w:r>
      <w:r w:rsidRPr="00B6592E">
        <w:t xml:space="preserve"> </w:t>
      </w:r>
      <w:r w:rsidRPr="00B6592E">
        <w:rPr>
          <w:bCs/>
          <w:iCs/>
        </w:rPr>
        <w:t xml:space="preserve">The </w:t>
      </w:r>
      <w:proofErr w:type="spellStart"/>
      <w:r w:rsidRPr="00B6592E">
        <w:rPr>
          <w:bCs/>
          <w:iCs/>
        </w:rPr>
        <w:t>EaP</w:t>
      </w:r>
      <w:proofErr w:type="spellEnd"/>
      <w:r w:rsidRPr="00B6592E">
        <w:rPr>
          <w:bCs/>
          <w:iCs/>
        </w:rPr>
        <w:t xml:space="preserve"> GREEN programme aims to improve both environmental policies and management approaches within a green economy framework. This should result in higher productivity and competitiveness in global markets, as well as better management of natural capital, enhanced environmental quality of life</w:t>
      </w:r>
      <w:r w:rsidR="00CD60EE">
        <w:rPr>
          <w:bCs/>
          <w:iCs/>
        </w:rPr>
        <w:t xml:space="preserve"> </w:t>
      </w:r>
      <w:r w:rsidRPr="00B6592E">
        <w:rPr>
          <w:bCs/>
          <w:iCs/>
        </w:rPr>
        <w:t xml:space="preserve">and more resilient ecosystems and economies. </w:t>
      </w:r>
      <w:r w:rsidRPr="00B6592E">
        <w:t xml:space="preserve">The promotion of strategic environmental assessment (SEA), as well as environmental impact assessment (EIA), is the component of the </w:t>
      </w:r>
      <w:proofErr w:type="spellStart"/>
      <w:r w:rsidRPr="00B6592E">
        <w:t>EaP</w:t>
      </w:r>
      <w:proofErr w:type="spellEnd"/>
      <w:r w:rsidRPr="00B6592E">
        <w:t xml:space="preserve"> GREEN programme implemented by ECE.</w:t>
      </w:r>
    </w:p>
    <w:p w:rsidR="00261FFF" w:rsidRPr="00B6592E" w:rsidRDefault="00261FFF" w:rsidP="00261FFF">
      <w:pPr>
        <w:pStyle w:val="SingleTxtG"/>
      </w:pPr>
      <w:r w:rsidRPr="00B6592E">
        <w:rPr>
          <w:bCs/>
          <w:iCs/>
        </w:rPr>
        <w:t>3</w:t>
      </w:r>
      <w:r w:rsidR="006320E8" w:rsidRPr="00B6592E">
        <w:rPr>
          <w:bCs/>
          <w:iCs/>
        </w:rPr>
        <w:t>6</w:t>
      </w:r>
      <w:r w:rsidRPr="00B6592E">
        <w:rPr>
          <w:bCs/>
          <w:iCs/>
        </w:rPr>
        <w:t>.</w:t>
      </w:r>
      <w:r w:rsidRPr="00B6592E">
        <w:rPr>
          <w:bCs/>
          <w:iCs/>
        </w:rPr>
        <w:tab/>
      </w:r>
      <w:r w:rsidR="003569EE">
        <w:rPr>
          <w:bCs/>
          <w:iCs/>
        </w:rPr>
        <w:t xml:space="preserve">The </w:t>
      </w:r>
      <w:proofErr w:type="spellStart"/>
      <w:r w:rsidR="003569EE">
        <w:rPr>
          <w:bCs/>
          <w:iCs/>
        </w:rPr>
        <w:t>EaP</w:t>
      </w:r>
      <w:proofErr w:type="spellEnd"/>
      <w:r w:rsidR="003569EE">
        <w:rPr>
          <w:bCs/>
          <w:iCs/>
        </w:rPr>
        <w:t xml:space="preserve"> Green </w:t>
      </w:r>
      <w:r w:rsidRPr="00B6592E">
        <w:rPr>
          <w:bCs/>
          <w:iCs/>
        </w:rPr>
        <w:t>programme</w:t>
      </w:r>
      <w:r w:rsidR="00CD60EE">
        <w:rPr>
          <w:bCs/>
          <w:iCs/>
        </w:rPr>
        <w:t>’s four-year term will be completed in 2016</w:t>
      </w:r>
      <w:r w:rsidR="003569EE">
        <w:rPr>
          <w:bCs/>
          <w:iCs/>
        </w:rPr>
        <w:t>,</w:t>
      </w:r>
      <w:r w:rsidRPr="00B6592E">
        <w:rPr>
          <w:bCs/>
          <w:iCs/>
        </w:rPr>
        <w:t xml:space="preserve"> with results presented at dedicated events in Georgia in fall 2015 and in Ukraine in fall 2016. </w:t>
      </w:r>
      <w:r w:rsidRPr="00B6592E">
        <w:t xml:space="preserve">On the occasion of the Batumi EfE Ministerial Conference, subject to availability of resources, the ECE secretariat is considering organizing an awareness-raising event on the use of SEA as an essential planning tool for green economy. The event will aim to showcase the legislative developments and the institutional changes introduced in the </w:t>
      </w:r>
      <w:r w:rsidR="00176FF3" w:rsidRPr="00B6592E">
        <w:t>European Union’s Eastern Partnership (</w:t>
      </w:r>
      <w:proofErr w:type="spellStart"/>
      <w:r w:rsidRPr="00B6592E">
        <w:t>EaP</w:t>
      </w:r>
      <w:proofErr w:type="spellEnd"/>
      <w:r w:rsidR="00176FF3" w:rsidRPr="00B6592E">
        <w:t>)</w:t>
      </w:r>
      <w:r w:rsidRPr="00B6592E">
        <w:t xml:space="preserve"> countries through the programme, and to discuss successes and challenges during the implementation stage. It will also present examples of the practical application of SEA in accordance with the Protocol on SEA and the new legislation developed in the </w:t>
      </w:r>
      <w:proofErr w:type="spellStart"/>
      <w:r w:rsidRPr="00B6592E">
        <w:t>EaP</w:t>
      </w:r>
      <w:proofErr w:type="spellEnd"/>
      <w:r w:rsidRPr="00B6592E">
        <w:t xml:space="preserve"> countries. In that regard, the ECE secretariat will explore the possibility to join forces with the </w:t>
      </w:r>
      <w:proofErr w:type="spellStart"/>
      <w:r w:rsidRPr="00B6592E">
        <w:t>EaP</w:t>
      </w:r>
      <w:proofErr w:type="spellEnd"/>
      <w:r w:rsidRPr="00B6592E">
        <w:t xml:space="preserve"> GREEN partner organizations to organize a common event promoting SEA and EIA, green governance and finance, and presenting demonstration projects on green procurement and organic agriculture. </w:t>
      </w:r>
    </w:p>
    <w:p w:rsidR="00A71AFD" w:rsidRPr="00B6592E" w:rsidRDefault="00A71AFD" w:rsidP="00101381">
      <w:pPr>
        <w:pStyle w:val="H23G"/>
      </w:pPr>
      <w:r w:rsidRPr="00B6592E">
        <w:tab/>
        <w:t>3.</w:t>
      </w:r>
      <w:r w:rsidRPr="00B6592E">
        <w:tab/>
        <w:t xml:space="preserve">Transport, health and environment partnership: jobs in green and healthy transport </w:t>
      </w:r>
    </w:p>
    <w:p w:rsidR="00A71AFD" w:rsidRPr="00B6592E" w:rsidRDefault="00945A14" w:rsidP="00A71AFD">
      <w:pPr>
        <w:pStyle w:val="SingleTxtG"/>
        <w:rPr>
          <w:bCs/>
          <w:iCs/>
        </w:rPr>
      </w:pPr>
      <w:r w:rsidRPr="00B6592E">
        <w:rPr>
          <w:bCs/>
          <w:iCs/>
        </w:rPr>
        <w:t>37</w:t>
      </w:r>
      <w:r w:rsidR="00A71AFD" w:rsidRPr="00B6592E">
        <w:rPr>
          <w:bCs/>
          <w:iCs/>
        </w:rPr>
        <w:t>.</w:t>
      </w:r>
      <w:r w:rsidR="00A71AFD" w:rsidRPr="00B6592E">
        <w:rPr>
          <w:bCs/>
          <w:iCs/>
        </w:rPr>
        <w:tab/>
        <w:t xml:space="preserve">A report on </w:t>
      </w:r>
      <w:r w:rsidR="00691F72" w:rsidRPr="00B6592E">
        <w:rPr>
          <w:bCs/>
          <w:iCs/>
        </w:rPr>
        <w:t xml:space="preserve">the Transport, Health and Environment Pan-European Programme </w:t>
      </w:r>
      <w:r w:rsidR="00A71AFD" w:rsidRPr="00B6592E">
        <w:rPr>
          <w:bCs/>
          <w:iCs/>
        </w:rPr>
        <w:t xml:space="preserve">Partnership on jobs in green and healthy transport will review the various methods </w:t>
      </w:r>
      <w:r w:rsidR="007F2DC5">
        <w:rPr>
          <w:bCs/>
          <w:iCs/>
        </w:rPr>
        <w:t xml:space="preserve">and definitions </w:t>
      </w:r>
      <w:r w:rsidR="00A71AFD" w:rsidRPr="00B6592E">
        <w:rPr>
          <w:bCs/>
          <w:iCs/>
        </w:rPr>
        <w:t xml:space="preserve">used to identify jobs associated with cycling and green jobs </w:t>
      </w:r>
      <w:r w:rsidR="004E5FC3">
        <w:rPr>
          <w:bCs/>
          <w:iCs/>
        </w:rPr>
        <w:t>in this area</w:t>
      </w:r>
      <w:r w:rsidR="00A71AFD" w:rsidRPr="00B6592E">
        <w:rPr>
          <w:bCs/>
          <w:iCs/>
        </w:rPr>
        <w:t xml:space="preserve">. </w:t>
      </w:r>
      <w:r w:rsidR="00A71AFD" w:rsidRPr="00B6592E">
        <w:rPr>
          <w:bCs/>
          <w:iCs/>
        </w:rPr>
        <w:lastRenderedPageBreak/>
        <w:t xml:space="preserve">Furthermore, the report will analyse the </w:t>
      </w:r>
      <w:r w:rsidR="004E5FC3">
        <w:rPr>
          <w:bCs/>
          <w:iCs/>
        </w:rPr>
        <w:t xml:space="preserve">relevant </w:t>
      </w:r>
      <w:r w:rsidR="00A71AFD" w:rsidRPr="00B6592E">
        <w:rPr>
          <w:bCs/>
          <w:iCs/>
        </w:rPr>
        <w:t xml:space="preserve">data </w:t>
      </w:r>
      <w:r w:rsidR="00A71AFD" w:rsidRPr="004E5FC3">
        <w:rPr>
          <w:bCs/>
          <w:iCs/>
        </w:rPr>
        <w:t xml:space="preserve">collected </w:t>
      </w:r>
      <w:r w:rsidR="004E5FC3">
        <w:rPr>
          <w:bCs/>
          <w:iCs/>
        </w:rPr>
        <w:t xml:space="preserve">from </w:t>
      </w:r>
      <w:r w:rsidR="00A71AFD" w:rsidRPr="004E5FC3">
        <w:rPr>
          <w:bCs/>
          <w:iCs/>
        </w:rPr>
        <w:t xml:space="preserve">cities in the European region and explore </w:t>
      </w:r>
      <w:r w:rsidR="004E5FC3">
        <w:rPr>
          <w:bCs/>
          <w:iCs/>
        </w:rPr>
        <w:t xml:space="preserve">cycling’s </w:t>
      </w:r>
      <w:r w:rsidR="00A71AFD" w:rsidRPr="004E5FC3">
        <w:rPr>
          <w:bCs/>
          <w:iCs/>
        </w:rPr>
        <w:t xml:space="preserve">potential </w:t>
      </w:r>
      <w:r w:rsidR="004E5FC3">
        <w:rPr>
          <w:bCs/>
          <w:iCs/>
        </w:rPr>
        <w:t xml:space="preserve">role in </w:t>
      </w:r>
      <w:r w:rsidR="00A71AFD" w:rsidRPr="004E5FC3">
        <w:rPr>
          <w:bCs/>
          <w:iCs/>
        </w:rPr>
        <w:t>job creation</w:t>
      </w:r>
      <w:r w:rsidR="00A71AFD" w:rsidRPr="00B6592E">
        <w:rPr>
          <w:bCs/>
          <w:iCs/>
        </w:rPr>
        <w:t>.</w:t>
      </w:r>
    </w:p>
    <w:p w:rsidR="00A67A35" w:rsidRPr="00B6592E" w:rsidRDefault="00A67A35" w:rsidP="00A67A35">
      <w:pPr>
        <w:pStyle w:val="H23G"/>
      </w:pPr>
      <w:r w:rsidRPr="00B6592E">
        <w:tab/>
      </w:r>
      <w:r w:rsidR="002F1D7D" w:rsidRPr="00B6592E">
        <w:t>4</w:t>
      </w:r>
      <w:r w:rsidRPr="00B6592E">
        <w:t>.</w:t>
      </w:r>
      <w:r w:rsidRPr="00B6592E">
        <w:tab/>
        <w:t>Global Initiative on Decent Jobs for Youth</w:t>
      </w:r>
    </w:p>
    <w:p w:rsidR="00A67A35" w:rsidRPr="00B6592E" w:rsidRDefault="00BE1095" w:rsidP="00A67A35">
      <w:pPr>
        <w:pStyle w:val="SingleTxtG"/>
        <w:rPr>
          <w:bCs/>
          <w:iCs/>
        </w:rPr>
      </w:pPr>
      <w:r w:rsidRPr="00B6592E">
        <w:rPr>
          <w:bCs/>
          <w:iCs/>
        </w:rPr>
        <w:t>3</w:t>
      </w:r>
      <w:r w:rsidR="005471A7" w:rsidRPr="00B6592E">
        <w:rPr>
          <w:bCs/>
          <w:iCs/>
        </w:rPr>
        <w:t>8</w:t>
      </w:r>
      <w:r w:rsidR="00A67A35" w:rsidRPr="00B6592E">
        <w:rPr>
          <w:bCs/>
          <w:iCs/>
        </w:rPr>
        <w:t>.</w:t>
      </w:r>
      <w:r w:rsidR="00A67A35" w:rsidRPr="00B6592E">
        <w:rPr>
          <w:bCs/>
          <w:iCs/>
        </w:rPr>
        <w:tab/>
        <w:t xml:space="preserve">In October 2014 the </w:t>
      </w:r>
      <w:r w:rsidRPr="00B6592E">
        <w:rPr>
          <w:bCs/>
          <w:iCs/>
        </w:rPr>
        <w:t xml:space="preserve">International Labour Organization (ILO) </w:t>
      </w:r>
      <w:r w:rsidR="00A67A35" w:rsidRPr="00B6592E">
        <w:rPr>
          <w:bCs/>
          <w:iCs/>
        </w:rPr>
        <w:t xml:space="preserve">High-level Committee on Programmes (HLCP) </w:t>
      </w:r>
      <w:r w:rsidR="004110D4">
        <w:rPr>
          <w:bCs/>
          <w:iCs/>
        </w:rPr>
        <w:t xml:space="preserve">decided to elaborate a </w:t>
      </w:r>
      <w:r w:rsidR="00A67A35" w:rsidRPr="00B6592E">
        <w:rPr>
          <w:bCs/>
          <w:iCs/>
        </w:rPr>
        <w:t>youth employment</w:t>
      </w:r>
      <w:r w:rsidR="009002F7">
        <w:rPr>
          <w:bCs/>
          <w:iCs/>
        </w:rPr>
        <w:t xml:space="preserve"> initiative</w:t>
      </w:r>
      <w:r w:rsidR="00A67A35" w:rsidRPr="00B6592E">
        <w:rPr>
          <w:bCs/>
          <w:iCs/>
        </w:rPr>
        <w:t xml:space="preserve"> </w:t>
      </w:r>
      <w:r w:rsidR="004110D4">
        <w:rPr>
          <w:bCs/>
          <w:iCs/>
        </w:rPr>
        <w:t>involv</w:t>
      </w:r>
      <w:r w:rsidR="00153B19">
        <w:rPr>
          <w:bCs/>
          <w:iCs/>
        </w:rPr>
        <w:t>ing</w:t>
      </w:r>
      <w:r w:rsidR="004110D4">
        <w:rPr>
          <w:bCs/>
          <w:iCs/>
        </w:rPr>
        <w:t xml:space="preserve"> </w:t>
      </w:r>
      <w:r w:rsidR="00717ED7" w:rsidRPr="00B6592E">
        <w:rPr>
          <w:bCs/>
          <w:iCs/>
        </w:rPr>
        <w:t>the</w:t>
      </w:r>
      <w:r w:rsidR="00A67A35" w:rsidRPr="00B6592E">
        <w:rPr>
          <w:bCs/>
          <w:iCs/>
        </w:rPr>
        <w:t xml:space="preserve"> five key elements of the post-2015 </w:t>
      </w:r>
      <w:r w:rsidR="00717ED7" w:rsidRPr="00B6592E">
        <w:rPr>
          <w:bCs/>
          <w:iCs/>
        </w:rPr>
        <w:t xml:space="preserve">development </w:t>
      </w:r>
      <w:r w:rsidR="00A67A35" w:rsidRPr="00B6592E">
        <w:rPr>
          <w:bCs/>
          <w:iCs/>
        </w:rPr>
        <w:t xml:space="preserve">agenda identified by </w:t>
      </w:r>
      <w:r w:rsidR="009B0C32">
        <w:rPr>
          <w:bCs/>
          <w:iCs/>
        </w:rPr>
        <w:t xml:space="preserve">the </w:t>
      </w:r>
      <w:r w:rsidR="00A67A35" w:rsidRPr="00B6592E">
        <w:rPr>
          <w:bCs/>
          <w:iCs/>
        </w:rPr>
        <w:t xml:space="preserve">United Nations System Chief Executives Board for Coordination. </w:t>
      </w:r>
    </w:p>
    <w:p w:rsidR="00A67A35" w:rsidRPr="00B6592E" w:rsidRDefault="005471A7" w:rsidP="00A67A35">
      <w:pPr>
        <w:pStyle w:val="SingleTxtG"/>
      </w:pPr>
      <w:r w:rsidRPr="00B6592E">
        <w:rPr>
          <w:bCs/>
          <w:iCs/>
        </w:rPr>
        <w:t>39</w:t>
      </w:r>
      <w:r w:rsidR="00A67A35" w:rsidRPr="00B6592E">
        <w:rPr>
          <w:bCs/>
          <w:iCs/>
        </w:rPr>
        <w:t>.</w:t>
      </w:r>
      <w:r w:rsidR="00A67A35" w:rsidRPr="00B6592E">
        <w:rPr>
          <w:bCs/>
          <w:iCs/>
        </w:rPr>
        <w:tab/>
      </w:r>
      <w:r w:rsidR="00153B19">
        <w:rPr>
          <w:bCs/>
          <w:iCs/>
        </w:rPr>
        <w:t xml:space="preserve">To do so, </w:t>
      </w:r>
      <w:r w:rsidR="00A67A35" w:rsidRPr="00B6592E">
        <w:rPr>
          <w:bCs/>
          <w:iCs/>
        </w:rPr>
        <w:t>HLCP establish</w:t>
      </w:r>
      <w:r w:rsidR="00717ED7" w:rsidRPr="00B6592E">
        <w:rPr>
          <w:bCs/>
          <w:iCs/>
        </w:rPr>
        <w:t>ed</w:t>
      </w:r>
      <w:r w:rsidR="00A67A35" w:rsidRPr="00B6592E">
        <w:rPr>
          <w:bCs/>
          <w:iCs/>
        </w:rPr>
        <w:t xml:space="preserve"> </w:t>
      </w:r>
      <w:r w:rsidR="0010771B">
        <w:rPr>
          <w:bCs/>
          <w:iCs/>
        </w:rPr>
        <w:t xml:space="preserve">an </w:t>
      </w:r>
      <w:r w:rsidR="00D12596">
        <w:rPr>
          <w:bCs/>
          <w:iCs/>
        </w:rPr>
        <w:t>I</w:t>
      </w:r>
      <w:r w:rsidR="00A67A35" w:rsidRPr="00B6592E">
        <w:rPr>
          <w:bCs/>
          <w:iCs/>
        </w:rPr>
        <w:t>nter-Agency Task Team</w:t>
      </w:r>
      <w:r w:rsidR="0010771B">
        <w:rPr>
          <w:bCs/>
          <w:iCs/>
        </w:rPr>
        <w:t xml:space="preserve"> </w:t>
      </w:r>
      <w:r w:rsidR="00A67A35" w:rsidRPr="00B6592E">
        <w:rPr>
          <w:bCs/>
          <w:iCs/>
        </w:rPr>
        <w:t xml:space="preserve">to develop a </w:t>
      </w:r>
      <w:r w:rsidR="00ED7AE9">
        <w:rPr>
          <w:bCs/>
          <w:iCs/>
        </w:rPr>
        <w:t>G</w:t>
      </w:r>
      <w:r w:rsidR="0010771B" w:rsidRPr="00B6592E">
        <w:rPr>
          <w:bCs/>
          <w:iCs/>
        </w:rPr>
        <w:t xml:space="preserve">lobal </w:t>
      </w:r>
      <w:r w:rsidR="00ED7AE9">
        <w:rPr>
          <w:bCs/>
          <w:iCs/>
        </w:rPr>
        <w:t>I</w:t>
      </w:r>
      <w:r w:rsidR="0010771B" w:rsidRPr="00B6592E">
        <w:rPr>
          <w:bCs/>
          <w:iCs/>
        </w:rPr>
        <w:t xml:space="preserve">nitiative on </w:t>
      </w:r>
      <w:r w:rsidR="00ED7AE9">
        <w:rPr>
          <w:bCs/>
          <w:iCs/>
        </w:rPr>
        <w:t>D</w:t>
      </w:r>
      <w:r w:rsidR="0010771B" w:rsidRPr="00B6592E">
        <w:rPr>
          <w:bCs/>
          <w:iCs/>
        </w:rPr>
        <w:t xml:space="preserve">ecent </w:t>
      </w:r>
      <w:r w:rsidR="00ED7AE9">
        <w:rPr>
          <w:bCs/>
          <w:iCs/>
        </w:rPr>
        <w:t>J</w:t>
      </w:r>
      <w:r w:rsidR="0010771B" w:rsidRPr="00B6592E">
        <w:rPr>
          <w:bCs/>
          <w:iCs/>
        </w:rPr>
        <w:t xml:space="preserve">obs for </w:t>
      </w:r>
      <w:r w:rsidR="00ED7AE9">
        <w:rPr>
          <w:bCs/>
          <w:iCs/>
        </w:rPr>
        <w:t>Y</w:t>
      </w:r>
      <w:r w:rsidR="0010771B" w:rsidRPr="00B6592E">
        <w:rPr>
          <w:bCs/>
          <w:iCs/>
        </w:rPr>
        <w:t>outh</w:t>
      </w:r>
      <w:r w:rsidR="00153B19">
        <w:rPr>
          <w:bCs/>
          <w:iCs/>
        </w:rPr>
        <w:t xml:space="preserve"> to </w:t>
      </w:r>
      <w:r w:rsidR="00A67A35" w:rsidRPr="00B6592E">
        <w:rPr>
          <w:bCs/>
          <w:iCs/>
        </w:rPr>
        <w:t xml:space="preserve">support efforts in the achievement of SDGs in the area of youth employment and build on past and ongoing experience gained from joint action, lessons learned and good practice </w:t>
      </w:r>
      <w:r w:rsidR="009002F7">
        <w:rPr>
          <w:bCs/>
          <w:iCs/>
        </w:rPr>
        <w:t>in the area</w:t>
      </w:r>
      <w:r w:rsidR="00A67A35" w:rsidRPr="00B6592E">
        <w:rPr>
          <w:bCs/>
          <w:iCs/>
        </w:rPr>
        <w:t xml:space="preserve">. The </w:t>
      </w:r>
      <w:r w:rsidR="0010771B">
        <w:rPr>
          <w:bCs/>
          <w:iCs/>
        </w:rPr>
        <w:t xml:space="preserve">draft </w:t>
      </w:r>
      <w:r w:rsidR="00A67A35" w:rsidRPr="00B6592E">
        <w:rPr>
          <w:bCs/>
          <w:iCs/>
        </w:rPr>
        <w:t xml:space="preserve">strategy </w:t>
      </w:r>
      <w:r w:rsidR="009002F7">
        <w:rPr>
          <w:bCs/>
          <w:iCs/>
        </w:rPr>
        <w:t xml:space="preserve">for the initiative </w:t>
      </w:r>
      <w:r w:rsidR="00A67A35" w:rsidRPr="00B6592E">
        <w:rPr>
          <w:bCs/>
          <w:iCs/>
        </w:rPr>
        <w:t xml:space="preserve">includes four interconnected elements: </w:t>
      </w:r>
      <w:r w:rsidR="007233D6" w:rsidRPr="00B6592E">
        <w:rPr>
          <w:bCs/>
          <w:iCs/>
        </w:rPr>
        <w:t>a</w:t>
      </w:r>
      <w:r w:rsidR="00A67A35" w:rsidRPr="00B6592E">
        <w:rPr>
          <w:bCs/>
          <w:iCs/>
        </w:rPr>
        <w:t xml:space="preserve"> strategic multi</w:t>
      </w:r>
      <w:r w:rsidR="00B8488A">
        <w:rPr>
          <w:bCs/>
          <w:iCs/>
        </w:rPr>
        <w:t>-</w:t>
      </w:r>
      <w:r w:rsidR="00A67A35" w:rsidRPr="00B6592E">
        <w:rPr>
          <w:bCs/>
          <w:iCs/>
        </w:rPr>
        <w:t xml:space="preserve">stakeholder alliance; </w:t>
      </w:r>
      <w:r w:rsidR="007233D6" w:rsidRPr="00B6592E">
        <w:rPr>
          <w:bCs/>
          <w:iCs/>
        </w:rPr>
        <w:t>e</w:t>
      </w:r>
      <w:r w:rsidR="00A67A35" w:rsidRPr="00B6592E">
        <w:rPr>
          <w:bCs/>
          <w:iCs/>
        </w:rPr>
        <w:t>xpanded and scaled</w:t>
      </w:r>
      <w:r w:rsidR="00B8488A">
        <w:rPr>
          <w:bCs/>
          <w:iCs/>
        </w:rPr>
        <w:t>-</w:t>
      </w:r>
      <w:r w:rsidR="00A67A35" w:rsidRPr="00B6592E">
        <w:rPr>
          <w:bCs/>
          <w:iCs/>
        </w:rPr>
        <w:t>up regional and country</w:t>
      </w:r>
      <w:r w:rsidR="00B8488A">
        <w:rPr>
          <w:bCs/>
          <w:iCs/>
        </w:rPr>
        <w:t xml:space="preserve"> </w:t>
      </w:r>
      <w:r w:rsidR="00A67A35" w:rsidRPr="00B6592E">
        <w:rPr>
          <w:bCs/>
          <w:iCs/>
        </w:rPr>
        <w:t>level action on decent jobs for youth;</w:t>
      </w:r>
      <w:r w:rsidR="007233D6" w:rsidRPr="00B6592E">
        <w:rPr>
          <w:bCs/>
          <w:iCs/>
        </w:rPr>
        <w:t xml:space="preserve"> </w:t>
      </w:r>
      <w:r w:rsidR="001F7E34">
        <w:rPr>
          <w:bCs/>
          <w:iCs/>
        </w:rPr>
        <w:t xml:space="preserve">a </w:t>
      </w:r>
      <w:r w:rsidR="007233D6" w:rsidRPr="00B6592E">
        <w:rPr>
          <w:bCs/>
          <w:iCs/>
        </w:rPr>
        <w:t>k</w:t>
      </w:r>
      <w:r w:rsidR="00A67A35" w:rsidRPr="00B6592E">
        <w:rPr>
          <w:bCs/>
          <w:iCs/>
        </w:rPr>
        <w:t xml:space="preserve">nowledge platform on decent jobs for youth; and </w:t>
      </w:r>
      <w:r w:rsidR="007233D6" w:rsidRPr="00B6592E">
        <w:rPr>
          <w:bCs/>
          <w:iCs/>
        </w:rPr>
        <w:t>f</w:t>
      </w:r>
      <w:r w:rsidR="00A67A35" w:rsidRPr="00B6592E">
        <w:rPr>
          <w:bCs/>
          <w:iCs/>
        </w:rPr>
        <w:t>unding modalities and resource mobilization.</w:t>
      </w:r>
      <w:r w:rsidR="00324363" w:rsidRPr="00B6592E">
        <w:rPr>
          <w:bCs/>
          <w:iCs/>
        </w:rPr>
        <w:t xml:space="preserve"> </w:t>
      </w:r>
      <w:r w:rsidR="00A67A35" w:rsidRPr="00B6592E">
        <w:rPr>
          <w:bCs/>
          <w:iCs/>
        </w:rPr>
        <w:t>The strategy for the Global Initiative will be submitted by 31 July 2015 for discussion by HLCP.</w:t>
      </w:r>
      <w:r w:rsidR="00A67A35" w:rsidRPr="00B6592E">
        <w:rPr>
          <w:rStyle w:val="FootnoteReference"/>
          <w:bCs/>
          <w:iCs/>
        </w:rPr>
        <w:footnoteReference w:id="9"/>
      </w:r>
    </w:p>
    <w:p w:rsidR="00A67A35" w:rsidRPr="00B6592E" w:rsidRDefault="00A67A35" w:rsidP="00A67A35">
      <w:pPr>
        <w:pStyle w:val="SingleTxtG"/>
        <w:rPr>
          <w:bCs/>
          <w:iCs/>
        </w:rPr>
      </w:pPr>
      <w:r w:rsidRPr="00B6592E">
        <w:rPr>
          <w:bCs/>
          <w:iCs/>
        </w:rPr>
        <w:t>4</w:t>
      </w:r>
      <w:r w:rsidR="005471A7" w:rsidRPr="00B6592E">
        <w:rPr>
          <w:bCs/>
          <w:iCs/>
        </w:rPr>
        <w:t>0</w:t>
      </w:r>
      <w:r w:rsidRPr="00B6592E">
        <w:rPr>
          <w:bCs/>
          <w:iCs/>
        </w:rPr>
        <w:t>.</w:t>
      </w:r>
      <w:r w:rsidRPr="00B6592E">
        <w:rPr>
          <w:bCs/>
          <w:iCs/>
        </w:rPr>
        <w:tab/>
        <w:t xml:space="preserve">The </w:t>
      </w:r>
      <w:r w:rsidR="001F7E34">
        <w:rPr>
          <w:bCs/>
          <w:iCs/>
        </w:rPr>
        <w:t xml:space="preserve">four </w:t>
      </w:r>
      <w:r w:rsidRPr="00B6592E">
        <w:rPr>
          <w:bCs/>
          <w:iCs/>
        </w:rPr>
        <w:t>interconnected elements make the case for the Partnership for Action on Green Economy (PAGE), knowledge generation and sharing, capacity development (improving education and training policy, peer</w:t>
      </w:r>
      <w:r w:rsidR="001F7E34">
        <w:rPr>
          <w:bCs/>
          <w:iCs/>
        </w:rPr>
        <w:t xml:space="preserve"> </w:t>
      </w:r>
      <w:r w:rsidRPr="00B6592E">
        <w:rPr>
          <w:bCs/>
          <w:iCs/>
        </w:rPr>
        <w:t>learning) and communication. A direct link to both ESD and green economy can be made. Th</w:t>
      </w:r>
      <w:r w:rsidR="00ED7AE9">
        <w:rPr>
          <w:bCs/>
          <w:iCs/>
        </w:rPr>
        <w:t>e</w:t>
      </w:r>
      <w:r w:rsidRPr="00B6592E">
        <w:rPr>
          <w:bCs/>
          <w:iCs/>
        </w:rPr>
        <w:t xml:space="preserve"> five-year strategy is expected to be launched towards the end of 2015. </w:t>
      </w:r>
      <w:r w:rsidR="00ED7AE9">
        <w:rPr>
          <w:bCs/>
          <w:iCs/>
        </w:rPr>
        <w:t xml:space="preserve">UNEP has proposed that the </w:t>
      </w:r>
      <w:r w:rsidR="003066F4" w:rsidRPr="00B6592E">
        <w:rPr>
          <w:bCs/>
          <w:iCs/>
        </w:rPr>
        <w:t xml:space="preserve">initiative </w:t>
      </w:r>
      <w:r w:rsidR="00ED7AE9">
        <w:rPr>
          <w:bCs/>
          <w:iCs/>
        </w:rPr>
        <w:t xml:space="preserve">be featured </w:t>
      </w:r>
      <w:r w:rsidR="003066F4" w:rsidRPr="00B6592E">
        <w:rPr>
          <w:bCs/>
          <w:iCs/>
        </w:rPr>
        <w:t xml:space="preserve">at the Batumi Ministerial Conference under the green economy and/or the </w:t>
      </w:r>
      <w:r w:rsidR="00A149D3" w:rsidRPr="00B6592E">
        <w:rPr>
          <w:bCs/>
          <w:iCs/>
        </w:rPr>
        <w:t>ESD</w:t>
      </w:r>
      <w:r w:rsidR="003066F4" w:rsidRPr="00B6592E">
        <w:rPr>
          <w:bCs/>
          <w:iCs/>
        </w:rPr>
        <w:t xml:space="preserve"> segments. </w:t>
      </w:r>
      <w:r w:rsidRPr="00B6592E">
        <w:rPr>
          <w:bCs/>
          <w:iCs/>
        </w:rPr>
        <w:t xml:space="preserve">CEP will be invited to consider </w:t>
      </w:r>
      <w:r w:rsidR="001F7E34">
        <w:rPr>
          <w:bCs/>
          <w:iCs/>
        </w:rPr>
        <w:t xml:space="preserve">the </w:t>
      </w:r>
      <w:r w:rsidR="003066F4" w:rsidRPr="00B6592E">
        <w:rPr>
          <w:bCs/>
          <w:iCs/>
        </w:rPr>
        <w:t>UNEP proposal</w:t>
      </w:r>
      <w:r w:rsidRPr="00B6592E">
        <w:rPr>
          <w:bCs/>
          <w:iCs/>
        </w:rPr>
        <w:t xml:space="preserve">. </w:t>
      </w:r>
    </w:p>
    <w:p w:rsidR="002F1D7D" w:rsidRPr="00B6592E" w:rsidRDefault="002F1D7D" w:rsidP="002F1D7D">
      <w:pPr>
        <w:pStyle w:val="H23G"/>
        <w:rPr>
          <w:bCs/>
          <w:iCs/>
        </w:rPr>
      </w:pPr>
      <w:r w:rsidRPr="00B6592E">
        <w:tab/>
        <w:t>5.</w:t>
      </w:r>
      <w:r w:rsidRPr="00B6592E">
        <w:tab/>
        <w:t xml:space="preserve">Central Asia Initiative </w:t>
      </w:r>
    </w:p>
    <w:p w:rsidR="002F1D7D" w:rsidRPr="00B6592E" w:rsidRDefault="005471A7" w:rsidP="00A67A35">
      <w:pPr>
        <w:pStyle w:val="SingleTxtG"/>
      </w:pPr>
      <w:r w:rsidRPr="00B6592E">
        <w:rPr>
          <w:bCs/>
          <w:iCs/>
        </w:rPr>
        <w:t>41</w:t>
      </w:r>
      <w:r w:rsidR="002F1D7D" w:rsidRPr="00B6592E">
        <w:rPr>
          <w:bCs/>
          <w:iCs/>
        </w:rPr>
        <w:t>.</w:t>
      </w:r>
      <w:r w:rsidR="002F1D7D" w:rsidRPr="00B6592E">
        <w:rPr>
          <w:bCs/>
          <w:iCs/>
        </w:rPr>
        <w:tab/>
        <w:t xml:space="preserve">The Interstate Commission </w:t>
      </w:r>
      <w:r w:rsidR="00C848CC">
        <w:rPr>
          <w:bCs/>
          <w:iCs/>
        </w:rPr>
        <w:t xml:space="preserve">on </w:t>
      </w:r>
      <w:r w:rsidR="002F1D7D" w:rsidRPr="00B6592E">
        <w:rPr>
          <w:bCs/>
          <w:iCs/>
        </w:rPr>
        <w:t xml:space="preserve">Sustainable Development (ICSD) in Central Asia is considering an initiative to accelerate the transition towards green economy and improve national air quality management. Currently, a subregional </w:t>
      </w:r>
      <w:r w:rsidR="00530331">
        <w:rPr>
          <w:bCs/>
          <w:iCs/>
        </w:rPr>
        <w:t>g</w:t>
      </w:r>
      <w:r w:rsidR="002F1D7D" w:rsidRPr="00B6592E">
        <w:rPr>
          <w:bCs/>
          <w:iCs/>
        </w:rPr>
        <w:t xml:space="preserve">reen </w:t>
      </w:r>
      <w:r w:rsidR="00530331">
        <w:rPr>
          <w:bCs/>
          <w:iCs/>
        </w:rPr>
        <w:t>e</w:t>
      </w:r>
      <w:r w:rsidR="002F1D7D" w:rsidRPr="00B6592E">
        <w:rPr>
          <w:bCs/>
          <w:iCs/>
        </w:rPr>
        <w:t xml:space="preserve">conomy assessment is being conducted, as </w:t>
      </w:r>
      <w:r w:rsidR="00530331">
        <w:rPr>
          <w:bCs/>
          <w:iCs/>
        </w:rPr>
        <w:t xml:space="preserve">a </w:t>
      </w:r>
      <w:r w:rsidR="002F1D7D" w:rsidRPr="00B6592E">
        <w:rPr>
          <w:bCs/>
          <w:iCs/>
        </w:rPr>
        <w:t>first step to design</w:t>
      </w:r>
      <w:r w:rsidR="00530331">
        <w:rPr>
          <w:bCs/>
          <w:iCs/>
        </w:rPr>
        <w:t>ing</w:t>
      </w:r>
      <w:r w:rsidR="002F1D7D" w:rsidRPr="00B6592E">
        <w:rPr>
          <w:bCs/>
          <w:iCs/>
        </w:rPr>
        <w:t xml:space="preserve"> </w:t>
      </w:r>
      <w:r w:rsidR="00530331">
        <w:rPr>
          <w:bCs/>
          <w:iCs/>
        </w:rPr>
        <w:t xml:space="preserve">a </w:t>
      </w:r>
      <w:r w:rsidR="002F1D7D" w:rsidRPr="00B6592E">
        <w:rPr>
          <w:bCs/>
          <w:iCs/>
        </w:rPr>
        <w:t>road</w:t>
      </w:r>
      <w:r w:rsidR="00530331">
        <w:rPr>
          <w:bCs/>
          <w:iCs/>
        </w:rPr>
        <w:t xml:space="preserve"> </w:t>
      </w:r>
      <w:r w:rsidR="002F1D7D" w:rsidRPr="00B6592E">
        <w:rPr>
          <w:bCs/>
          <w:iCs/>
        </w:rPr>
        <w:t>map</w:t>
      </w:r>
      <w:r w:rsidR="00530331">
        <w:rPr>
          <w:bCs/>
          <w:iCs/>
        </w:rPr>
        <w:t xml:space="preserve"> </w:t>
      </w:r>
      <w:r w:rsidR="00530331" w:rsidRPr="00B6592E">
        <w:rPr>
          <w:bCs/>
          <w:iCs/>
        </w:rPr>
        <w:t xml:space="preserve">towards </w:t>
      </w:r>
      <w:r w:rsidR="00530331">
        <w:rPr>
          <w:bCs/>
          <w:iCs/>
        </w:rPr>
        <w:t>g</w:t>
      </w:r>
      <w:r w:rsidR="00530331" w:rsidRPr="00B6592E">
        <w:rPr>
          <w:bCs/>
          <w:iCs/>
        </w:rPr>
        <w:t xml:space="preserve">reen </w:t>
      </w:r>
      <w:r w:rsidR="00530331">
        <w:rPr>
          <w:bCs/>
          <w:iCs/>
        </w:rPr>
        <w:t>e</w:t>
      </w:r>
      <w:r w:rsidR="00530331" w:rsidRPr="00B6592E">
        <w:rPr>
          <w:bCs/>
          <w:iCs/>
        </w:rPr>
        <w:t>conomy</w:t>
      </w:r>
      <w:r w:rsidR="002F1D7D" w:rsidRPr="00B6592E">
        <w:rPr>
          <w:bCs/>
          <w:iCs/>
        </w:rPr>
        <w:t xml:space="preserve">. </w:t>
      </w:r>
      <w:r w:rsidR="00AB3215">
        <w:rPr>
          <w:bCs/>
          <w:iCs/>
        </w:rPr>
        <w:t xml:space="preserve">For the road map, </w:t>
      </w:r>
      <w:r w:rsidR="00AB3215" w:rsidRPr="000531E6">
        <w:rPr>
          <w:bCs/>
          <w:iCs/>
        </w:rPr>
        <w:t xml:space="preserve">ICSD will need </w:t>
      </w:r>
      <w:r w:rsidR="000D17BA" w:rsidRPr="000531E6">
        <w:rPr>
          <w:bCs/>
          <w:iCs/>
        </w:rPr>
        <w:t xml:space="preserve">to </w:t>
      </w:r>
      <w:r w:rsidR="00AB3215" w:rsidRPr="000531E6">
        <w:rPr>
          <w:bCs/>
          <w:iCs/>
        </w:rPr>
        <w:t>garner support and build cooperation</w:t>
      </w:r>
      <w:r w:rsidR="00AB3215">
        <w:rPr>
          <w:bCs/>
          <w:iCs/>
        </w:rPr>
        <w:t xml:space="preserve">. </w:t>
      </w:r>
      <w:r w:rsidR="002F1D7D" w:rsidRPr="00B6592E">
        <w:rPr>
          <w:bCs/>
          <w:iCs/>
        </w:rPr>
        <w:t>T</w:t>
      </w:r>
      <w:r w:rsidR="00AB3215">
        <w:rPr>
          <w:bCs/>
          <w:iCs/>
        </w:rPr>
        <w:t>o kick</w:t>
      </w:r>
      <w:r w:rsidR="00153B19">
        <w:rPr>
          <w:bCs/>
          <w:iCs/>
        </w:rPr>
        <w:t>-</w:t>
      </w:r>
      <w:r w:rsidR="00AB3215">
        <w:rPr>
          <w:bCs/>
          <w:iCs/>
        </w:rPr>
        <w:t>start the process, t</w:t>
      </w:r>
      <w:r w:rsidR="002F1D7D" w:rsidRPr="00B6592E">
        <w:rPr>
          <w:bCs/>
          <w:iCs/>
        </w:rPr>
        <w:t>h</w:t>
      </w:r>
      <w:r w:rsidR="00F80A78">
        <w:rPr>
          <w:bCs/>
          <w:iCs/>
        </w:rPr>
        <w:t xml:space="preserve">e </w:t>
      </w:r>
      <w:r w:rsidR="002F1D7D" w:rsidRPr="00B6592E">
        <w:rPr>
          <w:bCs/>
          <w:iCs/>
        </w:rPr>
        <w:t xml:space="preserve">initiative could be launched as </w:t>
      </w:r>
      <w:r w:rsidR="00AB3215">
        <w:rPr>
          <w:bCs/>
          <w:iCs/>
        </w:rPr>
        <w:t xml:space="preserve">a </w:t>
      </w:r>
      <w:r w:rsidR="002F1D7D" w:rsidRPr="00B6592E">
        <w:rPr>
          <w:bCs/>
          <w:iCs/>
        </w:rPr>
        <w:t xml:space="preserve">subregional action using the high-level platform of the Batumi Conference. </w:t>
      </w:r>
    </w:p>
    <w:p w:rsidR="0005765F" w:rsidRPr="00B6592E" w:rsidRDefault="0005765F" w:rsidP="0005765F">
      <w:pPr>
        <w:pStyle w:val="H1G"/>
        <w:rPr>
          <w:bCs/>
          <w:iCs/>
        </w:rPr>
      </w:pPr>
      <w:r w:rsidRPr="00B6592E">
        <w:tab/>
      </w:r>
      <w:r w:rsidR="007413B2" w:rsidRPr="00B6592E">
        <w:t>D</w:t>
      </w:r>
      <w:r w:rsidRPr="00B6592E">
        <w:t>.</w:t>
      </w:r>
      <w:r w:rsidRPr="00B6592E">
        <w:tab/>
        <w:t>Improving air quality for a better environment and human health</w:t>
      </w:r>
    </w:p>
    <w:p w:rsidR="009D349F" w:rsidRPr="00B6592E" w:rsidRDefault="009D349F" w:rsidP="00101381">
      <w:pPr>
        <w:pStyle w:val="H23G"/>
        <w:rPr>
          <w:bCs/>
          <w:iCs/>
        </w:rPr>
      </w:pPr>
      <w:r w:rsidRPr="00B6592E">
        <w:tab/>
      </w:r>
      <w:r w:rsidR="0005765F" w:rsidRPr="00B6592E">
        <w:t>1</w:t>
      </w:r>
      <w:r w:rsidRPr="00B6592E">
        <w:t>.</w:t>
      </w:r>
      <w:r w:rsidRPr="00B6592E">
        <w:tab/>
        <w:t>Batumi Action for Cleaner Air</w:t>
      </w:r>
    </w:p>
    <w:p w:rsidR="009D349F" w:rsidRPr="00B6592E" w:rsidRDefault="00A71C07" w:rsidP="009D349F">
      <w:pPr>
        <w:pStyle w:val="SingleTxtG"/>
        <w:rPr>
          <w:bCs/>
          <w:iCs/>
        </w:rPr>
      </w:pPr>
      <w:r w:rsidRPr="00B6592E">
        <w:rPr>
          <w:bCs/>
          <w:iCs/>
        </w:rPr>
        <w:t>42</w:t>
      </w:r>
      <w:r w:rsidR="009D349F" w:rsidRPr="00B6592E">
        <w:rPr>
          <w:bCs/>
          <w:iCs/>
        </w:rPr>
        <w:t>.</w:t>
      </w:r>
      <w:r w:rsidR="009D349F" w:rsidRPr="00B6592E">
        <w:rPr>
          <w:bCs/>
          <w:iCs/>
        </w:rPr>
        <w:tab/>
        <w:t xml:space="preserve">The </w:t>
      </w:r>
      <w:r w:rsidR="00E3395A" w:rsidRPr="00B6592E">
        <w:rPr>
          <w:bCs/>
          <w:iCs/>
        </w:rPr>
        <w:t>Bureau</w:t>
      </w:r>
      <w:r w:rsidR="009D349F" w:rsidRPr="00B6592E">
        <w:rPr>
          <w:bCs/>
          <w:iCs/>
        </w:rPr>
        <w:t xml:space="preserve"> of the Convention on Long-range Transboundary Air Pollution (Air Convention) </w:t>
      </w:r>
      <w:r w:rsidR="00501BB9" w:rsidRPr="00B6592E">
        <w:rPr>
          <w:bCs/>
          <w:iCs/>
        </w:rPr>
        <w:t xml:space="preserve">has proposed </w:t>
      </w:r>
      <w:r w:rsidR="009D349F" w:rsidRPr="00B6592E">
        <w:rPr>
          <w:bCs/>
          <w:iCs/>
        </w:rPr>
        <w:t>an initiative (“Action for Cleaner Air” or something similar), which could be designed as a catalogue of recommended actions</w:t>
      </w:r>
      <w:r w:rsidR="00F80A78">
        <w:rPr>
          <w:bCs/>
          <w:iCs/>
        </w:rPr>
        <w:t>,</w:t>
      </w:r>
      <w:r w:rsidR="009D349F" w:rsidRPr="00B6592E">
        <w:rPr>
          <w:bCs/>
          <w:iCs/>
        </w:rPr>
        <w:t xml:space="preserve"> structured by sectors</w:t>
      </w:r>
      <w:r w:rsidR="00F80A78">
        <w:rPr>
          <w:bCs/>
          <w:iCs/>
        </w:rPr>
        <w:t>,</w:t>
      </w:r>
      <w:r w:rsidR="009D349F" w:rsidRPr="00B6592E">
        <w:rPr>
          <w:bCs/>
          <w:iCs/>
        </w:rPr>
        <w:t xml:space="preserve"> that would facilitate measures for air pollution abatement actions. </w:t>
      </w:r>
      <w:r w:rsidR="00501BB9" w:rsidRPr="00B6592E">
        <w:rPr>
          <w:bCs/>
          <w:iCs/>
        </w:rPr>
        <w:t>Other partners, such as UNEP and WHO have expressed support for such an initiative</w:t>
      </w:r>
      <w:r w:rsidR="009D349F" w:rsidRPr="00B6592E">
        <w:rPr>
          <w:bCs/>
          <w:iCs/>
        </w:rPr>
        <w:t xml:space="preserve"> at an inter</w:t>
      </w:r>
      <w:r w:rsidR="008F12F7">
        <w:rPr>
          <w:bCs/>
          <w:iCs/>
        </w:rPr>
        <w:t>-</w:t>
      </w:r>
      <w:r w:rsidR="009D349F" w:rsidRPr="00B6592E">
        <w:rPr>
          <w:bCs/>
          <w:iCs/>
        </w:rPr>
        <w:t>agency meeting between ECE, UNEP and WHO in February</w:t>
      </w:r>
      <w:r w:rsidR="00153B19">
        <w:rPr>
          <w:bCs/>
          <w:iCs/>
        </w:rPr>
        <w:t xml:space="preserve"> 2015</w:t>
      </w:r>
      <w:r w:rsidR="009D349F" w:rsidRPr="00B6592E">
        <w:rPr>
          <w:bCs/>
          <w:iCs/>
        </w:rPr>
        <w:t>.</w:t>
      </w:r>
    </w:p>
    <w:p w:rsidR="009D349F" w:rsidRPr="00B6592E" w:rsidRDefault="00A2377A" w:rsidP="009D349F">
      <w:pPr>
        <w:pStyle w:val="SingleTxtG"/>
        <w:rPr>
          <w:bCs/>
          <w:iCs/>
        </w:rPr>
      </w:pPr>
      <w:r w:rsidRPr="00B6592E">
        <w:rPr>
          <w:bCs/>
          <w:iCs/>
        </w:rPr>
        <w:t>4</w:t>
      </w:r>
      <w:r w:rsidR="001E51C4" w:rsidRPr="00B6592E">
        <w:rPr>
          <w:bCs/>
          <w:iCs/>
        </w:rPr>
        <w:t>3</w:t>
      </w:r>
      <w:r w:rsidR="009D349F" w:rsidRPr="00B6592E">
        <w:rPr>
          <w:bCs/>
          <w:iCs/>
        </w:rPr>
        <w:t>.</w:t>
      </w:r>
      <w:r w:rsidR="009D349F" w:rsidRPr="00B6592E">
        <w:rPr>
          <w:bCs/>
          <w:iCs/>
        </w:rPr>
        <w:tab/>
        <w:t xml:space="preserve">The objective of the initiative would be to bring these measures to the attention of policymakers and thus to raise the profile of what can be done. The initiative is also intended to assist and guide Governments to adjust their priorities and action plans according to the difficulties they face with regard to improving air quality in the future. The </w:t>
      </w:r>
      <w:r w:rsidR="009D349F" w:rsidRPr="00B6592E">
        <w:rPr>
          <w:bCs/>
          <w:iCs/>
        </w:rPr>
        <w:lastRenderedPageBreak/>
        <w:t>structure of the catalogue of recommended actions according to sectors could also open the door to work with other programmes within ECE</w:t>
      </w:r>
      <w:r w:rsidR="00153B19">
        <w:rPr>
          <w:bCs/>
          <w:iCs/>
        </w:rPr>
        <w:t>,</w:t>
      </w:r>
      <w:r w:rsidR="009D349F" w:rsidRPr="00B6592E">
        <w:rPr>
          <w:bCs/>
          <w:iCs/>
        </w:rPr>
        <w:t xml:space="preserve"> as well as external partners. </w:t>
      </w:r>
    </w:p>
    <w:p w:rsidR="009D349F" w:rsidRPr="00B6592E" w:rsidRDefault="002B17C7" w:rsidP="009D349F">
      <w:pPr>
        <w:pStyle w:val="SingleTxtG"/>
        <w:rPr>
          <w:bCs/>
          <w:iCs/>
        </w:rPr>
      </w:pPr>
      <w:r w:rsidRPr="00B6592E">
        <w:t>4</w:t>
      </w:r>
      <w:r w:rsidR="001E51C4" w:rsidRPr="00B6592E">
        <w:t>4</w:t>
      </w:r>
      <w:r w:rsidR="009D349F" w:rsidRPr="00B6592E">
        <w:t>.</w:t>
      </w:r>
      <w:r w:rsidR="009D349F" w:rsidRPr="00B6592E">
        <w:tab/>
      </w:r>
      <w:r w:rsidR="00AA177C" w:rsidRPr="00B6592E">
        <w:t xml:space="preserve">The </w:t>
      </w:r>
      <w:r w:rsidR="009D349F" w:rsidRPr="00B6592E">
        <w:t>initiative</w:t>
      </w:r>
      <w:r w:rsidRPr="00B6592E">
        <w:t xml:space="preserve">, </w:t>
      </w:r>
      <w:r w:rsidR="009D349F" w:rsidRPr="00B6592E">
        <w:t xml:space="preserve">prepared </w:t>
      </w:r>
      <w:r w:rsidR="00AA177C" w:rsidRPr="00B6592E">
        <w:t xml:space="preserve">by the Bureau </w:t>
      </w:r>
      <w:r w:rsidR="009D349F" w:rsidRPr="00B6592E">
        <w:t>of the Air Convention</w:t>
      </w:r>
      <w:r w:rsidRPr="00B6592E">
        <w:t xml:space="preserve">, </w:t>
      </w:r>
      <w:r w:rsidR="008F12F7">
        <w:rPr>
          <w:bCs/>
          <w:iCs/>
        </w:rPr>
        <w:t xml:space="preserve">will </w:t>
      </w:r>
      <w:r w:rsidR="009D349F" w:rsidRPr="00B6592E">
        <w:rPr>
          <w:bCs/>
          <w:iCs/>
        </w:rPr>
        <w:t>be presented at the Batumi Conference main session on clean air theme, and subsequently launched at a side</w:t>
      </w:r>
      <w:r w:rsidR="008F12F7">
        <w:rPr>
          <w:bCs/>
          <w:iCs/>
        </w:rPr>
        <w:t xml:space="preserve"> </w:t>
      </w:r>
      <w:r w:rsidR="009D349F" w:rsidRPr="00B6592E">
        <w:rPr>
          <w:bCs/>
          <w:iCs/>
        </w:rPr>
        <w:t xml:space="preserve">event on the margins of the Conference. </w:t>
      </w:r>
      <w:r w:rsidR="00FA0989" w:rsidRPr="00B6592E">
        <w:rPr>
          <w:bCs/>
          <w:iCs/>
        </w:rPr>
        <w:t>CEP will be invited to consider the draft initiative submitted by the Bureau of the Air Convention (ECE/CEP/2015/L.5) as one of the outcomes of the Conference.</w:t>
      </w:r>
    </w:p>
    <w:p w:rsidR="007B5F58" w:rsidRPr="00B6592E" w:rsidRDefault="007B5F58" w:rsidP="00101381">
      <w:pPr>
        <w:pStyle w:val="H23G"/>
        <w:rPr>
          <w:bCs/>
          <w:iCs/>
        </w:rPr>
      </w:pPr>
      <w:r w:rsidRPr="00B6592E">
        <w:tab/>
      </w:r>
      <w:r w:rsidR="002F1D7D" w:rsidRPr="00B6592E">
        <w:t>2</w:t>
      </w:r>
      <w:r w:rsidRPr="00B6592E">
        <w:t>.</w:t>
      </w:r>
      <w:r w:rsidRPr="00B6592E">
        <w:tab/>
        <w:t xml:space="preserve">Assessment report under the Convention on Long-range Transboundary Air Pollution   </w:t>
      </w:r>
    </w:p>
    <w:p w:rsidR="007B5F58" w:rsidRPr="00B6592E" w:rsidRDefault="007B5F58" w:rsidP="007B5F58">
      <w:pPr>
        <w:pStyle w:val="SingleTxtG"/>
        <w:rPr>
          <w:bCs/>
          <w:iCs/>
        </w:rPr>
      </w:pPr>
      <w:r w:rsidRPr="00B6592E">
        <w:rPr>
          <w:bCs/>
          <w:iCs/>
        </w:rPr>
        <w:t>4</w:t>
      </w:r>
      <w:r w:rsidR="00304292" w:rsidRPr="00B6592E">
        <w:rPr>
          <w:bCs/>
          <w:iCs/>
        </w:rPr>
        <w:t>5</w:t>
      </w:r>
      <w:r w:rsidRPr="00B6592E">
        <w:rPr>
          <w:bCs/>
          <w:iCs/>
        </w:rPr>
        <w:t>.</w:t>
      </w:r>
      <w:r w:rsidRPr="00B6592E">
        <w:rPr>
          <w:bCs/>
          <w:iCs/>
        </w:rPr>
        <w:tab/>
        <w:t xml:space="preserve">An </w:t>
      </w:r>
      <w:r w:rsidR="0042521C" w:rsidRPr="00B6592E">
        <w:rPr>
          <w:bCs/>
          <w:iCs/>
        </w:rPr>
        <w:t>a</w:t>
      </w:r>
      <w:r w:rsidRPr="00B6592E">
        <w:rPr>
          <w:bCs/>
          <w:iCs/>
        </w:rPr>
        <w:t xml:space="preserve">ssessment </w:t>
      </w:r>
      <w:r w:rsidR="0042521C" w:rsidRPr="00B6592E">
        <w:rPr>
          <w:bCs/>
          <w:iCs/>
        </w:rPr>
        <w:t>r</w:t>
      </w:r>
      <w:r w:rsidRPr="00B6592E">
        <w:rPr>
          <w:bCs/>
          <w:iCs/>
        </w:rPr>
        <w:t xml:space="preserve">eport is currently being prepared under the Air Convention, which will be ready for </w:t>
      </w:r>
      <w:r w:rsidR="0023659E">
        <w:rPr>
          <w:bCs/>
          <w:iCs/>
        </w:rPr>
        <w:t xml:space="preserve">review at </w:t>
      </w:r>
      <w:r w:rsidRPr="00B6592E">
        <w:rPr>
          <w:bCs/>
          <w:iCs/>
        </w:rPr>
        <w:t xml:space="preserve">the Executive Body session in May 2016. </w:t>
      </w:r>
      <w:r w:rsidR="008F12F7">
        <w:rPr>
          <w:bCs/>
          <w:iCs/>
        </w:rPr>
        <w:t xml:space="preserve">The report </w:t>
      </w:r>
      <w:r w:rsidRPr="00B6592E">
        <w:rPr>
          <w:bCs/>
          <w:iCs/>
        </w:rPr>
        <w:t xml:space="preserve">will bring together current scientific knowledge on air pollution, remaining challenges, benefits of further abatement measures and synergies with other policy areas. The main target group </w:t>
      </w:r>
      <w:r w:rsidR="008B691C">
        <w:rPr>
          <w:bCs/>
          <w:iCs/>
        </w:rPr>
        <w:t xml:space="preserve">will </w:t>
      </w:r>
      <w:r w:rsidRPr="00B6592E">
        <w:rPr>
          <w:bCs/>
          <w:iCs/>
        </w:rPr>
        <w:t xml:space="preserve">be politicians and policymakers. </w:t>
      </w:r>
    </w:p>
    <w:p w:rsidR="002F1D7D" w:rsidRPr="00B6592E" w:rsidRDefault="007B5F58" w:rsidP="00C91A06">
      <w:pPr>
        <w:pStyle w:val="SingleTxtG"/>
        <w:rPr>
          <w:bCs/>
          <w:iCs/>
        </w:rPr>
      </w:pPr>
      <w:r w:rsidRPr="00B6592E">
        <w:t>4</w:t>
      </w:r>
      <w:r w:rsidR="00304292" w:rsidRPr="00B6592E">
        <w:t>6</w:t>
      </w:r>
      <w:r w:rsidRPr="00B6592E">
        <w:t>.</w:t>
      </w:r>
      <w:r w:rsidRPr="00B6592E">
        <w:tab/>
        <w:t xml:space="preserve">The </w:t>
      </w:r>
      <w:r w:rsidRPr="00B6592E">
        <w:rPr>
          <w:bCs/>
          <w:iCs/>
        </w:rPr>
        <w:t>Batumi Conference will provide a good opportunity to present the main messages</w:t>
      </w:r>
      <w:r w:rsidR="0023659E">
        <w:rPr>
          <w:bCs/>
          <w:iCs/>
        </w:rPr>
        <w:t xml:space="preserve"> of the air pollution assessment report</w:t>
      </w:r>
      <w:r w:rsidRPr="00B6592E">
        <w:rPr>
          <w:bCs/>
          <w:iCs/>
        </w:rPr>
        <w:t>, possibly at a separate side</w:t>
      </w:r>
      <w:r w:rsidR="0023659E">
        <w:rPr>
          <w:bCs/>
          <w:iCs/>
        </w:rPr>
        <w:t xml:space="preserve"> </w:t>
      </w:r>
      <w:r w:rsidRPr="00B6592E">
        <w:rPr>
          <w:bCs/>
          <w:iCs/>
        </w:rPr>
        <w:t xml:space="preserve">event, </w:t>
      </w:r>
      <w:r w:rsidR="0044666C" w:rsidRPr="00B6592E">
        <w:rPr>
          <w:bCs/>
          <w:iCs/>
        </w:rPr>
        <w:t>including</w:t>
      </w:r>
      <w:r w:rsidRPr="00B6592E">
        <w:rPr>
          <w:bCs/>
          <w:iCs/>
        </w:rPr>
        <w:t xml:space="preserve"> a </w:t>
      </w:r>
      <w:r w:rsidR="0044666C" w:rsidRPr="00B6592E">
        <w:rPr>
          <w:bCs/>
          <w:iCs/>
        </w:rPr>
        <w:t xml:space="preserve">launch </w:t>
      </w:r>
      <w:r w:rsidRPr="00B6592E">
        <w:rPr>
          <w:bCs/>
          <w:iCs/>
        </w:rPr>
        <w:t xml:space="preserve">ceremony. </w:t>
      </w:r>
      <w:r w:rsidR="00A17C15" w:rsidRPr="00B6592E">
        <w:rPr>
          <w:bCs/>
          <w:iCs/>
        </w:rPr>
        <w:t>The event would be organized in partnership with relevant stakeholders, including the Nordic Council of Ministers’ Climate and Air Pollution group.</w:t>
      </w:r>
      <w:r w:rsidR="00574D07" w:rsidRPr="00B6592E">
        <w:rPr>
          <w:bCs/>
          <w:iCs/>
        </w:rPr>
        <w:t xml:space="preserve"> </w:t>
      </w:r>
    </w:p>
    <w:p w:rsidR="002F1D7D" w:rsidRPr="00B6592E" w:rsidRDefault="002F1D7D" w:rsidP="002F1D7D">
      <w:pPr>
        <w:pStyle w:val="H23G"/>
        <w:rPr>
          <w:bCs/>
          <w:iCs/>
        </w:rPr>
      </w:pPr>
      <w:r w:rsidRPr="00B6592E">
        <w:tab/>
        <w:t>3.</w:t>
      </w:r>
      <w:r w:rsidRPr="00B6592E">
        <w:tab/>
        <w:t xml:space="preserve">Aral Sea Initiative </w:t>
      </w:r>
    </w:p>
    <w:p w:rsidR="00045362" w:rsidRPr="00B6592E" w:rsidRDefault="002F1D7D" w:rsidP="001225D0">
      <w:pPr>
        <w:pStyle w:val="SingleTxtG"/>
      </w:pPr>
      <w:r w:rsidRPr="00B6592E">
        <w:rPr>
          <w:bCs/>
          <w:iCs/>
        </w:rPr>
        <w:t>4</w:t>
      </w:r>
      <w:r w:rsidR="00304292" w:rsidRPr="00B6592E">
        <w:rPr>
          <w:bCs/>
          <w:iCs/>
        </w:rPr>
        <w:t>7</w:t>
      </w:r>
      <w:r w:rsidRPr="00B6592E">
        <w:rPr>
          <w:bCs/>
          <w:iCs/>
        </w:rPr>
        <w:t>.</w:t>
      </w:r>
      <w:r w:rsidRPr="00B6592E">
        <w:rPr>
          <w:bCs/>
          <w:iCs/>
        </w:rPr>
        <w:tab/>
        <w:t xml:space="preserve">The International Fund for </w:t>
      </w:r>
      <w:r w:rsidR="002F1B72">
        <w:rPr>
          <w:bCs/>
          <w:iCs/>
        </w:rPr>
        <w:t>S</w:t>
      </w:r>
      <w:r w:rsidRPr="00B6592E">
        <w:rPr>
          <w:bCs/>
          <w:iCs/>
        </w:rPr>
        <w:t>aving the Aral Sea (IFAS) is considering undertaking an initiative to plant trees o</w:t>
      </w:r>
      <w:r w:rsidR="002F1B72">
        <w:rPr>
          <w:bCs/>
          <w:iCs/>
        </w:rPr>
        <w:t>ver</w:t>
      </w:r>
      <w:r w:rsidRPr="00B6592E">
        <w:rPr>
          <w:bCs/>
          <w:iCs/>
        </w:rPr>
        <w:t xml:space="preserve"> vast surfaces </w:t>
      </w:r>
      <w:r w:rsidR="002F1B72">
        <w:rPr>
          <w:bCs/>
          <w:iCs/>
        </w:rPr>
        <w:t xml:space="preserve">of </w:t>
      </w:r>
      <w:r w:rsidRPr="00B6592E">
        <w:rPr>
          <w:bCs/>
          <w:iCs/>
        </w:rPr>
        <w:t xml:space="preserve">the dried bottom of the Aral Sea, </w:t>
      </w:r>
      <w:r w:rsidR="002F1B72" w:rsidRPr="00B6592E">
        <w:rPr>
          <w:bCs/>
          <w:iCs/>
        </w:rPr>
        <w:t>with a view to stabiliz</w:t>
      </w:r>
      <w:r w:rsidR="002F1B72">
        <w:rPr>
          <w:bCs/>
          <w:iCs/>
        </w:rPr>
        <w:t>ing</w:t>
      </w:r>
      <w:r w:rsidR="002F1B72" w:rsidRPr="00B6592E">
        <w:rPr>
          <w:bCs/>
          <w:iCs/>
        </w:rPr>
        <w:t xml:space="preserve"> </w:t>
      </w:r>
      <w:r w:rsidR="002F1B72">
        <w:rPr>
          <w:bCs/>
          <w:iCs/>
        </w:rPr>
        <w:t xml:space="preserve">the sea bottom and </w:t>
      </w:r>
      <w:r w:rsidRPr="00B6592E">
        <w:rPr>
          <w:bCs/>
          <w:iCs/>
        </w:rPr>
        <w:t>decreas</w:t>
      </w:r>
      <w:r w:rsidR="002F1B72">
        <w:rPr>
          <w:bCs/>
          <w:iCs/>
        </w:rPr>
        <w:t>ing</w:t>
      </w:r>
      <w:r w:rsidRPr="00B6592E">
        <w:rPr>
          <w:bCs/>
          <w:iCs/>
        </w:rPr>
        <w:t xml:space="preserve"> the dust polluting large areas </w:t>
      </w:r>
      <w:r w:rsidR="002F1B72">
        <w:rPr>
          <w:bCs/>
          <w:iCs/>
        </w:rPr>
        <w:t xml:space="preserve">of </w:t>
      </w:r>
      <w:r w:rsidRPr="00B6592E">
        <w:rPr>
          <w:bCs/>
          <w:iCs/>
        </w:rPr>
        <w:t xml:space="preserve">the region. This initiative, to be developed by IFAS, could be launched as </w:t>
      </w:r>
      <w:r w:rsidR="002F1B72">
        <w:rPr>
          <w:bCs/>
          <w:iCs/>
        </w:rPr>
        <w:t xml:space="preserve">a </w:t>
      </w:r>
      <w:r w:rsidRPr="00B6592E">
        <w:rPr>
          <w:bCs/>
          <w:iCs/>
        </w:rPr>
        <w:t xml:space="preserve">subregional action using the high-level platform of the Batumi Conference. </w:t>
      </w:r>
    </w:p>
    <w:p w:rsidR="009D349F" w:rsidRPr="00B6592E" w:rsidRDefault="009D349F" w:rsidP="009D349F">
      <w:pPr>
        <w:pStyle w:val="HChG"/>
      </w:pPr>
      <w:r w:rsidRPr="00B6592E">
        <w:tab/>
      </w:r>
      <w:r w:rsidR="00C43285" w:rsidRPr="00B6592E">
        <w:t>I</w:t>
      </w:r>
      <w:r w:rsidRPr="00B6592E">
        <w:t>V.</w:t>
      </w:r>
      <w:r w:rsidRPr="00B6592E">
        <w:tab/>
        <w:t xml:space="preserve">Chair’s </w:t>
      </w:r>
      <w:r w:rsidR="002F1B72">
        <w:t>S</w:t>
      </w:r>
      <w:r w:rsidRPr="00B6592E">
        <w:t>ummary and the report of the Conference</w:t>
      </w:r>
    </w:p>
    <w:p w:rsidR="009D349F" w:rsidRPr="00B6592E" w:rsidRDefault="00304292" w:rsidP="009D349F">
      <w:pPr>
        <w:pStyle w:val="SingleTxtG"/>
      </w:pPr>
      <w:r w:rsidRPr="00B6592E">
        <w:t>48</w:t>
      </w:r>
      <w:r w:rsidR="009D349F" w:rsidRPr="00B6592E">
        <w:t>.</w:t>
      </w:r>
      <w:r w:rsidR="009D349F" w:rsidRPr="00B6592E">
        <w:tab/>
        <w:t xml:space="preserve">A </w:t>
      </w:r>
      <w:r w:rsidR="002F1B72">
        <w:t>C</w:t>
      </w:r>
      <w:r w:rsidR="009D349F" w:rsidRPr="00B6592E">
        <w:t xml:space="preserve">hair’s </w:t>
      </w:r>
      <w:r w:rsidR="002F1B72">
        <w:t>S</w:t>
      </w:r>
      <w:r w:rsidR="009D349F" w:rsidRPr="00B6592E">
        <w:t>ummary will be prepared during the Conference jointly by the host country and the secretariat in cooperation with EfE partners. It will focus on the substance of the Conference, providing a summary of discussions and decisions made at the Conference.</w:t>
      </w:r>
    </w:p>
    <w:p w:rsidR="009D349F" w:rsidRPr="00B6592E" w:rsidRDefault="00304292" w:rsidP="009D349F">
      <w:pPr>
        <w:pStyle w:val="SingleTxtG"/>
      </w:pPr>
      <w:r w:rsidRPr="00B6592E">
        <w:t>49</w:t>
      </w:r>
      <w:r w:rsidR="009D349F" w:rsidRPr="00B6592E">
        <w:t>.</w:t>
      </w:r>
      <w:r w:rsidR="009D349F" w:rsidRPr="00B6592E">
        <w:tab/>
        <w:t xml:space="preserve">A report of the Conference will be prepared by the secretariat as a post-session document. </w:t>
      </w:r>
      <w:r w:rsidR="0005201F">
        <w:t xml:space="preserve">Information on the </w:t>
      </w:r>
      <w:r w:rsidR="009D349F" w:rsidRPr="0005201F">
        <w:t xml:space="preserve">Conference </w:t>
      </w:r>
      <w:r w:rsidR="0005201F">
        <w:t xml:space="preserve">and its outcomes </w:t>
      </w:r>
      <w:r w:rsidR="009D349F" w:rsidRPr="00B6592E">
        <w:t xml:space="preserve">will be made available through the ECE website. After the Conference participants will be invited to submit their statements and interventions to the secretariat for posting on the website.  </w:t>
      </w:r>
    </w:p>
    <w:p w:rsidR="009D349F" w:rsidRPr="00B6592E" w:rsidRDefault="009D349F" w:rsidP="009D349F">
      <w:pPr>
        <w:pStyle w:val="HChG"/>
        <w:spacing w:before="0" w:after="0"/>
        <w:outlineLvl w:val="0"/>
      </w:pPr>
      <w:r w:rsidRPr="00B6592E">
        <w:rPr>
          <w:bCs/>
          <w:iCs/>
        </w:rPr>
        <w:br w:type="page"/>
      </w:r>
      <w:r w:rsidRPr="00B6592E">
        <w:lastRenderedPageBreak/>
        <w:t>Annex</w:t>
      </w:r>
    </w:p>
    <w:p w:rsidR="00B44A3D" w:rsidRPr="00B6592E" w:rsidRDefault="00AA7772" w:rsidP="00101381">
      <w:pPr>
        <w:pStyle w:val="HChG"/>
        <w:spacing w:before="240"/>
      </w:pPr>
      <w:r w:rsidRPr="00B6592E">
        <w:tab/>
      </w:r>
      <w:r w:rsidRPr="00B6592E">
        <w:tab/>
      </w:r>
      <w:r w:rsidR="00FA5948" w:rsidRPr="00B6592E">
        <w:t>P</w:t>
      </w:r>
      <w:r w:rsidR="004264F0" w:rsidRPr="00B6592E">
        <w:t>ossible</w:t>
      </w:r>
      <w:r w:rsidR="007213F3" w:rsidRPr="00B6592E">
        <w:t xml:space="preserve"> elements for the draft Ministerial Declaration</w:t>
      </w:r>
      <w:r w:rsidR="00AB7A49" w:rsidRPr="00B6592E">
        <w:t xml:space="preserve">: “Cleaner, greener, smarter!” </w:t>
      </w:r>
    </w:p>
    <w:p w:rsidR="00F71E90" w:rsidRPr="00B6592E" w:rsidRDefault="00F71E90" w:rsidP="000C11A4">
      <w:pPr>
        <w:pStyle w:val="SingleTxtG"/>
      </w:pPr>
      <w:r w:rsidRPr="00B6592E">
        <w:t xml:space="preserve">The CEP Bureau requested support from the secretariat in preparing elements for the draft ministerial declaration to facilitate the work of CEP at its twenty-first session in October 2015. The elements below </w:t>
      </w:r>
      <w:r w:rsidR="00311BEA" w:rsidRPr="00B6592E">
        <w:t xml:space="preserve">follow the structure </w:t>
      </w:r>
      <w:r w:rsidR="00665C7C" w:rsidRPr="00B6592E">
        <w:t>presented in paragraph 1</w:t>
      </w:r>
      <w:r w:rsidR="008B691C">
        <w:t>1</w:t>
      </w:r>
      <w:r w:rsidR="00665C7C" w:rsidRPr="00B6592E">
        <w:t xml:space="preserve"> above</w:t>
      </w:r>
      <w:r w:rsidR="005C13FC" w:rsidRPr="00B6592E">
        <w:t xml:space="preserve"> </w:t>
      </w:r>
      <w:r w:rsidR="00311BEA" w:rsidRPr="00B6592E">
        <w:t xml:space="preserve">and </w:t>
      </w:r>
      <w:r w:rsidRPr="00B6592E">
        <w:t>inc</w:t>
      </w:r>
      <w:r w:rsidR="005C13FC" w:rsidRPr="00B6592E">
        <w:t>lude comments by the CEP Bureau</w:t>
      </w:r>
      <w:r w:rsidR="00311BEA" w:rsidRPr="00B6592E">
        <w:t>.</w:t>
      </w:r>
    </w:p>
    <w:p w:rsidR="00285BE2" w:rsidRPr="00B6592E" w:rsidRDefault="00285BE2" w:rsidP="00101381">
      <w:pPr>
        <w:pStyle w:val="H23G"/>
      </w:pPr>
      <w:r w:rsidRPr="00B6592E">
        <w:tab/>
      </w:r>
      <w:r w:rsidRPr="00B6592E">
        <w:tab/>
        <w:t>Possible elements</w:t>
      </w:r>
    </w:p>
    <w:p w:rsidR="004264F0" w:rsidRPr="00B6592E" w:rsidRDefault="004264F0" w:rsidP="000C11A4">
      <w:pPr>
        <w:pStyle w:val="SingleTxtG"/>
      </w:pPr>
      <w:r w:rsidRPr="00B6592E">
        <w:t>1.</w:t>
      </w:r>
      <w:r w:rsidR="00285BE2" w:rsidRPr="00B6592E">
        <w:tab/>
      </w:r>
      <w:r w:rsidR="00311BEA" w:rsidRPr="00B6592E">
        <w:t xml:space="preserve">We, the Ministers and </w:t>
      </w:r>
      <w:r w:rsidR="001471A4">
        <w:t>h</w:t>
      </w:r>
      <w:r w:rsidR="00311BEA" w:rsidRPr="00B6592E">
        <w:t xml:space="preserve">eads of </w:t>
      </w:r>
      <w:r w:rsidR="00431C0E" w:rsidRPr="00B6592E">
        <w:t>d</w:t>
      </w:r>
      <w:r w:rsidR="00311BEA" w:rsidRPr="00B6592E">
        <w:t>elegation</w:t>
      </w:r>
      <w:r w:rsidR="00431C0E" w:rsidRPr="00B6592E">
        <w:t xml:space="preserve"> from [</w:t>
      </w:r>
      <w:r w:rsidR="00431C0E" w:rsidRPr="00863446">
        <w:t>number</w:t>
      </w:r>
      <w:r w:rsidR="00431C0E" w:rsidRPr="00B6592E">
        <w:t>] countries</w:t>
      </w:r>
      <w:r w:rsidR="00311BEA" w:rsidRPr="00B6592E">
        <w:t xml:space="preserve"> </w:t>
      </w:r>
      <w:r w:rsidR="0060592B" w:rsidRPr="00B6592E">
        <w:t xml:space="preserve">in the region of the United Nations Economic Commission for Europe (ECE) </w:t>
      </w:r>
      <w:r w:rsidR="0050771F" w:rsidRPr="00B6592E">
        <w:t xml:space="preserve">and the Representative of the European Commission, met </w:t>
      </w:r>
      <w:r w:rsidR="008B691C">
        <w:t xml:space="preserve">in </w:t>
      </w:r>
      <w:r w:rsidR="0050771F" w:rsidRPr="00B6592E">
        <w:t>Batumi</w:t>
      </w:r>
      <w:r w:rsidR="001471A4">
        <w:t>, Georgia,</w:t>
      </w:r>
      <w:r w:rsidR="0050771F" w:rsidRPr="00B6592E">
        <w:t xml:space="preserve"> from 8 to 10 June 2016, in the </w:t>
      </w:r>
      <w:r w:rsidR="00BE6896">
        <w:t>framework of the E</w:t>
      </w:r>
      <w:r w:rsidR="0050771F" w:rsidRPr="00B6592E">
        <w:t xml:space="preserve">ighth Environment for Europe (EfE) </w:t>
      </w:r>
      <w:r w:rsidR="00BE6896">
        <w:t>Ministerial Conference</w:t>
      </w:r>
      <w:r w:rsidR="0050771F" w:rsidRPr="00B6592E">
        <w:t xml:space="preserve">. </w:t>
      </w:r>
    </w:p>
    <w:p w:rsidR="00635614" w:rsidRPr="00B6592E" w:rsidRDefault="0016263E" w:rsidP="000C11A4">
      <w:pPr>
        <w:pStyle w:val="SingleTxtG"/>
      </w:pPr>
      <w:r w:rsidRPr="00B6592E">
        <w:t>2.</w:t>
      </w:r>
      <w:r w:rsidRPr="00B6592E">
        <w:tab/>
      </w:r>
      <w:r w:rsidR="00B85255" w:rsidRPr="00B6592E">
        <w:t xml:space="preserve">We confirm </w:t>
      </w:r>
      <w:r w:rsidR="00E85E7E" w:rsidRPr="00B6592E">
        <w:t>our commitment to improv</w:t>
      </w:r>
      <w:r w:rsidR="00BE6896">
        <w:t>ing</w:t>
      </w:r>
      <w:r w:rsidR="00E85E7E" w:rsidRPr="00B6592E">
        <w:t xml:space="preserve"> environmental protection</w:t>
      </w:r>
      <w:r w:rsidR="001A6087" w:rsidRPr="00B6592E">
        <w:t xml:space="preserve"> </w:t>
      </w:r>
      <w:r w:rsidR="00E85E7E" w:rsidRPr="00B6592E">
        <w:t xml:space="preserve">and </w:t>
      </w:r>
      <w:r w:rsidR="001A6087" w:rsidRPr="00B6592E">
        <w:t>advanc</w:t>
      </w:r>
      <w:r w:rsidR="00BE6896">
        <w:t>ing</w:t>
      </w:r>
      <w:r w:rsidR="00E85E7E" w:rsidRPr="00B6592E">
        <w:t xml:space="preserve"> sustainable development in the ECE region. </w:t>
      </w:r>
      <w:r w:rsidR="00CD534B" w:rsidRPr="00B6592E">
        <w:t xml:space="preserve">We </w:t>
      </w:r>
      <w:r w:rsidR="00A707F3" w:rsidRPr="00B6592E">
        <w:t>value</w:t>
      </w:r>
      <w:r w:rsidR="00CD534B" w:rsidRPr="00B6592E">
        <w:t xml:space="preserve"> the EfE process </w:t>
      </w:r>
      <w:r w:rsidR="00207426" w:rsidRPr="00B6592E">
        <w:t xml:space="preserve">as a unique pan-European platform </w:t>
      </w:r>
      <w:r w:rsidR="004F5492" w:rsidRPr="00B6592E">
        <w:t xml:space="preserve">for addressing environmental challenges, improving environmental governance, promoting </w:t>
      </w:r>
      <w:r w:rsidR="008B6560" w:rsidRPr="00B6592E">
        <w:t>environmental and cross-</w:t>
      </w:r>
      <w:r w:rsidR="004F5492" w:rsidRPr="00B6592E">
        <w:t>sector</w:t>
      </w:r>
      <w:r w:rsidR="008B6560" w:rsidRPr="00B6592E">
        <w:t>al</w:t>
      </w:r>
      <w:r w:rsidR="00E14E7F" w:rsidRPr="00B6592E">
        <w:t xml:space="preserve"> cooperation among countries </w:t>
      </w:r>
      <w:r w:rsidR="00DF6CEC" w:rsidRPr="00B6592E">
        <w:t>and as a pillar of sustainable development in the region for 25 years.</w:t>
      </w:r>
      <w:r w:rsidR="00E14E7F" w:rsidRPr="00B6592E">
        <w:t xml:space="preserve"> </w:t>
      </w:r>
      <w:r w:rsidR="00063193" w:rsidRPr="00B6592E">
        <w:t xml:space="preserve">We reiterate the importance of the involvement of civil society in decision-making to improve the environment. </w:t>
      </w:r>
      <w:r w:rsidR="00E14E7F" w:rsidRPr="00B6592E">
        <w:t xml:space="preserve"> </w:t>
      </w:r>
    </w:p>
    <w:p w:rsidR="000924FD" w:rsidRPr="003F2B91" w:rsidRDefault="00BB6FB4" w:rsidP="000C11A4">
      <w:pPr>
        <w:pStyle w:val="SingleTxtG"/>
      </w:pPr>
      <w:r w:rsidRPr="00B6592E">
        <w:t>3.</w:t>
      </w:r>
      <w:r w:rsidRPr="00B6592E">
        <w:tab/>
      </w:r>
      <w:r w:rsidR="00985DA4" w:rsidRPr="00B6592E">
        <w:t>We emphasi</w:t>
      </w:r>
      <w:r w:rsidR="00BE6896">
        <w:t>z</w:t>
      </w:r>
      <w:r w:rsidR="00985DA4" w:rsidRPr="00B6592E">
        <w:t xml:space="preserve">e the urgency of mainstreaming the environmental </w:t>
      </w:r>
      <w:r w:rsidR="00410998" w:rsidRPr="00B6592E">
        <w:t>dimension</w:t>
      </w:r>
      <w:r w:rsidR="0078352D" w:rsidRPr="00B6592E">
        <w:t xml:space="preserve"> </w:t>
      </w:r>
      <w:r w:rsidR="00180736" w:rsidRPr="00B6592E">
        <w:t xml:space="preserve">into economic </w:t>
      </w:r>
      <w:r w:rsidR="0078352D" w:rsidRPr="00B6592E">
        <w:t>policies</w:t>
      </w:r>
      <w:r w:rsidR="00180736" w:rsidRPr="00B6592E">
        <w:t xml:space="preserve">, including by greening the economies in the region. </w:t>
      </w:r>
      <w:r w:rsidR="000924FD" w:rsidRPr="00B6592E">
        <w:t>We reiterate our commitment to take the lead in the transition to a green economy as a key path to sustainable development and poverty eradication and a</w:t>
      </w:r>
      <w:r w:rsidR="005C244A" w:rsidRPr="00B6592E">
        <w:t>n approach</w:t>
      </w:r>
      <w:r w:rsidR="000924FD" w:rsidRPr="00B6592E">
        <w:t xml:space="preserve"> to redirect investments </w:t>
      </w:r>
      <w:r w:rsidR="000924FD" w:rsidRPr="003F2B91">
        <w:t xml:space="preserve">and trade to support </w:t>
      </w:r>
      <w:r w:rsidR="00BE6896" w:rsidRPr="003F2B91">
        <w:t xml:space="preserve">a </w:t>
      </w:r>
      <w:r w:rsidR="000924FD" w:rsidRPr="003F2B91">
        <w:t>green and inclusive econom</w:t>
      </w:r>
      <w:r w:rsidR="00C02927" w:rsidRPr="003F2B91">
        <w:t>y</w:t>
      </w:r>
      <w:r w:rsidR="000924FD" w:rsidRPr="003F2B91">
        <w:t>.</w:t>
      </w:r>
    </w:p>
    <w:p w:rsidR="000924FD" w:rsidRPr="00B6592E" w:rsidRDefault="000924FD" w:rsidP="000C11A4">
      <w:pPr>
        <w:pStyle w:val="SingleTxtG"/>
      </w:pPr>
      <w:r w:rsidRPr="003F2B91">
        <w:t>4.</w:t>
      </w:r>
      <w:r w:rsidRPr="003F2B91">
        <w:tab/>
        <w:t>In greening our economies</w:t>
      </w:r>
      <w:r w:rsidR="00180736" w:rsidRPr="003F2B91">
        <w:t xml:space="preserve">, we aim to </w:t>
      </w:r>
      <w:r w:rsidR="00991D77" w:rsidRPr="003F2B91">
        <w:t xml:space="preserve">enhance </w:t>
      </w:r>
      <w:r w:rsidR="00B8370E" w:rsidRPr="003F2B91">
        <w:t xml:space="preserve">economic prosperity </w:t>
      </w:r>
      <w:r w:rsidR="00323F40" w:rsidRPr="003F2B91">
        <w:t xml:space="preserve">and </w:t>
      </w:r>
      <w:r w:rsidR="00180736" w:rsidRPr="003F2B91">
        <w:t xml:space="preserve">improve human well-being and social </w:t>
      </w:r>
      <w:r w:rsidR="00B8370E" w:rsidRPr="003F2B91">
        <w:t xml:space="preserve">equity, while </w:t>
      </w:r>
      <w:r w:rsidR="00180736" w:rsidRPr="003F2B91">
        <w:t>reduc</w:t>
      </w:r>
      <w:r w:rsidR="00B8370E" w:rsidRPr="003F2B91">
        <w:t>ing</w:t>
      </w:r>
      <w:r w:rsidR="00180736" w:rsidRPr="003F2B91">
        <w:t xml:space="preserve"> environmental risks and</w:t>
      </w:r>
      <w:r w:rsidR="003714D9" w:rsidRPr="003F2B91">
        <w:t xml:space="preserve"> </w:t>
      </w:r>
      <w:r w:rsidR="00180736" w:rsidRPr="003F2B91">
        <w:t xml:space="preserve">ecological scarcities. </w:t>
      </w:r>
      <w:r w:rsidR="00426B89" w:rsidRPr="003F2B91">
        <w:t xml:space="preserve">We will increase the internalization of those externalities that cause the loss of or damage to natural capital, and will enhance the ecological infrastructure </w:t>
      </w:r>
      <w:r w:rsidR="00E6456A" w:rsidRPr="003F2B91">
        <w:t xml:space="preserve">and </w:t>
      </w:r>
      <w:r w:rsidR="00426B89" w:rsidRPr="003F2B91">
        <w:t xml:space="preserve">improve the sustainable </w:t>
      </w:r>
      <w:r w:rsidR="003F2B91">
        <w:t>use</w:t>
      </w:r>
      <w:r w:rsidR="003F2B91" w:rsidRPr="003F2B91">
        <w:t xml:space="preserve"> </w:t>
      </w:r>
      <w:r w:rsidR="00426B89" w:rsidRPr="003F2B91">
        <w:t>of natural</w:t>
      </w:r>
      <w:r w:rsidR="00551444" w:rsidRPr="003F2B91">
        <w:t xml:space="preserve"> resources</w:t>
      </w:r>
      <w:r w:rsidR="00426B89" w:rsidRPr="003F2B91">
        <w:t xml:space="preserve">. </w:t>
      </w:r>
      <w:r w:rsidR="00CC091D" w:rsidRPr="003F2B91">
        <w:t>We will foster</w:t>
      </w:r>
      <w:r w:rsidR="00E6456A" w:rsidRPr="003F2B91">
        <w:t xml:space="preserve"> the circular economy and</w:t>
      </w:r>
      <w:r w:rsidR="00CC091D" w:rsidRPr="003F2B91">
        <w:t xml:space="preserve"> transparent and responsible business practice, </w:t>
      </w:r>
      <w:r w:rsidR="00E6456A" w:rsidRPr="003F2B91">
        <w:t xml:space="preserve">and </w:t>
      </w:r>
      <w:r w:rsidR="00F27987" w:rsidRPr="003F2B91">
        <w:t xml:space="preserve">further work towards </w:t>
      </w:r>
      <w:r w:rsidR="00CC091D" w:rsidRPr="003F2B91">
        <w:t xml:space="preserve">cleaner and more resource-efficient production processes. We will </w:t>
      </w:r>
      <w:r w:rsidR="00E743E1" w:rsidRPr="003F2B91">
        <w:t xml:space="preserve">develop </w:t>
      </w:r>
      <w:r w:rsidR="00CC091D" w:rsidRPr="003F2B91">
        <w:t>the human capital for green jobs</w:t>
      </w:r>
      <w:r w:rsidR="00E53532" w:rsidRPr="003F2B91">
        <w:t>, including by providing relevant education and training,</w:t>
      </w:r>
      <w:r w:rsidR="00CC091D" w:rsidRPr="003F2B91">
        <w:t xml:space="preserve"> and increas</w:t>
      </w:r>
      <w:r w:rsidR="00E743E1" w:rsidRPr="003F2B91">
        <w:t>e</w:t>
      </w:r>
      <w:r w:rsidR="00CC091D" w:rsidRPr="003F2B91">
        <w:t xml:space="preserve"> the availability of such jobs</w:t>
      </w:r>
      <w:r w:rsidR="00AE3162" w:rsidRPr="003F2B91">
        <w:t>,</w:t>
      </w:r>
      <w:r w:rsidR="00C95E54" w:rsidRPr="003F2B91">
        <w:t xml:space="preserve"> ensure access to essential services, and</w:t>
      </w:r>
      <w:r w:rsidR="00FF01D6" w:rsidRPr="003F2B91">
        <w:t xml:space="preserve"> promote</w:t>
      </w:r>
      <w:r w:rsidR="00AE3162" w:rsidRPr="003F2B91">
        <w:t xml:space="preserve"> public participation and education for sustainable development</w:t>
      </w:r>
      <w:r w:rsidR="00CC091D" w:rsidRPr="003F2B91">
        <w:t>.</w:t>
      </w:r>
      <w:r w:rsidR="00CC091D" w:rsidRPr="00B6592E">
        <w:t xml:space="preserve"> </w:t>
      </w:r>
    </w:p>
    <w:p w:rsidR="00985DA4" w:rsidRPr="00B6592E" w:rsidRDefault="000924FD" w:rsidP="000C11A4">
      <w:pPr>
        <w:pStyle w:val="SingleTxtG"/>
      </w:pPr>
      <w:r w:rsidRPr="00B6592E">
        <w:t>5.</w:t>
      </w:r>
      <w:r w:rsidRPr="00B6592E">
        <w:tab/>
        <w:t xml:space="preserve">[We therefore </w:t>
      </w:r>
      <w:r w:rsidR="00443A26" w:rsidRPr="00B6592E">
        <w:t>adopt the pan-European Strategic Framework for Greening the Economy</w:t>
      </w:r>
      <w:r w:rsidR="000F5773">
        <w:t xml:space="preserve"> </w:t>
      </w:r>
      <w:r w:rsidR="008F2359" w:rsidRPr="00B6592E">
        <w:t>––</w:t>
      </w:r>
      <w:r w:rsidR="000F5773">
        <w:t xml:space="preserve"> </w:t>
      </w:r>
      <w:r w:rsidR="008F2359" w:rsidRPr="00B6592E">
        <w:t xml:space="preserve">a tool equipping countries with knowledge on actions and instruments for achieving green economy </w:t>
      </w:r>
      <w:r w:rsidR="002A2F84">
        <w:t>objectives</w:t>
      </w:r>
      <w:r w:rsidR="002A2F84" w:rsidRPr="00B6592E">
        <w:t xml:space="preserve"> </w:t>
      </w:r>
      <w:r w:rsidR="008F2359" w:rsidRPr="00B6592E">
        <w:t xml:space="preserve">and, at the same time, </w:t>
      </w:r>
      <w:r w:rsidR="00183A10" w:rsidRPr="00B6592E">
        <w:t xml:space="preserve">contributing to the implementation of </w:t>
      </w:r>
      <w:r w:rsidR="008F2359" w:rsidRPr="00B6592E">
        <w:t>the Sustainable Development Goals</w:t>
      </w:r>
      <w:r w:rsidR="001D65D0" w:rsidRPr="00B6592E">
        <w:t xml:space="preserve"> (SDGs)</w:t>
      </w:r>
      <w:r w:rsidR="000F5773">
        <w:t xml:space="preserve"> </w:t>
      </w:r>
      <w:r w:rsidR="00970985" w:rsidRPr="00B6592E">
        <w:t>––</w:t>
      </w:r>
      <w:r w:rsidR="000F5773">
        <w:t xml:space="preserve"> </w:t>
      </w:r>
      <w:r w:rsidR="00970985" w:rsidRPr="00B6592E">
        <w:t>and commit to implementing it</w:t>
      </w:r>
      <w:r w:rsidR="00064B7E" w:rsidRPr="00B6592E">
        <w:t xml:space="preserve"> and to report</w:t>
      </w:r>
      <w:r w:rsidR="000F5773">
        <w:t>ing</w:t>
      </w:r>
      <w:r w:rsidR="00064B7E" w:rsidRPr="00B6592E">
        <w:t xml:space="preserve"> on progress </w:t>
      </w:r>
      <w:r w:rsidR="000F5773">
        <w:t xml:space="preserve">thereon </w:t>
      </w:r>
      <w:r w:rsidR="00064B7E" w:rsidRPr="00B6592E">
        <w:t>to the Committee on Environmental Policy (CEP)</w:t>
      </w:r>
      <w:r w:rsidR="00443A26" w:rsidRPr="00B6592E">
        <w:t>.</w:t>
      </w:r>
      <w:r w:rsidR="00970985" w:rsidRPr="00B6592E">
        <w:t xml:space="preserve"> We </w:t>
      </w:r>
      <w:r w:rsidR="000F5773">
        <w:t xml:space="preserve">furthermore </w:t>
      </w:r>
      <w:r w:rsidR="00E53532" w:rsidRPr="00B6592E">
        <w:t>endorse</w:t>
      </w:r>
      <w:r w:rsidR="00970985" w:rsidRPr="00B6592E">
        <w:t xml:space="preserve"> the Batumi Action for Greening the Economy and encourage countries to make use of it to facilitate the transition to a green economy.</w:t>
      </w:r>
      <w:r w:rsidR="005E6D77" w:rsidRPr="00B6592E">
        <w:t>]</w:t>
      </w:r>
      <w:r w:rsidR="00970985" w:rsidRPr="00B6592E">
        <w:t xml:space="preserve"> We commend the good cooperation between ECE and the United Nations Environment Programme and invite the two organizations</w:t>
      </w:r>
      <w:r w:rsidR="000F5773">
        <w:t>,</w:t>
      </w:r>
      <w:r w:rsidR="00970985" w:rsidRPr="00B6592E">
        <w:t xml:space="preserve"> in cooperation with </w:t>
      </w:r>
      <w:r w:rsidR="00EC648E" w:rsidRPr="00B6592E">
        <w:t xml:space="preserve">other </w:t>
      </w:r>
      <w:r w:rsidR="00970985" w:rsidRPr="00B6592E">
        <w:t>relevant international organizations</w:t>
      </w:r>
      <w:r w:rsidR="000F5773">
        <w:t>,</w:t>
      </w:r>
      <w:r w:rsidR="00970985" w:rsidRPr="00B6592E">
        <w:t xml:space="preserve"> to support </w:t>
      </w:r>
      <w:r w:rsidR="00B201C0" w:rsidRPr="00B6592E">
        <w:t>countries in their efforts to green</w:t>
      </w:r>
      <w:r w:rsidR="000F7E1D" w:rsidRPr="00B6592E">
        <w:t xml:space="preserve"> their</w:t>
      </w:r>
      <w:r w:rsidR="00B201C0" w:rsidRPr="00B6592E">
        <w:t xml:space="preserve"> econom</w:t>
      </w:r>
      <w:r w:rsidR="000F7E1D" w:rsidRPr="00B6592E">
        <w:t>ies</w:t>
      </w:r>
      <w:r w:rsidR="00B201C0" w:rsidRPr="00B6592E">
        <w:t xml:space="preserve">. </w:t>
      </w:r>
    </w:p>
    <w:p w:rsidR="009119C6" w:rsidRPr="00B6592E" w:rsidRDefault="00DC3EB6" w:rsidP="000C11A4">
      <w:pPr>
        <w:pStyle w:val="SingleTxtG"/>
      </w:pPr>
      <w:r w:rsidRPr="00B6592E">
        <w:t>6</w:t>
      </w:r>
      <w:r w:rsidR="00C26843" w:rsidRPr="00B6592E">
        <w:t>.</w:t>
      </w:r>
      <w:r w:rsidR="00C26843" w:rsidRPr="00B6592E">
        <w:tab/>
      </w:r>
      <w:r w:rsidR="008E1354" w:rsidRPr="00B6592E">
        <w:t xml:space="preserve">While </w:t>
      </w:r>
      <w:r w:rsidR="006249C1" w:rsidRPr="00B6592E">
        <w:t xml:space="preserve">praising </w:t>
      </w:r>
      <w:r w:rsidR="008E1354" w:rsidRPr="00B6592E">
        <w:t>the</w:t>
      </w:r>
      <w:r w:rsidR="00F10583" w:rsidRPr="00B6592E">
        <w:t xml:space="preserve"> g</w:t>
      </w:r>
      <w:r w:rsidR="00F10EED" w:rsidRPr="00B6592E">
        <w:t xml:space="preserve">ood progress achieved in the pan-European region in the past three decades in decreasing emissions of </w:t>
      </w:r>
      <w:r w:rsidR="000F5773">
        <w:t xml:space="preserve">the </w:t>
      </w:r>
      <w:r w:rsidR="00F10EED" w:rsidRPr="00B6592E">
        <w:t>main air</w:t>
      </w:r>
      <w:r w:rsidR="000F5773">
        <w:t>-</w:t>
      </w:r>
      <w:r w:rsidR="00F10EED" w:rsidRPr="00B6592E">
        <w:t xml:space="preserve">polluting substances and their </w:t>
      </w:r>
      <w:r w:rsidR="00F10EED" w:rsidRPr="00B6592E">
        <w:lastRenderedPageBreak/>
        <w:t>impacts</w:t>
      </w:r>
      <w:r w:rsidR="00CB688A" w:rsidRPr="00B6592E">
        <w:t xml:space="preserve">, we are </w:t>
      </w:r>
      <w:r w:rsidR="00F10583" w:rsidRPr="00B6592E">
        <w:t>concerned that</w:t>
      </w:r>
      <w:r w:rsidR="00F10EED" w:rsidRPr="00B6592E">
        <w:t xml:space="preserve"> air pollution</w:t>
      </w:r>
      <w:r w:rsidR="00084A6D" w:rsidRPr="00B6592E">
        <w:t xml:space="preserve">, both outdoor and indoor, </w:t>
      </w:r>
      <w:r w:rsidR="00F10EED" w:rsidRPr="00B6592E">
        <w:t>remains the largest environmental health threat and an important risk factor for major non</w:t>
      </w:r>
      <w:r w:rsidR="000F5773">
        <w:t>-</w:t>
      </w:r>
      <w:r w:rsidR="00F10EED" w:rsidRPr="00B6592E">
        <w:t xml:space="preserve">communicable diseases. </w:t>
      </w:r>
      <w:r w:rsidR="009119C6" w:rsidRPr="00B6592E">
        <w:t>We therefore commit to improving air quality for a better environment and human health</w:t>
      </w:r>
      <w:r w:rsidR="00604691" w:rsidRPr="00B6592E">
        <w:t>, including by integrating air pollution reduction measures into financial and development policies as well as other sectoral policies, as appropriate</w:t>
      </w:r>
      <w:r w:rsidR="009119C6" w:rsidRPr="00B6592E">
        <w:t>.</w:t>
      </w:r>
      <w:r w:rsidR="00673B91" w:rsidRPr="00B6592E">
        <w:t xml:space="preserve"> </w:t>
      </w:r>
    </w:p>
    <w:p w:rsidR="004C7681" w:rsidRPr="00B6592E" w:rsidRDefault="004864F0" w:rsidP="000C11A4">
      <w:pPr>
        <w:pStyle w:val="SingleTxtG"/>
      </w:pPr>
      <w:r w:rsidRPr="00B6592E">
        <w:t>7</w:t>
      </w:r>
      <w:r w:rsidR="006714C0" w:rsidRPr="00B6592E">
        <w:t>.</w:t>
      </w:r>
      <w:r w:rsidR="006714C0" w:rsidRPr="00B6592E">
        <w:tab/>
      </w:r>
      <w:r w:rsidR="00D95E2D" w:rsidRPr="00B6592E">
        <w:t>[</w:t>
      </w:r>
      <w:r w:rsidR="004C7681" w:rsidRPr="00B6592E">
        <w:t xml:space="preserve">We endorse the Batumi Action for Cleaner Air and welcome the initiatives launched by interested countries and other stakeholders aimed at improving the air quality to protect public health and ecosystems. </w:t>
      </w:r>
      <w:r w:rsidR="00BD5AF1" w:rsidRPr="00B6592E">
        <w:t xml:space="preserve">We invite countries and other stakeholders to implement </w:t>
      </w:r>
      <w:r w:rsidR="00066C10" w:rsidRPr="00B6592E">
        <w:t>the Batumi Action for Cleaner Air</w:t>
      </w:r>
      <w:r w:rsidR="00BD5AF1" w:rsidRPr="00B6592E">
        <w:t xml:space="preserve"> and to report </w:t>
      </w:r>
      <w:r w:rsidR="000D1D9D" w:rsidRPr="00B6592E">
        <w:t xml:space="preserve">on </w:t>
      </w:r>
      <w:r w:rsidR="00BD5AF1" w:rsidRPr="00B6592E">
        <w:t xml:space="preserve">progress to </w:t>
      </w:r>
      <w:r w:rsidR="00347CFA" w:rsidRPr="00B6592E">
        <w:t>CEP</w:t>
      </w:r>
      <w:r w:rsidR="00BD5AF1" w:rsidRPr="00B6592E">
        <w:t>.</w:t>
      </w:r>
      <w:r w:rsidR="00822A0E" w:rsidRPr="00B6592E">
        <w:t>]</w:t>
      </w:r>
      <w:r w:rsidR="00BD5AF1" w:rsidRPr="00B6592E">
        <w:t xml:space="preserve"> </w:t>
      </w:r>
      <w:r w:rsidR="008822D7" w:rsidRPr="00B6592E">
        <w:t xml:space="preserve">We will </w:t>
      </w:r>
      <w:r w:rsidR="00122A00" w:rsidRPr="00B6592E">
        <w:t xml:space="preserve">also </w:t>
      </w:r>
      <w:r w:rsidR="008822D7" w:rsidRPr="00B6592E">
        <w:t>strengthen the role of civil society in addressing air pollution and its impacts</w:t>
      </w:r>
      <w:r w:rsidR="00F851BA" w:rsidRPr="00B6592E">
        <w:t xml:space="preserve"> and we </w:t>
      </w:r>
      <w:r w:rsidR="008822D7" w:rsidRPr="00B6592E">
        <w:t>commit to ensur</w:t>
      </w:r>
      <w:r w:rsidR="005A3336">
        <w:t>ing</w:t>
      </w:r>
      <w:r w:rsidR="008822D7" w:rsidRPr="00B6592E">
        <w:t xml:space="preserve"> adequate monitoring</w:t>
      </w:r>
      <w:r w:rsidR="00A37FE0" w:rsidRPr="00B6592E">
        <w:t xml:space="preserve"> of air pollution</w:t>
      </w:r>
      <w:r w:rsidR="008822D7" w:rsidRPr="00B6592E">
        <w:t xml:space="preserve">, in particular ground-level monitoring, as well as assessment and reporting in accordance with the principles of the Shared Environmental Information System (SEIS).  </w:t>
      </w:r>
    </w:p>
    <w:p w:rsidR="00890BC0" w:rsidRPr="00B6592E" w:rsidRDefault="00DC3BB7" w:rsidP="000C11A4">
      <w:pPr>
        <w:pStyle w:val="SingleTxtG"/>
      </w:pPr>
      <w:r w:rsidRPr="00B6592E">
        <w:t>8</w:t>
      </w:r>
      <w:r w:rsidR="00BD5AF1" w:rsidRPr="00B6592E">
        <w:t>.</w:t>
      </w:r>
      <w:r w:rsidR="00BD5AF1" w:rsidRPr="00B6592E">
        <w:tab/>
      </w:r>
      <w:r w:rsidRPr="00B6592E">
        <w:t xml:space="preserve">We appreciate progress achieved under the </w:t>
      </w:r>
      <w:r w:rsidR="00B1053C" w:rsidRPr="00B6592E">
        <w:t xml:space="preserve">ECE </w:t>
      </w:r>
      <w:r w:rsidR="00E133E5" w:rsidRPr="00B6592E">
        <w:t>multilateral agreements (MEAs)</w:t>
      </w:r>
      <w:r w:rsidR="00EF64C8" w:rsidRPr="00B6592E">
        <w:t xml:space="preserve"> and recognize the need to strengthen the engagement of civil society and </w:t>
      </w:r>
      <w:r w:rsidR="005A3336">
        <w:t xml:space="preserve">the </w:t>
      </w:r>
      <w:r w:rsidR="00EF64C8" w:rsidRPr="00B6592E">
        <w:t>private sector in their implementation</w:t>
      </w:r>
      <w:r w:rsidRPr="00B6592E">
        <w:t>. We invite countries to ratify</w:t>
      </w:r>
      <w:r w:rsidR="004933EE" w:rsidRPr="00B6592E">
        <w:t xml:space="preserve">, implement and provide adequate resources for the </w:t>
      </w:r>
      <w:r w:rsidRPr="00B6592E">
        <w:t>relevant</w:t>
      </w:r>
      <w:r w:rsidR="00210FFD" w:rsidRPr="00B6592E">
        <w:t xml:space="preserve"> MEAs</w:t>
      </w:r>
      <w:r w:rsidR="00DC52E7" w:rsidRPr="00B6592E">
        <w:t>,</w:t>
      </w:r>
      <w:r w:rsidR="004933EE" w:rsidRPr="00B6592E">
        <w:t xml:space="preserve"> </w:t>
      </w:r>
      <w:r w:rsidR="00DC52E7" w:rsidRPr="00B6592E">
        <w:t xml:space="preserve">inter alia, the </w:t>
      </w:r>
      <w:r w:rsidR="00BD5A06" w:rsidRPr="00B6592E">
        <w:t>ECE Convention on the Long</w:t>
      </w:r>
      <w:r w:rsidR="00017CA8" w:rsidRPr="00B6592E">
        <w:t xml:space="preserve">-range </w:t>
      </w:r>
      <w:r w:rsidR="00CD3504" w:rsidRPr="00B6592E">
        <w:t xml:space="preserve">Transboundary Air Pollution (Air Convention) and its </w:t>
      </w:r>
      <w:r w:rsidR="00601686" w:rsidRPr="00B6592E">
        <w:t xml:space="preserve">three most recent </w:t>
      </w:r>
      <w:r w:rsidR="005A3336">
        <w:t>p</w:t>
      </w:r>
      <w:r w:rsidR="00CD3504" w:rsidRPr="00B6592E">
        <w:t>rotocols</w:t>
      </w:r>
      <w:r w:rsidR="00601686" w:rsidRPr="00B6592E">
        <w:t>, including their amendments</w:t>
      </w:r>
      <w:r w:rsidR="00E437D9" w:rsidRPr="00B6592E">
        <w:t xml:space="preserve">. </w:t>
      </w:r>
      <w:r w:rsidR="00B7040C" w:rsidRPr="00B6592E">
        <w:t xml:space="preserve">We recognize the significant opportunities </w:t>
      </w:r>
      <w:r w:rsidR="00027999" w:rsidRPr="00B6592E">
        <w:t xml:space="preserve">provided by </w:t>
      </w:r>
      <w:r w:rsidR="00B7040C" w:rsidRPr="00B6592E">
        <w:t xml:space="preserve">the ECE MEAs </w:t>
      </w:r>
      <w:r w:rsidR="00027999" w:rsidRPr="00B6592E">
        <w:t>t</w:t>
      </w:r>
      <w:r w:rsidR="00B7040C" w:rsidRPr="00B6592E">
        <w:t>o support, where appropriate, the implementation of the post-2015 development agenda, including SDGs.</w:t>
      </w:r>
      <w:r w:rsidR="00CD16DA" w:rsidRPr="00B6592E">
        <w:t xml:space="preserve"> </w:t>
      </w:r>
      <w:r w:rsidR="00890BC0" w:rsidRPr="00B6592E">
        <w:t xml:space="preserve"> </w:t>
      </w:r>
      <w:r w:rsidR="00635614" w:rsidRPr="00B6592E">
        <w:t xml:space="preserve"> </w:t>
      </w:r>
    </w:p>
    <w:p w:rsidR="000714E7" w:rsidRPr="00B6592E" w:rsidRDefault="00A85A13" w:rsidP="002F1D7D">
      <w:pPr>
        <w:pStyle w:val="SingleTxtG"/>
      </w:pPr>
      <w:r w:rsidRPr="00B6592E">
        <w:t>9</w:t>
      </w:r>
      <w:r w:rsidR="00822A0E" w:rsidRPr="00B6592E">
        <w:t>.</w:t>
      </w:r>
      <w:r w:rsidR="00822A0E" w:rsidRPr="00B6592E">
        <w:tab/>
      </w:r>
      <w:r w:rsidR="003F784E" w:rsidRPr="00B6592E">
        <w:t xml:space="preserve">We </w:t>
      </w:r>
      <w:r w:rsidR="00410E53" w:rsidRPr="00B6592E">
        <w:t xml:space="preserve">express our satisfaction with </w:t>
      </w:r>
      <w:r w:rsidR="005A3336">
        <w:t xml:space="preserve">the </w:t>
      </w:r>
      <w:r w:rsidR="00AF18B5" w:rsidRPr="00B6592E">
        <w:t xml:space="preserve">progress </w:t>
      </w:r>
      <w:r w:rsidR="005A3336">
        <w:t xml:space="preserve">in </w:t>
      </w:r>
      <w:r w:rsidR="00AF18B5" w:rsidRPr="00B6592E">
        <w:t xml:space="preserve">the third cycle of </w:t>
      </w:r>
      <w:r w:rsidR="00410E53" w:rsidRPr="00B6592E">
        <w:t>the ECE Environmental Performance Review (EPR) Programme</w:t>
      </w:r>
      <w:r w:rsidR="005A3336">
        <w:t>, which will run until 2021,</w:t>
      </w:r>
      <w:r w:rsidR="00410E53" w:rsidRPr="00B6592E">
        <w:t xml:space="preserve"> </w:t>
      </w:r>
      <w:r w:rsidR="00AF18B5" w:rsidRPr="00B6592E">
        <w:t xml:space="preserve">and </w:t>
      </w:r>
      <w:r w:rsidR="000041E9" w:rsidRPr="00B6592E">
        <w:t xml:space="preserve">encourage </w:t>
      </w:r>
      <w:r w:rsidR="005A3336">
        <w:t xml:space="preserve">relevant </w:t>
      </w:r>
      <w:r w:rsidR="0041489B" w:rsidRPr="00B6592E">
        <w:t xml:space="preserve">interested </w:t>
      </w:r>
      <w:r w:rsidR="000041E9" w:rsidRPr="00B6592E">
        <w:t>countries to undertake a third EPR.</w:t>
      </w:r>
      <w:r w:rsidR="0041489B" w:rsidRPr="00B6592E">
        <w:t xml:space="preserve"> We </w:t>
      </w:r>
      <w:r w:rsidR="005A3336">
        <w:t xml:space="preserve">also </w:t>
      </w:r>
      <w:r w:rsidR="00730A58" w:rsidRPr="00B6592E">
        <w:t>recogni</w:t>
      </w:r>
      <w:r w:rsidR="005A3336">
        <w:t>z</w:t>
      </w:r>
      <w:r w:rsidR="00730A58" w:rsidRPr="00B6592E">
        <w:t>e that</w:t>
      </w:r>
      <w:r w:rsidR="00684ABC" w:rsidRPr="00B6592E">
        <w:t xml:space="preserve"> EPRs </w:t>
      </w:r>
      <w:r w:rsidR="00730A58" w:rsidRPr="00B6592E">
        <w:t xml:space="preserve">may contribute to the </w:t>
      </w:r>
      <w:r w:rsidR="000714E7" w:rsidRPr="00B6592E">
        <w:t xml:space="preserve">review </w:t>
      </w:r>
      <w:r w:rsidR="00730A58" w:rsidRPr="00B6592E">
        <w:t xml:space="preserve">of the </w:t>
      </w:r>
      <w:r w:rsidR="000714E7" w:rsidRPr="00B6592E">
        <w:t>implementation of SDG</w:t>
      </w:r>
      <w:r w:rsidR="00730A58" w:rsidRPr="00B6592E">
        <w:t xml:space="preserve">s. </w:t>
      </w:r>
      <w:r w:rsidR="000714E7" w:rsidRPr="00B6592E">
        <w:t xml:space="preserve">  </w:t>
      </w:r>
    </w:p>
    <w:p w:rsidR="00822A0E" w:rsidRPr="00B6592E" w:rsidRDefault="00A85A13" w:rsidP="002F1D7D">
      <w:pPr>
        <w:pStyle w:val="SingleTxtG"/>
      </w:pPr>
      <w:r w:rsidRPr="00B6592E">
        <w:t>10</w:t>
      </w:r>
      <w:r w:rsidR="00635614" w:rsidRPr="00B6592E">
        <w:t>.</w:t>
      </w:r>
      <w:r w:rsidR="00635614" w:rsidRPr="00B6592E">
        <w:tab/>
      </w:r>
      <w:r w:rsidR="00386DF3" w:rsidRPr="00B6592E">
        <w:t>While</w:t>
      </w:r>
      <w:r w:rsidR="00FA3C73" w:rsidRPr="00B6592E">
        <w:t xml:space="preserve"> </w:t>
      </w:r>
      <w:r w:rsidR="001C50F9" w:rsidRPr="00B6592E">
        <w:t>welcom</w:t>
      </w:r>
      <w:r w:rsidR="00386DF3" w:rsidRPr="00B6592E">
        <w:t>ing</w:t>
      </w:r>
      <w:r w:rsidR="001C50F9" w:rsidRPr="00B6592E">
        <w:t xml:space="preserve"> progress in </w:t>
      </w:r>
      <w:r w:rsidR="00DB58AE" w:rsidRPr="00B6592E">
        <w:t>developing SEIS</w:t>
      </w:r>
      <w:r w:rsidR="001C50F9" w:rsidRPr="00B6592E">
        <w:t xml:space="preserve"> to support the regular environmental assessment process</w:t>
      </w:r>
      <w:r w:rsidR="001254E5" w:rsidRPr="00B6592E">
        <w:t xml:space="preserve"> with a view to keeping the pan-European environment under review,</w:t>
      </w:r>
      <w:r w:rsidR="009C28DD" w:rsidRPr="00B6592E">
        <w:t xml:space="preserve"> we invite countries</w:t>
      </w:r>
      <w:r w:rsidR="00E54E44" w:rsidRPr="00B6592E">
        <w:t xml:space="preserve"> to continue </w:t>
      </w:r>
      <w:r w:rsidR="001254E5" w:rsidRPr="00B6592E">
        <w:t>their efforts</w:t>
      </w:r>
      <w:r w:rsidR="00A91518" w:rsidRPr="00B6592E">
        <w:t xml:space="preserve"> to have the pan-European SEIS in place by 2021</w:t>
      </w:r>
      <w:r w:rsidR="001C50F9" w:rsidRPr="00B6592E">
        <w:t xml:space="preserve">. </w:t>
      </w:r>
      <w:r w:rsidR="00E54E44" w:rsidRPr="00B6592E">
        <w:t xml:space="preserve">[We </w:t>
      </w:r>
      <w:r w:rsidR="00531042">
        <w:t xml:space="preserve">also </w:t>
      </w:r>
      <w:r w:rsidR="00E54E44" w:rsidRPr="00B6592E">
        <w:t xml:space="preserve">take note of </w:t>
      </w:r>
      <w:r w:rsidR="00531042">
        <w:t xml:space="preserve">the </w:t>
      </w:r>
      <w:r w:rsidR="00E54E44" w:rsidRPr="00B6592E">
        <w:t>key messages of the European component of the Sixth Global Environmental Outlook</w:t>
      </w:r>
      <w:r w:rsidR="008B691C">
        <w:t>,</w:t>
      </w:r>
      <w:r w:rsidR="00E54E44" w:rsidRPr="00B6592E">
        <w:t xml:space="preserve"> and </w:t>
      </w:r>
      <w:r w:rsidR="0024583C" w:rsidRPr="00B6592E">
        <w:t>acknowledge the role of this assessment in identifying environmental concerns that need to be addressed in the region.</w:t>
      </w:r>
      <w:r w:rsidR="00E54E44" w:rsidRPr="00B6592E">
        <w:t xml:space="preserve">] </w:t>
      </w:r>
    </w:p>
    <w:p w:rsidR="00CF6D62" w:rsidRPr="00B6592E" w:rsidRDefault="00347CFA" w:rsidP="00C91A06">
      <w:pPr>
        <w:pStyle w:val="SingleTxtG"/>
      </w:pPr>
      <w:r w:rsidRPr="00B6592E">
        <w:t>1</w:t>
      </w:r>
      <w:r w:rsidR="00A85A13" w:rsidRPr="00B6592E">
        <w:t>1</w:t>
      </w:r>
      <w:r w:rsidR="00822A0E" w:rsidRPr="00B6592E">
        <w:t>.</w:t>
      </w:r>
      <w:r w:rsidR="00822A0E" w:rsidRPr="00B6592E">
        <w:tab/>
      </w:r>
      <w:r w:rsidR="00F17ACB" w:rsidRPr="00B6592E">
        <w:t xml:space="preserve">We welcome the work of the Environmental Action Programme </w:t>
      </w:r>
      <w:r w:rsidR="00C91A06" w:rsidRPr="00B6592E">
        <w:t xml:space="preserve">Task Force </w:t>
      </w:r>
      <w:r w:rsidR="00F17ACB" w:rsidRPr="00B6592E">
        <w:t xml:space="preserve">and we invite the Organization for Economic Cooperation and Development to continue </w:t>
      </w:r>
      <w:r w:rsidR="00C91A06" w:rsidRPr="00B6592E">
        <w:t>its activities</w:t>
      </w:r>
      <w:r w:rsidR="00641E7B" w:rsidRPr="00B6592E">
        <w:t xml:space="preserve"> in cooperation with relevant partners</w:t>
      </w:r>
      <w:r w:rsidR="00F17ACB" w:rsidRPr="00B6592E">
        <w:t>.</w:t>
      </w:r>
      <w:r w:rsidR="00641E7B" w:rsidRPr="00B6592E">
        <w:t xml:space="preserve"> </w:t>
      </w:r>
    </w:p>
    <w:p w:rsidR="00C26843" w:rsidRPr="00B6592E" w:rsidRDefault="00CF6D62" w:rsidP="00095C49">
      <w:pPr>
        <w:pStyle w:val="SingleTxtG"/>
      </w:pPr>
      <w:r w:rsidRPr="00B6592E">
        <w:t>12.</w:t>
      </w:r>
      <w:r w:rsidRPr="00B6592E">
        <w:tab/>
        <w:t>We recogni</w:t>
      </w:r>
      <w:r w:rsidR="00531042">
        <w:t>z</w:t>
      </w:r>
      <w:r w:rsidRPr="00B6592E">
        <w:t xml:space="preserve">e the role of Regional Environmental Centres </w:t>
      </w:r>
      <w:r w:rsidR="00C91A06" w:rsidRPr="00B6592E">
        <w:t xml:space="preserve">in implementing initiatives to improve environmental governance at </w:t>
      </w:r>
      <w:r w:rsidR="00531042">
        <w:t xml:space="preserve">the </w:t>
      </w:r>
      <w:r w:rsidR="00C91A06" w:rsidRPr="00B6592E">
        <w:t>local, national, subregional and regional levels</w:t>
      </w:r>
      <w:r w:rsidR="00C90E04" w:rsidRPr="00B6592E">
        <w:t xml:space="preserve"> and encourage them to strengthen their activities</w:t>
      </w:r>
      <w:r w:rsidR="00C91A06" w:rsidRPr="00B6592E">
        <w:t xml:space="preserve">.  </w:t>
      </w:r>
      <w:r w:rsidR="006714C0" w:rsidRPr="00B6592E">
        <w:t xml:space="preserve"> </w:t>
      </w:r>
      <w:r w:rsidR="00F10EED" w:rsidRPr="00B6592E">
        <w:t xml:space="preserve"> </w:t>
      </w:r>
    </w:p>
    <w:p w:rsidR="00C87E06" w:rsidRPr="00B6592E" w:rsidRDefault="00C87E06" w:rsidP="007D2D34">
      <w:pPr>
        <w:pStyle w:val="SingleTxtG"/>
      </w:pPr>
      <w:r w:rsidRPr="00B6592E">
        <w:t>1</w:t>
      </w:r>
      <w:r w:rsidR="00E37C3B" w:rsidRPr="00B6592E">
        <w:t>3</w:t>
      </w:r>
      <w:r w:rsidRPr="00B6592E">
        <w:t>.</w:t>
      </w:r>
      <w:r w:rsidRPr="00B6592E">
        <w:tab/>
      </w:r>
      <w:r w:rsidR="00095C49" w:rsidRPr="00B6592E">
        <w:t>We acknowledge progress in implementing the Astana Water Action</w:t>
      </w:r>
      <w:r w:rsidR="00EE44C6" w:rsidRPr="00B6592E">
        <w:t xml:space="preserve"> </w:t>
      </w:r>
      <w:r w:rsidR="004C0DD9" w:rsidRPr="00B6592E">
        <w:t>––</w:t>
      </w:r>
      <w:r w:rsidR="00EE44C6" w:rsidRPr="00B6592E">
        <w:t xml:space="preserve"> </w:t>
      </w:r>
      <w:r w:rsidR="00095C49" w:rsidRPr="00B6592E">
        <w:t>a useful framework for advancing a sustainable management of water and water-related ecosystem</w:t>
      </w:r>
      <w:r w:rsidR="001C44DA" w:rsidRPr="00B6592E">
        <w:t>s</w:t>
      </w:r>
      <w:r w:rsidR="00531042">
        <w:t> </w:t>
      </w:r>
      <w:r w:rsidR="001A2F68" w:rsidRPr="00B6592E">
        <w:t>––</w:t>
      </w:r>
      <w:r w:rsidR="00EE44C6" w:rsidRPr="00B6592E">
        <w:t xml:space="preserve"> </w:t>
      </w:r>
      <w:r w:rsidR="001A2F68" w:rsidRPr="00B6592E">
        <w:t>and encourage interested countries and organizations to continue using this initiative according to their needs</w:t>
      </w:r>
      <w:r w:rsidR="00095C49" w:rsidRPr="00B6592E">
        <w:t xml:space="preserve">. </w:t>
      </w:r>
      <w:r w:rsidRPr="00B6592E">
        <w:t>[</w:t>
      </w:r>
      <w:r w:rsidR="00C26766" w:rsidRPr="00B6592E">
        <w:t>We</w:t>
      </w:r>
      <w:r w:rsidR="00C93580" w:rsidRPr="00B6592E">
        <w:t xml:space="preserve"> </w:t>
      </w:r>
      <w:r w:rsidR="00531042">
        <w:t xml:space="preserve">further </w:t>
      </w:r>
      <w:r w:rsidRPr="00B6592E">
        <w:t>welcom</w:t>
      </w:r>
      <w:r w:rsidR="00C26766" w:rsidRPr="00B6592E">
        <w:t>e</w:t>
      </w:r>
      <w:r w:rsidRPr="00B6592E">
        <w:t xml:space="preserve"> initiatives</w:t>
      </w:r>
      <w:r w:rsidR="00C26766" w:rsidRPr="00B6592E">
        <w:t xml:space="preserve"> supporting countries’ efforts under the two themes of the Conference, such as</w:t>
      </w:r>
      <w:r w:rsidR="00866DBF" w:rsidRPr="00B6592E">
        <w:t xml:space="preserve"> </w:t>
      </w:r>
      <w:r w:rsidR="00166760" w:rsidRPr="00B6592E">
        <w:t>[</w:t>
      </w:r>
      <w:r w:rsidR="00166760" w:rsidRPr="00F2401E">
        <w:t>name relevant initiatives</w:t>
      </w:r>
      <w:r w:rsidR="00166760" w:rsidRPr="00B6592E">
        <w:t>]</w:t>
      </w:r>
      <w:r w:rsidR="00866DBF" w:rsidRPr="00B6592E">
        <w:t>.</w:t>
      </w:r>
      <w:r w:rsidRPr="00B6592E">
        <w:t>]</w:t>
      </w:r>
    </w:p>
    <w:p w:rsidR="00347CFA" w:rsidRPr="00B6592E" w:rsidRDefault="00347CFA" w:rsidP="007D2D34">
      <w:pPr>
        <w:pStyle w:val="SingleTxtG"/>
      </w:pPr>
      <w:r w:rsidRPr="00B6592E">
        <w:t>1</w:t>
      </w:r>
      <w:r w:rsidR="00E37C3B" w:rsidRPr="00B6592E">
        <w:t>4</w:t>
      </w:r>
      <w:r w:rsidRPr="00B6592E">
        <w:t>.</w:t>
      </w:r>
      <w:r w:rsidRPr="00B6592E">
        <w:tab/>
        <w:t xml:space="preserve">We invite CEP to </w:t>
      </w:r>
      <w:r w:rsidR="008813AC" w:rsidRPr="00B6592E">
        <w:t xml:space="preserve">convene in 2018 a mid-term review to assess progress </w:t>
      </w:r>
      <w:r w:rsidR="008B691C">
        <w:t xml:space="preserve">in </w:t>
      </w:r>
      <w:r w:rsidR="008813AC" w:rsidRPr="00B6592E">
        <w:t>the implementation of the main outcomes of th</w:t>
      </w:r>
      <w:r w:rsidR="00113FF6" w:rsidRPr="00B6592E">
        <w:t>is</w:t>
      </w:r>
      <w:r w:rsidR="008813AC" w:rsidRPr="00B6592E">
        <w:t xml:space="preserve"> Conference. </w:t>
      </w:r>
    </w:p>
    <w:p w:rsidR="0096393F" w:rsidRPr="00B6592E" w:rsidRDefault="0096393F" w:rsidP="002F1D7D">
      <w:pPr>
        <w:pStyle w:val="SingleTxtG"/>
      </w:pPr>
      <w:r w:rsidRPr="00B6592E">
        <w:t>1</w:t>
      </w:r>
      <w:r w:rsidR="00E37C3B" w:rsidRPr="00B6592E">
        <w:t>5</w:t>
      </w:r>
      <w:r w:rsidRPr="00B6592E">
        <w:t>.</w:t>
      </w:r>
      <w:r w:rsidRPr="00B6592E">
        <w:tab/>
      </w:r>
      <w:r w:rsidR="004929A8" w:rsidRPr="00B6592E">
        <w:t>We invite offers of interest from Governments to host the next EfE Ministerial Conference in 2021</w:t>
      </w:r>
      <w:r w:rsidR="001E599D" w:rsidRPr="00B6592E">
        <w:t>, celebrating 30 years of the EfE process,</w:t>
      </w:r>
      <w:r w:rsidR="004929A8" w:rsidRPr="00B6592E">
        <w:t xml:space="preserve"> for consideration by CEP.</w:t>
      </w:r>
    </w:p>
    <w:p w:rsidR="0096393F" w:rsidRPr="00B6592E" w:rsidRDefault="0096393F" w:rsidP="00C91A06">
      <w:pPr>
        <w:pStyle w:val="SingleTxtG"/>
      </w:pPr>
      <w:r w:rsidRPr="00B6592E">
        <w:lastRenderedPageBreak/>
        <w:t>1</w:t>
      </w:r>
      <w:r w:rsidR="00E37C3B" w:rsidRPr="00B6592E">
        <w:t>6</w:t>
      </w:r>
      <w:r w:rsidRPr="00B6592E">
        <w:t>.</w:t>
      </w:r>
      <w:r w:rsidRPr="00B6592E">
        <w:tab/>
      </w:r>
      <w:r w:rsidR="00113FF6" w:rsidRPr="00B6592E">
        <w:t>We express our gratitude to the Government of Georgia for having hosted this Conference</w:t>
      </w:r>
      <w:r w:rsidR="000E0B3D" w:rsidRPr="00B6592E">
        <w:t xml:space="preserve"> and we wish to thank it and the people of Georgia for the warm hospitality we have received.</w:t>
      </w:r>
    </w:p>
    <w:p w:rsidR="002B6E60" w:rsidRPr="00B6592E" w:rsidRDefault="002B6E60" w:rsidP="00101381">
      <w:pPr>
        <w:spacing w:before="120"/>
        <w:ind w:left="1134" w:right="1134"/>
        <w:jc w:val="center"/>
        <w:rPr>
          <w:u w:val="single"/>
        </w:rPr>
      </w:pPr>
      <w:r w:rsidRPr="00B6592E">
        <w:rPr>
          <w:u w:val="single"/>
        </w:rPr>
        <w:tab/>
      </w:r>
      <w:r w:rsidRPr="00B6592E">
        <w:rPr>
          <w:u w:val="single"/>
        </w:rPr>
        <w:tab/>
      </w:r>
      <w:r w:rsidRPr="00B6592E">
        <w:rPr>
          <w:u w:val="single"/>
        </w:rPr>
        <w:tab/>
      </w:r>
    </w:p>
    <w:sectPr w:rsidR="002B6E60" w:rsidRPr="00B6592E" w:rsidSect="000D6D34">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DA5" w:rsidRDefault="006E1DA5"/>
  </w:endnote>
  <w:endnote w:type="continuationSeparator" w:id="0">
    <w:p w:rsidR="006E1DA5" w:rsidRDefault="006E1DA5"/>
  </w:endnote>
  <w:endnote w:type="continuationNotice" w:id="1">
    <w:p w:rsidR="006E1DA5" w:rsidRDefault="006E1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T Std">
    <w:altName w:val="MS Mincho"/>
    <w:panose1 w:val="00000000000000000000"/>
    <w:charset w:val="00"/>
    <w:family w:val="roman"/>
    <w:notTrueType/>
    <w:pitch w:val="default"/>
    <w:sig w:usb0="00000000" w:usb1="08070000" w:usb2="00000010" w:usb3="00000000" w:csb0="00020001"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90" w:rsidRPr="003B51CB" w:rsidRDefault="002F7590" w:rsidP="003B51CB">
    <w:pPr>
      <w:pStyle w:val="Footer"/>
      <w:tabs>
        <w:tab w:val="right" w:pos="9638"/>
      </w:tabs>
      <w:rPr>
        <w:sz w:val="18"/>
      </w:rPr>
    </w:pPr>
    <w:r w:rsidRPr="003B51CB">
      <w:rPr>
        <w:b/>
        <w:sz w:val="18"/>
      </w:rPr>
      <w:fldChar w:fldCharType="begin"/>
    </w:r>
    <w:r w:rsidRPr="003B51CB">
      <w:rPr>
        <w:b/>
        <w:sz w:val="18"/>
      </w:rPr>
      <w:instrText xml:space="preserve"> PAGE  \* MERGEFORMAT </w:instrText>
    </w:r>
    <w:r w:rsidRPr="003B51CB">
      <w:rPr>
        <w:b/>
        <w:sz w:val="18"/>
      </w:rPr>
      <w:fldChar w:fldCharType="separate"/>
    </w:r>
    <w:r w:rsidR="00B5760F">
      <w:rPr>
        <w:b/>
        <w:noProof/>
        <w:sz w:val="18"/>
      </w:rPr>
      <w:t>12</w:t>
    </w:r>
    <w:r w:rsidRPr="003B51C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90" w:rsidRPr="003B51CB" w:rsidRDefault="002F7590" w:rsidP="003B51CB">
    <w:pPr>
      <w:pStyle w:val="Footer"/>
      <w:tabs>
        <w:tab w:val="right" w:pos="9638"/>
      </w:tabs>
      <w:rPr>
        <w:b/>
        <w:sz w:val="18"/>
      </w:rPr>
    </w:pPr>
    <w:r>
      <w:tab/>
    </w:r>
    <w:r w:rsidRPr="003B51CB">
      <w:rPr>
        <w:b/>
        <w:sz w:val="18"/>
      </w:rPr>
      <w:fldChar w:fldCharType="begin"/>
    </w:r>
    <w:r w:rsidRPr="003B51CB">
      <w:rPr>
        <w:b/>
        <w:sz w:val="18"/>
      </w:rPr>
      <w:instrText xml:space="preserve"> PAGE  \* MERGEFORMAT </w:instrText>
    </w:r>
    <w:r w:rsidRPr="003B51CB">
      <w:rPr>
        <w:b/>
        <w:sz w:val="18"/>
      </w:rPr>
      <w:fldChar w:fldCharType="separate"/>
    </w:r>
    <w:r w:rsidR="00B5760F">
      <w:rPr>
        <w:b/>
        <w:noProof/>
        <w:sz w:val="18"/>
      </w:rPr>
      <w:t>11</w:t>
    </w:r>
    <w:r w:rsidRPr="003B51C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0D6D34" w:rsidTr="000D6D34">
      <w:tc>
        <w:tcPr>
          <w:tcW w:w="3614" w:type="dxa"/>
          <w:shd w:val="clear" w:color="auto" w:fill="auto"/>
        </w:tcPr>
        <w:p w:rsidR="000D6D34" w:rsidRDefault="000D6D34" w:rsidP="000D6D34">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ECE/CEP/2015/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2015/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GE.15-13997(E)</w:t>
          </w:r>
        </w:p>
        <w:p w:rsidR="000D6D34" w:rsidRPr="000D6D34" w:rsidRDefault="000D6D34" w:rsidP="000D6D34">
          <w:pPr>
            <w:pStyle w:val="Footer"/>
            <w:rPr>
              <w:rFonts w:ascii="Barcode 3 of 9 by request" w:hAnsi="Barcode 3 of 9 by request"/>
              <w:sz w:val="24"/>
            </w:rPr>
          </w:pPr>
          <w:r>
            <w:rPr>
              <w:rFonts w:ascii="Barcode 3 of 9 by request" w:hAnsi="Barcode 3 of 9 by request"/>
              <w:sz w:val="24"/>
            </w:rPr>
            <w:t>*1513997*</w:t>
          </w:r>
        </w:p>
      </w:tc>
      <w:tc>
        <w:tcPr>
          <w:tcW w:w="4752" w:type="dxa"/>
          <w:shd w:val="clear" w:color="auto" w:fill="auto"/>
        </w:tcPr>
        <w:p w:rsidR="000D6D34" w:rsidRDefault="000D6D34" w:rsidP="000D6D34">
          <w:pPr>
            <w:pStyle w:val="Footer"/>
            <w:spacing w:line="240" w:lineRule="atLeast"/>
            <w:jc w:val="right"/>
            <w:rPr>
              <w:sz w:val="20"/>
            </w:rPr>
          </w:pPr>
          <w:r>
            <w:rPr>
              <w:noProof/>
              <w:sz w:val="20"/>
              <w:lang w:eastAsia="en-GB"/>
            </w:rPr>
            <w:drawing>
              <wp:inline distT="0" distB="0" distL="0" distR="0">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D6D34" w:rsidRPr="000D6D34" w:rsidRDefault="000D6D34" w:rsidP="000D6D3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DA5" w:rsidRPr="000B175B" w:rsidRDefault="006E1DA5" w:rsidP="000B175B">
      <w:pPr>
        <w:tabs>
          <w:tab w:val="right" w:pos="2155"/>
        </w:tabs>
        <w:spacing w:after="80"/>
        <w:ind w:left="680"/>
        <w:rPr>
          <w:u w:val="single"/>
        </w:rPr>
      </w:pPr>
      <w:r>
        <w:rPr>
          <w:u w:val="single"/>
        </w:rPr>
        <w:tab/>
      </w:r>
    </w:p>
  </w:footnote>
  <w:footnote w:type="continuationSeparator" w:id="0">
    <w:p w:rsidR="006E1DA5" w:rsidRPr="00FC68B7" w:rsidRDefault="006E1DA5" w:rsidP="00FC68B7">
      <w:pPr>
        <w:tabs>
          <w:tab w:val="left" w:pos="2155"/>
        </w:tabs>
        <w:spacing w:after="80"/>
        <w:ind w:left="680"/>
        <w:rPr>
          <w:u w:val="single"/>
        </w:rPr>
      </w:pPr>
      <w:r>
        <w:rPr>
          <w:u w:val="single"/>
        </w:rPr>
        <w:tab/>
      </w:r>
    </w:p>
  </w:footnote>
  <w:footnote w:type="continuationNotice" w:id="1">
    <w:p w:rsidR="006E1DA5" w:rsidRDefault="006E1DA5"/>
  </w:footnote>
  <w:footnote w:id="2">
    <w:p w:rsidR="009D349F" w:rsidRDefault="009D349F" w:rsidP="00181C54">
      <w:pPr>
        <w:pStyle w:val="FootnoteText"/>
        <w:widowControl w:val="0"/>
        <w:tabs>
          <w:tab w:val="clear" w:pos="1021"/>
          <w:tab w:val="right" w:pos="1020"/>
        </w:tabs>
      </w:pPr>
      <w:r>
        <w:tab/>
      </w:r>
      <w:r>
        <w:rPr>
          <w:rStyle w:val="FootnoteReference"/>
        </w:rPr>
        <w:footnoteRef/>
      </w:r>
      <w:r>
        <w:tab/>
      </w:r>
      <w:r w:rsidRPr="00AA63AC">
        <w:t xml:space="preserve">The </w:t>
      </w:r>
      <w:r>
        <w:t>R</w:t>
      </w:r>
      <w:r w:rsidRPr="00AA63AC">
        <w:t xml:space="preserve">eform </w:t>
      </w:r>
      <w:r>
        <w:t>P</w:t>
      </w:r>
      <w:r w:rsidRPr="00AA63AC">
        <w:t xml:space="preserve">lan of the </w:t>
      </w:r>
      <w:r>
        <w:t>EfE</w:t>
      </w:r>
      <w:r w:rsidRPr="00AA63AC">
        <w:t xml:space="preserve"> process</w:t>
      </w:r>
      <w:r>
        <w:t xml:space="preserve"> </w:t>
      </w:r>
      <w:r w:rsidRPr="00AA63AC">
        <w:t xml:space="preserve">was developed by </w:t>
      </w:r>
      <w:r>
        <w:t>CEP</w:t>
      </w:r>
      <w:r w:rsidRPr="00AA63AC">
        <w:t xml:space="preserve"> during 2008 and adopted on 29 January 2009 (</w:t>
      </w:r>
      <w:r w:rsidR="006A6C3D">
        <w:t>see the report of CEP on its special session (</w:t>
      </w:r>
      <w:r w:rsidRPr="00AA63AC">
        <w:t>ECE/CEP/S/152 and Corr.1, annex I</w:t>
      </w:r>
      <w:r w:rsidR="006A6C3D">
        <w:t xml:space="preserve">) available from </w:t>
      </w:r>
      <w:r w:rsidR="006A6C3D" w:rsidRPr="006A6C3D">
        <w:t>www.unece.org/index.php?id=4804</w:t>
      </w:r>
      <w:r w:rsidRPr="00AA63AC">
        <w:t>)</w:t>
      </w:r>
      <w:r w:rsidR="006A6C3D">
        <w:t>.</w:t>
      </w:r>
      <w:r w:rsidRPr="00AA63AC">
        <w:t xml:space="preserve"> </w:t>
      </w:r>
      <w:r w:rsidR="006A6C3D">
        <w:t>T</w:t>
      </w:r>
      <w:r w:rsidRPr="00AA63AC">
        <w:t xml:space="preserve">he </w:t>
      </w:r>
      <w:r>
        <w:t>p</w:t>
      </w:r>
      <w:r w:rsidRPr="00AA63AC">
        <w:t xml:space="preserve">lan was subsequently endorsed by </w:t>
      </w:r>
      <w:r>
        <w:t>the United Nations Economic Commission for Europe</w:t>
      </w:r>
      <w:r w:rsidRPr="00AA63AC">
        <w:t xml:space="preserve"> at its sixty-third session (Geneva, 30 March–1 April 2009)</w:t>
      </w:r>
      <w:r w:rsidR="00181C54">
        <w:t xml:space="preserve"> (</w:t>
      </w:r>
      <w:r w:rsidR="00A4167D">
        <w:t xml:space="preserve">see </w:t>
      </w:r>
      <w:r w:rsidR="00181C54">
        <w:t>E/2009/37–E/ECE/1448, chap. IV, para. 6)</w:t>
      </w:r>
      <w:r>
        <w:t xml:space="preserve">. </w:t>
      </w:r>
    </w:p>
  </w:footnote>
  <w:footnote w:id="3">
    <w:p w:rsidR="009D349F" w:rsidRDefault="009D349F" w:rsidP="009D349F">
      <w:pPr>
        <w:pStyle w:val="FootnoteText"/>
        <w:widowControl w:val="0"/>
        <w:tabs>
          <w:tab w:val="clear" w:pos="1021"/>
          <w:tab w:val="right" w:pos="1020"/>
        </w:tabs>
      </w:pPr>
      <w:r>
        <w:tab/>
      </w:r>
      <w:r>
        <w:rPr>
          <w:rStyle w:val="FootnoteReference"/>
        </w:rPr>
        <w:footnoteRef/>
      </w:r>
      <w:r>
        <w:tab/>
      </w:r>
      <w:r w:rsidR="000F1116">
        <w:t xml:space="preserve">Document prepared for the twentieth session of CEP, available from </w:t>
      </w:r>
      <w:r w:rsidR="00EC6FFB" w:rsidRPr="00EC6FFB">
        <w:t>www.unece.org/index.php?id=35032</w:t>
      </w:r>
      <w:r w:rsidR="00EC6FFB">
        <w:t>.</w:t>
      </w:r>
    </w:p>
  </w:footnote>
  <w:footnote w:id="4">
    <w:p w:rsidR="003F7E34" w:rsidRDefault="003F7E34" w:rsidP="003F7E34">
      <w:pPr>
        <w:pStyle w:val="FootnoteText"/>
        <w:widowControl w:val="0"/>
        <w:tabs>
          <w:tab w:val="clear" w:pos="1021"/>
          <w:tab w:val="right" w:pos="1020"/>
        </w:tabs>
      </w:pPr>
      <w:r>
        <w:tab/>
      </w:r>
      <w:r>
        <w:rPr>
          <w:rStyle w:val="FootnoteReference"/>
        </w:rPr>
        <w:footnoteRef/>
      </w:r>
      <w:r>
        <w:tab/>
        <w:t>The Steering Committee on ESD</w:t>
      </w:r>
      <w:r w:rsidR="00F62DB3">
        <w:t xml:space="preserve"> </w:t>
      </w:r>
      <w:r w:rsidR="00AC7089">
        <w:t xml:space="preserve">has begun </w:t>
      </w:r>
      <w:r w:rsidR="00F62DB3">
        <w:t>prepar</w:t>
      </w:r>
      <w:r w:rsidR="00AC7089">
        <w:t>ations for</w:t>
      </w:r>
      <w:r w:rsidR="00F62DB3">
        <w:t xml:space="preserve"> the </w:t>
      </w:r>
      <w:r w:rsidR="00F62DB3">
        <w:rPr>
          <w:bCs/>
          <w:iCs/>
        </w:rPr>
        <w:t>H</w:t>
      </w:r>
      <w:r w:rsidR="00F62DB3">
        <w:t>igh-level Meeting, including preparing the draft Statement on ESD. If ready in due time, a</w:t>
      </w:r>
      <w:r>
        <w:t xml:space="preserve"> version of the draft </w:t>
      </w:r>
      <w:r w:rsidR="007D7F3F">
        <w:t xml:space="preserve">Statement </w:t>
      </w:r>
      <w:r w:rsidR="00FD7F5C">
        <w:t xml:space="preserve">will </w:t>
      </w:r>
      <w:r>
        <w:t xml:space="preserve">be submitted as </w:t>
      </w:r>
      <w:r w:rsidR="00FD7F5C">
        <w:t xml:space="preserve">an </w:t>
      </w:r>
      <w:r>
        <w:t xml:space="preserve">information paper (in English only) to CEP </w:t>
      </w:r>
      <w:r w:rsidR="00FD7F5C">
        <w:t xml:space="preserve">at </w:t>
      </w:r>
      <w:r>
        <w:t xml:space="preserve">its </w:t>
      </w:r>
      <w:r w:rsidR="00FD7F5C">
        <w:t xml:space="preserve">special </w:t>
      </w:r>
      <w:r>
        <w:t xml:space="preserve">session in October 2015. </w:t>
      </w:r>
    </w:p>
  </w:footnote>
  <w:footnote w:id="5">
    <w:p w:rsidR="008572E8" w:rsidRDefault="008572E8" w:rsidP="00101381">
      <w:pPr>
        <w:pStyle w:val="FootnoteText"/>
        <w:widowControl w:val="0"/>
        <w:tabs>
          <w:tab w:val="clear" w:pos="1021"/>
          <w:tab w:val="right" w:pos="1020"/>
        </w:tabs>
      </w:pPr>
      <w:r>
        <w:tab/>
      </w:r>
      <w:r>
        <w:rPr>
          <w:rStyle w:val="FootnoteReference"/>
        </w:rPr>
        <w:footnoteRef/>
      </w:r>
      <w:r>
        <w:tab/>
        <w:t xml:space="preserve">Depending on the word length the report might need to be processed as two separate documents.    </w:t>
      </w:r>
    </w:p>
  </w:footnote>
  <w:footnote w:id="6">
    <w:p w:rsidR="00CC6427" w:rsidRDefault="00CC6427" w:rsidP="00CC6427">
      <w:pPr>
        <w:pStyle w:val="FootnoteText"/>
        <w:widowControl w:val="0"/>
        <w:tabs>
          <w:tab w:val="clear" w:pos="1021"/>
          <w:tab w:val="right" w:pos="1020"/>
        </w:tabs>
      </w:pPr>
      <w:r>
        <w:tab/>
      </w:r>
      <w:r>
        <w:rPr>
          <w:rStyle w:val="FootnoteReference"/>
        </w:rPr>
        <w:footnoteRef/>
      </w:r>
      <w:r>
        <w:tab/>
      </w:r>
      <w:proofErr w:type="gramStart"/>
      <w:r w:rsidR="00EC6FFB">
        <w:t xml:space="preserve">Available </w:t>
      </w:r>
      <w:r w:rsidR="00CB6428">
        <w:t xml:space="preserve">from </w:t>
      </w:r>
      <w:r w:rsidR="00EC6FFB" w:rsidRPr="00EC6FFB">
        <w:t>ww</w:t>
      </w:r>
      <w:r w:rsidR="00EC6FFB">
        <w:t>w.unece.org/index.php?id=32257.</w:t>
      </w:r>
      <w:proofErr w:type="gramEnd"/>
    </w:p>
  </w:footnote>
  <w:footnote w:id="7">
    <w:p w:rsidR="009D349F" w:rsidRDefault="009D349F" w:rsidP="009D349F">
      <w:pPr>
        <w:pStyle w:val="FootnoteText"/>
        <w:widowControl w:val="0"/>
        <w:tabs>
          <w:tab w:val="clear" w:pos="1021"/>
          <w:tab w:val="right" w:pos="1020"/>
        </w:tabs>
      </w:pPr>
      <w:r>
        <w:tab/>
      </w:r>
      <w:r>
        <w:rPr>
          <w:rStyle w:val="FootnoteReference"/>
        </w:rPr>
        <w:footnoteRef/>
      </w:r>
      <w:r>
        <w:tab/>
      </w:r>
      <w:r w:rsidR="00CD60EE">
        <w:t xml:space="preserve">See </w:t>
      </w:r>
      <w:r w:rsidRPr="00475A3F">
        <w:t>www.unece.org/env/awa</w:t>
      </w:r>
      <w:r>
        <w:t xml:space="preserve">. </w:t>
      </w:r>
    </w:p>
  </w:footnote>
  <w:footnote w:id="8">
    <w:p w:rsidR="00261FFF" w:rsidRPr="00931CA5" w:rsidRDefault="00261FFF" w:rsidP="00261FFF">
      <w:pPr>
        <w:pStyle w:val="FootnoteText"/>
        <w:rPr>
          <w:lang w:val="en-US"/>
        </w:rPr>
      </w:pPr>
      <w:r>
        <w:tab/>
      </w:r>
      <w:r>
        <w:rPr>
          <w:rStyle w:val="FootnoteReference"/>
        </w:rPr>
        <w:footnoteRef/>
      </w:r>
      <w:r>
        <w:tab/>
      </w:r>
      <w:r w:rsidR="006320E8">
        <w:t xml:space="preserve">The programme is financed by the European Commission and is assisting the </w:t>
      </w:r>
      <w:r w:rsidR="006320E8" w:rsidRPr="00A44A35">
        <w:t>six European Union Eastern Partnership countries</w:t>
      </w:r>
      <w:r w:rsidR="00063E6A">
        <w:t xml:space="preserve"> —</w:t>
      </w:r>
      <w:r w:rsidR="006320E8" w:rsidRPr="00A44A35">
        <w:t xml:space="preserve"> Armenia, Azerbaijan, Belarus, Georgia, the Republic of Moldova and Ukraine</w:t>
      </w:r>
      <w:r w:rsidR="00063E6A">
        <w:t xml:space="preserve"> —</w:t>
      </w:r>
      <w:r w:rsidR="006320E8" w:rsidRPr="00A44A35">
        <w:t xml:space="preserve"> in their transition to green economy</w:t>
      </w:r>
      <w:r w:rsidR="00063E6A">
        <w:t>. See</w:t>
      </w:r>
      <w:r w:rsidR="001E2CB3">
        <w:t xml:space="preserve"> </w:t>
      </w:r>
      <w:hyperlink r:id="rId1" w:history="1">
        <w:r w:rsidR="001E2CB3" w:rsidRPr="0089251E">
          <w:rPr>
            <w:rStyle w:val="Hyperlink"/>
          </w:rPr>
          <w:t>www.unece.org/env/eia/about/eap_green</w:t>
        </w:r>
      </w:hyperlink>
      <w:r w:rsidR="006320E8">
        <w:t>.</w:t>
      </w:r>
    </w:p>
  </w:footnote>
  <w:footnote w:id="9">
    <w:p w:rsidR="00A67A35" w:rsidRDefault="00A67A35" w:rsidP="00A67A35">
      <w:pPr>
        <w:pStyle w:val="FootnoteText"/>
        <w:widowControl w:val="0"/>
        <w:tabs>
          <w:tab w:val="clear" w:pos="1021"/>
          <w:tab w:val="right" w:pos="1020"/>
        </w:tabs>
      </w:pPr>
      <w:r>
        <w:tab/>
      </w:r>
      <w:r>
        <w:rPr>
          <w:rStyle w:val="FootnoteReference"/>
        </w:rPr>
        <w:footnoteRef/>
      </w:r>
      <w:r>
        <w:tab/>
      </w:r>
      <w:r w:rsidR="00D86CD4">
        <w:t xml:space="preserve">UNEP is a member of the </w:t>
      </w:r>
      <w:r w:rsidRPr="00BC3D67">
        <w:t>Task Team</w:t>
      </w:r>
      <w:r w:rsidR="005A63BD">
        <w:t>, which is</w:t>
      </w:r>
      <w:r w:rsidRPr="00BC3D67">
        <w:t xml:space="preserve"> chaired by </w:t>
      </w:r>
      <w:r w:rsidR="00D12596">
        <w:t>ILO</w:t>
      </w:r>
      <w:r w:rsidR="00D86CD4">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90" w:rsidRPr="001947E0" w:rsidRDefault="002F7590">
    <w:pPr>
      <w:pStyle w:val="Header"/>
    </w:pPr>
    <w:r>
      <w:t>ECE/CEP/2015/</w:t>
    </w:r>
    <w:r w:rsidR="00EF358D">
      <w:t>8</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90" w:rsidRPr="003B51CB" w:rsidRDefault="002F7590" w:rsidP="00D03F79">
    <w:pPr>
      <w:pStyle w:val="Header"/>
      <w:jc w:val="right"/>
    </w:pPr>
    <w:r>
      <w:t>ECE/CEP/2015/</w:t>
    </w:r>
    <w:r w:rsidR="00EF358D">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527CC"/>
    <w:multiLevelType w:val="hybridMultilevel"/>
    <w:tmpl w:val="9DF42314"/>
    <w:lvl w:ilvl="0" w:tplc="CC2E8032">
      <w:start w:val="80"/>
      <w:numFmt w:val="bullet"/>
      <w:lvlText w:val="-"/>
      <w:lvlJc w:val="left"/>
      <w:pPr>
        <w:ind w:left="1500" w:hanging="360"/>
      </w:pPr>
      <w:rPr>
        <w:rFonts w:ascii="Times New Roman" w:eastAsia="Times New Roman" w:hAnsi="Times New Roman" w:cs="Times New Roman"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FA1224"/>
    <w:multiLevelType w:val="hybridMultilevel"/>
    <w:tmpl w:val="60D2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740404"/>
    <w:multiLevelType w:val="hybridMultilevel"/>
    <w:tmpl w:val="75BE82DC"/>
    <w:lvl w:ilvl="0" w:tplc="5AD065B6">
      <w:numFmt w:val="bullet"/>
      <w:lvlText w:val="-"/>
      <w:lvlJc w:val="left"/>
      <w:pPr>
        <w:ind w:left="1494" w:hanging="360"/>
      </w:pPr>
      <w:rPr>
        <w:rFonts w:ascii="Times New Roman" w:eastAsia="Times New Roman"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11E238A4"/>
    <w:multiLevelType w:val="hybridMultilevel"/>
    <w:tmpl w:val="E036F556"/>
    <w:lvl w:ilvl="0" w:tplc="9F76E376">
      <w:start w:val="1"/>
      <w:numFmt w:val="upperLetter"/>
      <w:lvlText w:val="%1."/>
      <w:lvlJc w:val="left"/>
      <w:pPr>
        <w:ind w:left="1140" w:hanging="525"/>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5">
    <w:nsid w:val="125B6D3D"/>
    <w:multiLevelType w:val="hybridMultilevel"/>
    <w:tmpl w:val="409AA49C"/>
    <w:lvl w:ilvl="0" w:tplc="50A2EFCE">
      <w:start w:val="75"/>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12D64A51"/>
    <w:multiLevelType w:val="hybridMultilevel"/>
    <w:tmpl w:val="91120B78"/>
    <w:lvl w:ilvl="0" w:tplc="08090005">
      <w:start w:val="1"/>
      <w:numFmt w:val="bullet"/>
      <w:lvlText w:val=""/>
      <w:lvlJc w:val="left"/>
      <w:pPr>
        <w:tabs>
          <w:tab w:val="num" w:pos="1701"/>
        </w:tabs>
        <w:ind w:left="1701" w:hanging="170"/>
      </w:pPr>
      <w:rPr>
        <w:rFonts w:ascii="Wingdings" w:hAnsi="Wingding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144039"/>
    <w:multiLevelType w:val="hybridMultilevel"/>
    <w:tmpl w:val="F92CA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2614009C"/>
    <w:multiLevelType w:val="hybridMultilevel"/>
    <w:tmpl w:val="E6E0A0EA"/>
    <w:lvl w:ilvl="0" w:tplc="460458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71E6238"/>
    <w:multiLevelType w:val="hybridMultilevel"/>
    <w:tmpl w:val="021E9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20808E5"/>
    <w:multiLevelType w:val="hybridMultilevel"/>
    <w:tmpl w:val="4176DD28"/>
    <w:lvl w:ilvl="0" w:tplc="0409000F">
      <w:start w:val="1"/>
      <w:numFmt w:val="decimal"/>
      <w:pStyle w:val="ListParagraph"/>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4310684"/>
    <w:multiLevelType w:val="hybridMultilevel"/>
    <w:tmpl w:val="6BFAEA32"/>
    <w:lvl w:ilvl="0" w:tplc="08090005">
      <w:start w:val="1"/>
      <w:numFmt w:val="bullet"/>
      <w:lvlText w:val=""/>
      <w:lvlJc w:val="left"/>
      <w:pPr>
        <w:ind w:left="2214" w:hanging="360"/>
      </w:pPr>
      <w:rPr>
        <w:rFonts w:ascii="Wingdings" w:hAnsi="Wingdings"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4">
    <w:nsid w:val="36F526B1"/>
    <w:multiLevelType w:val="hybridMultilevel"/>
    <w:tmpl w:val="294A41AA"/>
    <w:lvl w:ilvl="0" w:tplc="98E2B23C">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73659D1"/>
    <w:multiLevelType w:val="hybridMultilevel"/>
    <w:tmpl w:val="F0B6FA76"/>
    <w:lvl w:ilvl="0" w:tplc="45ECCB3A">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F624C3E"/>
    <w:multiLevelType w:val="hybridMultilevel"/>
    <w:tmpl w:val="F84C2892"/>
    <w:lvl w:ilvl="0" w:tplc="5C9C22DE">
      <w:start w:val="3"/>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nsid w:val="4B4C72F9"/>
    <w:multiLevelType w:val="hybridMultilevel"/>
    <w:tmpl w:val="CC989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3C17CD"/>
    <w:multiLevelType w:val="hybridMultilevel"/>
    <w:tmpl w:val="A5042530"/>
    <w:lvl w:ilvl="0" w:tplc="08090005">
      <w:start w:val="1"/>
      <w:numFmt w:val="bullet"/>
      <w:lvlText w:val=""/>
      <w:lvlJc w:val="left"/>
      <w:pPr>
        <w:ind w:left="1854" w:hanging="360"/>
      </w:pPr>
      <w:rPr>
        <w:rFonts w:ascii="Wingdings" w:hAnsi="Wingdings" w:hint="default"/>
        <w:b w:val="0"/>
        <w:i w:val="0"/>
        <w:sz w:val="2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nsid w:val="589D34B0"/>
    <w:multiLevelType w:val="hybridMultilevel"/>
    <w:tmpl w:val="BF384F32"/>
    <w:lvl w:ilvl="0" w:tplc="9856C9B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9F4360B"/>
    <w:multiLevelType w:val="hybridMultilevel"/>
    <w:tmpl w:val="06FC70D6"/>
    <w:lvl w:ilvl="0" w:tplc="0809001B">
      <w:start w:val="1"/>
      <w:numFmt w:val="lowerRoman"/>
      <w:lvlText w:val="%1."/>
      <w:lvlJc w:val="righ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31">
    <w:nsid w:val="5A7467A5"/>
    <w:multiLevelType w:val="hybridMultilevel"/>
    <w:tmpl w:val="08AAC190"/>
    <w:lvl w:ilvl="0" w:tplc="D5500ED2">
      <w:start w:val="1"/>
      <w:numFmt w:val="decimal"/>
      <w:lvlText w:val="%1."/>
      <w:lvlJc w:val="left"/>
      <w:pPr>
        <w:ind w:left="149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C967AE"/>
    <w:multiLevelType w:val="hybridMultilevel"/>
    <w:tmpl w:val="7CC4D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EC324B2"/>
    <w:multiLevelType w:val="hybridMultilevel"/>
    <w:tmpl w:val="BEA2BCCE"/>
    <w:lvl w:ilvl="0" w:tplc="F3B4DC52">
      <w:start w:val="1"/>
      <w:numFmt w:val="decimal"/>
      <w:lvlText w:val="%1."/>
      <w:lvlJc w:val="left"/>
      <w:pPr>
        <w:ind w:left="1140" w:hanging="43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610D0058"/>
    <w:multiLevelType w:val="hybridMultilevel"/>
    <w:tmpl w:val="E51E713E"/>
    <w:lvl w:ilvl="0" w:tplc="E0EA1C08">
      <w:start w:val="1"/>
      <w:numFmt w:val="lowerLetter"/>
      <w:lvlText w:val="(%1)"/>
      <w:lvlJc w:val="left"/>
      <w:pPr>
        <w:ind w:left="927" w:hanging="360"/>
      </w:pPr>
      <w:rPr>
        <w:rFonts w:hint="default"/>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6">
    <w:nsid w:val="62692020"/>
    <w:multiLevelType w:val="hybridMultilevel"/>
    <w:tmpl w:val="5A481408"/>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616176F"/>
    <w:multiLevelType w:val="hybridMultilevel"/>
    <w:tmpl w:val="6DEC6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9B108D5"/>
    <w:multiLevelType w:val="hybridMultilevel"/>
    <w:tmpl w:val="2B7C9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E0F5C79"/>
    <w:multiLevelType w:val="hybridMultilevel"/>
    <w:tmpl w:val="4C887664"/>
    <w:lvl w:ilvl="0" w:tplc="DB6E96DE">
      <w:start w:val="28"/>
      <w:numFmt w:val="bullet"/>
      <w:lvlText w:val="-"/>
      <w:lvlJc w:val="left"/>
      <w:pPr>
        <w:ind w:left="720" w:hanging="360"/>
      </w:pPr>
      <w:rPr>
        <w:rFonts w:ascii="Times New Roman" w:eastAsia="SimSu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5126D1"/>
    <w:multiLevelType w:val="hybridMultilevel"/>
    <w:tmpl w:val="B8F4F078"/>
    <w:lvl w:ilvl="0" w:tplc="D8280E8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17"/>
  </w:num>
  <w:num w:numId="13">
    <w:abstractNumId w:val="11"/>
  </w:num>
  <w:num w:numId="14">
    <w:abstractNumId w:val="37"/>
  </w:num>
  <w:num w:numId="15">
    <w:abstractNumId w:val="40"/>
  </w:num>
  <w:num w:numId="16">
    <w:abstractNumId w:val="29"/>
  </w:num>
  <w:num w:numId="17">
    <w:abstractNumId w:val="13"/>
  </w:num>
  <w:num w:numId="18">
    <w:abstractNumId w:val="24"/>
  </w:num>
  <w:num w:numId="19">
    <w:abstractNumId w:val="27"/>
  </w:num>
  <w:num w:numId="20">
    <w:abstractNumId w:val="22"/>
  </w:num>
  <w:num w:numId="21">
    <w:abstractNumId w:val="25"/>
  </w:num>
  <w:num w:numId="22">
    <w:abstractNumId w:val="36"/>
  </w:num>
  <w:num w:numId="23">
    <w:abstractNumId w:val="15"/>
  </w:num>
  <w:num w:numId="24">
    <w:abstractNumId w:val="14"/>
  </w:num>
  <w:num w:numId="25">
    <w:abstractNumId w:val="33"/>
  </w:num>
  <w:num w:numId="26">
    <w:abstractNumId w:val="10"/>
  </w:num>
  <w:num w:numId="27">
    <w:abstractNumId w:val="38"/>
  </w:num>
  <w:num w:numId="28">
    <w:abstractNumId w:val="32"/>
  </w:num>
  <w:num w:numId="29">
    <w:abstractNumId w:val="21"/>
  </w:num>
  <w:num w:numId="30">
    <w:abstractNumId w:val="39"/>
  </w:num>
  <w:num w:numId="31">
    <w:abstractNumId w:val="18"/>
  </w:num>
  <w:num w:numId="32">
    <w:abstractNumId w:val="42"/>
  </w:num>
  <w:num w:numId="33">
    <w:abstractNumId w:val="20"/>
  </w:num>
  <w:num w:numId="34">
    <w:abstractNumId w:val="30"/>
  </w:num>
  <w:num w:numId="35">
    <w:abstractNumId w:val="19"/>
  </w:num>
  <w:num w:numId="36">
    <w:abstractNumId w:val="41"/>
  </w:num>
  <w:num w:numId="37">
    <w:abstractNumId w:val="31"/>
  </w:num>
  <w:num w:numId="38">
    <w:abstractNumId w:val="23"/>
  </w:num>
  <w:num w:numId="39">
    <w:abstractNumId w:val="12"/>
  </w:num>
  <w:num w:numId="40">
    <w:abstractNumId w:val="26"/>
  </w:num>
  <w:num w:numId="41">
    <w:abstractNumId w:val="16"/>
  </w:num>
  <w:num w:numId="42">
    <w:abstractNumId w:val="3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CB"/>
    <w:rsid w:val="000007C8"/>
    <w:rsid w:val="00001782"/>
    <w:rsid w:val="00003AD6"/>
    <w:rsid w:val="000041E9"/>
    <w:rsid w:val="00004393"/>
    <w:rsid w:val="0000470A"/>
    <w:rsid w:val="00004A7E"/>
    <w:rsid w:val="00004BE1"/>
    <w:rsid w:val="00005FCC"/>
    <w:rsid w:val="00012155"/>
    <w:rsid w:val="00012A86"/>
    <w:rsid w:val="000136C9"/>
    <w:rsid w:val="00013A07"/>
    <w:rsid w:val="000160F5"/>
    <w:rsid w:val="000169D7"/>
    <w:rsid w:val="00017233"/>
    <w:rsid w:val="00017CA8"/>
    <w:rsid w:val="000212E4"/>
    <w:rsid w:val="000222BD"/>
    <w:rsid w:val="000243F3"/>
    <w:rsid w:val="00025F4E"/>
    <w:rsid w:val="00027999"/>
    <w:rsid w:val="00027E08"/>
    <w:rsid w:val="00032C51"/>
    <w:rsid w:val="000334CD"/>
    <w:rsid w:val="00033E92"/>
    <w:rsid w:val="00034A5F"/>
    <w:rsid w:val="000356A1"/>
    <w:rsid w:val="00036D14"/>
    <w:rsid w:val="00040252"/>
    <w:rsid w:val="000409D6"/>
    <w:rsid w:val="00041805"/>
    <w:rsid w:val="00041920"/>
    <w:rsid w:val="00041B1D"/>
    <w:rsid w:val="00043214"/>
    <w:rsid w:val="00044B82"/>
    <w:rsid w:val="00045362"/>
    <w:rsid w:val="000463DC"/>
    <w:rsid w:val="000469C6"/>
    <w:rsid w:val="000469E9"/>
    <w:rsid w:val="00046B1F"/>
    <w:rsid w:val="00050F6B"/>
    <w:rsid w:val="0005201F"/>
    <w:rsid w:val="00052690"/>
    <w:rsid w:val="000531E6"/>
    <w:rsid w:val="0005328B"/>
    <w:rsid w:val="00053B5E"/>
    <w:rsid w:val="0005447D"/>
    <w:rsid w:val="0005765F"/>
    <w:rsid w:val="00057E97"/>
    <w:rsid w:val="00060AEB"/>
    <w:rsid w:val="0006219B"/>
    <w:rsid w:val="0006282E"/>
    <w:rsid w:val="00062F11"/>
    <w:rsid w:val="00063193"/>
    <w:rsid w:val="00063E6A"/>
    <w:rsid w:val="00064B7E"/>
    <w:rsid w:val="0006518C"/>
    <w:rsid w:val="000660CA"/>
    <w:rsid w:val="00066767"/>
    <w:rsid w:val="00066C10"/>
    <w:rsid w:val="00066FF4"/>
    <w:rsid w:val="00067310"/>
    <w:rsid w:val="00070EB4"/>
    <w:rsid w:val="000712D5"/>
    <w:rsid w:val="000714E7"/>
    <w:rsid w:val="00071F40"/>
    <w:rsid w:val="00072C8C"/>
    <w:rsid w:val="000733B5"/>
    <w:rsid w:val="000741AD"/>
    <w:rsid w:val="0007427B"/>
    <w:rsid w:val="00075A65"/>
    <w:rsid w:val="0007603E"/>
    <w:rsid w:val="000769E4"/>
    <w:rsid w:val="00077031"/>
    <w:rsid w:val="00081815"/>
    <w:rsid w:val="00081DFE"/>
    <w:rsid w:val="00084A6D"/>
    <w:rsid w:val="000851BE"/>
    <w:rsid w:val="0008532D"/>
    <w:rsid w:val="00085A85"/>
    <w:rsid w:val="0008638E"/>
    <w:rsid w:val="00086514"/>
    <w:rsid w:val="00086B20"/>
    <w:rsid w:val="00086E02"/>
    <w:rsid w:val="000924FD"/>
    <w:rsid w:val="00092E39"/>
    <w:rsid w:val="000931C0"/>
    <w:rsid w:val="000936A0"/>
    <w:rsid w:val="00095A6E"/>
    <w:rsid w:val="00095C49"/>
    <w:rsid w:val="000966C4"/>
    <w:rsid w:val="000A0C29"/>
    <w:rsid w:val="000A1B79"/>
    <w:rsid w:val="000A1E87"/>
    <w:rsid w:val="000A28F8"/>
    <w:rsid w:val="000A5951"/>
    <w:rsid w:val="000A5A1B"/>
    <w:rsid w:val="000A7216"/>
    <w:rsid w:val="000B0595"/>
    <w:rsid w:val="000B175B"/>
    <w:rsid w:val="000B3A0F"/>
    <w:rsid w:val="000B4EF7"/>
    <w:rsid w:val="000B64AC"/>
    <w:rsid w:val="000B6DC8"/>
    <w:rsid w:val="000C11A4"/>
    <w:rsid w:val="000C2C03"/>
    <w:rsid w:val="000C2D2E"/>
    <w:rsid w:val="000C3DB7"/>
    <w:rsid w:val="000C3FB4"/>
    <w:rsid w:val="000C4989"/>
    <w:rsid w:val="000D0A05"/>
    <w:rsid w:val="000D17BA"/>
    <w:rsid w:val="000D1BE5"/>
    <w:rsid w:val="000D1D9D"/>
    <w:rsid w:val="000D6D34"/>
    <w:rsid w:val="000E0415"/>
    <w:rsid w:val="000E0B3D"/>
    <w:rsid w:val="000E172D"/>
    <w:rsid w:val="000E2608"/>
    <w:rsid w:val="000E2CFD"/>
    <w:rsid w:val="000E4D13"/>
    <w:rsid w:val="000E4FDB"/>
    <w:rsid w:val="000F1116"/>
    <w:rsid w:val="000F158B"/>
    <w:rsid w:val="000F313A"/>
    <w:rsid w:val="000F3F0F"/>
    <w:rsid w:val="000F425C"/>
    <w:rsid w:val="000F5773"/>
    <w:rsid w:val="000F69CB"/>
    <w:rsid w:val="000F7608"/>
    <w:rsid w:val="000F7E1D"/>
    <w:rsid w:val="00101381"/>
    <w:rsid w:val="001018DD"/>
    <w:rsid w:val="001019C9"/>
    <w:rsid w:val="0010227F"/>
    <w:rsid w:val="00102436"/>
    <w:rsid w:val="001034DE"/>
    <w:rsid w:val="00105E95"/>
    <w:rsid w:val="00106111"/>
    <w:rsid w:val="0010613B"/>
    <w:rsid w:val="00107701"/>
    <w:rsid w:val="0010771B"/>
    <w:rsid w:val="00107DEB"/>
    <w:rsid w:val="001101E2"/>
    <w:rsid w:val="001103AA"/>
    <w:rsid w:val="001107F3"/>
    <w:rsid w:val="0011138A"/>
    <w:rsid w:val="00111449"/>
    <w:rsid w:val="00111B05"/>
    <w:rsid w:val="00111C20"/>
    <w:rsid w:val="00113127"/>
    <w:rsid w:val="00113FF6"/>
    <w:rsid w:val="00114921"/>
    <w:rsid w:val="0011574B"/>
    <w:rsid w:val="00116316"/>
    <w:rsid w:val="0011666B"/>
    <w:rsid w:val="00116AE6"/>
    <w:rsid w:val="00116E43"/>
    <w:rsid w:val="001207B5"/>
    <w:rsid w:val="0012120B"/>
    <w:rsid w:val="00121384"/>
    <w:rsid w:val="001225D0"/>
    <w:rsid w:val="00122A00"/>
    <w:rsid w:val="00122F33"/>
    <w:rsid w:val="001254E5"/>
    <w:rsid w:val="00125D6D"/>
    <w:rsid w:val="0012650A"/>
    <w:rsid w:val="00127233"/>
    <w:rsid w:val="00127937"/>
    <w:rsid w:val="001301CF"/>
    <w:rsid w:val="00132170"/>
    <w:rsid w:val="00132193"/>
    <w:rsid w:val="00132AF8"/>
    <w:rsid w:val="00133DDD"/>
    <w:rsid w:val="00135B2D"/>
    <w:rsid w:val="0013722C"/>
    <w:rsid w:val="001377BE"/>
    <w:rsid w:val="00141192"/>
    <w:rsid w:val="00141203"/>
    <w:rsid w:val="00141411"/>
    <w:rsid w:val="00141F96"/>
    <w:rsid w:val="001429CE"/>
    <w:rsid w:val="00142AE0"/>
    <w:rsid w:val="001434D0"/>
    <w:rsid w:val="00143836"/>
    <w:rsid w:val="001452A4"/>
    <w:rsid w:val="001456CE"/>
    <w:rsid w:val="00145A4D"/>
    <w:rsid w:val="00145D4C"/>
    <w:rsid w:val="00146438"/>
    <w:rsid w:val="001471A4"/>
    <w:rsid w:val="0015363C"/>
    <w:rsid w:val="00153B19"/>
    <w:rsid w:val="00154AEE"/>
    <w:rsid w:val="00154FD9"/>
    <w:rsid w:val="001556E4"/>
    <w:rsid w:val="001579CD"/>
    <w:rsid w:val="00160548"/>
    <w:rsid w:val="0016263E"/>
    <w:rsid w:val="00163E48"/>
    <w:rsid w:val="00164F3B"/>
    <w:rsid w:val="00165575"/>
    <w:rsid w:val="00165F3A"/>
    <w:rsid w:val="00166760"/>
    <w:rsid w:val="0017152E"/>
    <w:rsid w:val="00171602"/>
    <w:rsid w:val="00172576"/>
    <w:rsid w:val="00172682"/>
    <w:rsid w:val="00172A35"/>
    <w:rsid w:val="00174510"/>
    <w:rsid w:val="00174578"/>
    <w:rsid w:val="00174C27"/>
    <w:rsid w:val="00176E17"/>
    <w:rsid w:val="00176FF3"/>
    <w:rsid w:val="00180736"/>
    <w:rsid w:val="00181C54"/>
    <w:rsid w:val="0018313A"/>
    <w:rsid w:val="0018328D"/>
    <w:rsid w:val="00183A10"/>
    <w:rsid w:val="0018467A"/>
    <w:rsid w:val="0018592D"/>
    <w:rsid w:val="00185C84"/>
    <w:rsid w:val="00186EDA"/>
    <w:rsid w:val="001946D1"/>
    <w:rsid w:val="001947E0"/>
    <w:rsid w:val="00194B30"/>
    <w:rsid w:val="001954A7"/>
    <w:rsid w:val="00195CA7"/>
    <w:rsid w:val="00195E83"/>
    <w:rsid w:val="0019687D"/>
    <w:rsid w:val="001969F4"/>
    <w:rsid w:val="001A14F7"/>
    <w:rsid w:val="001A16EF"/>
    <w:rsid w:val="001A2F68"/>
    <w:rsid w:val="001A3336"/>
    <w:rsid w:val="001A38F0"/>
    <w:rsid w:val="001A3F0A"/>
    <w:rsid w:val="001A59DC"/>
    <w:rsid w:val="001A5AEC"/>
    <w:rsid w:val="001A5CB7"/>
    <w:rsid w:val="001A6087"/>
    <w:rsid w:val="001A6DFE"/>
    <w:rsid w:val="001A7C80"/>
    <w:rsid w:val="001B0354"/>
    <w:rsid w:val="001B2701"/>
    <w:rsid w:val="001B34B2"/>
    <w:rsid w:val="001B35B0"/>
    <w:rsid w:val="001B4B04"/>
    <w:rsid w:val="001B4DF5"/>
    <w:rsid w:val="001B66B3"/>
    <w:rsid w:val="001C04EB"/>
    <w:rsid w:val="001C0EF5"/>
    <w:rsid w:val="001C21EB"/>
    <w:rsid w:val="001C2650"/>
    <w:rsid w:val="001C44DA"/>
    <w:rsid w:val="001C50F9"/>
    <w:rsid w:val="001C5184"/>
    <w:rsid w:val="001C5C15"/>
    <w:rsid w:val="001C6663"/>
    <w:rsid w:val="001C69DD"/>
    <w:rsid w:val="001C6E1F"/>
    <w:rsid w:val="001C74C0"/>
    <w:rsid w:val="001C7895"/>
    <w:rsid w:val="001C7C4A"/>
    <w:rsid w:val="001D0C8C"/>
    <w:rsid w:val="001D1419"/>
    <w:rsid w:val="001D26DF"/>
    <w:rsid w:val="001D29ED"/>
    <w:rsid w:val="001D2DEC"/>
    <w:rsid w:val="001D3534"/>
    <w:rsid w:val="001D38E9"/>
    <w:rsid w:val="001D3A03"/>
    <w:rsid w:val="001D5352"/>
    <w:rsid w:val="001D5623"/>
    <w:rsid w:val="001D59D7"/>
    <w:rsid w:val="001D5A9E"/>
    <w:rsid w:val="001D65D0"/>
    <w:rsid w:val="001D7CCB"/>
    <w:rsid w:val="001E008F"/>
    <w:rsid w:val="001E0238"/>
    <w:rsid w:val="001E0BCD"/>
    <w:rsid w:val="001E1257"/>
    <w:rsid w:val="001E2952"/>
    <w:rsid w:val="001E2CB3"/>
    <w:rsid w:val="001E51C4"/>
    <w:rsid w:val="001E599D"/>
    <w:rsid w:val="001E60B4"/>
    <w:rsid w:val="001E6B8E"/>
    <w:rsid w:val="001E7B67"/>
    <w:rsid w:val="001F0023"/>
    <w:rsid w:val="001F0CA8"/>
    <w:rsid w:val="001F1391"/>
    <w:rsid w:val="001F1E09"/>
    <w:rsid w:val="001F2588"/>
    <w:rsid w:val="001F36D3"/>
    <w:rsid w:val="001F5A68"/>
    <w:rsid w:val="001F7E34"/>
    <w:rsid w:val="001F7E40"/>
    <w:rsid w:val="00201488"/>
    <w:rsid w:val="00201ED1"/>
    <w:rsid w:val="0020272D"/>
    <w:rsid w:val="00202DA8"/>
    <w:rsid w:val="002039BC"/>
    <w:rsid w:val="00207426"/>
    <w:rsid w:val="00210FFD"/>
    <w:rsid w:val="00211E0B"/>
    <w:rsid w:val="00211FDA"/>
    <w:rsid w:val="00213A6A"/>
    <w:rsid w:val="00213B57"/>
    <w:rsid w:val="00213E4B"/>
    <w:rsid w:val="002141D1"/>
    <w:rsid w:val="00217395"/>
    <w:rsid w:val="002207ED"/>
    <w:rsid w:val="00225183"/>
    <w:rsid w:val="002259E4"/>
    <w:rsid w:val="0022762D"/>
    <w:rsid w:val="00230C33"/>
    <w:rsid w:val="0023659E"/>
    <w:rsid w:val="00237745"/>
    <w:rsid w:val="00240F70"/>
    <w:rsid w:val="00242662"/>
    <w:rsid w:val="002442BE"/>
    <w:rsid w:val="0024583C"/>
    <w:rsid w:val="00245922"/>
    <w:rsid w:val="00245B9B"/>
    <w:rsid w:val="00245E3B"/>
    <w:rsid w:val="0024772E"/>
    <w:rsid w:val="0025251E"/>
    <w:rsid w:val="002539B3"/>
    <w:rsid w:val="00254156"/>
    <w:rsid w:val="00255A06"/>
    <w:rsid w:val="0025748D"/>
    <w:rsid w:val="00257DA4"/>
    <w:rsid w:val="00261FFF"/>
    <w:rsid w:val="00262137"/>
    <w:rsid w:val="00263ED4"/>
    <w:rsid w:val="00266764"/>
    <w:rsid w:val="00267DCB"/>
    <w:rsid w:val="00267F04"/>
    <w:rsid w:val="00267F5F"/>
    <w:rsid w:val="0027439F"/>
    <w:rsid w:val="002767ED"/>
    <w:rsid w:val="00281610"/>
    <w:rsid w:val="00282023"/>
    <w:rsid w:val="002835D4"/>
    <w:rsid w:val="00285BE2"/>
    <w:rsid w:val="00286B4D"/>
    <w:rsid w:val="00287BE8"/>
    <w:rsid w:val="002909E8"/>
    <w:rsid w:val="00290FCB"/>
    <w:rsid w:val="002915AD"/>
    <w:rsid w:val="0029457D"/>
    <w:rsid w:val="00294781"/>
    <w:rsid w:val="0029556E"/>
    <w:rsid w:val="00295907"/>
    <w:rsid w:val="00295B49"/>
    <w:rsid w:val="00295BB6"/>
    <w:rsid w:val="0029600E"/>
    <w:rsid w:val="002971BA"/>
    <w:rsid w:val="00297855"/>
    <w:rsid w:val="002A2F84"/>
    <w:rsid w:val="002A3E02"/>
    <w:rsid w:val="002A5E90"/>
    <w:rsid w:val="002A760D"/>
    <w:rsid w:val="002B02CF"/>
    <w:rsid w:val="002B17C7"/>
    <w:rsid w:val="002B1FF8"/>
    <w:rsid w:val="002B361F"/>
    <w:rsid w:val="002B437B"/>
    <w:rsid w:val="002B47B0"/>
    <w:rsid w:val="002B47F7"/>
    <w:rsid w:val="002B67BF"/>
    <w:rsid w:val="002B6E60"/>
    <w:rsid w:val="002C047A"/>
    <w:rsid w:val="002C7347"/>
    <w:rsid w:val="002C760D"/>
    <w:rsid w:val="002D2CE2"/>
    <w:rsid w:val="002D4250"/>
    <w:rsid w:val="002D4643"/>
    <w:rsid w:val="002D5AB8"/>
    <w:rsid w:val="002D6EBF"/>
    <w:rsid w:val="002E0993"/>
    <w:rsid w:val="002E166A"/>
    <w:rsid w:val="002E2611"/>
    <w:rsid w:val="002E431C"/>
    <w:rsid w:val="002E494F"/>
    <w:rsid w:val="002E4C0A"/>
    <w:rsid w:val="002E637F"/>
    <w:rsid w:val="002E6B46"/>
    <w:rsid w:val="002F13C5"/>
    <w:rsid w:val="002F175C"/>
    <w:rsid w:val="002F1B72"/>
    <w:rsid w:val="002F1D7D"/>
    <w:rsid w:val="002F25D1"/>
    <w:rsid w:val="002F2B7D"/>
    <w:rsid w:val="002F32B4"/>
    <w:rsid w:val="002F3732"/>
    <w:rsid w:val="002F4BA2"/>
    <w:rsid w:val="002F50AF"/>
    <w:rsid w:val="002F564A"/>
    <w:rsid w:val="002F7590"/>
    <w:rsid w:val="00302752"/>
    <w:rsid w:val="00302E18"/>
    <w:rsid w:val="00303483"/>
    <w:rsid w:val="003034B4"/>
    <w:rsid w:val="00304292"/>
    <w:rsid w:val="00305F64"/>
    <w:rsid w:val="003060F2"/>
    <w:rsid w:val="003066F4"/>
    <w:rsid w:val="00306BF2"/>
    <w:rsid w:val="0030701E"/>
    <w:rsid w:val="003074A1"/>
    <w:rsid w:val="00307948"/>
    <w:rsid w:val="00310235"/>
    <w:rsid w:val="00311BEA"/>
    <w:rsid w:val="00312B55"/>
    <w:rsid w:val="00312BD3"/>
    <w:rsid w:val="00314B9E"/>
    <w:rsid w:val="003155CA"/>
    <w:rsid w:val="0031610E"/>
    <w:rsid w:val="003209E2"/>
    <w:rsid w:val="00322931"/>
    <w:rsid w:val="003229D8"/>
    <w:rsid w:val="00323011"/>
    <w:rsid w:val="003235AB"/>
    <w:rsid w:val="00323F40"/>
    <w:rsid w:val="00324363"/>
    <w:rsid w:val="00324F4D"/>
    <w:rsid w:val="003259A3"/>
    <w:rsid w:val="00327B32"/>
    <w:rsid w:val="00330093"/>
    <w:rsid w:val="00331A1B"/>
    <w:rsid w:val="00333148"/>
    <w:rsid w:val="003340E6"/>
    <w:rsid w:val="003342ED"/>
    <w:rsid w:val="0033644A"/>
    <w:rsid w:val="0033678B"/>
    <w:rsid w:val="003440FD"/>
    <w:rsid w:val="003448D4"/>
    <w:rsid w:val="003459F7"/>
    <w:rsid w:val="00346128"/>
    <w:rsid w:val="003464A1"/>
    <w:rsid w:val="00346F7B"/>
    <w:rsid w:val="00347CFA"/>
    <w:rsid w:val="00347EF9"/>
    <w:rsid w:val="003509C5"/>
    <w:rsid w:val="00352709"/>
    <w:rsid w:val="0035355C"/>
    <w:rsid w:val="00354139"/>
    <w:rsid w:val="00354FC6"/>
    <w:rsid w:val="003569EE"/>
    <w:rsid w:val="00356DCE"/>
    <w:rsid w:val="00356EA3"/>
    <w:rsid w:val="003570F7"/>
    <w:rsid w:val="0035711E"/>
    <w:rsid w:val="00357604"/>
    <w:rsid w:val="003577CC"/>
    <w:rsid w:val="003619B5"/>
    <w:rsid w:val="0036229D"/>
    <w:rsid w:val="003641D6"/>
    <w:rsid w:val="00365763"/>
    <w:rsid w:val="00365C62"/>
    <w:rsid w:val="00370B10"/>
    <w:rsid w:val="00371178"/>
    <w:rsid w:val="003714D9"/>
    <w:rsid w:val="003724E1"/>
    <w:rsid w:val="00372DCC"/>
    <w:rsid w:val="00373F72"/>
    <w:rsid w:val="00375394"/>
    <w:rsid w:val="003756C4"/>
    <w:rsid w:val="003756F3"/>
    <w:rsid w:val="003766BC"/>
    <w:rsid w:val="003768A3"/>
    <w:rsid w:val="0038037C"/>
    <w:rsid w:val="0038077A"/>
    <w:rsid w:val="00380DB1"/>
    <w:rsid w:val="00382616"/>
    <w:rsid w:val="0038411A"/>
    <w:rsid w:val="00386DF3"/>
    <w:rsid w:val="0038765E"/>
    <w:rsid w:val="00391054"/>
    <w:rsid w:val="00391281"/>
    <w:rsid w:val="00392113"/>
    <w:rsid w:val="00392E47"/>
    <w:rsid w:val="0039461A"/>
    <w:rsid w:val="00394EBD"/>
    <w:rsid w:val="003958D6"/>
    <w:rsid w:val="00397987"/>
    <w:rsid w:val="003A07FD"/>
    <w:rsid w:val="003A29D7"/>
    <w:rsid w:val="003A406B"/>
    <w:rsid w:val="003A5E38"/>
    <w:rsid w:val="003A6810"/>
    <w:rsid w:val="003A6E0F"/>
    <w:rsid w:val="003A7E2F"/>
    <w:rsid w:val="003A7FA4"/>
    <w:rsid w:val="003B0C06"/>
    <w:rsid w:val="003B156F"/>
    <w:rsid w:val="003B17AF"/>
    <w:rsid w:val="003B21FE"/>
    <w:rsid w:val="003B4104"/>
    <w:rsid w:val="003B430A"/>
    <w:rsid w:val="003B4680"/>
    <w:rsid w:val="003B51CB"/>
    <w:rsid w:val="003B53A9"/>
    <w:rsid w:val="003B67BB"/>
    <w:rsid w:val="003B6F64"/>
    <w:rsid w:val="003C0759"/>
    <w:rsid w:val="003C2CC4"/>
    <w:rsid w:val="003C4055"/>
    <w:rsid w:val="003C48F8"/>
    <w:rsid w:val="003C4B6F"/>
    <w:rsid w:val="003C4BBB"/>
    <w:rsid w:val="003C5CDF"/>
    <w:rsid w:val="003C6185"/>
    <w:rsid w:val="003D086D"/>
    <w:rsid w:val="003D0CCF"/>
    <w:rsid w:val="003D304C"/>
    <w:rsid w:val="003D3306"/>
    <w:rsid w:val="003D40A8"/>
    <w:rsid w:val="003D4B23"/>
    <w:rsid w:val="003D5675"/>
    <w:rsid w:val="003E2668"/>
    <w:rsid w:val="003E2EC5"/>
    <w:rsid w:val="003E3000"/>
    <w:rsid w:val="003E3A0A"/>
    <w:rsid w:val="003E52A7"/>
    <w:rsid w:val="003E5545"/>
    <w:rsid w:val="003E6E89"/>
    <w:rsid w:val="003E7D11"/>
    <w:rsid w:val="003F0449"/>
    <w:rsid w:val="003F0D65"/>
    <w:rsid w:val="003F1E80"/>
    <w:rsid w:val="003F29AC"/>
    <w:rsid w:val="003F2B91"/>
    <w:rsid w:val="003F315A"/>
    <w:rsid w:val="003F4620"/>
    <w:rsid w:val="003F559F"/>
    <w:rsid w:val="003F66C6"/>
    <w:rsid w:val="003F6C0C"/>
    <w:rsid w:val="003F6DA3"/>
    <w:rsid w:val="003F784E"/>
    <w:rsid w:val="003F7E34"/>
    <w:rsid w:val="004001F1"/>
    <w:rsid w:val="00400E1C"/>
    <w:rsid w:val="00400F49"/>
    <w:rsid w:val="004028F7"/>
    <w:rsid w:val="00405AF7"/>
    <w:rsid w:val="00407D42"/>
    <w:rsid w:val="00410998"/>
    <w:rsid w:val="00410C89"/>
    <w:rsid w:val="00410E53"/>
    <w:rsid w:val="004110AF"/>
    <w:rsid w:val="004110D4"/>
    <w:rsid w:val="004134F4"/>
    <w:rsid w:val="0041489B"/>
    <w:rsid w:val="00414A2B"/>
    <w:rsid w:val="00414AFF"/>
    <w:rsid w:val="00414DE4"/>
    <w:rsid w:val="00414EBE"/>
    <w:rsid w:val="00414EEC"/>
    <w:rsid w:val="00422E03"/>
    <w:rsid w:val="0042521C"/>
    <w:rsid w:val="00425684"/>
    <w:rsid w:val="004264F0"/>
    <w:rsid w:val="00426B89"/>
    <w:rsid w:val="00426B9B"/>
    <w:rsid w:val="00427596"/>
    <w:rsid w:val="00427CBD"/>
    <w:rsid w:val="00431300"/>
    <w:rsid w:val="00431C0E"/>
    <w:rsid w:val="004320B4"/>
    <w:rsid w:val="004325CB"/>
    <w:rsid w:val="0043329E"/>
    <w:rsid w:val="00433F2F"/>
    <w:rsid w:val="0043421C"/>
    <w:rsid w:val="00435792"/>
    <w:rsid w:val="00436788"/>
    <w:rsid w:val="00436FD7"/>
    <w:rsid w:val="00440522"/>
    <w:rsid w:val="00442A83"/>
    <w:rsid w:val="00443A26"/>
    <w:rsid w:val="004445CB"/>
    <w:rsid w:val="0044666C"/>
    <w:rsid w:val="00447423"/>
    <w:rsid w:val="00447DD5"/>
    <w:rsid w:val="004510C7"/>
    <w:rsid w:val="00451E1B"/>
    <w:rsid w:val="00452AA6"/>
    <w:rsid w:val="0045384C"/>
    <w:rsid w:val="0045495B"/>
    <w:rsid w:val="00455467"/>
    <w:rsid w:val="00456071"/>
    <w:rsid w:val="00456609"/>
    <w:rsid w:val="0046064C"/>
    <w:rsid w:val="004615BA"/>
    <w:rsid w:val="00461D9D"/>
    <w:rsid w:val="00461ECE"/>
    <w:rsid w:val="00462942"/>
    <w:rsid w:val="00463A8D"/>
    <w:rsid w:val="00466275"/>
    <w:rsid w:val="004708C2"/>
    <w:rsid w:val="0047145B"/>
    <w:rsid w:val="00471E65"/>
    <w:rsid w:val="00472F14"/>
    <w:rsid w:val="004734EE"/>
    <w:rsid w:val="00477E46"/>
    <w:rsid w:val="00480663"/>
    <w:rsid w:val="00482E31"/>
    <w:rsid w:val="0048397A"/>
    <w:rsid w:val="004840E2"/>
    <w:rsid w:val="004850EF"/>
    <w:rsid w:val="00485CBB"/>
    <w:rsid w:val="004864F0"/>
    <w:rsid w:val="004866B7"/>
    <w:rsid w:val="00486944"/>
    <w:rsid w:val="004875B9"/>
    <w:rsid w:val="00490155"/>
    <w:rsid w:val="004929A8"/>
    <w:rsid w:val="00492E45"/>
    <w:rsid w:val="004933EE"/>
    <w:rsid w:val="004948BC"/>
    <w:rsid w:val="00497091"/>
    <w:rsid w:val="004A1A66"/>
    <w:rsid w:val="004A1B28"/>
    <w:rsid w:val="004A30DD"/>
    <w:rsid w:val="004A351E"/>
    <w:rsid w:val="004A3536"/>
    <w:rsid w:val="004A4175"/>
    <w:rsid w:val="004A6E0A"/>
    <w:rsid w:val="004A715F"/>
    <w:rsid w:val="004B237A"/>
    <w:rsid w:val="004B3560"/>
    <w:rsid w:val="004B3B25"/>
    <w:rsid w:val="004B7A4A"/>
    <w:rsid w:val="004C0DD9"/>
    <w:rsid w:val="004C1A7C"/>
    <w:rsid w:val="004C2461"/>
    <w:rsid w:val="004C38A5"/>
    <w:rsid w:val="004C3ED3"/>
    <w:rsid w:val="004C4000"/>
    <w:rsid w:val="004C5A6A"/>
    <w:rsid w:val="004C5DC0"/>
    <w:rsid w:val="004C7325"/>
    <w:rsid w:val="004C7462"/>
    <w:rsid w:val="004C7681"/>
    <w:rsid w:val="004D09A0"/>
    <w:rsid w:val="004D1239"/>
    <w:rsid w:val="004D1376"/>
    <w:rsid w:val="004D13A3"/>
    <w:rsid w:val="004D13AB"/>
    <w:rsid w:val="004D17EB"/>
    <w:rsid w:val="004D1893"/>
    <w:rsid w:val="004D2313"/>
    <w:rsid w:val="004D6926"/>
    <w:rsid w:val="004D790F"/>
    <w:rsid w:val="004E1D07"/>
    <w:rsid w:val="004E1EAB"/>
    <w:rsid w:val="004E1FE8"/>
    <w:rsid w:val="004E24FF"/>
    <w:rsid w:val="004E4830"/>
    <w:rsid w:val="004E5FC3"/>
    <w:rsid w:val="004E77B2"/>
    <w:rsid w:val="004E7DC4"/>
    <w:rsid w:val="004F3C0E"/>
    <w:rsid w:val="004F5067"/>
    <w:rsid w:val="004F5492"/>
    <w:rsid w:val="004F5D72"/>
    <w:rsid w:val="004F646D"/>
    <w:rsid w:val="004F7058"/>
    <w:rsid w:val="005013F6"/>
    <w:rsid w:val="00501BB9"/>
    <w:rsid w:val="0050395C"/>
    <w:rsid w:val="00503EAD"/>
    <w:rsid w:val="00504517"/>
    <w:rsid w:val="00504B2D"/>
    <w:rsid w:val="005054A0"/>
    <w:rsid w:val="0050771F"/>
    <w:rsid w:val="005103CB"/>
    <w:rsid w:val="0051057F"/>
    <w:rsid w:val="0051179B"/>
    <w:rsid w:val="00511985"/>
    <w:rsid w:val="00511E45"/>
    <w:rsid w:val="00512E7A"/>
    <w:rsid w:val="0051440D"/>
    <w:rsid w:val="005150EA"/>
    <w:rsid w:val="00515D36"/>
    <w:rsid w:val="00517A0E"/>
    <w:rsid w:val="00517DAC"/>
    <w:rsid w:val="0052136D"/>
    <w:rsid w:val="00521855"/>
    <w:rsid w:val="00523C8D"/>
    <w:rsid w:val="005275C8"/>
    <w:rsid w:val="0052775E"/>
    <w:rsid w:val="005277C1"/>
    <w:rsid w:val="00527BC0"/>
    <w:rsid w:val="005300AD"/>
    <w:rsid w:val="00530331"/>
    <w:rsid w:val="00531042"/>
    <w:rsid w:val="00532742"/>
    <w:rsid w:val="0053399A"/>
    <w:rsid w:val="00541B50"/>
    <w:rsid w:val="00541C3B"/>
    <w:rsid w:val="005420F2"/>
    <w:rsid w:val="005425BE"/>
    <w:rsid w:val="00542B9B"/>
    <w:rsid w:val="00543DE2"/>
    <w:rsid w:val="005443C4"/>
    <w:rsid w:val="005447DC"/>
    <w:rsid w:val="00544B95"/>
    <w:rsid w:val="0054631F"/>
    <w:rsid w:val="00546583"/>
    <w:rsid w:val="005471A7"/>
    <w:rsid w:val="00551444"/>
    <w:rsid w:val="005537D8"/>
    <w:rsid w:val="00553C50"/>
    <w:rsid w:val="00555A60"/>
    <w:rsid w:val="00557A75"/>
    <w:rsid w:val="0056085D"/>
    <w:rsid w:val="00560CB5"/>
    <w:rsid w:val="00560DE8"/>
    <w:rsid w:val="0056241E"/>
    <w:rsid w:val="005628B6"/>
    <w:rsid w:val="00565B0D"/>
    <w:rsid w:val="00567644"/>
    <w:rsid w:val="00567997"/>
    <w:rsid w:val="0057040B"/>
    <w:rsid w:val="00570BA9"/>
    <w:rsid w:val="0057308A"/>
    <w:rsid w:val="00574D07"/>
    <w:rsid w:val="00574D3A"/>
    <w:rsid w:val="005750F1"/>
    <w:rsid w:val="0057511C"/>
    <w:rsid w:val="00575D48"/>
    <w:rsid w:val="005764D4"/>
    <w:rsid w:val="00576CE6"/>
    <w:rsid w:val="00581B40"/>
    <w:rsid w:val="005842E3"/>
    <w:rsid w:val="005859CF"/>
    <w:rsid w:val="00587866"/>
    <w:rsid w:val="00590623"/>
    <w:rsid w:val="00590AB4"/>
    <w:rsid w:val="00591813"/>
    <w:rsid w:val="005930F1"/>
    <w:rsid w:val="005932F2"/>
    <w:rsid w:val="00593B1D"/>
    <w:rsid w:val="005954CD"/>
    <w:rsid w:val="00596215"/>
    <w:rsid w:val="005966C1"/>
    <w:rsid w:val="0059724D"/>
    <w:rsid w:val="005974BB"/>
    <w:rsid w:val="005978C1"/>
    <w:rsid w:val="00597B30"/>
    <w:rsid w:val="00597DC7"/>
    <w:rsid w:val="005A18E7"/>
    <w:rsid w:val="005A3336"/>
    <w:rsid w:val="005A3575"/>
    <w:rsid w:val="005A3838"/>
    <w:rsid w:val="005A4200"/>
    <w:rsid w:val="005A4974"/>
    <w:rsid w:val="005A63BD"/>
    <w:rsid w:val="005B16E4"/>
    <w:rsid w:val="005B2C98"/>
    <w:rsid w:val="005B3D56"/>
    <w:rsid w:val="005B3DB3"/>
    <w:rsid w:val="005B4E13"/>
    <w:rsid w:val="005B588A"/>
    <w:rsid w:val="005C00F0"/>
    <w:rsid w:val="005C0799"/>
    <w:rsid w:val="005C13FC"/>
    <w:rsid w:val="005C244A"/>
    <w:rsid w:val="005C2904"/>
    <w:rsid w:val="005C3411"/>
    <w:rsid w:val="005C342F"/>
    <w:rsid w:val="005C34B2"/>
    <w:rsid w:val="005C3D62"/>
    <w:rsid w:val="005C40EE"/>
    <w:rsid w:val="005C6E68"/>
    <w:rsid w:val="005D0EE7"/>
    <w:rsid w:val="005D2609"/>
    <w:rsid w:val="005D265A"/>
    <w:rsid w:val="005D2835"/>
    <w:rsid w:val="005D45F2"/>
    <w:rsid w:val="005D64AB"/>
    <w:rsid w:val="005D6D02"/>
    <w:rsid w:val="005D7F23"/>
    <w:rsid w:val="005E34A7"/>
    <w:rsid w:val="005E3968"/>
    <w:rsid w:val="005E5797"/>
    <w:rsid w:val="005E6D77"/>
    <w:rsid w:val="005E77EE"/>
    <w:rsid w:val="005F17E5"/>
    <w:rsid w:val="005F1A45"/>
    <w:rsid w:val="005F1C27"/>
    <w:rsid w:val="005F1EA8"/>
    <w:rsid w:val="005F29A7"/>
    <w:rsid w:val="005F2A8B"/>
    <w:rsid w:val="005F38DE"/>
    <w:rsid w:val="005F39E1"/>
    <w:rsid w:val="005F47B5"/>
    <w:rsid w:val="005F76AB"/>
    <w:rsid w:val="005F7B75"/>
    <w:rsid w:val="005F7C64"/>
    <w:rsid w:val="006001EE"/>
    <w:rsid w:val="0060155D"/>
    <w:rsid w:val="00601686"/>
    <w:rsid w:val="00601E2B"/>
    <w:rsid w:val="00602329"/>
    <w:rsid w:val="00602478"/>
    <w:rsid w:val="006024AB"/>
    <w:rsid w:val="006025A1"/>
    <w:rsid w:val="0060276D"/>
    <w:rsid w:val="00604691"/>
    <w:rsid w:val="00605042"/>
    <w:rsid w:val="00605789"/>
    <w:rsid w:val="0060592B"/>
    <w:rsid w:val="00607800"/>
    <w:rsid w:val="006109F1"/>
    <w:rsid w:val="0061113C"/>
    <w:rsid w:val="0061160B"/>
    <w:rsid w:val="00611FC4"/>
    <w:rsid w:val="006137CF"/>
    <w:rsid w:val="006156F7"/>
    <w:rsid w:val="006176FB"/>
    <w:rsid w:val="00621430"/>
    <w:rsid w:val="00622E79"/>
    <w:rsid w:val="006242AB"/>
    <w:rsid w:val="006249C1"/>
    <w:rsid w:val="00624E0B"/>
    <w:rsid w:val="006320E8"/>
    <w:rsid w:val="00634F16"/>
    <w:rsid w:val="00635614"/>
    <w:rsid w:val="006402CD"/>
    <w:rsid w:val="006406D2"/>
    <w:rsid w:val="006407F9"/>
    <w:rsid w:val="00640B26"/>
    <w:rsid w:val="00641E7B"/>
    <w:rsid w:val="0064278D"/>
    <w:rsid w:val="00644182"/>
    <w:rsid w:val="00646497"/>
    <w:rsid w:val="00652D0A"/>
    <w:rsid w:val="00652D46"/>
    <w:rsid w:val="006558E5"/>
    <w:rsid w:val="00655AF4"/>
    <w:rsid w:val="00656478"/>
    <w:rsid w:val="006618E9"/>
    <w:rsid w:val="00661990"/>
    <w:rsid w:val="00661E13"/>
    <w:rsid w:val="00662B8B"/>
    <w:rsid w:val="00662BB6"/>
    <w:rsid w:val="0066335E"/>
    <w:rsid w:val="00663E31"/>
    <w:rsid w:val="00665C7C"/>
    <w:rsid w:val="006661F3"/>
    <w:rsid w:val="00666EB5"/>
    <w:rsid w:val="00667922"/>
    <w:rsid w:val="006714C0"/>
    <w:rsid w:val="0067306F"/>
    <w:rsid w:val="00673B91"/>
    <w:rsid w:val="00673FA5"/>
    <w:rsid w:val="00674073"/>
    <w:rsid w:val="0067466B"/>
    <w:rsid w:val="00675202"/>
    <w:rsid w:val="006765D8"/>
    <w:rsid w:val="006765F9"/>
    <w:rsid w:val="00676606"/>
    <w:rsid w:val="00676626"/>
    <w:rsid w:val="0068077B"/>
    <w:rsid w:val="00681876"/>
    <w:rsid w:val="00681DD3"/>
    <w:rsid w:val="00682741"/>
    <w:rsid w:val="00684ABC"/>
    <w:rsid w:val="00684C21"/>
    <w:rsid w:val="00686066"/>
    <w:rsid w:val="00686BF7"/>
    <w:rsid w:val="00691F72"/>
    <w:rsid w:val="00693DF8"/>
    <w:rsid w:val="006945C2"/>
    <w:rsid w:val="00694B82"/>
    <w:rsid w:val="00695914"/>
    <w:rsid w:val="0069766A"/>
    <w:rsid w:val="00697BD3"/>
    <w:rsid w:val="00697C33"/>
    <w:rsid w:val="006A1EB9"/>
    <w:rsid w:val="006A2530"/>
    <w:rsid w:val="006A2DF3"/>
    <w:rsid w:val="006A31C7"/>
    <w:rsid w:val="006A3243"/>
    <w:rsid w:val="006A33AB"/>
    <w:rsid w:val="006A5896"/>
    <w:rsid w:val="006A6B89"/>
    <w:rsid w:val="006A6C3D"/>
    <w:rsid w:val="006A7BC0"/>
    <w:rsid w:val="006B0885"/>
    <w:rsid w:val="006B0FF8"/>
    <w:rsid w:val="006B2556"/>
    <w:rsid w:val="006B3C14"/>
    <w:rsid w:val="006B538C"/>
    <w:rsid w:val="006B6240"/>
    <w:rsid w:val="006B6C31"/>
    <w:rsid w:val="006B78FA"/>
    <w:rsid w:val="006C0585"/>
    <w:rsid w:val="006C0756"/>
    <w:rsid w:val="006C084F"/>
    <w:rsid w:val="006C0E51"/>
    <w:rsid w:val="006C10F2"/>
    <w:rsid w:val="006C11CA"/>
    <w:rsid w:val="006C15CF"/>
    <w:rsid w:val="006C15F3"/>
    <w:rsid w:val="006C18A2"/>
    <w:rsid w:val="006C289B"/>
    <w:rsid w:val="006C3589"/>
    <w:rsid w:val="006C5A53"/>
    <w:rsid w:val="006C63A2"/>
    <w:rsid w:val="006C7BB8"/>
    <w:rsid w:val="006D355D"/>
    <w:rsid w:val="006D37AF"/>
    <w:rsid w:val="006D4B71"/>
    <w:rsid w:val="006D51D0"/>
    <w:rsid w:val="006D590F"/>
    <w:rsid w:val="006D5FB9"/>
    <w:rsid w:val="006D685E"/>
    <w:rsid w:val="006E1DA5"/>
    <w:rsid w:val="006E50FD"/>
    <w:rsid w:val="006E5409"/>
    <w:rsid w:val="006E564B"/>
    <w:rsid w:val="006E6829"/>
    <w:rsid w:val="006E7191"/>
    <w:rsid w:val="006F06C9"/>
    <w:rsid w:val="006F08FE"/>
    <w:rsid w:val="006F1694"/>
    <w:rsid w:val="006F1A57"/>
    <w:rsid w:val="006F1E32"/>
    <w:rsid w:val="006F2B56"/>
    <w:rsid w:val="006F2BD4"/>
    <w:rsid w:val="006F4056"/>
    <w:rsid w:val="006F6A87"/>
    <w:rsid w:val="00701404"/>
    <w:rsid w:val="00701FDA"/>
    <w:rsid w:val="00702B99"/>
    <w:rsid w:val="0070328C"/>
    <w:rsid w:val="00703577"/>
    <w:rsid w:val="007037AE"/>
    <w:rsid w:val="00704657"/>
    <w:rsid w:val="00705397"/>
    <w:rsid w:val="00705894"/>
    <w:rsid w:val="0070621C"/>
    <w:rsid w:val="00706EB3"/>
    <w:rsid w:val="00707C74"/>
    <w:rsid w:val="00710D7E"/>
    <w:rsid w:val="00712AA8"/>
    <w:rsid w:val="00714D1C"/>
    <w:rsid w:val="00715268"/>
    <w:rsid w:val="00717ED7"/>
    <w:rsid w:val="00720F42"/>
    <w:rsid w:val="0072133C"/>
    <w:rsid w:val="007213F3"/>
    <w:rsid w:val="00721749"/>
    <w:rsid w:val="0072293D"/>
    <w:rsid w:val="007233D6"/>
    <w:rsid w:val="00724036"/>
    <w:rsid w:val="0072632A"/>
    <w:rsid w:val="007301A8"/>
    <w:rsid w:val="00730A58"/>
    <w:rsid w:val="00731789"/>
    <w:rsid w:val="007327D5"/>
    <w:rsid w:val="007334B0"/>
    <w:rsid w:val="00737143"/>
    <w:rsid w:val="007413B2"/>
    <w:rsid w:val="007413F6"/>
    <w:rsid w:val="00742437"/>
    <w:rsid w:val="00743E44"/>
    <w:rsid w:val="0074467A"/>
    <w:rsid w:val="00746841"/>
    <w:rsid w:val="0075173D"/>
    <w:rsid w:val="00751744"/>
    <w:rsid w:val="00751F7B"/>
    <w:rsid w:val="00752748"/>
    <w:rsid w:val="00753144"/>
    <w:rsid w:val="007536B0"/>
    <w:rsid w:val="00753EE6"/>
    <w:rsid w:val="007544AD"/>
    <w:rsid w:val="007552CA"/>
    <w:rsid w:val="0076099E"/>
    <w:rsid w:val="0076187E"/>
    <w:rsid w:val="00761EA1"/>
    <w:rsid w:val="00762210"/>
    <w:rsid w:val="007629C8"/>
    <w:rsid w:val="00763E1A"/>
    <w:rsid w:val="007648F5"/>
    <w:rsid w:val="00764C0A"/>
    <w:rsid w:val="00764CE1"/>
    <w:rsid w:val="00765B4E"/>
    <w:rsid w:val="00767DC7"/>
    <w:rsid w:val="0077047D"/>
    <w:rsid w:val="00770A13"/>
    <w:rsid w:val="00771D34"/>
    <w:rsid w:val="007740F2"/>
    <w:rsid w:val="00774758"/>
    <w:rsid w:val="00776030"/>
    <w:rsid w:val="007802F4"/>
    <w:rsid w:val="00780704"/>
    <w:rsid w:val="0078145B"/>
    <w:rsid w:val="00781A76"/>
    <w:rsid w:val="0078352D"/>
    <w:rsid w:val="007838C9"/>
    <w:rsid w:val="00784743"/>
    <w:rsid w:val="00784AF5"/>
    <w:rsid w:val="00784B01"/>
    <w:rsid w:val="0078516D"/>
    <w:rsid w:val="00790B1B"/>
    <w:rsid w:val="00792119"/>
    <w:rsid w:val="00792B74"/>
    <w:rsid w:val="00797DFF"/>
    <w:rsid w:val="007A0014"/>
    <w:rsid w:val="007A0614"/>
    <w:rsid w:val="007A0A17"/>
    <w:rsid w:val="007A405D"/>
    <w:rsid w:val="007A7AF9"/>
    <w:rsid w:val="007B054A"/>
    <w:rsid w:val="007B0A8D"/>
    <w:rsid w:val="007B1955"/>
    <w:rsid w:val="007B5F58"/>
    <w:rsid w:val="007B6BA5"/>
    <w:rsid w:val="007C079D"/>
    <w:rsid w:val="007C10EB"/>
    <w:rsid w:val="007C2754"/>
    <w:rsid w:val="007C2AB5"/>
    <w:rsid w:val="007C2AE8"/>
    <w:rsid w:val="007C3390"/>
    <w:rsid w:val="007C4031"/>
    <w:rsid w:val="007C4420"/>
    <w:rsid w:val="007C4F4B"/>
    <w:rsid w:val="007D0396"/>
    <w:rsid w:val="007D0765"/>
    <w:rsid w:val="007D2130"/>
    <w:rsid w:val="007D2D34"/>
    <w:rsid w:val="007D2F6A"/>
    <w:rsid w:val="007D411C"/>
    <w:rsid w:val="007D62C3"/>
    <w:rsid w:val="007D7A58"/>
    <w:rsid w:val="007D7F3F"/>
    <w:rsid w:val="007E01E9"/>
    <w:rsid w:val="007E06CE"/>
    <w:rsid w:val="007E09B2"/>
    <w:rsid w:val="007E1E34"/>
    <w:rsid w:val="007E2460"/>
    <w:rsid w:val="007E25B8"/>
    <w:rsid w:val="007E63F3"/>
    <w:rsid w:val="007E7BFA"/>
    <w:rsid w:val="007F06CE"/>
    <w:rsid w:val="007F1A19"/>
    <w:rsid w:val="007F1C72"/>
    <w:rsid w:val="007F2AD2"/>
    <w:rsid w:val="007F2B24"/>
    <w:rsid w:val="007F2DC5"/>
    <w:rsid w:val="007F551E"/>
    <w:rsid w:val="007F6611"/>
    <w:rsid w:val="007F7F44"/>
    <w:rsid w:val="00803B4C"/>
    <w:rsid w:val="00803FA1"/>
    <w:rsid w:val="0080627A"/>
    <w:rsid w:val="00806F32"/>
    <w:rsid w:val="0081076D"/>
    <w:rsid w:val="008110BB"/>
    <w:rsid w:val="00811920"/>
    <w:rsid w:val="0081208A"/>
    <w:rsid w:val="008133B1"/>
    <w:rsid w:val="00815AD0"/>
    <w:rsid w:val="008163FF"/>
    <w:rsid w:val="0081691C"/>
    <w:rsid w:val="00816D08"/>
    <w:rsid w:val="00820EC7"/>
    <w:rsid w:val="00820ECD"/>
    <w:rsid w:val="008227D5"/>
    <w:rsid w:val="00822A0E"/>
    <w:rsid w:val="0082322B"/>
    <w:rsid w:val="00823284"/>
    <w:rsid w:val="008242D7"/>
    <w:rsid w:val="008257B1"/>
    <w:rsid w:val="008258D7"/>
    <w:rsid w:val="008302CC"/>
    <w:rsid w:val="00832334"/>
    <w:rsid w:val="00832E1D"/>
    <w:rsid w:val="00833CC4"/>
    <w:rsid w:val="00834B71"/>
    <w:rsid w:val="008357EC"/>
    <w:rsid w:val="00835DBD"/>
    <w:rsid w:val="00836496"/>
    <w:rsid w:val="0084059C"/>
    <w:rsid w:val="00841013"/>
    <w:rsid w:val="0084141F"/>
    <w:rsid w:val="0084336B"/>
    <w:rsid w:val="00843767"/>
    <w:rsid w:val="00843F03"/>
    <w:rsid w:val="00844641"/>
    <w:rsid w:val="00844B01"/>
    <w:rsid w:val="00844DA4"/>
    <w:rsid w:val="00844E14"/>
    <w:rsid w:val="00846067"/>
    <w:rsid w:val="00850895"/>
    <w:rsid w:val="00850D52"/>
    <w:rsid w:val="0085408D"/>
    <w:rsid w:val="00854C9F"/>
    <w:rsid w:val="00855130"/>
    <w:rsid w:val="008551E5"/>
    <w:rsid w:val="008552B6"/>
    <w:rsid w:val="0085595E"/>
    <w:rsid w:val="00855B59"/>
    <w:rsid w:val="008561CC"/>
    <w:rsid w:val="00856FE8"/>
    <w:rsid w:val="008572E8"/>
    <w:rsid w:val="00857F41"/>
    <w:rsid w:val="008600DA"/>
    <w:rsid w:val="00861A5D"/>
    <w:rsid w:val="00861D06"/>
    <w:rsid w:val="00862A20"/>
    <w:rsid w:val="00863443"/>
    <w:rsid w:val="00863446"/>
    <w:rsid w:val="008638DA"/>
    <w:rsid w:val="00864052"/>
    <w:rsid w:val="008662A3"/>
    <w:rsid w:val="00866DBF"/>
    <w:rsid w:val="008679D9"/>
    <w:rsid w:val="00870997"/>
    <w:rsid w:val="00873151"/>
    <w:rsid w:val="0087321B"/>
    <w:rsid w:val="00873548"/>
    <w:rsid w:val="00877380"/>
    <w:rsid w:val="008779C6"/>
    <w:rsid w:val="00880A58"/>
    <w:rsid w:val="008813AC"/>
    <w:rsid w:val="00881B2F"/>
    <w:rsid w:val="008822D7"/>
    <w:rsid w:val="008852B5"/>
    <w:rsid w:val="008864C9"/>
    <w:rsid w:val="0088678E"/>
    <w:rsid w:val="00886DEA"/>
    <w:rsid w:val="008878DE"/>
    <w:rsid w:val="0089090D"/>
    <w:rsid w:val="00890BC0"/>
    <w:rsid w:val="00892BC3"/>
    <w:rsid w:val="008933E6"/>
    <w:rsid w:val="00893C4D"/>
    <w:rsid w:val="0089412F"/>
    <w:rsid w:val="0089458B"/>
    <w:rsid w:val="00894AF2"/>
    <w:rsid w:val="00895243"/>
    <w:rsid w:val="0089530D"/>
    <w:rsid w:val="008968ED"/>
    <w:rsid w:val="00897765"/>
    <w:rsid w:val="008979B1"/>
    <w:rsid w:val="008A20F4"/>
    <w:rsid w:val="008A31B1"/>
    <w:rsid w:val="008A3795"/>
    <w:rsid w:val="008A6B25"/>
    <w:rsid w:val="008A6C4F"/>
    <w:rsid w:val="008A6DEB"/>
    <w:rsid w:val="008B16C7"/>
    <w:rsid w:val="008B1B77"/>
    <w:rsid w:val="008B1D4C"/>
    <w:rsid w:val="008B2335"/>
    <w:rsid w:val="008B6560"/>
    <w:rsid w:val="008B671C"/>
    <w:rsid w:val="008B691C"/>
    <w:rsid w:val="008C1140"/>
    <w:rsid w:val="008C1D57"/>
    <w:rsid w:val="008C23DC"/>
    <w:rsid w:val="008C244D"/>
    <w:rsid w:val="008C2531"/>
    <w:rsid w:val="008C26F9"/>
    <w:rsid w:val="008C3D48"/>
    <w:rsid w:val="008C4004"/>
    <w:rsid w:val="008C51DD"/>
    <w:rsid w:val="008C614A"/>
    <w:rsid w:val="008C6215"/>
    <w:rsid w:val="008C6529"/>
    <w:rsid w:val="008C7046"/>
    <w:rsid w:val="008C7FEF"/>
    <w:rsid w:val="008D0142"/>
    <w:rsid w:val="008D0BF1"/>
    <w:rsid w:val="008D1AB9"/>
    <w:rsid w:val="008D1FF0"/>
    <w:rsid w:val="008D21D2"/>
    <w:rsid w:val="008D2433"/>
    <w:rsid w:val="008D282C"/>
    <w:rsid w:val="008D2964"/>
    <w:rsid w:val="008D4788"/>
    <w:rsid w:val="008D6010"/>
    <w:rsid w:val="008D67FA"/>
    <w:rsid w:val="008D7092"/>
    <w:rsid w:val="008D76F2"/>
    <w:rsid w:val="008E0678"/>
    <w:rsid w:val="008E0D3C"/>
    <w:rsid w:val="008E1354"/>
    <w:rsid w:val="008E3172"/>
    <w:rsid w:val="008E64D8"/>
    <w:rsid w:val="008E6511"/>
    <w:rsid w:val="008F12F7"/>
    <w:rsid w:val="008F2359"/>
    <w:rsid w:val="008F3BE5"/>
    <w:rsid w:val="008F5345"/>
    <w:rsid w:val="008F54A7"/>
    <w:rsid w:val="008F5852"/>
    <w:rsid w:val="008F586B"/>
    <w:rsid w:val="008F5A29"/>
    <w:rsid w:val="008F61D4"/>
    <w:rsid w:val="009002F7"/>
    <w:rsid w:val="00900723"/>
    <w:rsid w:val="00900763"/>
    <w:rsid w:val="00901E31"/>
    <w:rsid w:val="00903872"/>
    <w:rsid w:val="009042BD"/>
    <w:rsid w:val="00905D4B"/>
    <w:rsid w:val="00911307"/>
    <w:rsid w:val="009117AC"/>
    <w:rsid w:val="009119C6"/>
    <w:rsid w:val="00912BCA"/>
    <w:rsid w:val="009133E2"/>
    <w:rsid w:val="00914C9A"/>
    <w:rsid w:val="0091587E"/>
    <w:rsid w:val="00916630"/>
    <w:rsid w:val="009223CA"/>
    <w:rsid w:val="009248D7"/>
    <w:rsid w:val="00924A9D"/>
    <w:rsid w:val="0092531F"/>
    <w:rsid w:val="0092717A"/>
    <w:rsid w:val="0092729E"/>
    <w:rsid w:val="00927F89"/>
    <w:rsid w:val="0093049B"/>
    <w:rsid w:val="00930523"/>
    <w:rsid w:val="00930DA4"/>
    <w:rsid w:val="009312C1"/>
    <w:rsid w:val="00931806"/>
    <w:rsid w:val="009318CF"/>
    <w:rsid w:val="00931C99"/>
    <w:rsid w:val="00931E66"/>
    <w:rsid w:val="00934512"/>
    <w:rsid w:val="00937D01"/>
    <w:rsid w:val="00940318"/>
    <w:rsid w:val="00940944"/>
    <w:rsid w:val="00940F93"/>
    <w:rsid w:val="009417DA"/>
    <w:rsid w:val="00941B86"/>
    <w:rsid w:val="009423EE"/>
    <w:rsid w:val="00943439"/>
    <w:rsid w:val="009439A9"/>
    <w:rsid w:val="00945A14"/>
    <w:rsid w:val="00947854"/>
    <w:rsid w:val="00950CB2"/>
    <w:rsid w:val="009519EE"/>
    <w:rsid w:val="0095419E"/>
    <w:rsid w:val="00956DAA"/>
    <w:rsid w:val="00957478"/>
    <w:rsid w:val="00961760"/>
    <w:rsid w:val="0096184D"/>
    <w:rsid w:val="00961F49"/>
    <w:rsid w:val="0096393F"/>
    <w:rsid w:val="00963B55"/>
    <w:rsid w:val="00963E2A"/>
    <w:rsid w:val="009641BE"/>
    <w:rsid w:val="0096507E"/>
    <w:rsid w:val="0096578A"/>
    <w:rsid w:val="00970645"/>
    <w:rsid w:val="00970985"/>
    <w:rsid w:val="00971061"/>
    <w:rsid w:val="009717E3"/>
    <w:rsid w:val="009717ED"/>
    <w:rsid w:val="00972123"/>
    <w:rsid w:val="009743C6"/>
    <w:rsid w:val="00974981"/>
    <w:rsid w:val="009760F3"/>
    <w:rsid w:val="00976334"/>
    <w:rsid w:val="00976CFB"/>
    <w:rsid w:val="00977D8B"/>
    <w:rsid w:val="0098432E"/>
    <w:rsid w:val="00984416"/>
    <w:rsid w:val="00984670"/>
    <w:rsid w:val="009854C5"/>
    <w:rsid w:val="00985DA4"/>
    <w:rsid w:val="00986217"/>
    <w:rsid w:val="00986A44"/>
    <w:rsid w:val="00986C08"/>
    <w:rsid w:val="0099024D"/>
    <w:rsid w:val="0099050C"/>
    <w:rsid w:val="009907D8"/>
    <w:rsid w:val="00991D77"/>
    <w:rsid w:val="00992E33"/>
    <w:rsid w:val="00995EF0"/>
    <w:rsid w:val="00997AC5"/>
    <w:rsid w:val="009A0830"/>
    <w:rsid w:val="009A0963"/>
    <w:rsid w:val="009A0E8D"/>
    <w:rsid w:val="009A37E4"/>
    <w:rsid w:val="009A396F"/>
    <w:rsid w:val="009A4024"/>
    <w:rsid w:val="009A7B4B"/>
    <w:rsid w:val="009B0C32"/>
    <w:rsid w:val="009B26E7"/>
    <w:rsid w:val="009B3385"/>
    <w:rsid w:val="009B3FB5"/>
    <w:rsid w:val="009B4E84"/>
    <w:rsid w:val="009B5B14"/>
    <w:rsid w:val="009B60F3"/>
    <w:rsid w:val="009B615D"/>
    <w:rsid w:val="009C0C7F"/>
    <w:rsid w:val="009C0FAF"/>
    <w:rsid w:val="009C28DD"/>
    <w:rsid w:val="009C376D"/>
    <w:rsid w:val="009C3D82"/>
    <w:rsid w:val="009C5B6A"/>
    <w:rsid w:val="009C7C62"/>
    <w:rsid w:val="009C7D58"/>
    <w:rsid w:val="009D09D8"/>
    <w:rsid w:val="009D1616"/>
    <w:rsid w:val="009D2A83"/>
    <w:rsid w:val="009D349F"/>
    <w:rsid w:val="009D34F1"/>
    <w:rsid w:val="009D4AE6"/>
    <w:rsid w:val="009D685C"/>
    <w:rsid w:val="009D7C88"/>
    <w:rsid w:val="009D7FA4"/>
    <w:rsid w:val="009E10A0"/>
    <w:rsid w:val="009E1B08"/>
    <w:rsid w:val="009E36F6"/>
    <w:rsid w:val="009E4159"/>
    <w:rsid w:val="009F0D68"/>
    <w:rsid w:val="009F19A7"/>
    <w:rsid w:val="009F2A4D"/>
    <w:rsid w:val="009F6658"/>
    <w:rsid w:val="009F6A6C"/>
    <w:rsid w:val="009F7090"/>
    <w:rsid w:val="00A00697"/>
    <w:rsid w:val="00A00A3F"/>
    <w:rsid w:val="00A00A6A"/>
    <w:rsid w:val="00A00C55"/>
    <w:rsid w:val="00A00E5C"/>
    <w:rsid w:val="00A01489"/>
    <w:rsid w:val="00A040BE"/>
    <w:rsid w:val="00A06E22"/>
    <w:rsid w:val="00A07271"/>
    <w:rsid w:val="00A07E43"/>
    <w:rsid w:val="00A10F01"/>
    <w:rsid w:val="00A11286"/>
    <w:rsid w:val="00A113F4"/>
    <w:rsid w:val="00A129FD"/>
    <w:rsid w:val="00A13671"/>
    <w:rsid w:val="00A143FA"/>
    <w:rsid w:val="00A149D3"/>
    <w:rsid w:val="00A15594"/>
    <w:rsid w:val="00A156A9"/>
    <w:rsid w:val="00A17C15"/>
    <w:rsid w:val="00A2006C"/>
    <w:rsid w:val="00A20D21"/>
    <w:rsid w:val="00A22517"/>
    <w:rsid w:val="00A22A75"/>
    <w:rsid w:val="00A23558"/>
    <w:rsid w:val="00A2377A"/>
    <w:rsid w:val="00A24C62"/>
    <w:rsid w:val="00A25D73"/>
    <w:rsid w:val="00A26C5F"/>
    <w:rsid w:val="00A26FCF"/>
    <w:rsid w:val="00A3026E"/>
    <w:rsid w:val="00A3050A"/>
    <w:rsid w:val="00A3190E"/>
    <w:rsid w:val="00A32F52"/>
    <w:rsid w:val="00A3369E"/>
    <w:rsid w:val="00A338F1"/>
    <w:rsid w:val="00A34BE5"/>
    <w:rsid w:val="00A357BC"/>
    <w:rsid w:val="00A35BE0"/>
    <w:rsid w:val="00A35DDE"/>
    <w:rsid w:val="00A37305"/>
    <w:rsid w:val="00A37F0E"/>
    <w:rsid w:val="00A37FE0"/>
    <w:rsid w:val="00A4167D"/>
    <w:rsid w:val="00A41F7A"/>
    <w:rsid w:val="00A42158"/>
    <w:rsid w:val="00A42D0E"/>
    <w:rsid w:val="00A437DB"/>
    <w:rsid w:val="00A4753C"/>
    <w:rsid w:val="00A510BB"/>
    <w:rsid w:val="00A53A30"/>
    <w:rsid w:val="00A5459B"/>
    <w:rsid w:val="00A566EE"/>
    <w:rsid w:val="00A57673"/>
    <w:rsid w:val="00A57CBF"/>
    <w:rsid w:val="00A57CD6"/>
    <w:rsid w:val="00A623AF"/>
    <w:rsid w:val="00A6260E"/>
    <w:rsid w:val="00A63AD8"/>
    <w:rsid w:val="00A63F03"/>
    <w:rsid w:val="00A651C8"/>
    <w:rsid w:val="00A67A35"/>
    <w:rsid w:val="00A707F3"/>
    <w:rsid w:val="00A71AFD"/>
    <w:rsid w:val="00A71C07"/>
    <w:rsid w:val="00A72F22"/>
    <w:rsid w:val="00A7356C"/>
    <w:rsid w:val="00A7360F"/>
    <w:rsid w:val="00A7379D"/>
    <w:rsid w:val="00A73AEF"/>
    <w:rsid w:val="00A73ED4"/>
    <w:rsid w:val="00A747D4"/>
    <w:rsid w:val="00A748A6"/>
    <w:rsid w:val="00A769F4"/>
    <w:rsid w:val="00A7731E"/>
    <w:rsid w:val="00A776B4"/>
    <w:rsid w:val="00A77AEB"/>
    <w:rsid w:val="00A80E1C"/>
    <w:rsid w:val="00A80FD6"/>
    <w:rsid w:val="00A81B6F"/>
    <w:rsid w:val="00A844D5"/>
    <w:rsid w:val="00A848EA"/>
    <w:rsid w:val="00A852C0"/>
    <w:rsid w:val="00A85382"/>
    <w:rsid w:val="00A85A13"/>
    <w:rsid w:val="00A87DBB"/>
    <w:rsid w:val="00A91518"/>
    <w:rsid w:val="00A91EAD"/>
    <w:rsid w:val="00A9285C"/>
    <w:rsid w:val="00A94361"/>
    <w:rsid w:val="00A9454A"/>
    <w:rsid w:val="00AA00FF"/>
    <w:rsid w:val="00AA0625"/>
    <w:rsid w:val="00AA116C"/>
    <w:rsid w:val="00AA134E"/>
    <w:rsid w:val="00AA177C"/>
    <w:rsid w:val="00AA293C"/>
    <w:rsid w:val="00AA2EB1"/>
    <w:rsid w:val="00AA307D"/>
    <w:rsid w:val="00AA319F"/>
    <w:rsid w:val="00AA33B0"/>
    <w:rsid w:val="00AA4C89"/>
    <w:rsid w:val="00AA52EA"/>
    <w:rsid w:val="00AA66A3"/>
    <w:rsid w:val="00AA7772"/>
    <w:rsid w:val="00AB0318"/>
    <w:rsid w:val="00AB0329"/>
    <w:rsid w:val="00AB2FB5"/>
    <w:rsid w:val="00AB31EF"/>
    <w:rsid w:val="00AB3215"/>
    <w:rsid w:val="00AB442D"/>
    <w:rsid w:val="00AB4BDA"/>
    <w:rsid w:val="00AB6E6F"/>
    <w:rsid w:val="00AB7A49"/>
    <w:rsid w:val="00AC294B"/>
    <w:rsid w:val="00AC35B9"/>
    <w:rsid w:val="00AC3CDA"/>
    <w:rsid w:val="00AC5A74"/>
    <w:rsid w:val="00AC7089"/>
    <w:rsid w:val="00AC7EE6"/>
    <w:rsid w:val="00AD10EC"/>
    <w:rsid w:val="00AD22D5"/>
    <w:rsid w:val="00AD3C63"/>
    <w:rsid w:val="00AD6986"/>
    <w:rsid w:val="00AE062E"/>
    <w:rsid w:val="00AE1140"/>
    <w:rsid w:val="00AE1A11"/>
    <w:rsid w:val="00AE3146"/>
    <w:rsid w:val="00AE3162"/>
    <w:rsid w:val="00AE3592"/>
    <w:rsid w:val="00AE4FD1"/>
    <w:rsid w:val="00AE5A0C"/>
    <w:rsid w:val="00AE6714"/>
    <w:rsid w:val="00AE679F"/>
    <w:rsid w:val="00AF0211"/>
    <w:rsid w:val="00AF0D8C"/>
    <w:rsid w:val="00AF113F"/>
    <w:rsid w:val="00AF18B5"/>
    <w:rsid w:val="00AF2B6D"/>
    <w:rsid w:val="00AF64E1"/>
    <w:rsid w:val="00AF65BE"/>
    <w:rsid w:val="00AF65E3"/>
    <w:rsid w:val="00AF6B07"/>
    <w:rsid w:val="00B00A76"/>
    <w:rsid w:val="00B024B0"/>
    <w:rsid w:val="00B0277E"/>
    <w:rsid w:val="00B044A7"/>
    <w:rsid w:val="00B05E3D"/>
    <w:rsid w:val="00B07723"/>
    <w:rsid w:val="00B1053C"/>
    <w:rsid w:val="00B10761"/>
    <w:rsid w:val="00B11536"/>
    <w:rsid w:val="00B1351E"/>
    <w:rsid w:val="00B145B9"/>
    <w:rsid w:val="00B14D1F"/>
    <w:rsid w:val="00B15521"/>
    <w:rsid w:val="00B163A2"/>
    <w:rsid w:val="00B201C0"/>
    <w:rsid w:val="00B21016"/>
    <w:rsid w:val="00B22312"/>
    <w:rsid w:val="00B22ECD"/>
    <w:rsid w:val="00B24846"/>
    <w:rsid w:val="00B26C0D"/>
    <w:rsid w:val="00B27735"/>
    <w:rsid w:val="00B27FBB"/>
    <w:rsid w:val="00B30179"/>
    <w:rsid w:val="00B3053F"/>
    <w:rsid w:val="00B31D62"/>
    <w:rsid w:val="00B31D9A"/>
    <w:rsid w:val="00B326EC"/>
    <w:rsid w:val="00B34F58"/>
    <w:rsid w:val="00B35311"/>
    <w:rsid w:val="00B360E4"/>
    <w:rsid w:val="00B37BE9"/>
    <w:rsid w:val="00B421C1"/>
    <w:rsid w:val="00B426DB"/>
    <w:rsid w:val="00B42B2C"/>
    <w:rsid w:val="00B42B9D"/>
    <w:rsid w:val="00B4401E"/>
    <w:rsid w:val="00B44627"/>
    <w:rsid w:val="00B44A3D"/>
    <w:rsid w:val="00B46E2B"/>
    <w:rsid w:val="00B473A5"/>
    <w:rsid w:val="00B47D3E"/>
    <w:rsid w:val="00B51C56"/>
    <w:rsid w:val="00B547E1"/>
    <w:rsid w:val="00B55C71"/>
    <w:rsid w:val="00B56E4A"/>
    <w:rsid w:val="00B56E9C"/>
    <w:rsid w:val="00B5760F"/>
    <w:rsid w:val="00B578E4"/>
    <w:rsid w:val="00B60716"/>
    <w:rsid w:val="00B619BA"/>
    <w:rsid w:val="00B62098"/>
    <w:rsid w:val="00B63316"/>
    <w:rsid w:val="00B64851"/>
    <w:rsid w:val="00B64B1F"/>
    <w:rsid w:val="00B64DF0"/>
    <w:rsid w:val="00B6553F"/>
    <w:rsid w:val="00B6592E"/>
    <w:rsid w:val="00B65D61"/>
    <w:rsid w:val="00B65E24"/>
    <w:rsid w:val="00B66023"/>
    <w:rsid w:val="00B67099"/>
    <w:rsid w:val="00B7040C"/>
    <w:rsid w:val="00B72E87"/>
    <w:rsid w:val="00B73474"/>
    <w:rsid w:val="00B74A1F"/>
    <w:rsid w:val="00B75EF3"/>
    <w:rsid w:val="00B76937"/>
    <w:rsid w:val="00B77D05"/>
    <w:rsid w:val="00B80437"/>
    <w:rsid w:val="00B81206"/>
    <w:rsid w:val="00B81E12"/>
    <w:rsid w:val="00B81FC3"/>
    <w:rsid w:val="00B8208B"/>
    <w:rsid w:val="00B8285C"/>
    <w:rsid w:val="00B8370E"/>
    <w:rsid w:val="00B8488A"/>
    <w:rsid w:val="00B85255"/>
    <w:rsid w:val="00B85EC0"/>
    <w:rsid w:val="00B90CE0"/>
    <w:rsid w:val="00B9318E"/>
    <w:rsid w:val="00B933BF"/>
    <w:rsid w:val="00B93408"/>
    <w:rsid w:val="00B93A0E"/>
    <w:rsid w:val="00B95D28"/>
    <w:rsid w:val="00B963C1"/>
    <w:rsid w:val="00B97CFE"/>
    <w:rsid w:val="00BA0F94"/>
    <w:rsid w:val="00BA1766"/>
    <w:rsid w:val="00BA2E71"/>
    <w:rsid w:val="00BA393B"/>
    <w:rsid w:val="00BA4249"/>
    <w:rsid w:val="00BA6149"/>
    <w:rsid w:val="00BA6786"/>
    <w:rsid w:val="00BA7772"/>
    <w:rsid w:val="00BA7E14"/>
    <w:rsid w:val="00BB05A1"/>
    <w:rsid w:val="00BB1587"/>
    <w:rsid w:val="00BB18E5"/>
    <w:rsid w:val="00BB1D4B"/>
    <w:rsid w:val="00BB3A9B"/>
    <w:rsid w:val="00BB6FB4"/>
    <w:rsid w:val="00BB77D8"/>
    <w:rsid w:val="00BB7A57"/>
    <w:rsid w:val="00BB7C59"/>
    <w:rsid w:val="00BB7E6D"/>
    <w:rsid w:val="00BC1F49"/>
    <w:rsid w:val="00BC234D"/>
    <w:rsid w:val="00BC24FF"/>
    <w:rsid w:val="00BC3D67"/>
    <w:rsid w:val="00BC3FA0"/>
    <w:rsid w:val="00BC4EDE"/>
    <w:rsid w:val="00BC5B52"/>
    <w:rsid w:val="00BC6CB1"/>
    <w:rsid w:val="00BC74E9"/>
    <w:rsid w:val="00BC79C0"/>
    <w:rsid w:val="00BD02E6"/>
    <w:rsid w:val="00BD0C6F"/>
    <w:rsid w:val="00BD0D61"/>
    <w:rsid w:val="00BD0E08"/>
    <w:rsid w:val="00BD0F1A"/>
    <w:rsid w:val="00BD3A22"/>
    <w:rsid w:val="00BD45F7"/>
    <w:rsid w:val="00BD50EA"/>
    <w:rsid w:val="00BD59B6"/>
    <w:rsid w:val="00BD5A06"/>
    <w:rsid w:val="00BD5AF1"/>
    <w:rsid w:val="00BD5FC3"/>
    <w:rsid w:val="00BD610E"/>
    <w:rsid w:val="00BE1095"/>
    <w:rsid w:val="00BE30A3"/>
    <w:rsid w:val="00BE3529"/>
    <w:rsid w:val="00BE3DF6"/>
    <w:rsid w:val="00BE4181"/>
    <w:rsid w:val="00BE4383"/>
    <w:rsid w:val="00BE525D"/>
    <w:rsid w:val="00BE6896"/>
    <w:rsid w:val="00BE6FDB"/>
    <w:rsid w:val="00BF31BD"/>
    <w:rsid w:val="00BF44DC"/>
    <w:rsid w:val="00BF5EA9"/>
    <w:rsid w:val="00BF5FBE"/>
    <w:rsid w:val="00BF68A8"/>
    <w:rsid w:val="00BF736C"/>
    <w:rsid w:val="00BF7EB0"/>
    <w:rsid w:val="00C00E2E"/>
    <w:rsid w:val="00C02927"/>
    <w:rsid w:val="00C03581"/>
    <w:rsid w:val="00C04266"/>
    <w:rsid w:val="00C065F8"/>
    <w:rsid w:val="00C11A03"/>
    <w:rsid w:val="00C15BE8"/>
    <w:rsid w:val="00C2028C"/>
    <w:rsid w:val="00C20C78"/>
    <w:rsid w:val="00C22C0C"/>
    <w:rsid w:val="00C22DAD"/>
    <w:rsid w:val="00C23B48"/>
    <w:rsid w:val="00C25683"/>
    <w:rsid w:val="00C25BAD"/>
    <w:rsid w:val="00C26766"/>
    <w:rsid w:val="00C26843"/>
    <w:rsid w:val="00C27767"/>
    <w:rsid w:val="00C312A7"/>
    <w:rsid w:val="00C319D2"/>
    <w:rsid w:val="00C32106"/>
    <w:rsid w:val="00C321C6"/>
    <w:rsid w:val="00C326C9"/>
    <w:rsid w:val="00C32FFD"/>
    <w:rsid w:val="00C34883"/>
    <w:rsid w:val="00C34F55"/>
    <w:rsid w:val="00C35F1F"/>
    <w:rsid w:val="00C363B9"/>
    <w:rsid w:val="00C36BC5"/>
    <w:rsid w:val="00C37818"/>
    <w:rsid w:val="00C41896"/>
    <w:rsid w:val="00C42904"/>
    <w:rsid w:val="00C43285"/>
    <w:rsid w:val="00C44203"/>
    <w:rsid w:val="00C44428"/>
    <w:rsid w:val="00C4527F"/>
    <w:rsid w:val="00C463DD"/>
    <w:rsid w:val="00C4724C"/>
    <w:rsid w:val="00C47349"/>
    <w:rsid w:val="00C47ACD"/>
    <w:rsid w:val="00C47AEC"/>
    <w:rsid w:val="00C51A9E"/>
    <w:rsid w:val="00C5229E"/>
    <w:rsid w:val="00C5322F"/>
    <w:rsid w:val="00C53824"/>
    <w:rsid w:val="00C60564"/>
    <w:rsid w:val="00C61231"/>
    <w:rsid w:val="00C614CE"/>
    <w:rsid w:val="00C61E66"/>
    <w:rsid w:val="00C6221B"/>
    <w:rsid w:val="00C629A0"/>
    <w:rsid w:val="00C64629"/>
    <w:rsid w:val="00C653AA"/>
    <w:rsid w:val="00C70CFE"/>
    <w:rsid w:val="00C73FFD"/>
    <w:rsid w:val="00C745C3"/>
    <w:rsid w:val="00C74970"/>
    <w:rsid w:val="00C7589B"/>
    <w:rsid w:val="00C7787B"/>
    <w:rsid w:val="00C80644"/>
    <w:rsid w:val="00C80C94"/>
    <w:rsid w:val="00C819C2"/>
    <w:rsid w:val="00C81C8C"/>
    <w:rsid w:val="00C848CC"/>
    <w:rsid w:val="00C87E06"/>
    <w:rsid w:val="00C90726"/>
    <w:rsid w:val="00C90E04"/>
    <w:rsid w:val="00C91A06"/>
    <w:rsid w:val="00C9311E"/>
    <w:rsid w:val="00C93580"/>
    <w:rsid w:val="00C950A8"/>
    <w:rsid w:val="00C95A02"/>
    <w:rsid w:val="00C95E54"/>
    <w:rsid w:val="00C96AE9"/>
    <w:rsid w:val="00C96DF2"/>
    <w:rsid w:val="00CA0860"/>
    <w:rsid w:val="00CA2255"/>
    <w:rsid w:val="00CA240A"/>
    <w:rsid w:val="00CA2C4B"/>
    <w:rsid w:val="00CA2C65"/>
    <w:rsid w:val="00CA369B"/>
    <w:rsid w:val="00CA3B9C"/>
    <w:rsid w:val="00CA3D3F"/>
    <w:rsid w:val="00CA453E"/>
    <w:rsid w:val="00CA6117"/>
    <w:rsid w:val="00CA66B0"/>
    <w:rsid w:val="00CA6F17"/>
    <w:rsid w:val="00CB0704"/>
    <w:rsid w:val="00CB13FF"/>
    <w:rsid w:val="00CB3430"/>
    <w:rsid w:val="00CB35E4"/>
    <w:rsid w:val="00CB371E"/>
    <w:rsid w:val="00CB3BB7"/>
    <w:rsid w:val="00CB3E03"/>
    <w:rsid w:val="00CB5DB3"/>
    <w:rsid w:val="00CB6428"/>
    <w:rsid w:val="00CB688A"/>
    <w:rsid w:val="00CC0256"/>
    <w:rsid w:val="00CC091D"/>
    <w:rsid w:val="00CC1D04"/>
    <w:rsid w:val="00CC1F13"/>
    <w:rsid w:val="00CC2EBA"/>
    <w:rsid w:val="00CC5A26"/>
    <w:rsid w:val="00CC6427"/>
    <w:rsid w:val="00CC6AAE"/>
    <w:rsid w:val="00CC6B02"/>
    <w:rsid w:val="00CC73F4"/>
    <w:rsid w:val="00CD16DA"/>
    <w:rsid w:val="00CD2208"/>
    <w:rsid w:val="00CD26BD"/>
    <w:rsid w:val="00CD34DF"/>
    <w:rsid w:val="00CD3504"/>
    <w:rsid w:val="00CD534B"/>
    <w:rsid w:val="00CD60EE"/>
    <w:rsid w:val="00CD66C1"/>
    <w:rsid w:val="00CD70B9"/>
    <w:rsid w:val="00CD76E1"/>
    <w:rsid w:val="00CE0A73"/>
    <w:rsid w:val="00CE0B9D"/>
    <w:rsid w:val="00CE30E1"/>
    <w:rsid w:val="00CE4A8F"/>
    <w:rsid w:val="00CE5898"/>
    <w:rsid w:val="00CE6EB2"/>
    <w:rsid w:val="00CE7A49"/>
    <w:rsid w:val="00CF0A5D"/>
    <w:rsid w:val="00CF1A28"/>
    <w:rsid w:val="00CF2985"/>
    <w:rsid w:val="00CF3355"/>
    <w:rsid w:val="00CF3FD9"/>
    <w:rsid w:val="00CF510E"/>
    <w:rsid w:val="00CF6D62"/>
    <w:rsid w:val="00D01D33"/>
    <w:rsid w:val="00D02901"/>
    <w:rsid w:val="00D03F11"/>
    <w:rsid w:val="00D03F79"/>
    <w:rsid w:val="00D053BF"/>
    <w:rsid w:val="00D058E3"/>
    <w:rsid w:val="00D07502"/>
    <w:rsid w:val="00D108E1"/>
    <w:rsid w:val="00D10BA3"/>
    <w:rsid w:val="00D11169"/>
    <w:rsid w:val="00D11F7B"/>
    <w:rsid w:val="00D12068"/>
    <w:rsid w:val="00D12596"/>
    <w:rsid w:val="00D13A66"/>
    <w:rsid w:val="00D20244"/>
    <w:rsid w:val="00D2031B"/>
    <w:rsid w:val="00D257D5"/>
    <w:rsid w:val="00D25FE2"/>
    <w:rsid w:val="00D26513"/>
    <w:rsid w:val="00D26937"/>
    <w:rsid w:val="00D27011"/>
    <w:rsid w:val="00D270DB"/>
    <w:rsid w:val="00D278CE"/>
    <w:rsid w:val="00D27DA6"/>
    <w:rsid w:val="00D3040F"/>
    <w:rsid w:val="00D30F8E"/>
    <w:rsid w:val="00D31EB9"/>
    <w:rsid w:val="00D3576E"/>
    <w:rsid w:val="00D41276"/>
    <w:rsid w:val="00D427E5"/>
    <w:rsid w:val="00D43252"/>
    <w:rsid w:val="00D445AD"/>
    <w:rsid w:val="00D44973"/>
    <w:rsid w:val="00D44F86"/>
    <w:rsid w:val="00D456D0"/>
    <w:rsid w:val="00D45B4C"/>
    <w:rsid w:val="00D4654F"/>
    <w:rsid w:val="00D47E16"/>
    <w:rsid w:val="00D47EEA"/>
    <w:rsid w:val="00D550AC"/>
    <w:rsid w:val="00D55DFF"/>
    <w:rsid w:val="00D566F4"/>
    <w:rsid w:val="00D57682"/>
    <w:rsid w:val="00D60444"/>
    <w:rsid w:val="00D6054B"/>
    <w:rsid w:val="00D644C3"/>
    <w:rsid w:val="00D64D68"/>
    <w:rsid w:val="00D6589F"/>
    <w:rsid w:val="00D65D53"/>
    <w:rsid w:val="00D70144"/>
    <w:rsid w:val="00D74479"/>
    <w:rsid w:val="00D759FD"/>
    <w:rsid w:val="00D773DF"/>
    <w:rsid w:val="00D77586"/>
    <w:rsid w:val="00D77A09"/>
    <w:rsid w:val="00D82D02"/>
    <w:rsid w:val="00D836AC"/>
    <w:rsid w:val="00D83ECF"/>
    <w:rsid w:val="00D85DD1"/>
    <w:rsid w:val="00D86CD4"/>
    <w:rsid w:val="00D87646"/>
    <w:rsid w:val="00D90329"/>
    <w:rsid w:val="00D903B2"/>
    <w:rsid w:val="00D924EE"/>
    <w:rsid w:val="00D95303"/>
    <w:rsid w:val="00D95E2D"/>
    <w:rsid w:val="00D96C2D"/>
    <w:rsid w:val="00D975D6"/>
    <w:rsid w:val="00D978C6"/>
    <w:rsid w:val="00DA034A"/>
    <w:rsid w:val="00DA224E"/>
    <w:rsid w:val="00DA22F9"/>
    <w:rsid w:val="00DA23CF"/>
    <w:rsid w:val="00DA371E"/>
    <w:rsid w:val="00DA3C1C"/>
    <w:rsid w:val="00DA6580"/>
    <w:rsid w:val="00DB15C3"/>
    <w:rsid w:val="00DB1A09"/>
    <w:rsid w:val="00DB1AFF"/>
    <w:rsid w:val="00DB2DBA"/>
    <w:rsid w:val="00DB34FE"/>
    <w:rsid w:val="00DB4B10"/>
    <w:rsid w:val="00DB52C1"/>
    <w:rsid w:val="00DB52DA"/>
    <w:rsid w:val="00DB58AE"/>
    <w:rsid w:val="00DB6A18"/>
    <w:rsid w:val="00DB6BAF"/>
    <w:rsid w:val="00DC216E"/>
    <w:rsid w:val="00DC3BB7"/>
    <w:rsid w:val="00DC3BBA"/>
    <w:rsid w:val="00DC3EB6"/>
    <w:rsid w:val="00DC5061"/>
    <w:rsid w:val="00DC52E7"/>
    <w:rsid w:val="00DD2ABC"/>
    <w:rsid w:val="00DD3005"/>
    <w:rsid w:val="00DD4DD5"/>
    <w:rsid w:val="00DD5691"/>
    <w:rsid w:val="00DD7219"/>
    <w:rsid w:val="00DE12E5"/>
    <w:rsid w:val="00DE219B"/>
    <w:rsid w:val="00DE40B1"/>
    <w:rsid w:val="00DE5141"/>
    <w:rsid w:val="00DE6532"/>
    <w:rsid w:val="00DF078A"/>
    <w:rsid w:val="00DF1A6E"/>
    <w:rsid w:val="00DF24B6"/>
    <w:rsid w:val="00DF2B2E"/>
    <w:rsid w:val="00DF574A"/>
    <w:rsid w:val="00DF6CEC"/>
    <w:rsid w:val="00E00C9C"/>
    <w:rsid w:val="00E02BC8"/>
    <w:rsid w:val="00E03E7C"/>
    <w:rsid w:val="00E040C7"/>
    <w:rsid w:val="00E046DF"/>
    <w:rsid w:val="00E04AC3"/>
    <w:rsid w:val="00E07A3C"/>
    <w:rsid w:val="00E121E0"/>
    <w:rsid w:val="00E133E5"/>
    <w:rsid w:val="00E13A81"/>
    <w:rsid w:val="00E13FC8"/>
    <w:rsid w:val="00E14B0A"/>
    <w:rsid w:val="00E14E7F"/>
    <w:rsid w:val="00E15B3A"/>
    <w:rsid w:val="00E15B47"/>
    <w:rsid w:val="00E17152"/>
    <w:rsid w:val="00E17F23"/>
    <w:rsid w:val="00E21948"/>
    <w:rsid w:val="00E21969"/>
    <w:rsid w:val="00E21A87"/>
    <w:rsid w:val="00E22F4C"/>
    <w:rsid w:val="00E23D0A"/>
    <w:rsid w:val="00E24A09"/>
    <w:rsid w:val="00E27346"/>
    <w:rsid w:val="00E278C9"/>
    <w:rsid w:val="00E30180"/>
    <w:rsid w:val="00E30D73"/>
    <w:rsid w:val="00E328BF"/>
    <w:rsid w:val="00E3395A"/>
    <w:rsid w:val="00E341AA"/>
    <w:rsid w:val="00E3485D"/>
    <w:rsid w:val="00E35DF3"/>
    <w:rsid w:val="00E35E6C"/>
    <w:rsid w:val="00E35FF8"/>
    <w:rsid w:val="00E368F8"/>
    <w:rsid w:val="00E37210"/>
    <w:rsid w:val="00E37C3B"/>
    <w:rsid w:val="00E37F01"/>
    <w:rsid w:val="00E41FE8"/>
    <w:rsid w:val="00E428DC"/>
    <w:rsid w:val="00E431A8"/>
    <w:rsid w:val="00E4368F"/>
    <w:rsid w:val="00E437D9"/>
    <w:rsid w:val="00E43C3D"/>
    <w:rsid w:val="00E446A7"/>
    <w:rsid w:val="00E465C5"/>
    <w:rsid w:val="00E522C5"/>
    <w:rsid w:val="00E53532"/>
    <w:rsid w:val="00E540EE"/>
    <w:rsid w:val="00E54E44"/>
    <w:rsid w:val="00E60A68"/>
    <w:rsid w:val="00E62682"/>
    <w:rsid w:val="00E63E2B"/>
    <w:rsid w:val="00E6456A"/>
    <w:rsid w:val="00E64E49"/>
    <w:rsid w:val="00E70041"/>
    <w:rsid w:val="00E71BC8"/>
    <w:rsid w:val="00E7260F"/>
    <w:rsid w:val="00E729CD"/>
    <w:rsid w:val="00E73359"/>
    <w:rsid w:val="00E73F5D"/>
    <w:rsid w:val="00E743E1"/>
    <w:rsid w:val="00E75443"/>
    <w:rsid w:val="00E764DE"/>
    <w:rsid w:val="00E77E4E"/>
    <w:rsid w:val="00E82814"/>
    <w:rsid w:val="00E82CFB"/>
    <w:rsid w:val="00E83F90"/>
    <w:rsid w:val="00E84086"/>
    <w:rsid w:val="00E84E4D"/>
    <w:rsid w:val="00E85E7E"/>
    <w:rsid w:val="00E868FF"/>
    <w:rsid w:val="00E87C90"/>
    <w:rsid w:val="00E91228"/>
    <w:rsid w:val="00E919DE"/>
    <w:rsid w:val="00E91A03"/>
    <w:rsid w:val="00E9210A"/>
    <w:rsid w:val="00E9211A"/>
    <w:rsid w:val="00E9361C"/>
    <w:rsid w:val="00E95424"/>
    <w:rsid w:val="00E95619"/>
    <w:rsid w:val="00E95E90"/>
    <w:rsid w:val="00E96630"/>
    <w:rsid w:val="00E96A6F"/>
    <w:rsid w:val="00E97538"/>
    <w:rsid w:val="00EA33CC"/>
    <w:rsid w:val="00EA7F92"/>
    <w:rsid w:val="00EB086D"/>
    <w:rsid w:val="00EB08E2"/>
    <w:rsid w:val="00EB188F"/>
    <w:rsid w:val="00EB2D4C"/>
    <w:rsid w:val="00EB5E35"/>
    <w:rsid w:val="00EB6E6B"/>
    <w:rsid w:val="00EB7312"/>
    <w:rsid w:val="00EC01B9"/>
    <w:rsid w:val="00EC14A2"/>
    <w:rsid w:val="00EC34F1"/>
    <w:rsid w:val="00EC4145"/>
    <w:rsid w:val="00EC57E0"/>
    <w:rsid w:val="00EC62FA"/>
    <w:rsid w:val="00EC648E"/>
    <w:rsid w:val="00EC69CC"/>
    <w:rsid w:val="00EC6FFB"/>
    <w:rsid w:val="00ED0E23"/>
    <w:rsid w:val="00ED1C59"/>
    <w:rsid w:val="00ED2B1F"/>
    <w:rsid w:val="00ED355C"/>
    <w:rsid w:val="00ED522D"/>
    <w:rsid w:val="00ED56B2"/>
    <w:rsid w:val="00ED6083"/>
    <w:rsid w:val="00ED755C"/>
    <w:rsid w:val="00ED78F2"/>
    <w:rsid w:val="00ED7A2A"/>
    <w:rsid w:val="00ED7AE9"/>
    <w:rsid w:val="00EE20F3"/>
    <w:rsid w:val="00EE28CE"/>
    <w:rsid w:val="00EE2FFD"/>
    <w:rsid w:val="00EE44C6"/>
    <w:rsid w:val="00EE6A1D"/>
    <w:rsid w:val="00EF0F0E"/>
    <w:rsid w:val="00EF12BA"/>
    <w:rsid w:val="00EF1D7F"/>
    <w:rsid w:val="00EF21B6"/>
    <w:rsid w:val="00EF2D9F"/>
    <w:rsid w:val="00EF32FD"/>
    <w:rsid w:val="00EF358D"/>
    <w:rsid w:val="00EF534E"/>
    <w:rsid w:val="00EF64C8"/>
    <w:rsid w:val="00F012BF"/>
    <w:rsid w:val="00F01D66"/>
    <w:rsid w:val="00F01FF8"/>
    <w:rsid w:val="00F038C1"/>
    <w:rsid w:val="00F04265"/>
    <w:rsid w:val="00F06F3E"/>
    <w:rsid w:val="00F10583"/>
    <w:rsid w:val="00F10CB5"/>
    <w:rsid w:val="00F10EED"/>
    <w:rsid w:val="00F11790"/>
    <w:rsid w:val="00F124C2"/>
    <w:rsid w:val="00F12ADD"/>
    <w:rsid w:val="00F1629C"/>
    <w:rsid w:val="00F17776"/>
    <w:rsid w:val="00F17ACB"/>
    <w:rsid w:val="00F17BB7"/>
    <w:rsid w:val="00F17D9E"/>
    <w:rsid w:val="00F22637"/>
    <w:rsid w:val="00F22796"/>
    <w:rsid w:val="00F22ED9"/>
    <w:rsid w:val="00F2401E"/>
    <w:rsid w:val="00F27987"/>
    <w:rsid w:val="00F3063D"/>
    <w:rsid w:val="00F30BBF"/>
    <w:rsid w:val="00F30D3E"/>
    <w:rsid w:val="00F31E5F"/>
    <w:rsid w:val="00F32A07"/>
    <w:rsid w:val="00F4045F"/>
    <w:rsid w:val="00F4083C"/>
    <w:rsid w:val="00F4109F"/>
    <w:rsid w:val="00F41A1D"/>
    <w:rsid w:val="00F41FAD"/>
    <w:rsid w:val="00F4246B"/>
    <w:rsid w:val="00F43385"/>
    <w:rsid w:val="00F43B8C"/>
    <w:rsid w:val="00F445EC"/>
    <w:rsid w:val="00F457E0"/>
    <w:rsid w:val="00F4610E"/>
    <w:rsid w:val="00F51F5E"/>
    <w:rsid w:val="00F575FF"/>
    <w:rsid w:val="00F6100A"/>
    <w:rsid w:val="00F628B9"/>
    <w:rsid w:val="00F62DB3"/>
    <w:rsid w:val="00F63821"/>
    <w:rsid w:val="00F65C82"/>
    <w:rsid w:val="00F668DE"/>
    <w:rsid w:val="00F66EA6"/>
    <w:rsid w:val="00F674ED"/>
    <w:rsid w:val="00F701BB"/>
    <w:rsid w:val="00F71E90"/>
    <w:rsid w:val="00F72E60"/>
    <w:rsid w:val="00F72FC6"/>
    <w:rsid w:val="00F73986"/>
    <w:rsid w:val="00F741A2"/>
    <w:rsid w:val="00F74985"/>
    <w:rsid w:val="00F752C8"/>
    <w:rsid w:val="00F76FA4"/>
    <w:rsid w:val="00F77A47"/>
    <w:rsid w:val="00F80A78"/>
    <w:rsid w:val="00F80C8F"/>
    <w:rsid w:val="00F8287A"/>
    <w:rsid w:val="00F8351F"/>
    <w:rsid w:val="00F83780"/>
    <w:rsid w:val="00F838B4"/>
    <w:rsid w:val="00F83959"/>
    <w:rsid w:val="00F8506E"/>
    <w:rsid w:val="00F851BA"/>
    <w:rsid w:val="00F907ED"/>
    <w:rsid w:val="00F92435"/>
    <w:rsid w:val="00F9282A"/>
    <w:rsid w:val="00F93578"/>
    <w:rsid w:val="00F93781"/>
    <w:rsid w:val="00F9529B"/>
    <w:rsid w:val="00F95D00"/>
    <w:rsid w:val="00F970F9"/>
    <w:rsid w:val="00FA0989"/>
    <w:rsid w:val="00FA107F"/>
    <w:rsid w:val="00FA3C73"/>
    <w:rsid w:val="00FA42BA"/>
    <w:rsid w:val="00FA5948"/>
    <w:rsid w:val="00FA6CCB"/>
    <w:rsid w:val="00FA7D2B"/>
    <w:rsid w:val="00FB4C71"/>
    <w:rsid w:val="00FB5C46"/>
    <w:rsid w:val="00FB613B"/>
    <w:rsid w:val="00FB68B6"/>
    <w:rsid w:val="00FB7252"/>
    <w:rsid w:val="00FC0BC4"/>
    <w:rsid w:val="00FC3A06"/>
    <w:rsid w:val="00FC552C"/>
    <w:rsid w:val="00FC6329"/>
    <w:rsid w:val="00FC66A0"/>
    <w:rsid w:val="00FC68B7"/>
    <w:rsid w:val="00FC6C0A"/>
    <w:rsid w:val="00FC729F"/>
    <w:rsid w:val="00FC7D78"/>
    <w:rsid w:val="00FD044E"/>
    <w:rsid w:val="00FD141F"/>
    <w:rsid w:val="00FD2937"/>
    <w:rsid w:val="00FD2A21"/>
    <w:rsid w:val="00FD3F98"/>
    <w:rsid w:val="00FD67C7"/>
    <w:rsid w:val="00FD7B34"/>
    <w:rsid w:val="00FD7F5C"/>
    <w:rsid w:val="00FE016C"/>
    <w:rsid w:val="00FE09ED"/>
    <w:rsid w:val="00FE106A"/>
    <w:rsid w:val="00FE1544"/>
    <w:rsid w:val="00FE2077"/>
    <w:rsid w:val="00FE3B77"/>
    <w:rsid w:val="00FE5831"/>
    <w:rsid w:val="00FE7182"/>
    <w:rsid w:val="00FF01D6"/>
    <w:rsid w:val="00FF145D"/>
    <w:rsid w:val="00FF4520"/>
    <w:rsid w:val="00FF76A2"/>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DC5061"/>
    <w:pPr>
      <w:spacing w:after="0" w:line="240" w:lineRule="auto"/>
      <w:ind w:right="0"/>
      <w:jc w:val="left"/>
      <w:outlineLvl w:val="0"/>
    </w:pPr>
  </w:style>
  <w:style w:type="paragraph" w:styleId="Heading2">
    <w:name w:val="heading 2"/>
    <w:basedOn w:val="Normal"/>
    <w:next w:val="Normal"/>
    <w:link w:val="Heading2Char"/>
    <w:uiPriority w:val="99"/>
    <w:qFormat/>
    <w:rsid w:val="00DC5061"/>
    <w:pPr>
      <w:spacing w:line="240" w:lineRule="auto"/>
      <w:outlineLvl w:val="1"/>
    </w:pPr>
  </w:style>
  <w:style w:type="paragraph" w:styleId="Heading3">
    <w:name w:val="heading 3"/>
    <w:basedOn w:val="Normal"/>
    <w:next w:val="Normal"/>
    <w:link w:val="Heading3Char"/>
    <w:uiPriority w:val="9"/>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
    <w:rsid w:val="00DC5061"/>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uiPriority w:val="99"/>
    <w:rPr>
      <w:sz w:val="6"/>
    </w:rPr>
  </w:style>
  <w:style w:type="paragraph" w:styleId="CommentText">
    <w:name w:val="annotation text"/>
    <w:basedOn w:val="Normal"/>
    <w:link w:val="CommentTextChar1"/>
    <w:uiPriority w:val="99"/>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uiPriority w:val="99"/>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DC5061"/>
    <w:pPr>
      <w:spacing w:line="240" w:lineRule="auto"/>
    </w:pPr>
    <w:rPr>
      <w:sz w:val="16"/>
    </w:rPr>
  </w:style>
  <w:style w:type="paragraph" w:styleId="Header">
    <w:name w:val="header"/>
    <w:aliases w:val="6_G"/>
    <w:basedOn w:val="Normal"/>
    <w:link w:val="HeaderChar"/>
    <w:uiPriority w:val="99"/>
    <w:rsid w:val="00DC5061"/>
    <w:pPr>
      <w:pBdr>
        <w:bottom w:val="single" w:sz="4" w:space="4" w:color="auto"/>
      </w:pBdr>
      <w:spacing w:line="240" w:lineRule="auto"/>
    </w:pPr>
    <w:rPr>
      <w:b/>
      <w:sz w:val="18"/>
    </w:rPr>
  </w:style>
  <w:style w:type="paragraph" w:styleId="BalloonText">
    <w:name w:val="Balloon Text"/>
    <w:basedOn w:val="Normal"/>
    <w:link w:val="BalloonTextChar"/>
    <w:uiPriority w:val="99"/>
    <w:rsid w:val="003B51CB"/>
    <w:pPr>
      <w:spacing w:line="240" w:lineRule="auto"/>
    </w:pPr>
    <w:rPr>
      <w:rFonts w:ascii="Tahoma" w:hAnsi="Tahoma" w:cs="Tahoma"/>
      <w:sz w:val="16"/>
      <w:szCs w:val="16"/>
    </w:rPr>
  </w:style>
  <w:style w:type="character" w:customStyle="1" w:styleId="BalloonTextChar">
    <w:name w:val="Balloon Text Char"/>
    <w:link w:val="BalloonText"/>
    <w:uiPriority w:val="99"/>
    <w:rsid w:val="003B51CB"/>
    <w:rPr>
      <w:rFonts w:ascii="Tahoma" w:hAnsi="Tahoma" w:cs="Tahoma"/>
      <w:sz w:val="16"/>
      <w:szCs w:val="16"/>
      <w:lang w:eastAsia="en-US"/>
    </w:rPr>
  </w:style>
  <w:style w:type="numbering" w:customStyle="1" w:styleId="NoList1">
    <w:name w:val="No List1"/>
    <w:next w:val="NoList"/>
    <w:uiPriority w:val="99"/>
    <w:semiHidden/>
    <w:unhideWhenUsed/>
    <w:rsid w:val="002B6E60"/>
  </w:style>
  <w:style w:type="character" w:customStyle="1" w:styleId="Heading1Char">
    <w:name w:val="Heading 1 Char"/>
    <w:aliases w:val="Table_G Char"/>
    <w:link w:val="Heading1"/>
    <w:uiPriority w:val="99"/>
    <w:locked/>
    <w:rsid w:val="002B6E60"/>
    <w:rPr>
      <w:lang w:eastAsia="en-US"/>
    </w:rPr>
  </w:style>
  <w:style w:type="character" w:customStyle="1" w:styleId="Heading2Char">
    <w:name w:val="Heading 2 Char"/>
    <w:link w:val="Heading2"/>
    <w:uiPriority w:val="99"/>
    <w:locked/>
    <w:rsid w:val="002B6E60"/>
    <w:rPr>
      <w:lang w:eastAsia="en-US"/>
    </w:rPr>
  </w:style>
  <w:style w:type="character" w:customStyle="1" w:styleId="Heading3Char">
    <w:name w:val="Heading 3 Char"/>
    <w:link w:val="Heading3"/>
    <w:uiPriority w:val="9"/>
    <w:locked/>
    <w:rsid w:val="002B6E60"/>
    <w:rPr>
      <w:lang w:eastAsia="en-US"/>
    </w:rPr>
  </w:style>
  <w:style w:type="paragraph" w:styleId="ListParagraph">
    <w:name w:val="List Paragraph"/>
    <w:basedOn w:val="Normal"/>
    <w:uiPriority w:val="34"/>
    <w:qFormat/>
    <w:rsid w:val="002B6E60"/>
    <w:pPr>
      <w:numPr>
        <w:numId w:val="20"/>
      </w:numPr>
      <w:ind w:left="720" w:firstLine="0"/>
    </w:pPr>
  </w:style>
  <w:style w:type="character" w:customStyle="1" w:styleId="CommentTextChar">
    <w:name w:val="Comment Text Char"/>
    <w:uiPriority w:val="99"/>
    <w:rsid w:val="002B6E60"/>
    <w:rPr>
      <w:rFonts w:ascii="Calibri" w:eastAsia="SimSun" w:hAnsi="Calibri"/>
    </w:rPr>
  </w:style>
  <w:style w:type="paragraph" w:styleId="CommentSubject">
    <w:name w:val="annotation subject"/>
    <w:basedOn w:val="CommentText"/>
    <w:next w:val="CommentText"/>
    <w:link w:val="CommentSubjectChar"/>
    <w:uiPriority w:val="99"/>
    <w:rsid w:val="002B6E60"/>
    <w:pPr>
      <w:suppressAutoHyphens w:val="0"/>
      <w:spacing w:after="200" w:line="240" w:lineRule="auto"/>
    </w:pPr>
    <w:rPr>
      <w:rFonts w:ascii="Calibri" w:eastAsia="SimSun" w:hAnsi="Calibri"/>
      <w:b/>
      <w:bCs/>
      <w:lang w:eastAsia="en-GB"/>
    </w:rPr>
  </w:style>
  <w:style w:type="character" w:customStyle="1" w:styleId="CommentTextChar1">
    <w:name w:val="Comment Text Char1"/>
    <w:link w:val="CommentText"/>
    <w:uiPriority w:val="99"/>
    <w:rsid w:val="002B6E60"/>
    <w:rPr>
      <w:lang w:eastAsia="en-US"/>
    </w:rPr>
  </w:style>
  <w:style w:type="character" w:customStyle="1" w:styleId="CommentSubjectChar">
    <w:name w:val="Comment Subject Char"/>
    <w:link w:val="CommentSubject"/>
    <w:uiPriority w:val="99"/>
    <w:rsid w:val="002B6E60"/>
    <w:rPr>
      <w:rFonts w:ascii="Calibri" w:eastAsia="SimSun" w:hAnsi="Calibri"/>
      <w:b/>
      <w:bCs/>
      <w:lang w:eastAsia="en-US"/>
    </w:rPr>
  </w:style>
  <w:style w:type="character" w:customStyle="1" w:styleId="HeaderChar">
    <w:name w:val="Header Char"/>
    <w:aliases w:val="6_G Char"/>
    <w:link w:val="Header"/>
    <w:uiPriority w:val="99"/>
    <w:rsid w:val="002B6E60"/>
    <w:rPr>
      <w:b/>
      <w:sz w:val="18"/>
      <w:lang w:eastAsia="en-US"/>
    </w:rPr>
  </w:style>
  <w:style w:type="character" w:customStyle="1" w:styleId="FooterChar">
    <w:name w:val="Footer Char"/>
    <w:aliases w:val="3_G Char"/>
    <w:link w:val="Footer"/>
    <w:uiPriority w:val="99"/>
    <w:rsid w:val="002B6E60"/>
    <w:rPr>
      <w:sz w:val="16"/>
      <w:lang w:eastAsia="en-US"/>
    </w:rPr>
  </w:style>
  <w:style w:type="character" w:customStyle="1" w:styleId="FootnoteTextChar">
    <w:name w:val="Footnote Text Char"/>
    <w:aliases w:val="5_G Char,Fußnote Char,Footnote Text Char Char Char,single space Char,footnote text Char"/>
    <w:link w:val="FootnoteText"/>
    <w:uiPriority w:val="99"/>
    <w:rsid w:val="002B6E60"/>
    <w:rPr>
      <w:sz w:val="18"/>
      <w:lang w:eastAsia="en-US"/>
    </w:rPr>
  </w:style>
  <w:style w:type="character" w:customStyle="1" w:styleId="hps">
    <w:name w:val="hps"/>
    <w:rsid w:val="002B6E60"/>
  </w:style>
  <w:style w:type="paragraph" w:styleId="Revision">
    <w:name w:val="Revision"/>
    <w:hidden/>
    <w:uiPriority w:val="99"/>
    <w:semiHidden/>
    <w:rsid w:val="002B6E60"/>
    <w:rPr>
      <w:rFonts w:ascii="Calibri" w:eastAsia="SimSun" w:hAnsi="Calibri" w:cs="Arial"/>
      <w:sz w:val="22"/>
      <w:szCs w:val="22"/>
    </w:rPr>
  </w:style>
  <w:style w:type="paragraph" w:customStyle="1" w:styleId="Pa14">
    <w:name w:val="Pa14"/>
    <w:basedOn w:val="Normal"/>
    <w:next w:val="Normal"/>
    <w:uiPriority w:val="99"/>
    <w:rsid w:val="002B6E60"/>
    <w:pPr>
      <w:suppressAutoHyphens w:val="0"/>
      <w:autoSpaceDE w:val="0"/>
      <w:autoSpaceDN w:val="0"/>
      <w:adjustRightInd w:val="0"/>
      <w:spacing w:line="181" w:lineRule="atLeast"/>
    </w:pPr>
    <w:rPr>
      <w:rFonts w:ascii="Palatino LT Std" w:eastAsia="SimSun" w:hAnsi="Palatino LT Std" w:cs="Arial"/>
      <w:sz w:val="24"/>
      <w:szCs w:val="24"/>
      <w:lang w:val="es-ES" w:eastAsia="es-ES"/>
    </w:rPr>
  </w:style>
  <w:style w:type="character" w:customStyle="1" w:styleId="SingleTxtGChar">
    <w:name w:val="_ Single Txt_G Char"/>
    <w:link w:val="SingleTxtG"/>
    <w:rsid w:val="002B6E60"/>
    <w:rPr>
      <w:lang w:eastAsia="en-US"/>
    </w:rPr>
  </w:style>
  <w:style w:type="paragraph" w:customStyle="1" w:styleId="Default">
    <w:name w:val="Default"/>
    <w:rsid w:val="002B6E60"/>
    <w:pPr>
      <w:autoSpaceDE w:val="0"/>
      <w:autoSpaceDN w:val="0"/>
      <w:adjustRightInd w:val="0"/>
    </w:pPr>
    <w:rPr>
      <w:rFonts w:ascii="Tahoma" w:hAnsi="Tahoma" w:cs="Tahoma"/>
      <w:color w:val="000000"/>
      <w:sz w:val="24"/>
      <w:szCs w:val="24"/>
      <w:lang w:val="en-US" w:eastAsia="en-US"/>
    </w:rPr>
  </w:style>
  <w:style w:type="character" w:customStyle="1" w:styleId="apple-converted-space">
    <w:name w:val="apple-converted-space"/>
    <w:basedOn w:val="DefaultParagraphFont"/>
    <w:rsid w:val="00BA2E71"/>
  </w:style>
  <w:style w:type="paragraph" w:customStyle="1" w:styleId="style171">
    <w:name w:val="style171"/>
    <w:basedOn w:val="Normal"/>
    <w:rsid w:val="00BA2E71"/>
    <w:pPr>
      <w:suppressAutoHyphens w:val="0"/>
      <w:spacing w:before="100" w:beforeAutospacing="1" w:after="100" w:afterAutospacing="1" w:line="240" w:lineRule="auto"/>
    </w:pPr>
    <w:rPr>
      <w:sz w:val="24"/>
      <w:szCs w:val="24"/>
      <w:lang w:eastAsia="en-GB"/>
    </w:rPr>
  </w:style>
  <w:style w:type="paragraph" w:customStyle="1" w:styleId="SingleTxt">
    <w:name w:val="__Single Txt"/>
    <w:basedOn w:val="Normal"/>
    <w:rsid w:val="00CD34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DC5061"/>
    <w:pPr>
      <w:spacing w:after="0" w:line="240" w:lineRule="auto"/>
      <w:ind w:right="0"/>
      <w:jc w:val="left"/>
      <w:outlineLvl w:val="0"/>
    </w:pPr>
  </w:style>
  <w:style w:type="paragraph" w:styleId="Heading2">
    <w:name w:val="heading 2"/>
    <w:basedOn w:val="Normal"/>
    <w:next w:val="Normal"/>
    <w:link w:val="Heading2Char"/>
    <w:uiPriority w:val="99"/>
    <w:qFormat/>
    <w:rsid w:val="00DC5061"/>
    <w:pPr>
      <w:spacing w:line="240" w:lineRule="auto"/>
      <w:outlineLvl w:val="1"/>
    </w:pPr>
  </w:style>
  <w:style w:type="paragraph" w:styleId="Heading3">
    <w:name w:val="heading 3"/>
    <w:basedOn w:val="Normal"/>
    <w:next w:val="Normal"/>
    <w:link w:val="Heading3Char"/>
    <w:uiPriority w:val="9"/>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
    <w:rsid w:val="00DC5061"/>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uiPriority w:val="99"/>
    <w:rPr>
      <w:sz w:val="6"/>
    </w:rPr>
  </w:style>
  <w:style w:type="paragraph" w:styleId="CommentText">
    <w:name w:val="annotation text"/>
    <w:basedOn w:val="Normal"/>
    <w:link w:val="CommentTextChar1"/>
    <w:uiPriority w:val="99"/>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uiPriority w:val="99"/>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DC5061"/>
    <w:pPr>
      <w:spacing w:line="240" w:lineRule="auto"/>
    </w:pPr>
    <w:rPr>
      <w:sz w:val="16"/>
    </w:rPr>
  </w:style>
  <w:style w:type="paragraph" w:styleId="Header">
    <w:name w:val="header"/>
    <w:aliases w:val="6_G"/>
    <w:basedOn w:val="Normal"/>
    <w:link w:val="HeaderChar"/>
    <w:uiPriority w:val="99"/>
    <w:rsid w:val="00DC5061"/>
    <w:pPr>
      <w:pBdr>
        <w:bottom w:val="single" w:sz="4" w:space="4" w:color="auto"/>
      </w:pBdr>
      <w:spacing w:line="240" w:lineRule="auto"/>
    </w:pPr>
    <w:rPr>
      <w:b/>
      <w:sz w:val="18"/>
    </w:rPr>
  </w:style>
  <w:style w:type="paragraph" w:styleId="BalloonText">
    <w:name w:val="Balloon Text"/>
    <w:basedOn w:val="Normal"/>
    <w:link w:val="BalloonTextChar"/>
    <w:uiPriority w:val="99"/>
    <w:rsid w:val="003B51CB"/>
    <w:pPr>
      <w:spacing w:line="240" w:lineRule="auto"/>
    </w:pPr>
    <w:rPr>
      <w:rFonts w:ascii="Tahoma" w:hAnsi="Tahoma" w:cs="Tahoma"/>
      <w:sz w:val="16"/>
      <w:szCs w:val="16"/>
    </w:rPr>
  </w:style>
  <w:style w:type="character" w:customStyle="1" w:styleId="BalloonTextChar">
    <w:name w:val="Balloon Text Char"/>
    <w:link w:val="BalloonText"/>
    <w:uiPriority w:val="99"/>
    <w:rsid w:val="003B51CB"/>
    <w:rPr>
      <w:rFonts w:ascii="Tahoma" w:hAnsi="Tahoma" w:cs="Tahoma"/>
      <w:sz w:val="16"/>
      <w:szCs w:val="16"/>
      <w:lang w:eastAsia="en-US"/>
    </w:rPr>
  </w:style>
  <w:style w:type="numbering" w:customStyle="1" w:styleId="NoList1">
    <w:name w:val="No List1"/>
    <w:next w:val="NoList"/>
    <w:uiPriority w:val="99"/>
    <w:semiHidden/>
    <w:unhideWhenUsed/>
    <w:rsid w:val="002B6E60"/>
  </w:style>
  <w:style w:type="character" w:customStyle="1" w:styleId="Heading1Char">
    <w:name w:val="Heading 1 Char"/>
    <w:aliases w:val="Table_G Char"/>
    <w:link w:val="Heading1"/>
    <w:uiPriority w:val="99"/>
    <w:locked/>
    <w:rsid w:val="002B6E60"/>
    <w:rPr>
      <w:lang w:eastAsia="en-US"/>
    </w:rPr>
  </w:style>
  <w:style w:type="character" w:customStyle="1" w:styleId="Heading2Char">
    <w:name w:val="Heading 2 Char"/>
    <w:link w:val="Heading2"/>
    <w:uiPriority w:val="99"/>
    <w:locked/>
    <w:rsid w:val="002B6E60"/>
    <w:rPr>
      <w:lang w:eastAsia="en-US"/>
    </w:rPr>
  </w:style>
  <w:style w:type="character" w:customStyle="1" w:styleId="Heading3Char">
    <w:name w:val="Heading 3 Char"/>
    <w:link w:val="Heading3"/>
    <w:uiPriority w:val="9"/>
    <w:locked/>
    <w:rsid w:val="002B6E60"/>
    <w:rPr>
      <w:lang w:eastAsia="en-US"/>
    </w:rPr>
  </w:style>
  <w:style w:type="paragraph" w:styleId="ListParagraph">
    <w:name w:val="List Paragraph"/>
    <w:basedOn w:val="Normal"/>
    <w:uiPriority w:val="34"/>
    <w:qFormat/>
    <w:rsid w:val="002B6E60"/>
    <w:pPr>
      <w:numPr>
        <w:numId w:val="20"/>
      </w:numPr>
      <w:ind w:left="720" w:firstLine="0"/>
    </w:pPr>
  </w:style>
  <w:style w:type="character" w:customStyle="1" w:styleId="CommentTextChar">
    <w:name w:val="Comment Text Char"/>
    <w:uiPriority w:val="99"/>
    <w:rsid w:val="002B6E60"/>
    <w:rPr>
      <w:rFonts w:ascii="Calibri" w:eastAsia="SimSun" w:hAnsi="Calibri"/>
    </w:rPr>
  </w:style>
  <w:style w:type="paragraph" w:styleId="CommentSubject">
    <w:name w:val="annotation subject"/>
    <w:basedOn w:val="CommentText"/>
    <w:next w:val="CommentText"/>
    <w:link w:val="CommentSubjectChar"/>
    <w:uiPriority w:val="99"/>
    <w:rsid w:val="002B6E60"/>
    <w:pPr>
      <w:suppressAutoHyphens w:val="0"/>
      <w:spacing w:after="200" w:line="240" w:lineRule="auto"/>
    </w:pPr>
    <w:rPr>
      <w:rFonts w:ascii="Calibri" w:eastAsia="SimSun" w:hAnsi="Calibri"/>
      <w:b/>
      <w:bCs/>
      <w:lang w:eastAsia="en-GB"/>
    </w:rPr>
  </w:style>
  <w:style w:type="character" w:customStyle="1" w:styleId="CommentTextChar1">
    <w:name w:val="Comment Text Char1"/>
    <w:link w:val="CommentText"/>
    <w:uiPriority w:val="99"/>
    <w:rsid w:val="002B6E60"/>
    <w:rPr>
      <w:lang w:eastAsia="en-US"/>
    </w:rPr>
  </w:style>
  <w:style w:type="character" w:customStyle="1" w:styleId="CommentSubjectChar">
    <w:name w:val="Comment Subject Char"/>
    <w:link w:val="CommentSubject"/>
    <w:uiPriority w:val="99"/>
    <w:rsid w:val="002B6E60"/>
    <w:rPr>
      <w:rFonts w:ascii="Calibri" w:eastAsia="SimSun" w:hAnsi="Calibri"/>
      <w:b/>
      <w:bCs/>
      <w:lang w:eastAsia="en-US"/>
    </w:rPr>
  </w:style>
  <w:style w:type="character" w:customStyle="1" w:styleId="HeaderChar">
    <w:name w:val="Header Char"/>
    <w:aliases w:val="6_G Char"/>
    <w:link w:val="Header"/>
    <w:uiPriority w:val="99"/>
    <w:rsid w:val="002B6E60"/>
    <w:rPr>
      <w:b/>
      <w:sz w:val="18"/>
      <w:lang w:eastAsia="en-US"/>
    </w:rPr>
  </w:style>
  <w:style w:type="character" w:customStyle="1" w:styleId="FooterChar">
    <w:name w:val="Footer Char"/>
    <w:aliases w:val="3_G Char"/>
    <w:link w:val="Footer"/>
    <w:uiPriority w:val="99"/>
    <w:rsid w:val="002B6E60"/>
    <w:rPr>
      <w:sz w:val="16"/>
      <w:lang w:eastAsia="en-US"/>
    </w:rPr>
  </w:style>
  <w:style w:type="character" w:customStyle="1" w:styleId="FootnoteTextChar">
    <w:name w:val="Footnote Text Char"/>
    <w:aliases w:val="5_G Char,Fußnote Char,Footnote Text Char Char Char,single space Char,footnote text Char"/>
    <w:link w:val="FootnoteText"/>
    <w:uiPriority w:val="99"/>
    <w:rsid w:val="002B6E60"/>
    <w:rPr>
      <w:sz w:val="18"/>
      <w:lang w:eastAsia="en-US"/>
    </w:rPr>
  </w:style>
  <w:style w:type="character" w:customStyle="1" w:styleId="hps">
    <w:name w:val="hps"/>
    <w:rsid w:val="002B6E60"/>
  </w:style>
  <w:style w:type="paragraph" w:styleId="Revision">
    <w:name w:val="Revision"/>
    <w:hidden/>
    <w:uiPriority w:val="99"/>
    <w:semiHidden/>
    <w:rsid w:val="002B6E60"/>
    <w:rPr>
      <w:rFonts w:ascii="Calibri" w:eastAsia="SimSun" w:hAnsi="Calibri" w:cs="Arial"/>
      <w:sz w:val="22"/>
      <w:szCs w:val="22"/>
    </w:rPr>
  </w:style>
  <w:style w:type="paragraph" w:customStyle="1" w:styleId="Pa14">
    <w:name w:val="Pa14"/>
    <w:basedOn w:val="Normal"/>
    <w:next w:val="Normal"/>
    <w:uiPriority w:val="99"/>
    <w:rsid w:val="002B6E60"/>
    <w:pPr>
      <w:suppressAutoHyphens w:val="0"/>
      <w:autoSpaceDE w:val="0"/>
      <w:autoSpaceDN w:val="0"/>
      <w:adjustRightInd w:val="0"/>
      <w:spacing w:line="181" w:lineRule="atLeast"/>
    </w:pPr>
    <w:rPr>
      <w:rFonts w:ascii="Palatino LT Std" w:eastAsia="SimSun" w:hAnsi="Palatino LT Std" w:cs="Arial"/>
      <w:sz w:val="24"/>
      <w:szCs w:val="24"/>
      <w:lang w:val="es-ES" w:eastAsia="es-ES"/>
    </w:rPr>
  </w:style>
  <w:style w:type="character" w:customStyle="1" w:styleId="SingleTxtGChar">
    <w:name w:val="_ Single Txt_G Char"/>
    <w:link w:val="SingleTxtG"/>
    <w:rsid w:val="002B6E60"/>
    <w:rPr>
      <w:lang w:eastAsia="en-US"/>
    </w:rPr>
  </w:style>
  <w:style w:type="paragraph" w:customStyle="1" w:styleId="Default">
    <w:name w:val="Default"/>
    <w:rsid w:val="002B6E60"/>
    <w:pPr>
      <w:autoSpaceDE w:val="0"/>
      <w:autoSpaceDN w:val="0"/>
      <w:adjustRightInd w:val="0"/>
    </w:pPr>
    <w:rPr>
      <w:rFonts w:ascii="Tahoma" w:hAnsi="Tahoma" w:cs="Tahoma"/>
      <w:color w:val="000000"/>
      <w:sz w:val="24"/>
      <w:szCs w:val="24"/>
      <w:lang w:val="en-US" w:eastAsia="en-US"/>
    </w:rPr>
  </w:style>
  <w:style w:type="character" w:customStyle="1" w:styleId="apple-converted-space">
    <w:name w:val="apple-converted-space"/>
    <w:basedOn w:val="DefaultParagraphFont"/>
    <w:rsid w:val="00BA2E71"/>
  </w:style>
  <w:style w:type="paragraph" w:customStyle="1" w:styleId="style171">
    <w:name w:val="style171"/>
    <w:basedOn w:val="Normal"/>
    <w:rsid w:val="00BA2E71"/>
    <w:pPr>
      <w:suppressAutoHyphens w:val="0"/>
      <w:spacing w:before="100" w:beforeAutospacing="1" w:after="100" w:afterAutospacing="1" w:line="240" w:lineRule="auto"/>
    </w:pPr>
    <w:rPr>
      <w:sz w:val="24"/>
      <w:szCs w:val="24"/>
      <w:lang w:eastAsia="en-GB"/>
    </w:rPr>
  </w:style>
  <w:style w:type="paragraph" w:customStyle="1" w:styleId="SingleTxt">
    <w:name w:val="__Single Txt"/>
    <w:basedOn w:val="Normal"/>
    <w:rsid w:val="00CD34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19168">
      <w:bodyDiv w:val="1"/>
      <w:marLeft w:val="0"/>
      <w:marRight w:val="0"/>
      <w:marTop w:val="0"/>
      <w:marBottom w:val="0"/>
      <w:divBdr>
        <w:top w:val="none" w:sz="0" w:space="0" w:color="auto"/>
        <w:left w:val="none" w:sz="0" w:space="0" w:color="auto"/>
        <w:bottom w:val="none" w:sz="0" w:space="0" w:color="auto"/>
        <w:right w:val="none" w:sz="0" w:space="0" w:color="auto"/>
      </w:divBdr>
      <w:divsChild>
        <w:div w:id="57181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env/eia/about/eap_gr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8235B-D08E-4442-BDC0-4013C06DD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Template>
  <TotalTime>1</TotalTime>
  <Pages>12</Pages>
  <Words>4866</Words>
  <Characters>27740</Characters>
  <Application>Microsoft Office Word</Application>
  <DocSecurity>0</DocSecurity>
  <Lines>231</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32541</CharactersWithSpaces>
  <SharedDoc>false</SharedDoc>
  <HLinks>
    <vt:vector size="6" baseType="variant">
      <vt:variant>
        <vt:i4>4325432</vt:i4>
      </vt:variant>
      <vt:variant>
        <vt:i4>0</vt:i4>
      </vt:variant>
      <vt:variant>
        <vt:i4>0</vt:i4>
      </vt:variant>
      <vt:variant>
        <vt:i4>5</vt:i4>
      </vt:variant>
      <vt:variant>
        <vt:lpwstr>http://www.unece.org/env/eia/about/eap_green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shamsie</dc:creator>
  <cp:lastModifiedBy>sochirca</cp:lastModifiedBy>
  <cp:revision>4</cp:revision>
  <cp:lastPrinted>2015-08-19T11:52:00Z</cp:lastPrinted>
  <dcterms:created xsi:type="dcterms:W3CDTF">2015-08-19T11:52:00Z</dcterms:created>
  <dcterms:modified xsi:type="dcterms:W3CDTF">2015-10-14T15:40:00Z</dcterms:modified>
</cp:coreProperties>
</file>