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EC" w:rsidRPr="00613639" w:rsidRDefault="006A15EC" w:rsidP="006A15EC">
      <w:pPr>
        <w:spacing w:line="60" w:lineRule="exact"/>
        <w:rPr>
          <w:color w:val="010000"/>
          <w:sz w:val="6"/>
        </w:rPr>
        <w:sectPr w:rsidR="006A15EC" w:rsidRPr="00613639" w:rsidSect="006A15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2C4A6A" w:rsidRPr="002C4A6A" w:rsidRDefault="00613639" w:rsidP="002C4A6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2C4A6A" w:rsidRPr="002C4A6A" w:rsidRDefault="002C4A6A" w:rsidP="002C4A6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613639" w:rsidRPr="00CB6621" w:rsidRDefault="00613639" w:rsidP="002C4A6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613639">
        <w:rPr>
          <w:b w:val="0"/>
          <w:bCs/>
        </w:rPr>
        <w:t>Комитет по экологической политике</w:t>
      </w:r>
    </w:p>
    <w:p w:rsidR="00613639" w:rsidRPr="00CB6621" w:rsidRDefault="00613639" w:rsidP="00613639">
      <w:pPr>
        <w:spacing w:line="120" w:lineRule="exact"/>
        <w:rPr>
          <w:sz w:val="10"/>
        </w:rPr>
      </w:pPr>
    </w:p>
    <w:p w:rsidR="00613639" w:rsidRDefault="00613639" w:rsidP="0061363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Двадцать первая сессия</w:t>
      </w:r>
    </w:p>
    <w:p w:rsidR="00613639" w:rsidRDefault="00613639" w:rsidP="00613639">
      <w:r>
        <w:t>Женева, 27–30 октября 2015 года</w:t>
      </w:r>
    </w:p>
    <w:p w:rsidR="00613639" w:rsidRDefault="00613639" w:rsidP="00613639">
      <w:r>
        <w:t>Пункт 8 е) предварительной повестки дня</w:t>
      </w:r>
    </w:p>
    <w:p w:rsidR="00613639" w:rsidRPr="00CB6621" w:rsidRDefault="00613639" w:rsidP="0061363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Программа работы Подпрограммы по окружающей среде:</w:t>
      </w:r>
      <w:r w:rsidRPr="00613639">
        <w:br/>
      </w:r>
      <w:r>
        <w:t>предлагаемые стратегические рамки Подпрограммы</w:t>
      </w:r>
      <w:r w:rsidRPr="00613639">
        <w:br/>
      </w:r>
      <w:r>
        <w:t>по окружающей среде на 2018</w:t>
      </w:r>
      <w:r w:rsidRPr="00613639">
        <w:t>–</w:t>
      </w:r>
      <w:r>
        <w:t>2019 годы</w:t>
      </w:r>
    </w:p>
    <w:p w:rsidR="00613639" w:rsidRPr="00CB6621" w:rsidRDefault="00613639" w:rsidP="00613639">
      <w:pPr>
        <w:pStyle w:val="SingleTxt"/>
        <w:spacing w:after="0" w:line="120" w:lineRule="exact"/>
        <w:rPr>
          <w:sz w:val="10"/>
        </w:rPr>
      </w:pPr>
    </w:p>
    <w:p w:rsidR="00613639" w:rsidRPr="00CB6621" w:rsidRDefault="00613639" w:rsidP="00613639">
      <w:pPr>
        <w:pStyle w:val="SingleTxt"/>
        <w:spacing w:after="0" w:line="120" w:lineRule="exact"/>
        <w:rPr>
          <w:sz w:val="10"/>
        </w:rPr>
      </w:pPr>
    </w:p>
    <w:p w:rsidR="00613639" w:rsidRPr="00CB6621" w:rsidRDefault="00613639" w:rsidP="00613639">
      <w:pPr>
        <w:pStyle w:val="SingleTxt"/>
        <w:spacing w:after="0" w:line="120" w:lineRule="exact"/>
        <w:rPr>
          <w:sz w:val="10"/>
        </w:rPr>
      </w:pPr>
    </w:p>
    <w:p w:rsidR="00613639" w:rsidRPr="00613639" w:rsidRDefault="00613639" w:rsidP="0061363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CB6621">
        <w:tab/>
      </w:r>
      <w:r>
        <w:t>Прое</w:t>
      </w:r>
      <w:proofErr w:type="gramStart"/>
      <w:r>
        <w:t>кт стр</w:t>
      </w:r>
      <w:proofErr w:type="gramEnd"/>
      <w:r>
        <w:t>атегических рамок Подпрограммы по</w:t>
      </w:r>
      <w:r>
        <w:rPr>
          <w:lang w:val="en-US"/>
        </w:rPr>
        <w:t> </w:t>
      </w:r>
      <w:r>
        <w:t>окружающей среде на 2018</w:t>
      </w:r>
      <w:r w:rsidRPr="00613639">
        <w:t>–</w:t>
      </w:r>
      <w:r>
        <w:t>2019 годы</w:t>
      </w:r>
    </w:p>
    <w:p w:rsidR="00613639" w:rsidRPr="00613639" w:rsidRDefault="00613639" w:rsidP="00613639">
      <w:pPr>
        <w:pStyle w:val="SingleTxt"/>
        <w:spacing w:after="0" w:line="120" w:lineRule="exact"/>
        <w:rPr>
          <w:sz w:val="10"/>
        </w:rPr>
      </w:pPr>
    </w:p>
    <w:p w:rsidR="00613639" w:rsidRPr="00613639" w:rsidRDefault="00613639" w:rsidP="00613639">
      <w:pPr>
        <w:pStyle w:val="SingleTxt"/>
        <w:spacing w:after="0" w:line="120" w:lineRule="exact"/>
        <w:rPr>
          <w:sz w:val="10"/>
        </w:rPr>
      </w:pPr>
    </w:p>
    <w:p w:rsidR="006A15EC" w:rsidRDefault="00613639" w:rsidP="0061363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 w:rsidRPr="00CB6621">
        <w:tab/>
      </w:r>
      <w:r>
        <w:t>Записка секретариата</w:t>
      </w:r>
    </w:p>
    <w:p w:rsidR="00613639" w:rsidRPr="00613639" w:rsidRDefault="00613639" w:rsidP="00613639">
      <w:pPr>
        <w:pStyle w:val="SingleTxt"/>
        <w:spacing w:after="0" w:line="120" w:lineRule="exact"/>
        <w:rPr>
          <w:sz w:val="10"/>
          <w:lang w:val="en-US"/>
        </w:rPr>
      </w:pPr>
    </w:p>
    <w:p w:rsidR="00613639" w:rsidRPr="00613639" w:rsidRDefault="00613639" w:rsidP="00613639">
      <w:pPr>
        <w:pStyle w:val="SingleTxt"/>
        <w:spacing w:after="0" w:line="120" w:lineRule="exact"/>
        <w:rPr>
          <w:sz w:val="10"/>
          <w:lang w:val="en-US"/>
        </w:rPr>
      </w:pPr>
    </w:p>
    <w:p w:rsidR="00613639" w:rsidRPr="00613639" w:rsidRDefault="00613639" w:rsidP="00613639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613639" w:rsidTr="00613639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613639" w:rsidRPr="00613639" w:rsidRDefault="00613639" w:rsidP="00613639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613639" w:rsidRPr="00613639" w:rsidTr="00613639">
        <w:tc>
          <w:tcPr>
            <w:tcW w:w="10051" w:type="dxa"/>
            <w:shd w:val="clear" w:color="auto" w:fill="auto"/>
          </w:tcPr>
          <w:p w:rsidR="00613639" w:rsidRPr="00613639" w:rsidRDefault="00613639" w:rsidP="00613639">
            <w:pPr>
              <w:pStyle w:val="SingleTxt"/>
            </w:pPr>
            <w:r w:rsidRPr="00613639">
              <w:tab/>
              <w:t>Стратегические рамки для Организации Объединенных Наций составляю</w:t>
            </w:r>
            <w:r w:rsidRPr="00613639">
              <w:t>т</w:t>
            </w:r>
            <w:r w:rsidRPr="00613639">
              <w:t>ся на двухгодичной основе в соответствии с Положениями и правилами, регул</w:t>
            </w:r>
            <w:r w:rsidRPr="00613639">
              <w:t>и</w:t>
            </w:r>
            <w:r w:rsidRPr="00613639">
              <w:t>рующими планирование по программам, программные аспекты бюджета, ко</w:t>
            </w:r>
            <w:r w:rsidRPr="00613639">
              <w:t>н</w:t>
            </w:r>
            <w:r w:rsidRPr="00613639">
              <w:t>троль выполнения и методы оценки (ST/SGB/2000/8).</w:t>
            </w:r>
          </w:p>
        </w:tc>
      </w:tr>
      <w:tr w:rsidR="00613639" w:rsidRPr="00613639" w:rsidTr="00613639">
        <w:tc>
          <w:tcPr>
            <w:tcW w:w="10051" w:type="dxa"/>
            <w:shd w:val="clear" w:color="auto" w:fill="auto"/>
          </w:tcPr>
          <w:p w:rsidR="00613639" w:rsidRPr="00613639" w:rsidRDefault="00613639" w:rsidP="00613639">
            <w:pPr>
              <w:pStyle w:val="SingleTxt"/>
            </w:pPr>
            <w:r w:rsidRPr="00CB6621">
              <w:tab/>
            </w:r>
            <w:r w:rsidRPr="00613639">
              <w:t>В настоящем документе представлен проект предлагаемых стратегических рамок Подпрограмм</w:t>
            </w:r>
            <w:r>
              <w:t>ы по окружающей среде на 2018</w:t>
            </w:r>
            <w:r w:rsidRPr="00613639">
              <w:t>–2019 годы в качестве с</w:t>
            </w:r>
            <w:r w:rsidRPr="00613639">
              <w:t>о</w:t>
            </w:r>
            <w:r w:rsidRPr="00613639">
              <w:t>ставной части Стратегических рамок Европейской экономической комиссии О</w:t>
            </w:r>
            <w:r w:rsidRPr="00613639">
              <w:t>р</w:t>
            </w:r>
            <w:r w:rsidRPr="00613639">
              <w:t>ганизации Объединенных Наций (ЕЭК) на этот период. Проект представляется Комитету по экологической политике (КЭП) для рассмотрения и последующего препровождения Исполнительному комитету ЕЭК для дальнейшего изучения. Окончательный вариант проекта будет представлен Генеральной Ассамблее О</w:t>
            </w:r>
            <w:r w:rsidRPr="00613639">
              <w:t>р</w:t>
            </w:r>
            <w:r w:rsidRPr="00613639">
              <w:t>ганизации Объединенных Наций для его принятия на ее семьдесят первой се</w:t>
            </w:r>
            <w:r w:rsidRPr="00613639">
              <w:t>с</w:t>
            </w:r>
            <w:r w:rsidRPr="00613639">
              <w:t>сии.</w:t>
            </w:r>
          </w:p>
        </w:tc>
      </w:tr>
      <w:tr w:rsidR="00613639" w:rsidRPr="00613639" w:rsidTr="00613639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613639" w:rsidRPr="00613639" w:rsidRDefault="00613639" w:rsidP="00613639">
            <w:pPr>
              <w:pStyle w:val="SingleTxt"/>
            </w:pPr>
            <w:r w:rsidRPr="00CB6621">
              <w:tab/>
            </w:r>
            <w:r w:rsidRPr="00613639">
              <w:t>КЭП будет предложено рассмотреть этот документ на его двадцать первой сессии и представить соответствующие рекомендации.</w:t>
            </w:r>
          </w:p>
        </w:tc>
      </w:tr>
      <w:tr w:rsidR="00613639" w:rsidRPr="00613639" w:rsidTr="00613639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613639" w:rsidRPr="00613639" w:rsidRDefault="00613639" w:rsidP="00613639">
            <w:pPr>
              <w:pStyle w:val="SingleTxt"/>
            </w:pPr>
          </w:p>
        </w:tc>
      </w:tr>
    </w:tbl>
    <w:p w:rsidR="00613639" w:rsidRDefault="00613639" w:rsidP="00613639">
      <w:pPr>
        <w:pStyle w:val="SingleTxt"/>
      </w:pPr>
    </w:p>
    <w:p w:rsidR="007A646F" w:rsidRPr="00CB6621" w:rsidRDefault="00613639" w:rsidP="007A646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7A646F" w:rsidRPr="007A646F">
        <w:lastRenderedPageBreak/>
        <w:tab/>
      </w:r>
      <w:r w:rsidR="007A646F">
        <w:t>I.</w:t>
      </w:r>
      <w:r w:rsidR="007A646F" w:rsidRPr="007A646F">
        <w:tab/>
      </w:r>
      <w:r w:rsidR="007A646F">
        <w:t>Справочная информация</w:t>
      </w:r>
    </w:p>
    <w:p w:rsidR="007A646F" w:rsidRPr="00CB6621" w:rsidRDefault="007A646F" w:rsidP="007A646F">
      <w:pPr>
        <w:pStyle w:val="SingleTxt"/>
        <w:spacing w:after="0" w:line="120" w:lineRule="exact"/>
        <w:rPr>
          <w:sz w:val="10"/>
        </w:rPr>
      </w:pPr>
    </w:p>
    <w:p w:rsidR="007A646F" w:rsidRPr="00CB6621" w:rsidRDefault="007A646F" w:rsidP="007A646F">
      <w:pPr>
        <w:pStyle w:val="SingleTxt"/>
        <w:spacing w:after="0" w:line="120" w:lineRule="exact"/>
        <w:rPr>
          <w:sz w:val="10"/>
        </w:rPr>
      </w:pPr>
    </w:p>
    <w:p w:rsidR="007A646F" w:rsidRDefault="007A646F" w:rsidP="000255C9">
      <w:pPr>
        <w:pStyle w:val="SingleTxt"/>
        <w:spacing w:line="230" w:lineRule="exact"/>
      </w:pPr>
      <w:r>
        <w:t>1.</w:t>
      </w:r>
      <w:r w:rsidRPr="007A646F">
        <w:tab/>
      </w:r>
      <w:proofErr w:type="gramStart"/>
      <w:r>
        <w:t xml:space="preserve">Стратегические рамки Организации Объединенных Наций </w:t>
      </w:r>
      <w:r w:rsidRPr="007A646F">
        <w:t>–</w:t>
      </w:r>
      <w:r>
        <w:t xml:space="preserve"> главный стр</w:t>
      </w:r>
      <w:r>
        <w:t>а</w:t>
      </w:r>
      <w:r>
        <w:t xml:space="preserve">тегический директивный документ Организации </w:t>
      </w:r>
      <w:r w:rsidRPr="007A646F">
        <w:t>–</w:t>
      </w:r>
      <w:r>
        <w:t xml:space="preserve"> составляются на двухгоди</w:t>
      </w:r>
      <w:r>
        <w:t>ч</w:t>
      </w:r>
      <w:r>
        <w:t>ной основе в соответствии с Положениями и правилами, регулирующими план</w:t>
      </w:r>
      <w:r>
        <w:t>и</w:t>
      </w:r>
      <w:r>
        <w:t>рование по программам, программные аспекты бюджета, контроль выполнения и методы оценки (ST/SGB/2000/8)</w:t>
      </w:r>
      <w:r w:rsidR="000255C9" w:rsidRPr="000255C9">
        <w:rPr>
          <w:rStyle w:val="FootnoteReference"/>
        </w:rPr>
        <w:footnoteReference w:id="1"/>
      </w:r>
      <w:r>
        <w:t>. Они отражают приоритетные задачи гос</w:t>
      </w:r>
      <w:r>
        <w:t>у</w:t>
      </w:r>
      <w:r>
        <w:t>дарств-членов Организации Объединенных Наций и воплощают законодательные предписания в программы (департаменты) и подпрограммы (сущностные обл</w:t>
      </w:r>
      <w:r>
        <w:t>а</w:t>
      </w:r>
      <w:r>
        <w:t>сти работы), финансируемые за счет средств</w:t>
      </w:r>
      <w:proofErr w:type="gramEnd"/>
      <w:r>
        <w:t xml:space="preserve"> регулярного бюджета. Стратегич</w:t>
      </w:r>
      <w:r>
        <w:t>е</w:t>
      </w:r>
      <w:r>
        <w:t>ские рамки охватывают два года (двухгодичный период) и служат основой для подготовки предлагаемого бюджета по программам.</w:t>
      </w:r>
    </w:p>
    <w:p w:rsidR="007A646F" w:rsidRDefault="007A646F" w:rsidP="000255C9">
      <w:pPr>
        <w:pStyle w:val="SingleTxt"/>
        <w:spacing w:line="230" w:lineRule="exact"/>
      </w:pPr>
      <w:r>
        <w:t>2.</w:t>
      </w:r>
      <w:r w:rsidRPr="007A646F">
        <w:tab/>
      </w:r>
      <w:r>
        <w:t>Стратегические рамки каждого департамента Организации Объединенных Наций содержат краткое описание основных направлений программной деятел</w:t>
      </w:r>
      <w:r>
        <w:t>ь</w:t>
      </w:r>
      <w:r>
        <w:t>ности (общая направленность) и логические матрицы подпрограмм. Логические матрицы каждой подпрограммы составлены на основе подхода, ориентированн</w:t>
      </w:r>
      <w:r>
        <w:t>о</w:t>
      </w:r>
      <w:r>
        <w:t>го на достижение конкретных результатов, и отражают цели, ожидаемые дост</w:t>
      </w:r>
      <w:r>
        <w:t>и</w:t>
      </w:r>
      <w:r>
        <w:t>жения, показатели полученных результатов, показатели для оценки результати</w:t>
      </w:r>
      <w:r>
        <w:t>в</w:t>
      </w:r>
      <w:r>
        <w:t>ности, стратегию и внешние факторы.</w:t>
      </w:r>
    </w:p>
    <w:p w:rsidR="007A646F" w:rsidRPr="000255C9" w:rsidRDefault="007A646F" w:rsidP="000255C9">
      <w:pPr>
        <w:pStyle w:val="SingleTxt"/>
        <w:spacing w:line="230" w:lineRule="exact"/>
      </w:pPr>
      <w:r>
        <w:t>3.</w:t>
      </w:r>
      <w:r w:rsidRPr="007A646F">
        <w:tab/>
      </w:r>
      <w:r>
        <w:t>Комитет по экологической политике (КЭП) Европейской экономической к</w:t>
      </w:r>
      <w:r>
        <w:t>о</w:t>
      </w:r>
      <w:r>
        <w:t>миссии Организации Объединенных Наций (ЕЭК) одобрил прое</w:t>
      </w:r>
      <w:proofErr w:type="gramStart"/>
      <w:r>
        <w:t>кт стр</w:t>
      </w:r>
      <w:proofErr w:type="gramEnd"/>
      <w:r>
        <w:t>атегич</w:t>
      </w:r>
      <w:r>
        <w:t>е</w:t>
      </w:r>
      <w:r>
        <w:t>ских рамок Подпрограммы по окружающей среде на 2016</w:t>
      </w:r>
      <w:r w:rsidRPr="007A646F">
        <w:t>–</w:t>
      </w:r>
      <w:r>
        <w:t>2017 годы (информ</w:t>
      </w:r>
      <w:r>
        <w:t>а</w:t>
      </w:r>
      <w:r>
        <w:t>ционный документ № 12/Rev.1) на своей девятнадцатой сессии, состоявшейся в</w:t>
      </w:r>
      <w:r>
        <w:rPr>
          <w:lang w:val="en-US"/>
        </w:rPr>
        <w:t> </w:t>
      </w:r>
      <w:r>
        <w:t>ок</w:t>
      </w:r>
      <w:r w:rsidR="000255C9">
        <w:t>тябре 2013 года</w:t>
      </w:r>
      <w:r w:rsidR="000255C9" w:rsidRPr="000255C9">
        <w:rPr>
          <w:rStyle w:val="FootnoteReference"/>
        </w:rPr>
        <w:footnoteReference w:id="2"/>
      </w:r>
      <w:r w:rsidR="000255C9">
        <w:t>.</w:t>
      </w:r>
    </w:p>
    <w:p w:rsidR="007A646F" w:rsidRDefault="007A646F" w:rsidP="000255C9">
      <w:pPr>
        <w:pStyle w:val="SingleTxt"/>
        <w:spacing w:line="230" w:lineRule="exact"/>
      </w:pPr>
      <w:r>
        <w:t>4.</w:t>
      </w:r>
      <w:r w:rsidRPr="007A646F">
        <w:tab/>
      </w:r>
      <w:r>
        <w:t>В настоящем документе представлен проект предлагаемых стратегических рамок Подпрограммы по окружающей среде на 2018</w:t>
      </w:r>
      <w:r w:rsidRPr="007A646F">
        <w:t>–</w:t>
      </w:r>
      <w:r>
        <w:t>2019 годы в качестве с</w:t>
      </w:r>
      <w:r>
        <w:t>о</w:t>
      </w:r>
      <w:r>
        <w:t>ставной части Стратегических рамок ЕЭК на этот же период. Проект будет ра</w:t>
      </w:r>
      <w:r>
        <w:t>с</w:t>
      </w:r>
      <w:r>
        <w:t>смотрен КЭП, а затем Исполнительным комитетом ЕЭК. Окончательный вариант проекта будет представлен Генеральной Ассамблее Организации Объединенных Наций для его принятия на ее семьдесят первой сессии, которая откроется 13</w:t>
      </w:r>
      <w:r>
        <w:rPr>
          <w:lang w:val="en-US"/>
        </w:rPr>
        <w:t> </w:t>
      </w:r>
      <w:r>
        <w:t>сентября 2016 года.</w:t>
      </w:r>
    </w:p>
    <w:p w:rsidR="007A646F" w:rsidRPr="00CB6621" w:rsidRDefault="007A646F" w:rsidP="000255C9">
      <w:pPr>
        <w:pStyle w:val="SingleTxt"/>
        <w:spacing w:line="230" w:lineRule="exact"/>
      </w:pPr>
      <w:r>
        <w:t>5.</w:t>
      </w:r>
      <w:r w:rsidRPr="007A646F">
        <w:tab/>
      </w:r>
      <w:r>
        <w:t>КЭП будет предложено рассмотреть этот документ на его двадцать первой сессии и представить соответствующие рекомендации.</w:t>
      </w:r>
    </w:p>
    <w:p w:rsidR="007A646F" w:rsidRPr="00CB6621" w:rsidRDefault="007A646F" w:rsidP="007A646F">
      <w:pPr>
        <w:pStyle w:val="SingleTxt"/>
        <w:spacing w:after="0" w:line="120" w:lineRule="exact"/>
        <w:rPr>
          <w:sz w:val="10"/>
        </w:rPr>
      </w:pPr>
    </w:p>
    <w:p w:rsidR="007A646F" w:rsidRPr="00CB6621" w:rsidRDefault="007A646F" w:rsidP="007A646F">
      <w:pPr>
        <w:pStyle w:val="SingleTxt"/>
        <w:spacing w:after="0" w:line="120" w:lineRule="exact"/>
        <w:rPr>
          <w:sz w:val="10"/>
        </w:rPr>
      </w:pPr>
    </w:p>
    <w:p w:rsidR="007A646F" w:rsidRPr="007A646F" w:rsidRDefault="007A646F" w:rsidP="007A646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B6621">
        <w:tab/>
      </w:r>
      <w:r>
        <w:t>II.</w:t>
      </w:r>
      <w:r w:rsidRPr="007A646F">
        <w:tab/>
      </w:r>
      <w:r>
        <w:t>Прое</w:t>
      </w:r>
      <w:proofErr w:type="gramStart"/>
      <w:r>
        <w:t>кт стр</w:t>
      </w:r>
      <w:proofErr w:type="gramEnd"/>
      <w:r>
        <w:t>атегических рамок Подпрограммы по</w:t>
      </w:r>
      <w:r>
        <w:rPr>
          <w:lang w:val="en-US"/>
        </w:rPr>
        <w:t> </w:t>
      </w:r>
      <w:r>
        <w:t>окружающей среде на 2018</w:t>
      </w:r>
      <w:r w:rsidRPr="007A646F">
        <w:t>–</w:t>
      </w:r>
      <w:r>
        <w:t>2019 годы</w:t>
      </w:r>
    </w:p>
    <w:p w:rsidR="007A646F" w:rsidRPr="007A646F" w:rsidRDefault="007A646F" w:rsidP="007A646F">
      <w:pPr>
        <w:pStyle w:val="SingleTxt"/>
        <w:spacing w:after="0" w:line="120" w:lineRule="exact"/>
        <w:rPr>
          <w:sz w:val="10"/>
        </w:rPr>
      </w:pPr>
    </w:p>
    <w:p w:rsidR="007A646F" w:rsidRPr="007A646F" w:rsidRDefault="007A646F" w:rsidP="007A646F">
      <w:pPr>
        <w:pStyle w:val="SingleTxt"/>
        <w:spacing w:after="0" w:line="120" w:lineRule="exact"/>
        <w:rPr>
          <w:sz w:val="10"/>
        </w:rPr>
      </w:pPr>
    </w:p>
    <w:p w:rsidR="00613639" w:rsidRPr="007A646F" w:rsidRDefault="007A646F" w:rsidP="007A646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А.</w:t>
      </w:r>
      <w:r w:rsidRPr="007A646F">
        <w:tab/>
      </w:r>
      <w:r>
        <w:t>Цели на двухгодичный период, ожидаемые достижения, показатели полученных результатов и показатели для оценки результативности</w:t>
      </w:r>
    </w:p>
    <w:p w:rsidR="007A646F" w:rsidRPr="007A646F" w:rsidRDefault="007A646F" w:rsidP="007A646F">
      <w:pPr>
        <w:pStyle w:val="SingleTxt"/>
        <w:spacing w:after="0" w:line="120" w:lineRule="exact"/>
        <w:rPr>
          <w:sz w:val="10"/>
        </w:rPr>
      </w:pPr>
    </w:p>
    <w:p w:rsidR="007A646F" w:rsidRPr="00CB6621" w:rsidRDefault="007A646F" w:rsidP="007A646F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7A646F">
        <w:tc>
          <w:tcPr>
            <w:tcW w:w="7321" w:type="dxa"/>
          </w:tcPr>
          <w:p w:rsidR="007A646F" w:rsidRPr="00CB6621" w:rsidRDefault="007A646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</w:p>
        </w:tc>
      </w:tr>
      <w:tr w:rsidR="007A646F">
        <w:tc>
          <w:tcPr>
            <w:tcW w:w="7321" w:type="dxa"/>
            <w:tcBorders>
              <w:bottom w:val="nil"/>
            </w:tcBorders>
          </w:tcPr>
          <w:p w:rsidR="007A646F" w:rsidRPr="007A646F" w:rsidRDefault="007A646F" w:rsidP="007A646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7A646F">
              <w:rPr>
                <w:b/>
                <w:bCs/>
              </w:rPr>
              <w:t>Цель Организации:</w:t>
            </w:r>
            <w:r w:rsidRPr="007A646F">
              <w:t xml:space="preserve"> совершенствование регулирования природ</w:t>
            </w:r>
            <w:r w:rsidRPr="007A646F">
              <w:t>о</w:t>
            </w:r>
            <w:r w:rsidRPr="007A646F">
              <w:t>пользования и повышение эффективности природоохранной де</w:t>
            </w:r>
            <w:r w:rsidRPr="007A646F">
              <w:t>я</w:t>
            </w:r>
            <w:r w:rsidRPr="007A646F">
              <w:t>тельности во всем регионе в целях охраны окружающей среды и здоровья.</w:t>
            </w:r>
          </w:p>
        </w:tc>
      </w:tr>
      <w:tr w:rsidR="007A646F">
        <w:tc>
          <w:tcPr>
            <w:tcW w:w="7321" w:type="dxa"/>
          </w:tcPr>
          <w:p w:rsidR="007A646F" w:rsidRDefault="007A646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7A646F" w:rsidRPr="00CB6621" w:rsidRDefault="007A646F" w:rsidP="000255C9">
      <w:pPr>
        <w:pStyle w:val="SingleTxt"/>
        <w:spacing w:after="0" w:line="120" w:lineRule="exact"/>
        <w:rPr>
          <w:sz w:val="10"/>
        </w:rPr>
      </w:pPr>
    </w:p>
    <w:tbl>
      <w:tblPr>
        <w:tblW w:w="9975" w:type="dxa"/>
        <w:jc w:val="center"/>
        <w:tblInd w:w="-748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2880"/>
        <w:gridCol w:w="1170"/>
        <w:gridCol w:w="845"/>
        <w:gridCol w:w="845"/>
        <w:gridCol w:w="846"/>
      </w:tblGrid>
      <w:tr w:rsidR="003831C0" w:rsidRPr="00240C54" w:rsidTr="00714731">
        <w:trPr>
          <w:trHeight w:val="278"/>
          <w:jc w:val="center"/>
        </w:trPr>
        <w:tc>
          <w:tcPr>
            <w:tcW w:w="338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831C0" w:rsidRPr="00FE0340" w:rsidRDefault="003831C0" w:rsidP="00FE0340">
            <w:pPr>
              <w:pageBreakBefore/>
              <w:spacing w:before="80" w:after="80" w:line="160" w:lineRule="exact"/>
              <w:ind w:right="43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3831C0">
              <w:rPr>
                <w:i/>
                <w:sz w:val="14"/>
                <w:szCs w:val="14"/>
                <w:lang w:val="en-US"/>
              </w:rPr>
              <w:lastRenderedPageBreak/>
              <w:t>Ожидаемые</w:t>
            </w:r>
            <w:proofErr w:type="spellEnd"/>
            <w:r w:rsidRPr="003831C0">
              <w:rPr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831C0">
              <w:rPr>
                <w:i/>
                <w:sz w:val="14"/>
                <w:szCs w:val="14"/>
                <w:lang w:val="en-US"/>
              </w:rPr>
              <w:t>достижения</w:t>
            </w:r>
            <w:proofErr w:type="spellEnd"/>
            <w:r w:rsidRPr="003831C0">
              <w:rPr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831C0">
              <w:rPr>
                <w:i/>
                <w:sz w:val="14"/>
                <w:szCs w:val="14"/>
                <w:lang w:val="en-US"/>
              </w:rPr>
              <w:t>секретариата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831C0" w:rsidRPr="00FE0340" w:rsidRDefault="003831C0" w:rsidP="006D385A">
            <w:pPr>
              <w:spacing w:before="80" w:after="80" w:line="160" w:lineRule="exact"/>
              <w:ind w:right="58"/>
              <w:rPr>
                <w:i/>
                <w:sz w:val="14"/>
                <w:szCs w:val="14"/>
              </w:rPr>
            </w:pPr>
            <w:r w:rsidRPr="003831C0">
              <w:rPr>
                <w:i/>
                <w:sz w:val="14"/>
                <w:szCs w:val="14"/>
              </w:rPr>
              <w:t>Показатели полученных результатов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1C0" w:rsidRPr="00FE0340" w:rsidRDefault="003831C0" w:rsidP="00FE0340">
            <w:pPr>
              <w:spacing w:before="80" w:after="80" w:line="160" w:lineRule="exact"/>
              <w:ind w:right="43"/>
              <w:jc w:val="center"/>
              <w:rPr>
                <w:i/>
                <w:sz w:val="14"/>
                <w:szCs w:val="14"/>
              </w:rPr>
            </w:pPr>
            <w:r w:rsidRPr="003831C0">
              <w:rPr>
                <w:i/>
                <w:sz w:val="14"/>
                <w:szCs w:val="14"/>
              </w:rPr>
              <w:t>Показатели для оценки результативности</w:t>
            </w:r>
          </w:p>
        </w:tc>
      </w:tr>
      <w:tr w:rsidR="003831C0" w:rsidRPr="00240C54" w:rsidTr="00714731">
        <w:trPr>
          <w:trHeight w:val="277"/>
          <w:jc w:val="center"/>
        </w:trPr>
        <w:tc>
          <w:tcPr>
            <w:tcW w:w="338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0340" w:rsidRPr="00FE0340" w:rsidRDefault="00FE0340" w:rsidP="00FE0340">
            <w:pPr>
              <w:spacing w:before="80" w:after="80" w:line="160" w:lineRule="exact"/>
              <w:ind w:right="43"/>
              <w:rPr>
                <w:i/>
                <w:sz w:val="14"/>
                <w:szCs w:val="1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0340" w:rsidRPr="00FE0340" w:rsidRDefault="00FE0340" w:rsidP="006D385A">
            <w:pPr>
              <w:spacing w:before="80" w:after="80" w:line="160" w:lineRule="exact"/>
              <w:ind w:right="58"/>
              <w:rPr>
                <w:i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E0340" w:rsidRPr="00FE0340" w:rsidRDefault="00FE0340" w:rsidP="00FE0340">
            <w:pPr>
              <w:spacing w:before="80" w:after="80" w:line="160" w:lineRule="exact"/>
              <w:ind w:right="43"/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0340" w:rsidRPr="00FE0340" w:rsidRDefault="00FE0340" w:rsidP="00FE0340">
            <w:pPr>
              <w:spacing w:before="80" w:after="80" w:line="160" w:lineRule="exact"/>
              <w:ind w:right="43"/>
              <w:jc w:val="right"/>
              <w:rPr>
                <w:i/>
                <w:sz w:val="14"/>
                <w:szCs w:val="14"/>
              </w:rPr>
            </w:pPr>
            <w:r w:rsidRPr="00FE0340">
              <w:rPr>
                <w:i/>
                <w:sz w:val="14"/>
                <w:szCs w:val="14"/>
              </w:rPr>
              <w:t>2018–2019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0340" w:rsidRPr="00FE0340" w:rsidRDefault="00FE0340" w:rsidP="00FE0340">
            <w:pPr>
              <w:spacing w:before="80" w:after="80" w:line="160" w:lineRule="exact"/>
              <w:ind w:right="43"/>
              <w:jc w:val="right"/>
              <w:rPr>
                <w:i/>
                <w:sz w:val="14"/>
                <w:szCs w:val="14"/>
              </w:rPr>
            </w:pPr>
            <w:r w:rsidRPr="00FE0340">
              <w:rPr>
                <w:i/>
                <w:sz w:val="14"/>
                <w:szCs w:val="14"/>
              </w:rPr>
              <w:t>2016–2017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0340" w:rsidRPr="00FE0340" w:rsidRDefault="00FE0340" w:rsidP="00FE0340">
            <w:pPr>
              <w:spacing w:before="80" w:after="80" w:line="160" w:lineRule="exact"/>
              <w:ind w:right="43"/>
              <w:jc w:val="right"/>
              <w:rPr>
                <w:i/>
                <w:sz w:val="14"/>
                <w:szCs w:val="14"/>
              </w:rPr>
            </w:pPr>
            <w:r w:rsidRPr="00FE0340">
              <w:rPr>
                <w:i/>
                <w:sz w:val="14"/>
                <w:szCs w:val="14"/>
              </w:rPr>
              <w:t>2014–2015</w:t>
            </w:r>
          </w:p>
        </w:tc>
      </w:tr>
      <w:tr w:rsidR="003831C0" w:rsidRPr="00240C54" w:rsidTr="00714731">
        <w:trPr>
          <w:trHeight w:hRule="exact" w:val="113"/>
          <w:jc w:val="center"/>
        </w:trPr>
        <w:tc>
          <w:tcPr>
            <w:tcW w:w="3389" w:type="dxa"/>
            <w:tcBorders>
              <w:top w:val="single" w:sz="12" w:space="0" w:color="auto"/>
            </w:tcBorders>
            <w:shd w:val="clear" w:color="auto" w:fill="auto"/>
          </w:tcPr>
          <w:p w:rsidR="00FE0340" w:rsidRPr="00240C54" w:rsidRDefault="00FE0340" w:rsidP="00F90F3F">
            <w:pPr>
              <w:spacing w:before="40" w:after="120" w:line="220" w:lineRule="exact"/>
              <w:ind w:right="113"/>
              <w:rPr>
                <w:i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:rsidR="00FE0340" w:rsidRPr="00240C54" w:rsidRDefault="00FE0340" w:rsidP="006D385A">
            <w:pPr>
              <w:spacing w:before="40" w:after="120" w:line="220" w:lineRule="exact"/>
              <w:ind w:right="58"/>
              <w:rPr>
                <w:i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FE0340" w:rsidRPr="00240C54" w:rsidRDefault="00FE0340" w:rsidP="00F90F3F">
            <w:pPr>
              <w:spacing w:before="40" w:after="120" w:line="220" w:lineRule="exact"/>
              <w:ind w:right="113"/>
              <w:rPr>
                <w:i/>
              </w:rPr>
            </w:pPr>
          </w:p>
        </w:tc>
        <w:tc>
          <w:tcPr>
            <w:tcW w:w="845" w:type="dxa"/>
            <w:tcBorders>
              <w:top w:val="single" w:sz="12" w:space="0" w:color="auto"/>
            </w:tcBorders>
            <w:shd w:val="clear" w:color="auto" w:fill="auto"/>
          </w:tcPr>
          <w:p w:rsidR="00FE0340" w:rsidRPr="00240C54" w:rsidRDefault="00FE0340" w:rsidP="00F90F3F">
            <w:pPr>
              <w:spacing w:before="40" w:after="120" w:line="220" w:lineRule="exact"/>
              <w:ind w:right="113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12" w:space="0" w:color="auto"/>
            </w:tcBorders>
            <w:shd w:val="clear" w:color="auto" w:fill="auto"/>
          </w:tcPr>
          <w:p w:rsidR="00FE0340" w:rsidRPr="00240C54" w:rsidRDefault="00FE0340" w:rsidP="00F90F3F">
            <w:pPr>
              <w:spacing w:before="40" w:after="120" w:line="220" w:lineRule="exact"/>
              <w:ind w:right="113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shd w:val="clear" w:color="auto" w:fill="auto"/>
          </w:tcPr>
          <w:p w:rsidR="00FE0340" w:rsidRPr="00240C54" w:rsidRDefault="00FE0340" w:rsidP="00F90F3F">
            <w:pPr>
              <w:spacing w:before="40" w:after="120" w:line="220" w:lineRule="exact"/>
              <w:ind w:right="113"/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3831C0" w:rsidRPr="00240C54" w:rsidTr="00714731">
        <w:trPr>
          <w:jc w:val="center"/>
        </w:trPr>
        <w:tc>
          <w:tcPr>
            <w:tcW w:w="3389" w:type="dxa"/>
            <w:vMerge w:val="restart"/>
            <w:shd w:val="clear" w:color="auto" w:fill="auto"/>
          </w:tcPr>
          <w:p w:rsidR="00FE0340" w:rsidRPr="003831C0" w:rsidRDefault="00FE0340" w:rsidP="00FE0340">
            <w:pPr>
              <w:pStyle w:val="85"/>
              <w:spacing w:after="40" w:line="210" w:lineRule="exact"/>
              <w:ind w:right="43"/>
              <w:rPr>
                <w:lang w:val="ru-RU"/>
              </w:rPr>
            </w:pPr>
            <w:r w:rsidRPr="00FE0340">
              <w:t>a</w:t>
            </w:r>
            <w:r w:rsidRPr="003831C0">
              <w:rPr>
                <w:lang w:val="ru-RU"/>
              </w:rPr>
              <w:t>)</w:t>
            </w:r>
            <w:r w:rsidRPr="003831C0">
              <w:rPr>
                <w:lang w:val="ru-RU"/>
              </w:rPr>
              <w:tab/>
            </w:r>
            <w:r w:rsidR="003831C0" w:rsidRPr="003831C0">
              <w:rPr>
                <w:lang w:val="ru-RU"/>
              </w:rPr>
              <w:t>Бол</w:t>
            </w:r>
            <w:r w:rsidR="002C4A6A">
              <w:rPr>
                <w:lang w:val="ru-RU"/>
              </w:rPr>
              <w:t>ее активное реагирование стран</w:t>
            </w:r>
            <w:r w:rsidR="002C4A6A">
              <w:t> </w:t>
            </w:r>
            <w:r w:rsidR="003831C0" w:rsidRPr="003831C0">
              <w:rPr>
                <w:lang w:val="ru-RU"/>
              </w:rPr>
              <w:t>– членов ЕЭК на экологические проблемы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E0340" w:rsidRPr="003831C0" w:rsidRDefault="00FE0340" w:rsidP="006D385A">
            <w:pPr>
              <w:pStyle w:val="85"/>
              <w:spacing w:after="40" w:line="210" w:lineRule="exact"/>
              <w:ind w:right="58"/>
              <w:rPr>
                <w:lang w:val="ru-RU"/>
              </w:rPr>
            </w:pPr>
            <w:r w:rsidRPr="00FE0340">
              <w:t>a</w:t>
            </w:r>
            <w:r w:rsidRPr="003831C0">
              <w:rPr>
                <w:lang w:val="ru-RU"/>
              </w:rPr>
              <w:t>)</w:t>
            </w:r>
            <w:r w:rsidRPr="003831C0">
              <w:rPr>
                <w:lang w:val="ru-RU"/>
              </w:rPr>
              <w:tab/>
            </w:r>
            <w:r w:rsidR="003831C0" w:rsidRPr="003831C0">
              <w:rPr>
                <w:lang w:val="ru-RU"/>
              </w:rPr>
              <w:t>Числ</w:t>
            </w:r>
            <w:r w:rsidR="003831C0">
              <w:rPr>
                <w:lang w:val="ru-RU"/>
              </w:rPr>
              <w:t xml:space="preserve">о новых мер, принятых странами </w:t>
            </w:r>
            <w:r w:rsidR="003831C0" w:rsidRPr="003831C0">
              <w:rPr>
                <w:lang w:val="ru-RU"/>
              </w:rPr>
              <w:t>– членами ЕЭК в связи с существующими и назрева</w:t>
            </w:r>
            <w:r w:rsidR="003831C0" w:rsidRPr="003831C0">
              <w:rPr>
                <w:lang w:val="ru-RU"/>
              </w:rPr>
              <w:t>ю</w:t>
            </w:r>
            <w:r w:rsidR="003831C0" w:rsidRPr="003831C0">
              <w:rPr>
                <w:lang w:val="ru-RU"/>
              </w:rPr>
              <w:t>щими экологическими проблем</w:t>
            </w:r>
            <w:r w:rsidR="003831C0" w:rsidRPr="003831C0">
              <w:rPr>
                <w:lang w:val="ru-RU"/>
              </w:rPr>
              <w:t>а</w:t>
            </w:r>
            <w:r w:rsidR="003831C0" w:rsidRPr="003831C0">
              <w:rPr>
                <w:lang w:val="ru-RU"/>
              </w:rPr>
              <w:t>ми</w:t>
            </w:r>
          </w:p>
        </w:tc>
        <w:tc>
          <w:tcPr>
            <w:tcW w:w="1170" w:type="dxa"/>
            <w:shd w:val="clear" w:color="auto" w:fill="auto"/>
          </w:tcPr>
          <w:p w:rsidR="00FE0340" w:rsidRPr="00240C54" w:rsidRDefault="003831C0" w:rsidP="006D385A">
            <w:pPr>
              <w:pStyle w:val="85"/>
              <w:spacing w:after="40" w:line="210" w:lineRule="exact"/>
              <w:ind w:left="29" w:right="43"/>
            </w:pPr>
            <w:proofErr w:type="spellStart"/>
            <w:r w:rsidRPr="003831C0">
              <w:t>Целевой</w:t>
            </w:r>
            <w:proofErr w:type="spellEnd"/>
            <w:r w:rsidRPr="003831C0">
              <w:t xml:space="preserve"> </w:t>
            </w:r>
            <w:proofErr w:type="spellStart"/>
            <w:r w:rsidRPr="003831C0">
              <w:t>показатель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  <w:r w:rsidRPr="00240C54">
              <w:t>2</w:t>
            </w:r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  <w:r w:rsidRPr="00240C54">
              <w:t>2</w:t>
            </w:r>
          </w:p>
        </w:tc>
        <w:tc>
          <w:tcPr>
            <w:tcW w:w="846" w:type="dxa"/>
            <w:shd w:val="clear" w:color="auto" w:fill="auto"/>
          </w:tcPr>
          <w:p w:rsidR="00FE0340" w:rsidRPr="00240C54" w:rsidRDefault="006D385A" w:rsidP="003831C0">
            <w:pPr>
              <w:pStyle w:val="85"/>
              <w:spacing w:after="40" w:line="210" w:lineRule="exact"/>
              <w:ind w:right="43"/>
              <w:jc w:val="right"/>
            </w:pPr>
            <w:r>
              <w:t>–</w:t>
            </w:r>
          </w:p>
        </w:tc>
      </w:tr>
      <w:tr w:rsidR="003831C0" w:rsidRPr="00240C54" w:rsidTr="00714731">
        <w:trPr>
          <w:jc w:val="center"/>
        </w:trPr>
        <w:tc>
          <w:tcPr>
            <w:tcW w:w="3389" w:type="dxa"/>
            <w:vMerge/>
            <w:shd w:val="clear" w:color="auto" w:fill="auto"/>
          </w:tcPr>
          <w:p w:rsidR="00FE0340" w:rsidRPr="00240C54" w:rsidRDefault="00FE0340" w:rsidP="00FE0340">
            <w:pPr>
              <w:pStyle w:val="85"/>
              <w:spacing w:after="40" w:line="210" w:lineRule="exact"/>
              <w:ind w:right="43"/>
            </w:pPr>
          </w:p>
        </w:tc>
        <w:tc>
          <w:tcPr>
            <w:tcW w:w="2880" w:type="dxa"/>
            <w:vMerge/>
            <w:shd w:val="clear" w:color="auto" w:fill="auto"/>
          </w:tcPr>
          <w:p w:rsidR="00FE0340" w:rsidRPr="00240C54" w:rsidRDefault="00FE0340" w:rsidP="006D385A">
            <w:pPr>
              <w:pStyle w:val="85"/>
              <w:spacing w:after="40" w:line="210" w:lineRule="exact"/>
              <w:ind w:right="58"/>
            </w:pPr>
          </w:p>
        </w:tc>
        <w:tc>
          <w:tcPr>
            <w:tcW w:w="1170" w:type="dxa"/>
            <w:shd w:val="clear" w:color="auto" w:fill="auto"/>
          </w:tcPr>
          <w:p w:rsidR="00FE0340" w:rsidRPr="00240C54" w:rsidRDefault="003831C0" w:rsidP="006D385A">
            <w:pPr>
              <w:pStyle w:val="85"/>
              <w:spacing w:after="40" w:line="210" w:lineRule="exact"/>
              <w:ind w:left="29" w:right="43"/>
            </w:pPr>
            <w:proofErr w:type="spellStart"/>
            <w:r w:rsidRPr="003831C0">
              <w:t>Расчетный</w:t>
            </w:r>
            <w:proofErr w:type="spellEnd"/>
            <w:r w:rsidRPr="003831C0">
              <w:t xml:space="preserve"> </w:t>
            </w:r>
            <w:proofErr w:type="spellStart"/>
            <w:r w:rsidRPr="003831C0">
              <w:t>показатель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  <w:r w:rsidRPr="00240C54">
              <w:t>2</w:t>
            </w:r>
          </w:p>
        </w:tc>
        <w:tc>
          <w:tcPr>
            <w:tcW w:w="846" w:type="dxa"/>
            <w:shd w:val="clear" w:color="auto" w:fill="auto"/>
          </w:tcPr>
          <w:p w:rsidR="00FE0340" w:rsidRPr="00240C54" w:rsidRDefault="006D385A" w:rsidP="003831C0">
            <w:pPr>
              <w:pStyle w:val="85"/>
              <w:spacing w:after="40" w:line="210" w:lineRule="exact"/>
              <w:ind w:right="43"/>
              <w:jc w:val="right"/>
            </w:pPr>
            <w:r>
              <w:t>–</w:t>
            </w:r>
          </w:p>
        </w:tc>
      </w:tr>
      <w:tr w:rsidR="003831C0" w:rsidRPr="00240C54" w:rsidTr="00714731">
        <w:trPr>
          <w:trHeight w:val="331"/>
          <w:jc w:val="center"/>
        </w:trPr>
        <w:tc>
          <w:tcPr>
            <w:tcW w:w="3389" w:type="dxa"/>
            <w:vMerge/>
            <w:shd w:val="clear" w:color="auto" w:fill="auto"/>
          </w:tcPr>
          <w:p w:rsidR="00FE0340" w:rsidRPr="00240C54" w:rsidRDefault="00FE0340" w:rsidP="00FE0340">
            <w:pPr>
              <w:pStyle w:val="85"/>
              <w:spacing w:after="40" w:line="210" w:lineRule="exact"/>
              <w:ind w:right="43"/>
            </w:pPr>
          </w:p>
        </w:tc>
        <w:tc>
          <w:tcPr>
            <w:tcW w:w="2880" w:type="dxa"/>
            <w:vMerge/>
            <w:shd w:val="clear" w:color="auto" w:fill="auto"/>
          </w:tcPr>
          <w:p w:rsidR="00FE0340" w:rsidRPr="00240C54" w:rsidRDefault="00FE0340" w:rsidP="006D385A">
            <w:pPr>
              <w:pStyle w:val="85"/>
              <w:spacing w:after="40" w:line="210" w:lineRule="exact"/>
              <w:ind w:right="58"/>
            </w:pPr>
          </w:p>
        </w:tc>
        <w:tc>
          <w:tcPr>
            <w:tcW w:w="1170" w:type="dxa"/>
            <w:shd w:val="clear" w:color="auto" w:fill="auto"/>
          </w:tcPr>
          <w:p w:rsidR="00FE0340" w:rsidRPr="00240C54" w:rsidRDefault="003831C0" w:rsidP="006D385A">
            <w:pPr>
              <w:pStyle w:val="85"/>
              <w:spacing w:after="40" w:line="210" w:lineRule="exact"/>
              <w:ind w:left="29" w:right="43"/>
            </w:pPr>
            <w:proofErr w:type="spellStart"/>
            <w:r w:rsidRPr="003831C0">
              <w:t>Фактический</w:t>
            </w:r>
            <w:proofErr w:type="spellEnd"/>
            <w:r w:rsidRPr="003831C0">
              <w:t xml:space="preserve"> </w:t>
            </w:r>
            <w:proofErr w:type="spellStart"/>
            <w:r w:rsidRPr="003831C0">
              <w:t>показатель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</w:p>
        </w:tc>
        <w:tc>
          <w:tcPr>
            <w:tcW w:w="846" w:type="dxa"/>
            <w:shd w:val="clear" w:color="auto" w:fill="auto"/>
          </w:tcPr>
          <w:p w:rsidR="00FE0340" w:rsidRPr="00240C54" w:rsidRDefault="006D385A" w:rsidP="003831C0">
            <w:pPr>
              <w:pStyle w:val="85"/>
              <w:spacing w:after="40" w:line="210" w:lineRule="exact"/>
              <w:ind w:right="43"/>
              <w:jc w:val="right"/>
            </w:pPr>
            <w:r>
              <w:t>–</w:t>
            </w:r>
          </w:p>
        </w:tc>
      </w:tr>
      <w:tr w:rsidR="003831C0" w:rsidRPr="00240C54" w:rsidTr="00714731">
        <w:trPr>
          <w:jc w:val="center"/>
        </w:trPr>
        <w:tc>
          <w:tcPr>
            <w:tcW w:w="3389" w:type="dxa"/>
            <w:vMerge w:val="restart"/>
            <w:shd w:val="clear" w:color="auto" w:fill="auto"/>
          </w:tcPr>
          <w:p w:rsidR="00FE0340" w:rsidRPr="003831C0" w:rsidRDefault="00FE0340" w:rsidP="00FE0340">
            <w:pPr>
              <w:pStyle w:val="85"/>
              <w:spacing w:after="40" w:line="210" w:lineRule="exact"/>
              <w:ind w:right="43"/>
              <w:rPr>
                <w:lang w:val="ru-RU"/>
              </w:rPr>
            </w:pPr>
            <w:r w:rsidRPr="00FE0340">
              <w:t>b</w:t>
            </w:r>
            <w:r w:rsidRPr="003831C0">
              <w:rPr>
                <w:lang w:val="ru-RU"/>
              </w:rPr>
              <w:t>)</w:t>
            </w:r>
            <w:r w:rsidRPr="003831C0">
              <w:rPr>
                <w:lang w:val="ru-RU"/>
              </w:rPr>
              <w:tab/>
            </w:r>
            <w:r w:rsidR="003831C0" w:rsidRPr="003831C0">
              <w:rPr>
                <w:lang w:val="ru-RU"/>
              </w:rPr>
              <w:t>Более активное выполнение закл</w:t>
            </w:r>
            <w:r w:rsidR="003831C0" w:rsidRPr="003831C0">
              <w:rPr>
                <w:lang w:val="ru-RU"/>
              </w:rPr>
              <w:t>ю</w:t>
            </w:r>
            <w:r w:rsidR="003831C0" w:rsidRPr="003831C0">
              <w:rPr>
                <w:lang w:val="ru-RU"/>
              </w:rPr>
              <w:t>ченных в рамках ЕЭК многосторонних соглашений в области охраны окруж</w:t>
            </w:r>
            <w:r w:rsidR="003831C0" w:rsidRPr="003831C0">
              <w:rPr>
                <w:lang w:val="ru-RU"/>
              </w:rPr>
              <w:t>а</w:t>
            </w:r>
            <w:r w:rsidR="003831C0" w:rsidRPr="003831C0">
              <w:rPr>
                <w:lang w:val="ru-RU"/>
              </w:rPr>
              <w:t>ющей среды и расширение сферы ге</w:t>
            </w:r>
            <w:r w:rsidR="003831C0" w:rsidRPr="003831C0">
              <w:rPr>
                <w:lang w:val="ru-RU"/>
              </w:rPr>
              <w:t>о</w:t>
            </w:r>
            <w:r w:rsidR="003831C0" w:rsidRPr="003831C0">
              <w:rPr>
                <w:lang w:val="ru-RU"/>
              </w:rPr>
              <w:t>графического охвата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E0340" w:rsidRPr="006D385A" w:rsidRDefault="00FE0340" w:rsidP="006D385A">
            <w:pPr>
              <w:pStyle w:val="85"/>
              <w:spacing w:after="40" w:line="210" w:lineRule="exact"/>
              <w:ind w:right="58"/>
              <w:rPr>
                <w:lang w:val="ru-RU"/>
              </w:rPr>
            </w:pPr>
            <w:r w:rsidRPr="00FE0340">
              <w:t>b</w:t>
            </w:r>
            <w:r w:rsidR="006D385A">
              <w:rPr>
                <w:lang w:val="ru-RU"/>
              </w:rPr>
              <w:t>)</w:t>
            </w:r>
            <w:r w:rsidR="006D385A">
              <w:rPr>
                <w:lang w:val="ru-RU"/>
              </w:rPr>
              <w:tab/>
            </w:r>
            <w:proofErr w:type="spellStart"/>
            <w:r w:rsidRPr="00FE0340">
              <w:t>i</w:t>
            </w:r>
            <w:proofErr w:type="spellEnd"/>
            <w:r w:rsidRPr="006D385A">
              <w:rPr>
                <w:lang w:val="ru-RU"/>
              </w:rPr>
              <w:t>)</w:t>
            </w:r>
            <w:r w:rsidRPr="006D385A">
              <w:rPr>
                <w:lang w:val="ru-RU"/>
              </w:rPr>
              <w:tab/>
            </w:r>
            <w:r w:rsidR="006D385A" w:rsidRPr="006D385A">
              <w:rPr>
                <w:lang w:val="ru-RU"/>
              </w:rPr>
              <w:t>Повышение доли участн</w:t>
            </w:r>
            <w:r w:rsidR="006D385A" w:rsidRPr="006D385A">
              <w:rPr>
                <w:lang w:val="ru-RU"/>
              </w:rPr>
              <w:t>и</w:t>
            </w:r>
            <w:r w:rsidR="006D385A" w:rsidRPr="006D385A">
              <w:rPr>
                <w:lang w:val="ru-RU"/>
              </w:rPr>
              <w:t>ков заключенных в рамках ЕЭК многосторонних соглаше</w:t>
            </w:r>
            <w:r w:rsidR="00714731">
              <w:rPr>
                <w:lang w:val="ru-RU"/>
              </w:rPr>
              <w:t>ний в</w:t>
            </w:r>
            <w:r w:rsidR="00714731">
              <w:t> </w:t>
            </w:r>
            <w:r w:rsidR="006D385A" w:rsidRPr="006D385A">
              <w:rPr>
                <w:lang w:val="ru-RU"/>
              </w:rPr>
              <w:t>области охраны окружающей среды, представляющих инфо</w:t>
            </w:r>
            <w:r w:rsidR="006D385A" w:rsidRPr="006D385A">
              <w:rPr>
                <w:lang w:val="ru-RU"/>
              </w:rPr>
              <w:t>р</w:t>
            </w:r>
            <w:r w:rsidR="006D385A" w:rsidRPr="006D385A">
              <w:rPr>
                <w:lang w:val="ru-RU"/>
              </w:rPr>
              <w:t>мацию об их выполнении</w:t>
            </w:r>
          </w:p>
        </w:tc>
        <w:tc>
          <w:tcPr>
            <w:tcW w:w="1170" w:type="dxa"/>
            <w:shd w:val="clear" w:color="auto" w:fill="auto"/>
          </w:tcPr>
          <w:p w:rsidR="00FE0340" w:rsidRPr="00240C54" w:rsidRDefault="006D385A" w:rsidP="006D385A">
            <w:pPr>
              <w:pStyle w:val="85"/>
              <w:spacing w:after="40" w:line="210" w:lineRule="exact"/>
              <w:ind w:left="29" w:right="43"/>
            </w:pPr>
            <w:proofErr w:type="spellStart"/>
            <w:r w:rsidRPr="003831C0">
              <w:t>Целевой</w:t>
            </w:r>
            <w:proofErr w:type="spellEnd"/>
            <w:r w:rsidRPr="003831C0">
              <w:t xml:space="preserve"> </w:t>
            </w:r>
            <w:proofErr w:type="spellStart"/>
            <w:r w:rsidRPr="003831C0">
              <w:t>показатель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  <w:r w:rsidRPr="00240C54">
              <w:t>87</w:t>
            </w:r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  <w:r w:rsidRPr="00240C54">
              <w:t>85</w:t>
            </w:r>
          </w:p>
        </w:tc>
        <w:tc>
          <w:tcPr>
            <w:tcW w:w="846" w:type="dxa"/>
            <w:shd w:val="clear" w:color="auto" w:fill="auto"/>
          </w:tcPr>
          <w:p w:rsidR="00FE0340" w:rsidRPr="00240C54" w:rsidRDefault="006D385A" w:rsidP="003831C0">
            <w:pPr>
              <w:pStyle w:val="85"/>
              <w:spacing w:after="40" w:line="210" w:lineRule="exact"/>
              <w:ind w:right="43"/>
              <w:jc w:val="right"/>
            </w:pPr>
            <w:r>
              <w:t>–</w:t>
            </w:r>
          </w:p>
        </w:tc>
      </w:tr>
      <w:tr w:rsidR="003831C0" w:rsidRPr="00240C54" w:rsidTr="00714731">
        <w:trPr>
          <w:jc w:val="center"/>
        </w:trPr>
        <w:tc>
          <w:tcPr>
            <w:tcW w:w="3389" w:type="dxa"/>
            <w:vMerge/>
            <w:shd w:val="clear" w:color="auto" w:fill="auto"/>
          </w:tcPr>
          <w:p w:rsidR="00FE0340" w:rsidRPr="00240C54" w:rsidRDefault="00FE0340" w:rsidP="00FE0340">
            <w:pPr>
              <w:pStyle w:val="85"/>
              <w:spacing w:after="40" w:line="210" w:lineRule="exact"/>
              <w:ind w:right="43"/>
            </w:pPr>
          </w:p>
        </w:tc>
        <w:tc>
          <w:tcPr>
            <w:tcW w:w="2880" w:type="dxa"/>
            <w:vMerge/>
            <w:shd w:val="clear" w:color="auto" w:fill="auto"/>
          </w:tcPr>
          <w:p w:rsidR="00FE0340" w:rsidRPr="00240C54" w:rsidRDefault="00FE0340" w:rsidP="006D385A">
            <w:pPr>
              <w:pStyle w:val="85"/>
              <w:spacing w:after="40" w:line="210" w:lineRule="exact"/>
              <w:ind w:right="58"/>
            </w:pPr>
          </w:p>
        </w:tc>
        <w:tc>
          <w:tcPr>
            <w:tcW w:w="1170" w:type="dxa"/>
            <w:shd w:val="clear" w:color="auto" w:fill="auto"/>
          </w:tcPr>
          <w:p w:rsidR="00FE0340" w:rsidRPr="00240C54" w:rsidRDefault="006D385A" w:rsidP="006D385A">
            <w:pPr>
              <w:pStyle w:val="85"/>
              <w:spacing w:after="40" w:line="210" w:lineRule="exact"/>
              <w:ind w:left="29" w:right="43"/>
            </w:pPr>
            <w:proofErr w:type="spellStart"/>
            <w:r w:rsidRPr="003831C0">
              <w:t>Расчетный</w:t>
            </w:r>
            <w:proofErr w:type="spellEnd"/>
            <w:r w:rsidRPr="003831C0">
              <w:t xml:space="preserve"> </w:t>
            </w:r>
            <w:proofErr w:type="spellStart"/>
            <w:r w:rsidRPr="003831C0">
              <w:t>показатель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  <w:r w:rsidRPr="00240C54">
              <w:t>85</w:t>
            </w:r>
          </w:p>
        </w:tc>
        <w:tc>
          <w:tcPr>
            <w:tcW w:w="846" w:type="dxa"/>
            <w:shd w:val="clear" w:color="auto" w:fill="auto"/>
          </w:tcPr>
          <w:p w:rsidR="00FE0340" w:rsidRPr="00240C54" w:rsidRDefault="006D385A" w:rsidP="003831C0">
            <w:pPr>
              <w:pStyle w:val="85"/>
              <w:spacing w:after="40" w:line="210" w:lineRule="exact"/>
              <w:ind w:right="43"/>
              <w:jc w:val="right"/>
            </w:pPr>
            <w:r>
              <w:t>–</w:t>
            </w:r>
          </w:p>
        </w:tc>
      </w:tr>
      <w:tr w:rsidR="003831C0" w:rsidRPr="00240C54" w:rsidTr="00714731">
        <w:trPr>
          <w:jc w:val="center"/>
        </w:trPr>
        <w:tc>
          <w:tcPr>
            <w:tcW w:w="3389" w:type="dxa"/>
            <w:vMerge/>
            <w:shd w:val="clear" w:color="auto" w:fill="auto"/>
          </w:tcPr>
          <w:p w:rsidR="00FE0340" w:rsidRPr="00240C54" w:rsidRDefault="00FE0340" w:rsidP="00FE0340">
            <w:pPr>
              <w:pStyle w:val="85"/>
              <w:spacing w:after="40" w:line="210" w:lineRule="exact"/>
              <w:ind w:right="43"/>
            </w:pPr>
          </w:p>
        </w:tc>
        <w:tc>
          <w:tcPr>
            <w:tcW w:w="2880" w:type="dxa"/>
            <w:vMerge/>
            <w:shd w:val="clear" w:color="auto" w:fill="auto"/>
          </w:tcPr>
          <w:p w:rsidR="00FE0340" w:rsidRPr="00240C54" w:rsidRDefault="00FE0340" w:rsidP="006D385A">
            <w:pPr>
              <w:pStyle w:val="85"/>
              <w:spacing w:after="40" w:line="210" w:lineRule="exact"/>
              <w:ind w:right="58"/>
            </w:pPr>
          </w:p>
        </w:tc>
        <w:tc>
          <w:tcPr>
            <w:tcW w:w="1170" w:type="dxa"/>
            <w:shd w:val="clear" w:color="auto" w:fill="auto"/>
          </w:tcPr>
          <w:p w:rsidR="00FE0340" w:rsidRPr="00240C54" w:rsidRDefault="006D385A" w:rsidP="006D385A">
            <w:pPr>
              <w:pStyle w:val="85"/>
              <w:spacing w:after="40" w:line="210" w:lineRule="exact"/>
              <w:ind w:left="29" w:right="43"/>
            </w:pPr>
            <w:proofErr w:type="spellStart"/>
            <w:r w:rsidRPr="003831C0">
              <w:t>Фактический</w:t>
            </w:r>
            <w:proofErr w:type="spellEnd"/>
            <w:r w:rsidRPr="003831C0">
              <w:t xml:space="preserve"> </w:t>
            </w:r>
            <w:proofErr w:type="spellStart"/>
            <w:r w:rsidRPr="003831C0">
              <w:t>показатель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</w:p>
        </w:tc>
        <w:tc>
          <w:tcPr>
            <w:tcW w:w="846" w:type="dxa"/>
            <w:shd w:val="clear" w:color="auto" w:fill="auto"/>
          </w:tcPr>
          <w:p w:rsidR="00FE0340" w:rsidRPr="00240C54" w:rsidRDefault="006D385A" w:rsidP="003831C0">
            <w:pPr>
              <w:pStyle w:val="85"/>
              <w:spacing w:after="40" w:line="210" w:lineRule="exact"/>
              <w:ind w:right="43"/>
              <w:jc w:val="right"/>
            </w:pPr>
            <w:r>
              <w:t>–</w:t>
            </w:r>
          </w:p>
        </w:tc>
      </w:tr>
      <w:tr w:rsidR="003831C0" w:rsidRPr="00240C54" w:rsidTr="00714731">
        <w:trPr>
          <w:jc w:val="center"/>
        </w:trPr>
        <w:tc>
          <w:tcPr>
            <w:tcW w:w="3389" w:type="dxa"/>
            <w:vMerge/>
            <w:shd w:val="clear" w:color="auto" w:fill="auto"/>
          </w:tcPr>
          <w:p w:rsidR="00FE0340" w:rsidRPr="00240C54" w:rsidRDefault="00FE0340" w:rsidP="00FE0340">
            <w:pPr>
              <w:pStyle w:val="85"/>
              <w:spacing w:after="40" w:line="210" w:lineRule="exact"/>
              <w:ind w:right="43"/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E0340" w:rsidRPr="006D385A" w:rsidRDefault="00FE0340" w:rsidP="006D385A">
            <w:pPr>
              <w:pStyle w:val="85"/>
              <w:spacing w:after="40" w:line="210" w:lineRule="exact"/>
              <w:ind w:right="58"/>
              <w:rPr>
                <w:lang w:val="ru-RU"/>
              </w:rPr>
            </w:pPr>
            <w:r w:rsidRPr="00FE0340">
              <w:t>ii</w:t>
            </w:r>
            <w:r w:rsidRPr="006D385A">
              <w:rPr>
                <w:lang w:val="ru-RU"/>
              </w:rPr>
              <w:t>)</w:t>
            </w:r>
            <w:r w:rsidRPr="006D385A">
              <w:rPr>
                <w:lang w:val="ru-RU"/>
              </w:rPr>
              <w:tab/>
            </w:r>
            <w:r w:rsidR="006D385A" w:rsidRPr="006D385A">
              <w:rPr>
                <w:lang w:val="ru-RU"/>
              </w:rPr>
              <w:t>Увеличение числа участников заключенных в рамках ЕЭК мн</w:t>
            </w:r>
            <w:r w:rsidR="006D385A" w:rsidRPr="006D385A">
              <w:rPr>
                <w:lang w:val="ru-RU"/>
              </w:rPr>
              <w:t>о</w:t>
            </w:r>
            <w:r w:rsidR="006D385A" w:rsidRPr="006D385A">
              <w:rPr>
                <w:lang w:val="ru-RU"/>
              </w:rPr>
              <w:t>госторонних соглашений в обл</w:t>
            </w:r>
            <w:r w:rsidR="006D385A" w:rsidRPr="006D385A">
              <w:rPr>
                <w:lang w:val="ru-RU"/>
              </w:rPr>
              <w:t>а</w:t>
            </w:r>
            <w:r w:rsidR="006D385A" w:rsidRPr="006D385A">
              <w:rPr>
                <w:lang w:val="ru-RU"/>
              </w:rPr>
              <w:t>сти охраны окружающей среды</w:t>
            </w:r>
          </w:p>
        </w:tc>
        <w:tc>
          <w:tcPr>
            <w:tcW w:w="1170" w:type="dxa"/>
            <w:shd w:val="clear" w:color="auto" w:fill="auto"/>
          </w:tcPr>
          <w:p w:rsidR="00FE0340" w:rsidRPr="00240C54" w:rsidRDefault="006D385A" w:rsidP="006D385A">
            <w:pPr>
              <w:pStyle w:val="85"/>
              <w:spacing w:after="40" w:line="210" w:lineRule="exact"/>
              <w:ind w:left="29" w:right="43"/>
            </w:pPr>
            <w:proofErr w:type="spellStart"/>
            <w:r w:rsidRPr="003831C0">
              <w:t>Целевой</w:t>
            </w:r>
            <w:proofErr w:type="spellEnd"/>
            <w:r w:rsidRPr="003831C0">
              <w:t xml:space="preserve"> </w:t>
            </w:r>
            <w:proofErr w:type="spellStart"/>
            <w:r w:rsidRPr="003831C0">
              <w:t>показатель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  <w:r w:rsidRPr="00240C54">
              <w:t>312</w:t>
            </w:r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  <w:r w:rsidRPr="00240C54">
              <w:t>310</w:t>
            </w:r>
          </w:p>
        </w:tc>
        <w:tc>
          <w:tcPr>
            <w:tcW w:w="846" w:type="dxa"/>
            <w:shd w:val="clear" w:color="auto" w:fill="auto"/>
          </w:tcPr>
          <w:p w:rsidR="00FE0340" w:rsidRPr="00240C54" w:rsidRDefault="006D385A" w:rsidP="003831C0">
            <w:pPr>
              <w:pStyle w:val="85"/>
              <w:spacing w:after="40" w:line="210" w:lineRule="exact"/>
              <w:ind w:right="43"/>
              <w:jc w:val="right"/>
            </w:pPr>
            <w:r>
              <w:t>–</w:t>
            </w:r>
          </w:p>
        </w:tc>
      </w:tr>
      <w:tr w:rsidR="003831C0" w:rsidRPr="00240C54" w:rsidTr="00714731">
        <w:trPr>
          <w:jc w:val="center"/>
        </w:trPr>
        <w:tc>
          <w:tcPr>
            <w:tcW w:w="3389" w:type="dxa"/>
            <w:vMerge/>
            <w:shd w:val="clear" w:color="auto" w:fill="auto"/>
          </w:tcPr>
          <w:p w:rsidR="00FE0340" w:rsidRPr="00240C54" w:rsidRDefault="00FE0340" w:rsidP="00FE0340">
            <w:pPr>
              <w:pStyle w:val="85"/>
              <w:spacing w:after="40" w:line="210" w:lineRule="exact"/>
              <w:ind w:right="43"/>
            </w:pPr>
          </w:p>
        </w:tc>
        <w:tc>
          <w:tcPr>
            <w:tcW w:w="2880" w:type="dxa"/>
            <w:vMerge/>
            <w:shd w:val="clear" w:color="auto" w:fill="auto"/>
          </w:tcPr>
          <w:p w:rsidR="00FE0340" w:rsidRPr="00240C54" w:rsidRDefault="00FE0340" w:rsidP="006D385A">
            <w:pPr>
              <w:pStyle w:val="85"/>
              <w:spacing w:after="40" w:line="210" w:lineRule="exact"/>
              <w:ind w:right="58"/>
            </w:pPr>
          </w:p>
        </w:tc>
        <w:tc>
          <w:tcPr>
            <w:tcW w:w="1170" w:type="dxa"/>
            <w:shd w:val="clear" w:color="auto" w:fill="auto"/>
          </w:tcPr>
          <w:p w:rsidR="00FE0340" w:rsidRPr="00240C54" w:rsidRDefault="006D385A" w:rsidP="006D385A">
            <w:pPr>
              <w:pStyle w:val="85"/>
              <w:spacing w:after="40" w:line="210" w:lineRule="exact"/>
              <w:ind w:left="29" w:right="43"/>
            </w:pPr>
            <w:proofErr w:type="spellStart"/>
            <w:r w:rsidRPr="003831C0">
              <w:t>Расчетный</w:t>
            </w:r>
            <w:proofErr w:type="spellEnd"/>
            <w:r w:rsidRPr="003831C0">
              <w:t xml:space="preserve"> </w:t>
            </w:r>
            <w:proofErr w:type="spellStart"/>
            <w:r w:rsidRPr="003831C0">
              <w:t>показатель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  <w:r w:rsidRPr="00240C54">
              <w:t>310</w:t>
            </w:r>
          </w:p>
        </w:tc>
        <w:tc>
          <w:tcPr>
            <w:tcW w:w="846" w:type="dxa"/>
            <w:shd w:val="clear" w:color="auto" w:fill="auto"/>
          </w:tcPr>
          <w:p w:rsidR="00FE0340" w:rsidRPr="00240C54" w:rsidRDefault="006D385A" w:rsidP="003831C0">
            <w:pPr>
              <w:pStyle w:val="85"/>
              <w:spacing w:after="40" w:line="210" w:lineRule="exact"/>
              <w:ind w:right="43"/>
              <w:jc w:val="right"/>
            </w:pPr>
            <w:r>
              <w:t>–</w:t>
            </w:r>
          </w:p>
        </w:tc>
      </w:tr>
      <w:tr w:rsidR="003831C0" w:rsidRPr="00240C54" w:rsidTr="00714731">
        <w:trPr>
          <w:jc w:val="center"/>
        </w:trPr>
        <w:tc>
          <w:tcPr>
            <w:tcW w:w="3389" w:type="dxa"/>
            <w:vMerge/>
            <w:shd w:val="clear" w:color="auto" w:fill="auto"/>
          </w:tcPr>
          <w:p w:rsidR="00FE0340" w:rsidRPr="00240C54" w:rsidRDefault="00FE0340" w:rsidP="00FE0340">
            <w:pPr>
              <w:pStyle w:val="85"/>
              <w:spacing w:after="40" w:line="210" w:lineRule="exact"/>
              <w:ind w:right="43"/>
            </w:pPr>
          </w:p>
        </w:tc>
        <w:tc>
          <w:tcPr>
            <w:tcW w:w="2880" w:type="dxa"/>
            <w:vMerge/>
            <w:shd w:val="clear" w:color="auto" w:fill="auto"/>
          </w:tcPr>
          <w:p w:rsidR="00FE0340" w:rsidRPr="00240C54" w:rsidRDefault="00FE0340" w:rsidP="006D385A">
            <w:pPr>
              <w:pStyle w:val="85"/>
              <w:spacing w:after="40" w:line="210" w:lineRule="exact"/>
              <w:ind w:right="58"/>
            </w:pPr>
          </w:p>
        </w:tc>
        <w:tc>
          <w:tcPr>
            <w:tcW w:w="1170" w:type="dxa"/>
            <w:shd w:val="clear" w:color="auto" w:fill="auto"/>
          </w:tcPr>
          <w:p w:rsidR="00FE0340" w:rsidRPr="00240C54" w:rsidRDefault="006D385A" w:rsidP="006D385A">
            <w:pPr>
              <w:pStyle w:val="85"/>
              <w:spacing w:after="40" w:line="210" w:lineRule="exact"/>
              <w:ind w:left="29" w:right="43"/>
            </w:pPr>
            <w:proofErr w:type="spellStart"/>
            <w:r w:rsidRPr="003831C0">
              <w:t>Фактический</w:t>
            </w:r>
            <w:proofErr w:type="spellEnd"/>
            <w:r w:rsidRPr="003831C0">
              <w:t xml:space="preserve"> </w:t>
            </w:r>
            <w:proofErr w:type="spellStart"/>
            <w:r w:rsidRPr="003831C0">
              <w:t>показатель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</w:p>
        </w:tc>
        <w:tc>
          <w:tcPr>
            <w:tcW w:w="846" w:type="dxa"/>
            <w:shd w:val="clear" w:color="auto" w:fill="auto"/>
          </w:tcPr>
          <w:p w:rsidR="00FE0340" w:rsidRPr="00240C54" w:rsidRDefault="006D385A" w:rsidP="003831C0">
            <w:pPr>
              <w:pStyle w:val="85"/>
              <w:spacing w:after="40" w:line="210" w:lineRule="exact"/>
              <w:ind w:right="43"/>
              <w:jc w:val="right"/>
            </w:pPr>
            <w:r>
              <w:t>–</w:t>
            </w:r>
          </w:p>
        </w:tc>
      </w:tr>
      <w:tr w:rsidR="003831C0" w:rsidRPr="00240C54" w:rsidTr="00714731">
        <w:trPr>
          <w:jc w:val="center"/>
        </w:trPr>
        <w:tc>
          <w:tcPr>
            <w:tcW w:w="3389" w:type="dxa"/>
            <w:vMerge w:val="restart"/>
            <w:shd w:val="clear" w:color="auto" w:fill="auto"/>
          </w:tcPr>
          <w:p w:rsidR="00FE0340" w:rsidRPr="006D385A" w:rsidRDefault="00FE0340" w:rsidP="00FE0340">
            <w:pPr>
              <w:pStyle w:val="85"/>
              <w:spacing w:after="40" w:line="210" w:lineRule="exact"/>
              <w:ind w:right="43"/>
              <w:rPr>
                <w:lang w:val="ru-RU"/>
              </w:rPr>
            </w:pPr>
            <w:r w:rsidRPr="00FE0340">
              <w:t>c</w:t>
            </w:r>
            <w:r w:rsidRPr="006D385A">
              <w:rPr>
                <w:lang w:val="ru-RU"/>
              </w:rPr>
              <w:t>)</w:t>
            </w:r>
            <w:r w:rsidRPr="006D385A">
              <w:rPr>
                <w:lang w:val="ru-RU"/>
              </w:rPr>
              <w:tab/>
            </w:r>
            <w:r w:rsidR="006D385A" w:rsidRPr="006D385A">
              <w:rPr>
                <w:lang w:val="ru-RU"/>
              </w:rPr>
              <w:t>Укрепление национального поте</w:t>
            </w:r>
            <w:r w:rsidR="006D385A" w:rsidRPr="006D385A">
              <w:rPr>
                <w:lang w:val="ru-RU"/>
              </w:rPr>
              <w:t>н</w:t>
            </w:r>
            <w:r w:rsidR="006D385A" w:rsidRPr="006D385A">
              <w:rPr>
                <w:lang w:val="ru-RU"/>
              </w:rPr>
              <w:t>циала в области мониторинга окруж</w:t>
            </w:r>
            <w:r w:rsidR="006D385A" w:rsidRPr="006D385A">
              <w:rPr>
                <w:lang w:val="ru-RU"/>
              </w:rPr>
              <w:t>а</w:t>
            </w:r>
            <w:r w:rsidR="006D385A" w:rsidRPr="006D385A">
              <w:rPr>
                <w:lang w:val="ru-RU"/>
              </w:rPr>
              <w:t>ющей среды и оценки ее со</w:t>
            </w:r>
            <w:r w:rsidR="00714731">
              <w:rPr>
                <w:lang w:val="ru-RU"/>
              </w:rPr>
              <w:t>стояния в</w:t>
            </w:r>
            <w:r w:rsidR="00714731">
              <w:t> </w:t>
            </w:r>
            <w:r w:rsidR="006D385A" w:rsidRPr="006D385A">
              <w:rPr>
                <w:lang w:val="ru-RU"/>
              </w:rPr>
              <w:t>странах Восточной и Юго-Восточной Европы, Кавказа и Центральной Азии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E0340" w:rsidRPr="006D385A" w:rsidRDefault="00FE0340" w:rsidP="006D385A">
            <w:pPr>
              <w:pStyle w:val="85"/>
              <w:spacing w:after="40" w:line="210" w:lineRule="exact"/>
              <w:ind w:right="58"/>
              <w:rPr>
                <w:lang w:val="ru-RU"/>
              </w:rPr>
            </w:pPr>
            <w:r w:rsidRPr="00FE0340">
              <w:t>c</w:t>
            </w:r>
            <w:r w:rsidRPr="006D385A">
              <w:rPr>
                <w:lang w:val="ru-RU"/>
              </w:rPr>
              <w:t>)</w:t>
            </w:r>
            <w:r w:rsidRPr="006D385A">
              <w:rPr>
                <w:lang w:val="ru-RU"/>
              </w:rPr>
              <w:tab/>
            </w:r>
            <w:r w:rsidR="006D385A" w:rsidRPr="006D385A">
              <w:rPr>
                <w:lang w:val="ru-RU"/>
              </w:rPr>
              <w:t>Повышение степени выполн</w:t>
            </w:r>
            <w:r w:rsidR="006D385A" w:rsidRPr="006D385A">
              <w:rPr>
                <w:lang w:val="ru-RU"/>
              </w:rPr>
              <w:t>е</w:t>
            </w:r>
            <w:r w:rsidR="006D385A" w:rsidRPr="006D385A">
              <w:rPr>
                <w:lang w:val="ru-RU"/>
              </w:rPr>
              <w:t>ния государствами-членами р</w:t>
            </w:r>
            <w:r w:rsidR="006D385A" w:rsidRPr="006D385A">
              <w:rPr>
                <w:lang w:val="ru-RU"/>
              </w:rPr>
              <w:t>е</w:t>
            </w:r>
            <w:r w:rsidR="006D385A" w:rsidRPr="006D385A">
              <w:rPr>
                <w:lang w:val="ru-RU"/>
              </w:rPr>
              <w:t>комендаций ЕЭК в отношении мониторинга окружающей среды</w:t>
            </w:r>
          </w:p>
        </w:tc>
        <w:tc>
          <w:tcPr>
            <w:tcW w:w="1170" w:type="dxa"/>
            <w:shd w:val="clear" w:color="auto" w:fill="auto"/>
          </w:tcPr>
          <w:p w:rsidR="00FE0340" w:rsidRPr="00240C54" w:rsidRDefault="006D385A" w:rsidP="006D385A">
            <w:pPr>
              <w:pStyle w:val="85"/>
              <w:spacing w:after="40" w:line="210" w:lineRule="exact"/>
              <w:ind w:left="29" w:right="43"/>
            </w:pPr>
            <w:proofErr w:type="spellStart"/>
            <w:r w:rsidRPr="003831C0">
              <w:t>Целевой</w:t>
            </w:r>
            <w:proofErr w:type="spellEnd"/>
            <w:r w:rsidRPr="003831C0">
              <w:t xml:space="preserve"> </w:t>
            </w:r>
            <w:proofErr w:type="spellStart"/>
            <w:r w:rsidRPr="003831C0">
              <w:t>показатель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  <w:r w:rsidRPr="00240C54">
              <w:t>52</w:t>
            </w:r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  <w:r w:rsidRPr="00240C54">
              <w:t>50</w:t>
            </w:r>
          </w:p>
        </w:tc>
        <w:tc>
          <w:tcPr>
            <w:tcW w:w="846" w:type="dxa"/>
            <w:shd w:val="clear" w:color="auto" w:fill="auto"/>
          </w:tcPr>
          <w:p w:rsidR="00FE0340" w:rsidRPr="00240C54" w:rsidRDefault="006D385A" w:rsidP="003831C0">
            <w:pPr>
              <w:pStyle w:val="85"/>
              <w:spacing w:after="40" w:line="210" w:lineRule="exact"/>
              <w:ind w:right="43"/>
              <w:jc w:val="right"/>
            </w:pPr>
            <w:r>
              <w:t>–</w:t>
            </w:r>
          </w:p>
        </w:tc>
      </w:tr>
      <w:tr w:rsidR="003831C0" w:rsidRPr="00240C54" w:rsidTr="00714731">
        <w:trPr>
          <w:jc w:val="center"/>
        </w:trPr>
        <w:tc>
          <w:tcPr>
            <w:tcW w:w="3389" w:type="dxa"/>
            <w:vMerge/>
            <w:shd w:val="clear" w:color="auto" w:fill="auto"/>
          </w:tcPr>
          <w:p w:rsidR="00FE0340" w:rsidRPr="00240C54" w:rsidRDefault="00FE0340" w:rsidP="00FE0340">
            <w:pPr>
              <w:pStyle w:val="85"/>
              <w:spacing w:after="40" w:line="210" w:lineRule="exact"/>
              <w:ind w:right="43"/>
            </w:pPr>
          </w:p>
        </w:tc>
        <w:tc>
          <w:tcPr>
            <w:tcW w:w="2880" w:type="dxa"/>
            <w:vMerge/>
            <w:shd w:val="clear" w:color="auto" w:fill="auto"/>
          </w:tcPr>
          <w:p w:rsidR="00FE0340" w:rsidRPr="00240C54" w:rsidRDefault="00FE0340" w:rsidP="006D385A">
            <w:pPr>
              <w:pStyle w:val="85"/>
              <w:spacing w:after="40" w:line="210" w:lineRule="exact"/>
              <w:ind w:right="58"/>
            </w:pPr>
          </w:p>
        </w:tc>
        <w:tc>
          <w:tcPr>
            <w:tcW w:w="1170" w:type="dxa"/>
            <w:shd w:val="clear" w:color="auto" w:fill="auto"/>
          </w:tcPr>
          <w:p w:rsidR="00FE0340" w:rsidRPr="00240C54" w:rsidRDefault="006D385A" w:rsidP="006D385A">
            <w:pPr>
              <w:pStyle w:val="85"/>
              <w:spacing w:after="40" w:line="210" w:lineRule="exact"/>
              <w:ind w:left="29" w:right="43"/>
            </w:pPr>
            <w:proofErr w:type="spellStart"/>
            <w:r w:rsidRPr="003831C0">
              <w:t>Расчетный</w:t>
            </w:r>
            <w:proofErr w:type="spellEnd"/>
            <w:r w:rsidRPr="003831C0">
              <w:t xml:space="preserve"> </w:t>
            </w:r>
            <w:proofErr w:type="spellStart"/>
            <w:r w:rsidRPr="003831C0">
              <w:t>показатель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  <w:r w:rsidRPr="00240C54">
              <w:t>50</w:t>
            </w:r>
          </w:p>
        </w:tc>
        <w:tc>
          <w:tcPr>
            <w:tcW w:w="846" w:type="dxa"/>
            <w:shd w:val="clear" w:color="auto" w:fill="auto"/>
          </w:tcPr>
          <w:p w:rsidR="00FE0340" w:rsidRPr="00240C54" w:rsidRDefault="006D385A" w:rsidP="003831C0">
            <w:pPr>
              <w:pStyle w:val="85"/>
              <w:spacing w:after="40" w:line="210" w:lineRule="exact"/>
              <w:ind w:right="43"/>
              <w:jc w:val="right"/>
            </w:pPr>
            <w:r>
              <w:t>–</w:t>
            </w:r>
          </w:p>
        </w:tc>
      </w:tr>
      <w:tr w:rsidR="003831C0" w:rsidRPr="00240C54" w:rsidTr="00714731">
        <w:trPr>
          <w:jc w:val="center"/>
        </w:trPr>
        <w:tc>
          <w:tcPr>
            <w:tcW w:w="3389" w:type="dxa"/>
            <w:vMerge/>
            <w:shd w:val="clear" w:color="auto" w:fill="auto"/>
          </w:tcPr>
          <w:p w:rsidR="00FE0340" w:rsidRPr="00240C54" w:rsidRDefault="00FE0340" w:rsidP="00FE0340">
            <w:pPr>
              <w:pStyle w:val="85"/>
              <w:spacing w:after="40" w:line="210" w:lineRule="exact"/>
              <w:ind w:right="43"/>
            </w:pPr>
          </w:p>
        </w:tc>
        <w:tc>
          <w:tcPr>
            <w:tcW w:w="2880" w:type="dxa"/>
            <w:vMerge/>
            <w:shd w:val="clear" w:color="auto" w:fill="auto"/>
          </w:tcPr>
          <w:p w:rsidR="00FE0340" w:rsidRPr="00240C54" w:rsidRDefault="00FE0340" w:rsidP="006D385A">
            <w:pPr>
              <w:pStyle w:val="85"/>
              <w:spacing w:after="40" w:line="210" w:lineRule="exact"/>
              <w:ind w:right="58"/>
            </w:pPr>
          </w:p>
        </w:tc>
        <w:tc>
          <w:tcPr>
            <w:tcW w:w="1170" w:type="dxa"/>
            <w:shd w:val="clear" w:color="auto" w:fill="auto"/>
          </w:tcPr>
          <w:p w:rsidR="00FE0340" w:rsidRPr="00240C54" w:rsidRDefault="006D385A" w:rsidP="006D385A">
            <w:pPr>
              <w:pStyle w:val="85"/>
              <w:spacing w:after="40" w:line="210" w:lineRule="exact"/>
              <w:ind w:left="29" w:right="43"/>
            </w:pPr>
            <w:proofErr w:type="spellStart"/>
            <w:r w:rsidRPr="003831C0">
              <w:t>Фактический</w:t>
            </w:r>
            <w:proofErr w:type="spellEnd"/>
            <w:r w:rsidRPr="003831C0">
              <w:t xml:space="preserve"> </w:t>
            </w:r>
            <w:proofErr w:type="spellStart"/>
            <w:r w:rsidRPr="003831C0">
              <w:t>показатель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</w:p>
        </w:tc>
        <w:tc>
          <w:tcPr>
            <w:tcW w:w="846" w:type="dxa"/>
            <w:shd w:val="clear" w:color="auto" w:fill="auto"/>
          </w:tcPr>
          <w:p w:rsidR="00FE0340" w:rsidRPr="00240C54" w:rsidRDefault="006D385A" w:rsidP="003831C0">
            <w:pPr>
              <w:pStyle w:val="85"/>
              <w:spacing w:after="40" w:line="210" w:lineRule="exact"/>
              <w:ind w:right="43"/>
              <w:jc w:val="right"/>
            </w:pPr>
            <w:r>
              <w:t>–</w:t>
            </w:r>
          </w:p>
        </w:tc>
      </w:tr>
      <w:tr w:rsidR="003831C0" w:rsidRPr="00240C54" w:rsidTr="00714731">
        <w:trPr>
          <w:jc w:val="center"/>
        </w:trPr>
        <w:tc>
          <w:tcPr>
            <w:tcW w:w="3389" w:type="dxa"/>
            <w:vMerge w:val="restart"/>
            <w:shd w:val="clear" w:color="auto" w:fill="auto"/>
          </w:tcPr>
          <w:p w:rsidR="00FE0340" w:rsidRPr="006D385A" w:rsidRDefault="00FE0340" w:rsidP="00FE0340">
            <w:pPr>
              <w:pStyle w:val="85"/>
              <w:spacing w:after="40" w:line="210" w:lineRule="exact"/>
              <w:ind w:right="43"/>
              <w:rPr>
                <w:lang w:val="ru-RU"/>
              </w:rPr>
            </w:pPr>
            <w:r w:rsidRPr="00FE0340">
              <w:t>d</w:t>
            </w:r>
            <w:r w:rsidRPr="006D385A">
              <w:rPr>
                <w:lang w:val="ru-RU"/>
              </w:rPr>
              <w:t>)</w:t>
            </w:r>
            <w:r w:rsidRPr="006D385A">
              <w:rPr>
                <w:lang w:val="ru-RU"/>
              </w:rPr>
              <w:tab/>
            </w:r>
            <w:r w:rsidR="006D385A" w:rsidRPr="006D385A">
              <w:rPr>
                <w:lang w:val="ru-RU"/>
              </w:rPr>
              <w:t>Повышение эффективности прир</w:t>
            </w:r>
            <w:r w:rsidR="006D385A" w:rsidRPr="006D385A">
              <w:rPr>
                <w:lang w:val="ru-RU"/>
              </w:rPr>
              <w:t>о</w:t>
            </w:r>
            <w:r w:rsidR="006D385A" w:rsidRPr="006D385A">
              <w:rPr>
                <w:lang w:val="ru-RU"/>
              </w:rPr>
              <w:t>доохранной деятельности в соотве</w:t>
            </w:r>
            <w:r w:rsidR="006D385A" w:rsidRPr="006D385A">
              <w:rPr>
                <w:lang w:val="ru-RU"/>
              </w:rPr>
              <w:t>т</w:t>
            </w:r>
            <w:r w:rsidR="006D385A" w:rsidRPr="006D385A">
              <w:rPr>
                <w:lang w:val="ru-RU"/>
              </w:rPr>
              <w:t>ствующих странах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E0340" w:rsidRPr="006D385A" w:rsidRDefault="00FE0340" w:rsidP="006D385A">
            <w:pPr>
              <w:pStyle w:val="85"/>
              <w:spacing w:after="40" w:line="210" w:lineRule="exact"/>
              <w:ind w:right="58"/>
              <w:rPr>
                <w:lang w:val="ru-RU"/>
              </w:rPr>
            </w:pPr>
            <w:r w:rsidRPr="00FE0340">
              <w:t>d</w:t>
            </w:r>
            <w:r w:rsidRPr="006D385A">
              <w:rPr>
                <w:lang w:val="ru-RU"/>
              </w:rPr>
              <w:t>)</w:t>
            </w:r>
            <w:r w:rsidRPr="006D385A">
              <w:rPr>
                <w:lang w:val="ru-RU"/>
              </w:rPr>
              <w:tab/>
            </w:r>
            <w:r w:rsidR="006D385A" w:rsidRPr="006D385A">
              <w:rPr>
                <w:lang w:val="ru-RU"/>
              </w:rPr>
              <w:t>Доля рекомендаций по итогам анализа эффективности природ</w:t>
            </w:r>
            <w:r w:rsidR="006D385A" w:rsidRPr="006D385A">
              <w:rPr>
                <w:lang w:val="ru-RU"/>
              </w:rPr>
              <w:t>о</w:t>
            </w:r>
            <w:r w:rsidR="006D385A" w:rsidRPr="006D385A">
              <w:rPr>
                <w:lang w:val="ru-RU"/>
              </w:rPr>
              <w:t>охранной деятельности, выпо</w:t>
            </w:r>
            <w:r w:rsidR="006D385A" w:rsidRPr="006D385A">
              <w:rPr>
                <w:lang w:val="ru-RU"/>
              </w:rPr>
              <w:t>л</w:t>
            </w:r>
            <w:r w:rsidR="006D385A" w:rsidRPr="006D385A">
              <w:rPr>
                <w:lang w:val="ru-RU"/>
              </w:rPr>
              <w:t>ненных странами, охваченными таким анализом в двухгодичном периоде</w:t>
            </w:r>
          </w:p>
        </w:tc>
        <w:tc>
          <w:tcPr>
            <w:tcW w:w="1170" w:type="dxa"/>
            <w:shd w:val="clear" w:color="auto" w:fill="auto"/>
          </w:tcPr>
          <w:p w:rsidR="00FE0340" w:rsidRPr="00240C54" w:rsidRDefault="006D385A" w:rsidP="006D385A">
            <w:pPr>
              <w:pStyle w:val="85"/>
              <w:spacing w:after="40" w:line="210" w:lineRule="exact"/>
              <w:ind w:left="29" w:right="43"/>
            </w:pPr>
            <w:proofErr w:type="spellStart"/>
            <w:r w:rsidRPr="006D385A">
              <w:t>Целевой</w:t>
            </w:r>
            <w:proofErr w:type="spellEnd"/>
            <w:r w:rsidRPr="006D385A">
              <w:t xml:space="preserve"> </w:t>
            </w:r>
            <w:proofErr w:type="spellStart"/>
            <w:r w:rsidRPr="006D385A">
              <w:t>показатель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  <w:r w:rsidRPr="00240C54">
              <w:t>65</w:t>
            </w:r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  <w:r w:rsidRPr="00240C54">
              <w:t>65</w:t>
            </w:r>
          </w:p>
        </w:tc>
        <w:tc>
          <w:tcPr>
            <w:tcW w:w="846" w:type="dxa"/>
            <w:shd w:val="clear" w:color="auto" w:fill="auto"/>
          </w:tcPr>
          <w:p w:rsidR="00FE0340" w:rsidRPr="00240C54" w:rsidRDefault="006D385A" w:rsidP="003831C0">
            <w:pPr>
              <w:pStyle w:val="85"/>
              <w:spacing w:after="40" w:line="210" w:lineRule="exact"/>
              <w:ind w:right="43"/>
              <w:jc w:val="right"/>
            </w:pPr>
            <w:r>
              <w:t>–</w:t>
            </w:r>
          </w:p>
        </w:tc>
      </w:tr>
      <w:tr w:rsidR="003831C0" w:rsidRPr="00240C54" w:rsidTr="00714731">
        <w:trPr>
          <w:jc w:val="center"/>
        </w:trPr>
        <w:tc>
          <w:tcPr>
            <w:tcW w:w="3389" w:type="dxa"/>
            <w:vMerge/>
            <w:shd w:val="clear" w:color="auto" w:fill="auto"/>
          </w:tcPr>
          <w:p w:rsidR="00FE0340" w:rsidRPr="00240C54" w:rsidRDefault="00FE0340" w:rsidP="00FE0340">
            <w:pPr>
              <w:pStyle w:val="85"/>
              <w:spacing w:after="40" w:line="210" w:lineRule="exact"/>
              <w:ind w:right="43"/>
            </w:pPr>
          </w:p>
        </w:tc>
        <w:tc>
          <w:tcPr>
            <w:tcW w:w="2880" w:type="dxa"/>
            <w:vMerge/>
            <w:shd w:val="clear" w:color="auto" w:fill="auto"/>
          </w:tcPr>
          <w:p w:rsidR="00FE0340" w:rsidRPr="00240C54" w:rsidRDefault="00FE0340" w:rsidP="00FE0340">
            <w:pPr>
              <w:pStyle w:val="85"/>
              <w:spacing w:after="40" w:line="210" w:lineRule="exact"/>
              <w:ind w:right="43"/>
            </w:pPr>
          </w:p>
        </w:tc>
        <w:tc>
          <w:tcPr>
            <w:tcW w:w="1170" w:type="dxa"/>
            <w:shd w:val="clear" w:color="auto" w:fill="auto"/>
          </w:tcPr>
          <w:p w:rsidR="00FE0340" w:rsidRPr="00240C54" w:rsidRDefault="006D385A" w:rsidP="006D385A">
            <w:pPr>
              <w:pStyle w:val="85"/>
              <w:spacing w:after="40" w:line="210" w:lineRule="exact"/>
              <w:ind w:left="29" w:right="43"/>
            </w:pPr>
            <w:proofErr w:type="spellStart"/>
            <w:r w:rsidRPr="006D385A">
              <w:t>Расчетный</w:t>
            </w:r>
            <w:proofErr w:type="spellEnd"/>
            <w:r w:rsidRPr="006D385A">
              <w:t xml:space="preserve"> </w:t>
            </w:r>
            <w:proofErr w:type="spellStart"/>
            <w:r w:rsidRPr="006D385A">
              <w:t>показатель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  <w:r w:rsidRPr="00240C54">
              <w:t>65</w:t>
            </w:r>
          </w:p>
        </w:tc>
        <w:tc>
          <w:tcPr>
            <w:tcW w:w="846" w:type="dxa"/>
            <w:shd w:val="clear" w:color="auto" w:fill="auto"/>
          </w:tcPr>
          <w:p w:rsidR="00FE0340" w:rsidRPr="00240C54" w:rsidRDefault="006D385A" w:rsidP="003831C0">
            <w:pPr>
              <w:pStyle w:val="85"/>
              <w:spacing w:after="40" w:line="210" w:lineRule="exact"/>
              <w:ind w:right="43"/>
              <w:jc w:val="right"/>
            </w:pPr>
            <w:r>
              <w:t>–</w:t>
            </w:r>
          </w:p>
        </w:tc>
      </w:tr>
      <w:tr w:rsidR="003831C0" w:rsidRPr="00240C54" w:rsidTr="00714731">
        <w:trPr>
          <w:jc w:val="center"/>
        </w:trPr>
        <w:tc>
          <w:tcPr>
            <w:tcW w:w="3389" w:type="dxa"/>
            <w:vMerge/>
            <w:shd w:val="clear" w:color="auto" w:fill="auto"/>
          </w:tcPr>
          <w:p w:rsidR="00FE0340" w:rsidRPr="00240C54" w:rsidRDefault="00FE0340" w:rsidP="00FE0340">
            <w:pPr>
              <w:pStyle w:val="85"/>
              <w:spacing w:after="40" w:line="210" w:lineRule="exact"/>
              <w:ind w:right="43"/>
            </w:pPr>
          </w:p>
        </w:tc>
        <w:tc>
          <w:tcPr>
            <w:tcW w:w="2880" w:type="dxa"/>
            <w:vMerge/>
            <w:shd w:val="clear" w:color="auto" w:fill="auto"/>
          </w:tcPr>
          <w:p w:rsidR="00FE0340" w:rsidRPr="00240C54" w:rsidRDefault="00FE0340" w:rsidP="00FE0340">
            <w:pPr>
              <w:pStyle w:val="85"/>
              <w:spacing w:after="40" w:line="210" w:lineRule="exact"/>
              <w:ind w:right="43"/>
            </w:pPr>
          </w:p>
        </w:tc>
        <w:tc>
          <w:tcPr>
            <w:tcW w:w="1170" w:type="dxa"/>
            <w:shd w:val="clear" w:color="auto" w:fill="auto"/>
          </w:tcPr>
          <w:p w:rsidR="00FE0340" w:rsidRPr="00240C54" w:rsidRDefault="006D385A" w:rsidP="006D385A">
            <w:pPr>
              <w:pStyle w:val="85"/>
              <w:spacing w:after="40" w:line="210" w:lineRule="exact"/>
              <w:ind w:left="29" w:right="43"/>
            </w:pPr>
            <w:proofErr w:type="spellStart"/>
            <w:r w:rsidRPr="006D385A">
              <w:t>Фактический</w:t>
            </w:r>
            <w:proofErr w:type="spellEnd"/>
            <w:r w:rsidRPr="006D385A">
              <w:t xml:space="preserve"> </w:t>
            </w:r>
            <w:proofErr w:type="spellStart"/>
            <w:r w:rsidRPr="006D385A">
              <w:t>показатель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</w:p>
        </w:tc>
        <w:tc>
          <w:tcPr>
            <w:tcW w:w="845" w:type="dxa"/>
            <w:shd w:val="clear" w:color="auto" w:fill="auto"/>
          </w:tcPr>
          <w:p w:rsidR="00FE0340" w:rsidRPr="00240C54" w:rsidRDefault="00FE0340" w:rsidP="003831C0">
            <w:pPr>
              <w:pStyle w:val="85"/>
              <w:spacing w:after="40" w:line="210" w:lineRule="exact"/>
              <w:ind w:right="43"/>
              <w:jc w:val="right"/>
            </w:pPr>
          </w:p>
        </w:tc>
        <w:tc>
          <w:tcPr>
            <w:tcW w:w="846" w:type="dxa"/>
            <w:shd w:val="clear" w:color="auto" w:fill="auto"/>
          </w:tcPr>
          <w:p w:rsidR="00FE0340" w:rsidRPr="00240C54" w:rsidRDefault="006D385A" w:rsidP="003831C0">
            <w:pPr>
              <w:pStyle w:val="85"/>
              <w:spacing w:after="40" w:line="210" w:lineRule="exact"/>
              <w:ind w:right="43"/>
              <w:jc w:val="right"/>
            </w:pPr>
            <w:r>
              <w:t>–</w:t>
            </w:r>
          </w:p>
        </w:tc>
      </w:tr>
    </w:tbl>
    <w:p w:rsidR="000255C9" w:rsidRPr="003B75C7" w:rsidRDefault="000255C9" w:rsidP="003B75C7">
      <w:pPr>
        <w:pStyle w:val="SingleTxt"/>
        <w:spacing w:after="0" w:line="120" w:lineRule="exact"/>
        <w:rPr>
          <w:sz w:val="10"/>
          <w:lang w:val="en-US"/>
        </w:rPr>
      </w:pPr>
    </w:p>
    <w:p w:rsidR="003B75C7" w:rsidRPr="003B75C7" w:rsidRDefault="003B75C7" w:rsidP="003B75C7">
      <w:pPr>
        <w:pStyle w:val="SingleTxt"/>
        <w:spacing w:after="0" w:line="120" w:lineRule="exact"/>
        <w:rPr>
          <w:sz w:val="10"/>
          <w:lang w:val="en-US"/>
        </w:rPr>
      </w:pPr>
    </w:p>
    <w:p w:rsidR="003B75C7" w:rsidRPr="003B75C7" w:rsidRDefault="003B75C7" w:rsidP="003B75C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t>В.</w:t>
      </w:r>
      <w:r w:rsidRPr="003B75C7">
        <w:tab/>
        <w:t>Стратегия</w:t>
      </w:r>
    </w:p>
    <w:p w:rsidR="003B75C7" w:rsidRPr="003B75C7" w:rsidRDefault="003B75C7" w:rsidP="003B75C7">
      <w:pPr>
        <w:pStyle w:val="SingleTxt"/>
        <w:spacing w:after="0" w:line="120" w:lineRule="exact"/>
        <w:rPr>
          <w:sz w:val="10"/>
        </w:rPr>
      </w:pPr>
    </w:p>
    <w:p w:rsidR="003B75C7" w:rsidRPr="003B75C7" w:rsidRDefault="003B75C7" w:rsidP="003B75C7">
      <w:pPr>
        <w:pStyle w:val="SingleTxt"/>
        <w:spacing w:after="0" w:line="120" w:lineRule="exact"/>
        <w:rPr>
          <w:sz w:val="10"/>
        </w:rPr>
      </w:pPr>
    </w:p>
    <w:p w:rsidR="003B75C7" w:rsidRPr="003B75C7" w:rsidRDefault="003B75C7" w:rsidP="003B75C7">
      <w:pPr>
        <w:pStyle w:val="SingleTxt"/>
      </w:pPr>
      <w:r>
        <w:t>6.</w:t>
      </w:r>
      <w:r w:rsidRPr="003B75C7">
        <w:tab/>
        <w:t>За осуществление Подпрограммы по окружающей среде отвечает Отдел по вопросам окружающей среды. Деятельность в рамках подпрограммы будет ос</w:t>
      </w:r>
      <w:r w:rsidRPr="003B75C7">
        <w:t>у</w:t>
      </w:r>
      <w:r w:rsidRPr="003B75C7">
        <w:t>ществляться в таких областях, как воздух, вода, промышленная безопасность, экологическая демократия, оценка состояния окружающей среды, мониторинг и показатели эффективности, образование в интересах устойчивого развития, а также всесторонний учет экологических аспектов в рамках других измерений устойчивого развития. Цель подпрограммы будет достигаться за счет налажив</w:t>
      </w:r>
      <w:r w:rsidRPr="003B75C7">
        <w:t>а</w:t>
      </w:r>
      <w:r w:rsidRPr="003B75C7">
        <w:t>ния международного диалога по вопросам политики, нормотворческой деятел</w:t>
      </w:r>
      <w:r w:rsidRPr="003B75C7">
        <w:t>ь</w:t>
      </w:r>
      <w:r w:rsidRPr="003B75C7">
        <w:t>ности, укрепления потенциала и деятельности по распространению информации о передовых практических методах и извлеченных уроках.</w:t>
      </w:r>
    </w:p>
    <w:p w:rsidR="003B75C7" w:rsidRPr="003B75C7" w:rsidRDefault="003B75C7" w:rsidP="003B75C7">
      <w:pPr>
        <w:pStyle w:val="SingleTxt"/>
      </w:pPr>
      <w:r>
        <w:t>7.</w:t>
      </w:r>
      <w:r w:rsidRPr="003B75C7">
        <w:tab/>
        <w:t>С учетом использования подхода, ориентированного на потребности ко</w:t>
      </w:r>
      <w:r w:rsidRPr="003B75C7">
        <w:t>н</w:t>
      </w:r>
      <w:r w:rsidRPr="003B75C7">
        <w:t>кретной страны основное внимание будет уделяться укреплению потенциала стран Восточной Европы, Кавказа, Центральной Азии и Юго-Восточной Европы в области природоохранной политики и рационального природопользования, включая эффективное осуществление природоохранного законодательства.</w:t>
      </w:r>
    </w:p>
    <w:p w:rsidR="003B75C7" w:rsidRPr="003B75C7" w:rsidRDefault="003B75C7" w:rsidP="003B75C7">
      <w:pPr>
        <w:pStyle w:val="SingleTxt"/>
      </w:pPr>
      <w:r>
        <w:lastRenderedPageBreak/>
        <w:t>8.</w:t>
      </w:r>
      <w:r w:rsidRPr="003B75C7">
        <w:tab/>
      </w:r>
      <w:proofErr w:type="gramStart"/>
      <w:r w:rsidRPr="003B75C7">
        <w:t>В рамках данной подпрограммы будут приниматься меры по содействию развитию регулирования природопользования в регионе и сотрудничества между соседними странами и по дальнейшему улучшению учета природоохранной пр</w:t>
      </w:r>
      <w:r w:rsidRPr="003B75C7">
        <w:t>о</w:t>
      </w:r>
      <w:r w:rsidRPr="003B75C7">
        <w:t>блематики в секторальных стратегиях посредством внедрения директивных и</w:t>
      </w:r>
      <w:r w:rsidRPr="003B75C7">
        <w:t>н</w:t>
      </w:r>
      <w:r w:rsidRPr="003B75C7">
        <w:t>струментов ЕЭК, просвещения в интересах устойчивого развития, транспорта, здравоохранения и окружающей среды, осуществления заключенных в рамках ЕЭК многосторонних соглашений в области охраны окружающей среды и обмена информацией (например</w:t>
      </w:r>
      <w:proofErr w:type="gramEnd"/>
      <w:r w:rsidRPr="003B75C7">
        <w:t>, на основе совместной системы экологической инфо</w:t>
      </w:r>
      <w:r w:rsidRPr="003B75C7">
        <w:t>р</w:t>
      </w:r>
      <w:r w:rsidRPr="003B75C7">
        <w:t xml:space="preserve">мации), опытом и передовыми методами в регионе ЕЭК. </w:t>
      </w:r>
      <w:proofErr w:type="spellStart"/>
      <w:r w:rsidRPr="003B75C7">
        <w:t>Межсекторальная</w:t>
      </w:r>
      <w:proofErr w:type="spellEnd"/>
      <w:r w:rsidRPr="003B75C7">
        <w:t xml:space="preserve"> де</w:t>
      </w:r>
      <w:r w:rsidRPr="003B75C7">
        <w:t>я</w:t>
      </w:r>
      <w:r w:rsidRPr="003B75C7">
        <w:t>тельность будет также включать осуществлен</w:t>
      </w:r>
      <w:r w:rsidR="00AE18DB">
        <w:t>ие мер по содействию обеспечению</w:t>
      </w:r>
      <w:r w:rsidRPr="003B75C7">
        <w:t xml:space="preserve"> </w:t>
      </w:r>
      <w:proofErr w:type="spellStart"/>
      <w:r w:rsidRPr="003B75C7">
        <w:t>взаимодополняемости</w:t>
      </w:r>
      <w:proofErr w:type="spellEnd"/>
      <w:r w:rsidRPr="003B75C7">
        <w:t xml:space="preserve"> юридических документов ЕЭК. Кроме того, в рамках да</w:t>
      </w:r>
      <w:r w:rsidRPr="003B75C7">
        <w:t>н</w:t>
      </w:r>
      <w:r w:rsidRPr="003B75C7">
        <w:t>ной подпрограммы будет также осуществляться сотрудничество с заинтерес</w:t>
      </w:r>
      <w:r w:rsidRPr="003B75C7">
        <w:t>о</w:t>
      </w:r>
      <w:r w:rsidRPr="003B75C7">
        <w:t>ванными странами, не являющимися членами ЕЭК, в частности с теми, которые заинтересованы в присоединении к многосторонним соглашениям в области охраны окружающей среды, открытым для присоединения любой страны мира.</w:t>
      </w:r>
    </w:p>
    <w:p w:rsidR="003B75C7" w:rsidRPr="003B75C7" w:rsidRDefault="003B75C7" w:rsidP="003B75C7">
      <w:pPr>
        <w:pStyle w:val="SingleTxt"/>
      </w:pPr>
      <w:r>
        <w:t>9.</w:t>
      </w:r>
      <w:r w:rsidRPr="003B75C7">
        <w:tab/>
        <w:t xml:space="preserve">В рамках подпрограммы будет продолжена работа по проведению анализа эффективности природоохранной деятельности, в </w:t>
      </w:r>
      <w:proofErr w:type="gramStart"/>
      <w:r w:rsidRPr="003B75C7">
        <w:t>связи</w:t>
      </w:r>
      <w:proofErr w:type="gramEnd"/>
      <w:r w:rsidRPr="003B75C7">
        <w:t xml:space="preserve"> с чем будет оказываться помощь странам в выполнении рекомендаций по результатам их национальных обследований и будет отслеживаться, как указанные рекомендации влияют на разработку и проведение политики. Она будет также направлена на укрепление потенциала стран в плане своевременного представления точных экологических данных, что будет способствовать улучшению мониторинга состояния окружа</w:t>
      </w:r>
      <w:r w:rsidRPr="003B75C7">
        <w:t>ю</w:t>
      </w:r>
      <w:r w:rsidRPr="003B75C7">
        <w:t>щей среды и соответствующей отчетности. В рамках данной подпрограммы б</w:t>
      </w:r>
      <w:r w:rsidRPr="003B75C7">
        <w:t>у</w:t>
      </w:r>
      <w:r w:rsidRPr="003B75C7">
        <w:t>дет продолжена работа по пропаганде в государствах-членах использования р</w:t>
      </w:r>
      <w:r w:rsidRPr="003B75C7">
        <w:t>у</w:t>
      </w:r>
      <w:r w:rsidRPr="003B75C7">
        <w:t>ководящих принципов ЕЭК в отношении экологического мониторинга и оценки.</w:t>
      </w:r>
    </w:p>
    <w:p w:rsidR="003B75C7" w:rsidRPr="003B75C7" w:rsidRDefault="003B75C7" w:rsidP="003B75C7">
      <w:pPr>
        <w:pStyle w:val="SingleTxt"/>
      </w:pPr>
      <w:r>
        <w:t>10.</w:t>
      </w:r>
      <w:r w:rsidRPr="003B75C7">
        <w:tab/>
      </w:r>
      <w:proofErr w:type="gramStart"/>
      <w:r w:rsidRPr="003B75C7">
        <w:t>Деятельность в рамках подпрограммы будет включать поощрение устойч</w:t>
      </w:r>
      <w:r w:rsidRPr="003B75C7">
        <w:t>и</w:t>
      </w:r>
      <w:r w:rsidRPr="003B75C7">
        <w:t>вого развития в регионе, а также способствовать осуществлению решений ко</w:t>
      </w:r>
      <w:r w:rsidRPr="003B75C7">
        <w:t>н</w:t>
      </w:r>
      <w:r w:rsidRPr="003B75C7">
        <w:t>ференций и встреч на региональном и глобальном уровнях в области охраны окружающей среды и устойчивого развития, в частности, повестки дня в области развития на период после 2015 года, включая достижение целей в области усто</w:t>
      </w:r>
      <w:r w:rsidRPr="003B75C7">
        <w:t>й</w:t>
      </w:r>
      <w:r w:rsidRPr="003B75C7">
        <w:t>чивого развития (ЦУР), в особенности целей 3, 4, 6, 11, 12</w:t>
      </w:r>
      <w:proofErr w:type="gramEnd"/>
      <w:r w:rsidRPr="003B75C7">
        <w:t>, 13, 16 и 17.</w:t>
      </w:r>
    </w:p>
    <w:p w:rsidR="003B75C7" w:rsidRPr="00CB6621" w:rsidRDefault="003B75C7" w:rsidP="003B75C7">
      <w:pPr>
        <w:pStyle w:val="SingleTxt"/>
      </w:pPr>
      <w:r>
        <w:t>11.</w:t>
      </w:r>
      <w:r w:rsidRPr="003B75C7">
        <w:tab/>
        <w:t>Поскольку Подпрограмма по окружающей среде касается одного из аспе</w:t>
      </w:r>
      <w:r w:rsidRPr="003B75C7">
        <w:t>к</w:t>
      </w:r>
      <w:r w:rsidRPr="003B75C7">
        <w:t>тов устойчивого развития, она будет вносить свой вклад в достижение всех ЦУР, в том числе посредством налаживания партнерских связей с другими соотве</w:t>
      </w:r>
      <w:r w:rsidRPr="003B75C7">
        <w:t>т</w:t>
      </w:r>
      <w:r w:rsidRPr="003B75C7">
        <w:t>ствующими организациями и учреждениями, действующими в областях, охв</w:t>
      </w:r>
      <w:r w:rsidRPr="003B75C7">
        <w:t>а</w:t>
      </w:r>
      <w:r w:rsidRPr="003B75C7">
        <w:t>ченных подпрограммой. Она будет также укреплять взаимодействие со всеми другими подпрограммами ЕЭК в соответствующих областях деятельности.</w:t>
      </w:r>
    </w:p>
    <w:p w:rsidR="003B75C7" w:rsidRPr="00CB6621" w:rsidRDefault="003B75C7" w:rsidP="003B75C7">
      <w:pPr>
        <w:pStyle w:val="SingleTxt"/>
        <w:spacing w:after="0" w:line="120" w:lineRule="exact"/>
        <w:rPr>
          <w:sz w:val="10"/>
        </w:rPr>
      </w:pPr>
    </w:p>
    <w:p w:rsidR="003B75C7" w:rsidRPr="00CB6621" w:rsidRDefault="003B75C7" w:rsidP="003B75C7">
      <w:pPr>
        <w:pStyle w:val="SingleTxt"/>
        <w:spacing w:after="0" w:line="120" w:lineRule="exact"/>
        <w:rPr>
          <w:sz w:val="10"/>
        </w:rPr>
      </w:pPr>
    </w:p>
    <w:p w:rsidR="003B75C7" w:rsidRPr="00CB6621" w:rsidRDefault="003B75C7" w:rsidP="003B75C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С.</w:t>
      </w:r>
      <w:r w:rsidRPr="003B75C7">
        <w:tab/>
        <w:t>Внешние факторы</w:t>
      </w:r>
    </w:p>
    <w:p w:rsidR="003B75C7" w:rsidRPr="00CB6621" w:rsidRDefault="003B75C7" w:rsidP="003B75C7">
      <w:pPr>
        <w:pStyle w:val="SingleTxt"/>
        <w:spacing w:after="0" w:line="120" w:lineRule="exact"/>
        <w:rPr>
          <w:sz w:val="10"/>
        </w:rPr>
      </w:pPr>
    </w:p>
    <w:p w:rsidR="003B75C7" w:rsidRPr="00CB6621" w:rsidRDefault="003B75C7" w:rsidP="003B75C7">
      <w:pPr>
        <w:pStyle w:val="SingleTxt"/>
        <w:spacing w:after="0" w:line="120" w:lineRule="exact"/>
        <w:rPr>
          <w:sz w:val="10"/>
        </w:rPr>
      </w:pPr>
    </w:p>
    <w:p w:rsidR="003B75C7" w:rsidRPr="00CB6621" w:rsidRDefault="003B75C7" w:rsidP="003B75C7">
      <w:pPr>
        <w:pStyle w:val="SingleTxt"/>
      </w:pPr>
      <w:r>
        <w:t>12.</w:t>
      </w:r>
      <w:r w:rsidRPr="003B75C7">
        <w:tab/>
        <w:t>Предполагается, что цель и ожидаемые достижения подпрограммы будут реализованы при условии, что на национальном уровне: а) будут иметься пол</w:t>
      </w:r>
      <w:r w:rsidRPr="003B75C7">
        <w:t>и</w:t>
      </w:r>
      <w:r w:rsidRPr="003B75C7">
        <w:t>тическая воля и достаточные возможности для обеспечения учета экологических соображений при разработке политики и для принятия национального законод</w:t>
      </w:r>
      <w:r w:rsidRPr="003B75C7">
        <w:t>а</w:t>
      </w:r>
      <w:r w:rsidRPr="003B75C7">
        <w:t>тельства, учитывающего положения многосторонних природоохранных соглаш</w:t>
      </w:r>
      <w:r w:rsidRPr="003B75C7">
        <w:t>е</w:t>
      </w:r>
      <w:r w:rsidRPr="003B75C7">
        <w:t>ний ЕЭК; b) будет обеспечиваться достаточное понимание экологических вопр</w:t>
      </w:r>
      <w:r w:rsidRPr="003B75C7">
        <w:t>о</w:t>
      </w:r>
      <w:r w:rsidRPr="003B75C7">
        <w:t>сов и активная поддержка проводимой национальной и региональной политики со стороны общественности; и с) глобальные, региональные или национальные экономические изменения не окажут существенного влияния на наличие ресу</w:t>
      </w:r>
      <w:r w:rsidRPr="003B75C7">
        <w:t>р</w:t>
      </w:r>
      <w:r w:rsidRPr="003B75C7">
        <w:t>сов.</w:t>
      </w:r>
    </w:p>
    <w:p w:rsidR="003B75C7" w:rsidRPr="003B75C7" w:rsidRDefault="003B75C7" w:rsidP="003B75C7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B75C7" w:rsidRPr="003B75C7" w:rsidSect="006A15E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CC" w:rsidRDefault="001A49CC" w:rsidP="008A1A7A">
      <w:pPr>
        <w:spacing w:line="240" w:lineRule="auto"/>
      </w:pPr>
      <w:r>
        <w:separator/>
      </w:r>
    </w:p>
  </w:endnote>
  <w:endnote w:type="continuationSeparator" w:id="0">
    <w:p w:rsidR="001A49CC" w:rsidRDefault="001A49C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A15EC" w:rsidTr="006A15E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A15EC" w:rsidRPr="006A15EC" w:rsidRDefault="006A15EC" w:rsidP="006A15E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7554B">
            <w:rPr>
              <w:noProof/>
            </w:rPr>
            <w:t>4</w:t>
          </w:r>
          <w:r>
            <w:fldChar w:fldCharType="end"/>
          </w:r>
          <w:r>
            <w:t>/</w:t>
          </w:r>
          <w:r w:rsidR="0077554B">
            <w:fldChar w:fldCharType="begin"/>
          </w:r>
          <w:r w:rsidR="0077554B">
            <w:instrText xml:space="preserve"> NUMPAGES  \* Arabic  \* MERGEFORMAT </w:instrText>
          </w:r>
          <w:r w:rsidR="0077554B">
            <w:fldChar w:fldCharType="separate"/>
          </w:r>
          <w:r w:rsidR="0077554B">
            <w:rPr>
              <w:noProof/>
            </w:rPr>
            <w:t>4</w:t>
          </w:r>
          <w:r w:rsidR="0077554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A15EC" w:rsidRPr="006A15EC" w:rsidRDefault="006A15EC" w:rsidP="006A15E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C7699">
            <w:rPr>
              <w:b w:val="0"/>
              <w:color w:val="000000"/>
              <w:sz w:val="14"/>
            </w:rPr>
            <w:t>GE.15-13993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A15EC" w:rsidRPr="006A15EC" w:rsidRDefault="006A15EC" w:rsidP="006A15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A15EC" w:rsidTr="006A15E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A15EC" w:rsidRPr="006A15EC" w:rsidRDefault="006A15EC" w:rsidP="006A15E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C7699">
            <w:rPr>
              <w:b w:val="0"/>
              <w:color w:val="000000"/>
              <w:sz w:val="14"/>
            </w:rPr>
            <w:t>GE.15-13993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A15EC" w:rsidRPr="006A15EC" w:rsidRDefault="006A15EC" w:rsidP="006A15E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7554B">
            <w:rPr>
              <w:noProof/>
            </w:rPr>
            <w:t>3</w:t>
          </w:r>
          <w:r>
            <w:fldChar w:fldCharType="end"/>
          </w:r>
          <w:r>
            <w:t>/</w:t>
          </w:r>
          <w:r w:rsidR="0077554B">
            <w:fldChar w:fldCharType="begin"/>
          </w:r>
          <w:r w:rsidR="0077554B">
            <w:instrText xml:space="preserve"> NUMPAGES  \* Arabic  \* MERGEFORMAT </w:instrText>
          </w:r>
          <w:r w:rsidR="0077554B">
            <w:fldChar w:fldCharType="separate"/>
          </w:r>
          <w:r w:rsidR="0077554B">
            <w:rPr>
              <w:noProof/>
            </w:rPr>
            <w:t>3</w:t>
          </w:r>
          <w:r w:rsidR="0077554B">
            <w:rPr>
              <w:noProof/>
            </w:rPr>
            <w:fldChar w:fldCharType="end"/>
          </w:r>
        </w:p>
      </w:tc>
    </w:tr>
  </w:tbl>
  <w:p w:rsidR="006A15EC" w:rsidRPr="006A15EC" w:rsidRDefault="006A15EC" w:rsidP="006A15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A15EC" w:rsidTr="006A15EC">
      <w:tc>
        <w:tcPr>
          <w:tcW w:w="3873" w:type="dxa"/>
        </w:tcPr>
        <w:p w:rsidR="006A15EC" w:rsidRDefault="006A15EC" w:rsidP="006A15E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74DE2E8" wp14:editId="4206A46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2015/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GE.15-13993 (R)</w:t>
          </w:r>
          <w:r>
            <w:rPr>
              <w:color w:val="010000"/>
            </w:rPr>
            <w:t xml:space="preserve">    280815    280815</w:t>
          </w:r>
        </w:p>
        <w:p w:rsidR="006A15EC" w:rsidRPr="006A15EC" w:rsidRDefault="006A15EC" w:rsidP="006A15E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*1513993*</w:t>
          </w:r>
        </w:p>
      </w:tc>
      <w:tc>
        <w:tcPr>
          <w:tcW w:w="5127" w:type="dxa"/>
        </w:tcPr>
        <w:p w:rsidR="006A15EC" w:rsidRDefault="006A15EC" w:rsidP="006A15E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3DE67F4" wp14:editId="5646AF4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15EC" w:rsidRPr="006A15EC" w:rsidRDefault="006A15EC" w:rsidP="006A15E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CC" w:rsidRPr="000255C9" w:rsidRDefault="000255C9" w:rsidP="000255C9">
      <w:pPr>
        <w:pStyle w:val="Footer"/>
        <w:spacing w:after="80"/>
        <w:ind w:left="792"/>
        <w:rPr>
          <w:sz w:val="16"/>
        </w:rPr>
      </w:pPr>
      <w:r w:rsidRPr="000255C9">
        <w:rPr>
          <w:sz w:val="16"/>
        </w:rPr>
        <w:t>__________________</w:t>
      </w:r>
    </w:p>
  </w:footnote>
  <w:footnote w:type="continuationSeparator" w:id="0">
    <w:p w:rsidR="001A49CC" w:rsidRPr="000255C9" w:rsidRDefault="000255C9" w:rsidP="000255C9">
      <w:pPr>
        <w:pStyle w:val="Footer"/>
        <w:spacing w:after="80"/>
        <w:ind w:left="792"/>
        <w:rPr>
          <w:sz w:val="16"/>
        </w:rPr>
      </w:pPr>
      <w:r w:rsidRPr="000255C9">
        <w:rPr>
          <w:sz w:val="16"/>
        </w:rPr>
        <w:t>__________________</w:t>
      </w:r>
    </w:p>
  </w:footnote>
  <w:footnote w:id="1">
    <w:p w:rsidR="000255C9" w:rsidRPr="000255C9" w:rsidRDefault="000255C9" w:rsidP="000255C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0255C9">
        <w:tab/>
        <w:t>См.</w:t>
      </w:r>
      <w:r w:rsidR="008E523E" w:rsidRPr="008E523E">
        <w:t xml:space="preserve"> </w:t>
      </w:r>
      <w:r w:rsidRPr="000255C9">
        <w:t>Портал людских ресурсов системы Организац</w:t>
      </w:r>
      <w:r>
        <w:t>ии Объединенных Наций по адресу</w:t>
      </w:r>
      <w:r w:rsidRPr="000255C9">
        <w:t xml:space="preserve"> </w:t>
      </w:r>
      <w:r w:rsidRPr="000255C9">
        <w:rPr>
          <w:lang w:val="en-US"/>
        </w:rPr>
        <w:t>https</w:t>
      </w:r>
      <w:r w:rsidRPr="000255C9">
        <w:t>://</w:t>
      </w:r>
      <w:proofErr w:type="spellStart"/>
      <w:r w:rsidRPr="000255C9">
        <w:rPr>
          <w:lang w:val="en-US"/>
        </w:rPr>
        <w:t>hr</w:t>
      </w:r>
      <w:proofErr w:type="spellEnd"/>
      <w:r w:rsidRPr="000255C9">
        <w:t>.</w:t>
      </w:r>
      <w:r w:rsidRPr="000255C9">
        <w:rPr>
          <w:lang w:val="en-US"/>
        </w:rPr>
        <w:t>un</w:t>
      </w:r>
      <w:r w:rsidRPr="000255C9">
        <w:t>.</w:t>
      </w:r>
      <w:r w:rsidRPr="000255C9">
        <w:rPr>
          <w:lang w:val="en-US"/>
        </w:rPr>
        <w:t>org</w:t>
      </w:r>
      <w:r w:rsidRPr="000255C9">
        <w:t>/</w:t>
      </w:r>
      <w:r w:rsidRPr="000255C9">
        <w:rPr>
          <w:lang w:val="en-US"/>
        </w:rPr>
        <w:t>content</w:t>
      </w:r>
      <w:r w:rsidRPr="000255C9">
        <w:t>/</w:t>
      </w:r>
      <w:r w:rsidRPr="000255C9">
        <w:rPr>
          <w:lang w:val="en-US"/>
        </w:rPr>
        <w:t>regulations</w:t>
      </w:r>
      <w:r w:rsidRPr="000255C9">
        <w:t>-</w:t>
      </w:r>
      <w:r w:rsidRPr="000255C9">
        <w:rPr>
          <w:lang w:val="en-US"/>
        </w:rPr>
        <w:t>and</w:t>
      </w:r>
      <w:r w:rsidRPr="000255C9">
        <w:t>-</w:t>
      </w:r>
      <w:r w:rsidRPr="000255C9">
        <w:rPr>
          <w:lang w:val="en-US"/>
        </w:rPr>
        <w:t>rules</w:t>
      </w:r>
      <w:r w:rsidRPr="000255C9">
        <w:t>-</w:t>
      </w:r>
      <w:r w:rsidRPr="000255C9">
        <w:rPr>
          <w:lang w:val="en-US"/>
        </w:rPr>
        <w:t>governing</w:t>
      </w:r>
      <w:r w:rsidRPr="000255C9">
        <w:t>-</w:t>
      </w:r>
      <w:r w:rsidRPr="000255C9">
        <w:rPr>
          <w:lang w:val="en-US"/>
        </w:rPr>
        <w:t>programme</w:t>
      </w:r>
      <w:r w:rsidRPr="000255C9">
        <w:t>-</w:t>
      </w:r>
      <w:r w:rsidRPr="000255C9">
        <w:rPr>
          <w:lang w:val="en-US"/>
        </w:rPr>
        <w:t>planning</w:t>
      </w:r>
      <w:r w:rsidRPr="000255C9">
        <w:t>-</w:t>
      </w:r>
      <w:r w:rsidRPr="000255C9">
        <w:rPr>
          <w:lang w:val="en-US"/>
        </w:rPr>
        <w:t>programme</w:t>
      </w:r>
      <w:r w:rsidRPr="000255C9">
        <w:t>-</w:t>
      </w:r>
      <w:r w:rsidRPr="000255C9">
        <w:rPr>
          <w:lang w:val="en-US"/>
        </w:rPr>
        <w:t>aspects</w:t>
      </w:r>
      <w:r w:rsidRPr="000255C9">
        <w:t>-</w:t>
      </w:r>
      <w:r w:rsidRPr="000255C9">
        <w:rPr>
          <w:lang w:val="en-US"/>
        </w:rPr>
        <w:t>budget</w:t>
      </w:r>
      <w:r w:rsidRPr="000255C9">
        <w:t>-</w:t>
      </w:r>
      <w:r w:rsidRPr="000255C9">
        <w:rPr>
          <w:lang w:val="en-US"/>
        </w:rPr>
        <w:t>monitoring</w:t>
      </w:r>
      <w:r w:rsidRPr="000255C9">
        <w:t>.</w:t>
      </w:r>
    </w:p>
  </w:footnote>
  <w:footnote w:id="2">
    <w:p w:rsidR="000255C9" w:rsidRPr="000255C9" w:rsidRDefault="000255C9" w:rsidP="000255C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0255C9">
        <w:tab/>
      </w:r>
      <w:r>
        <w:rPr>
          <w:rStyle w:val="FootnoteReference"/>
        </w:rPr>
        <w:footnoteRef/>
      </w:r>
      <w:r w:rsidRPr="000255C9">
        <w:tab/>
      </w:r>
      <w:r w:rsidR="00AE18DB">
        <w:t>См. веб-сайт ЕЭК ООН по адресу</w:t>
      </w:r>
      <w:r w:rsidRPr="000255C9">
        <w:t xml:space="preserve"> </w:t>
      </w:r>
      <w:r w:rsidRPr="000255C9">
        <w:rPr>
          <w:lang w:val="en-US"/>
        </w:rPr>
        <w:t>www</w:t>
      </w:r>
      <w:r w:rsidRPr="000255C9">
        <w:t>.</w:t>
      </w:r>
      <w:proofErr w:type="spellStart"/>
      <w:r w:rsidRPr="000255C9">
        <w:rPr>
          <w:lang w:val="en-US"/>
        </w:rPr>
        <w:t>unece</w:t>
      </w:r>
      <w:proofErr w:type="spellEnd"/>
      <w:r w:rsidRPr="000255C9">
        <w:t>.</w:t>
      </w:r>
      <w:r w:rsidRPr="000255C9">
        <w:rPr>
          <w:lang w:val="en-US"/>
        </w:rPr>
        <w:t>org</w:t>
      </w:r>
      <w:r w:rsidRPr="000255C9">
        <w:t>/</w:t>
      </w:r>
      <w:r w:rsidRPr="000255C9">
        <w:rPr>
          <w:lang w:val="en-US"/>
        </w:rPr>
        <w:t>index</w:t>
      </w:r>
      <w:r w:rsidRPr="000255C9">
        <w:t>.</w:t>
      </w:r>
      <w:proofErr w:type="spellStart"/>
      <w:r w:rsidRPr="000255C9">
        <w:rPr>
          <w:lang w:val="en-US"/>
        </w:rPr>
        <w:t>php</w:t>
      </w:r>
      <w:proofErr w:type="spellEnd"/>
      <w:r w:rsidRPr="000255C9">
        <w:t>?</w:t>
      </w:r>
      <w:r w:rsidRPr="000255C9">
        <w:rPr>
          <w:lang w:val="en-US"/>
        </w:rPr>
        <w:t>id</w:t>
      </w:r>
      <w:r w:rsidRPr="000255C9">
        <w:t>=32257.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A15EC" w:rsidTr="006A15E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A15EC" w:rsidRPr="006A15EC" w:rsidRDefault="006A15EC" w:rsidP="006A15E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C7699">
            <w:rPr>
              <w:b/>
            </w:rPr>
            <w:t>ECE/CEP/2015/7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A15EC" w:rsidRDefault="006A15EC" w:rsidP="006A15EC">
          <w:pPr>
            <w:pStyle w:val="Header"/>
          </w:pPr>
        </w:p>
      </w:tc>
    </w:tr>
  </w:tbl>
  <w:p w:rsidR="006A15EC" w:rsidRPr="006A15EC" w:rsidRDefault="006A15EC" w:rsidP="006A1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A15EC" w:rsidTr="006A15E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A15EC" w:rsidRDefault="006A15EC" w:rsidP="006A15E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A15EC" w:rsidRPr="006A15EC" w:rsidRDefault="006A15EC" w:rsidP="006A15E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C7699">
            <w:rPr>
              <w:b/>
            </w:rPr>
            <w:t>ECE/CEP/2015/7</w:t>
          </w:r>
          <w:r>
            <w:rPr>
              <w:b/>
            </w:rPr>
            <w:fldChar w:fldCharType="end"/>
          </w:r>
        </w:p>
      </w:tc>
    </w:tr>
  </w:tbl>
  <w:p w:rsidR="006A15EC" w:rsidRPr="006A15EC" w:rsidRDefault="006A15EC" w:rsidP="006A15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A15EC" w:rsidTr="006A15E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A15EC" w:rsidRPr="006A15EC" w:rsidRDefault="006A15EC" w:rsidP="006A15E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A15EC" w:rsidRDefault="006A15EC" w:rsidP="006A15E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A15EC" w:rsidRPr="006A15EC" w:rsidRDefault="006A15EC" w:rsidP="006A15E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/CEP/2015/7</w:t>
          </w:r>
        </w:p>
      </w:tc>
    </w:tr>
    <w:tr w:rsidR="006A15EC" w:rsidRPr="0077554B" w:rsidTr="006A15E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A15EC" w:rsidRPr="006A15EC" w:rsidRDefault="006A15EC" w:rsidP="006A15E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54F6AF7" wp14:editId="02C76A8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A15EC" w:rsidRPr="006A15EC" w:rsidRDefault="006A15EC" w:rsidP="006A15E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A15EC" w:rsidRPr="006A15EC" w:rsidRDefault="006A15EC" w:rsidP="006A15E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A15EC" w:rsidRPr="00613639" w:rsidRDefault="006A15EC" w:rsidP="006A15EC">
          <w:pPr>
            <w:pStyle w:val="Distribution"/>
            <w:rPr>
              <w:color w:val="000000"/>
              <w:lang w:val="en-US"/>
            </w:rPr>
          </w:pPr>
          <w:r w:rsidRPr="00613639">
            <w:rPr>
              <w:color w:val="000000"/>
              <w:lang w:val="en-US"/>
            </w:rPr>
            <w:t>Distr.: General</w:t>
          </w:r>
        </w:p>
        <w:p w:rsidR="006A15EC" w:rsidRPr="00613639" w:rsidRDefault="006A15EC" w:rsidP="006A15EC">
          <w:pPr>
            <w:pStyle w:val="Publication"/>
            <w:rPr>
              <w:color w:val="000000"/>
              <w:lang w:val="en-US"/>
            </w:rPr>
          </w:pPr>
          <w:r w:rsidRPr="00613639">
            <w:rPr>
              <w:color w:val="000000"/>
              <w:lang w:val="en-US"/>
            </w:rPr>
            <w:t>18 August 2015</w:t>
          </w:r>
        </w:p>
        <w:p w:rsidR="006A15EC" w:rsidRPr="00613639" w:rsidRDefault="006A15EC" w:rsidP="006A15EC">
          <w:pPr>
            <w:rPr>
              <w:color w:val="000000"/>
              <w:lang w:val="en-US"/>
            </w:rPr>
          </w:pPr>
          <w:r w:rsidRPr="00613639">
            <w:rPr>
              <w:color w:val="000000"/>
              <w:lang w:val="en-US"/>
            </w:rPr>
            <w:t>Russian</w:t>
          </w:r>
        </w:p>
        <w:p w:rsidR="006A15EC" w:rsidRPr="00613639" w:rsidRDefault="006A15EC" w:rsidP="006A15EC">
          <w:pPr>
            <w:pStyle w:val="Original"/>
            <w:rPr>
              <w:color w:val="000000"/>
              <w:lang w:val="en-US"/>
            </w:rPr>
          </w:pPr>
          <w:r w:rsidRPr="00613639">
            <w:rPr>
              <w:color w:val="000000"/>
              <w:lang w:val="en-US"/>
            </w:rPr>
            <w:t>Original: English</w:t>
          </w:r>
        </w:p>
        <w:p w:rsidR="006A15EC" w:rsidRPr="00613639" w:rsidRDefault="006A15EC" w:rsidP="006A15EC">
          <w:pPr>
            <w:rPr>
              <w:lang w:val="en-US"/>
            </w:rPr>
          </w:pPr>
        </w:p>
      </w:tc>
    </w:tr>
  </w:tbl>
  <w:p w:rsidR="006A15EC" w:rsidRPr="00613639" w:rsidRDefault="006A15EC" w:rsidP="006A15E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993*"/>
    <w:docVar w:name="CreationDt" w:val="8/28/2015 3:22: PM"/>
    <w:docVar w:name="DocCategory" w:val="Doc"/>
    <w:docVar w:name="DocType" w:val="Final"/>
    <w:docVar w:name="DutyStation" w:val="Geneva"/>
    <w:docVar w:name="FooterJN" w:val="GE.15-13993"/>
    <w:docVar w:name="jobn" w:val="GE.15-13993 (R)"/>
    <w:docVar w:name="jobnDT" w:val="GE.15-13993 (R)   280815"/>
    <w:docVar w:name="jobnDTDT" w:val="GE.15-13993 (R)   280815   280815"/>
    <w:docVar w:name="JobNo" w:val="GE.1513993R"/>
    <w:docVar w:name="JobNo2" w:val="1518459R"/>
    <w:docVar w:name="LocalDrive" w:val="0"/>
    <w:docVar w:name="OandT" w:val="U.A."/>
    <w:docVar w:name="PaperSize" w:val="A4"/>
    <w:docVar w:name="sss1" w:val="ECE/CEP/2015/7"/>
    <w:docVar w:name="sss2" w:val="-"/>
    <w:docVar w:name="Symbol1" w:val="ECE/CEP/2015/7"/>
    <w:docVar w:name="Symbol2" w:val="-"/>
  </w:docVars>
  <w:rsids>
    <w:rsidRoot w:val="001A49CC"/>
    <w:rsid w:val="00004615"/>
    <w:rsid w:val="00004756"/>
    <w:rsid w:val="00013E03"/>
    <w:rsid w:val="00015201"/>
    <w:rsid w:val="00024A67"/>
    <w:rsid w:val="000255C9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05C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49CC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4A6A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31C0"/>
    <w:rsid w:val="00384AEE"/>
    <w:rsid w:val="0038527A"/>
    <w:rsid w:val="00391367"/>
    <w:rsid w:val="0039505F"/>
    <w:rsid w:val="003A150E"/>
    <w:rsid w:val="003A2730"/>
    <w:rsid w:val="003B16B4"/>
    <w:rsid w:val="003B5A03"/>
    <w:rsid w:val="003B75C7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FA1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3639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5EC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385A"/>
    <w:rsid w:val="006D58BE"/>
    <w:rsid w:val="006E1418"/>
    <w:rsid w:val="006F3683"/>
    <w:rsid w:val="00700738"/>
    <w:rsid w:val="00705549"/>
    <w:rsid w:val="0071210D"/>
    <w:rsid w:val="00714731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554B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646F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523E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51AD"/>
    <w:rsid w:val="00A269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E18DB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26231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B6621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0582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C7699"/>
    <w:rsid w:val="00FD213B"/>
    <w:rsid w:val="00FD3CE8"/>
    <w:rsid w:val="00FD5B91"/>
    <w:rsid w:val="00FD7513"/>
    <w:rsid w:val="00FE0340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A1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5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5E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5E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85">
    <w:name w:val="8.5"/>
    <w:basedOn w:val="Normal"/>
    <w:rsid w:val="00FE0340"/>
    <w:pPr>
      <w:tabs>
        <w:tab w:val="left" w:pos="280"/>
      </w:tabs>
      <w:spacing w:before="40" w:after="120" w:line="220" w:lineRule="exact"/>
      <w:ind w:right="113"/>
    </w:pPr>
    <w:rPr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4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A1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5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5E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5E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85">
    <w:name w:val="8.5"/>
    <w:basedOn w:val="Normal"/>
    <w:rsid w:val="00FE0340"/>
    <w:pPr>
      <w:tabs>
        <w:tab w:val="left" w:pos="280"/>
      </w:tabs>
      <w:spacing w:before="40" w:after="120" w:line="220" w:lineRule="exact"/>
      <w:ind w:right="113"/>
    </w:pPr>
    <w:rPr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4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744D-76CE-4035-8E2C-4C09C5BD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sochirca</cp:lastModifiedBy>
  <cp:revision>4</cp:revision>
  <cp:lastPrinted>2015-08-28T15:04:00Z</cp:lastPrinted>
  <dcterms:created xsi:type="dcterms:W3CDTF">2015-08-28T15:04:00Z</dcterms:created>
  <dcterms:modified xsi:type="dcterms:W3CDTF">2015-10-21T17:16:00Z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1513993R</vt:lpwstr>
  </property>
  <property fmtid="{D5CDD505-2E9C-101B-9397-08002B2CF9AE}" pid="3" name="ODSRefJobNo">
    <vt:lpwstr>1518459R</vt:lpwstr>
  </property>
  <property fmtid="{D5CDD505-2E9C-101B-9397-08002B2CF9AE}" pid="4" name="Symbol1">
    <vt:lpwstr>ECE/CEP/2015/7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August 2015</vt:lpwstr>
  </property>
  <property fmtid="{D5CDD505-2E9C-101B-9397-08002B2CF9AE}" pid="12" name="Original">
    <vt:lpwstr>English</vt:lpwstr>
  </property>
  <property fmtid="{D5CDD505-2E9C-101B-9397-08002B2CF9AE}" pid="13" name="Release Date">
    <vt:lpwstr>280815</vt:lpwstr>
  </property>
</Properties>
</file>