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40C54" w:rsidTr="009E6CB7">
        <w:trPr>
          <w:cantSplit/>
          <w:trHeight w:hRule="exact" w:val="851"/>
        </w:trPr>
        <w:tc>
          <w:tcPr>
            <w:tcW w:w="1276" w:type="dxa"/>
            <w:tcBorders>
              <w:bottom w:val="single" w:sz="4" w:space="0" w:color="auto"/>
            </w:tcBorders>
            <w:vAlign w:val="bottom"/>
          </w:tcPr>
          <w:p w:rsidR="009E6CB7" w:rsidRPr="002F476A" w:rsidRDefault="009E6CB7" w:rsidP="002F476A">
            <w:pPr>
              <w:spacing w:line="20" w:lineRule="exact"/>
              <w:rPr>
                <w:sz w:val="2"/>
              </w:rPr>
            </w:pPr>
            <w:bookmarkStart w:id="0" w:name="_GoBack"/>
            <w:bookmarkEnd w:id="0"/>
          </w:p>
          <w:p w:rsidR="002F476A" w:rsidRPr="00240C54" w:rsidRDefault="002F476A" w:rsidP="009E6CB7">
            <w:pPr>
              <w:spacing w:after="80"/>
            </w:pPr>
          </w:p>
        </w:tc>
        <w:tc>
          <w:tcPr>
            <w:tcW w:w="2268" w:type="dxa"/>
            <w:tcBorders>
              <w:bottom w:val="single" w:sz="4" w:space="0" w:color="auto"/>
            </w:tcBorders>
            <w:vAlign w:val="bottom"/>
          </w:tcPr>
          <w:p w:rsidR="009E6CB7" w:rsidRPr="00240C54" w:rsidRDefault="009E6CB7" w:rsidP="009E6CB7">
            <w:pPr>
              <w:spacing w:after="80" w:line="300" w:lineRule="exact"/>
              <w:rPr>
                <w:b/>
                <w:sz w:val="24"/>
                <w:szCs w:val="24"/>
              </w:rPr>
            </w:pPr>
            <w:r w:rsidRPr="00240C54">
              <w:rPr>
                <w:sz w:val="28"/>
                <w:szCs w:val="28"/>
              </w:rPr>
              <w:t>United Nations</w:t>
            </w:r>
          </w:p>
        </w:tc>
        <w:tc>
          <w:tcPr>
            <w:tcW w:w="6095" w:type="dxa"/>
            <w:gridSpan w:val="2"/>
            <w:tcBorders>
              <w:bottom w:val="single" w:sz="4" w:space="0" w:color="auto"/>
            </w:tcBorders>
            <w:vAlign w:val="bottom"/>
          </w:tcPr>
          <w:p w:rsidR="009E6CB7" w:rsidRPr="00240C54" w:rsidRDefault="002F7A29" w:rsidP="00293ACE">
            <w:pPr>
              <w:jc w:val="right"/>
            </w:pPr>
            <w:r w:rsidRPr="00240C54">
              <w:rPr>
                <w:sz w:val="40"/>
              </w:rPr>
              <w:t>ECE</w:t>
            </w:r>
            <w:r w:rsidRPr="00240C54">
              <w:t>/CEP/201</w:t>
            </w:r>
            <w:r w:rsidR="00293ACE" w:rsidRPr="00240C54">
              <w:t>5</w:t>
            </w:r>
            <w:r w:rsidRPr="00240C54">
              <w:t>/7</w:t>
            </w:r>
          </w:p>
        </w:tc>
      </w:tr>
      <w:tr w:rsidR="009E6CB7" w:rsidRPr="00240C54" w:rsidTr="009E6CB7">
        <w:trPr>
          <w:cantSplit/>
          <w:trHeight w:hRule="exact" w:val="2835"/>
        </w:trPr>
        <w:tc>
          <w:tcPr>
            <w:tcW w:w="1276" w:type="dxa"/>
            <w:tcBorders>
              <w:top w:val="single" w:sz="4" w:space="0" w:color="auto"/>
              <w:bottom w:val="single" w:sz="12" w:space="0" w:color="auto"/>
            </w:tcBorders>
          </w:tcPr>
          <w:p w:rsidR="009E6CB7" w:rsidRPr="00240C54" w:rsidRDefault="00BC7F91" w:rsidP="009E6CB7">
            <w:pPr>
              <w:spacing w:before="120"/>
            </w:pPr>
            <w:r w:rsidRPr="00240C54">
              <w:rPr>
                <w:noProof/>
                <w:lang w:eastAsia="en-GB"/>
              </w:rPr>
              <w:drawing>
                <wp:inline distT="0" distB="0" distL="0" distR="0" wp14:anchorId="7C5D456B" wp14:editId="213D214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240C54" w:rsidRDefault="009E6CB7" w:rsidP="009E6CB7">
            <w:pPr>
              <w:spacing w:before="120" w:line="420" w:lineRule="exact"/>
              <w:rPr>
                <w:sz w:val="40"/>
                <w:szCs w:val="40"/>
              </w:rPr>
            </w:pPr>
            <w:r w:rsidRPr="00240C54">
              <w:rPr>
                <w:b/>
                <w:sz w:val="40"/>
                <w:szCs w:val="40"/>
              </w:rPr>
              <w:t>Economic and Social Council</w:t>
            </w:r>
          </w:p>
        </w:tc>
        <w:tc>
          <w:tcPr>
            <w:tcW w:w="2835" w:type="dxa"/>
            <w:tcBorders>
              <w:top w:val="single" w:sz="4" w:space="0" w:color="auto"/>
              <w:bottom w:val="single" w:sz="12" w:space="0" w:color="auto"/>
            </w:tcBorders>
          </w:tcPr>
          <w:p w:rsidR="009E6CB7" w:rsidRPr="00240C54" w:rsidRDefault="002F7A29" w:rsidP="002F7A29">
            <w:pPr>
              <w:spacing w:before="240" w:line="240" w:lineRule="exact"/>
            </w:pPr>
            <w:r w:rsidRPr="00240C54">
              <w:t>Distr.: General</w:t>
            </w:r>
          </w:p>
          <w:p w:rsidR="002F7A29" w:rsidRPr="00240C54" w:rsidRDefault="009B2AD5" w:rsidP="002F7A29">
            <w:pPr>
              <w:spacing w:line="240" w:lineRule="exact"/>
            </w:pPr>
            <w:r>
              <w:t>18</w:t>
            </w:r>
            <w:r w:rsidRPr="00240C54">
              <w:t xml:space="preserve"> </w:t>
            </w:r>
            <w:r w:rsidR="002F7A29" w:rsidRPr="00240C54">
              <w:t>August 2015</w:t>
            </w:r>
          </w:p>
          <w:p w:rsidR="002F7A29" w:rsidRPr="00240C54" w:rsidRDefault="002F7A29" w:rsidP="002F7A29">
            <w:pPr>
              <w:spacing w:line="240" w:lineRule="exact"/>
            </w:pPr>
          </w:p>
          <w:p w:rsidR="002F7A29" w:rsidRPr="00240C54" w:rsidRDefault="002F7A29" w:rsidP="002F7A29">
            <w:pPr>
              <w:spacing w:line="240" w:lineRule="exact"/>
            </w:pPr>
            <w:r w:rsidRPr="00240C54">
              <w:t>Original: English</w:t>
            </w:r>
          </w:p>
        </w:tc>
      </w:tr>
    </w:tbl>
    <w:p w:rsidR="002F7A29" w:rsidRPr="00240C54" w:rsidRDefault="002F7A29" w:rsidP="002F7A29">
      <w:pPr>
        <w:spacing w:before="120"/>
        <w:rPr>
          <w:b/>
          <w:sz w:val="28"/>
          <w:szCs w:val="28"/>
        </w:rPr>
      </w:pPr>
      <w:r w:rsidRPr="00240C54">
        <w:rPr>
          <w:b/>
          <w:sz w:val="28"/>
          <w:szCs w:val="28"/>
        </w:rPr>
        <w:t>Economic Commission for Europe</w:t>
      </w:r>
    </w:p>
    <w:p w:rsidR="002F7A29" w:rsidRPr="00240C54" w:rsidRDefault="002F7A29" w:rsidP="002F7A29">
      <w:pPr>
        <w:spacing w:before="120"/>
        <w:rPr>
          <w:bCs/>
          <w:sz w:val="28"/>
          <w:szCs w:val="28"/>
        </w:rPr>
      </w:pPr>
      <w:r w:rsidRPr="00240C54">
        <w:rPr>
          <w:bCs/>
          <w:sz w:val="28"/>
          <w:szCs w:val="28"/>
        </w:rPr>
        <w:t>Committee on Environmental Policy</w:t>
      </w:r>
    </w:p>
    <w:p w:rsidR="002F7A29" w:rsidRPr="00240C54" w:rsidRDefault="002F7A29" w:rsidP="002F7A29">
      <w:pPr>
        <w:spacing w:before="120"/>
        <w:rPr>
          <w:b/>
        </w:rPr>
      </w:pPr>
      <w:r w:rsidRPr="00240C54">
        <w:rPr>
          <w:b/>
        </w:rPr>
        <w:t xml:space="preserve">Twenty-first </w:t>
      </w:r>
      <w:proofErr w:type="gramStart"/>
      <w:r w:rsidRPr="00240C54">
        <w:rPr>
          <w:b/>
        </w:rPr>
        <w:t>session</w:t>
      </w:r>
      <w:proofErr w:type="gramEnd"/>
    </w:p>
    <w:p w:rsidR="002F7A29" w:rsidRPr="00240C54" w:rsidRDefault="002F7A29" w:rsidP="002F7A29">
      <w:pPr>
        <w:spacing w:line="264" w:lineRule="auto"/>
      </w:pPr>
      <w:r w:rsidRPr="00240C54">
        <w:t>Geneva, 27–30 October 2015</w:t>
      </w:r>
    </w:p>
    <w:p w:rsidR="002F7A29" w:rsidRPr="00240C54" w:rsidRDefault="002F7A29" w:rsidP="002F7A29">
      <w:pPr>
        <w:spacing w:line="264" w:lineRule="auto"/>
      </w:pPr>
      <w:r w:rsidRPr="00240C54">
        <w:t>Item 8 (e) of the provisional agenda</w:t>
      </w:r>
    </w:p>
    <w:p w:rsidR="002F7A29" w:rsidRPr="00240C54" w:rsidRDefault="002F7A29" w:rsidP="002F7A29">
      <w:pPr>
        <w:rPr>
          <w:b/>
        </w:rPr>
      </w:pPr>
      <w:r w:rsidRPr="00240C54">
        <w:rPr>
          <w:b/>
        </w:rPr>
        <w:t xml:space="preserve">Programme of work of the Environment subprogramme: </w:t>
      </w:r>
      <w:r w:rsidRPr="00240C54">
        <w:rPr>
          <w:b/>
        </w:rPr>
        <w:br/>
        <w:t xml:space="preserve">proposed strategic framework </w:t>
      </w:r>
      <w:r w:rsidR="002154B7" w:rsidRPr="00240C54">
        <w:rPr>
          <w:b/>
        </w:rPr>
        <w:t>of</w:t>
      </w:r>
      <w:r w:rsidRPr="00240C54">
        <w:rPr>
          <w:b/>
        </w:rPr>
        <w:t xml:space="preserve"> the Environment </w:t>
      </w:r>
      <w:r w:rsidRPr="00240C54">
        <w:rPr>
          <w:b/>
        </w:rPr>
        <w:br/>
        <w:t>subprogramme for 2018–2019</w:t>
      </w:r>
    </w:p>
    <w:p w:rsidR="002F7A29" w:rsidRPr="00240C54" w:rsidRDefault="002F7A29" w:rsidP="009557F7">
      <w:pPr>
        <w:pStyle w:val="HChG"/>
      </w:pPr>
      <w:r w:rsidRPr="00240C54">
        <w:tab/>
      </w:r>
      <w:r w:rsidRPr="00240C54">
        <w:tab/>
        <w:t>Draft proposed strategic framework of the Environment subprogramme for 2018</w:t>
      </w:r>
      <w:r w:rsidR="0083366B" w:rsidRPr="00240C54">
        <w:t>–</w:t>
      </w:r>
      <w:r w:rsidRPr="00240C54">
        <w:t>2019</w:t>
      </w:r>
    </w:p>
    <w:p w:rsidR="002F7A29" w:rsidRPr="00240C54" w:rsidRDefault="002F7A29" w:rsidP="009557F7">
      <w:pPr>
        <w:pStyle w:val="H1G"/>
      </w:pPr>
      <w:r w:rsidRPr="00240C54">
        <w:tab/>
      </w:r>
      <w:r w:rsidRPr="00240C54">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557F7" w:rsidRPr="00240C54" w:rsidTr="009557F7">
        <w:trPr>
          <w:jc w:val="center"/>
        </w:trPr>
        <w:tc>
          <w:tcPr>
            <w:tcW w:w="9637" w:type="dxa"/>
            <w:shd w:val="clear" w:color="auto" w:fill="auto"/>
          </w:tcPr>
          <w:p w:rsidR="009557F7" w:rsidRPr="00240C54" w:rsidRDefault="009557F7" w:rsidP="009557F7">
            <w:pPr>
              <w:spacing w:before="240" w:after="120"/>
              <w:ind w:left="255"/>
              <w:rPr>
                <w:i/>
                <w:sz w:val="24"/>
              </w:rPr>
            </w:pPr>
            <w:r w:rsidRPr="00240C54">
              <w:rPr>
                <w:i/>
                <w:sz w:val="24"/>
              </w:rPr>
              <w:t>Summary</w:t>
            </w:r>
          </w:p>
        </w:tc>
      </w:tr>
      <w:tr w:rsidR="009557F7" w:rsidRPr="00240C54" w:rsidTr="009557F7">
        <w:trPr>
          <w:jc w:val="center"/>
        </w:trPr>
        <w:tc>
          <w:tcPr>
            <w:tcW w:w="9637" w:type="dxa"/>
            <w:shd w:val="clear" w:color="auto" w:fill="auto"/>
          </w:tcPr>
          <w:p w:rsidR="009557F7" w:rsidRPr="00240C54" w:rsidRDefault="009557F7" w:rsidP="009557F7">
            <w:pPr>
              <w:pStyle w:val="SingleTxtG"/>
            </w:pPr>
            <w:r w:rsidRPr="00240C54">
              <w:tab/>
              <w:t xml:space="preserve">The Strategic Framework </w:t>
            </w:r>
            <w:r w:rsidR="004C2D57">
              <w:t xml:space="preserve">for the United Nations </w:t>
            </w:r>
            <w:r w:rsidRPr="00240C54">
              <w:t xml:space="preserve">is prepared </w:t>
            </w:r>
            <w:r w:rsidR="004C2D57">
              <w:t xml:space="preserve">on a biennial basis </w:t>
            </w:r>
            <w:r w:rsidRPr="00240C54">
              <w:t xml:space="preserve">in accordance with </w:t>
            </w:r>
            <w:r w:rsidR="004C2D57">
              <w:t xml:space="preserve">the </w:t>
            </w:r>
            <w:r w:rsidRPr="00240C54">
              <w:t>Regulations and Rules Governing Programme Planning, the Programme Aspects of the Budget, the Monitoring of Implementation and the Methods of Evaluation (ST/SGB/2000/8).</w:t>
            </w:r>
          </w:p>
          <w:p w:rsidR="009557F7" w:rsidRPr="00240C54" w:rsidRDefault="009557F7" w:rsidP="009557F7">
            <w:pPr>
              <w:pStyle w:val="SingleTxtG"/>
            </w:pPr>
            <w:r w:rsidRPr="00240C54">
              <w:tab/>
              <w:t xml:space="preserve">The present document contains </w:t>
            </w:r>
            <w:r w:rsidR="00964EBA">
              <w:t xml:space="preserve">a </w:t>
            </w:r>
            <w:r w:rsidR="00787A82">
              <w:t>d</w:t>
            </w:r>
            <w:r w:rsidRPr="00240C54">
              <w:t xml:space="preserve">raft </w:t>
            </w:r>
            <w:r w:rsidR="00964EBA">
              <w:t xml:space="preserve">of the proposed </w:t>
            </w:r>
            <w:r w:rsidR="00787A82">
              <w:t>s</w:t>
            </w:r>
            <w:r w:rsidRPr="00240C54">
              <w:t xml:space="preserve">trategic </w:t>
            </w:r>
            <w:r w:rsidR="00787A82">
              <w:t>f</w:t>
            </w:r>
            <w:r w:rsidRPr="00240C54">
              <w:t xml:space="preserve">ramework </w:t>
            </w:r>
            <w:r w:rsidR="00787A82">
              <w:t xml:space="preserve">of </w:t>
            </w:r>
            <w:r w:rsidRPr="00240C54">
              <w:t xml:space="preserve">the Environment subprogramme for 2018–2019, as a component part of the </w:t>
            </w:r>
            <w:r w:rsidR="002A4A6D">
              <w:t>United Nations Economic Commission for Europe (</w:t>
            </w:r>
            <w:r w:rsidRPr="00240C54">
              <w:t>ECE</w:t>
            </w:r>
            <w:r w:rsidR="002A4A6D">
              <w:t xml:space="preserve">) </w:t>
            </w:r>
            <w:r w:rsidRPr="00240C54">
              <w:t xml:space="preserve">Strategic Framework for </w:t>
            </w:r>
            <w:r w:rsidR="004C2D57">
              <w:t>that period</w:t>
            </w:r>
            <w:r w:rsidRPr="00240C54">
              <w:t xml:space="preserve">. The draft </w:t>
            </w:r>
            <w:r w:rsidR="00964EBA">
              <w:t xml:space="preserve">is being submitted for the </w:t>
            </w:r>
            <w:r w:rsidRPr="00240C54">
              <w:t>consider</w:t>
            </w:r>
            <w:r w:rsidR="00964EBA">
              <w:t>ation</w:t>
            </w:r>
            <w:r w:rsidRPr="00240C54">
              <w:t xml:space="preserve"> </w:t>
            </w:r>
            <w:r w:rsidR="00964EBA">
              <w:t xml:space="preserve">of </w:t>
            </w:r>
            <w:r w:rsidRPr="00240C54">
              <w:t>the Committee on Environmental Policy (CEP) and subsequent</w:t>
            </w:r>
            <w:r w:rsidR="00964EBA">
              <w:t xml:space="preserve"> forwarding to </w:t>
            </w:r>
            <w:r w:rsidRPr="00240C54">
              <w:t>the ECE Executive Committee</w:t>
            </w:r>
            <w:r w:rsidR="00964EBA">
              <w:t xml:space="preserve"> for </w:t>
            </w:r>
            <w:r w:rsidR="002A78E1">
              <w:t>further consideration</w:t>
            </w:r>
            <w:r w:rsidRPr="00240C54">
              <w:t xml:space="preserve">. </w:t>
            </w:r>
            <w:r w:rsidR="00964EBA">
              <w:t xml:space="preserve">A </w:t>
            </w:r>
            <w:r w:rsidRPr="00240C54">
              <w:t>final draft will be submitted to the United Nations General Assembly for adoption at its seventy-first session</w:t>
            </w:r>
            <w:r w:rsidR="00A40114" w:rsidRPr="00240C54">
              <w:t>.</w:t>
            </w:r>
          </w:p>
          <w:p w:rsidR="009557F7" w:rsidRPr="00240C54" w:rsidRDefault="009557F7" w:rsidP="009557F7">
            <w:pPr>
              <w:pStyle w:val="SingleTxtG"/>
            </w:pPr>
            <w:r w:rsidRPr="00240C54">
              <w:tab/>
              <w:t>CEP will be invited to consider the document at its twenty-first session with a view to provide recommendations</w:t>
            </w:r>
            <w:r w:rsidR="00964EBA">
              <w:t>,</w:t>
            </w:r>
            <w:r w:rsidRPr="00240C54">
              <w:t xml:space="preserve"> as appropriate.</w:t>
            </w:r>
          </w:p>
        </w:tc>
      </w:tr>
      <w:tr w:rsidR="009557F7" w:rsidRPr="00240C54" w:rsidTr="009557F7">
        <w:trPr>
          <w:jc w:val="center"/>
        </w:trPr>
        <w:tc>
          <w:tcPr>
            <w:tcW w:w="9637" w:type="dxa"/>
            <w:shd w:val="clear" w:color="auto" w:fill="auto"/>
          </w:tcPr>
          <w:p w:rsidR="009557F7" w:rsidRPr="00240C54" w:rsidRDefault="009557F7" w:rsidP="009557F7"/>
        </w:tc>
      </w:tr>
    </w:tbl>
    <w:p w:rsidR="002F7A29" w:rsidRPr="00240C54" w:rsidRDefault="002F7A29" w:rsidP="002F7A29">
      <w:pPr>
        <w:spacing w:line="20" w:lineRule="exact"/>
      </w:pPr>
      <w:r w:rsidRPr="00240C54">
        <w:br w:type="page"/>
      </w:r>
    </w:p>
    <w:p w:rsidR="002F7A29" w:rsidRPr="00240C54" w:rsidRDefault="002F7A29" w:rsidP="00A40114">
      <w:pPr>
        <w:pStyle w:val="HChG"/>
      </w:pPr>
      <w:r w:rsidRPr="00240C54">
        <w:lastRenderedPageBreak/>
        <w:tab/>
        <w:t>I.</w:t>
      </w:r>
      <w:r w:rsidRPr="00240C54">
        <w:tab/>
        <w:t>Background</w:t>
      </w:r>
    </w:p>
    <w:p w:rsidR="002F7A29" w:rsidRPr="00240C54" w:rsidRDefault="002F7A29" w:rsidP="002F7A29">
      <w:pPr>
        <w:pStyle w:val="SingleTxtG"/>
      </w:pPr>
      <w:r w:rsidRPr="00240C54">
        <w:t>1.</w:t>
      </w:r>
      <w:r w:rsidRPr="00240C54">
        <w:tab/>
        <w:t xml:space="preserve">The Strategic Framework </w:t>
      </w:r>
      <w:r w:rsidR="00AE044B">
        <w:t xml:space="preserve">of the United Nations — </w:t>
      </w:r>
      <w:r w:rsidR="00AE044B" w:rsidRPr="00240C54">
        <w:t xml:space="preserve">the principal policy directive of the </w:t>
      </w:r>
      <w:r w:rsidR="00AE044B">
        <w:t xml:space="preserve">Organization — </w:t>
      </w:r>
      <w:r w:rsidR="00AE044B" w:rsidRPr="00240C54">
        <w:t>is prepared in accordance with the Regulations and Rules Governing Programme Planning, the Programme Aspects of the Budget, the Monitoring of Implementation and the Methods of Evaluation (ST/SGB/200/8).</w:t>
      </w:r>
      <w:r w:rsidR="00AE044B" w:rsidRPr="00240C54">
        <w:rPr>
          <w:rStyle w:val="FootnoteReference"/>
        </w:rPr>
        <w:footnoteReference w:id="2"/>
      </w:r>
      <w:r w:rsidR="00AE044B">
        <w:t xml:space="preserve"> It </w:t>
      </w:r>
      <w:r w:rsidRPr="00240C54">
        <w:t xml:space="preserve">reflects the </w:t>
      </w:r>
      <w:r w:rsidR="00964EBA">
        <w:t>o</w:t>
      </w:r>
      <w:r w:rsidRPr="00240C54">
        <w:t>rganizational priorities of the United Nations Member States, and translates legislative mandates into programmes (</w:t>
      </w:r>
      <w:r w:rsidR="004C2D57">
        <w:t>d</w:t>
      </w:r>
      <w:r w:rsidRPr="00240C54">
        <w:t>epartments) and subprogrammes (substantive areas of work) financed by the regular budget. The Strategic Framework covers two years (a biennium) and serves as the basis for the preparation of the proposed programme budget.</w:t>
      </w:r>
    </w:p>
    <w:p w:rsidR="002F7A29" w:rsidRPr="00240C54" w:rsidRDefault="002F7A29" w:rsidP="002F7A29">
      <w:pPr>
        <w:pStyle w:val="SingleTxtG"/>
      </w:pPr>
      <w:r w:rsidRPr="00240C54">
        <w:t>2.</w:t>
      </w:r>
      <w:r w:rsidRPr="00240C54">
        <w:tab/>
        <w:t xml:space="preserve">The </w:t>
      </w:r>
      <w:r w:rsidR="00AE044B">
        <w:t>s</w:t>
      </w:r>
      <w:r w:rsidRPr="00240C54">
        <w:t xml:space="preserve">trategic </w:t>
      </w:r>
      <w:r w:rsidR="00AE044B">
        <w:t>f</w:t>
      </w:r>
      <w:r w:rsidRPr="00240C54">
        <w:t xml:space="preserve">ramework of each United Nations </w:t>
      </w:r>
      <w:r w:rsidR="00AE044B">
        <w:t>d</w:t>
      </w:r>
      <w:r w:rsidRPr="00240C54">
        <w:t>epartment contains a short narrative highlighting the main themes of programmatic activity (overall orientation) as well as logical frameworks (</w:t>
      </w:r>
      <w:proofErr w:type="spellStart"/>
      <w:r w:rsidRPr="00240C54">
        <w:t>logframes</w:t>
      </w:r>
      <w:proofErr w:type="spellEnd"/>
      <w:r w:rsidRPr="00240C54">
        <w:t xml:space="preserve">) of its constituent subprogrammes. Each </w:t>
      </w:r>
      <w:proofErr w:type="spellStart"/>
      <w:r w:rsidRPr="00240C54">
        <w:t>subprogramme’s</w:t>
      </w:r>
      <w:proofErr w:type="spellEnd"/>
      <w:r w:rsidRPr="00240C54">
        <w:t xml:space="preserve"> </w:t>
      </w:r>
      <w:proofErr w:type="spellStart"/>
      <w:r w:rsidRPr="00240C54">
        <w:t>logframe</w:t>
      </w:r>
      <w:proofErr w:type="spellEnd"/>
      <w:r w:rsidRPr="00240C54">
        <w:t xml:space="preserve"> follows results-based approach and articulates its objective, expected accomplishments, indicators of achievement, performance measures, strategy and external factors. </w:t>
      </w:r>
    </w:p>
    <w:p w:rsidR="002F7A29" w:rsidRPr="00240C54" w:rsidRDefault="002F7A29" w:rsidP="002F7A29">
      <w:pPr>
        <w:pStyle w:val="SingleTxtG"/>
      </w:pPr>
      <w:r w:rsidRPr="00240C54">
        <w:t>3.</w:t>
      </w:r>
      <w:r w:rsidRPr="00240C54">
        <w:tab/>
        <w:t xml:space="preserve">The United Nations Economic Commission for Europe (ECE) Committee on Environmental Policy </w:t>
      </w:r>
      <w:r w:rsidR="004C2D57">
        <w:t xml:space="preserve">(CEP) </w:t>
      </w:r>
      <w:r w:rsidRPr="00240C54">
        <w:t xml:space="preserve">approved the </w:t>
      </w:r>
      <w:r w:rsidR="004C2D57">
        <w:t>d</w:t>
      </w:r>
      <w:r w:rsidRPr="00240C54">
        <w:t xml:space="preserve">raft </w:t>
      </w:r>
      <w:r w:rsidR="004C2D57">
        <w:t>s</w:t>
      </w:r>
      <w:r w:rsidRPr="00240C54">
        <w:t xml:space="preserve">trategic </w:t>
      </w:r>
      <w:r w:rsidR="004C2D57">
        <w:t>f</w:t>
      </w:r>
      <w:r w:rsidRPr="00240C54">
        <w:t>ramework of the Environment subprogramme for 2016–2017 (Information paper No. 12/Rev.1) at its nineteenth session in October 2013.</w:t>
      </w:r>
      <w:r w:rsidR="00A40114" w:rsidRPr="00240C54">
        <w:rPr>
          <w:rStyle w:val="FootnoteReference"/>
        </w:rPr>
        <w:footnoteReference w:id="3"/>
      </w:r>
    </w:p>
    <w:p w:rsidR="002F7A29" w:rsidRPr="00240C54" w:rsidRDefault="002F7A29" w:rsidP="002F7A29">
      <w:pPr>
        <w:pStyle w:val="SingleTxtG"/>
      </w:pPr>
      <w:r w:rsidRPr="00240C54">
        <w:t>4.</w:t>
      </w:r>
      <w:r w:rsidRPr="00240C54">
        <w:tab/>
        <w:t xml:space="preserve">The present document contains the </w:t>
      </w:r>
      <w:r w:rsidR="004C2D57">
        <w:t>d</w:t>
      </w:r>
      <w:r w:rsidRPr="00240C54">
        <w:t xml:space="preserve">raft </w:t>
      </w:r>
      <w:r w:rsidR="004C2D57">
        <w:t>s</w:t>
      </w:r>
      <w:r w:rsidRPr="00240C54">
        <w:t xml:space="preserve">trategic </w:t>
      </w:r>
      <w:r w:rsidR="004C2D57">
        <w:t>f</w:t>
      </w:r>
      <w:r w:rsidRPr="00240C54">
        <w:t xml:space="preserve">ramework </w:t>
      </w:r>
      <w:r w:rsidR="004C2D57">
        <w:t xml:space="preserve">of </w:t>
      </w:r>
      <w:r w:rsidRPr="00240C54">
        <w:t xml:space="preserve">the Environment subprogramme for 2018–2019, as a component part of the ECE Strategic Framework for the </w:t>
      </w:r>
      <w:r w:rsidR="00AE044B">
        <w:t xml:space="preserve">same </w:t>
      </w:r>
      <w:r w:rsidRPr="00240C54">
        <w:t xml:space="preserve">biennium. The draft will be considered by CEP and, subsequently, </w:t>
      </w:r>
      <w:r w:rsidR="00AE044B">
        <w:t xml:space="preserve">by </w:t>
      </w:r>
      <w:r w:rsidRPr="00240C54">
        <w:t>the ECE Executive Committee. The final draft will be submitted to the United Nations General Assembly for adoption at its seventy-first session, which convenes on 13 September 2016</w:t>
      </w:r>
      <w:r w:rsidR="00A40114" w:rsidRPr="00240C54">
        <w:t>.</w:t>
      </w:r>
    </w:p>
    <w:p w:rsidR="00A40114" w:rsidRPr="00240C54" w:rsidRDefault="002F7A29" w:rsidP="00B23DD7">
      <w:pPr>
        <w:pStyle w:val="SingleTxtG"/>
      </w:pPr>
      <w:r w:rsidRPr="00240C54">
        <w:t>5.</w:t>
      </w:r>
      <w:r w:rsidRPr="00240C54">
        <w:tab/>
        <w:t>CEP will be invited to consider the document at its twenty-first session with a view to provid</w:t>
      </w:r>
      <w:r w:rsidR="00AE044B">
        <w:t>ing</w:t>
      </w:r>
      <w:r w:rsidRPr="00240C54">
        <w:t xml:space="preserve"> recommendations</w:t>
      </w:r>
      <w:r w:rsidR="004C2D57">
        <w:t>,</w:t>
      </w:r>
      <w:r w:rsidRPr="00240C54">
        <w:t xml:space="preserve"> as appropriate.</w:t>
      </w:r>
    </w:p>
    <w:p w:rsidR="002F7A29" w:rsidRPr="00240C54" w:rsidRDefault="00A40114" w:rsidP="00A40114">
      <w:pPr>
        <w:pStyle w:val="HChG"/>
      </w:pPr>
      <w:r w:rsidRPr="00240C54">
        <w:tab/>
        <w:t>II.</w:t>
      </w:r>
      <w:r w:rsidR="002F7A29" w:rsidRPr="00240C54">
        <w:tab/>
        <w:t xml:space="preserve">Draft proposed strategic framework </w:t>
      </w:r>
      <w:r w:rsidR="004C2D57">
        <w:t xml:space="preserve">of </w:t>
      </w:r>
      <w:r w:rsidR="002F7A29" w:rsidRPr="00240C54">
        <w:t>the Environment subprogramme for 2018-2019</w:t>
      </w:r>
    </w:p>
    <w:p w:rsidR="002F7A29" w:rsidRPr="00240C54" w:rsidRDefault="002F7A29" w:rsidP="00293ACE">
      <w:pPr>
        <w:pStyle w:val="H1G"/>
        <w:shd w:val="clear" w:color="auto" w:fill="FFFFFF" w:themeFill="background1"/>
      </w:pPr>
      <w:r w:rsidRPr="00240C54">
        <w:rPr>
          <w:rFonts w:eastAsia="Calibri"/>
          <w:w w:val="103"/>
        </w:rPr>
        <w:tab/>
      </w:r>
      <w:r w:rsidR="00AE0A5B" w:rsidRPr="00240C54">
        <w:rPr>
          <w:rFonts w:eastAsia="Calibri"/>
          <w:w w:val="103"/>
        </w:rPr>
        <w:t>A.</w:t>
      </w:r>
      <w:r w:rsidRPr="00240C54">
        <w:rPr>
          <w:rFonts w:eastAsia="Calibri"/>
          <w:w w:val="103"/>
        </w:rPr>
        <w:tab/>
        <w:t>Objectives for the biennium, expected accomplishments, indicators of achievement and performance measures</w:t>
      </w:r>
    </w:p>
    <w:tbl>
      <w:tblPr>
        <w:tblW w:w="8505" w:type="dxa"/>
        <w:jc w:val="center"/>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05"/>
      </w:tblGrid>
      <w:tr w:rsidR="006E47A8" w:rsidRPr="00240C54" w:rsidTr="00293ACE">
        <w:trPr>
          <w:tblHeader/>
          <w:jc w:val="center"/>
        </w:trPr>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2F7A29" w:rsidRPr="00240C54" w:rsidRDefault="002F7A29" w:rsidP="00840852">
            <w:pPr>
              <w:suppressAutoHyphens w:val="0"/>
              <w:spacing w:before="120" w:after="240"/>
              <w:ind w:left="284" w:right="567"/>
              <w:rPr>
                <w:i/>
              </w:rPr>
            </w:pPr>
            <w:r w:rsidRPr="00240C54">
              <w:rPr>
                <w:b/>
              </w:rPr>
              <w:t>Objective of the Organization:</w:t>
            </w:r>
            <w:r w:rsidRPr="00240C54">
              <w:rPr>
                <w:i/>
              </w:rPr>
              <w:t xml:space="preserve"> </w:t>
            </w:r>
            <w:r w:rsidRPr="00240C54">
              <w:t>To improve environmental governance and performance throughout the region for safeguarding the environment and health</w:t>
            </w:r>
          </w:p>
        </w:tc>
      </w:tr>
    </w:tbl>
    <w:p w:rsidR="00840852" w:rsidRPr="00240C54" w:rsidRDefault="00840852"/>
    <w:tbl>
      <w:tblPr>
        <w:tblW w:w="8505" w:type="dxa"/>
        <w:jc w:val="center"/>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5"/>
        <w:gridCol w:w="2674"/>
        <w:gridCol w:w="797"/>
        <w:gridCol w:w="840"/>
        <w:gridCol w:w="910"/>
        <w:gridCol w:w="869"/>
      </w:tblGrid>
      <w:tr w:rsidR="006E47A8" w:rsidRPr="00240C54" w:rsidTr="00FD1BE0">
        <w:trPr>
          <w:trHeight w:val="278"/>
          <w:jc w:val="center"/>
        </w:trPr>
        <w:tc>
          <w:tcPr>
            <w:tcW w:w="2415" w:type="dxa"/>
            <w:vMerge w:val="restart"/>
            <w:tcBorders>
              <w:top w:val="single" w:sz="4" w:space="0" w:color="auto"/>
              <w:bottom w:val="single" w:sz="12" w:space="0" w:color="auto"/>
            </w:tcBorders>
            <w:shd w:val="clear" w:color="auto" w:fill="auto"/>
            <w:vAlign w:val="bottom"/>
          </w:tcPr>
          <w:p w:rsidR="002F7A29" w:rsidRPr="00240C54" w:rsidRDefault="002F7A29" w:rsidP="00B23DD7">
            <w:pPr>
              <w:pageBreakBefore/>
              <w:suppressAutoHyphens w:val="0"/>
              <w:spacing w:before="80" w:after="80" w:line="200" w:lineRule="exact"/>
              <w:ind w:right="113"/>
              <w:rPr>
                <w:i/>
                <w:sz w:val="16"/>
                <w:szCs w:val="16"/>
              </w:rPr>
            </w:pPr>
            <w:r w:rsidRPr="00240C54">
              <w:rPr>
                <w:i/>
                <w:sz w:val="16"/>
                <w:szCs w:val="16"/>
              </w:rPr>
              <w:lastRenderedPageBreak/>
              <w:t>E</w:t>
            </w:r>
            <w:r w:rsidR="006070AE" w:rsidRPr="00240C54">
              <w:rPr>
                <w:i/>
                <w:sz w:val="16"/>
                <w:szCs w:val="16"/>
              </w:rPr>
              <w:t>xpected accomplishments of the s</w:t>
            </w:r>
            <w:r w:rsidRPr="00240C54">
              <w:rPr>
                <w:i/>
                <w:sz w:val="16"/>
                <w:szCs w:val="16"/>
              </w:rPr>
              <w:t>ecretariat</w:t>
            </w:r>
          </w:p>
        </w:tc>
        <w:tc>
          <w:tcPr>
            <w:tcW w:w="2674" w:type="dxa"/>
            <w:vMerge w:val="restart"/>
            <w:tcBorders>
              <w:top w:val="single" w:sz="4" w:space="0" w:color="auto"/>
              <w:bottom w:val="single" w:sz="12" w:space="0" w:color="auto"/>
            </w:tcBorders>
            <w:shd w:val="clear" w:color="auto" w:fill="auto"/>
            <w:vAlign w:val="bottom"/>
          </w:tcPr>
          <w:p w:rsidR="002F7A29" w:rsidRPr="00240C54" w:rsidRDefault="002F7A29" w:rsidP="003646D8">
            <w:pPr>
              <w:suppressAutoHyphens w:val="0"/>
              <w:spacing w:before="80" w:after="80" w:line="200" w:lineRule="exact"/>
              <w:ind w:right="170"/>
              <w:rPr>
                <w:i/>
                <w:sz w:val="16"/>
                <w:szCs w:val="16"/>
              </w:rPr>
            </w:pPr>
            <w:r w:rsidRPr="00240C54">
              <w:rPr>
                <w:i/>
                <w:sz w:val="16"/>
                <w:szCs w:val="16"/>
              </w:rPr>
              <w:t>Indicators of achievement</w:t>
            </w:r>
          </w:p>
        </w:tc>
        <w:tc>
          <w:tcPr>
            <w:tcW w:w="3416" w:type="dxa"/>
            <w:gridSpan w:val="4"/>
            <w:tcBorders>
              <w:top w:val="single" w:sz="4" w:space="0" w:color="auto"/>
              <w:bottom w:val="single" w:sz="4" w:space="0" w:color="auto"/>
            </w:tcBorders>
            <w:shd w:val="clear" w:color="auto" w:fill="auto"/>
          </w:tcPr>
          <w:p w:rsidR="002F7A29" w:rsidRPr="00240C54" w:rsidRDefault="002F7A29" w:rsidP="00840852">
            <w:pPr>
              <w:suppressAutoHyphens w:val="0"/>
              <w:spacing w:before="80" w:after="80" w:line="200" w:lineRule="exact"/>
              <w:ind w:right="113"/>
              <w:jc w:val="center"/>
              <w:rPr>
                <w:i/>
                <w:sz w:val="16"/>
                <w:szCs w:val="16"/>
              </w:rPr>
            </w:pPr>
            <w:r w:rsidRPr="00240C54">
              <w:rPr>
                <w:i/>
                <w:sz w:val="16"/>
                <w:szCs w:val="16"/>
              </w:rPr>
              <w:t>Performance measures</w:t>
            </w:r>
          </w:p>
        </w:tc>
      </w:tr>
      <w:tr w:rsidR="00FD1BE0" w:rsidRPr="00240C54" w:rsidTr="00FD1BE0">
        <w:trPr>
          <w:trHeight w:val="277"/>
          <w:jc w:val="center"/>
        </w:trPr>
        <w:tc>
          <w:tcPr>
            <w:tcW w:w="2415" w:type="dxa"/>
            <w:vMerge/>
            <w:tcBorders>
              <w:top w:val="single" w:sz="4" w:space="0" w:color="auto"/>
              <w:bottom w:val="single" w:sz="12" w:space="0" w:color="auto"/>
            </w:tcBorders>
            <w:shd w:val="clear" w:color="auto" w:fill="auto"/>
          </w:tcPr>
          <w:p w:rsidR="002F7A29" w:rsidRPr="00240C54" w:rsidRDefault="002F7A29" w:rsidP="00840852">
            <w:pPr>
              <w:suppressAutoHyphens w:val="0"/>
              <w:spacing w:before="80" w:after="80" w:line="200" w:lineRule="exact"/>
              <w:ind w:right="113"/>
              <w:rPr>
                <w:i/>
                <w:sz w:val="16"/>
                <w:szCs w:val="16"/>
              </w:rPr>
            </w:pPr>
          </w:p>
        </w:tc>
        <w:tc>
          <w:tcPr>
            <w:tcW w:w="2674" w:type="dxa"/>
            <w:vMerge/>
            <w:tcBorders>
              <w:top w:val="single" w:sz="4" w:space="0" w:color="auto"/>
              <w:bottom w:val="single" w:sz="12" w:space="0" w:color="auto"/>
            </w:tcBorders>
            <w:shd w:val="clear" w:color="auto" w:fill="auto"/>
          </w:tcPr>
          <w:p w:rsidR="002F7A29" w:rsidRPr="00240C54" w:rsidRDefault="002F7A29" w:rsidP="003646D8">
            <w:pPr>
              <w:suppressAutoHyphens w:val="0"/>
              <w:spacing w:before="80" w:after="80" w:line="200" w:lineRule="exact"/>
              <w:ind w:right="170"/>
              <w:rPr>
                <w:i/>
                <w:sz w:val="16"/>
                <w:szCs w:val="16"/>
              </w:rPr>
            </w:pPr>
          </w:p>
        </w:tc>
        <w:tc>
          <w:tcPr>
            <w:tcW w:w="797" w:type="dxa"/>
            <w:tcBorders>
              <w:top w:val="single" w:sz="4" w:space="0" w:color="auto"/>
              <w:bottom w:val="single" w:sz="12" w:space="0" w:color="auto"/>
            </w:tcBorders>
            <w:shd w:val="clear" w:color="auto" w:fill="auto"/>
            <w:vAlign w:val="bottom"/>
          </w:tcPr>
          <w:p w:rsidR="002F7A29" w:rsidRPr="00240C54" w:rsidRDefault="002F7A29" w:rsidP="00840852">
            <w:pPr>
              <w:suppressAutoHyphens w:val="0"/>
              <w:spacing w:before="80" w:after="80" w:line="200" w:lineRule="exact"/>
              <w:ind w:right="113"/>
              <w:jc w:val="right"/>
              <w:rPr>
                <w:i/>
                <w:sz w:val="16"/>
                <w:szCs w:val="16"/>
              </w:rPr>
            </w:pPr>
          </w:p>
        </w:tc>
        <w:tc>
          <w:tcPr>
            <w:tcW w:w="840" w:type="dxa"/>
            <w:tcBorders>
              <w:top w:val="single" w:sz="4" w:space="0" w:color="auto"/>
              <w:bottom w:val="single" w:sz="12" w:space="0" w:color="auto"/>
            </w:tcBorders>
            <w:shd w:val="clear" w:color="auto" w:fill="auto"/>
          </w:tcPr>
          <w:p w:rsidR="002F7A29" w:rsidRPr="00240C54" w:rsidRDefault="003558AE" w:rsidP="00840852">
            <w:pPr>
              <w:suppressAutoHyphens w:val="0"/>
              <w:spacing w:before="80" w:after="80" w:line="200" w:lineRule="exact"/>
              <w:ind w:right="113"/>
              <w:jc w:val="right"/>
              <w:rPr>
                <w:i/>
                <w:sz w:val="16"/>
                <w:szCs w:val="16"/>
              </w:rPr>
            </w:pPr>
            <w:r w:rsidRPr="00240C54">
              <w:rPr>
                <w:i/>
                <w:sz w:val="16"/>
                <w:szCs w:val="16"/>
              </w:rPr>
              <w:t>2018–</w:t>
            </w:r>
            <w:r w:rsidR="002F7A29" w:rsidRPr="00240C54">
              <w:rPr>
                <w:i/>
                <w:sz w:val="16"/>
                <w:szCs w:val="16"/>
              </w:rPr>
              <w:t>2019</w:t>
            </w:r>
          </w:p>
        </w:tc>
        <w:tc>
          <w:tcPr>
            <w:tcW w:w="910" w:type="dxa"/>
            <w:tcBorders>
              <w:top w:val="single" w:sz="4" w:space="0" w:color="auto"/>
              <w:bottom w:val="single" w:sz="12" w:space="0" w:color="auto"/>
            </w:tcBorders>
            <w:shd w:val="clear" w:color="auto" w:fill="auto"/>
          </w:tcPr>
          <w:p w:rsidR="002F7A29" w:rsidRPr="00240C54" w:rsidRDefault="003558AE" w:rsidP="00840852">
            <w:pPr>
              <w:suppressAutoHyphens w:val="0"/>
              <w:spacing w:before="80" w:after="80" w:line="200" w:lineRule="exact"/>
              <w:ind w:right="113"/>
              <w:jc w:val="right"/>
              <w:rPr>
                <w:i/>
                <w:sz w:val="16"/>
                <w:szCs w:val="16"/>
              </w:rPr>
            </w:pPr>
            <w:r w:rsidRPr="00240C54">
              <w:rPr>
                <w:i/>
                <w:sz w:val="16"/>
                <w:szCs w:val="16"/>
              </w:rPr>
              <w:t>2016–</w:t>
            </w:r>
            <w:r w:rsidR="002F7A29" w:rsidRPr="00240C54">
              <w:rPr>
                <w:i/>
                <w:sz w:val="16"/>
                <w:szCs w:val="16"/>
              </w:rPr>
              <w:t>2017</w:t>
            </w:r>
          </w:p>
        </w:tc>
        <w:tc>
          <w:tcPr>
            <w:tcW w:w="869" w:type="dxa"/>
            <w:tcBorders>
              <w:top w:val="single" w:sz="4" w:space="0" w:color="auto"/>
              <w:bottom w:val="single" w:sz="12" w:space="0" w:color="auto"/>
            </w:tcBorders>
            <w:shd w:val="clear" w:color="auto" w:fill="auto"/>
          </w:tcPr>
          <w:p w:rsidR="002F7A29" w:rsidRPr="00240C54" w:rsidRDefault="003558AE" w:rsidP="00840852">
            <w:pPr>
              <w:suppressAutoHyphens w:val="0"/>
              <w:spacing w:before="80" w:after="80" w:line="200" w:lineRule="exact"/>
              <w:ind w:right="113"/>
              <w:jc w:val="right"/>
              <w:rPr>
                <w:i/>
                <w:sz w:val="16"/>
                <w:szCs w:val="16"/>
              </w:rPr>
            </w:pPr>
            <w:r w:rsidRPr="00240C54">
              <w:rPr>
                <w:i/>
                <w:sz w:val="16"/>
                <w:szCs w:val="16"/>
              </w:rPr>
              <w:t>2014–</w:t>
            </w:r>
            <w:r w:rsidR="002F7A29" w:rsidRPr="00240C54">
              <w:rPr>
                <w:i/>
                <w:sz w:val="16"/>
                <w:szCs w:val="16"/>
              </w:rPr>
              <w:t>2015</w:t>
            </w:r>
          </w:p>
        </w:tc>
      </w:tr>
      <w:tr w:rsidR="00FD1BE0" w:rsidRPr="00240C54" w:rsidTr="00FD1BE0">
        <w:trPr>
          <w:trHeight w:hRule="exact" w:val="113"/>
          <w:jc w:val="center"/>
        </w:trPr>
        <w:tc>
          <w:tcPr>
            <w:tcW w:w="2415" w:type="dxa"/>
            <w:tcBorders>
              <w:top w:val="single" w:sz="12" w:space="0" w:color="auto"/>
            </w:tcBorders>
            <w:shd w:val="clear" w:color="auto" w:fill="auto"/>
          </w:tcPr>
          <w:p w:rsidR="005F5187" w:rsidRPr="00240C54" w:rsidRDefault="005F5187" w:rsidP="006E47A8">
            <w:pPr>
              <w:suppressAutoHyphens w:val="0"/>
              <w:spacing w:before="40" w:after="120" w:line="220" w:lineRule="exact"/>
              <w:ind w:right="113"/>
              <w:rPr>
                <w:i/>
              </w:rPr>
            </w:pPr>
          </w:p>
        </w:tc>
        <w:tc>
          <w:tcPr>
            <w:tcW w:w="2674" w:type="dxa"/>
            <w:tcBorders>
              <w:top w:val="single" w:sz="12" w:space="0" w:color="auto"/>
            </w:tcBorders>
            <w:shd w:val="clear" w:color="auto" w:fill="auto"/>
          </w:tcPr>
          <w:p w:rsidR="005F5187" w:rsidRPr="00240C54" w:rsidRDefault="005F5187" w:rsidP="003646D8">
            <w:pPr>
              <w:suppressAutoHyphens w:val="0"/>
              <w:spacing w:before="40" w:after="120" w:line="220" w:lineRule="exact"/>
              <w:ind w:right="170"/>
              <w:rPr>
                <w:i/>
              </w:rPr>
            </w:pPr>
          </w:p>
        </w:tc>
        <w:tc>
          <w:tcPr>
            <w:tcW w:w="797" w:type="dxa"/>
            <w:tcBorders>
              <w:top w:val="single" w:sz="12" w:space="0" w:color="auto"/>
            </w:tcBorders>
            <w:shd w:val="clear" w:color="auto" w:fill="auto"/>
          </w:tcPr>
          <w:p w:rsidR="005F5187" w:rsidRPr="00240C54" w:rsidRDefault="005F5187" w:rsidP="006E47A8">
            <w:pPr>
              <w:suppressAutoHyphens w:val="0"/>
              <w:spacing w:before="40" w:after="120" w:line="220" w:lineRule="exact"/>
              <w:ind w:right="113"/>
              <w:rPr>
                <w:i/>
              </w:rPr>
            </w:pPr>
          </w:p>
        </w:tc>
        <w:tc>
          <w:tcPr>
            <w:tcW w:w="840" w:type="dxa"/>
            <w:tcBorders>
              <w:top w:val="single" w:sz="12" w:space="0" w:color="auto"/>
            </w:tcBorders>
            <w:shd w:val="clear" w:color="auto" w:fill="auto"/>
          </w:tcPr>
          <w:p w:rsidR="005F5187" w:rsidRPr="00240C54" w:rsidRDefault="005F5187" w:rsidP="00840852">
            <w:pPr>
              <w:suppressAutoHyphens w:val="0"/>
              <w:spacing w:before="40" w:after="120" w:line="220" w:lineRule="exact"/>
              <w:ind w:right="113"/>
              <w:jc w:val="right"/>
              <w:rPr>
                <w:b/>
                <w:i/>
                <w:sz w:val="18"/>
                <w:szCs w:val="18"/>
              </w:rPr>
            </w:pPr>
          </w:p>
        </w:tc>
        <w:tc>
          <w:tcPr>
            <w:tcW w:w="910" w:type="dxa"/>
            <w:tcBorders>
              <w:top w:val="single" w:sz="12" w:space="0" w:color="auto"/>
            </w:tcBorders>
            <w:shd w:val="clear" w:color="auto" w:fill="auto"/>
          </w:tcPr>
          <w:p w:rsidR="005F5187" w:rsidRPr="00240C54" w:rsidRDefault="005F5187" w:rsidP="00840852">
            <w:pPr>
              <w:suppressAutoHyphens w:val="0"/>
              <w:spacing w:before="40" w:after="120" w:line="220" w:lineRule="exact"/>
              <w:ind w:right="113"/>
              <w:jc w:val="right"/>
              <w:rPr>
                <w:b/>
                <w:i/>
                <w:sz w:val="18"/>
                <w:szCs w:val="18"/>
              </w:rPr>
            </w:pPr>
          </w:p>
        </w:tc>
        <w:tc>
          <w:tcPr>
            <w:tcW w:w="869" w:type="dxa"/>
            <w:tcBorders>
              <w:top w:val="single" w:sz="12" w:space="0" w:color="auto"/>
            </w:tcBorders>
            <w:shd w:val="clear" w:color="auto" w:fill="auto"/>
          </w:tcPr>
          <w:p w:rsidR="005F5187" w:rsidRPr="00240C54" w:rsidRDefault="005F5187" w:rsidP="00840852">
            <w:pPr>
              <w:suppressAutoHyphens w:val="0"/>
              <w:spacing w:before="40" w:after="120" w:line="220" w:lineRule="exact"/>
              <w:ind w:right="113"/>
              <w:jc w:val="right"/>
              <w:rPr>
                <w:b/>
                <w:i/>
                <w:sz w:val="18"/>
                <w:szCs w:val="18"/>
              </w:rPr>
            </w:pPr>
          </w:p>
        </w:tc>
      </w:tr>
      <w:tr w:rsidR="00FD1BE0" w:rsidRPr="00240C54" w:rsidTr="00FD1BE0">
        <w:trPr>
          <w:jc w:val="center"/>
        </w:trPr>
        <w:tc>
          <w:tcPr>
            <w:tcW w:w="2415" w:type="dxa"/>
            <w:vMerge w:val="restart"/>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r w:rsidRPr="00240C54">
              <w:rPr>
                <w:sz w:val="18"/>
                <w:szCs w:val="18"/>
              </w:rPr>
              <w:t>(a)</w:t>
            </w:r>
            <w:r w:rsidRPr="00240C54">
              <w:rPr>
                <w:sz w:val="18"/>
                <w:szCs w:val="18"/>
              </w:rPr>
              <w:tab/>
              <w:t>Improved response to environmental challenges by ECE constituencies</w:t>
            </w:r>
          </w:p>
        </w:tc>
        <w:tc>
          <w:tcPr>
            <w:tcW w:w="2674" w:type="dxa"/>
            <w:vMerge w:val="restart"/>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r w:rsidRPr="00240C54">
              <w:rPr>
                <w:sz w:val="18"/>
                <w:szCs w:val="18"/>
              </w:rPr>
              <w:t>(a)</w:t>
            </w:r>
            <w:r w:rsidRPr="00240C54">
              <w:rPr>
                <w:sz w:val="18"/>
                <w:szCs w:val="18"/>
              </w:rPr>
              <w:tab/>
              <w:t>Number of new measures taken by ECE constituencies in response to existing and emerging environmental challenges</w:t>
            </w: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Target</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2</w:t>
            </w: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2</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Estimate</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2</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trHeight w:val="331"/>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Actual</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val="restart"/>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r w:rsidRPr="00240C54">
              <w:rPr>
                <w:sz w:val="18"/>
                <w:szCs w:val="18"/>
              </w:rPr>
              <w:t>(b)</w:t>
            </w:r>
            <w:r w:rsidRPr="00240C54">
              <w:rPr>
                <w:sz w:val="18"/>
                <w:szCs w:val="18"/>
              </w:rPr>
              <w:tab/>
              <w:t>Strengthened implementation of ECE multilateral environmental commitments and increased geographical coverage</w:t>
            </w:r>
          </w:p>
        </w:tc>
        <w:tc>
          <w:tcPr>
            <w:tcW w:w="2674" w:type="dxa"/>
            <w:vMerge w:val="restart"/>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r w:rsidRPr="00240C54">
              <w:rPr>
                <w:sz w:val="18"/>
                <w:szCs w:val="18"/>
              </w:rPr>
              <w:t>(b)</w:t>
            </w:r>
            <w:r w:rsidRPr="00240C54">
              <w:rPr>
                <w:sz w:val="18"/>
                <w:szCs w:val="18"/>
              </w:rPr>
              <w:tab/>
              <w:t>(</w:t>
            </w:r>
            <w:proofErr w:type="spellStart"/>
            <w:r w:rsidRPr="00240C54">
              <w:rPr>
                <w:sz w:val="18"/>
                <w:szCs w:val="18"/>
              </w:rPr>
              <w:t>i</w:t>
            </w:r>
            <w:proofErr w:type="spellEnd"/>
            <w:r w:rsidRPr="00240C54">
              <w:rPr>
                <w:sz w:val="18"/>
                <w:szCs w:val="18"/>
              </w:rPr>
              <w:t>)</w:t>
            </w:r>
            <w:r w:rsidRPr="00240C54">
              <w:rPr>
                <w:sz w:val="18"/>
                <w:szCs w:val="18"/>
              </w:rPr>
              <w:tab/>
              <w:t>Increased percentage of Contracting Parties reporting on the implementation of ECE multilateral environmental agreements</w:t>
            </w: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Target</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87</w:t>
            </w: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85</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Estimate</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85</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Actual</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val="restart"/>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r w:rsidRPr="00240C54">
              <w:rPr>
                <w:sz w:val="18"/>
                <w:szCs w:val="18"/>
              </w:rPr>
              <w:t>(ii)</w:t>
            </w:r>
            <w:r w:rsidRPr="00240C54">
              <w:rPr>
                <w:sz w:val="18"/>
                <w:szCs w:val="18"/>
              </w:rPr>
              <w:tab/>
              <w:t>Increased number of Contracting Parties to the ECE multilateral environmental agreements</w:t>
            </w: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Target</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312</w:t>
            </w: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310</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Estimate</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310</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Actual</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val="restart"/>
            <w:shd w:val="clear" w:color="auto" w:fill="auto"/>
          </w:tcPr>
          <w:p w:rsidR="002F7A29" w:rsidRPr="00240C54" w:rsidRDefault="002F7A29" w:rsidP="008E669D">
            <w:pPr>
              <w:tabs>
                <w:tab w:val="left" w:pos="280"/>
              </w:tabs>
              <w:suppressAutoHyphens w:val="0"/>
              <w:spacing w:before="40" w:after="120" w:line="220" w:lineRule="exact"/>
              <w:ind w:right="113"/>
              <w:rPr>
                <w:sz w:val="18"/>
                <w:szCs w:val="18"/>
              </w:rPr>
            </w:pPr>
            <w:r w:rsidRPr="00240C54">
              <w:rPr>
                <w:sz w:val="18"/>
                <w:szCs w:val="18"/>
              </w:rPr>
              <w:t>(c)</w:t>
            </w:r>
            <w:r w:rsidRPr="00240C54">
              <w:rPr>
                <w:sz w:val="18"/>
                <w:szCs w:val="18"/>
              </w:rPr>
              <w:tab/>
              <w:t xml:space="preserve">Strengthened national capacity for environmental monitoring and assessment systems in the countries of Eastern </w:t>
            </w:r>
            <w:r w:rsidR="008E669D">
              <w:rPr>
                <w:sz w:val="18"/>
                <w:szCs w:val="18"/>
              </w:rPr>
              <w:t xml:space="preserve">and South-Eastern </w:t>
            </w:r>
            <w:r w:rsidRPr="00240C54">
              <w:rPr>
                <w:sz w:val="18"/>
                <w:szCs w:val="18"/>
              </w:rPr>
              <w:t>Europe, the Caucasus</w:t>
            </w:r>
            <w:r w:rsidR="008E669D">
              <w:rPr>
                <w:sz w:val="18"/>
                <w:szCs w:val="18"/>
              </w:rPr>
              <w:t xml:space="preserve"> and</w:t>
            </w:r>
            <w:r w:rsidRPr="00240C54">
              <w:rPr>
                <w:sz w:val="18"/>
                <w:szCs w:val="18"/>
              </w:rPr>
              <w:t xml:space="preserve"> Central Asia </w:t>
            </w:r>
          </w:p>
        </w:tc>
        <w:tc>
          <w:tcPr>
            <w:tcW w:w="2674" w:type="dxa"/>
            <w:vMerge w:val="restart"/>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r w:rsidRPr="00240C54">
              <w:rPr>
                <w:sz w:val="18"/>
                <w:szCs w:val="18"/>
              </w:rPr>
              <w:t>(c)</w:t>
            </w:r>
            <w:r w:rsidRPr="00240C54">
              <w:rPr>
                <w:sz w:val="18"/>
                <w:szCs w:val="18"/>
              </w:rPr>
              <w:tab/>
              <w:t>Increased percentage of implementation of ECE recommendations on environmental monitoring by member States</w:t>
            </w: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Target</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52</w:t>
            </w: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50</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Estimate</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50</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Actual</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val="restart"/>
            <w:shd w:val="clear" w:color="auto" w:fill="auto"/>
          </w:tcPr>
          <w:p w:rsidR="002F7A29" w:rsidRPr="00240C54" w:rsidRDefault="002F7A29" w:rsidP="00840852">
            <w:pPr>
              <w:tabs>
                <w:tab w:val="left" w:pos="280"/>
              </w:tabs>
              <w:suppressAutoHyphens w:val="0"/>
              <w:spacing w:before="40" w:after="120" w:line="220" w:lineRule="exact"/>
              <w:ind w:right="113"/>
              <w:rPr>
                <w:sz w:val="18"/>
                <w:szCs w:val="18"/>
              </w:rPr>
            </w:pPr>
            <w:r w:rsidRPr="00240C54">
              <w:rPr>
                <w:sz w:val="18"/>
                <w:szCs w:val="18"/>
              </w:rPr>
              <w:t>(d)</w:t>
            </w:r>
            <w:r w:rsidRPr="00240C54">
              <w:rPr>
                <w:sz w:val="18"/>
                <w:szCs w:val="18"/>
              </w:rPr>
              <w:tab/>
              <w:t>Improved environmental performance of interested countries</w:t>
            </w:r>
          </w:p>
        </w:tc>
        <w:tc>
          <w:tcPr>
            <w:tcW w:w="2674" w:type="dxa"/>
            <w:vMerge w:val="restart"/>
            <w:shd w:val="clear" w:color="auto" w:fill="auto"/>
          </w:tcPr>
          <w:p w:rsidR="002F7A29" w:rsidRPr="00240C54" w:rsidRDefault="002F7A29" w:rsidP="003646D8">
            <w:pPr>
              <w:tabs>
                <w:tab w:val="left" w:pos="288"/>
              </w:tabs>
              <w:suppressAutoHyphens w:val="0"/>
              <w:spacing w:before="40" w:after="120" w:line="220" w:lineRule="exact"/>
              <w:ind w:right="170"/>
              <w:rPr>
                <w:sz w:val="18"/>
                <w:szCs w:val="18"/>
              </w:rPr>
            </w:pPr>
            <w:r w:rsidRPr="00240C54">
              <w:rPr>
                <w:sz w:val="18"/>
                <w:szCs w:val="18"/>
              </w:rPr>
              <w:t>(d)</w:t>
            </w:r>
            <w:r w:rsidRPr="00240C54">
              <w:rPr>
                <w:sz w:val="18"/>
                <w:szCs w:val="18"/>
              </w:rPr>
              <w:tab/>
              <w:t>Percentage of environmental performance review recommendations implemented by countries reviewed during a biennium</w:t>
            </w: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Target</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65</w:t>
            </w: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65</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Estimate</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r w:rsidRPr="00240C54">
              <w:rPr>
                <w:sz w:val="18"/>
                <w:szCs w:val="18"/>
              </w:rPr>
              <w:t>65</w:t>
            </w: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r w:rsidR="00FD1BE0" w:rsidRPr="00240C54" w:rsidTr="00FD1BE0">
        <w:trPr>
          <w:jc w:val="center"/>
        </w:trPr>
        <w:tc>
          <w:tcPr>
            <w:tcW w:w="2415" w:type="dxa"/>
            <w:vMerge/>
            <w:shd w:val="clear" w:color="auto" w:fill="auto"/>
          </w:tcPr>
          <w:p w:rsidR="002F7A29" w:rsidRPr="00240C54" w:rsidRDefault="002F7A29" w:rsidP="00840852">
            <w:pPr>
              <w:suppressAutoHyphens w:val="0"/>
              <w:spacing w:before="40" w:after="120" w:line="220" w:lineRule="exact"/>
              <w:ind w:right="113"/>
              <w:rPr>
                <w:sz w:val="18"/>
                <w:szCs w:val="18"/>
              </w:rPr>
            </w:pPr>
          </w:p>
        </w:tc>
        <w:tc>
          <w:tcPr>
            <w:tcW w:w="2674" w:type="dxa"/>
            <w:vMerge/>
            <w:shd w:val="clear" w:color="auto" w:fill="auto"/>
          </w:tcPr>
          <w:p w:rsidR="002F7A29" w:rsidRPr="00240C54" w:rsidRDefault="002F7A29" w:rsidP="003646D8">
            <w:pPr>
              <w:suppressAutoHyphens w:val="0"/>
              <w:spacing w:before="40" w:after="120" w:line="220" w:lineRule="exact"/>
              <w:ind w:right="170"/>
              <w:rPr>
                <w:sz w:val="18"/>
                <w:szCs w:val="18"/>
              </w:rPr>
            </w:pPr>
          </w:p>
        </w:tc>
        <w:tc>
          <w:tcPr>
            <w:tcW w:w="797" w:type="dxa"/>
            <w:shd w:val="clear" w:color="auto" w:fill="auto"/>
          </w:tcPr>
          <w:p w:rsidR="002F7A29" w:rsidRPr="00240C54" w:rsidRDefault="002F7A29" w:rsidP="00840852">
            <w:pPr>
              <w:suppressAutoHyphens w:val="0"/>
              <w:spacing w:before="40" w:after="120" w:line="220" w:lineRule="exact"/>
              <w:ind w:right="113"/>
              <w:rPr>
                <w:sz w:val="18"/>
                <w:szCs w:val="18"/>
              </w:rPr>
            </w:pPr>
            <w:r w:rsidRPr="00240C54">
              <w:rPr>
                <w:sz w:val="18"/>
                <w:szCs w:val="18"/>
              </w:rPr>
              <w:t>Actual</w:t>
            </w:r>
          </w:p>
        </w:tc>
        <w:tc>
          <w:tcPr>
            <w:tcW w:w="84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910" w:type="dxa"/>
            <w:shd w:val="clear" w:color="auto" w:fill="auto"/>
          </w:tcPr>
          <w:p w:rsidR="002F7A29" w:rsidRPr="00240C54" w:rsidRDefault="002F7A29" w:rsidP="00840852">
            <w:pPr>
              <w:suppressAutoHyphens w:val="0"/>
              <w:spacing w:before="40" w:after="120" w:line="220" w:lineRule="exact"/>
              <w:ind w:right="113"/>
              <w:jc w:val="right"/>
              <w:rPr>
                <w:sz w:val="18"/>
                <w:szCs w:val="18"/>
              </w:rPr>
            </w:pPr>
          </w:p>
        </w:tc>
        <w:tc>
          <w:tcPr>
            <w:tcW w:w="869" w:type="dxa"/>
            <w:shd w:val="clear" w:color="auto" w:fill="auto"/>
          </w:tcPr>
          <w:p w:rsidR="002F7A29" w:rsidRPr="00240C54" w:rsidRDefault="00296882" w:rsidP="00840852">
            <w:pPr>
              <w:suppressAutoHyphens w:val="0"/>
              <w:spacing w:before="40" w:after="120" w:line="220" w:lineRule="exact"/>
              <w:ind w:right="113"/>
              <w:jc w:val="right"/>
              <w:rPr>
                <w:sz w:val="18"/>
                <w:szCs w:val="18"/>
              </w:rPr>
            </w:pPr>
            <w:r>
              <w:rPr>
                <w:sz w:val="18"/>
                <w:szCs w:val="18"/>
              </w:rPr>
              <w:t>—</w:t>
            </w:r>
          </w:p>
        </w:tc>
      </w:tr>
    </w:tbl>
    <w:p w:rsidR="002F7A29" w:rsidRPr="00240C54" w:rsidRDefault="00AE0A5B" w:rsidP="00AE0A5B">
      <w:pPr>
        <w:pStyle w:val="H1G"/>
      </w:pPr>
      <w:r w:rsidRPr="00240C54">
        <w:tab/>
        <w:t>B.</w:t>
      </w:r>
      <w:r w:rsidR="002F7A29" w:rsidRPr="00240C54">
        <w:tab/>
        <w:t>Strategy</w:t>
      </w:r>
    </w:p>
    <w:p w:rsidR="002F7A29" w:rsidRPr="00240C54" w:rsidRDefault="00AE0A5B" w:rsidP="00AE0A5B">
      <w:pPr>
        <w:pStyle w:val="SingleTxtG"/>
      </w:pPr>
      <w:r w:rsidRPr="00240C54">
        <w:t>6.</w:t>
      </w:r>
      <w:r w:rsidRPr="00240C54">
        <w:tab/>
      </w:r>
      <w:r w:rsidR="002F7A29" w:rsidRPr="00240C54">
        <w:t xml:space="preserve">The Environment Division is responsible for implementing the </w:t>
      </w:r>
      <w:r w:rsidR="008E669D">
        <w:t xml:space="preserve">Environment </w:t>
      </w:r>
      <w:r w:rsidR="002F7A29" w:rsidRPr="00240C54">
        <w:t>subprogramme. The subprogramme will work in the areas of air, water, industrial safety, environmental democracy, environmental assessment, monitoring and performance, education for sustainable development, and mainstreaming of environmental concerns into other dimensions of sustainable development. The objective of the subprogramme will be achieved through international policy dialogue, normative work, capacity</w:t>
      </w:r>
      <w:r w:rsidR="008E669D">
        <w:t>-</w:t>
      </w:r>
      <w:r w:rsidR="002F7A29" w:rsidRPr="00240C54">
        <w:t>building and dissemination of best practices and lessons learned.</w:t>
      </w:r>
    </w:p>
    <w:p w:rsidR="002F7A29" w:rsidRPr="00240C54" w:rsidRDefault="00AE0A5B" w:rsidP="00AE0A5B">
      <w:pPr>
        <w:pStyle w:val="SingleTxtG"/>
      </w:pPr>
      <w:r w:rsidRPr="00240C54">
        <w:t>7.</w:t>
      </w:r>
      <w:r w:rsidRPr="00240C54">
        <w:tab/>
      </w:r>
      <w:r w:rsidR="002F7A29" w:rsidRPr="00240C54">
        <w:t xml:space="preserve">Using a country needs-based approach, </w:t>
      </w:r>
      <w:r w:rsidR="008E669D">
        <w:t xml:space="preserve">the work </w:t>
      </w:r>
      <w:r w:rsidR="002F7A29" w:rsidRPr="00240C54">
        <w:t>will focus on strengthening the capacity of the countries of Eastern and South-Eastern Europe, the Caucasus and Central Asia in environmental policymaking and management, including for the effective implementation of environmental legislation.</w:t>
      </w:r>
    </w:p>
    <w:p w:rsidR="002F7A29" w:rsidRPr="00240C54" w:rsidRDefault="00AE0A5B" w:rsidP="00AE0A5B">
      <w:pPr>
        <w:pStyle w:val="SingleTxtG"/>
      </w:pPr>
      <w:r w:rsidRPr="00240C54">
        <w:t>8.</w:t>
      </w:r>
      <w:r w:rsidRPr="00240C54">
        <w:tab/>
      </w:r>
      <w:r w:rsidR="002F7A29" w:rsidRPr="00240C54">
        <w:t xml:space="preserve">The subprogramme will work on enhancing the environmental governance in the region and cross-border cooperation between countries, and it will further strengthen integration of environmental concerns into sectoral policies through the implementation of ECE policy tools, education for sustainable development, transport, health and environment, the ECE multilateral environmental agreements and the sharing of information (e.g., </w:t>
      </w:r>
      <w:r w:rsidR="008E669D">
        <w:t xml:space="preserve">via the </w:t>
      </w:r>
      <w:r w:rsidR="002F7A29" w:rsidRPr="00240C54">
        <w:t xml:space="preserve">Shared Environmental Information System), experiences and good practices in the ECE region. Cross-sectoral work will also include the promotion of </w:t>
      </w:r>
      <w:r w:rsidR="002F7A29" w:rsidRPr="00240C54">
        <w:lastRenderedPageBreak/>
        <w:t xml:space="preserve">synergies between the ECE legal instruments. The subprogramme will also work with interested non-ECE countries, in particular those interested in joining </w:t>
      </w:r>
      <w:r w:rsidR="00FF3788">
        <w:t xml:space="preserve">the </w:t>
      </w:r>
      <w:r w:rsidR="002F7A29" w:rsidRPr="00240C54">
        <w:t>multilateral environmental agreements that are open to global accession.</w:t>
      </w:r>
    </w:p>
    <w:p w:rsidR="002F7A29" w:rsidRPr="00240C54" w:rsidRDefault="00AE0A5B" w:rsidP="002F7A29">
      <w:pPr>
        <w:pStyle w:val="SingleTxtG"/>
      </w:pPr>
      <w:r w:rsidRPr="00240C54">
        <w:t>9.</w:t>
      </w:r>
      <w:r w:rsidRPr="00240C54">
        <w:tab/>
      </w:r>
      <w:r w:rsidR="002F7A29" w:rsidRPr="00240C54">
        <w:t xml:space="preserve">The subprogramme will continue to conduct environmental performance reviews, assisting countries in the implementation of the recommendations from their national reviews and monitoring the impact of the recommendations on policy formulation and implementation. It will also strengthen countries’ capacity to provide timely and accurate environmental data, thus contributing to </w:t>
      </w:r>
      <w:proofErr w:type="gramStart"/>
      <w:r w:rsidR="002F7A29" w:rsidRPr="00240C54">
        <w:t>improved</w:t>
      </w:r>
      <w:proofErr w:type="gramEnd"/>
      <w:r w:rsidR="002F7A29" w:rsidRPr="00240C54">
        <w:t xml:space="preserve"> environmental monitoring and reporting. The subprogramme will further promote the use of the ECE guidelines for environmental monitoring a</w:t>
      </w:r>
      <w:r w:rsidRPr="00240C54">
        <w:t>nd assessment by member States.</w:t>
      </w:r>
    </w:p>
    <w:p w:rsidR="002F7A29" w:rsidRPr="00240C54" w:rsidRDefault="00AE0A5B" w:rsidP="002F7A29">
      <w:pPr>
        <w:pStyle w:val="SingleTxtG"/>
      </w:pPr>
      <w:r w:rsidRPr="00240C54">
        <w:t>10.</w:t>
      </w:r>
      <w:r w:rsidRPr="00240C54">
        <w:tab/>
      </w:r>
      <w:r w:rsidR="002F7A29" w:rsidRPr="00240C54">
        <w:t>Activities will include promotin</w:t>
      </w:r>
      <w:r w:rsidR="00AE044B">
        <w:t>g</w:t>
      </w:r>
      <w:r w:rsidR="002F7A29" w:rsidRPr="00240C54">
        <w:t xml:space="preserve"> sustainable development in the region, as well as contributing to the implementation of the outcomes of the regional and global summits and conferences on environment and sustainable development, in particular the post-2015 development agenda, including the achievement of the </w:t>
      </w:r>
      <w:r w:rsidR="00CF6FD5">
        <w:t>S</w:t>
      </w:r>
      <w:r w:rsidR="002F7A29" w:rsidRPr="00240C54">
        <w:t xml:space="preserve">ustainable </w:t>
      </w:r>
      <w:r w:rsidR="00CF6FD5">
        <w:t>D</w:t>
      </w:r>
      <w:r w:rsidR="002F7A29" w:rsidRPr="00240C54">
        <w:t xml:space="preserve">evelopment </w:t>
      </w:r>
      <w:r w:rsidR="00CF6FD5">
        <w:t>G</w:t>
      </w:r>
      <w:r w:rsidR="002F7A29" w:rsidRPr="00240C54">
        <w:t>oals (SDGs), and especially goals 3, 4, 6, 11</w:t>
      </w:r>
      <w:r w:rsidR="00CF6FD5">
        <w:t xml:space="preserve">, 12, </w:t>
      </w:r>
      <w:r w:rsidR="002F7A29" w:rsidRPr="00240C54">
        <w:t>13, 16 and 17.</w:t>
      </w:r>
    </w:p>
    <w:p w:rsidR="002F7A29" w:rsidRPr="00240C54" w:rsidRDefault="00AE0A5B" w:rsidP="002F7A29">
      <w:pPr>
        <w:pStyle w:val="SingleTxtG"/>
      </w:pPr>
      <w:r w:rsidRPr="00240C54">
        <w:t>11.</w:t>
      </w:r>
      <w:r w:rsidRPr="00240C54">
        <w:tab/>
      </w:r>
      <w:r w:rsidR="002F7A29" w:rsidRPr="00240C54">
        <w:t xml:space="preserve">Because the </w:t>
      </w:r>
      <w:r w:rsidR="00CF6FD5">
        <w:t xml:space="preserve">Environment </w:t>
      </w:r>
      <w:r w:rsidR="002F7A29" w:rsidRPr="00240C54">
        <w:t>subprogramme addresses one of the dimensions of sustainable development</w:t>
      </w:r>
      <w:r w:rsidR="00CF6FD5">
        <w:t>,</w:t>
      </w:r>
      <w:r w:rsidR="002F7A29" w:rsidRPr="00240C54">
        <w:t xml:space="preserve"> it will contribute to the achievement of all SDGs, including through partnerships with other relevant organizations and institutions operating in the </w:t>
      </w:r>
      <w:proofErr w:type="spellStart"/>
      <w:r w:rsidR="002F7A29" w:rsidRPr="00240C54">
        <w:t>subprogramme’s</w:t>
      </w:r>
      <w:proofErr w:type="spellEnd"/>
      <w:r w:rsidR="002F7A29" w:rsidRPr="00240C54">
        <w:t xml:space="preserve"> areas of work. It will also strengthen synergies with all other ECE subprogrammes</w:t>
      </w:r>
      <w:r w:rsidR="00CF6FD5">
        <w:t xml:space="preserve"> </w:t>
      </w:r>
      <w:r w:rsidR="00CF6FD5" w:rsidRPr="00240C54">
        <w:t>in the relevant areas of work</w:t>
      </w:r>
      <w:r w:rsidR="002F7A29" w:rsidRPr="00240C54">
        <w:t>.</w:t>
      </w:r>
    </w:p>
    <w:p w:rsidR="002F7A29" w:rsidRPr="00240C54" w:rsidRDefault="002F7A29" w:rsidP="00AE0A5B">
      <w:pPr>
        <w:pStyle w:val="H1G"/>
      </w:pPr>
      <w:r w:rsidRPr="00240C54">
        <w:tab/>
      </w:r>
      <w:r w:rsidR="00AE0A5B" w:rsidRPr="00240C54">
        <w:t>C.</w:t>
      </w:r>
      <w:r w:rsidRPr="00240C54">
        <w:tab/>
        <w:t>External factors</w:t>
      </w:r>
    </w:p>
    <w:p w:rsidR="002F7A29" w:rsidRPr="00240C54" w:rsidRDefault="00AE0A5B" w:rsidP="00AE0A5B">
      <w:pPr>
        <w:pStyle w:val="SingleTxtG"/>
      </w:pPr>
      <w:r w:rsidRPr="00240C54">
        <w:t>12.</w:t>
      </w:r>
      <w:r w:rsidRPr="00240C54">
        <w:tab/>
      </w:r>
      <w:r w:rsidR="002F7A29" w:rsidRPr="00240C54">
        <w:t xml:space="preserve">The subprogramme is expected to achieve its objective and expected accomplishments on the assumption that, at the country level, there is: (a) political will and sufficient capacity to integrate the environmental dimension in policy formulation and to implement national legislation in accordance with the ECE multilateral environmental agreements; (b) sufficient awareness of environmental issues and </w:t>
      </w:r>
      <w:r w:rsidR="00FF3788">
        <w:t xml:space="preserve">the </w:t>
      </w:r>
      <w:r w:rsidR="002F7A29" w:rsidRPr="00240C54">
        <w:t>active support of the public in the implementation of national and regional policies; and (c) no critical impact on resource availability owing to global, regional or national economic developments.</w:t>
      </w:r>
    </w:p>
    <w:p w:rsidR="00F507EC" w:rsidRPr="00240C54" w:rsidRDefault="002F7A29" w:rsidP="00AE0A5B">
      <w:pPr>
        <w:pStyle w:val="SingleTxtG"/>
        <w:spacing w:before="240" w:after="0"/>
        <w:jc w:val="center"/>
      </w:pPr>
      <w:r w:rsidRPr="00240C54">
        <w:rPr>
          <w:u w:val="single"/>
        </w:rPr>
        <w:tab/>
      </w:r>
      <w:r w:rsidRPr="00240C54">
        <w:rPr>
          <w:u w:val="single"/>
        </w:rPr>
        <w:tab/>
      </w:r>
      <w:r w:rsidRPr="00240C54">
        <w:rPr>
          <w:u w:val="single"/>
        </w:rPr>
        <w:tab/>
      </w:r>
    </w:p>
    <w:sectPr w:rsidR="00F507EC" w:rsidRPr="00240C54" w:rsidSect="002F476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29" w:rsidRDefault="002F7A29"/>
  </w:endnote>
  <w:endnote w:type="continuationSeparator" w:id="0">
    <w:p w:rsidR="002F7A29" w:rsidRDefault="002F7A29"/>
  </w:endnote>
  <w:endnote w:type="continuationNotice" w:id="1">
    <w:p w:rsidR="002F7A29" w:rsidRDefault="002F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9" w:rsidRPr="002F7A29" w:rsidRDefault="002F7A29" w:rsidP="002F7A29">
    <w:pPr>
      <w:pStyle w:val="Footer"/>
      <w:tabs>
        <w:tab w:val="right" w:pos="9638"/>
      </w:tabs>
      <w:rPr>
        <w:sz w:val="18"/>
      </w:rPr>
    </w:pPr>
    <w:r w:rsidRPr="002F7A29">
      <w:rPr>
        <w:b/>
        <w:sz w:val="18"/>
      </w:rPr>
      <w:fldChar w:fldCharType="begin"/>
    </w:r>
    <w:r w:rsidRPr="002F7A29">
      <w:rPr>
        <w:b/>
        <w:sz w:val="18"/>
      </w:rPr>
      <w:instrText xml:space="preserve"> PAGE  \* MERGEFORMAT </w:instrText>
    </w:r>
    <w:r w:rsidRPr="002F7A29">
      <w:rPr>
        <w:b/>
        <w:sz w:val="18"/>
      </w:rPr>
      <w:fldChar w:fldCharType="separate"/>
    </w:r>
    <w:r w:rsidR="006816F0">
      <w:rPr>
        <w:b/>
        <w:noProof/>
        <w:sz w:val="18"/>
      </w:rPr>
      <w:t>4</w:t>
    </w:r>
    <w:r w:rsidRPr="002F7A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9" w:rsidRPr="002F7A29" w:rsidRDefault="002F7A29" w:rsidP="002F7A29">
    <w:pPr>
      <w:pStyle w:val="Footer"/>
      <w:tabs>
        <w:tab w:val="right" w:pos="9638"/>
      </w:tabs>
      <w:rPr>
        <w:b/>
        <w:sz w:val="18"/>
      </w:rPr>
    </w:pPr>
    <w:r>
      <w:tab/>
    </w:r>
    <w:r w:rsidRPr="002F7A29">
      <w:rPr>
        <w:b/>
        <w:sz w:val="18"/>
      </w:rPr>
      <w:fldChar w:fldCharType="begin"/>
    </w:r>
    <w:r w:rsidRPr="002F7A29">
      <w:rPr>
        <w:b/>
        <w:sz w:val="18"/>
      </w:rPr>
      <w:instrText xml:space="preserve"> PAGE  \* MERGEFORMAT </w:instrText>
    </w:r>
    <w:r w:rsidRPr="002F7A29">
      <w:rPr>
        <w:b/>
        <w:sz w:val="18"/>
      </w:rPr>
      <w:fldChar w:fldCharType="separate"/>
    </w:r>
    <w:r w:rsidR="006816F0">
      <w:rPr>
        <w:b/>
        <w:noProof/>
        <w:sz w:val="18"/>
      </w:rPr>
      <w:t>3</w:t>
    </w:r>
    <w:r w:rsidRPr="002F7A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F476A" w:rsidTr="002F476A">
      <w:tc>
        <w:tcPr>
          <w:tcW w:w="3614" w:type="dxa"/>
          <w:shd w:val="clear" w:color="auto" w:fill="auto"/>
        </w:tcPr>
        <w:p w:rsidR="002F476A" w:rsidRDefault="002F476A" w:rsidP="002F476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CEP/201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GE.15-13993(E)</w:t>
          </w:r>
        </w:p>
        <w:p w:rsidR="002F476A" w:rsidRPr="002F476A" w:rsidRDefault="002F476A" w:rsidP="002F476A">
          <w:pPr>
            <w:pStyle w:val="Footer"/>
            <w:rPr>
              <w:rFonts w:ascii="Barcode 3 of 9 by request" w:hAnsi="Barcode 3 of 9 by request"/>
              <w:sz w:val="24"/>
            </w:rPr>
          </w:pPr>
          <w:r>
            <w:rPr>
              <w:rFonts w:ascii="Barcode 3 of 9 by request" w:hAnsi="Barcode 3 of 9 by request"/>
              <w:sz w:val="24"/>
            </w:rPr>
            <w:t>*1513993*</w:t>
          </w:r>
        </w:p>
      </w:tc>
      <w:tc>
        <w:tcPr>
          <w:tcW w:w="4752" w:type="dxa"/>
          <w:shd w:val="clear" w:color="auto" w:fill="auto"/>
        </w:tcPr>
        <w:p w:rsidR="002F476A" w:rsidRDefault="002F476A" w:rsidP="002F476A">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F476A" w:rsidRPr="002F476A" w:rsidRDefault="002F476A" w:rsidP="002F476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29" w:rsidRPr="000B175B" w:rsidRDefault="002F7A29" w:rsidP="000B175B">
      <w:pPr>
        <w:tabs>
          <w:tab w:val="right" w:pos="2155"/>
        </w:tabs>
        <w:spacing w:after="80"/>
        <w:ind w:left="680"/>
        <w:rPr>
          <w:u w:val="single"/>
        </w:rPr>
      </w:pPr>
      <w:r>
        <w:rPr>
          <w:u w:val="single"/>
        </w:rPr>
        <w:tab/>
      </w:r>
    </w:p>
  </w:footnote>
  <w:footnote w:type="continuationSeparator" w:id="0">
    <w:p w:rsidR="002F7A29" w:rsidRPr="00FC68B7" w:rsidRDefault="002F7A29" w:rsidP="00FC68B7">
      <w:pPr>
        <w:tabs>
          <w:tab w:val="left" w:pos="2155"/>
        </w:tabs>
        <w:spacing w:after="80"/>
        <w:ind w:left="680"/>
        <w:rPr>
          <w:u w:val="single"/>
        </w:rPr>
      </w:pPr>
      <w:r>
        <w:rPr>
          <w:u w:val="single"/>
        </w:rPr>
        <w:tab/>
      </w:r>
    </w:p>
  </w:footnote>
  <w:footnote w:type="continuationNotice" w:id="1">
    <w:p w:rsidR="002F7A29" w:rsidRDefault="002F7A29"/>
  </w:footnote>
  <w:footnote w:id="2">
    <w:p w:rsidR="00AE044B" w:rsidRPr="002F476A" w:rsidRDefault="00AE044B" w:rsidP="00AE044B">
      <w:pPr>
        <w:pStyle w:val="FootnoteText"/>
        <w:widowControl w:val="0"/>
        <w:tabs>
          <w:tab w:val="clear" w:pos="1021"/>
          <w:tab w:val="right" w:pos="1020"/>
        </w:tabs>
      </w:pPr>
      <w:r>
        <w:tab/>
      </w:r>
      <w:r>
        <w:rPr>
          <w:rStyle w:val="FootnoteReference"/>
        </w:rPr>
        <w:footnoteRef/>
      </w:r>
      <w:r>
        <w:tab/>
      </w:r>
      <w:proofErr w:type="gramStart"/>
      <w:r>
        <w:t xml:space="preserve">Available from the United Nations Human Resources portal at </w:t>
      </w:r>
      <w:r w:rsidRPr="00DA2225">
        <w:t>https://</w:t>
      </w:r>
      <w:r w:rsidRPr="00B04878">
        <w:t>hr.un.org/content/regulations-and-rules-governing-programme-planning-programme-aspects-budget-monitoring</w:t>
      </w:r>
      <w:r>
        <w:t>.</w:t>
      </w:r>
      <w:proofErr w:type="gramEnd"/>
    </w:p>
  </w:footnote>
  <w:footnote w:id="3">
    <w:p w:rsidR="00A40114" w:rsidRPr="002F476A" w:rsidRDefault="00A40114" w:rsidP="00A40114">
      <w:pPr>
        <w:pStyle w:val="FootnoteText"/>
        <w:widowControl w:val="0"/>
        <w:tabs>
          <w:tab w:val="clear" w:pos="1021"/>
          <w:tab w:val="right" w:pos="1020"/>
        </w:tabs>
      </w:pPr>
      <w:r>
        <w:tab/>
      </w:r>
      <w:r>
        <w:rPr>
          <w:rStyle w:val="FootnoteReference"/>
        </w:rPr>
        <w:footnoteRef/>
      </w:r>
      <w:r>
        <w:tab/>
      </w:r>
      <w:proofErr w:type="gramStart"/>
      <w:r>
        <w:t xml:space="preserve">Available </w:t>
      </w:r>
      <w:r w:rsidR="00296882">
        <w:t xml:space="preserve">from </w:t>
      </w:r>
      <w:r>
        <w:t xml:space="preserve">the ECE website at </w:t>
      </w:r>
      <w:r w:rsidRPr="00205295">
        <w:t>ww</w:t>
      </w:r>
      <w:r>
        <w:t>w.unece.org/index.php?id=32257.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9" w:rsidRPr="002F7A29" w:rsidRDefault="002F7A29">
    <w:pPr>
      <w:pStyle w:val="Header"/>
    </w:pPr>
    <w:r>
      <w:t>ECE/CEP/201</w:t>
    </w:r>
    <w:r w:rsidR="00293ACE">
      <w:t>5</w:t>
    </w:r>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29" w:rsidRPr="002F7A29" w:rsidRDefault="00293ACE" w:rsidP="002F7A29">
    <w:pPr>
      <w:pStyle w:val="Header"/>
      <w:jc w:val="right"/>
    </w:pPr>
    <w:r>
      <w:t>ECE/CEP/2015</w:t>
    </w:r>
    <w:r w:rsidR="002F7A29">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9"/>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1582D"/>
    <w:rsid w:val="00154896"/>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7E16"/>
    <w:rsid w:val="00211E0B"/>
    <w:rsid w:val="002154B7"/>
    <w:rsid w:val="00216F6B"/>
    <w:rsid w:val="00232575"/>
    <w:rsid w:val="00240C54"/>
    <w:rsid w:val="00247258"/>
    <w:rsid w:val="00257CAC"/>
    <w:rsid w:val="00266E9D"/>
    <w:rsid w:val="0027237A"/>
    <w:rsid w:val="00293053"/>
    <w:rsid w:val="00293ACE"/>
    <w:rsid w:val="00296882"/>
    <w:rsid w:val="002974E9"/>
    <w:rsid w:val="002A4A6D"/>
    <w:rsid w:val="002A78E1"/>
    <w:rsid w:val="002A7F94"/>
    <w:rsid w:val="002B109A"/>
    <w:rsid w:val="002C6D45"/>
    <w:rsid w:val="002D6E53"/>
    <w:rsid w:val="002E780C"/>
    <w:rsid w:val="002F046D"/>
    <w:rsid w:val="002F476A"/>
    <w:rsid w:val="002F7A29"/>
    <w:rsid w:val="0030131E"/>
    <w:rsid w:val="00301764"/>
    <w:rsid w:val="003229D8"/>
    <w:rsid w:val="00336C97"/>
    <w:rsid w:val="00337F88"/>
    <w:rsid w:val="00342432"/>
    <w:rsid w:val="00351727"/>
    <w:rsid w:val="0035223F"/>
    <w:rsid w:val="00352D4B"/>
    <w:rsid w:val="003558AE"/>
    <w:rsid w:val="0035638C"/>
    <w:rsid w:val="003646D8"/>
    <w:rsid w:val="00366AFC"/>
    <w:rsid w:val="003672C4"/>
    <w:rsid w:val="00387212"/>
    <w:rsid w:val="003A0F06"/>
    <w:rsid w:val="003A40F9"/>
    <w:rsid w:val="003A46BB"/>
    <w:rsid w:val="003A4EC7"/>
    <w:rsid w:val="003A7295"/>
    <w:rsid w:val="003B1F60"/>
    <w:rsid w:val="003C2CC4"/>
    <w:rsid w:val="003D4B23"/>
    <w:rsid w:val="003E278A"/>
    <w:rsid w:val="00413520"/>
    <w:rsid w:val="00415385"/>
    <w:rsid w:val="004325CB"/>
    <w:rsid w:val="00440A07"/>
    <w:rsid w:val="00454571"/>
    <w:rsid w:val="00455D8A"/>
    <w:rsid w:val="00462880"/>
    <w:rsid w:val="00476F24"/>
    <w:rsid w:val="0048167B"/>
    <w:rsid w:val="004C2D57"/>
    <w:rsid w:val="004C55B0"/>
    <w:rsid w:val="004F5AB3"/>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5F5187"/>
    <w:rsid w:val="00604DDD"/>
    <w:rsid w:val="006070AE"/>
    <w:rsid w:val="006115CC"/>
    <w:rsid w:val="00611FC4"/>
    <w:rsid w:val="006176FB"/>
    <w:rsid w:val="00630FCB"/>
    <w:rsid w:val="00640B26"/>
    <w:rsid w:val="006561C6"/>
    <w:rsid w:val="006770B2"/>
    <w:rsid w:val="006816F0"/>
    <w:rsid w:val="006940E1"/>
    <w:rsid w:val="006A3C72"/>
    <w:rsid w:val="006A7392"/>
    <w:rsid w:val="006B0382"/>
    <w:rsid w:val="006B03A1"/>
    <w:rsid w:val="006B67D9"/>
    <w:rsid w:val="006C5535"/>
    <w:rsid w:val="006D0589"/>
    <w:rsid w:val="006E47A8"/>
    <w:rsid w:val="006E564B"/>
    <w:rsid w:val="006E7154"/>
    <w:rsid w:val="007003CD"/>
    <w:rsid w:val="0070701E"/>
    <w:rsid w:val="0072632A"/>
    <w:rsid w:val="007358E8"/>
    <w:rsid w:val="00736ECE"/>
    <w:rsid w:val="0074533B"/>
    <w:rsid w:val="007643BC"/>
    <w:rsid w:val="007800E9"/>
    <w:rsid w:val="00787A82"/>
    <w:rsid w:val="007959FE"/>
    <w:rsid w:val="007A0CF1"/>
    <w:rsid w:val="007B6BA5"/>
    <w:rsid w:val="007C3390"/>
    <w:rsid w:val="007C42D8"/>
    <w:rsid w:val="007C4F4B"/>
    <w:rsid w:val="007D7362"/>
    <w:rsid w:val="007F5080"/>
    <w:rsid w:val="007F5CE2"/>
    <w:rsid w:val="007F6611"/>
    <w:rsid w:val="00810BAC"/>
    <w:rsid w:val="008126A0"/>
    <w:rsid w:val="008175E9"/>
    <w:rsid w:val="008242D7"/>
    <w:rsid w:val="0082577B"/>
    <w:rsid w:val="0083366B"/>
    <w:rsid w:val="00840852"/>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669D"/>
    <w:rsid w:val="008E7116"/>
    <w:rsid w:val="008F143B"/>
    <w:rsid w:val="008F3882"/>
    <w:rsid w:val="008F4B7C"/>
    <w:rsid w:val="00926E47"/>
    <w:rsid w:val="00947162"/>
    <w:rsid w:val="009557F7"/>
    <w:rsid w:val="009610D0"/>
    <w:rsid w:val="0096375C"/>
    <w:rsid w:val="00964EBA"/>
    <w:rsid w:val="009662E6"/>
    <w:rsid w:val="0097095E"/>
    <w:rsid w:val="00981EA6"/>
    <w:rsid w:val="0098592B"/>
    <w:rsid w:val="00985FC4"/>
    <w:rsid w:val="00990766"/>
    <w:rsid w:val="00991261"/>
    <w:rsid w:val="009964C4"/>
    <w:rsid w:val="009A7B81"/>
    <w:rsid w:val="009B2AD5"/>
    <w:rsid w:val="009D01C0"/>
    <w:rsid w:val="009D28B5"/>
    <w:rsid w:val="009D6A08"/>
    <w:rsid w:val="009E0A16"/>
    <w:rsid w:val="009E6CB7"/>
    <w:rsid w:val="009E7970"/>
    <w:rsid w:val="009F2EAC"/>
    <w:rsid w:val="009F57E3"/>
    <w:rsid w:val="00A10F4F"/>
    <w:rsid w:val="00A11067"/>
    <w:rsid w:val="00A1704A"/>
    <w:rsid w:val="00A40114"/>
    <w:rsid w:val="00A425EB"/>
    <w:rsid w:val="00A515A1"/>
    <w:rsid w:val="00A72F22"/>
    <w:rsid w:val="00A733BC"/>
    <w:rsid w:val="00A748A6"/>
    <w:rsid w:val="00A76A69"/>
    <w:rsid w:val="00A879A4"/>
    <w:rsid w:val="00AA0FF8"/>
    <w:rsid w:val="00AC0F2C"/>
    <w:rsid w:val="00AC502A"/>
    <w:rsid w:val="00AE044B"/>
    <w:rsid w:val="00AE0A5B"/>
    <w:rsid w:val="00AF58C1"/>
    <w:rsid w:val="00B04A3F"/>
    <w:rsid w:val="00B06643"/>
    <w:rsid w:val="00B15055"/>
    <w:rsid w:val="00B23DD7"/>
    <w:rsid w:val="00B30179"/>
    <w:rsid w:val="00B37B15"/>
    <w:rsid w:val="00B45C02"/>
    <w:rsid w:val="00B57A9D"/>
    <w:rsid w:val="00B72A1E"/>
    <w:rsid w:val="00B81E12"/>
    <w:rsid w:val="00BA339B"/>
    <w:rsid w:val="00BB54E8"/>
    <w:rsid w:val="00BC1E7E"/>
    <w:rsid w:val="00BC74E9"/>
    <w:rsid w:val="00BC7F91"/>
    <w:rsid w:val="00BE36A9"/>
    <w:rsid w:val="00BE618E"/>
    <w:rsid w:val="00BE7BEC"/>
    <w:rsid w:val="00BF0A5A"/>
    <w:rsid w:val="00BF0E63"/>
    <w:rsid w:val="00BF12A3"/>
    <w:rsid w:val="00BF16D7"/>
    <w:rsid w:val="00BF2373"/>
    <w:rsid w:val="00C044E2"/>
    <w:rsid w:val="00C048CB"/>
    <w:rsid w:val="00C04974"/>
    <w:rsid w:val="00C066F3"/>
    <w:rsid w:val="00C463DD"/>
    <w:rsid w:val="00C745C3"/>
    <w:rsid w:val="00C94985"/>
    <w:rsid w:val="00CA24A4"/>
    <w:rsid w:val="00CB348D"/>
    <w:rsid w:val="00CD46F5"/>
    <w:rsid w:val="00CE4A8F"/>
    <w:rsid w:val="00CF071D"/>
    <w:rsid w:val="00CF6FD5"/>
    <w:rsid w:val="00D15B04"/>
    <w:rsid w:val="00D2031B"/>
    <w:rsid w:val="00D222A1"/>
    <w:rsid w:val="00D25FE2"/>
    <w:rsid w:val="00D30FC8"/>
    <w:rsid w:val="00D37DA9"/>
    <w:rsid w:val="00D406A7"/>
    <w:rsid w:val="00D43252"/>
    <w:rsid w:val="00D44D86"/>
    <w:rsid w:val="00D50B7D"/>
    <w:rsid w:val="00D52012"/>
    <w:rsid w:val="00D704E5"/>
    <w:rsid w:val="00D72727"/>
    <w:rsid w:val="00D978C6"/>
    <w:rsid w:val="00DA0956"/>
    <w:rsid w:val="00DA357F"/>
    <w:rsid w:val="00DA3E12"/>
    <w:rsid w:val="00DC18AD"/>
    <w:rsid w:val="00DE75EA"/>
    <w:rsid w:val="00DF7CAE"/>
    <w:rsid w:val="00E1341B"/>
    <w:rsid w:val="00E21DB7"/>
    <w:rsid w:val="00E423C0"/>
    <w:rsid w:val="00E6414C"/>
    <w:rsid w:val="00E7260F"/>
    <w:rsid w:val="00E8702D"/>
    <w:rsid w:val="00E916A9"/>
    <w:rsid w:val="00E916DE"/>
    <w:rsid w:val="00E925AD"/>
    <w:rsid w:val="00E96630"/>
    <w:rsid w:val="00EB026C"/>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949EB"/>
    <w:rsid w:val="00FA1F6A"/>
    <w:rsid w:val="00FC03CD"/>
    <w:rsid w:val="00FC0646"/>
    <w:rsid w:val="00FC68B7"/>
    <w:rsid w:val="00FD1BE0"/>
    <w:rsid w:val="00FE6985"/>
    <w:rsid w:val="00FF3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F7A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7A29"/>
    <w:rPr>
      <w:rFonts w:ascii="Tahoma" w:hAnsi="Tahoma" w:cs="Tahoma"/>
      <w:sz w:val="16"/>
      <w:szCs w:val="16"/>
      <w:lang w:eastAsia="en-US"/>
    </w:rPr>
  </w:style>
  <w:style w:type="character" w:customStyle="1" w:styleId="HChGChar">
    <w:name w:val="_ H _Ch_G Char"/>
    <w:link w:val="HChG"/>
    <w:rsid w:val="002F7A29"/>
    <w:rPr>
      <w:b/>
      <w:sz w:val="28"/>
      <w:lang w:eastAsia="en-US"/>
    </w:rPr>
  </w:style>
  <w:style w:type="character" w:customStyle="1" w:styleId="H1GChar">
    <w:name w:val="_ H_1_G Char"/>
    <w:link w:val="H1G"/>
    <w:rsid w:val="002F7A29"/>
    <w:rPr>
      <w:b/>
      <w:sz w:val="24"/>
      <w:lang w:eastAsia="en-US"/>
    </w:rPr>
  </w:style>
  <w:style w:type="character" w:customStyle="1" w:styleId="FootnoteTextChar">
    <w:name w:val="Footnote Text Char"/>
    <w:aliases w:val="5_G Char"/>
    <w:link w:val="FootnoteText"/>
    <w:rsid w:val="002F7A29"/>
    <w:rPr>
      <w:sz w:val="18"/>
      <w:lang w:eastAsia="en-US"/>
    </w:rPr>
  </w:style>
  <w:style w:type="character" w:customStyle="1" w:styleId="SingleTxtGChar">
    <w:name w:val="_ Single Txt_G Char"/>
    <w:link w:val="SingleTxtG"/>
    <w:rsid w:val="002F7A29"/>
    <w:rPr>
      <w:lang w:eastAsia="en-US"/>
    </w:rPr>
  </w:style>
  <w:style w:type="character" w:styleId="CommentReference">
    <w:name w:val="annotation reference"/>
    <w:basedOn w:val="DefaultParagraphFont"/>
    <w:rsid w:val="00787A82"/>
    <w:rPr>
      <w:sz w:val="16"/>
      <w:szCs w:val="16"/>
    </w:rPr>
  </w:style>
  <w:style w:type="paragraph" w:styleId="CommentText">
    <w:name w:val="annotation text"/>
    <w:basedOn w:val="Normal"/>
    <w:link w:val="CommentTextChar"/>
    <w:rsid w:val="00787A82"/>
    <w:pPr>
      <w:spacing w:line="240" w:lineRule="auto"/>
    </w:pPr>
  </w:style>
  <w:style w:type="character" w:customStyle="1" w:styleId="CommentTextChar">
    <w:name w:val="Comment Text Char"/>
    <w:basedOn w:val="DefaultParagraphFont"/>
    <w:link w:val="CommentText"/>
    <w:rsid w:val="00787A82"/>
    <w:rPr>
      <w:lang w:eastAsia="en-US"/>
    </w:rPr>
  </w:style>
  <w:style w:type="paragraph" w:styleId="CommentSubject">
    <w:name w:val="annotation subject"/>
    <w:basedOn w:val="CommentText"/>
    <w:next w:val="CommentText"/>
    <w:link w:val="CommentSubjectChar"/>
    <w:rsid w:val="00787A82"/>
    <w:rPr>
      <w:b/>
      <w:bCs/>
    </w:rPr>
  </w:style>
  <w:style w:type="character" w:customStyle="1" w:styleId="CommentSubjectChar">
    <w:name w:val="Comment Subject Char"/>
    <w:basedOn w:val="CommentTextChar"/>
    <w:link w:val="CommentSubject"/>
    <w:rsid w:val="00787A82"/>
    <w:rPr>
      <w:b/>
      <w:bCs/>
      <w:lang w:eastAsia="en-US"/>
    </w:rPr>
  </w:style>
  <w:style w:type="paragraph" w:styleId="Revision">
    <w:name w:val="Revision"/>
    <w:hidden/>
    <w:uiPriority w:val="99"/>
    <w:semiHidden/>
    <w:rsid w:val="004C2D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2F7A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F7A29"/>
    <w:rPr>
      <w:rFonts w:ascii="Tahoma" w:hAnsi="Tahoma" w:cs="Tahoma"/>
      <w:sz w:val="16"/>
      <w:szCs w:val="16"/>
      <w:lang w:eastAsia="en-US"/>
    </w:rPr>
  </w:style>
  <w:style w:type="character" w:customStyle="1" w:styleId="HChGChar">
    <w:name w:val="_ H _Ch_G Char"/>
    <w:link w:val="HChG"/>
    <w:rsid w:val="002F7A29"/>
    <w:rPr>
      <w:b/>
      <w:sz w:val="28"/>
      <w:lang w:eastAsia="en-US"/>
    </w:rPr>
  </w:style>
  <w:style w:type="character" w:customStyle="1" w:styleId="H1GChar">
    <w:name w:val="_ H_1_G Char"/>
    <w:link w:val="H1G"/>
    <w:rsid w:val="002F7A29"/>
    <w:rPr>
      <w:b/>
      <w:sz w:val="24"/>
      <w:lang w:eastAsia="en-US"/>
    </w:rPr>
  </w:style>
  <w:style w:type="character" w:customStyle="1" w:styleId="FootnoteTextChar">
    <w:name w:val="Footnote Text Char"/>
    <w:aliases w:val="5_G Char"/>
    <w:link w:val="FootnoteText"/>
    <w:rsid w:val="002F7A29"/>
    <w:rPr>
      <w:sz w:val="18"/>
      <w:lang w:eastAsia="en-US"/>
    </w:rPr>
  </w:style>
  <w:style w:type="character" w:customStyle="1" w:styleId="SingleTxtGChar">
    <w:name w:val="_ Single Txt_G Char"/>
    <w:link w:val="SingleTxtG"/>
    <w:rsid w:val="002F7A29"/>
    <w:rPr>
      <w:lang w:eastAsia="en-US"/>
    </w:rPr>
  </w:style>
  <w:style w:type="character" w:styleId="CommentReference">
    <w:name w:val="annotation reference"/>
    <w:basedOn w:val="DefaultParagraphFont"/>
    <w:rsid w:val="00787A82"/>
    <w:rPr>
      <w:sz w:val="16"/>
      <w:szCs w:val="16"/>
    </w:rPr>
  </w:style>
  <w:style w:type="paragraph" w:styleId="CommentText">
    <w:name w:val="annotation text"/>
    <w:basedOn w:val="Normal"/>
    <w:link w:val="CommentTextChar"/>
    <w:rsid w:val="00787A82"/>
    <w:pPr>
      <w:spacing w:line="240" w:lineRule="auto"/>
    </w:pPr>
  </w:style>
  <w:style w:type="character" w:customStyle="1" w:styleId="CommentTextChar">
    <w:name w:val="Comment Text Char"/>
    <w:basedOn w:val="DefaultParagraphFont"/>
    <w:link w:val="CommentText"/>
    <w:rsid w:val="00787A82"/>
    <w:rPr>
      <w:lang w:eastAsia="en-US"/>
    </w:rPr>
  </w:style>
  <w:style w:type="paragraph" w:styleId="CommentSubject">
    <w:name w:val="annotation subject"/>
    <w:basedOn w:val="CommentText"/>
    <w:next w:val="CommentText"/>
    <w:link w:val="CommentSubjectChar"/>
    <w:rsid w:val="00787A82"/>
    <w:rPr>
      <w:b/>
      <w:bCs/>
    </w:rPr>
  </w:style>
  <w:style w:type="character" w:customStyle="1" w:styleId="CommentSubjectChar">
    <w:name w:val="Comment Subject Char"/>
    <w:basedOn w:val="CommentTextChar"/>
    <w:link w:val="CommentSubject"/>
    <w:rsid w:val="00787A82"/>
    <w:rPr>
      <w:b/>
      <w:bCs/>
      <w:lang w:eastAsia="en-US"/>
    </w:rPr>
  </w:style>
  <w:style w:type="paragraph" w:styleId="Revision">
    <w:name w:val="Revision"/>
    <w:hidden/>
    <w:uiPriority w:val="99"/>
    <w:semiHidden/>
    <w:rsid w:val="004C2D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4</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sochirca</cp:lastModifiedBy>
  <cp:revision>4</cp:revision>
  <cp:lastPrinted>2015-08-19T11:48:00Z</cp:lastPrinted>
  <dcterms:created xsi:type="dcterms:W3CDTF">2015-08-19T11:48:00Z</dcterms:created>
  <dcterms:modified xsi:type="dcterms:W3CDTF">2015-10-21T17:17:00Z</dcterms:modified>
</cp:coreProperties>
</file>