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51" w:rsidRPr="00E71C11" w:rsidRDefault="00163251" w:rsidP="00163251">
      <w:pPr>
        <w:spacing w:line="60" w:lineRule="exact"/>
        <w:rPr>
          <w:color w:val="010000"/>
          <w:sz w:val="6"/>
        </w:rPr>
        <w:sectPr w:rsidR="00163251" w:rsidRPr="00E71C11" w:rsidSect="001632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E71C11" w:rsidRPr="00E71C11" w:rsidRDefault="00E71C11" w:rsidP="0033034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71C11">
        <w:lastRenderedPageBreak/>
        <w:t>Европейская экономическая комиссия</w:t>
      </w:r>
    </w:p>
    <w:p w:rsidR="00330345" w:rsidRPr="00330345" w:rsidRDefault="00330345" w:rsidP="0033034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b w:val="0"/>
          <w:sz w:val="10"/>
        </w:rPr>
      </w:pPr>
    </w:p>
    <w:p w:rsidR="00E71C11" w:rsidRPr="00330345" w:rsidRDefault="00E71C11" w:rsidP="0033034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 w:rsidRPr="00330345">
        <w:rPr>
          <w:b w:val="0"/>
        </w:rPr>
        <w:t>Комитет по экологической политике</w:t>
      </w:r>
    </w:p>
    <w:p w:rsidR="00330345" w:rsidRPr="00330345" w:rsidRDefault="00330345" w:rsidP="00330345">
      <w:pPr>
        <w:pStyle w:val="SingleTxt"/>
        <w:spacing w:after="0" w:line="120" w:lineRule="exact"/>
        <w:rPr>
          <w:b/>
          <w:sz w:val="10"/>
        </w:rPr>
      </w:pPr>
    </w:p>
    <w:p w:rsidR="00E71C11" w:rsidRPr="00E71C11" w:rsidRDefault="00E71C11" w:rsidP="0033034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71C11">
        <w:t>Двадцать первая сессия</w:t>
      </w:r>
    </w:p>
    <w:p w:rsidR="00E71C11" w:rsidRPr="00330345" w:rsidRDefault="00E71C11" w:rsidP="0033034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330345">
        <w:rPr>
          <w:b w:val="0"/>
          <w:bCs/>
        </w:rPr>
        <w:t>Женева, 27–30 октября 2015 года</w:t>
      </w:r>
    </w:p>
    <w:p w:rsidR="00E71C11" w:rsidRPr="00330345" w:rsidRDefault="00E71C11" w:rsidP="0033034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330345">
        <w:rPr>
          <w:b w:val="0"/>
          <w:bCs/>
        </w:rPr>
        <w:t>Пункт 8 c) предварительной повестки дня</w:t>
      </w:r>
    </w:p>
    <w:p w:rsidR="00E71C11" w:rsidRPr="00E71C11" w:rsidRDefault="00E71C11" w:rsidP="00330345">
      <w:pPr>
        <w:pStyle w:val="H23"/>
        <w:tabs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 w:rsidRPr="00E71C11">
        <w:t>Программа работы Подпрограммы по окружающей среде:</w:t>
      </w:r>
      <w:r w:rsidR="00330345" w:rsidRPr="00330345">
        <w:br/>
      </w:r>
      <w:r w:rsidRPr="00E71C11">
        <w:t xml:space="preserve">оценка результативности Подпрограммы по окружающей </w:t>
      </w:r>
      <w:r w:rsidR="00330345" w:rsidRPr="00330345">
        <w:br/>
      </w:r>
      <w:r w:rsidRPr="00E71C11">
        <w:t xml:space="preserve">среде на 2014–2015 годы и план оценки результативности </w:t>
      </w:r>
      <w:r w:rsidR="00330345" w:rsidRPr="00330345">
        <w:br/>
      </w:r>
      <w:r w:rsidRPr="00E71C11">
        <w:t>на 2016–2017 годы</w:t>
      </w:r>
    </w:p>
    <w:p w:rsidR="00330345" w:rsidRPr="00330345" w:rsidRDefault="00330345" w:rsidP="00330345">
      <w:pPr>
        <w:pStyle w:val="SingleTxt"/>
        <w:spacing w:after="0" w:line="120" w:lineRule="exact"/>
        <w:rPr>
          <w:b/>
          <w:sz w:val="10"/>
        </w:rPr>
      </w:pPr>
    </w:p>
    <w:p w:rsidR="00330345" w:rsidRPr="00330345" w:rsidRDefault="00330345" w:rsidP="00330345">
      <w:pPr>
        <w:pStyle w:val="SingleTxt"/>
        <w:spacing w:after="0" w:line="120" w:lineRule="exact"/>
        <w:rPr>
          <w:b/>
          <w:sz w:val="10"/>
        </w:rPr>
      </w:pPr>
    </w:p>
    <w:p w:rsidR="00330345" w:rsidRPr="00330345" w:rsidRDefault="00330345" w:rsidP="00330345">
      <w:pPr>
        <w:pStyle w:val="SingleTxt"/>
        <w:spacing w:after="0" w:line="120" w:lineRule="exact"/>
        <w:rPr>
          <w:b/>
          <w:sz w:val="10"/>
        </w:rPr>
      </w:pPr>
    </w:p>
    <w:p w:rsidR="00E71C11" w:rsidRPr="00E71C11" w:rsidRDefault="00E71C11" w:rsidP="0033034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71C11">
        <w:tab/>
      </w:r>
      <w:r w:rsidRPr="00E71C11">
        <w:tab/>
        <w:t>Доклад о выполнении Подпрограммы по окружающей среде за двухгодичный период 2014–2015 годов</w:t>
      </w:r>
    </w:p>
    <w:p w:rsidR="00330345" w:rsidRPr="00330345" w:rsidRDefault="00330345" w:rsidP="00330345">
      <w:pPr>
        <w:pStyle w:val="SingleTxt"/>
        <w:spacing w:after="0" w:line="120" w:lineRule="exact"/>
        <w:rPr>
          <w:b/>
          <w:sz w:val="10"/>
        </w:rPr>
      </w:pPr>
    </w:p>
    <w:p w:rsidR="00330345" w:rsidRPr="00330345" w:rsidRDefault="00330345" w:rsidP="00330345">
      <w:pPr>
        <w:pStyle w:val="SingleTxt"/>
        <w:spacing w:after="0" w:line="120" w:lineRule="exact"/>
        <w:rPr>
          <w:b/>
          <w:sz w:val="10"/>
        </w:rPr>
      </w:pPr>
    </w:p>
    <w:p w:rsidR="00E71C11" w:rsidRDefault="00E71C11" w:rsidP="0033034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vertAlign w:val="superscript"/>
          <w:lang w:val="en-US"/>
        </w:rPr>
      </w:pPr>
      <w:r w:rsidRPr="00E71C11">
        <w:tab/>
      </w:r>
      <w:r w:rsidRPr="00E71C11">
        <w:tab/>
        <w:t>Записка секретариата</w:t>
      </w:r>
      <w:r w:rsidR="00330345" w:rsidRPr="00C15633">
        <w:rPr>
          <w:rStyle w:val="FootnoteReference"/>
          <w:b w:val="0"/>
          <w:bCs/>
          <w:sz w:val="20"/>
          <w:vertAlign w:val="baseline"/>
        </w:rPr>
        <w:footnoteReference w:customMarkFollows="1" w:id="1"/>
        <w:sym w:font="Symbol" w:char="F02A"/>
      </w:r>
    </w:p>
    <w:p w:rsidR="00330345" w:rsidRPr="00330345" w:rsidRDefault="00330345" w:rsidP="00330345">
      <w:pPr>
        <w:pStyle w:val="SingleTxt"/>
        <w:spacing w:after="0" w:line="120" w:lineRule="exact"/>
        <w:rPr>
          <w:sz w:val="10"/>
          <w:lang w:val="en-US"/>
        </w:rPr>
      </w:pPr>
    </w:p>
    <w:p w:rsidR="00330345" w:rsidRPr="00330345" w:rsidRDefault="00330345" w:rsidP="00330345">
      <w:pPr>
        <w:pStyle w:val="SingleTxt"/>
        <w:spacing w:after="0" w:line="120" w:lineRule="exact"/>
        <w:rPr>
          <w:sz w:val="10"/>
          <w:lang w:val="en-US"/>
        </w:rPr>
      </w:pPr>
    </w:p>
    <w:p w:rsidR="00330345" w:rsidRPr="00330345" w:rsidRDefault="00330345" w:rsidP="00330345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330345" w:rsidTr="00330345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330345" w:rsidRPr="00330345" w:rsidRDefault="00330345" w:rsidP="00330345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ab/>
            </w:r>
            <w:proofErr w:type="spellStart"/>
            <w:r>
              <w:rPr>
                <w:i/>
                <w:sz w:val="24"/>
                <w:lang w:val="en-US"/>
              </w:rPr>
              <w:t>Резюме</w:t>
            </w:r>
            <w:proofErr w:type="spellEnd"/>
          </w:p>
        </w:tc>
      </w:tr>
      <w:tr w:rsidR="00330345" w:rsidRPr="00330345" w:rsidTr="00330345">
        <w:tc>
          <w:tcPr>
            <w:tcW w:w="10051" w:type="dxa"/>
            <w:shd w:val="clear" w:color="auto" w:fill="auto"/>
          </w:tcPr>
          <w:p w:rsidR="00330345" w:rsidRPr="00330345" w:rsidRDefault="00330345" w:rsidP="00330345">
            <w:pPr>
              <w:pStyle w:val="SingleTxt"/>
            </w:pPr>
            <w:r w:rsidRPr="00330345">
              <w:tab/>
              <w:t>На своей последней сессии в октябре 2014 года Комитет по экологической политике (КЭП) Европейской экономической комиссии (ЕЭК) Организации Об</w:t>
            </w:r>
            <w:r w:rsidRPr="00330345">
              <w:t>ъ</w:t>
            </w:r>
            <w:r w:rsidRPr="00330345">
              <w:t>единенных Наций решил продолжить проведение двухгодичной оценки результ</w:t>
            </w:r>
            <w:r w:rsidRPr="00330345">
              <w:t>а</w:t>
            </w:r>
            <w:r w:rsidRPr="00330345">
              <w:t xml:space="preserve">тивности Подпрограммы по окружающей среде в </w:t>
            </w:r>
            <w:proofErr w:type="gramStart"/>
            <w:r w:rsidRPr="00330345">
              <w:t>течение</w:t>
            </w:r>
            <w:proofErr w:type="gramEnd"/>
            <w:r w:rsidRPr="00330345">
              <w:t xml:space="preserve"> по крайней мере еще одного цикла и утвердил двухгодичный план оценки результативности Подпр</w:t>
            </w:r>
            <w:r w:rsidRPr="00330345">
              <w:t>о</w:t>
            </w:r>
            <w:r w:rsidRPr="00330345">
              <w:t>граммы по окружающей среде на 2014−2015 годы (ECE/CEP/2014/4).</w:t>
            </w:r>
          </w:p>
        </w:tc>
      </w:tr>
      <w:tr w:rsidR="00330345" w:rsidRPr="00330345" w:rsidTr="00330345">
        <w:tc>
          <w:tcPr>
            <w:tcW w:w="10051" w:type="dxa"/>
            <w:shd w:val="clear" w:color="auto" w:fill="auto"/>
          </w:tcPr>
          <w:p w:rsidR="00330345" w:rsidRPr="00330345" w:rsidRDefault="00330345" w:rsidP="00330345">
            <w:pPr>
              <w:pStyle w:val="SingleTxt"/>
            </w:pPr>
            <w:r w:rsidRPr="00915B66">
              <w:tab/>
            </w:r>
            <w:r w:rsidRPr="00330345">
              <w:t>В настоящем документе содержится доклад о выполнении Подпрограммы по окружающей среде за двухгодичный период 2014–2015 годов. Его структура соответствует тематическим блокам, по которым сгруппирована деятельность в рамках Подпрограммы.</w:t>
            </w:r>
          </w:p>
        </w:tc>
      </w:tr>
      <w:tr w:rsidR="00330345" w:rsidRPr="00330345" w:rsidTr="00330345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330345" w:rsidRPr="00330345" w:rsidRDefault="00330345" w:rsidP="00330345">
            <w:pPr>
              <w:pStyle w:val="SingleTxt"/>
            </w:pPr>
            <w:r w:rsidRPr="00915B66">
              <w:tab/>
            </w:r>
            <w:r w:rsidRPr="00330345">
              <w:t>КЭП будет предложено рассмотреть документ на своей двадцать первой сессии на предмет его одобрения.</w:t>
            </w:r>
          </w:p>
        </w:tc>
      </w:tr>
      <w:tr w:rsidR="00330345" w:rsidRPr="00330345" w:rsidTr="00330345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330345" w:rsidRPr="00330345" w:rsidRDefault="00330345" w:rsidP="00330345">
            <w:pPr>
              <w:pStyle w:val="SingleTxt"/>
            </w:pPr>
          </w:p>
        </w:tc>
      </w:tr>
    </w:tbl>
    <w:p w:rsidR="00330345" w:rsidRPr="00330345" w:rsidRDefault="00330345" w:rsidP="00330345">
      <w:pPr>
        <w:pStyle w:val="SingleTxt"/>
        <w:spacing w:after="0" w:line="120" w:lineRule="exact"/>
        <w:rPr>
          <w:sz w:val="10"/>
        </w:rPr>
      </w:pPr>
    </w:p>
    <w:p w:rsidR="00E71C11" w:rsidRPr="00E71C11" w:rsidRDefault="00E71C11" w:rsidP="00B37F4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71C11">
        <w:br w:type="page"/>
      </w:r>
      <w:r w:rsidR="00B37F4A" w:rsidRPr="00B37F4A">
        <w:lastRenderedPageBreak/>
        <w:tab/>
      </w:r>
      <w:r w:rsidR="00B37F4A" w:rsidRPr="00B37F4A">
        <w:tab/>
      </w:r>
      <w:r w:rsidRPr="00E71C11">
        <w:t>Введение</w:t>
      </w:r>
    </w:p>
    <w:p w:rsidR="00B37F4A" w:rsidRPr="00B37F4A" w:rsidRDefault="00B37F4A" w:rsidP="00B37F4A">
      <w:pPr>
        <w:pStyle w:val="SingleTxt"/>
        <w:spacing w:after="0" w:line="120" w:lineRule="exact"/>
        <w:rPr>
          <w:sz w:val="10"/>
        </w:rPr>
      </w:pPr>
    </w:p>
    <w:p w:rsidR="00B37F4A" w:rsidRPr="00B37F4A" w:rsidRDefault="00B37F4A" w:rsidP="00B37F4A">
      <w:pPr>
        <w:pStyle w:val="SingleTxt"/>
        <w:spacing w:after="0" w:line="120" w:lineRule="exact"/>
        <w:rPr>
          <w:sz w:val="10"/>
        </w:rPr>
      </w:pPr>
    </w:p>
    <w:p w:rsidR="00E71C11" w:rsidRPr="00E71C11" w:rsidRDefault="00E71C11" w:rsidP="00E71C11">
      <w:pPr>
        <w:pStyle w:val="SingleTxt"/>
      </w:pPr>
      <w:r w:rsidRPr="00E71C11">
        <w:t>1.</w:t>
      </w:r>
      <w:r w:rsidRPr="00E71C11">
        <w:tab/>
        <w:t>В стратегических рамках на период 2014−2015 годов (A/67/6 (программа 17)) для Подпрограммы по окружающей среде Европейской экономической комиссии Организации Объединенных Наций (ЕЭК) установлено четыре ожидаемых вс</w:t>
      </w:r>
      <w:r w:rsidRPr="00E71C11">
        <w:t>е</w:t>
      </w:r>
      <w:r w:rsidRPr="00E71C11">
        <w:t>объемлющих достижения. Подпрограмма будет докладывать об их осуществл</w:t>
      </w:r>
      <w:r w:rsidRPr="00E71C11">
        <w:t>е</w:t>
      </w:r>
      <w:r w:rsidRPr="00E71C11">
        <w:t>нии Генеральной Ассамблее Организации Объединенных Наций.</w:t>
      </w:r>
    </w:p>
    <w:p w:rsidR="00E71C11" w:rsidRPr="00E71C11" w:rsidRDefault="00E71C11" w:rsidP="00E71C11">
      <w:pPr>
        <w:pStyle w:val="SingleTxt"/>
      </w:pPr>
      <w:r w:rsidRPr="00E71C11">
        <w:t>2.</w:t>
      </w:r>
      <w:r w:rsidRPr="00E71C11">
        <w:tab/>
        <w:t>Деятельность по Подпрограмме по окружающей среде на двухгодичный п</w:t>
      </w:r>
      <w:r w:rsidRPr="00E71C11">
        <w:t>е</w:t>
      </w:r>
      <w:r w:rsidRPr="00E71C11">
        <w:t>риод 2014−2015 годов сгруппирована по тематическим блокам; в отношении каждого из них ниже приводятся ожидаемые достижения и показатели достиж</w:t>
      </w:r>
      <w:r w:rsidRPr="00E71C11">
        <w:t>е</w:t>
      </w:r>
      <w:r w:rsidRPr="00E71C11">
        <w:t>ния результатов, о которых Подпрограмма докладывает Комитету по экологич</w:t>
      </w:r>
      <w:r w:rsidRPr="00E71C11">
        <w:t>е</w:t>
      </w:r>
      <w:r w:rsidR="00B37F4A">
        <w:t>ской политике (КЭП) ЕЭК. «</w:t>
      </w:r>
      <w:r w:rsidRPr="00E71C11">
        <w:t>Фактические показатели рез</w:t>
      </w:r>
      <w:r w:rsidR="00C15633">
        <w:t xml:space="preserve">ультативности за  </w:t>
      </w:r>
      <w:r w:rsidR="00B37F4A">
        <w:t>2014−2015 годы»</w:t>
      </w:r>
      <w:r w:rsidRPr="00E71C11">
        <w:t xml:space="preserve"> в целом приводятся по состоянию на 31 июля 2015 года с учетом того, что настоящий документ был подготовлен до завершения отчетного двухгодичного периода.</w:t>
      </w:r>
    </w:p>
    <w:p w:rsidR="00C15633" w:rsidRPr="00C15633" w:rsidRDefault="00C15633" w:rsidP="00C1563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C15633" w:rsidRPr="00C15633" w:rsidRDefault="00C15633" w:rsidP="00C1563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E71C11" w:rsidRPr="00E71C11" w:rsidRDefault="00B37F4A" w:rsidP="00B37F4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Тематический блок 1</w:t>
      </w:r>
      <w:proofErr w:type="gramStart"/>
      <w:r w:rsidR="00E71C11" w:rsidRPr="00E71C11">
        <w:br/>
        <w:t>Б</w:t>
      </w:r>
      <w:proofErr w:type="gramEnd"/>
      <w:r w:rsidR="00E71C11" w:rsidRPr="00E71C11">
        <w:t>олее эффективное реагирование на экологические проблемы</w:t>
      </w:r>
      <w:r w:rsidRPr="00C15633">
        <w:rPr>
          <w:rStyle w:val="FootnoteReference"/>
          <w:b w:val="0"/>
          <w:bCs/>
          <w:sz w:val="20"/>
        </w:rPr>
        <w:footnoteReference w:id="2"/>
      </w:r>
    </w:p>
    <w:p w:rsidR="00B37F4A" w:rsidRPr="00B37F4A" w:rsidRDefault="00B37F4A" w:rsidP="00B37F4A">
      <w:pPr>
        <w:pStyle w:val="SingleTxt"/>
        <w:spacing w:after="0" w:line="120" w:lineRule="exact"/>
        <w:rPr>
          <w:i/>
          <w:sz w:val="10"/>
        </w:rPr>
      </w:pPr>
    </w:p>
    <w:p w:rsidR="00B37F4A" w:rsidRPr="00B37F4A" w:rsidRDefault="00B37F4A" w:rsidP="00B37F4A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B37F4A" w:rsidP="00B37F4A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Ожидаемые достижения</w:t>
      </w:r>
    </w:p>
    <w:p w:rsidR="00B37F4A" w:rsidRPr="00B37F4A" w:rsidRDefault="00B37F4A" w:rsidP="00B37F4A">
      <w:pPr>
        <w:pStyle w:val="SingleTxt"/>
        <w:spacing w:after="0" w:line="120" w:lineRule="exact"/>
        <w:rPr>
          <w:sz w:val="10"/>
        </w:rPr>
      </w:pPr>
    </w:p>
    <w:p w:rsidR="00E71C11" w:rsidRPr="00E71C11" w:rsidRDefault="00E71C11" w:rsidP="00B37F4A">
      <w:pPr>
        <w:pStyle w:val="SingleTxt"/>
      </w:pPr>
      <w:r w:rsidRPr="00E71C11">
        <w:t xml:space="preserve">Более активное реагирование стран </w:t>
      </w:r>
      <w:r w:rsidR="00B37F4A">
        <w:t>–</w:t>
      </w:r>
      <w:r w:rsidRPr="00E71C11">
        <w:t xml:space="preserve"> членов ЕЭК на существующие в этом рег</w:t>
      </w:r>
      <w:r w:rsidRPr="00E71C11">
        <w:t>и</w:t>
      </w:r>
      <w:r w:rsidRPr="00E71C11">
        <w:t>оне экологические проблемы</w:t>
      </w:r>
    </w:p>
    <w:p w:rsidR="00B37F4A" w:rsidRPr="00B37F4A" w:rsidRDefault="00B37F4A" w:rsidP="00B37F4A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B37F4A" w:rsidP="00B37F4A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Отчет о достижениях/полученных результатах</w:t>
      </w:r>
    </w:p>
    <w:p w:rsidR="00B37F4A" w:rsidRPr="00B37F4A" w:rsidRDefault="00B37F4A" w:rsidP="00B37F4A">
      <w:pPr>
        <w:pStyle w:val="SingleTxt"/>
        <w:spacing w:after="0" w:line="120" w:lineRule="exact"/>
        <w:rPr>
          <w:sz w:val="10"/>
        </w:rPr>
      </w:pPr>
    </w:p>
    <w:p w:rsidR="00E71C11" w:rsidRPr="00E71C11" w:rsidRDefault="00E71C11" w:rsidP="00E71C11">
      <w:pPr>
        <w:pStyle w:val="SingleTxt"/>
      </w:pPr>
      <w:r w:rsidRPr="00E71C11">
        <w:t>3.</w:t>
      </w:r>
      <w:r w:rsidRPr="00E71C11">
        <w:tab/>
      </w:r>
      <w:proofErr w:type="gramStart"/>
      <w:r w:rsidRPr="00E71C11">
        <w:t>Был</w:t>
      </w:r>
      <w:proofErr w:type="gramEnd"/>
      <w:r w:rsidRPr="00E71C11">
        <w:t xml:space="preserve"> достигнут дальнейший прогресс в обеспечении более эффективного реагирования на экологические проблемы в регионе ЕЭК. Конвенция об оценке воздействия на окружающую среду в трансграничном контексте (Конвенция </w:t>
      </w:r>
      <w:proofErr w:type="spellStart"/>
      <w:r w:rsidRPr="00E71C11">
        <w:t>Э</w:t>
      </w:r>
      <w:r w:rsidRPr="00E71C11">
        <w:t>с</w:t>
      </w:r>
      <w:r w:rsidRPr="00E71C11">
        <w:t>по</w:t>
      </w:r>
      <w:proofErr w:type="spellEnd"/>
      <w:r w:rsidRPr="00E71C11">
        <w:t>) была открыта для пр</w:t>
      </w:r>
      <w:r w:rsidR="00915B66">
        <w:t xml:space="preserve">исоединения для всех государств – </w:t>
      </w:r>
      <w:r w:rsidRPr="00E71C11">
        <w:t>членов Организации Объединенных Наций с момента вступления в силу первой поправки к ней. Бл</w:t>
      </w:r>
      <w:r w:rsidRPr="00E71C11">
        <w:t>а</w:t>
      </w:r>
      <w:r w:rsidRPr="00E71C11">
        <w:t>годаря этой Конвенции восполняется пробел в международном праве и далее укрепляется роль оценок воздействия на окружающую среду в качестве важного инструмента обеспечения устойчивого развития. В рамках Конвенции о тран</w:t>
      </w:r>
      <w:r w:rsidRPr="00E71C11">
        <w:t>с</w:t>
      </w:r>
      <w:r w:rsidRPr="00E71C11">
        <w:t>граничном воздействии промышленных аварий (Конвенция о промышленных авариях) был утвержден пересмотренный перечень химических веществ: в него были добавлены 13 категорий опасных веществ и 32 химических вещества, ок</w:t>
      </w:r>
      <w:r w:rsidRPr="00E71C11">
        <w:t>а</w:t>
      </w:r>
      <w:r w:rsidRPr="00E71C11">
        <w:t>зывающих значительное воздействие на здоровье человека и окружающую среду.</w:t>
      </w:r>
    </w:p>
    <w:p w:rsidR="00E71C11" w:rsidRPr="00E71C11" w:rsidRDefault="00E71C11" w:rsidP="00E71C11">
      <w:pPr>
        <w:pStyle w:val="SingleTxt"/>
      </w:pPr>
      <w:r w:rsidRPr="00E71C11">
        <w:t>4.</w:t>
      </w:r>
      <w:r w:rsidRPr="00E71C11">
        <w:tab/>
        <w:t>Помимо этого, КЭП утвердил целевые показатели и показатели результ</w:t>
      </w:r>
      <w:r w:rsidRPr="00E71C11">
        <w:t>а</w:t>
      </w:r>
      <w:r w:rsidRPr="00E71C11">
        <w:t>тивности для оценки прогресса в плане разработки общей системы экологич</w:t>
      </w:r>
      <w:r w:rsidRPr="00E71C11">
        <w:t>е</w:t>
      </w:r>
      <w:r w:rsidRPr="00E71C11">
        <w:t>ской информации (СЕИС) в общеевропейском регионе. В ответ на соответств</w:t>
      </w:r>
      <w:r w:rsidRPr="00E71C11">
        <w:t>у</w:t>
      </w:r>
      <w:r w:rsidRPr="00E71C11">
        <w:t>ющие просьбы консультативные услуги были оказаны Беларуси, Казахстану, Кыргызстану, Литве, Таджикистану и Узбекистану − по вопросам устойчивого использования трансграничных природных ресурсов; и Туркменистану − по в</w:t>
      </w:r>
      <w:r w:rsidRPr="00E71C11">
        <w:t>о</w:t>
      </w:r>
      <w:r w:rsidRPr="00E71C11">
        <w:t>просу содействия его присоединению к Конвенции о промышленных авариях и Протоколу по проблемам воды и здоровья.</w:t>
      </w:r>
    </w:p>
    <w:p w:rsidR="00B37F4A" w:rsidRPr="00B37F4A" w:rsidRDefault="00B37F4A" w:rsidP="00B37F4A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B37F4A" w:rsidP="00B37F4A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Извлеченные уроки/области, нуждающиеся в усовершенствовании</w:t>
      </w:r>
    </w:p>
    <w:p w:rsidR="00B37F4A" w:rsidRPr="00B37F4A" w:rsidRDefault="00B37F4A" w:rsidP="00B37F4A">
      <w:pPr>
        <w:pStyle w:val="SingleTxt"/>
        <w:keepNext/>
        <w:spacing w:after="0" w:line="120" w:lineRule="exact"/>
        <w:rPr>
          <w:sz w:val="10"/>
        </w:rPr>
      </w:pPr>
    </w:p>
    <w:p w:rsidR="00E71C11" w:rsidRPr="00E71C11" w:rsidRDefault="00E71C11" w:rsidP="00E71C11">
      <w:pPr>
        <w:pStyle w:val="SingleTxt"/>
      </w:pPr>
      <w:r w:rsidRPr="00E71C11">
        <w:t>5.</w:t>
      </w:r>
      <w:r w:rsidRPr="00E71C11">
        <w:tab/>
        <w:t>Основные трудности, сопряженные с достижением вышеупомянутых р</w:t>
      </w:r>
      <w:r w:rsidRPr="00E71C11">
        <w:t>е</w:t>
      </w:r>
      <w:r w:rsidRPr="00E71C11">
        <w:t xml:space="preserve">зультатов, заключаются в обеспечении политической воли и активного участия стран в ратификации поправок к Конвенции </w:t>
      </w:r>
      <w:proofErr w:type="spellStart"/>
      <w:r w:rsidRPr="00E71C11">
        <w:t>Эспо</w:t>
      </w:r>
      <w:proofErr w:type="spellEnd"/>
      <w:r w:rsidRPr="00E71C11">
        <w:t xml:space="preserve"> и Конвенции о промышленных авариях. Странам следует прилагать дальнейшие усилия для повышения поте</w:t>
      </w:r>
      <w:r w:rsidRPr="00E71C11">
        <w:t>н</w:t>
      </w:r>
      <w:r w:rsidRPr="00E71C11">
        <w:t xml:space="preserve">циала в области осуществления </w:t>
      </w:r>
      <w:proofErr w:type="gramStart"/>
      <w:r w:rsidRPr="00E71C11">
        <w:t>утвержденного</w:t>
      </w:r>
      <w:proofErr w:type="gramEnd"/>
      <w:r w:rsidRPr="00E71C11">
        <w:t xml:space="preserve"> пересмотренного перечня хим</w:t>
      </w:r>
      <w:r w:rsidRPr="00E71C11">
        <w:t>и</w:t>
      </w:r>
      <w:r w:rsidRPr="00E71C11">
        <w:t>ческих веществ и достижения целевых показателей и показателей результативн</w:t>
      </w:r>
      <w:r w:rsidRPr="00E71C11">
        <w:t>о</w:t>
      </w:r>
      <w:r w:rsidRPr="00E71C11">
        <w:t>сти СЕИС.</w:t>
      </w:r>
    </w:p>
    <w:p w:rsidR="00B37F4A" w:rsidRPr="00B37F4A" w:rsidRDefault="00B37F4A" w:rsidP="00B37F4A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B37F4A" w:rsidP="00B37F4A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Показатель достижения результатов</w:t>
      </w:r>
    </w:p>
    <w:p w:rsidR="00B37F4A" w:rsidRPr="00B37F4A" w:rsidRDefault="00B37F4A" w:rsidP="00B37F4A">
      <w:pPr>
        <w:pStyle w:val="SingleTxt"/>
        <w:spacing w:after="0" w:line="120" w:lineRule="exact"/>
        <w:rPr>
          <w:sz w:val="10"/>
        </w:rPr>
      </w:pPr>
    </w:p>
    <w:p w:rsidR="00E71C11" w:rsidRPr="00E71C11" w:rsidRDefault="00E71C11" w:rsidP="00B37F4A">
      <w:pPr>
        <w:pStyle w:val="SingleTxt"/>
      </w:pPr>
      <w:r w:rsidRPr="00E71C11">
        <w:t xml:space="preserve">Число региональных и субрегиональных мер, принятых странами </w:t>
      </w:r>
      <w:r w:rsidR="00B37F4A">
        <w:t>–</w:t>
      </w:r>
      <w:r w:rsidRPr="00E71C11">
        <w:t xml:space="preserve"> членами ЕЭК в ответ на существующие и возникающие экологические проблемы</w:t>
      </w:r>
    </w:p>
    <w:p w:rsidR="00B37F4A" w:rsidRPr="00B37F4A" w:rsidRDefault="00B37F4A" w:rsidP="00B37F4A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B37F4A" w:rsidP="00B37F4A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Показатели результативности</w:t>
      </w:r>
    </w:p>
    <w:p w:rsidR="00B37F4A" w:rsidRPr="00B37F4A" w:rsidRDefault="00B37F4A" w:rsidP="00B37F4A">
      <w:pPr>
        <w:pStyle w:val="SingleTxt"/>
        <w:spacing w:after="0" w:line="120" w:lineRule="exact"/>
        <w:rPr>
          <w:sz w:val="10"/>
        </w:rPr>
      </w:pPr>
    </w:p>
    <w:p w:rsidR="00E71C11" w:rsidRPr="00E71C11" w:rsidRDefault="000F48D4" w:rsidP="00E71C11">
      <w:pPr>
        <w:pStyle w:val="SingleTxt"/>
      </w:pPr>
      <w:r>
        <w:t xml:space="preserve">2010–2011 годы: </w:t>
      </w:r>
      <w:r w:rsidR="00E71C11" w:rsidRPr="00E71C11">
        <w:t>неприменимо</w:t>
      </w:r>
    </w:p>
    <w:p w:rsidR="00E71C11" w:rsidRPr="00E71C11" w:rsidRDefault="000F48D4" w:rsidP="00E71C11">
      <w:pPr>
        <w:pStyle w:val="SingleTxt"/>
      </w:pPr>
      <w:r>
        <w:t xml:space="preserve">2012–2013 годы: </w:t>
      </w:r>
      <w:r w:rsidR="00E71C11" w:rsidRPr="00E71C11">
        <w:t>2 меры</w:t>
      </w:r>
    </w:p>
    <w:p w:rsidR="00E71C11" w:rsidRPr="00E71C11" w:rsidRDefault="00E71C11" w:rsidP="00E71C11">
      <w:pPr>
        <w:pStyle w:val="SingleTxt"/>
      </w:pPr>
      <w:r w:rsidRPr="00E71C11">
        <w:t>Целево</w:t>
      </w:r>
      <w:r w:rsidR="000F48D4">
        <w:t xml:space="preserve">й показатель на 2014–2015 годы: </w:t>
      </w:r>
      <w:r w:rsidRPr="00E71C11">
        <w:t>4 меры</w:t>
      </w:r>
    </w:p>
    <w:p w:rsidR="00E71C11" w:rsidRPr="00E71C11" w:rsidRDefault="00E71C11" w:rsidP="00E71C11">
      <w:pPr>
        <w:pStyle w:val="SingleTxt"/>
      </w:pPr>
      <w:r w:rsidRPr="00E71C11">
        <w:t xml:space="preserve">Фактический показатель на 2014–2015 годы (по состоянию на 31 июля 2015 года): 3 меры </w:t>
      </w:r>
    </w:p>
    <w:p w:rsidR="00B37F4A" w:rsidRPr="00B37F4A" w:rsidRDefault="00B37F4A" w:rsidP="00B37F4A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B37F4A" w:rsidP="00B37F4A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Показатель достижения результатов</w:t>
      </w:r>
    </w:p>
    <w:p w:rsidR="00B37F4A" w:rsidRPr="00B37F4A" w:rsidRDefault="00B37F4A" w:rsidP="00B37F4A">
      <w:pPr>
        <w:pStyle w:val="SingleTxt"/>
        <w:spacing w:after="0" w:line="120" w:lineRule="exact"/>
        <w:rPr>
          <w:sz w:val="10"/>
        </w:rPr>
      </w:pPr>
    </w:p>
    <w:p w:rsidR="00E71C11" w:rsidRPr="00E71C11" w:rsidRDefault="00E71C11" w:rsidP="00B37F4A">
      <w:pPr>
        <w:pStyle w:val="SingleTxt"/>
      </w:pPr>
      <w:r w:rsidRPr="00E71C11">
        <w:t xml:space="preserve">Число стран </w:t>
      </w:r>
      <w:r w:rsidR="00B37F4A">
        <w:t>–</w:t>
      </w:r>
      <w:r w:rsidRPr="00E71C11">
        <w:t xml:space="preserve"> членов ЕЭК, которым оказывалась техническая помощь и/или предоставлялись консультационные услуги</w:t>
      </w:r>
    </w:p>
    <w:p w:rsidR="00B37F4A" w:rsidRPr="00B37F4A" w:rsidRDefault="00B37F4A" w:rsidP="00B37F4A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B37F4A" w:rsidP="00B37F4A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Показатели результативности:</w:t>
      </w:r>
    </w:p>
    <w:p w:rsidR="00B37F4A" w:rsidRPr="00B37F4A" w:rsidRDefault="00B37F4A" w:rsidP="00B37F4A">
      <w:pPr>
        <w:pStyle w:val="SingleTxt"/>
        <w:spacing w:after="0" w:line="120" w:lineRule="exact"/>
        <w:rPr>
          <w:sz w:val="10"/>
        </w:rPr>
      </w:pPr>
    </w:p>
    <w:p w:rsidR="00E71C11" w:rsidRPr="00E71C11" w:rsidRDefault="000F48D4" w:rsidP="00E71C11">
      <w:pPr>
        <w:pStyle w:val="SingleTxt"/>
      </w:pPr>
      <w:r>
        <w:t xml:space="preserve">2010–2011 годы: </w:t>
      </w:r>
      <w:r w:rsidR="00E71C11" w:rsidRPr="00E71C11">
        <w:t>неприменимо</w:t>
      </w:r>
    </w:p>
    <w:p w:rsidR="00E71C11" w:rsidRPr="00E71C11" w:rsidRDefault="000F48D4" w:rsidP="00E71C11">
      <w:pPr>
        <w:pStyle w:val="SingleTxt"/>
      </w:pPr>
      <w:r>
        <w:t xml:space="preserve">2012–2013 годы: </w:t>
      </w:r>
      <w:r w:rsidR="00E71C11" w:rsidRPr="00E71C11">
        <w:t>2 страны-члена</w:t>
      </w:r>
    </w:p>
    <w:p w:rsidR="00E71C11" w:rsidRPr="00E71C11" w:rsidRDefault="00E71C11" w:rsidP="00E71C11">
      <w:pPr>
        <w:pStyle w:val="SingleTxt"/>
      </w:pPr>
      <w:r w:rsidRPr="00E71C11">
        <w:t>Целево</w:t>
      </w:r>
      <w:r w:rsidR="000F48D4">
        <w:t xml:space="preserve">й показатель на 2014–2015 годы: </w:t>
      </w:r>
      <w:r w:rsidRPr="00E71C11">
        <w:t>4 страны-члена</w:t>
      </w:r>
    </w:p>
    <w:p w:rsidR="00E71C11" w:rsidRPr="00E71C11" w:rsidRDefault="00E71C11" w:rsidP="00E71C11">
      <w:pPr>
        <w:pStyle w:val="SingleTxt"/>
      </w:pPr>
      <w:r w:rsidRPr="00E71C11">
        <w:t>Фактический показатель на 2014–2015 годы (по состоянию на 31 июля 2015 года): 3 страны-члена</w:t>
      </w:r>
    </w:p>
    <w:p w:rsidR="00B37F4A" w:rsidRPr="00B37F4A" w:rsidRDefault="00B37F4A" w:rsidP="00B37F4A">
      <w:pPr>
        <w:pStyle w:val="SingleTxt"/>
        <w:spacing w:after="0" w:line="120" w:lineRule="exact"/>
        <w:rPr>
          <w:b/>
          <w:sz w:val="10"/>
        </w:rPr>
      </w:pPr>
    </w:p>
    <w:p w:rsidR="00B37F4A" w:rsidRPr="00B37F4A" w:rsidRDefault="00B37F4A" w:rsidP="00B37F4A">
      <w:pPr>
        <w:pStyle w:val="SingleTxt"/>
        <w:spacing w:after="0" w:line="120" w:lineRule="exact"/>
        <w:rPr>
          <w:b/>
          <w:sz w:val="10"/>
        </w:rPr>
      </w:pPr>
    </w:p>
    <w:p w:rsidR="00E71C11" w:rsidRPr="00E71C11" w:rsidRDefault="00B37F4A" w:rsidP="00B37F4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Тематический блок 2</w:t>
      </w:r>
      <w:r w:rsidR="00E71C11" w:rsidRPr="00E71C11">
        <w:br/>
      </w:r>
      <w:r>
        <w:t>Деятельность в рамках процесса «</w:t>
      </w:r>
      <w:r w:rsidR="00E71C11" w:rsidRPr="00E71C11">
        <w:t>Окружающая среда для Ев</w:t>
      </w:r>
      <w:r>
        <w:t>ропы»</w:t>
      </w:r>
      <w:r w:rsidR="00E71C11" w:rsidRPr="00E71C11">
        <w:t xml:space="preserve"> (ОСЕ)</w:t>
      </w:r>
    </w:p>
    <w:p w:rsidR="00B37F4A" w:rsidRPr="00B37F4A" w:rsidRDefault="00B37F4A" w:rsidP="00B37F4A">
      <w:pPr>
        <w:pStyle w:val="SingleTxt"/>
        <w:spacing w:after="0" w:line="120" w:lineRule="exact"/>
        <w:rPr>
          <w:i/>
          <w:sz w:val="10"/>
        </w:rPr>
      </w:pPr>
    </w:p>
    <w:p w:rsidR="00B37F4A" w:rsidRPr="00B37F4A" w:rsidRDefault="00B37F4A" w:rsidP="00B37F4A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B37F4A" w:rsidP="00B37F4A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Ожидаемые достижения</w:t>
      </w:r>
    </w:p>
    <w:p w:rsidR="00B37F4A" w:rsidRPr="00B37F4A" w:rsidRDefault="00B37F4A" w:rsidP="00B37F4A">
      <w:pPr>
        <w:pStyle w:val="SingleTxt"/>
        <w:spacing w:after="0" w:line="120" w:lineRule="exact"/>
        <w:rPr>
          <w:sz w:val="10"/>
        </w:rPr>
      </w:pPr>
    </w:p>
    <w:p w:rsidR="00E71C11" w:rsidRPr="00E71C11" w:rsidRDefault="00E71C11" w:rsidP="00B37F4A">
      <w:pPr>
        <w:pStyle w:val="SingleTxt"/>
      </w:pPr>
      <w:r w:rsidRPr="00E71C11">
        <w:t xml:space="preserve">Успешное </w:t>
      </w:r>
      <w:r w:rsidR="00B37F4A">
        <w:t>осуществление реформы процесса «</w:t>
      </w:r>
      <w:r w:rsidRPr="00E71C11">
        <w:t>Окружающая среда для Европы</w:t>
      </w:r>
      <w:r w:rsidR="00B37F4A">
        <w:t>»</w:t>
      </w:r>
      <w:r w:rsidRPr="00E71C11">
        <w:t xml:space="preserve"> (ОСЕ)</w:t>
      </w:r>
    </w:p>
    <w:p w:rsidR="00B37F4A" w:rsidRPr="00B37F4A" w:rsidRDefault="00B37F4A" w:rsidP="00B37F4A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B37F4A" w:rsidP="00B37F4A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Отчет о достижениях/полученных результатах</w:t>
      </w:r>
    </w:p>
    <w:p w:rsidR="00B37F4A" w:rsidRPr="00B37F4A" w:rsidRDefault="00B37F4A" w:rsidP="00B37F4A">
      <w:pPr>
        <w:pStyle w:val="SingleTxt"/>
        <w:spacing w:after="0" w:line="120" w:lineRule="exact"/>
        <w:rPr>
          <w:sz w:val="10"/>
        </w:rPr>
      </w:pPr>
    </w:p>
    <w:p w:rsidR="00E71C11" w:rsidRPr="00E71C11" w:rsidRDefault="00E71C11" w:rsidP="000F48D4">
      <w:pPr>
        <w:pStyle w:val="SingleTxt"/>
      </w:pPr>
      <w:r w:rsidRPr="00E71C11">
        <w:t>6.</w:t>
      </w:r>
      <w:r w:rsidRPr="00E71C11">
        <w:tab/>
        <w:t>В соответствии с положениями плана реформы процесса ОСЕ Комитет по экологической политике (КЭП), который является органом, ответственным за процесс подготовки конференций министров ОСЕ, в период 2014–2015 годов с</w:t>
      </w:r>
      <w:r w:rsidRPr="00E71C11">
        <w:t>о</w:t>
      </w:r>
      <w:r w:rsidRPr="00E71C11">
        <w:t>средоточил свою работу на организации восьмой Конференции министров, кот</w:t>
      </w:r>
      <w:r w:rsidRPr="00E71C11">
        <w:t>о</w:t>
      </w:r>
      <w:r w:rsidRPr="00E71C11">
        <w:t>рую планируется провести 8–10 июня 2016 года в Батуми, Грузия.</w:t>
      </w:r>
    </w:p>
    <w:p w:rsidR="00E71C11" w:rsidRPr="00E71C11" w:rsidRDefault="00E71C11" w:rsidP="00915B66">
      <w:pPr>
        <w:pStyle w:val="SingleTxt"/>
      </w:pPr>
      <w:r w:rsidRPr="00E71C11">
        <w:t>7.</w:t>
      </w:r>
      <w:r w:rsidRPr="00E71C11">
        <w:tab/>
        <w:t>КЭП определил две темы Конференции министров в Батуми: экологизация экономики в общеевропейском регионе и повышение качества воздуха в интер</w:t>
      </w:r>
      <w:r w:rsidRPr="00E71C11">
        <w:t>е</w:t>
      </w:r>
      <w:r w:rsidRPr="00E71C11">
        <w:t xml:space="preserve">сах улучшения состояния окружающей среды и здоровья человека. </w:t>
      </w:r>
      <w:proofErr w:type="gramStart"/>
      <w:r w:rsidRPr="00E71C11">
        <w:t>В соотве</w:t>
      </w:r>
      <w:r w:rsidRPr="00E71C11">
        <w:t>т</w:t>
      </w:r>
      <w:r w:rsidRPr="00E71C11">
        <w:t>ствии с мандатом КЭП Президиум КЭП при поддержке секретариата и в ко</w:t>
      </w:r>
      <w:r w:rsidRPr="00E71C11">
        <w:t>н</w:t>
      </w:r>
      <w:r w:rsidRPr="00E71C11">
        <w:t>сультации с соответствующими партнерами проводил работу по содействию по</w:t>
      </w:r>
      <w:r w:rsidRPr="00E71C11">
        <w:t>д</w:t>
      </w:r>
      <w:r w:rsidRPr="00E71C11">
        <w:t>готовке к Конференции, в том числе подготовил проекты двух тематических д</w:t>
      </w:r>
      <w:r w:rsidRPr="00E71C11">
        <w:t>о</w:t>
      </w:r>
      <w:r w:rsidRPr="00E71C11">
        <w:t xml:space="preserve">кументов, проект элементов для общеевропейской </w:t>
      </w:r>
      <w:r w:rsidRPr="00E71C11">
        <w:rPr>
          <w:bCs/>
        </w:rPr>
        <w:t>стратегической рамочной пр</w:t>
      </w:r>
      <w:r w:rsidRPr="00E71C11">
        <w:rPr>
          <w:bCs/>
        </w:rPr>
        <w:t>о</w:t>
      </w:r>
      <w:r w:rsidRPr="00E71C11">
        <w:rPr>
          <w:bCs/>
        </w:rPr>
        <w:t xml:space="preserve">граммы в области экологизации экономики </w:t>
      </w:r>
      <w:r w:rsidRPr="00E71C11">
        <w:t>и проект элементов для декларации министров, проект повестки дня Конференции и план коммуникационной страт</w:t>
      </w:r>
      <w:r w:rsidRPr="00E71C11">
        <w:t>е</w:t>
      </w:r>
      <w:r w:rsidRPr="00E71C11">
        <w:t>гии для Конференции.</w:t>
      </w:r>
      <w:proofErr w:type="gramEnd"/>
      <w:r w:rsidRPr="00E71C11">
        <w:t xml:space="preserve"> КЭП продолжит работу по подготовке Конференции на своей двадцать первой сессии в октябре 2015 года.</w:t>
      </w:r>
    </w:p>
    <w:p w:rsidR="00B37F4A" w:rsidRPr="00B37F4A" w:rsidRDefault="00B37F4A" w:rsidP="00B37F4A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B37F4A" w:rsidP="00B37F4A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Извлеченные уроки/области, нуждающиеся в усовершенствовании</w:t>
      </w:r>
    </w:p>
    <w:p w:rsidR="00B37F4A" w:rsidRPr="00B37F4A" w:rsidRDefault="00B37F4A" w:rsidP="00B37F4A">
      <w:pPr>
        <w:pStyle w:val="SingleTxt"/>
        <w:spacing w:after="0" w:line="120" w:lineRule="exact"/>
        <w:rPr>
          <w:sz w:val="10"/>
        </w:rPr>
      </w:pPr>
    </w:p>
    <w:p w:rsidR="00E71C11" w:rsidRPr="00E71C11" w:rsidRDefault="00E71C11" w:rsidP="00915B66">
      <w:pPr>
        <w:pStyle w:val="SingleTxt"/>
      </w:pPr>
      <w:r w:rsidRPr="00E71C11">
        <w:t>8.</w:t>
      </w:r>
      <w:r w:rsidRPr="00E71C11">
        <w:tab/>
        <w:t>Уроки, извлеченные в контексте организации среднесрочного обзора осно</w:t>
      </w:r>
      <w:r w:rsidRPr="00E71C11">
        <w:t>в</w:t>
      </w:r>
      <w:r w:rsidRPr="00E71C11">
        <w:t xml:space="preserve">ных итогов </w:t>
      </w:r>
      <w:proofErr w:type="spellStart"/>
      <w:r w:rsidRPr="00E71C11">
        <w:t>Астанинской</w:t>
      </w:r>
      <w:proofErr w:type="spellEnd"/>
      <w:r w:rsidRPr="00E71C11">
        <w:t xml:space="preserve"> конференции в рамках процесса ОСЕ, были отражены в документе ECE/CEP/2014/10, подготовленном к двадцатой сессии КЭП. Док</w:t>
      </w:r>
      <w:r w:rsidRPr="00E71C11">
        <w:t>у</w:t>
      </w:r>
      <w:r w:rsidRPr="00E71C11">
        <w:t>мент был положительно встречен КЭП, который постановил учитывать извл</w:t>
      </w:r>
      <w:r w:rsidRPr="00E71C11">
        <w:t>е</w:t>
      </w:r>
      <w:r w:rsidRPr="00E71C11">
        <w:t>ченные уроки и выявленные проблемы при организации следующего средн</w:t>
      </w:r>
      <w:r w:rsidRPr="00E71C11">
        <w:t>е</w:t>
      </w:r>
      <w:r w:rsidRPr="00E71C11">
        <w:t>срочного обзора, а именно обзора основных итогов Конференции министров в Батуми. Уроки, извлеченные в ходе организации Конференции министров в Б</w:t>
      </w:r>
      <w:r w:rsidRPr="00E71C11">
        <w:t>а</w:t>
      </w:r>
      <w:r w:rsidRPr="00E71C11">
        <w:t>туми, будут изучены после Конференции, например до двадцать второй сессии КЭП в декабре 2016 года.</w:t>
      </w:r>
    </w:p>
    <w:p w:rsidR="00B37F4A" w:rsidRPr="00B37F4A" w:rsidRDefault="00B37F4A" w:rsidP="00B37F4A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B37F4A" w:rsidP="00B37F4A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Показатель достижения результатов</w:t>
      </w:r>
    </w:p>
    <w:p w:rsidR="00B37F4A" w:rsidRPr="00B37F4A" w:rsidRDefault="00B37F4A" w:rsidP="00B37F4A">
      <w:pPr>
        <w:pStyle w:val="SingleTxt"/>
        <w:spacing w:after="0" w:line="120" w:lineRule="exact"/>
        <w:rPr>
          <w:sz w:val="10"/>
        </w:rPr>
      </w:pPr>
    </w:p>
    <w:p w:rsidR="00E71C11" w:rsidRPr="00E71C11" w:rsidRDefault="00E71C11" w:rsidP="00915B66">
      <w:pPr>
        <w:pStyle w:val="SingleTxt"/>
      </w:pPr>
      <w:r w:rsidRPr="00E71C11">
        <w:t>Достижение консенсуса государствами-членами по вопросу о деятельности в рамках процесса ОСЕ</w:t>
      </w:r>
    </w:p>
    <w:p w:rsidR="00B37F4A" w:rsidRPr="00B37F4A" w:rsidRDefault="00B37F4A" w:rsidP="00B37F4A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B37F4A" w:rsidP="00B37F4A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Показатели результативности</w:t>
      </w:r>
    </w:p>
    <w:p w:rsidR="00B37F4A" w:rsidRPr="00B37F4A" w:rsidRDefault="00B37F4A" w:rsidP="00B37F4A">
      <w:pPr>
        <w:pStyle w:val="SingleTxt"/>
        <w:spacing w:after="0" w:line="120" w:lineRule="exact"/>
        <w:rPr>
          <w:sz w:val="10"/>
        </w:rPr>
      </w:pPr>
    </w:p>
    <w:p w:rsidR="00E71C11" w:rsidRPr="00E71C11" w:rsidRDefault="00E71C11" w:rsidP="000F48D4">
      <w:pPr>
        <w:pStyle w:val="SingleTxt"/>
      </w:pPr>
      <w:r w:rsidRPr="00E71C11">
        <w:t>2010–2011 годы:</w:t>
      </w:r>
      <w:r w:rsidR="000F48D4">
        <w:t xml:space="preserve"> </w:t>
      </w:r>
      <w:proofErr w:type="gramStart"/>
      <w:r w:rsidRPr="00E71C11">
        <w:t>был</w:t>
      </w:r>
      <w:proofErr w:type="gramEnd"/>
      <w:r w:rsidRPr="00E71C11">
        <w:t xml:space="preserve"> достигнут консенсус в отношении организации и итогов седьмой Конференции министров ОСЕ (Астана, сентябрь 2011 года)</w:t>
      </w:r>
    </w:p>
    <w:p w:rsidR="00E71C11" w:rsidRPr="00E71C11" w:rsidRDefault="000F48D4" w:rsidP="00E71C11">
      <w:pPr>
        <w:pStyle w:val="SingleTxt"/>
      </w:pPr>
      <w:r>
        <w:t xml:space="preserve">2012–2013 годы: </w:t>
      </w:r>
      <w:proofErr w:type="gramStart"/>
      <w:r w:rsidR="00E71C11" w:rsidRPr="00E71C11">
        <w:t>был</w:t>
      </w:r>
      <w:proofErr w:type="gramEnd"/>
      <w:r w:rsidR="00E71C11" w:rsidRPr="00E71C11">
        <w:t xml:space="preserve"> достигнут консенсус по среднесрочному обзору (Женева, октябрь 2013 года)</w:t>
      </w:r>
    </w:p>
    <w:p w:rsidR="00E71C11" w:rsidRPr="00E71C11" w:rsidRDefault="00E71C11" w:rsidP="00E71C11">
      <w:pPr>
        <w:pStyle w:val="SingleTxt"/>
      </w:pPr>
      <w:r w:rsidRPr="00E71C11">
        <w:t>Целево</w:t>
      </w:r>
      <w:r w:rsidR="000F48D4">
        <w:t xml:space="preserve">й показатель на 2014–2015 годы: </w:t>
      </w:r>
      <w:r w:rsidRPr="00E71C11">
        <w:t>достижение консенсуса по вопросу о п</w:t>
      </w:r>
      <w:r w:rsidRPr="00E71C11">
        <w:t>о</w:t>
      </w:r>
      <w:r w:rsidRPr="00E71C11">
        <w:t>следующих мерах по итогам среднесрочного обзора и подготовке восьмой Ко</w:t>
      </w:r>
      <w:r w:rsidRPr="00E71C11">
        <w:t>н</w:t>
      </w:r>
      <w:r w:rsidRPr="00E71C11">
        <w:t>ференции министров ОСЕ</w:t>
      </w:r>
    </w:p>
    <w:p w:rsidR="00E71C11" w:rsidRPr="00E71C11" w:rsidRDefault="00E71C11" w:rsidP="00E71C11">
      <w:pPr>
        <w:pStyle w:val="SingleTxt"/>
      </w:pPr>
      <w:r w:rsidRPr="00E71C11">
        <w:t xml:space="preserve">Фактический показатель на 2014–2015 годы (по состоянию на 31 июля 2015 года): </w:t>
      </w:r>
      <w:proofErr w:type="gramStart"/>
      <w:r w:rsidRPr="00E71C11">
        <w:t>был</w:t>
      </w:r>
      <w:proofErr w:type="gramEnd"/>
      <w:r w:rsidRPr="00E71C11">
        <w:t xml:space="preserve"> достигнут консенсус по вопросу о последующих мерах по итогам средн</w:t>
      </w:r>
      <w:r w:rsidRPr="00E71C11">
        <w:t>е</w:t>
      </w:r>
      <w:r w:rsidRPr="00E71C11">
        <w:t>срочного обзора и подготовке к восьмой Конференции министров ОСЕ (Батуми, Грузия, 8–10 июня 2016 года)</w:t>
      </w:r>
    </w:p>
    <w:p w:rsidR="00B37F4A" w:rsidRPr="00B37F4A" w:rsidRDefault="00B37F4A" w:rsidP="00B37F4A">
      <w:pPr>
        <w:pStyle w:val="SingleTxt"/>
        <w:spacing w:after="0" w:line="120" w:lineRule="exact"/>
        <w:rPr>
          <w:b/>
          <w:sz w:val="10"/>
        </w:rPr>
      </w:pPr>
    </w:p>
    <w:p w:rsidR="00B37F4A" w:rsidRPr="00B37F4A" w:rsidRDefault="00B37F4A" w:rsidP="00B37F4A">
      <w:pPr>
        <w:pStyle w:val="SingleTxt"/>
        <w:spacing w:after="0" w:line="120" w:lineRule="exact"/>
        <w:rPr>
          <w:b/>
          <w:sz w:val="10"/>
        </w:rPr>
      </w:pPr>
    </w:p>
    <w:p w:rsidR="00E71C11" w:rsidRPr="00E71C11" w:rsidRDefault="00B37F4A" w:rsidP="00B37F4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Тематический блок 3</w:t>
      </w:r>
      <w:r w:rsidR="00E71C11" w:rsidRPr="00E71C11">
        <w:br/>
        <w:t>Образование в интересах устойчивого развития</w:t>
      </w:r>
    </w:p>
    <w:p w:rsidR="00B37F4A" w:rsidRPr="00B37F4A" w:rsidRDefault="00B37F4A" w:rsidP="00B37F4A">
      <w:pPr>
        <w:pStyle w:val="SingleTxt"/>
        <w:spacing w:after="0" w:line="120" w:lineRule="exact"/>
        <w:rPr>
          <w:i/>
          <w:sz w:val="10"/>
        </w:rPr>
      </w:pPr>
    </w:p>
    <w:p w:rsidR="00B37F4A" w:rsidRPr="00B37F4A" w:rsidRDefault="00B37F4A" w:rsidP="00B37F4A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B37F4A" w:rsidP="00B37F4A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Ожидаемые достижения</w:t>
      </w:r>
    </w:p>
    <w:p w:rsidR="00B37F4A" w:rsidRPr="00B37F4A" w:rsidRDefault="00B37F4A" w:rsidP="00B37F4A">
      <w:pPr>
        <w:pStyle w:val="SingleTxt"/>
        <w:spacing w:after="0" w:line="120" w:lineRule="exact"/>
        <w:rPr>
          <w:sz w:val="10"/>
        </w:rPr>
      </w:pPr>
    </w:p>
    <w:p w:rsidR="00E71C11" w:rsidRPr="00E71C11" w:rsidRDefault="00E71C11" w:rsidP="00E71C11">
      <w:pPr>
        <w:pStyle w:val="SingleTxt"/>
      </w:pPr>
      <w:r w:rsidRPr="00E71C11">
        <w:t>Активизация осуществления Стратегии ЕЭК в области образования в интересах устойчивого развития (ОУР) на национальном уровне</w:t>
      </w:r>
    </w:p>
    <w:p w:rsidR="00B37F4A" w:rsidRPr="00B37F4A" w:rsidRDefault="00B37F4A" w:rsidP="00B37F4A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B37F4A" w:rsidP="00B37F4A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Отчет о достижениях/полученных результатах</w:t>
      </w:r>
    </w:p>
    <w:p w:rsidR="00B37F4A" w:rsidRPr="00B37F4A" w:rsidRDefault="00B37F4A" w:rsidP="00B37F4A">
      <w:pPr>
        <w:pStyle w:val="SingleTxt"/>
        <w:keepNext/>
        <w:spacing w:after="0" w:line="120" w:lineRule="exact"/>
        <w:rPr>
          <w:sz w:val="10"/>
        </w:rPr>
      </w:pPr>
    </w:p>
    <w:p w:rsidR="00E71C11" w:rsidRPr="00E71C11" w:rsidRDefault="00E71C11" w:rsidP="00915B66">
      <w:pPr>
        <w:pStyle w:val="SingleTxt"/>
      </w:pPr>
      <w:r w:rsidRPr="00E71C11">
        <w:t>9.</w:t>
      </w:r>
      <w:r w:rsidRPr="00E71C11">
        <w:tab/>
        <w:t xml:space="preserve">Стратегия ЕЭК в области ОУР является региональным </w:t>
      </w:r>
      <w:proofErr w:type="spellStart"/>
      <w:r w:rsidRPr="00E71C11">
        <w:t>имплементационным</w:t>
      </w:r>
      <w:proofErr w:type="spellEnd"/>
      <w:r w:rsidRPr="00E71C11">
        <w:t xml:space="preserve"> компонентом Десятилетия ОУР (ДОУР) Организации Объединенных Наций. </w:t>
      </w:r>
      <w:proofErr w:type="gramStart"/>
      <w:r w:rsidRPr="00E71C11">
        <w:t>Подчеркнув свою решимость продолжать осуществление всех аспектов Страт</w:t>
      </w:r>
      <w:r w:rsidRPr="00E71C11">
        <w:t>е</w:t>
      </w:r>
      <w:r w:rsidRPr="00E71C11">
        <w:t xml:space="preserve">гии, государства-члены приняли в связи с проведением этапа </w:t>
      </w:r>
      <w:r w:rsidR="00915B66">
        <w:rPr>
          <w:lang w:val="en-US"/>
        </w:rPr>
        <w:t>III</w:t>
      </w:r>
      <w:r w:rsidR="00915B66" w:rsidRPr="00915B66">
        <w:t xml:space="preserve"> </w:t>
      </w:r>
      <w:r w:rsidRPr="00E71C11">
        <w:t>осуществления (2011−2015 годы) план действий по трем приоритетным областям: a) поощрение принятия до 2015 года каждой школой учебного плана в области ОУР; b) пер</w:t>
      </w:r>
      <w:r w:rsidRPr="00E71C11">
        <w:t>е</w:t>
      </w:r>
      <w:r w:rsidRPr="00E71C11">
        <w:t>ориентация профессионально-технического образования и подготовки в по</w:t>
      </w:r>
      <w:r w:rsidR="00B37F4A">
        <w:t>д</w:t>
      </w:r>
      <w:r w:rsidR="00B37F4A">
        <w:t>держку устойчивого развития и «</w:t>
      </w:r>
      <w:r w:rsidRPr="00E71C11">
        <w:t>зеленой</w:t>
      </w:r>
      <w:r w:rsidR="00B37F4A">
        <w:t>»</w:t>
      </w:r>
      <w:r w:rsidRPr="00E71C11">
        <w:t xml:space="preserve"> экономики;</w:t>
      </w:r>
      <w:proofErr w:type="gramEnd"/>
      <w:r w:rsidRPr="00E71C11">
        <w:t xml:space="preserve"> с) включение концепции ОУР в программы подготовки учителей. В 2013 году Руководящий комитет в ц</w:t>
      </w:r>
      <w:r w:rsidRPr="00E71C11">
        <w:t>е</w:t>
      </w:r>
      <w:r w:rsidRPr="00E71C11">
        <w:t xml:space="preserve">лях поддержки осуществления учредил постоянную </w:t>
      </w:r>
      <w:r w:rsidR="00B37F4A">
        <w:t>«</w:t>
      </w:r>
      <w:r w:rsidRPr="00E71C11">
        <w:t>электронную</w:t>
      </w:r>
      <w:r w:rsidR="00B37F4A">
        <w:t>»</w:t>
      </w:r>
      <w:r w:rsidRPr="00E71C11">
        <w:t xml:space="preserve"> рабочую группу по приоритетным областям деятельности.</w:t>
      </w:r>
    </w:p>
    <w:p w:rsidR="00E71C11" w:rsidRPr="00E71C11" w:rsidRDefault="00E71C11" w:rsidP="00B37F4A">
      <w:pPr>
        <w:pStyle w:val="SingleTxt"/>
      </w:pPr>
      <w:r w:rsidRPr="00E71C11">
        <w:t>10.</w:t>
      </w:r>
      <w:r w:rsidRPr="00E71C11">
        <w:tab/>
        <w:t>Руководящий комитет по ОУР ведет работу по оценке достигнутого пр</w:t>
      </w:r>
      <w:r w:rsidRPr="00E71C11">
        <w:t>о</w:t>
      </w:r>
      <w:r w:rsidRPr="00E71C11">
        <w:t>гресса в осуществлении Стратегии на национальном/государственном уровне в ходе этапа III ее реализации, опираясь на национальные доклады об осуществл</w:t>
      </w:r>
      <w:r w:rsidRPr="00E71C11">
        <w:t>е</w:t>
      </w:r>
      <w:r w:rsidRPr="00E71C11">
        <w:t>нии, представленные 38 странами. Проведение оценки на этапе III представляе</w:t>
      </w:r>
      <w:r w:rsidRPr="00E71C11">
        <w:t>т</w:t>
      </w:r>
      <w:r w:rsidRPr="00E71C11">
        <w:t>ся особенно важным, так как она знаменует собой завершение десятилетнего процесса реализации Стратегии для ОУР. Третий доклад о достигнутом прогре</w:t>
      </w:r>
      <w:r w:rsidRPr="00E71C11">
        <w:t>с</w:t>
      </w:r>
      <w:r w:rsidRPr="00E71C11">
        <w:t>се, работа над которым ведется в 2015 году, или так называемый Доклад о мон</w:t>
      </w:r>
      <w:r w:rsidRPr="00E71C11">
        <w:t>и</w:t>
      </w:r>
      <w:r w:rsidRPr="00E71C11">
        <w:t xml:space="preserve">торинге и оценке, позволит рассмотреть и сравнить прогресс, достигнутый со времени подготовки двух предыдущих докладов в 2007 и 2010 годах, и будет иметь </w:t>
      </w:r>
      <w:proofErr w:type="gramStart"/>
      <w:r w:rsidRPr="00E71C11">
        <w:t>важное значение</w:t>
      </w:r>
      <w:proofErr w:type="gramEnd"/>
      <w:r w:rsidRPr="00E71C11">
        <w:t xml:space="preserve"> для определения будущих приоритетов в реализации ОУР. Результаты будут представлены Совещанию высокого уровня министров образ</w:t>
      </w:r>
      <w:r w:rsidRPr="00E71C11">
        <w:t>о</w:t>
      </w:r>
      <w:r w:rsidRPr="00E71C11">
        <w:t>вания и окружающей среды, запланированному на июнь 2016 году в рамках Ко</w:t>
      </w:r>
      <w:r w:rsidRPr="00E71C11">
        <w:t>н</w:t>
      </w:r>
      <w:r w:rsidRPr="00E71C11">
        <w:t>ференции министров в Батуми. Кроме того, планируется подготовить публик</w:t>
      </w:r>
      <w:r w:rsidRPr="00E71C11">
        <w:t>а</w:t>
      </w:r>
      <w:r w:rsidR="00B37F4A">
        <w:t>цию «</w:t>
      </w:r>
      <w:r w:rsidRPr="00E71C11">
        <w:t>10 лет Стратегии ЕЭК в области ОУР</w:t>
      </w:r>
      <w:r w:rsidR="00B37F4A">
        <w:t>»</w:t>
      </w:r>
      <w:r w:rsidRPr="00E71C11">
        <w:t>.</w:t>
      </w:r>
    </w:p>
    <w:p w:rsidR="00E71C11" w:rsidRPr="00E71C11" w:rsidRDefault="00E71C11" w:rsidP="00E71C11">
      <w:pPr>
        <w:pStyle w:val="SingleTxt"/>
      </w:pPr>
      <w:r w:rsidRPr="00E71C11">
        <w:t>11.</w:t>
      </w:r>
      <w:r w:rsidRPr="00E71C11">
        <w:tab/>
      </w:r>
      <w:proofErr w:type="gramStart"/>
      <w:r w:rsidRPr="00E71C11">
        <w:t>В числе мероприятий по наращиванию потенциала следует упомянуть национальное рабочее совещание в Кыргызстане (30 марта – 1 апреля 2015 года), организованное в партнерстве с правительством Кыргызстана, региональными центрами передового опыта в области ОУР в Кыргызстане и Литве и Универс</w:t>
      </w:r>
      <w:r w:rsidRPr="00E71C11">
        <w:t>и</w:t>
      </w:r>
      <w:r w:rsidRPr="00E71C11">
        <w:t>тетом Организации Объединенных Наций в Японии при финансовой поддержке Государственного секретариата Швейцарии по вопросам образования, исслед</w:t>
      </w:r>
      <w:r w:rsidRPr="00E71C11">
        <w:t>о</w:t>
      </w:r>
      <w:r w:rsidRPr="00E71C11">
        <w:t>ваний и инноваций.</w:t>
      </w:r>
      <w:proofErr w:type="gramEnd"/>
    </w:p>
    <w:p w:rsidR="00E71C11" w:rsidRPr="00E71C11" w:rsidRDefault="00E71C11" w:rsidP="00B37F4A">
      <w:pPr>
        <w:pStyle w:val="SingleTxt"/>
      </w:pPr>
      <w:r w:rsidRPr="00E71C11">
        <w:t>12.</w:t>
      </w:r>
      <w:r w:rsidRPr="00E71C11">
        <w:tab/>
        <w:t xml:space="preserve">ЕЭК внесла свой вклад во Всемирную конференцию по ОУР в Японии </w:t>
      </w:r>
      <w:r w:rsidR="00B37F4A">
        <w:br/>
      </w:r>
      <w:r w:rsidRPr="00E71C11">
        <w:t>(10–12 ноября 2014 года), проведенную по инициативе Организации Объедине</w:t>
      </w:r>
      <w:r w:rsidRPr="00E71C11">
        <w:t>н</w:t>
      </w:r>
      <w:r w:rsidRPr="00E71C11">
        <w:t>ных Наций по вопросам образования, науки и культуры (ЮНЕСКО), организовав рабочее совещание по вопросам мониторинга и оценки на протяжении ДОУР и па</w:t>
      </w:r>
      <w:r w:rsidR="00B37F4A">
        <w:t>раллельное мероприятие «</w:t>
      </w:r>
      <w:r w:rsidRPr="00E71C11">
        <w:t>Продвижение ОУР через механизмы региональной политики</w:t>
      </w:r>
      <w:r w:rsidR="00B37F4A">
        <w:t>»</w:t>
      </w:r>
      <w:r w:rsidRPr="00E71C11">
        <w:t>. ЕЭК также приняла участие в первом консультативном совещании между секретариатом ЮНЕСКО и партнерами по ОУР, созванном для обсужд</w:t>
      </w:r>
      <w:r w:rsidRPr="00E71C11">
        <w:t>е</w:t>
      </w:r>
      <w:r w:rsidRPr="00E71C11">
        <w:t xml:space="preserve">ния будущей деятельности партнерских сетей Глобальной программы действий (ГПД) по ОУР, о начале осуществления которой было объявлено на Всемирной конференции по вопросам образования (Париж, 26–27 мая 2015 года). </w:t>
      </w:r>
    </w:p>
    <w:p w:rsidR="00B37F4A" w:rsidRPr="00B37F4A" w:rsidRDefault="00B37F4A" w:rsidP="00B37F4A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B37F4A" w:rsidP="00B37F4A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Извлеченные уроки/области, нуждающиеся в усовершенствовании</w:t>
      </w:r>
    </w:p>
    <w:p w:rsidR="00B37F4A" w:rsidRPr="00B37F4A" w:rsidRDefault="00B37F4A" w:rsidP="00B37F4A">
      <w:pPr>
        <w:pStyle w:val="SingleTxt"/>
        <w:spacing w:after="0" w:line="120" w:lineRule="exact"/>
        <w:rPr>
          <w:sz w:val="10"/>
        </w:rPr>
      </w:pPr>
    </w:p>
    <w:p w:rsidR="00E71C11" w:rsidRPr="00E71C11" w:rsidRDefault="00E71C11" w:rsidP="00E71C11">
      <w:pPr>
        <w:pStyle w:val="SingleTxt"/>
      </w:pPr>
      <w:r w:rsidRPr="00E71C11">
        <w:t>13.</w:t>
      </w:r>
      <w:r w:rsidRPr="00E71C11">
        <w:tab/>
        <w:t>Были определены следующие основные проблемы в области реализации концепции ОУР в регионе ЕЭК: необходимость в постоянном руководстве и неизменной политической воле ключевых директивных органов; обеспечение структурной реформы систем образования, в том числе включение ОУР в осно</w:t>
      </w:r>
      <w:r w:rsidRPr="00E71C11">
        <w:t>в</w:t>
      </w:r>
      <w:r w:rsidRPr="00E71C11">
        <w:t>ные бюджеты; подготовка преподавателей; укрепление механизмов сотруднич</w:t>
      </w:r>
      <w:r w:rsidRPr="00E71C11">
        <w:t>е</w:t>
      </w:r>
      <w:r w:rsidRPr="00E71C11">
        <w:t>ства и взаимодействия более широкого круга заинтересованных сторон; и уд</w:t>
      </w:r>
      <w:r w:rsidRPr="00E71C11">
        <w:t>о</w:t>
      </w:r>
      <w:r w:rsidRPr="00E71C11">
        <w:t>влетворение потребности в более эффективных исследованиях в области ОУР, мониторинге и оценке.</w:t>
      </w:r>
    </w:p>
    <w:p w:rsidR="00E71C11" w:rsidRPr="00E71C11" w:rsidRDefault="00E71C11" w:rsidP="00E71C11">
      <w:pPr>
        <w:pStyle w:val="SingleTxt"/>
      </w:pPr>
      <w:r w:rsidRPr="00E71C11">
        <w:t>14.</w:t>
      </w:r>
      <w:r w:rsidRPr="00E71C11">
        <w:tab/>
      </w:r>
      <w:proofErr w:type="gramStart"/>
      <w:r w:rsidRPr="00E71C11">
        <w:t>Различного рода препятствия свидетельствуют о том, что первоочередной, хотя и не столь остро стоящей</w:t>
      </w:r>
      <w:r w:rsidR="00915B66">
        <w:t>,</w:t>
      </w:r>
      <w:r w:rsidRPr="00E71C11">
        <w:t xml:space="preserve"> задачей по-прежнему остается обеспечение пр</w:t>
      </w:r>
      <w:r w:rsidRPr="00E71C11">
        <w:t>и</w:t>
      </w:r>
      <w:r w:rsidRPr="00E71C11">
        <w:t>знания того факта, что ОУР символизирует одну из главных целей просвещения – наделить учащихся знаниями, навыками и взглядами, позволяющими им пон</w:t>
      </w:r>
      <w:r w:rsidRPr="00E71C11">
        <w:t>и</w:t>
      </w:r>
      <w:r w:rsidRPr="00E71C11">
        <w:t>мать и решать экономические, социальные и экологические проблемы совреме</w:t>
      </w:r>
      <w:r w:rsidRPr="00E71C11">
        <w:t>н</w:t>
      </w:r>
      <w:r w:rsidRPr="00E71C11">
        <w:t>ного мира и обеспечить свое процветание</w:t>
      </w:r>
      <w:r w:rsidR="00915B66">
        <w:t>,</w:t>
      </w:r>
      <w:r w:rsidRPr="00E71C11">
        <w:t xml:space="preserve"> несмотря на эти проблемы.</w:t>
      </w:r>
      <w:proofErr w:type="gramEnd"/>
    </w:p>
    <w:p w:rsidR="00E71C11" w:rsidRPr="00E71C11" w:rsidRDefault="00E71C11" w:rsidP="00E71C11">
      <w:pPr>
        <w:pStyle w:val="SingleTxt"/>
      </w:pPr>
      <w:r w:rsidRPr="00E71C11">
        <w:t>15.</w:t>
      </w:r>
      <w:r w:rsidRPr="00E71C11">
        <w:tab/>
        <w:t>Отсутствие целевых ресурсов (финансовых, кадровых и т.д.) остается о</w:t>
      </w:r>
      <w:r w:rsidRPr="00E71C11">
        <w:t>д</w:t>
      </w:r>
      <w:r w:rsidRPr="00E71C11">
        <w:t xml:space="preserve">ним из препятствий для реализации концепции ОУР как на национальном уровне, так и на уровне Руководящего комитета, который не обладает надлежащими средствами для обеспечения ожидаемого объема </w:t>
      </w:r>
      <w:proofErr w:type="spellStart"/>
      <w:r w:rsidRPr="00E71C11">
        <w:t>секретариатских</w:t>
      </w:r>
      <w:proofErr w:type="spellEnd"/>
      <w:r w:rsidRPr="00E71C11">
        <w:t xml:space="preserve"> услуг.</w:t>
      </w:r>
    </w:p>
    <w:p w:rsidR="00E71C11" w:rsidRPr="00E71C11" w:rsidRDefault="00E71C11" w:rsidP="00E71C11">
      <w:pPr>
        <w:pStyle w:val="SingleTxt"/>
      </w:pPr>
      <w:r w:rsidRPr="00E71C11">
        <w:t>16.</w:t>
      </w:r>
      <w:r w:rsidRPr="00E71C11">
        <w:tab/>
        <w:t>Рамочная основа осуществления Стратегии ЕЭК в области ОУР в период после 2015 года будет доработана к одиннадцатому совещанию Руководящего комитета, намеченному на 15–16 февраля 2016 года.</w:t>
      </w:r>
    </w:p>
    <w:p w:rsidR="00B37F4A" w:rsidRPr="00B37F4A" w:rsidRDefault="00B37F4A" w:rsidP="00B37F4A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B37F4A" w:rsidP="00B37F4A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Показатель достижения результатов</w:t>
      </w:r>
    </w:p>
    <w:p w:rsidR="00B37F4A" w:rsidRPr="00B37F4A" w:rsidRDefault="00B37F4A" w:rsidP="00B37F4A">
      <w:pPr>
        <w:pStyle w:val="SingleTxt"/>
        <w:spacing w:after="0" w:line="120" w:lineRule="exact"/>
        <w:rPr>
          <w:sz w:val="10"/>
        </w:rPr>
      </w:pPr>
    </w:p>
    <w:p w:rsidR="00E71C11" w:rsidRPr="00E71C11" w:rsidRDefault="00E71C11" w:rsidP="00E71C11">
      <w:pPr>
        <w:pStyle w:val="SingleTxt"/>
      </w:pPr>
      <w:r w:rsidRPr="00E71C11">
        <w:t>Эффективные меры по осуществлению Стратегии ЕЭК в области ОУР на наци</w:t>
      </w:r>
      <w:r w:rsidRPr="00E71C11">
        <w:t>о</w:t>
      </w:r>
      <w:r w:rsidRPr="00E71C11">
        <w:t>нальном уровне, оцениваемые на основе докладов государств-членов</w:t>
      </w:r>
    </w:p>
    <w:p w:rsidR="00B37F4A" w:rsidRPr="00B37F4A" w:rsidRDefault="00B37F4A" w:rsidP="00B37F4A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B37F4A" w:rsidP="00B37F4A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Показатели результативности</w:t>
      </w:r>
    </w:p>
    <w:p w:rsidR="00B37F4A" w:rsidRPr="00B37F4A" w:rsidRDefault="00B37F4A" w:rsidP="00B37F4A">
      <w:pPr>
        <w:pStyle w:val="SingleTxt"/>
        <w:spacing w:after="0" w:line="120" w:lineRule="exact"/>
        <w:rPr>
          <w:sz w:val="10"/>
        </w:rPr>
      </w:pPr>
    </w:p>
    <w:p w:rsidR="00E71C11" w:rsidRPr="00E71C11" w:rsidRDefault="00E71C11" w:rsidP="00E71C11">
      <w:pPr>
        <w:pStyle w:val="SingleTxt"/>
      </w:pPr>
      <w:r w:rsidRPr="00E71C11">
        <w:t>2010–2011 годы: 36 стран</w:t>
      </w:r>
    </w:p>
    <w:p w:rsidR="00E71C11" w:rsidRPr="00E71C11" w:rsidRDefault="00E71C11" w:rsidP="00E71C11">
      <w:pPr>
        <w:pStyle w:val="SingleTxt"/>
      </w:pPr>
      <w:r w:rsidRPr="00E71C11">
        <w:t>2012–2013 годы: 42 страны</w:t>
      </w:r>
    </w:p>
    <w:p w:rsidR="00E71C11" w:rsidRPr="00E71C11" w:rsidRDefault="00E71C11" w:rsidP="00E71C11">
      <w:pPr>
        <w:pStyle w:val="SingleTxt"/>
      </w:pPr>
      <w:r w:rsidRPr="00E71C11">
        <w:t>Целевой показатель на 2014–2015 годы: 40 стран</w:t>
      </w:r>
    </w:p>
    <w:p w:rsidR="00E71C11" w:rsidRPr="00E71C11" w:rsidRDefault="00E71C11" w:rsidP="00B37F4A">
      <w:pPr>
        <w:pStyle w:val="SingleTxt"/>
      </w:pPr>
      <w:r w:rsidRPr="00E71C11">
        <w:t>Фактический показатель на 2014–2015 годы (по состоянию на 31 июля 2015 года): 38 стран</w:t>
      </w:r>
      <w:r w:rsidR="00B37F4A" w:rsidRPr="00C15633">
        <w:rPr>
          <w:rStyle w:val="FootnoteReference"/>
        </w:rPr>
        <w:footnoteReference w:id="3"/>
      </w:r>
    </w:p>
    <w:p w:rsidR="00B37F4A" w:rsidRPr="00B37F4A" w:rsidRDefault="00B37F4A" w:rsidP="00B37F4A">
      <w:pPr>
        <w:pStyle w:val="SingleTxt"/>
        <w:spacing w:after="0" w:line="120" w:lineRule="exact"/>
        <w:rPr>
          <w:b/>
          <w:sz w:val="10"/>
        </w:rPr>
      </w:pPr>
    </w:p>
    <w:p w:rsidR="00B37F4A" w:rsidRPr="00B37F4A" w:rsidRDefault="00B37F4A" w:rsidP="00B37F4A">
      <w:pPr>
        <w:pStyle w:val="SingleTxt"/>
        <w:spacing w:after="0" w:line="120" w:lineRule="exact"/>
        <w:rPr>
          <w:b/>
          <w:sz w:val="10"/>
        </w:rPr>
      </w:pPr>
    </w:p>
    <w:p w:rsidR="00E71C11" w:rsidRPr="00E71C11" w:rsidRDefault="00B37F4A" w:rsidP="00B37F4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Тематический блок 4</w:t>
      </w:r>
      <w:r w:rsidR="00E71C11" w:rsidRPr="00E71C11">
        <w:br/>
        <w:t>Транспорт, здравоохранение и окружающая среда</w:t>
      </w:r>
    </w:p>
    <w:p w:rsidR="00B37F4A" w:rsidRPr="00B37F4A" w:rsidRDefault="00B37F4A" w:rsidP="00B37F4A">
      <w:pPr>
        <w:pStyle w:val="SingleTxt"/>
        <w:spacing w:after="0" w:line="120" w:lineRule="exact"/>
        <w:rPr>
          <w:i/>
          <w:sz w:val="10"/>
        </w:rPr>
      </w:pPr>
    </w:p>
    <w:p w:rsidR="00B37F4A" w:rsidRPr="00B37F4A" w:rsidRDefault="00B37F4A" w:rsidP="00B37F4A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B37F4A" w:rsidP="00B37F4A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Ожидаемые достижения</w:t>
      </w:r>
    </w:p>
    <w:p w:rsidR="00B37F4A" w:rsidRPr="00B37F4A" w:rsidRDefault="00B37F4A" w:rsidP="00B37F4A">
      <w:pPr>
        <w:pStyle w:val="SingleTxt"/>
        <w:spacing w:after="0" w:line="120" w:lineRule="exact"/>
        <w:rPr>
          <w:sz w:val="10"/>
        </w:rPr>
      </w:pPr>
    </w:p>
    <w:p w:rsidR="00E71C11" w:rsidRPr="00E71C11" w:rsidRDefault="00E71C11" w:rsidP="00E71C11">
      <w:pPr>
        <w:pStyle w:val="SingleTxt"/>
      </w:pPr>
      <w:r w:rsidRPr="00E71C11">
        <w:t>Более эффективная интеграция политики в области транспорта, охраны здоровья и окружающей среды на основе обмена опытом и примерами передовой практ</w:t>
      </w:r>
      <w:r w:rsidRPr="00E71C11">
        <w:t>и</w:t>
      </w:r>
      <w:r w:rsidRPr="00E71C11">
        <w:t>ки и наращивания потенциала с особым акцентом на Восточной и Юго-Восточной Европе, Закавказье и Центральной Азии</w:t>
      </w:r>
    </w:p>
    <w:p w:rsidR="00B37F4A" w:rsidRPr="00B37F4A" w:rsidRDefault="00B37F4A" w:rsidP="00B37F4A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B37F4A" w:rsidP="00B37F4A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Отчет о достижениях/полученных результатах</w:t>
      </w:r>
    </w:p>
    <w:p w:rsidR="00B37F4A" w:rsidRPr="00B37F4A" w:rsidRDefault="00B37F4A" w:rsidP="00B37F4A">
      <w:pPr>
        <w:pStyle w:val="SingleTxt"/>
        <w:spacing w:after="0" w:line="120" w:lineRule="exact"/>
        <w:rPr>
          <w:sz w:val="10"/>
        </w:rPr>
      </w:pPr>
    </w:p>
    <w:p w:rsidR="00E71C11" w:rsidRPr="00E71C11" w:rsidRDefault="00E71C11" w:rsidP="00B37F4A">
      <w:pPr>
        <w:pStyle w:val="SingleTxt"/>
      </w:pPr>
      <w:r w:rsidRPr="00E71C11">
        <w:t>17.</w:t>
      </w:r>
      <w:r w:rsidRPr="00E71C11">
        <w:tab/>
        <w:t xml:space="preserve">В 2014 году на четвертом Совещании высокого уровня по транспорту, охране здоровья и окружающей среде была принята Парижская декларация </w:t>
      </w:r>
      <w:r w:rsidR="00B37F4A">
        <w:t>«</w:t>
      </w:r>
      <w:r w:rsidRPr="00E71C11">
        <w:t>Г</w:t>
      </w:r>
      <w:r w:rsidRPr="00E71C11">
        <w:t>о</w:t>
      </w:r>
      <w:r w:rsidRPr="00E71C11">
        <w:t>род в дви</w:t>
      </w:r>
      <w:r w:rsidR="00B37F4A">
        <w:t>жении: в первую очередь − люди!»</w:t>
      </w:r>
      <w:r w:rsidRPr="00E71C11">
        <w:t xml:space="preserve">, в которой получили дальнейшее развитие четыре приоритетных цели из Амстердамской декларации 2009 </w:t>
      </w:r>
      <w:proofErr w:type="gramStart"/>
      <w:r w:rsidRPr="00E71C11">
        <w:t>года</w:t>
      </w:r>
      <w:proofErr w:type="gramEnd"/>
      <w:r w:rsidRPr="00E71C11">
        <w:t xml:space="preserve"> и была добавлена пятая цель: </w:t>
      </w:r>
      <w:r w:rsidR="00B37F4A">
        <w:t>«</w:t>
      </w:r>
      <w:r w:rsidRPr="00E71C11">
        <w:t>интегрировать цели в областях транспорта, охраны здоровья и окружающей среды в политику городского развития и территориал</w:t>
      </w:r>
      <w:r w:rsidRPr="00E71C11">
        <w:t>ь</w:t>
      </w:r>
      <w:r w:rsidRPr="00E71C11">
        <w:t>но-пространственного планирования</w:t>
      </w:r>
      <w:r w:rsidR="00B37F4A">
        <w:t>»</w:t>
      </w:r>
      <w:r w:rsidRPr="00E71C11">
        <w:t xml:space="preserve">. </w:t>
      </w:r>
    </w:p>
    <w:p w:rsidR="00E71C11" w:rsidRPr="00E71C11" w:rsidRDefault="00E71C11" w:rsidP="00CC68C1">
      <w:pPr>
        <w:pStyle w:val="SingleTxt"/>
      </w:pPr>
      <w:r w:rsidRPr="00E71C11">
        <w:t>Участники совещания решили приступить к разработке общеевропейского плана комплексного развития велосипедного движения и создать Академию Общеевр</w:t>
      </w:r>
      <w:r w:rsidRPr="00E71C11">
        <w:t>о</w:t>
      </w:r>
      <w:r w:rsidRPr="00E71C11">
        <w:t>пейской программы по транспорту, окружающей среде и охране здоровья (ОПТОСОЗ) в качестве нового механизма, обеспечивающего увязку научных, п</w:t>
      </w:r>
      <w:r w:rsidRPr="00E71C11">
        <w:t>о</w:t>
      </w:r>
      <w:r w:rsidRPr="00E71C11">
        <w:t>литических и практических аспектов на основе уже имеющегося опыта. На с</w:t>
      </w:r>
      <w:r w:rsidRPr="00E71C11">
        <w:t>о</w:t>
      </w:r>
      <w:r w:rsidRPr="00E71C11">
        <w:t>вещании были предста</w:t>
      </w:r>
      <w:r w:rsidR="00CC68C1">
        <w:t>влены четыре новые публикации: «</w:t>
      </w:r>
      <w:r w:rsidRPr="00E71C11">
        <w:t>Разработка национал</w:t>
      </w:r>
      <w:r w:rsidRPr="00E71C11">
        <w:t>ь</w:t>
      </w:r>
      <w:r w:rsidRPr="00E71C11">
        <w:t>ных планов действий в области транспорта, охраны здоровья и окружающей ср</w:t>
      </w:r>
      <w:r w:rsidRPr="00E71C11">
        <w:t>е</w:t>
      </w:r>
      <w:r w:rsidRPr="00E71C11">
        <w:t>ды</w:t>
      </w:r>
      <w:r w:rsidR="00CC68C1">
        <w:t>»</w:t>
      </w:r>
      <w:r w:rsidRPr="00E71C11">
        <w:t xml:space="preserve">; </w:t>
      </w:r>
      <w:r w:rsidR="00CC68C1">
        <w:t>«</w:t>
      </w:r>
      <w:r w:rsidRPr="00E71C11">
        <w:t>От Амстердама до Парижа и далее</w:t>
      </w:r>
      <w:r w:rsidR="00CC68C1">
        <w:t>»</w:t>
      </w:r>
      <w:r w:rsidRPr="00E71C11">
        <w:t xml:space="preserve">; </w:t>
      </w:r>
      <w:r w:rsidR="00CC68C1">
        <w:t>«</w:t>
      </w:r>
      <w:r w:rsidRPr="00E71C11">
        <w:rPr>
          <w:bCs/>
        </w:rPr>
        <w:t>Рабочие места в секторе экологич</w:t>
      </w:r>
      <w:r w:rsidRPr="00E71C11">
        <w:rPr>
          <w:bCs/>
        </w:rPr>
        <w:t>е</w:t>
      </w:r>
      <w:r w:rsidRPr="00E71C11">
        <w:rPr>
          <w:bCs/>
        </w:rPr>
        <w:t>ски чистого и здорового транспорта</w:t>
      </w:r>
      <w:r w:rsidR="00CC68C1">
        <w:t>»</w:t>
      </w:r>
      <w:r w:rsidRPr="00E71C11">
        <w:t xml:space="preserve"> и </w:t>
      </w:r>
      <w:r w:rsidR="00CC68C1">
        <w:t>«</w:t>
      </w:r>
      <w:r w:rsidRPr="00E71C11">
        <w:t>Знаки и сигналы для велосипедистов и пешеходов</w:t>
      </w:r>
      <w:r w:rsidR="00CC68C1">
        <w:t>»</w:t>
      </w:r>
      <w:r w:rsidRPr="00E71C11">
        <w:t>.</w:t>
      </w:r>
    </w:p>
    <w:p w:rsidR="00E71C11" w:rsidRPr="00E71C11" w:rsidRDefault="00E71C11" w:rsidP="00CC68C1">
      <w:pPr>
        <w:pStyle w:val="SingleTxt"/>
      </w:pPr>
      <w:r w:rsidRPr="00E71C11">
        <w:t>18.</w:t>
      </w:r>
      <w:r w:rsidRPr="00E71C11">
        <w:tab/>
        <w:t>Двенадцатая сессия Руководящего комитета ОПТОСОЗ состоялась в ноябре 2014 года. Тринадцатую сессию планируется провести в ноябре 2015 года. Си</w:t>
      </w:r>
      <w:r w:rsidRPr="00E71C11">
        <w:t>м</w:t>
      </w:r>
      <w:r w:rsidRPr="00E71C11">
        <w:t>позиум ОПТОСОЗ 2014 г</w:t>
      </w:r>
      <w:r w:rsidR="00CC68C1">
        <w:t>ода, посвященной новой цели 5 («</w:t>
      </w:r>
      <w:r w:rsidRPr="00E71C11">
        <w:t>интегрировать цели в областях транспорта, охраны здоровья и окружающей среды в политику горо</w:t>
      </w:r>
      <w:r w:rsidRPr="00E71C11">
        <w:t>д</w:t>
      </w:r>
      <w:r w:rsidRPr="00E71C11">
        <w:t>ского развития и территориально-пространственного планирования</w:t>
      </w:r>
      <w:r w:rsidR="00CC68C1">
        <w:t>»</w:t>
      </w:r>
      <w:r w:rsidRPr="00E71C11">
        <w:t>), был пр</w:t>
      </w:r>
      <w:r w:rsidRPr="00E71C11">
        <w:t>и</w:t>
      </w:r>
      <w:r w:rsidRPr="00E71C11">
        <w:t>урочен к сессии Руководящего комитета.</w:t>
      </w:r>
    </w:p>
    <w:p w:rsidR="00E71C11" w:rsidRPr="00E71C11" w:rsidRDefault="00E71C11" w:rsidP="00CC68C1">
      <w:pPr>
        <w:pStyle w:val="SingleTxt"/>
      </w:pPr>
      <w:r w:rsidRPr="00E71C11">
        <w:t>19.</w:t>
      </w:r>
      <w:r w:rsidRPr="00E71C11">
        <w:tab/>
        <w:t xml:space="preserve">ОПТОСОЗ продолжила обмен опытом в области устойчивого городского транспорта в регионе ЕЭК с помощью серии </w:t>
      </w:r>
      <w:r w:rsidR="00CC68C1">
        <w:t>«</w:t>
      </w:r>
      <w:r w:rsidRPr="00E71C11">
        <w:t>эстафет</w:t>
      </w:r>
      <w:r w:rsidR="00CC68C1">
        <w:t>»</w:t>
      </w:r>
      <w:r w:rsidRPr="00E71C11">
        <w:t xml:space="preserve">. </w:t>
      </w:r>
      <w:r w:rsidR="00CC68C1">
        <w:t>«</w:t>
      </w:r>
      <w:r w:rsidRPr="00E71C11">
        <w:t>Эстафетная палочка</w:t>
      </w:r>
      <w:r w:rsidR="00CC68C1">
        <w:t>»</w:t>
      </w:r>
      <w:r w:rsidRPr="00E71C11">
        <w:t xml:space="preserve"> перешла от Алматы (Казахстан) Каунасу (Литва) в связи с проведением в сентя</w:t>
      </w:r>
      <w:r w:rsidRPr="00E71C11">
        <w:t>б</w:t>
      </w:r>
      <w:r w:rsidRPr="00E71C11">
        <w:t>ре 2014 год</w:t>
      </w:r>
      <w:r w:rsidR="00CC68C1">
        <w:t>а совещания на тему «</w:t>
      </w:r>
      <w:r w:rsidRPr="00E71C11">
        <w:t>Совершенствование устойчивой мобильности для улучшения здоровья и окружающей среды: движение ради оздоровления</w:t>
      </w:r>
      <w:r w:rsidR="00CC68C1">
        <w:t>»</w:t>
      </w:r>
      <w:r w:rsidRPr="00E71C11">
        <w:t xml:space="preserve">. </w:t>
      </w:r>
      <w:r w:rsidR="00CC68C1">
        <w:br/>
      </w:r>
      <w:r w:rsidRPr="00E71C11">
        <w:t>В рабочем совещании приняли участие 196 представителей учреждений Литвы по вопросам окружающей среды, здравоохранения и транспорта национального и местного уровней. Представители этих трех секторов муниципалитета Каунаса приняли ряд обязательств, включая конкретные меры по содействию внедрению устойчивых и благоприятных для здоровья человека моделей мобильности и транспорта к 2023 году. Кроме того, по случаю рабочего совещания была открыта велосипедная дорожка длиной 5,5 км. Протяженность велосипедных дорожек в городе возрастет с 65 до 130 км. Следую</w:t>
      </w:r>
      <w:r w:rsidR="00CC68C1">
        <w:t>щее рабочее совещание в рамках «</w:t>
      </w:r>
      <w:r w:rsidRPr="00E71C11">
        <w:t>эст</w:t>
      </w:r>
      <w:r w:rsidRPr="00E71C11">
        <w:t>а</w:t>
      </w:r>
      <w:r w:rsidRPr="00E71C11">
        <w:t>феты</w:t>
      </w:r>
      <w:r w:rsidR="00CC68C1">
        <w:t>»</w:t>
      </w:r>
      <w:r w:rsidRPr="00E71C11">
        <w:t xml:space="preserve"> состоится в сентябре 2015 года в Иркутске, Российская Федерация.</w:t>
      </w:r>
    </w:p>
    <w:p w:rsidR="00CC68C1" w:rsidRPr="00CC68C1" w:rsidRDefault="00CC68C1" w:rsidP="00CC68C1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CC68C1" w:rsidP="00CC68C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Извлеченные уроки/области, нуждающиеся в усовершенствовании</w:t>
      </w:r>
    </w:p>
    <w:p w:rsidR="00CC68C1" w:rsidRPr="00CC68C1" w:rsidRDefault="00CC68C1" w:rsidP="00CC68C1">
      <w:pPr>
        <w:pStyle w:val="SingleTxt"/>
        <w:spacing w:after="0" w:line="120" w:lineRule="exact"/>
        <w:rPr>
          <w:sz w:val="10"/>
        </w:rPr>
      </w:pPr>
    </w:p>
    <w:p w:rsidR="00E71C11" w:rsidRPr="00E71C11" w:rsidRDefault="00E71C11" w:rsidP="00E71C11">
      <w:pPr>
        <w:pStyle w:val="SingleTxt"/>
      </w:pPr>
      <w:r w:rsidRPr="00E71C11">
        <w:t>20.</w:t>
      </w:r>
      <w:r w:rsidRPr="00E71C11">
        <w:tab/>
        <w:t>Отсутствуют достаточные внебюджетные средства, необходимые для ма</w:t>
      </w:r>
      <w:r w:rsidRPr="00E71C11">
        <w:t>к</w:t>
      </w:r>
      <w:r w:rsidRPr="00E71C11">
        <w:t>симального наращивания возможностей Информационного центра ОПТОСОЗ, являющегося порталом для проведения межсекторальных исследований по в</w:t>
      </w:r>
      <w:r w:rsidRPr="00E71C11">
        <w:t>о</w:t>
      </w:r>
      <w:r w:rsidRPr="00E71C11">
        <w:t>просам политики, а также для создания условий, которые позволяли бы ему и</w:t>
      </w:r>
      <w:r w:rsidRPr="00E71C11">
        <w:t>г</w:t>
      </w:r>
      <w:r w:rsidRPr="00E71C11">
        <w:t>рать ключевую роль в привлечении внимания к этому процессу. Так, в частности, не удалось привлечь ресурсы для найма контент-редактора Информационного центра, а работа веб-портала сопряжена с серьезными техническими проблемами. Необходимо приложить особые усилия для того, чтобы большее число стран и организаций предоставляли внебюджетную помощь на цели проведения мер</w:t>
      </w:r>
      <w:r w:rsidRPr="00E71C11">
        <w:t>о</w:t>
      </w:r>
      <w:r w:rsidRPr="00E71C11">
        <w:t>приятий по линии ОПТОСОЗ, и за счет этого обеспечить перенос данных И</w:t>
      </w:r>
      <w:r w:rsidRPr="00E71C11">
        <w:t>н</w:t>
      </w:r>
      <w:r w:rsidRPr="00E71C11">
        <w:t>формационного центра с существующей поисковой платформы в современные системы управления контентом.</w:t>
      </w:r>
    </w:p>
    <w:p w:rsidR="00CC68C1" w:rsidRPr="00CC68C1" w:rsidRDefault="00CC68C1" w:rsidP="00CC68C1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CC68C1" w:rsidP="00CC68C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Показатель достижения результатов</w:t>
      </w:r>
    </w:p>
    <w:p w:rsidR="00CC68C1" w:rsidRPr="00CC68C1" w:rsidRDefault="00CC68C1" w:rsidP="00CC68C1">
      <w:pPr>
        <w:pStyle w:val="SingleTxt"/>
        <w:spacing w:after="0" w:line="120" w:lineRule="exact"/>
        <w:rPr>
          <w:sz w:val="10"/>
        </w:rPr>
      </w:pPr>
    </w:p>
    <w:p w:rsidR="00E71C11" w:rsidRPr="00E71C11" w:rsidRDefault="00E71C11" w:rsidP="00E71C11">
      <w:pPr>
        <w:pStyle w:val="SingleTxt"/>
      </w:pPr>
      <w:r w:rsidRPr="00E71C11">
        <w:t>Число государств-членов, международных правительственных организаций (МПО) и неправительственных организаций (НПО), участвующих в совещаниях Руководящего комитета ОПТОСОЗ и в соответствующих рабочих совещаниях, организуемых под его эгидой</w:t>
      </w:r>
    </w:p>
    <w:p w:rsidR="00CC68C1" w:rsidRPr="00CC68C1" w:rsidRDefault="00CC68C1" w:rsidP="00CC68C1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CC68C1" w:rsidP="00CC68C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Показатели результативности</w:t>
      </w:r>
    </w:p>
    <w:p w:rsidR="00CC68C1" w:rsidRPr="00CC68C1" w:rsidRDefault="00CC68C1" w:rsidP="00CC68C1">
      <w:pPr>
        <w:pStyle w:val="SingleTxt"/>
        <w:keepNext/>
        <w:spacing w:after="0" w:line="120" w:lineRule="exact"/>
        <w:rPr>
          <w:sz w:val="10"/>
        </w:rPr>
      </w:pPr>
    </w:p>
    <w:p w:rsidR="00E71C11" w:rsidRPr="00E71C11" w:rsidRDefault="00E71C11" w:rsidP="00E71C11">
      <w:pPr>
        <w:pStyle w:val="SingleTxt"/>
      </w:pPr>
      <w:r w:rsidRPr="00E71C11">
        <w:t>2010–2011 годы: участие 69 стран и 28 МПО и НПО в пяти основных сессиях, включая три рабочих совеща</w:t>
      </w:r>
      <w:r w:rsidR="00CC68C1">
        <w:t>ния по наращиванию потенциала («эстафеты»</w:t>
      </w:r>
      <w:r w:rsidRPr="00E71C11">
        <w:t>), пр</w:t>
      </w:r>
      <w:r w:rsidRPr="00E71C11">
        <w:t>и</w:t>
      </w:r>
      <w:r w:rsidRPr="00E71C11">
        <w:t>званных содействовать распространению передового опыта, и две сессии Рук</w:t>
      </w:r>
      <w:r w:rsidRPr="00E71C11">
        <w:t>о</w:t>
      </w:r>
      <w:r w:rsidRPr="00E71C11">
        <w:t>водящего комитета ОПТОСОЗ</w:t>
      </w:r>
    </w:p>
    <w:p w:rsidR="00E71C11" w:rsidRPr="00E71C11" w:rsidRDefault="00E71C11" w:rsidP="00E71C11">
      <w:pPr>
        <w:pStyle w:val="SingleTxt"/>
      </w:pPr>
      <w:r w:rsidRPr="00E71C11">
        <w:t>2012–2013 годы: участие 62 стран и 31 МПО и НПО в четырех основных сов</w:t>
      </w:r>
      <w:r w:rsidRPr="00E71C11">
        <w:t>е</w:t>
      </w:r>
      <w:r w:rsidRPr="00E71C11">
        <w:t>щаниях, включая два рабочих совещания по наращиванию потенциала и две се</w:t>
      </w:r>
      <w:r w:rsidRPr="00E71C11">
        <w:t>с</w:t>
      </w:r>
      <w:r w:rsidRPr="00E71C11">
        <w:t xml:space="preserve">сии Руководящего комитета ОПТОСОЗ </w:t>
      </w:r>
    </w:p>
    <w:p w:rsidR="00E71C11" w:rsidRPr="00E71C11" w:rsidRDefault="00E71C11" w:rsidP="00E71C11">
      <w:pPr>
        <w:pStyle w:val="SingleTxt"/>
      </w:pPr>
      <w:r w:rsidRPr="00E71C11">
        <w:t>Целевой показатель на 2014–2015 годы: участие 60 стран и 20 МПО и НПО в ш</w:t>
      </w:r>
      <w:r w:rsidRPr="00E71C11">
        <w:t>е</w:t>
      </w:r>
      <w:r w:rsidRPr="00E71C11">
        <w:t>сти основных совещаниях, включая четыре рабочих совещания по наращиванию потенциала и две сессии Руководящего комитета ОПТОСОЗ</w:t>
      </w:r>
    </w:p>
    <w:p w:rsidR="00E71C11" w:rsidRPr="00E71C11" w:rsidRDefault="00E71C11" w:rsidP="00CC68C1">
      <w:pPr>
        <w:pStyle w:val="SingleTxt"/>
      </w:pPr>
      <w:r w:rsidRPr="00E71C11">
        <w:t>Фактический показатель на 2014–2015 годы (по состоянию на 31 июля 2015 г</w:t>
      </w:r>
      <w:r w:rsidRPr="00E71C11">
        <w:t>о</w:t>
      </w:r>
      <w:r w:rsidRPr="00E71C11">
        <w:t>да)</w:t>
      </w:r>
      <w:r w:rsidR="00CC68C1" w:rsidRPr="00C15633">
        <w:rPr>
          <w:rStyle w:val="FootnoteReference"/>
        </w:rPr>
        <w:footnoteReference w:id="4"/>
      </w:r>
      <w:r w:rsidRPr="00E71C11">
        <w:t>: участие 58 стран и 23 МПО и НПО в трех основных совещаниях, включая одно рабочее совещание по наращиванию потенциала, одно совещание высокого уровня и одну сессию Руководящего комитета ОПТОСОЗ</w:t>
      </w:r>
    </w:p>
    <w:p w:rsidR="00CC68C1" w:rsidRPr="00CC68C1" w:rsidRDefault="00CC68C1" w:rsidP="00CC68C1">
      <w:pPr>
        <w:pStyle w:val="SingleTxt"/>
        <w:spacing w:after="0" w:line="120" w:lineRule="exact"/>
        <w:rPr>
          <w:b/>
          <w:sz w:val="10"/>
        </w:rPr>
      </w:pPr>
    </w:p>
    <w:p w:rsidR="00CC68C1" w:rsidRPr="00CC68C1" w:rsidRDefault="00CC68C1" w:rsidP="00CC68C1">
      <w:pPr>
        <w:pStyle w:val="SingleTxt"/>
        <w:spacing w:after="0" w:line="120" w:lineRule="exact"/>
        <w:rPr>
          <w:b/>
          <w:sz w:val="10"/>
        </w:rPr>
      </w:pPr>
    </w:p>
    <w:p w:rsidR="00E71C11" w:rsidRPr="00E71C11" w:rsidRDefault="00CC68C1" w:rsidP="00CC68C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Тематический блок 5</w:t>
      </w:r>
      <w:r w:rsidR="00E71C11" w:rsidRPr="00E71C11">
        <w:br/>
        <w:t xml:space="preserve">Конвенция о трансграничном загрязнении воздуха </w:t>
      </w:r>
      <w:r>
        <w:br/>
      </w:r>
      <w:r w:rsidR="00E71C11" w:rsidRPr="00E71C11">
        <w:t>на большие расстояния</w:t>
      </w:r>
    </w:p>
    <w:p w:rsidR="00CC68C1" w:rsidRPr="00CC68C1" w:rsidRDefault="00CC68C1" w:rsidP="00CC68C1">
      <w:pPr>
        <w:pStyle w:val="SingleTxt"/>
        <w:spacing w:after="0" w:line="120" w:lineRule="exact"/>
        <w:rPr>
          <w:i/>
          <w:sz w:val="10"/>
        </w:rPr>
      </w:pPr>
    </w:p>
    <w:p w:rsidR="00CC68C1" w:rsidRPr="00CC68C1" w:rsidRDefault="00CC68C1" w:rsidP="00CC68C1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CC68C1" w:rsidP="00CC68C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Ожидаемые достижения</w:t>
      </w:r>
    </w:p>
    <w:p w:rsidR="00CC68C1" w:rsidRPr="00CC68C1" w:rsidRDefault="00CC68C1" w:rsidP="00CC68C1">
      <w:pPr>
        <w:pStyle w:val="SingleTxt"/>
        <w:spacing w:after="0" w:line="120" w:lineRule="exact"/>
        <w:rPr>
          <w:sz w:val="10"/>
        </w:rPr>
      </w:pPr>
    </w:p>
    <w:p w:rsidR="00E71C11" w:rsidRPr="00E71C11" w:rsidRDefault="00E71C11" w:rsidP="00CC68C1">
      <w:pPr>
        <w:pStyle w:val="SingleTxt"/>
      </w:pPr>
      <w:proofErr w:type="gramStart"/>
      <w:r w:rsidRPr="00E71C11">
        <w:t xml:space="preserve">Рост числа ратификаций и активизация осуществления </w:t>
      </w:r>
      <w:r w:rsidRPr="00E71C11">
        <w:rPr>
          <w:bCs/>
        </w:rPr>
        <w:t>Конвенции о трансгр</w:t>
      </w:r>
      <w:r w:rsidRPr="00E71C11">
        <w:rPr>
          <w:bCs/>
        </w:rPr>
        <w:t>а</w:t>
      </w:r>
      <w:r w:rsidRPr="00E71C11">
        <w:rPr>
          <w:bCs/>
        </w:rPr>
        <w:t xml:space="preserve">ничном загрязнении воздуха на большие расстояния </w:t>
      </w:r>
      <w:r w:rsidRPr="00E71C11">
        <w:t xml:space="preserve">(Конвенции по воздуху) и трех последних протоколов к ней (Протокола по тяжелым металлам, Протокола по стойким органическим загрязнителям и Протокола о борьбе с подкислением, </w:t>
      </w:r>
      <w:proofErr w:type="spellStart"/>
      <w:r w:rsidRPr="00E71C11">
        <w:t>эвтр</w:t>
      </w:r>
      <w:r w:rsidR="00CC68C1">
        <w:t>офикацией</w:t>
      </w:r>
      <w:proofErr w:type="spellEnd"/>
      <w:r w:rsidR="00CC68C1">
        <w:t xml:space="preserve"> и приземным озоном (</w:t>
      </w:r>
      <w:proofErr w:type="spellStart"/>
      <w:r w:rsidR="00CC68C1">
        <w:t>Г</w:t>
      </w:r>
      <w:r w:rsidR="00D523BC">
        <w:t>ё</w:t>
      </w:r>
      <w:r w:rsidRPr="00E71C11">
        <w:t>теборгского</w:t>
      </w:r>
      <w:proofErr w:type="spellEnd"/>
      <w:r w:rsidRPr="00E71C11">
        <w:t xml:space="preserve"> протокола)) государствами </w:t>
      </w:r>
      <w:r w:rsidR="00CC68C1">
        <w:t>–</w:t>
      </w:r>
      <w:r w:rsidRPr="00E71C11">
        <w:t xml:space="preserve"> членами ЕЭК, в частности странами Восточной и Юго-Восточной Европы, З</w:t>
      </w:r>
      <w:r w:rsidRPr="00E71C11">
        <w:t>а</w:t>
      </w:r>
      <w:r w:rsidRPr="00E71C11">
        <w:t>кавказья и Центральной Азии</w:t>
      </w:r>
      <w:proofErr w:type="gramEnd"/>
    </w:p>
    <w:p w:rsidR="00CC68C1" w:rsidRPr="00CC68C1" w:rsidRDefault="00CC68C1" w:rsidP="00CC68C1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CC68C1" w:rsidP="00CC68C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Отчет о достижениях/полученных результатах</w:t>
      </w:r>
    </w:p>
    <w:p w:rsidR="00CC68C1" w:rsidRPr="00CC68C1" w:rsidRDefault="00CC68C1" w:rsidP="00CC68C1">
      <w:pPr>
        <w:pStyle w:val="SingleTxt"/>
        <w:spacing w:after="0" w:line="120" w:lineRule="exact"/>
        <w:rPr>
          <w:bCs/>
          <w:sz w:val="10"/>
        </w:rPr>
      </w:pPr>
    </w:p>
    <w:p w:rsidR="00E71C11" w:rsidRPr="00E71C11" w:rsidRDefault="00E71C11" w:rsidP="00E71C11">
      <w:pPr>
        <w:pStyle w:val="SingleTxt"/>
        <w:rPr>
          <w:bCs/>
        </w:rPr>
      </w:pPr>
      <w:r w:rsidRPr="00E71C11">
        <w:rPr>
          <w:bCs/>
        </w:rPr>
        <w:t>21.</w:t>
      </w:r>
      <w:r w:rsidRPr="00E71C11">
        <w:rPr>
          <w:bCs/>
        </w:rPr>
        <w:tab/>
        <w:t>В 2014–2015 годах секретариат Конвенции по воздуху</w:t>
      </w:r>
      <w:r w:rsidRPr="00E71C11">
        <w:rPr>
          <w:b/>
          <w:bCs/>
        </w:rPr>
        <w:t xml:space="preserve"> </w:t>
      </w:r>
      <w:r w:rsidRPr="00E71C11">
        <w:rPr>
          <w:bCs/>
        </w:rPr>
        <w:t>начал осуществление программы оказания помощи, направленной на наращивание потенциала и п</w:t>
      </w:r>
      <w:r w:rsidRPr="00E71C11">
        <w:rPr>
          <w:bCs/>
        </w:rPr>
        <w:t>о</w:t>
      </w:r>
      <w:r w:rsidRPr="00E71C11">
        <w:rPr>
          <w:bCs/>
        </w:rPr>
        <w:t>вышение уровня осведомленности среди стран Восточной Европы, Закавказья и Центральной Азии. Он организовал рабочие совещания по вопросу о кадастрах выбросов загрязнителей воздуха и представлению данных о выбросах в Азе</w:t>
      </w:r>
      <w:r w:rsidRPr="00E71C11">
        <w:rPr>
          <w:bCs/>
        </w:rPr>
        <w:t>р</w:t>
      </w:r>
      <w:r w:rsidRPr="00E71C11">
        <w:rPr>
          <w:bCs/>
        </w:rPr>
        <w:t>байджане, Армении, Грузии, Казахстане, Республике Молдова и Узбекистане. Помимо этого, секретариат обеспечил проведение анализа национальной пол</w:t>
      </w:r>
      <w:r w:rsidRPr="00E71C11">
        <w:rPr>
          <w:bCs/>
        </w:rPr>
        <w:t>и</w:t>
      </w:r>
      <w:r w:rsidRPr="00E71C11">
        <w:rPr>
          <w:bCs/>
        </w:rPr>
        <w:t>тики и законодательства в области оценки и регулирования качества воздуха в Узбекистане, выявив пробелы в плане соблюдения требований Конвенции и в</w:t>
      </w:r>
      <w:r w:rsidRPr="00E71C11">
        <w:rPr>
          <w:bCs/>
        </w:rPr>
        <w:t>ы</w:t>
      </w:r>
      <w:r w:rsidRPr="00E71C11">
        <w:rPr>
          <w:bCs/>
        </w:rPr>
        <w:t>неся рекомендации относительно дальнейших шагов для ратификации Конве</w:t>
      </w:r>
      <w:r w:rsidRPr="00E71C11">
        <w:rPr>
          <w:bCs/>
        </w:rPr>
        <w:t>н</w:t>
      </w:r>
      <w:r w:rsidRPr="00E71C11">
        <w:rPr>
          <w:bCs/>
        </w:rPr>
        <w:t>ции и ключевых протоколов к ней.</w:t>
      </w:r>
    </w:p>
    <w:p w:rsidR="00E71C11" w:rsidRPr="00E71C11" w:rsidRDefault="00E71C11" w:rsidP="00E71C11">
      <w:pPr>
        <w:pStyle w:val="SingleTxt"/>
      </w:pPr>
      <w:r w:rsidRPr="00E71C11">
        <w:rPr>
          <w:bCs/>
        </w:rPr>
        <w:t>22.</w:t>
      </w:r>
      <w:r w:rsidRPr="00E71C11">
        <w:rPr>
          <w:bCs/>
        </w:rPr>
        <w:tab/>
        <w:t>Секретариат продолжил содействовать участию целевых стран в деятельн</w:t>
      </w:r>
      <w:r w:rsidRPr="00E71C11">
        <w:rPr>
          <w:bCs/>
        </w:rPr>
        <w:t>о</w:t>
      </w:r>
      <w:r w:rsidRPr="00E71C11">
        <w:rPr>
          <w:bCs/>
        </w:rPr>
        <w:t>сти в рамках Конвенции и повышению уровня осведомленности директивных о</w:t>
      </w:r>
      <w:r w:rsidRPr="00E71C11">
        <w:rPr>
          <w:bCs/>
        </w:rPr>
        <w:t>р</w:t>
      </w:r>
      <w:r w:rsidRPr="00E71C11">
        <w:rPr>
          <w:bCs/>
        </w:rPr>
        <w:t>ганов в странах Центральной Азии о негативных последствиях загрязнения во</w:t>
      </w:r>
      <w:r w:rsidRPr="00E71C11">
        <w:rPr>
          <w:bCs/>
        </w:rPr>
        <w:t>з</w:t>
      </w:r>
      <w:r w:rsidRPr="00E71C11">
        <w:rPr>
          <w:bCs/>
        </w:rPr>
        <w:t xml:space="preserve">духа. </w:t>
      </w:r>
      <w:proofErr w:type="gramStart"/>
      <w:r w:rsidRPr="00E71C11">
        <w:rPr>
          <w:bCs/>
        </w:rPr>
        <w:t>В числе промежуточных результатов осуществления данной программы можно упомянуть присоединение Армении к Протоколу, касающемуся долг</w:t>
      </w:r>
      <w:r w:rsidRPr="00E71C11">
        <w:rPr>
          <w:bCs/>
        </w:rPr>
        <w:t>о</w:t>
      </w:r>
      <w:r w:rsidRPr="00E71C11">
        <w:rPr>
          <w:bCs/>
        </w:rPr>
        <w:t>срочного финансирования Совместной программы наблюдения и оценки распр</w:t>
      </w:r>
      <w:r w:rsidRPr="00E71C11">
        <w:rPr>
          <w:bCs/>
        </w:rPr>
        <w:t>о</w:t>
      </w:r>
      <w:r w:rsidRPr="00E71C11">
        <w:rPr>
          <w:bCs/>
        </w:rPr>
        <w:t>странения загрязнителей воздуха на большие расстояния в Европе (ЕМЕП), б</w:t>
      </w:r>
      <w:r w:rsidRPr="00E71C11">
        <w:rPr>
          <w:bCs/>
        </w:rPr>
        <w:t>о</w:t>
      </w:r>
      <w:r w:rsidRPr="00E71C11">
        <w:rPr>
          <w:bCs/>
        </w:rPr>
        <w:t>лее эффективный обмен информацией и расширение участия стран Восточной Европы, Закавказья и Центральной Азии, а также улучшение отдельными Стор</w:t>
      </w:r>
      <w:r w:rsidRPr="00E71C11">
        <w:rPr>
          <w:bCs/>
        </w:rPr>
        <w:t>о</w:t>
      </w:r>
      <w:r w:rsidRPr="00E71C11">
        <w:rPr>
          <w:bCs/>
        </w:rPr>
        <w:t>нами отчетности по Конвенции.</w:t>
      </w:r>
      <w:proofErr w:type="gramEnd"/>
    </w:p>
    <w:p w:rsidR="00E71C11" w:rsidRPr="00E71C11" w:rsidRDefault="00E71C11" w:rsidP="00CC68C1">
      <w:pPr>
        <w:pStyle w:val="SingleTxt"/>
      </w:pPr>
      <w:r w:rsidRPr="00E71C11">
        <w:t>23.</w:t>
      </w:r>
      <w:r w:rsidRPr="00E71C11">
        <w:tab/>
        <w:t>Работа в рамках Конвенции по-прежнему была направлена в первую оч</w:t>
      </w:r>
      <w:r w:rsidRPr="00E71C11">
        <w:t>е</w:t>
      </w:r>
      <w:r w:rsidRPr="00E71C11">
        <w:t>редь на обновление, пересмотр и подготовку соответствующих руководящих д</w:t>
      </w:r>
      <w:r w:rsidRPr="00E71C11">
        <w:t>о</w:t>
      </w:r>
      <w:r w:rsidRPr="00E71C11">
        <w:t xml:space="preserve">кументов. </w:t>
      </w:r>
      <w:proofErr w:type="gramStart"/>
      <w:r w:rsidRPr="00E71C11">
        <w:t>Так, в частности, Целевая группа по химически активному азоту з</w:t>
      </w:r>
      <w:r w:rsidRPr="00E71C11">
        <w:t>а</w:t>
      </w:r>
      <w:r w:rsidRPr="00E71C11">
        <w:t>вершила пересмотр Рамочного кодекса ЕЭК по надлежащей сельскохозяйстве</w:t>
      </w:r>
      <w:r w:rsidRPr="00E71C11">
        <w:t>н</w:t>
      </w:r>
      <w:r w:rsidRPr="00E71C11">
        <w:t>ной практике, способствующей сокращению выбросов аммиака (ECE/</w:t>
      </w:r>
      <w:r w:rsidR="00915B66">
        <w:t xml:space="preserve"> </w:t>
      </w:r>
      <w:r w:rsidRPr="00E71C11">
        <w:t xml:space="preserve">EB.AIR/129), с целью содействия выполнению Сторонами их обязательств по </w:t>
      </w:r>
      <w:proofErr w:type="spellStart"/>
      <w:r w:rsidRPr="00E71C11">
        <w:t>Г</w:t>
      </w:r>
      <w:r w:rsidRPr="00E71C11">
        <w:t>ё</w:t>
      </w:r>
      <w:r w:rsidRPr="00E71C11">
        <w:t>теборгскому</w:t>
      </w:r>
      <w:proofErr w:type="spellEnd"/>
      <w:r w:rsidRPr="00E71C11">
        <w:t xml:space="preserve"> протоколу с внесенными в него поправками за счет обеспечения принятия ими практических мер по сокращению выбросов аммиака на уровне сельхозпредприятий.</w:t>
      </w:r>
      <w:proofErr w:type="gramEnd"/>
      <w:r w:rsidRPr="00E71C11">
        <w:t xml:space="preserve"> Для решения проблемы азотного загрязнения в более шир</w:t>
      </w:r>
      <w:r w:rsidRPr="00E71C11">
        <w:t>о</w:t>
      </w:r>
      <w:r w:rsidRPr="00E71C11">
        <w:t>ком плане укрепляется сотрудничество с соответствующими сетями и организ</w:t>
      </w:r>
      <w:r w:rsidRPr="00E71C11">
        <w:t>а</w:t>
      </w:r>
      <w:r w:rsidRPr="00E71C11">
        <w:t>циями глобальным масштабом деятельности. Сама по себе работа ЕЭК по вопр</w:t>
      </w:r>
      <w:r w:rsidRPr="00E71C11">
        <w:t>о</w:t>
      </w:r>
      <w:r w:rsidRPr="00E71C11">
        <w:t xml:space="preserve">сам, связанным с воздухом и водой, станет вкладом в проводимый Глобальным экологическим фондом проект </w:t>
      </w:r>
      <w:r w:rsidR="00CC68C1">
        <w:t>«</w:t>
      </w:r>
      <w:r w:rsidRPr="00E71C11">
        <w:t>Целевое исследование по углублению понимания глобального цикла азота на пути к созданию международной системы управл</w:t>
      </w:r>
      <w:r w:rsidRPr="00E71C11">
        <w:t>е</w:t>
      </w:r>
      <w:r w:rsidRPr="00E71C11">
        <w:t>ния азотом</w:t>
      </w:r>
      <w:r w:rsidR="00CC68C1">
        <w:t>»</w:t>
      </w:r>
      <w:r w:rsidRPr="00E71C11">
        <w:t>.</w:t>
      </w:r>
    </w:p>
    <w:p w:rsidR="00E71C11" w:rsidRPr="00E71C11" w:rsidRDefault="00E71C11" w:rsidP="00E71C11">
      <w:pPr>
        <w:pStyle w:val="SingleTxt"/>
      </w:pPr>
      <w:r w:rsidRPr="00E71C11">
        <w:t>24.</w:t>
      </w:r>
      <w:r w:rsidRPr="00E71C11">
        <w:tab/>
        <w:t>В Долгосрочной стратегии для Конвенции</w:t>
      </w:r>
      <w:r w:rsidR="00915B66">
        <w:t xml:space="preserve"> (ECE/EB.AIR/106/Add.1, реш</w:t>
      </w:r>
      <w:r w:rsidR="00915B66">
        <w:t>е</w:t>
      </w:r>
      <w:r w:rsidR="00915B66">
        <w:t>ние </w:t>
      </w:r>
      <w:r w:rsidRPr="00E71C11">
        <w:t>2010/18, приложение), принятой в 2010 году, содержится призыв к укрепл</w:t>
      </w:r>
      <w:r w:rsidRPr="00E71C11">
        <w:t>е</w:t>
      </w:r>
      <w:r w:rsidRPr="00E71C11">
        <w:t>нию информационно-пропагандистской деятельности совместно с механизмами ряда соответствующих конвенций и других международных органов, занима</w:t>
      </w:r>
      <w:r w:rsidRPr="00E71C11">
        <w:t>ю</w:t>
      </w:r>
      <w:r w:rsidRPr="00E71C11">
        <w:t>щихся вопросами загрязнения воздуха. В 2014–2015 годах было налажено техн</w:t>
      </w:r>
      <w:r w:rsidRPr="00E71C11">
        <w:t>и</w:t>
      </w:r>
      <w:r w:rsidRPr="00E71C11">
        <w:t>ческое сотрудничество с Арктическим советом, в том числе по вопросам мон</w:t>
      </w:r>
      <w:r w:rsidRPr="00E71C11">
        <w:t>и</w:t>
      </w:r>
      <w:r w:rsidRPr="00E71C11">
        <w:t xml:space="preserve">торинга, моделирования и управления данными, в частности в связи с </w:t>
      </w:r>
      <w:proofErr w:type="spellStart"/>
      <w:r w:rsidRPr="00E71C11">
        <w:t>сажистым</w:t>
      </w:r>
      <w:proofErr w:type="spellEnd"/>
      <w:r w:rsidRPr="00E71C11">
        <w:t xml:space="preserve"> углеродом. Было налажено сотрудничество с Коалицией по защите климата и ч</w:t>
      </w:r>
      <w:r w:rsidRPr="00E71C11">
        <w:t>и</w:t>
      </w:r>
      <w:r w:rsidRPr="00E71C11">
        <w:t>стого воздуха по вопросам короткоживущих загрязнителей, оказывающих вли</w:t>
      </w:r>
      <w:r w:rsidRPr="00E71C11">
        <w:t>я</w:t>
      </w:r>
      <w:r w:rsidRPr="00E71C11">
        <w:t xml:space="preserve">ние на климат. Было расширено текущее сотрудничество </w:t>
      </w:r>
      <w:proofErr w:type="gramStart"/>
      <w:r w:rsidRPr="00E71C11">
        <w:t>со</w:t>
      </w:r>
      <w:proofErr w:type="gramEnd"/>
      <w:r w:rsidRPr="00E71C11">
        <w:t xml:space="preserve"> Всемирной орган</w:t>
      </w:r>
      <w:r w:rsidRPr="00E71C11">
        <w:t>и</w:t>
      </w:r>
      <w:r w:rsidRPr="00E71C11">
        <w:t>зацией здравоохранения (ВОЗ) по линии Совместной целевой группы Конвенции по воздуху-ВОЗ по аспектам воздействия загрязнения воздуха на здоровье чел</w:t>
      </w:r>
      <w:r w:rsidRPr="00E71C11">
        <w:t>о</w:t>
      </w:r>
      <w:r w:rsidRPr="00E71C11">
        <w:t>века и в рамках подготовки параллельного мероприятия системы Организации Объединенных Наций, посвященного вопросам здравоохранения и приуроченн</w:t>
      </w:r>
      <w:r w:rsidRPr="00E71C11">
        <w:t>о</w:t>
      </w:r>
      <w:r w:rsidRPr="00E71C11">
        <w:t>го к двадцать первой сессии Конференции сторон Рамочной конвенции Орган</w:t>
      </w:r>
      <w:r w:rsidRPr="00E71C11">
        <w:t>и</w:t>
      </w:r>
      <w:r w:rsidRPr="00E71C11">
        <w:t>зации Объединенных Наций об изменении климата (РКИКООН). Поощряется дальнейшее техническое сотрудничество в области стойких органических з</w:t>
      </w:r>
      <w:r w:rsidRPr="00E71C11">
        <w:t>а</w:t>
      </w:r>
      <w:r w:rsidRPr="00E71C11">
        <w:t xml:space="preserve">грязнителей с механизмами Стокгольмской конвенции о стойких органических загрязнителях. </w:t>
      </w:r>
    </w:p>
    <w:p w:rsidR="00CC68C1" w:rsidRPr="00CC68C1" w:rsidRDefault="00CC68C1" w:rsidP="00CC68C1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CC68C1" w:rsidP="00CC68C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Извлеченные уроки/области, нуждающиеся в усовершенствовании</w:t>
      </w:r>
    </w:p>
    <w:p w:rsidR="00CC68C1" w:rsidRPr="00CC68C1" w:rsidRDefault="00CC68C1" w:rsidP="00CC68C1">
      <w:pPr>
        <w:pStyle w:val="SingleTxt"/>
        <w:spacing w:after="0" w:line="120" w:lineRule="exact"/>
        <w:rPr>
          <w:sz w:val="10"/>
        </w:rPr>
      </w:pPr>
    </w:p>
    <w:p w:rsidR="00E71C11" w:rsidRPr="00E71C11" w:rsidRDefault="00E71C11" w:rsidP="00E71C11">
      <w:pPr>
        <w:pStyle w:val="SingleTxt"/>
      </w:pPr>
      <w:r w:rsidRPr="00E71C11">
        <w:t>25.</w:t>
      </w:r>
      <w:r w:rsidRPr="00E71C11">
        <w:tab/>
        <w:t>В Долгосрочной стратегии для Конвенции определены сохраняющиеся пр</w:t>
      </w:r>
      <w:r w:rsidRPr="00E71C11">
        <w:t>о</w:t>
      </w:r>
      <w:r w:rsidRPr="00E71C11">
        <w:t>блемы и стратегические приоритеты дальнейшей работы. К их числу, в частности, относятся следующие области, нуждающиеся в усовершенствовании:</w:t>
      </w:r>
    </w:p>
    <w:p w:rsidR="00E71C11" w:rsidRPr="00E71C11" w:rsidRDefault="00E71C11" w:rsidP="00CC68C1">
      <w:pPr>
        <w:pStyle w:val="SingleTxt"/>
      </w:pPr>
      <w:r w:rsidRPr="00E71C11">
        <w:tab/>
        <w:t>a)</w:t>
      </w:r>
      <w:r w:rsidRPr="00E71C11">
        <w:tab/>
        <w:t>Стороны продолжают проводить критическую оценку нынешней структуры вспомогательных органов, групп и целевых групп Конвенции, а также числа и периодичности совещаний с целью оптимизации и рационализации их деятельности и придания ей большей транспарентности. Цель будет заключаться в определении приоритетов работы органов, выявлении путей для более эффе</w:t>
      </w:r>
      <w:r w:rsidRPr="00E71C11">
        <w:t>к</w:t>
      </w:r>
      <w:r w:rsidRPr="00E71C11">
        <w:t>тивного использования ресурсов Исполнительным органом, вспомогательными органами и техническими органами/группами экспертов, сокращении объема официальной документации и повышении эффективности работы совещаний о</w:t>
      </w:r>
      <w:r w:rsidRPr="00E71C11">
        <w:t>с</w:t>
      </w:r>
      <w:r w:rsidRPr="00E71C11">
        <w:t>новных вспомогательных органов. По состоянию на 2015 год два научных органа Конвенции – Руководящий орган ЕМЕП</w:t>
      </w:r>
      <w:r w:rsidR="00CC68C1" w:rsidRPr="00C15633">
        <w:rPr>
          <w:rStyle w:val="FootnoteReference"/>
        </w:rPr>
        <w:footnoteReference w:id="5"/>
      </w:r>
      <w:r w:rsidRPr="00E71C11">
        <w:t xml:space="preserve"> и Рабочая группа по воздействию – проведут совместные заседания в целях обеспечения дальнейшего интегриров</w:t>
      </w:r>
      <w:r w:rsidRPr="00E71C11">
        <w:t>а</w:t>
      </w:r>
      <w:r w:rsidRPr="00E71C11">
        <w:t>ния их деятельности и выработки совместных материалов для директивных о</w:t>
      </w:r>
      <w:r w:rsidRPr="00E71C11">
        <w:t>р</w:t>
      </w:r>
      <w:r w:rsidRPr="00E71C11">
        <w:t>ганов;</w:t>
      </w:r>
    </w:p>
    <w:p w:rsidR="00E71C11" w:rsidRPr="00E71C11" w:rsidRDefault="00E71C11" w:rsidP="00E71C11">
      <w:pPr>
        <w:pStyle w:val="SingleTxt"/>
      </w:pPr>
      <w:r w:rsidRPr="00E71C11">
        <w:tab/>
        <w:t>b)</w:t>
      </w:r>
      <w:r w:rsidRPr="00E71C11">
        <w:tab/>
        <w:t>увеличение числа ратификаций и активизация сопутствующего ос</w:t>
      </w:r>
      <w:r w:rsidRPr="00E71C11">
        <w:t>у</w:t>
      </w:r>
      <w:r w:rsidRPr="00E71C11">
        <w:t xml:space="preserve">ществления трех последних протоколов имеет особо важное значение для стран Восточной и Юго-Восточной Европы, Закавказья и Центральной Азии, в </w:t>
      </w:r>
      <w:proofErr w:type="gramStart"/>
      <w:r w:rsidRPr="00E71C11">
        <w:t>связи</w:t>
      </w:r>
      <w:proofErr w:type="gramEnd"/>
      <w:r w:rsidRPr="00E71C11">
        <w:t xml:space="preserve"> с чем этой приоритетной задаче будет уделяться повышенное внимание в ходе п</w:t>
      </w:r>
      <w:r w:rsidRPr="00E71C11">
        <w:t>е</w:t>
      </w:r>
      <w:r w:rsidRPr="00E71C11">
        <w:t>ресмотра этих протоколов или внесения в них поправок. Для содействия более масштабной ратификации и осуществления протоколов в этих странах будут предприниматься энергичные меры и действия, включая финансовую поддержку;</w:t>
      </w:r>
    </w:p>
    <w:p w:rsidR="00E71C11" w:rsidRPr="00E71C11" w:rsidRDefault="00E71C11" w:rsidP="00915B66">
      <w:pPr>
        <w:pStyle w:val="SingleTxt"/>
      </w:pPr>
      <w:r w:rsidRPr="00E71C11">
        <w:tab/>
        <w:t>с)</w:t>
      </w:r>
      <w:r w:rsidRPr="00E71C11">
        <w:tab/>
        <w:t>Стороны признали необходимость регулярного пересмотра первооч</w:t>
      </w:r>
      <w:r w:rsidRPr="00E71C11">
        <w:t>е</w:t>
      </w:r>
      <w:r w:rsidRPr="00E71C11">
        <w:t>редных задач своей работы и деятельности в рамках Конвенции с учетом новых приоритетов и уже достигнутого прогресса, а также в свете более широких пол</w:t>
      </w:r>
      <w:r w:rsidRPr="00E71C11">
        <w:t>и</w:t>
      </w:r>
      <w:r w:rsidRPr="00E71C11">
        <w:t>тических изменений регионального и глобального масштаба. Это потребует и</w:t>
      </w:r>
      <w:r w:rsidRPr="00E71C11">
        <w:t>з</w:t>
      </w:r>
      <w:r w:rsidRPr="00E71C11">
        <w:t>менения соотношения направления деятельности в рамках Конвенции; может также потребоваться сокращение масштабов работы или даже ее прекращени</w:t>
      </w:r>
      <w:r w:rsidR="00915B66">
        <w:t>е</w:t>
      </w:r>
      <w:r w:rsidRPr="00E71C11">
        <w:t xml:space="preserve"> по какому-то определенному направлению, если она уже не сможет приносить ник</w:t>
      </w:r>
      <w:r w:rsidRPr="00E71C11">
        <w:t>а</w:t>
      </w:r>
      <w:r w:rsidRPr="00E71C11">
        <w:t>кой ощутимой пользы, наряду с созданием возможностей в отношении других актуальных вопросов, возникших в последнее время.</w:t>
      </w:r>
    </w:p>
    <w:p w:rsidR="00CC68C1" w:rsidRPr="00CC68C1" w:rsidRDefault="00CC68C1" w:rsidP="00CC68C1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CC68C1" w:rsidP="00CC68C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Показатели достижения результатов</w:t>
      </w:r>
    </w:p>
    <w:p w:rsidR="00CC68C1" w:rsidRPr="00CC68C1" w:rsidRDefault="00CC68C1" w:rsidP="00CC68C1">
      <w:pPr>
        <w:pStyle w:val="SingleTxt"/>
        <w:spacing w:after="0" w:line="120" w:lineRule="exact"/>
        <w:rPr>
          <w:sz w:val="10"/>
        </w:rPr>
      </w:pPr>
    </w:p>
    <w:p w:rsidR="00E71C11" w:rsidRPr="00E71C11" w:rsidRDefault="00E71C11" w:rsidP="00E71C11">
      <w:pPr>
        <w:pStyle w:val="SingleTxt"/>
      </w:pPr>
      <w:r w:rsidRPr="00E71C11">
        <w:t>Показатели прогресса в осуществлении Конвенции и трех последних протоколов к ней в следующих областях:</w:t>
      </w:r>
    </w:p>
    <w:p w:rsidR="00E71C11" w:rsidRPr="00E71C11" w:rsidRDefault="00E71C11" w:rsidP="00E71C11">
      <w:pPr>
        <w:pStyle w:val="SingleTxt"/>
      </w:pPr>
      <w:r w:rsidRPr="00E71C11">
        <w:tab/>
        <w:t>a)</w:t>
      </w:r>
      <w:r w:rsidRPr="00E71C11">
        <w:tab/>
        <w:t>количество докладов о выполнении обязательств по сокращению в</w:t>
      </w:r>
      <w:r w:rsidRPr="00E71C11">
        <w:t>ы</w:t>
      </w:r>
      <w:r w:rsidRPr="00E71C11">
        <w:t>бросов;</w:t>
      </w:r>
    </w:p>
    <w:p w:rsidR="00E71C11" w:rsidRPr="00E71C11" w:rsidRDefault="00E71C11" w:rsidP="00E71C11">
      <w:pPr>
        <w:pStyle w:val="SingleTxt"/>
      </w:pPr>
      <w:r w:rsidRPr="00E71C11">
        <w:tab/>
        <w:t>b)</w:t>
      </w:r>
      <w:r w:rsidRPr="00E71C11">
        <w:tab/>
        <w:t>интенсивность деятельности по наращиванию потенциала в странах, не являющихся Сторонами Конвенции о загрязнении воздуха (среднее колич</w:t>
      </w:r>
      <w:r w:rsidRPr="00E71C11">
        <w:t>е</w:t>
      </w:r>
      <w:r w:rsidRPr="00E71C11">
        <w:t>ство человеко-дней на одну страну, не являющуюся Стороной);</w:t>
      </w:r>
    </w:p>
    <w:p w:rsidR="00E71C11" w:rsidRPr="00E71C11" w:rsidRDefault="00E71C11" w:rsidP="00E71C11">
      <w:pPr>
        <w:pStyle w:val="SingleTxt"/>
      </w:pPr>
      <w:r w:rsidRPr="00E71C11">
        <w:tab/>
        <w:t>с)</w:t>
      </w:r>
      <w:r w:rsidRPr="00E71C11">
        <w:tab/>
        <w:t>число ратификаций трех последних протоколов к Конвенции;</w:t>
      </w:r>
    </w:p>
    <w:p w:rsidR="00E71C11" w:rsidRPr="00E71C11" w:rsidRDefault="00E71C11" w:rsidP="00E71C11">
      <w:pPr>
        <w:pStyle w:val="SingleTxt"/>
      </w:pPr>
      <w:r w:rsidRPr="00E71C11">
        <w:tab/>
        <w:t>d)</w:t>
      </w:r>
      <w:r w:rsidRPr="00E71C11">
        <w:tab/>
        <w:t>количество учебных сессий, посвященных осуществлению Конвенции и протоколов к ней в странах Восточной и Юго-Восточной Европы, Закавказья и Центральной Азии</w:t>
      </w:r>
      <w:r w:rsidR="000F48D4">
        <w:t>.</w:t>
      </w:r>
    </w:p>
    <w:p w:rsidR="00CC68C1" w:rsidRPr="00CC68C1" w:rsidRDefault="00CC68C1" w:rsidP="00CC68C1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CC68C1" w:rsidP="00CC68C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Показатели результативности</w:t>
      </w:r>
    </w:p>
    <w:p w:rsidR="00CC68C1" w:rsidRPr="00CC68C1" w:rsidRDefault="00CC68C1" w:rsidP="00CC68C1">
      <w:pPr>
        <w:pStyle w:val="SingleTxt"/>
        <w:spacing w:after="0" w:line="120" w:lineRule="exact"/>
        <w:rPr>
          <w:sz w:val="10"/>
        </w:rPr>
      </w:pPr>
    </w:p>
    <w:p w:rsidR="00E71C11" w:rsidRPr="00E71C11" w:rsidRDefault="000F48D4" w:rsidP="00E71C11">
      <w:pPr>
        <w:pStyle w:val="SingleTxt"/>
      </w:pPr>
      <w:r>
        <w:t xml:space="preserve">2010–2011 годы: a) </w:t>
      </w:r>
      <w:r w:rsidR="00E71C11" w:rsidRPr="00E71C11">
        <w:t>неприменимо; b) 26; с) 87; d) 6</w:t>
      </w:r>
    </w:p>
    <w:p w:rsidR="00E71C11" w:rsidRPr="00E71C11" w:rsidRDefault="000F48D4" w:rsidP="00E71C11">
      <w:pPr>
        <w:pStyle w:val="SingleTxt"/>
      </w:pPr>
      <w:r>
        <w:t xml:space="preserve">2012–2013 годы: </w:t>
      </w:r>
      <w:r w:rsidR="00E71C11" w:rsidRPr="00E71C11">
        <w:t>a) 37; b) 27; с) 91; d) 6</w:t>
      </w:r>
    </w:p>
    <w:p w:rsidR="00E71C11" w:rsidRPr="00E71C11" w:rsidRDefault="00E71C11" w:rsidP="00E71C11">
      <w:pPr>
        <w:pStyle w:val="SingleTxt"/>
      </w:pPr>
      <w:r w:rsidRPr="00E71C11">
        <w:t>Целево</w:t>
      </w:r>
      <w:r w:rsidR="000F48D4">
        <w:t xml:space="preserve">й показатель на 2014–2015 годы: </w:t>
      </w:r>
      <w:r w:rsidRPr="00E71C11">
        <w:t>a) 45; b) 28; с) 93; d) 6</w:t>
      </w:r>
    </w:p>
    <w:p w:rsidR="00E71C11" w:rsidRPr="00E71C11" w:rsidRDefault="00E71C11" w:rsidP="00E71C11">
      <w:pPr>
        <w:pStyle w:val="SingleTxt"/>
      </w:pPr>
      <w:r w:rsidRPr="00E71C11">
        <w:t>Фактический показатель на 2014–2015 годы (по состоянию на 31 июля 2015 года): a) 45; b) 28; с) 92; d) 6</w:t>
      </w:r>
    </w:p>
    <w:p w:rsidR="00CC68C1" w:rsidRPr="00CC68C1" w:rsidRDefault="00CC68C1" w:rsidP="00CC68C1">
      <w:pPr>
        <w:pStyle w:val="SingleTxt"/>
        <w:spacing w:after="0" w:line="120" w:lineRule="exact"/>
        <w:rPr>
          <w:b/>
          <w:sz w:val="10"/>
        </w:rPr>
      </w:pPr>
    </w:p>
    <w:p w:rsidR="00CC68C1" w:rsidRPr="00CC68C1" w:rsidRDefault="00CC68C1" w:rsidP="00CC68C1">
      <w:pPr>
        <w:pStyle w:val="SingleTxt"/>
        <w:spacing w:after="0" w:line="120" w:lineRule="exact"/>
        <w:rPr>
          <w:b/>
          <w:sz w:val="10"/>
        </w:rPr>
      </w:pPr>
    </w:p>
    <w:p w:rsidR="00E71C11" w:rsidRPr="00E71C11" w:rsidRDefault="00CC68C1" w:rsidP="00CC68C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Тематический блок 6</w:t>
      </w:r>
      <w:r w:rsidR="00E71C11" w:rsidRPr="00E71C11">
        <w:br/>
        <w:t>Конвенция о доступе к информации, участии общественности в процессе принятия решений и доступе к правосудию по вопросам, касающимся окружающей среды</w:t>
      </w:r>
    </w:p>
    <w:p w:rsidR="00CC68C1" w:rsidRPr="00CC68C1" w:rsidRDefault="00CC68C1" w:rsidP="00CC68C1">
      <w:pPr>
        <w:pStyle w:val="SingleTxt"/>
        <w:spacing w:after="0" w:line="120" w:lineRule="exact"/>
        <w:rPr>
          <w:i/>
          <w:sz w:val="10"/>
        </w:rPr>
      </w:pPr>
    </w:p>
    <w:p w:rsidR="00CC68C1" w:rsidRPr="00CC68C1" w:rsidRDefault="00CC68C1" w:rsidP="00CC68C1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CC68C1" w:rsidP="00CC68C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Ожидаемые достижения</w:t>
      </w:r>
    </w:p>
    <w:p w:rsidR="00CC68C1" w:rsidRPr="00CC68C1" w:rsidRDefault="00CC68C1" w:rsidP="00CC68C1">
      <w:pPr>
        <w:pStyle w:val="SingleTxt"/>
        <w:spacing w:after="0" w:line="120" w:lineRule="exact"/>
        <w:rPr>
          <w:sz w:val="10"/>
        </w:rPr>
      </w:pPr>
    </w:p>
    <w:p w:rsidR="00E71C11" w:rsidRPr="00E71C11" w:rsidRDefault="00E71C11" w:rsidP="00E71C11">
      <w:pPr>
        <w:pStyle w:val="SingleTxt"/>
      </w:pPr>
      <w:r w:rsidRPr="00E71C11">
        <w:t>Рост числа ратификаций и активизация осуществления Конвенции о доступе к информации, участии общественности в процессе принятия решений и доступе к правосудию по вопросам, касающимся окружающей среды (</w:t>
      </w:r>
      <w:proofErr w:type="spellStart"/>
      <w:r w:rsidRPr="00E71C11">
        <w:t>Орхусская</w:t>
      </w:r>
      <w:proofErr w:type="spellEnd"/>
      <w:r w:rsidRPr="00E71C11">
        <w:t xml:space="preserve"> конвенция) и Протокола к ней о регистрах выбросов и переноса загрязнителей (Протокол о РВПЗ)</w:t>
      </w:r>
    </w:p>
    <w:p w:rsidR="00CC68C1" w:rsidRPr="00CC68C1" w:rsidRDefault="00CC68C1" w:rsidP="00CC68C1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CC68C1" w:rsidP="00CC68C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Отчет о достижениях/полученных результатах</w:t>
      </w:r>
    </w:p>
    <w:p w:rsidR="00CC68C1" w:rsidRPr="00CC68C1" w:rsidRDefault="00CC68C1" w:rsidP="00CC68C1">
      <w:pPr>
        <w:pStyle w:val="SingleTxt"/>
        <w:spacing w:after="0" w:line="120" w:lineRule="exact"/>
        <w:rPr>
          <w:sz w:val="10"/>
        </w:rPr>
      </w:pPr>
    </w:p>
    <w:p w:rsidR="00E71C11" w:rsidRPr="00E71C11" w:rsidRDefault="00E71C11" w:rsidP="00E71C11">
      <w:pPr>
        <w:pStyle w:val="SingleTxt"/>
      </w:pPr>
      <w:r w:rsidRPr="00E71C11">
        <w:t>26.</w:t>
      </w:r>
      <w:r w:rsidRPr="00E71C11">
        <w:tab/>
        <w:t xml:space="preserve">На состоявшемся в 2014 году в Нидерландах совещании Сторон </w:t>
      </w:r>
      <w:proofErr w:type="spellStart"/>
      <w:r w:rsidRPr="00E71C11">
        <w:t>Орхусской</w:t>
      </w:r>
      <w:proofErr w:type="spellEnd"/>
      <w:r w:rsidRPr="00E71C11">
        <w:t xml:space="preserve"> конвенции и Протокола о РВПЗ была принята Маастрихтская декларация, в кот</w:t>
      </w:r>
      <w:r w:rsidRPr="00E71C11">
        <w:t>о</w:t>
      </w:r>
      <w:r w:rsidRPr="00E71C11">
        <w:t>рой содержится призыв обеспечивать защиту экологических активистов и лиц, сообщающих о нарушениях, предоставлять надлежащую информацию о проду</w:t>
      </w:r>
      <w:r w:rsidRPr="00E71C11">
        <w:t>к</w:t>
      </w:r>
      <w:r w:rsidRPr="00E71C11">
        <w:t>тах и использовать социальные СМИ для распространения экологической и</w:t>
      </w:r>
      <w:r w:rsidRPr="00E71C11">
        <w:t>н</w:t>
      </w:r>
      <w:r w:rsidRPr="00E71C11">
        <w:t>формации.</w:t>
      </w:r>
    </w:p>
    <w:p w:rsidR="00E71C11" w:rsidRPr="00E71C11" w:rsidRDefault="00E71C11" w:rsidP="00E71C11">
      <w:pPr>
        <w:pStyle w:val="SingleTxt"/>
      </w:pPr>
      <w:r w:rsidRPr="00E71C11">
        <w:t>27.</w:t>
      </w:r>
      <w:r w:rsidRPr="00E71C11">
        <w:tab/>
        <w:t>Созданный в рамках Конвенции Комитет по вопросам соблюдения подгот</w:t>
      </w:r>
      <w:r w:rsidRPr="00E71C11">
        <w:t>о</w:t>
      </w:r>
      <w:r w:rsidRPr="00E71C11">
        <w:t>вил для Сторон ряд адресных рекомендаций, в том числе относительно того, как избежать непомерно высоких издержек, связанных с экологическими исками, и Стороны приняли 14 новых решений о несоблюдении Сторонами положений Конвенции.</w:t>
      </w:r>
    </w:p>
    <w:p w:rsidR="00E71C11" w:rsidRPr="00E71C11" w:rsidRDefault="00E71C11" w:rsidP="00E71C11">
      <w:pPr>
        <w:pStyle w:val="SingleTxt"/>
      </w:pPr>
      <w:r w:rsidRPr="00E71C11">
        <w:t>28.</w:t>
      </w:r>
      <w:r w:rsidRPr="00E71C11">
        <w:tab/>
        <w:t>Проведение совещания с участием представителей государственных орг</w:t>
      </w:r>
      <w:r w:rsidRPr="00E71C11">
        <w:t>а</w:t>
      </w:r>
      <w:r w:rsidRPr="00E71C11">
        <w:t>нов, международных финансовых учреждений, директивных органов и НПО способствовало внедрению мер политики и практических мер в целях содействия участию общественности в процессе принятия решений по вопросам, каса</w:t>
      </w:r>
      <w:r w:rsidRPr="00E71C11">
        <w:t>ю</w:t>
      </w:r>
      <w:r w:rsidRPr="00E71C11">
        <w:t xml:space="preserve">щимся окружающей среды, в масштабах региона и за его пределами. </w:t>
      </w:r>
      <w:proofErr w:type="gramStart"/>
      <w:r w:rsidRPr="00E71C11">
        <w:t>Были ра</w:t>
      </w:r>
      <w:r w:rsidRPr="00E71C11">
        <w:t>з</w:t>
      </w:r>
      <w:r w:rsidRPr="00E71C11">
        <w:t>работаны Маастрихтские рекомендации по оказанию содействия эффективному участию общественности в процессе принятия решений по вопросам, каса</w:t>
      </w:r>
      <w:r w:rsidRPr="00E71C11">
        <w:t>ю</w:t>
      </w:r>
      <w:r w:rsidRPr="00E71C11">
        <w:t>щимся окружающей среды, призванные помочь должностным лицам в деле пр</w:t>
      </w:r>
      <w:r w:rsidRPr="00E71C11">
        <w:t>и</w:t>
      </w:r>
      <w:r w:rsidRPr="00E71C11">
        <w:t>влечения общественности к сложному процессу принятия решений в таких обл</w:t>
      </w:r>
      <w:r w:rsidRPr="00E71C11">
        <w:t>а</w:t>
      </w:r>
      <w:r w:rsidRPr="00E71C11">
        <w:t>стях, как ядерная деятельность или политика по борьбе с изменением климата, и направленные на содействие участию уязвимых групп, сельских общин и общ</w:t>
      </w:r>
      <w:r w:rsidRPr="00E71C11">
        <w:t>е</w:t>
      </w:r>
      <w:r w:rsidRPr="00E71C11">
        <w:t>ственности из других стран.</w:t>
      </w:r>
      <w:proofErr w:type="gramEnd"/>
    </w:p>
    <w:p w:rsidR="00E71C11" w:rsidRPr="00E71C11" w:rsidRDefault="00E71C11" w:rsidP="00E71C11">
      <w:pPr>
        <w:pStyle w:val="SingleTxt"/>
      </w:pPr>
      <w:r w:rsidRPr="00E71C11">
        <w:t>29.</w:t>
      </w:r>
      <w:r w:rsidRPr="00E71C11">
        <w:tab/>
        <w:t xml:space="preserve">Секретариат </w:t>
      </w:r>
      <w:proofErr w:type="spellStart"/>
      <w:r w:rsidRPr="00E71C11">
        <w:t>Орхусской</w:t>
      </w:r>
      <w:proofErr w:type="spellEnd"/>
      <w:r w:rsidRPr="00E71C11">
        <w:t xml:space="preserve"> конвенции оказал консультативную поддержку Е</w:t>
      </w:r>
      <w:r w:rsidRPr="00E71C11">
        <w:t>в</w:t>
      </w:r>
      <w:r w:rsidRPr="00E71C11">
        <w:t>ропейскому банку реконструкции и развития в отношении его проекта руковод</w:t>
      </w:r>
      <w:r w:rsidRPr="00E71C11">
        <w:t>я</w:t>
      </w:r>
      <w:r w:rsidRPr="00E71C11">
        <w:t>щих принципов по обеспечению доступа общественности к экологической и</w:t>
      </w:r>
      <w:r w:rsidRPr="00E71C11">
        <w:t>н</w:t>
      </w:r>
      <w:r w:rsidRPr="00E71C11">
        <w:t>формации, предназначенных для частных операторов, представляющих комм</w:t>
      </w:r>
      <w:r w:rsidRPr="00E71C11">
        <w:t>у</w:t>
      </w:r>
      <w:r w:rsidRPr="00E71C11">
        <w:t>нальные услуги, такие как удаление отходов.</w:t>
      </w:r>
    </w:p>
    <w:p w:rsidR="00E71C11" w:rsidRPr="00E71C11" w:rsidRDefault="00E71C11" w:rsidP="00E71C11">
      <w:pPr>
        <w:pStyle w:val="SingleTxt"/>
      </w:pPr>
      <w:r w:rsidRPr="00E71C11">
        <w:t>30.</w:t>
      </w:r>
      <w:r w:rsidRPr="00E71C11">
        <w:tab/>
        <w:t>Благодаря проведению двух совещаний представителей государственных органов, судей, сотрудников законодательных и директивных органов и НПО удалось поддержать проведение национальных диалогов по вопросам доступа к правосудию с участием различных заинтересованных сторон. В целях обмена п</w:t>
      </w:r>
      <w:r w:rsidRPr="00E71C11">
        <w:t>е</w:t>
      </w:r>
      <w:r w:rsidRPr="00E71C11">
        <w:t>редовым опытом и аналитическими материалами была составлена база данных по вопросам прецедентного права.</w:t>
      </w:r>
    </w:p>
    <w:p w:rsidR="00E71C11" w:rsidRPr="00E71C11" w:rsidRDefault="00E71C11" w:rsidP="00E71C11">
      <w:pPr>
        <w:pStyle w:val="SingleTxt"/>
      </w:pPr>
      <w:r w:rsidRPr="00E71C11">
        <w:t>31.</w:t>
      </w:r>
      <w:r w:rsidRPr="00E71C11">
        <w:tab/>
        <w:t xml:space="preserve">Представители Сторон Конвенции, НПО, </w:t>
      </w:r>
      <w:proofErr w:type="spellStart"/>
      <w:r w:rsidRPr="00E71C11">
        <w:t>орхусских</w:t>
      </w:r>
      <w:proofErr w:type="spellEnd"/>
      <w:r w:rsidRPr="00E71C11">
        <w:t xml:space="preserve"> центров, региональных экологических центров, коммерческих предприятий из разных стран региона и международных организаций также провели совещание, на котором обсуждались проблемы и успешные примеры получения доступа к экологической информации в эпоху цифровых технологий.</w:t>
      </w:r>
    </w:p>
    <w:p w:rsidR="00E71C11" w:rsidRPr="00E71C11" w:rsidRDefault="00E71C11" w:rsidP="00E71C11">
      <w:pPr>
        <w:pStyle w:val="SingleTxt"/>
      </w:pPr>
      <w:r w:rsidRPr="00E71C11">
        <w:t>32.</w:t>
      </w:r>
      <w:r w:rsidRPr="00E71C11">
        <w:tab/>
        <w:t>Конвенция по-прежнему вызывает интерес у стран за пределами региона ЕЭК. В этой связи секретариат оказал консультативную поддержку в контексте разработки регионального договора на основе принципа 10 для Латинской Ам</w:t>
      </w:r>
      <w:r w:rsidRPr="00E71C11">
        <w:t>е</w:t>
      </w:r>
      <w:r w:rsidRPr="00E71C11">
        <w:t>рики и стран Карибского бассейна. Помимо этого, информация о принципах Конвенции распространялась на таких форумах, как Всемирная торговая орган</w:t>
      </w:r>
      <w:r w:rsidRPr="00E71C11">
        <w:t>и</w:t>
      </w:r>
      <w:r w:rsidRPr="00E71C11">
        <w:t>зация, РКИКООН и Программа Организации Объединенных Наций по окруж</w:t>
      </w:r>
      <w:r w:rsidRPr="00E71C11">
        <w:t>а</w:t>
      </w:r>
      <w:r w:rsidRPr="00E71C11">
        <w:t>ющей среде (ЮНЕП), в целях повышения транспарентности и всеохватного х</w:t>
      </w:r>
      <w:r w:rsidRPr="00E71C11">
        <w:t>а</w:t>
      </w:r>
      <w:r w:rsidRPr="00E71C11">
        <w:t>рактера международных процессов принятия решений по вопросам, касающимся окружающей среды.</w:t>
      </w:r>
    </w:p>
    <w:p w:rsidR="00E71C11" w:rsidRPr="00E71C11" w:rsidRDefault="00E71C11" w:rsidP="00E71C11">
      <w:pPr>
        <w:pStyle w:val="SingleTxt"/>
      </w:pPr>
      <w:r w:rsidRPr="00E71C11">
        <w:t>33.</w:t>
      </w:r>
      <w:r w:rsidRPr="00E71C11">
        <w:tab/>
        <w:t>Стороны Протокола представили свои первые национальные доклады об осуществлении, что позволило составить представление о многочисленных о</w:t>
      </w:r>
      <w:r w:rsidRPr="00E71C11">
        <w:t>б</w:t>
      </w:r>
      <w:r w:rsidRPr="00E71C11">
        <w:t>щих проблемах, в том числе в плане включения в регистры выбросов и переноса загрязнителей (РВПЗ) данных о выбросах в секторе сельского хозяйства и тран</w:t>
      </w:r>
      <w:r w:rsidRPr="00E71C11">
        <w:t>с</w:t>
      </w:r>
      <w:r w:rsidRPr="00E71C11">
        <w:t>порта и выбросах из таких продуктов, как пластиковые бутылки. Работа была п</w:t>
      </w:r>
      <w:r w:rsidRPr="00E71C11">
        <w:t>о</w:t>
      </w:r>
      <w:r w:rsidRPr="00E71C11">
        <w:t>священа укреплению сотрудничества между странами и соответствующими о</w:t>
      </w:r>
      <w:r w:rsidRPr="00E71C11">
        <w:t>р</w:t>
      </w:r>
      <w:r w:rsidRPr="00E71C11">
        <w:t>ганизациями в целях наращивания потенциала стран в области разработки РВПЗ.</w:t>
      </w:r>
    </w:p>
    <w:p w:rsidR="00CC68C1" w:rsidRPr="00CC68C1" w:rsidRDefault="00CC68C1" w:rsidP="00CC68C1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CC68C1" w:rsidP="00CC68C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Извлеченные уроки/области, нуждающиеся в усовершенствовании</w:t>
      </w:r>
    </w:p>
    <w:p w:rsidR="00CC68C1" w:rsidRPr="00CC68C1" w:rsidRDefault="00CC68C1" w:rsidP="00CC68C1">
      <w:pPr>
        <w:pStyle w:val="SingleTxt"/>
        <w:spacing w:after="0" w:line="120" w:lineRule="exact"/>
        <w:rPr>
          <w:sz w:val="10"/>
        </w:rPr>
      </w:pPr>
    </w:p>
    <w:p w:rsidR="00E71C11" w:rsidRPr="00E71C11" w:rsidRDefault="00E71C11" w:rsidP="00CC68C1">
      <w:pPr>
        <w:pStyle w:val="SingleTxt"/>
      </w:pPr>
      <w:r w:rsidRPr="00E71C11">
        <w:t>34.</w:t>
      </w:r>
      <w:r w:rsidRPr="00E71C11">
        <w:tab/>
        <w:t xml:space="preserve">На повестке дня стоят четыре вопроса. Во-первых, Конвенция как </w:t>
      </w:r>
      <w:r w:rsidR="00CC68C1">
        <w:t>«</w:t>
      </w:r>
      <w:r w:rsidRPr="00E71C11">
        <w:t>живой</w:t>
      </w:r>
      <w:r w:rsidR="00CC68C1">
        <w:t>»</w:t>
      </w:r>
      <w:r w:rsidRPr="00E71C11">
        <w:t xml:space="preserve"> договор не может обойтись без инновационного механизма соблюдения: Стор</w:t>
      </w:r>
      <w:r w:rsidRPr="00E71C11">
        <w:t>о</w:t>
      </w:r>
      <w:r w:rsidRPr="00E71C11">
        <w:t>нам необходимо более эффективно осуществлять решения по вопросам соблюд</w:t>
      </w:r>
      <w:r w:rsidRPr="00E71C11">
        <w:t>е</w:t>
      </w:r>
      <w:r w:rsidRPr="00E71C11">
        <w:t xml:space="preserve">ния. </w:t>
      </w:r>
      <w:proofErr w:type="gramStart"/>
      <w:r w:rsidRPr="00E71C11">
        <w:t>Во-вторых, после проведения в 2012 году Конференции Организации Об</w:t>
      </w:r>
      <w:r w:rsidRPr="00E71C11">
        <w:t>ъ</w:t>
      </w:r>
      <w:r w:rsidRPr="00E71C11">
        <w:t>единенных Наций по устойчивому развитию существенно возросло число запр</w:t>
      </w:r>
      <w:r w:rsidRPr="00E71C11">
        <w:t>о</w:t>
      </w:r>
      <w:r w:rsidRPr="00E71C11">
        <w:t>сов к секретариату со стороны государств, международных финансовых учр</w:t>
      </w:r>
      <w:r w:rsidRPr="00E71C11">
        <w:t>е</w:t>
      </w:r>
      <w:r w:rsidRPr="00E71C11">
        <w:t>ждений, других организаций и международных форумов, связанных с оказанием консультативной помощи, при этом секретариат не всегда имеет возможность в полном объеме удовлетворять эти запросы ввиду своих ограниченных возможн</w:t>
      </w:r>
      <w:r w:rsidRPr="00E71C11">
        <w:t>о</w:t>
      </w:r>
      <w:r w:rsidRPr="00E71C11">
        <w:t>стей.</w:t>
      </w:r>
      <w:proofErr w:type="gramEnd"/>
      <w:r w:rsidRPr="00E71C11">
        <w:t xml:space="preserve"> В-третьих, присоединение к Протоколу о РВПЗ и его осуществление </w:t>
      </w:r>
      <w:proofErr w:type="gramStart"/>
      <w:r w:rsidRPr="00E71C11">
        <w:t>связ</w:t>
      </w:r>
      <w:r w:rsidRPr="00E71C11">
        <w:t>а</w:t>
      </w:r>
      <w:r w:rsidRPr="00E71C11">
        <w:t>ны</w:t>
      </w:r>
      <w:proofErr w:type="gramEnd"/>
      <w:r w:rsidRPr="00E71C11">
        <w:t xml:space="preserve"> с большими трудностями для стран с переходной экономикой, в основном из-за предусмотренных в нем технических требований. Это вызывает необход</w:t>
      </w:r>
      <w:r w:rsidRPr="00E71C11">
        <w:t>и</w:t>
      </w:r>
      <w:r w:rsidRPr="00E71C11">
        <w:t>мость принятия данными странами политических решений для выделения дост</w:t>
      </w:r>
      <w:r w:rsidRPr="00E71C11">
        <w:t>а</w:t>
      </w:r>
      <w:r w:rsidRPr="00E71C11">
        <w:t>точных ресурсов. В то же время это создает возможности для участия организ</w:t>
      </w:r>
      <w:r w:rsidRPr="00E71C11">
        <w:t>а</w:t>
      </w:r>
      <w:r w:rsidRPr="00E71C11">
        <w:t>ций-партнеров в деятельности по наращиванию потенциала и, следовательно, в</w:t>
      </w:r>
      <w:r w:rsidRPr="00E71C11">
        <w:t>е</w:t>
      </w:r>
      <w:r w:rsidRPr="00E71C11">
        <w:t>дет к расширению процессов присоединения и активного осуществления. Нак</w:t>
      </w:r>
      <w:r w:rsidRPr="00E71C11">
        <w:t>о</w:t>
      </w:r>
      <w:r w:rsidRPr="00E71C11">
        <w:t>нец, с учетом межсекторальной сферы охвата Конвенции и Протокола к ней об</w:t>
      </w:r>
      <w:r w:rsidRPr="00E71C11">
        <w:t>я</w:t>
      </w:r>
      <w:r w:rsidRPr="00E71C11">
        <w:t>зательным предварительным условием для их эффективного осуществления я</w:t>
      </w:r>
      <w:r w:rsidRPr="00E71C11">
        <w:t>в</w:t>
      </w:r>
      <w:r w:rsidRPr="00E71C11">
        <w:t>ляется межведомственное и межсекторальное сотрудничество на национальном уровне.</w:t>
      </w:r>
    </w:p>
    <w:p w:rsidR="00CC68C1" w:rsidRPr="00CC68C1" w:rsidRDefault="00CC68C1" w:rsidP="00CC68C1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CC68C1" w:rsidP="00CC68C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Показатели достижения результатов</w:t>
      </w:r>
    </w:p>
    <w:p w:rsidR="00CC68C1" w:rsidRPr="00CC68C1" w:rsidRDefault="00CC68C1" w:rsidP="00CC68C1">
      <w:pPr>
        <w:pStyle w:val="SingleTxt"/>
        <w:spacing w:after="0" w:line="120" w:lineRule="exact"/>
        <w:rPr>
          <w:sz w:val="10"/>
        </w:rPr>
      </w:pPr>
    </w:p>
    <w:p w:rsidR="00E71C11" w:rsidRPr="00E71C11" w:rsidRDefault="00E71C11" w:rsidP="00915B66">
      <w:pPr>
        <w:pStyle w:val="SingleTxt"/>
      </w:pPr>
      <w:r w:rsidRPr="00E71C11">
        <w:t>Увеличение числа стран, добивающихся улучшения осуществления Конвенции и Протокола к ней о РВПЗ посредством:</w:t>
      </w:r>
    </w:p>
    <w:p w:rsidR="00E71C11" w:rsidRPr="00E71C11" w:rsidRDefault="00E71C11" w:rsidP="00E71C11">
      <w:pPr>
        <w:pStyle w:val="SingleTxt"/>
        <w:rPr>
          <w:bCs/>
        </w:rPr>
      </w:pPr>
      <w:r w:rsidRPr="00E71C11">
        <w:tab/>
        <w:t>a)</w:t>
      </w:r>
      <w:r w:rsidRPr="00E71C11">
        <w:tab/>
      </w:r>
      <w:r w:rsidRPr="00E71C11">
        <w:rPr>
          <w:bCs/>
        </w:rPr>
        <w:t xml:space="preserve">интенсивной деятельности по наращиванию потенциала в странах, не являющихся Сторонами </w:t>
      </w:r>
      <w:proofErr w:type="spellStart"/>
      <w:r w:rsidRPr="00E71C11">
        <w:rPr>
          <w:bCs/>
        </w:rPr>
        <w:t>Орхусской</w:t>
      </w:r>
      <w:proofErr w:type="spellEnd"/>
      <w:r w:rsidRPr="00E71C11">
        <w:rPr>
          <w:bCs/>
        </w:rPr>
        <w:t xml:space="preserve"> конвенции (среднее количество человеко-дней на одну страну, не являющуюся Стороной);</w:t>
      </w:r>
    </w:p>
    <w:p w:rsidR="00E71C11" w:rsidRPr="00E71C11" w:rsidRDefault="00E71C11" w:rsidP="00E71C11">
      <w:pPr>
        <w:pStyle w:val="SingleTxt"/>
        <w:rPr>
          <w:bCs/>
        </w:rPr>
      </w:pPr>
      <w:r w:rsidRPr="00E71C11">
        <w:rPr>
          <w:bCs/>
        </w:rPr>
        <w:tab/>
        <w:t>b)</w:t>
      </w:r>
      <w:r w:rsidRPr="00E71C11">
        <w:rPr>
          <w:bCs/>
        </w:rPr>
        <w:tab/>
        <w:t>интенсивной деятельности по наращиванию потенциала в странах, не являющихся Сторонами Протокола о РВПЗ (среднее количество человеко-дней на одну страну, не являющуюся Стороной);</w:t>
      </w:r>
    </w:p>
    <w:p w:rsidR="00E71C11" w:rsidRPr="00E71C11" w:rsidRDefault="00E71C11" w:rsidP="00E71C11">
      <w:pPr>
        <w:pStyle w:val="SingleTxt"/>
        <w:rPr>
          <w:bCs/>
        </w:rPr>
      </w:pPr>
      <w:r w:rsidRPr="00E71C11">
        <w:rPr>
          <w:bCs/>
        </w:rPr>
        <w:tab/>
        <w:t>с)</w:t>
      </w:r>
      <w:r w:rsidRPr="00E71C11">
        <w:rPr>
          <w:bCs/>
        </w:rPr>
        <w:tab/>
        <w:t xml:space="preserve">увеличения числа ратификаций </w:t>
      </w:r>
      <w:proofErr w:type="spellStart"/>
      <w:r w:rsidRPr="00E71C11">
        <w:rPr>
          <w:bCs/>
        </w:rPr>
        <w:t>Орхусской</w:t>
      </w:r>
      <w:proofErr w:type="spellEnd"/>
      <w:r w:rsidRPr="00E71C11">
        <w:rPr>
          <w:bCs/>
        </w:rPr>
        <w:t xml:space="preserve"> конвенции; </w:t>
      </w:r>
    </w:p>
    <w:p w:rsidR="00E71C11" w:rsidRPr="00E71C11" w:rsidRDefault="00E71C11" w:rsidP="00E71C11">
      <w:pPr>
        <w:pStyle w:val="SingleTxt"/>
        <w:rPr>
          <w:bCs/>
        </w:rPr>
      </w:pPr>
      <w:r w:rsidRPr="00E71C11">
        <w:rPr>
          <w:bCs/>
        </w:rPr>
        <w:tab/>
        <w:t>d)</w:t>
      </w:r>
      <w:r w:rsidRPr="00E71C11">
        <w:rPr>
          <w:bCs/>
        </w:rPr>
        <w:tab/>
        <w:t>увеличения числа ратификаций Протокола о РВПЗ;</w:t>
      </w:r>
    </w:p>
    <w:p w:rsidR="00E71C11" w:rsidRPr="00E71C11" w:rsidRDefault="00E71C11" w:rsidP="00E71C11">
      <w:pPr>
        <w:pStyle w:val="SingleTxt"/>
      </w:pPr>
      <w:r w:rsidRPr="00E71C11">
        <w:rPr>
          <w:bCs/>
        </w:rPr>
        <w:tab/>
        <w:t>e)</w:t>
      </w:r>
      <w:r w:rsidRPr="00E71C11">
        <w:rPr>
          <w:bCs/>
        </w:rPr>
        <w:tab/>
        <w:t>увеличения числа стран, представляющих национальные доклады об осуществлении Совещанию Сторон Конвенции с указанием прогресса в выпо</w:t>
      </w:r>
      <w:r w:rsidRPr="00E71C11">
        <w:rPr>
          <w:bCs/>
        </w:rPr>
        <w:t>л</w:t>
      </w:r>
      <w:r w:rsidRPr="00E71C11">
        <w:rPr>
          <w:bCs/>
        </w:rPr>
        <w:t>нении основных обязательств;</w:t>
      </w:r>
    </w:p>
    <w:p w:rsidR="00E71C11" w:rsidRPr="00E71C11" w:rsidRDefault="00E71C11" w:rsidP="00E71C11">
      <w:pPr>
        <w:pStyle w:val="SingleTxt"/>
      </w:pPr>
      <w:r w:rsidRPr="00E71C11">
        <w:tab/>
        <w:t>f)</w:t>
      </w:r>
      <w:r w:rsidRPr="00E71C11">
        <w:tab/>
        <w:t>увеличения числа стран, представляющих национальные доклады об осуществлении Совещанию Сторон Протокола о РВПЗ с указанием прогресса в выполнении основных обязательств</w:t>
      </w:r>
      <w:r w:rsidR="00915B66">
        <w:t>.</w:t>
      </w:r>
    </w:p>
    <w:p w:rsidR="00CC68C1" w:rsidRPr="00CC68C1" w:rsidRDefault="00CC68C1" w:rsidP="00CC68C1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CC68C1" w:rsidP="00CC68C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Показатели результативности</w:t>
      </w:r>
    </w:p>
    <w:p w:rsidR="00CC68C1" w:rsidRPr="00CC68C1" w:rsidRDefault="00CC68C1" w:rsidP="00CC68C1">
      <w:pPr>
        <w:pStyle w:val="SingleTxt"/>
        <w:spacing w:after="0" w:line="120" w:lineRule="exact"/>
        <w:rPr>
          <w:sz w:val="10"/>
        </w:rPr>
      </w:pPr>
    </w:p>
    <w:p w:rsidR="00E71C11" w:rsidRPr="00E71C11" w:rsidRDefault="000F48D4" w:rsidP="00E71C11">
      <w:pPr>
        <w:pStyle w:val="SingleTxt"/>
      </w:pPr>
      <w:r>
        <w:t xml:space="preserve">2010–2011 годы: </w:t>
      </w:r>
      <w:r w:rsidR="00E71C11" w:rsidRPr="00E71C11">
        <w:t>a) 8; b) 4; с) 45; d) 27;</w:t>
      </w:r>
      <w:r>
        <w:t xml:space="preserve"> e) </w:t>
      </w:r>
      <w:r w:rsidR="00E71C11" w:rsidRPr="00E71C11">
        <w:t xml:space="preserve">41; f) неприменимо </w:t>
      </w:r>
    </w:p>
    <w:p w:rsidR="00E71C11" w:rsidRPr="00E71C11" w:rsidRDefault="000F48D4" w:rsidP="00CC68C1">
      <w:pPr>
        <w:pStyle w:val="SingleTxt"/>
      </w:pPr>
      <w:r>
        <w:t xml:space="preserve">2012–2013 годы: a) 4; b) 3; с) 46; d) </w:t>
      </w:r>
      <w:r w:rsidR="00E71C11" w:rsidRPr="00E71C11">
        <w:t>33; e) неприменимо</w:t>
      </w:r>
      <w:r w:rsidR="00CC68C1" w:rsidRPr="00C15633">
        <w:rPr>
          <w:rStyle w:val="FootnoteReference"/>
        </w:rPr>
        <w:footnoteReference w:id="6"/>
      </w:r>
      <w:r w:rsidR="00E71C11" w:rsidRPr="00E71C11">
        <w:t>; f) неприменимо</w:t>
      </w:r>
    </w:p>
    <w:p w:rsidR="00E71C11" w:rsidRPr="00E71C11" w:rsidRDefault="00E71C11" w:rsidP="00E71C11">
      <w:pPr>
        <w:pStyle w:val="SingleTxt"/>
      </w:pPr>
      <w:r w:rsidRPr="00E71C11">
        <w:t>Целевой показатель на 2014–2015 годы: a) 4; b) 3; с) 47; d) 34; e) 46; f) 32</w:t>
      </w:r>
    </w:p>
    <w:p w:rsidR="00E71C11" w:rsidRPr="00E71C11" w:rsidRDefault="00E71C11" w:rsidP="00CC68C1">
      <w:pPr>
        <w:pStyle w:val="SingleTxt"/>
      </w:pPr>
      <w:r w:rsidRPr="00E71C11">
        <w:t>Фактический показатель на 2014–2015 годы (по состоянию на 31 июля 2015 года): a) 6</w:t>
      </w:r>
      <w:r w:rsidR="00CC68C1" w:rsidRPr="00C15633">
        <w:rPr>
          <w:rStyle w:val="FootnoteReference"/>
        </w:rPr>
        <w:footnoteReference w:id="7"/>
      </w:r>
      <w:r w:rsidR="00915B66">
        <w:t>;</w:t>
      </w:r>
      <w:r w:rsidRPr="00E71C11">
        <w:t xml:space="preserve"> b) 2</w:t>
      </w:r>
      <w:r w:rsidR="00CC68C1" w:rsidRPr="00C15633">
        <w:rPr>
          <w:rStyle w:val="FootnoteReference"/>
        </w:rPr>
        <w:footnoteReference w:id="8"/>
      </w:r>
      <w:r w:rsidRPr="00E71C11">
        <w:t>; с) 47; d) 33; e) 46; f) 32</w:t>
      </w:r>
    </w:p>
    <w:p w:rsidR="00CC68C1" w:rsidRPr="00CC68C1" w:rsidRDefault="00CC68C1" w:rsidP="00CC68C1">
      <w:pPr>
        <w:pStyle w:val="SingleTxt"/>
        <w:spacing w:after="0" w:line="120" w:lineRule="exact"/>
        <w:rPr>
          <w:b/>
          <w:sz w:val="10"/>
        </w:rPr>
      </w:pPr>
    </w:p>
    <w:p w:rsidR="00CC68C1" w:rsidRPr="00CC68C1" w:rsidRDefault="00CC68C1" w:rsidP="00CC68C1">
      <w:pPr>
        <w:pStyle w:val="SingleTxt"/>
        <w:spacing w:after="0" w:line="120" w:lineRule="exact"/>
        <w:rPr>
          <w:b/>
          <w:sz w:val="10"/>
        </w:rPr>
      </w:pPr>
    </w:p>
    <w:p w:rsidR="00E71C11" w:rsidRPr="00E71C11" w:rsidRDefault="00CC68C1" w:rsidP="00CC68C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Тематический блок 7</w:t>
      </w:r>
      <w:r w:rsidR="00E71C11" w:rsidRPr="00E71C11">
        <w:br/>
        <w:t>Конвенция об оценке воздействия на окружающую среду в трансграничном контексте</w:t>
      </w:r>
    </w:p>
    <w:p w:rsidR="00CC68C1" w:rsidRPr="00CC68C1" w:rsidRDefault="00CC68C1" w:rsidP="00CC68C1">
      <w:pPr>
        <w:pStyle w:val="SingleTxt"/>
        <w:spacing w:after="0" w:line="120" w:lineRule="exact"/>
        <w:rPr>
          <w:i/>
          <w:sz w:val="10"/>
        </w:rPr>
      </w:pPr>
    </w:p>
    <w:p w:rsidR="00CC68C1" w:rsidRPr="00CC68C1" w:rsidRDefault="00CC68C1" w:rsidP="00CC68C1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CC68C1" w:rsidP="00CC68C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Ожидаемые достижения</w:t>
      </w:r>
    </w:p>
    <w:p w:rsidR="00CC68C1" w:rsidRPr="00CC68C1" w:rsidRDefault="00CC68C1" w:rsidP="00CC68C1">
      <w:pPr>
        <w:pStyle w:val="SingleTxt"/>
        <w:spacing w:after="0" w:line="120" w:lineRule="exact"/>
        <w:rPr>
          <w:sz w:val="10"/>
        </w:rPr>
      </w:pPr>
    </w:p>
    <w:p w:rsidR="00E71C11" w:rsidRPr="00E71C11" w:rsidRDefault="00E71C11" w:rsidP="00E71C11">
      <w:pPr>
        <w:pStyle w:val="SingleTxt"/>
      </w:pPr>
      <w:r w:rsidRPr="00E71C11">
        <w:t xml:space="preserve">Рост числа ратификаций и активизация осуществления Конвенции об оценке воздействия на окружающую среду в трансграничном контексте (Конвенция </w:t>
      </w:r>
      <w:proofErr w:type="spellStart"/>
      <w:r w:rsidRPr="00E71C11">
        <w:t>Э</w:t>
      </w:r>
      <w:r w:rsidRPr="00E71C11">
        <w:t>с</w:t>
      </w:r>
      <w:r w:rsidRPr="00E71C11">
        <w:t>по</w:t>
      </w:r>
      <w:proofErr w:type="spellEnd"/>
      <w:r w:rsidRPr="00E71C11">
        <w:t>) и Протокола к ней по стратегической экологической оценке (Протокол по СЭО)</w:t>
      </w:r>
    </w:p>
    <w:p w:rsidR="00CC68C1" w:rsidRPr="00CC68C1" w:rsidRDefault="00CC68C1" w:rsidP="00CC68C1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CC68C1" w:rsidP="00CC68C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Отчет о достижениях/полученных результатах</w:t>
      </w:r>
    </w:p>
    <w:p w:rsidR="00CC68C1" w:rsidRPr="00CC68C1" w:rsidRDefault="00CC68C1" w:rsidP="00CC68C1">
      <w:pPr>
        <w:pStyle w:val="SingleTxt"/>
        <w:spacing w:after="0" w:line="120" w:lineRule="exact"/>
        <w:rPr>
          <w:sz w:val="10"/>
        </w:rPr>
      </w:pPr>
    </w:p>
    <w:p w:rsidR="00E71C11" w:rsidRPr="00E71C11" w:rsidRDefault="00E71C11" w:rsidP="00E71C11">
      <w:pPr>
        <w:pStyle w:val="SingleTxt"/>
      </w:pPr>
      <w:r w:rsidRPr="00E71C11">
        <w:t>35.</w:t>
      </w:r>
      <w:r w:rsidRPr="00E71C11">
        <w:tab/>
        <w:t xml:space="preserve">По состоянию на 31 июля 2015 года число Сторон Конвенции </w:t>
      </w:r>
      <w:proofErr w:type="spellStart"/>
      <w:r w:rsidRPr="00E71C11">
        <w:t>Эспо</w:t>
      </w:r>
      <w:proofErr w:type="spellEnd"/>
      <w:r w:rsidRPr="00E71C11">
        <w:t xml:space="preserve"> дости</w:t>
      </w:r>
      <w:r w:rsidRPr="00E71C11">
        <w:t>г</w:t>
      </w:r>
      <w:r w:rsidRPr="00E71C11">
        <w:t>ло 45, а Протокол</w:t>
      </w:r>
      <w:r w:rsidR="00915B66">
        <w:t>а</w:t>
      </w:r>
      <w:r w:rsidRPr="00E71C11">
        <w:t xml:space="preserve"> по СЭО – 26. С июня 2014 года Протокол по СЭО откр</w:t>
      </w:r>
      <w:r w:rsidR="0089058E">
        <w:t xml:space="preserve">ыт для присоединения государств – </w:t>
      </w:r>
      <w:r w:rsidRPr="00E71C11">
        <w:t>членов Организации Объединенных Наций за пр</w:t>
      </w:r>
      <w:r w:rsidRPr="00E71C11">
        <w:t>е</w:t>
      </w:r>
      <w:r w:rsidRPr="00E71C11">
        <w:t xml:space="preserve">делами региона ЕЭК без необходимости получения предварительного согласия Сторон. В августе 2014 года вступила в силу поправка к Конвенции </w:t>
      </w:r>
      <w:proofErr w:type="spellStart"/>
      <w:r w:rsidRPr="00E71C11">
        <w:t>Эспо</w:t>
      </w:r>
      <w:proofErr w:type="spellEnd"/>
      <w:r w:rsidRPr="00E71C11">
        <w:t>, в соо</w:t>
      </w:r>
      <w:r w:rsidRPr="00E71C11">
        <w:t>т</w:t>
      </w:r>
      <w:r w:rsidRPr="00E71C11">
        <w:t>ветствии с которой Конвенция также открыта для стран за пределами региона. Для того чтобы поправка возымела силу, требуются дополнительные ратифик</w:t>
      </w:r>
      <w:r w:rsidRPr="00E71C11">
        <w:t>а</w:t>
      </w:r>
      <w:r w:rsidRPr="00E71C11">
        <w:t>ции.</w:t>
      </w:r>
    </w:p>
    <w:p w:rsidR="00E71C11" w:rsidRPr="00E71C11" w:rsidRDefault="00E71C11" w:rsidP="00E71C11">
      <w:pPr>
        <w:pStyle w:val="SingleTxt"/>
      </w:pPr>
      <w:r w:rsidRPr="00E71C11">
        <w:t>36.</w:t>
      </w:r>
      <w:r w:rsidRPr="00E71C11">
        <w:tab/>
        <w:t xml:space="preserve">В июне 2014 года Стороны Конвенции </w:t>
      </w:r>
      <w:proofErr w:type="spellStart"/>
      <w:r w:rsidRPr="00E71C11">
        <w:t>Эспо</w:t>
      </w:r>
      <w:proofErr w:type="spellEnd"/>
      <w:r w:rsidRPr="00E71C11">
        <w:t xml:space="preserve"> и Протокола по СЭО провели совместное совещание, обсудили осуществление двух договоров, в частности в секторе энергетики, и рассмотрели роль международных финансовых учрежд</w:t>
      </w:r>
      <w:r w:rsidRPr="00E71C11">
        <w:t>е</w:t>
      </w:r>
      <w:r w:rsidRPr="00E71C11">
        <w:t>ний в оказании содействия применению договоров за пределами региона ЕЭК. Стороны утвердили первый обзор осуществления Протокола и четвертый обзор осуществления Конвенции, охватывающий период 2010–2012 годов. Как видно из последнего, масштабы применения Конвенции и, в меньшей степени, разр</w:t>
      </w:r>
      <w:r w:rsidRPr="00E71C11">
        <w:t>а</w:t>
      </w:r>
      <w:r w:rsidRPr="00E71C11">
        <w:t>ботки двусторонних и многосторонних соглашений в поддержку ее осуществл</w:t>
      </w:r>
      <w:r w:rsidRPr="00E71C11">
        <w:t>е</w:t>
      </w:r>
      <w:r w:rsidRPr="00E71C11">
        <w:t>ния постоянно расширяются. Из обзора осуществления Протокола следует, что большинство Сторон провели СЭО своих планов и программ. Стороны дали п</w:t>
      </w:r>
      <w:r w:rsidRPr="00E71C11">
        <w:t>о</w:t>
      </w:r>
      <w:r w:rsidRPr="00E71C11">
        <w:t xml:space="preserve">ручение подготовить четыре руководящих документа и </w:t>
      </w:r>
      <w:proofErr w:type="spellStart"/>
      <w:r w:rsidRPr="00E71C11">
        <w:t>видеоруководство</w:t>
      </w:r>
      <w:proofErr w:type="spellEnd"/>
      <w:r w:rsidRPr="00E71C11">
        <w:t xml:space="preserve"> в целях дальнейшего укрепления режима практического осуществления договоров, включая их применение к деятельности в области атомной энергетики. Помимо этого</w:t>
      </w:r>
      <w:r w:rsidR="00915B66">
        <w:t>,</w:t>
      </w:r>
      <w:r w:rsidRPr="00E71C11">
        <w:t xml:space="preserve"> Стороны уточнили, что определенные изменения в порядке ведения де</w:t>
      </w:r>
      <w:r w:rsidRPr="00E71C11">
        <w:t>я</w:t>
      </w:r>
      <w:r w:rsidRPr="00E71C11">
        <w:t>тельности, связанной с ядерной энергией, должны подпадать под действие пол</w:t>
      </w:r>
      <w:r w:rsidRPr="00E71C11">
        <w:t>о</w:t>
      </w:r>
      <w:r w:rsidRPr="00E71C11">
        <w:t>жений Конвенции.</w:t>
      </w:r>
    </w:p>
    <w:p w:rsidR="00E71C11" w:rsidRPr="00E71C11" w:rsidRDefault="00E71C11" w:rsidP="009A412A">
      <w:pPr>
        <w:pStyle w:val="SingleTxt"/>
      </w:pPr>
      <w:r w:rsidRPr="00E71C11">
        <w:t>37.</w:t>
      </w:r>
      <w:r w:rsidRPr="00E71C11">
        <w:tab/>
        <w:t xml:space="preserve">В ходе двухгодичного периода при финансовой поддержке Европейского союза (ЕС) оказывалось широкое техническое </w:t>
      </w:r>
      <w:proofErr w:type="gramStart"/>
      <w:r w:rsidRPr="00E71C11">
        <w:t>содействие</w:t>
      </w:r>
      <w:proofErr w:type="gramEnd"/>
      <w:r w:rsidRPr="00E71C11">
        <w:t xml:space="preserve"> и был организован ряд мероприятий по наращиванию потенциала в </w:t>
      </w:r>
      <w:r w:rsidR="00915B66" w:rsidRPr="00E71C11">
        <w:t xml:space="preserve">Азербайджане, </w:t>
      </w:r>
      <w:r w:rsidRPr="00E71C11">
        <w:t>Армении, Беларуси, Грузии, Республике Молдова и Украине. Как ожидается, эти усилия, которые в первую очередь были сосредоточены на усовершенствовании национального з</w:t>
      </w:r>
      <w:r w:rsidRPr="00E71C11">
        <w:t>а</w:t>
      </w:r>
      <w:r w:rsidRPr="00E71C11">
        <w:t xml:space="preserve">конодательства в области СЭО и обеспечении его осуществления, в ближайшем будущем приведут к расширению круга сторон, ратифицировавших Протокол. Наряду с этим помощь по законодательным вопросам была оказана Кыргызстану и Российской Федерации. </w:t>
      </w:r>
    </w:p>
    <w:p w:rsidR="00E71C11" w:rsidRPr="00E71C11" w:rsidRDefault="00E71C11" w:rsidP="00E71C11">
      <w:pPr>
        <w:pStyle w:val="SingleTxt"/>
      </w:pPr>
      <w:r w:rsidRPr="00E71C11">
        <w:t>38.</w:t>
      </w:r>
      <w:r w:rsidRPr="00E71C11">
        <w:tab/>
        <w:t>Комитет по осуществлению, действующий в рамках Конвенции и Протокола к ней, принял последующие меры в связи с решениями Совещания Сторон по поводу документов, представляемых одной Стороной другой Стороне, и иници</w:t>
      </w:r>
      <w:r w:rsidRPr="00E71C11">
        <w:t>а</w:t>
      </w:r>
      <w:r w:rsidRPr="00E71C11">
        <w:t>тивами Комитета, приступил к осуществлению двух новых инициатив Комитета и рассмотрел информацию, поступившую от ряда НПО (сбор информации). Большинство дел были связаны с планами строительства или продления срока эксплуатации атомных и других электростанций.</w:t>
      </w:r>
    </w:p>
    <w:p w:rsidR="0089058E" w:rsidRPr="0089058E" w:rsidRDefault="0089058E" w:rsidP="0089058E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89058E" w:rsidP="0089058E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Извлеченные уроки/области, нуждающиеся в усовершенствовании</w:t>
      </w:r>
    </w:p>
    <w:p w:rsidR="0089058E" w:rsidRPr="0089058E" w:rsidRDefault="0089058E" w:rsidP="0089058E">
      <w:pPr>
        <w:pStyle w:val="SingleTxt"/>
        <w:spacing w:after="0" w:line="120" w:lineRule="exact"/>
        <w:rPr>
          <w:sz w:val="10"/>
        </w:rPr>
      </w:pPr>
    </w:p>
    <w:p w:rsidR="00E71C11" w:rsidRPr="00E71C11" w:rsidRDefault="00E71C11" w:rsidP="00E71C11">
      <w:pPr>
        <w:pStyle w:val="SingleTxt"/>
      </w:pPr>
      <w:r w:rsidRPr="00E71C11">
        <w:t>39.</w:t>
      </w:r>
      <w:r w:rsidRPr="00E71C11">
        <w:tab/>
      </w:r>
      <w:proofErr w:type="gramStart"/>
      <w:r w:rsidRPr="00E71C11">
        <w:rPr>
          <w:iCs/>
        </w:rPr>
        <w:t>Протокол по СЭО помогает заложить основу для устойчивого развития и достижения целей в области экологизации экономики за счет обеспечения учета Сторонами в своих планах и программах и, насколько это возможно, в политике и законодательстве на самых ранних этапах и самых высоких уровнях директи</w:t>
      </w:r>
      <w:r w:rsidRPr="00E71C11">
        <w:rPr>
          <w:iCs/>
        </w:rPr>
        <w:t>в</w:t>
      </w:r>
      <w:r w:rsidRPr="00E71C11">
        <w:rPr>
          <w:iCs/>
        </w:rPr>
        <w:t>ного руководства</w:t>
      </w:r>
      <w:r w:rsidRPr="00E71C11" w:rsidDel="00FA4C58">
        <w:rPr>
          <w:iCs/>
        </w:rPr>
        <w:t xml:space="preserve"> </w:t>
      </w:r>
      <w:r w:rsidRPr="00E71C11">
        <w:rPr>
          <w:iCs/>
        </w:rPr>
        <w:t>соображений, касающихся охраны окружающей среды и здор</w:t>
      </w:r>
      <w:r w:rsidRPr="00E71C11">
        <w:rPr>
          <w:iCs/>
        </w:rPr>
        <w:t>о</w:t>
      </w:r>
      <w:r w:rsidRPr="00E71C11">
        <w:rPr>
          <w:iCs/>
        </w:rPr>
        <w:t>вья человека, а также обеспокоенности общественности.</w:t>
      </w:r>
      <w:proofErr w:type="gramEnd"/>
      <w:r w:rsidRPr="00E71C11">
        <w:rPr>
          <w:iCs/>
        </w:rPr>
        <w:t xml:space="preserve"> Вместе с тем в насто</w:t>
      </w:r>
      <w:r w:rsidRPr="00E71C11">
        <w:rPr>
          <w:iCs/>
        </w:rPr>
        <w:t>я</w:t>
      </w:r>
      <w:r w:rsidRPr="00E71C11">
        <w:rPr>
          <w:iCs/>
        </w:rPr>
        <w:t>щее время потенциал и опыт в области проведения СЭО во многих странах рег</w:t>
      </w:r>
      <w:r w:rsidRPr="00E71C11">
        <w:rPr>
          <w:iCs/>
        </w:rPr>
        <w:t>и</w:t>
      </w:r>
      <w:r w:rsidRPr="00E71C11">
        <w:rPr>
          <w:iCs/>
        </w:rPr>
        <w:t>она ЕЭК, в особенности в странах Восточной Европы, Закавказья и Центральной Азии, до сих пор весьма ограничен. В интересах повышения и закрепления поз</w:t>
      </w:r>
      <w:r w:rsidRPr="00E71C11">
        <w:rPr>
          <w:iCs/>
        </w:rPr>
        <w:t>и</w:t>
      </w:r>
      <w:r w:rsidRPr="00E71C11">
        <w:rPr>
          <w:iCs/>
        </w:rPr>
        <w:t>тивных результатов от предпринятых к настоящему времени усилий по наращ</w:t>
      </w:r>
      <w:r w:rsidRPr="00E71C11">
        <w:rPr>
          <w:iCs/>
        </w:rPr>
        <w:t>и</w:t>
      </w:r>
      <w:r w:rsidRPr="00E71C11">
        <w:rPr>
          <w:iCs/>
        </w:rPr>
        <w:t>ванию потенциала можно было бы предусмотреть соответствующую последу</w:t>
      </w:r>
      <w:r w:rsidRPr="00E71C11">
        <w:rPr>
          <w:iCs/>
        </w:rPr>
        <w:t>ю</w:t>
      </w:r>
      <w:r w:rsidRPr="00E71C11">
        <w:rPr>
          <w:iCs/>
        </w:rPr>
        <w:t>щую деятельность. Кроме того, как показал первый цикл отчетности по Прот</w:t>
      </w:r>
      <w:r w:rsidRPr="00E71C11">
        <w:rPr>
          <w:iCs/>
        </w:rPr>
        <w:t>о</w:t>
      </w:r>
      <w:r w:rsidRPr="00E71C11">
        <w:rPr>
          <w:iCs/>
        </w:rPr>
        <w:t>колу, сохраняется потребность в улучшении осведомленности и совершенствов</w:t>
      </w:r>
      <w:r w:rsidRPr="00E71C11">
        <w:rPr>
          <w:iCs/>
        </w:rPr>
        <w:t>а</w:t>
      </w:r>
      <w:r w:rsidRPr="00E71C11">
        <w:rPr>
          <w:iCs/>
        </w:rPr>
        <w:t>нии потенциала в процессе осуществления Протокола его текущими Сторонами, в частности для прояснения обязанностей вовлеченных органов, например в о</w:t>
      </w:r>
      <w:r w:rsidRPr="00E71C11">
        <w:rPr>
          <w:iCs/>
        </w:rPr>
        <w:t>т</w:t>
      </w:r>
      <w:r w:rsidRPr="00E71C11">
        <w:rPr>
          <w:iCs/>
        </w:rPr>
        <w:t xml:space="preserve">ношении </w:t>
      </w:r>
      <w:proofErr w:type="gramStart"/>
      <w:r w:rsidRPr="00E71C11">
        <w:rPr>
          <w:iCs/>
        </w:rPr>
        <w:t>консультаций</w:t>
      </w:r>
      <w:proofErr w:type="gramEnd"/>
      <w:r w:rsidRPr="00E71C11">
        <w:rPr>
          <w:iCs/>
        </w:rPr>
        <w:t xml:space="preserve"> и участия общественности. Тем не менее, возможности секретариата удовлетворить такую насущную потребность в помощи ограничены</w:t>
      </w:r>
      <w:r w:rsidRPr="00E71C11">
        <w:t>.</w:t>
      </w:r>
    </w:p>
    <w:p w:rsidR="0089058E" w:rsidRPr="0089058E" w:rsidRDefault="0089058E" w:rsidP="0089058E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89058E" w:rsidP="0089058E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Показатели достижения результатов</w:t>
      </w:r>
    </w:p>
    <w:p w:rsidR="0089058E" w:rsidRPr="0089058E" w:rsidRDefault="0089058E" w:rsidP="0089058E">
      <w:pPr>
        <w:pStyle w:val="SingleTxt"/>
        <w:spacing w:after="0" w:line="120" w:lineRule="exact"/>
        <w:rPr>
          <w:sz w:val="10"/>
        </w:rPr>
      </w:pPr>
    </w:p>
    <w:p w:rsidR="00E71C11" w:rsidRPr="00E71C11" w:rsidRDefault="00E71C11" w:rsidP="00E71C11">
      <w:pPr>
        <w:pStyle w:val="SingleTxt"/>
      </w:pPr>
      <w:r w:rsidRPr="00E71C11">
        <w:t>Увеличение числа стран, добивающихся улучшения осуществлен</w:t>
      </w:r>
      <w:r w:rsidR="009A412A">
        <w:t>ия Конвенции и Протокола по СЭО</w:t>
      </w:r>
      <w:r w:rsidRPr="00E71C11">
        <w:t xml:space="preserve"> посредством:</w:t>
      </w:r>
    </w:p>
    <w:p w:rsidR="00E71C11" w:rsidRPr="00E71C11" w:rsidRDefault="00E71C11" w:rsidP="00E71C11">
      <w:pPr>
        <w:pStyle w:val="SingleTxt"/>
      </w:pPr>
      <w:r w:rsidRPr="00E71C11">
        <w:tab/>
        <w:t>a)</w:t>
      </w:r>
      <w:r w:rsidRPr="00E71C11">
        <w:tab/>
        <w:t>увеличения числа стран, участвующих в субрегиональном сотруднич</w:t>
      </w:r>
      <w:r w:rsidRPr="00E71C11">
        <w:t>е</w:t>
      </w:r>
      <w:r w:rsidRPr="00E71C11">
        <w:t>стве в рамках Конвенции;</w:t>
      </w:r>
    </w:p>
    <w:p w:rsidR="00E71C11" w:rsidRPr="00E71C11" w:rsidRDefault="00E71C11" w:rsidP="00E71C11">
      <w:pPr>
        <w:pStyle w:val="SingleTxt"/>
      </w:pPr>
      <w:r w:rsidRPr="00E71C11">
        <w:tab/>
        <w:t>b)</w:t>
      </w:r>
      <w:r w:rsidRPr="00E71C11">
        <w:tab/>
        <w:t>увеличения числа Сторон, представляющих доклады об осуществл</w:t>
      </w:r>
      <w:r w:rsidRPr="00E71C11">
        <w:t>е</w:t>
      </w:r>
      <w:r w:rsidRPr="00E71C11">
        <w:t xml:space="preserve">нии Конвенции; </w:t>
      </w:r>
    </w:p>
    <w:p w:rsidR="00E71C11" w:rsidRPr="00E71C11" w:rsidRDefault="00E71C11" w:rsidP="00E71C11">
      <w:pPr>
        <w:pStyle w:val="SingleTxt"/>
      </w:pPr>
      <w:r w:rsidRPr="00E71C11">
        <w:tab/>
        <w:t>с)</w:t>
      </w:r>
      <w:r w:rsidRPr="00E71C11">
        <w:tab/>
        <w:t xml:space="preserve">интенсивной деятельности по наращиванию потенциала в странах, не являющихся Сторонами Конвенции </w:t>
      </w:r>
      <w:proofErr w:type="spellStart"/>
      <w:r w:rsidRPr="00E71C11">
        <w:t>Эспо</w:t>
      </w:r>
      <w:proofErr w:type="spellEnd"/>
      <w:r w:rsidRPr="00E71C11">
        <w:t xml:space="preserve"> (среднее количество человеко-дней на одну страну, не являющуюся Стороной);</w:t>
      </w:r>
    </w:p>
    <w:p w:rsidR="00E71C11" w:rsidRPr="00E71C11" w:rsidRDefault="00E71C11" w:rsidP="00E71C11">
      <w:pPr>
        <w:pStyle w:val="SingleTxt"/>
      </w:pPr>
      <w:r w:rsidRPr="00E71C11">
        <w:tab/>
        <w:t>d)</w:t>
      </w:r>
      <w:r w:rsidRPr="00E71C11">
        <w:tab/>
        <w:t>интенсивной деятельности по наращиванию потенциала в странах, не являющихся Сторонами Протокола по СЭО (среднее количество человеко-дней на одну страну, не являющуюся Стороной);</w:t>
      </w:r>
    </w:p>
    <w:p w:rsidR="00E71C11" w:rsidRPr="00E71C11" w:rsidRDefault="00E71C11" w:rsidP="00E71C11">
      <w:pPr>
        <w:pStyle w:val="SingleTxt"/>
      </w:pPr>
      <w:r w:rsidRPr="00E71C11">
        <w:tab/>
        <w:t>e)</w:t>
      </w:r>
      <w:r w:rsidRPr="00E71C11">
        <w:tab/>
        <w:t>увеличения числа ратификаций Протокола по СЭО;</w:t>
      </w:r>
    </w:p>
    <w:p w:rsidR="00E71C11" w:rsidRPr="00E71C11" w:rsidRDefault="00E71C11" w:rsidP="00E71C11">
      <w:pPr>
        <w:pStyle w:val="SingleTxt"/>
      </w:pPr>
      <w:r w:rsidRPr="00E71C11">
        <w:tab/>
        <w:t>f)</w:t>
      </w:r>
      <w:r w:rsidRPr="00E71C11">
        <w:tab/>
      </w:r>
      <w:r w:rsidRPr="00E71C11">
        <w:rPr>
          <w:bCs/>
        </w:rPr>
        <w:t xml:space="preserve">увеличения числа ратификаций, одобрений или принятий Конвенции </w:t>
      </w:r>
      <w:proofErr w:type="spellStart"/>
      <w:r w:rsidRPr="00E71C11">
        <w:rPr>
          <w:bCs/>
        </w:rPr>
        <w:t>Эспо</w:t>
      </w:r>
      <w:proofErr w:type="spellEnd"/>
      <w:r w:rsidRPr="00E71C11">
        <w:rPr>
          <w:bCs/>
        </w:rPr>
        <w:t>;</w:t>
      </w:r>
    </w:p>
    <w:p w:rsidR="00E71C11" w:rsidRPr="00E71C11" w:rsidRDefault="00E71C11" w:rsidP="00E71C11">
      <w:pPr>
        <w:pStyle w:val="SingleTxt"/>
      </w:pPr>
      <w:r w:rsidRPr="00E71C11">
        <w:tab/>
        <w:t>g)</w:t>
      </w:r>
      <w:r w:rsidRPr="00E71C11">
        <w:tab/>
      </w:r>
      <w:r w:rsidRPr="00E71C11">
        <w:rPr>
          <w:bCs/>
        </w:rPr>
        <w:t>увеличения числа ратификаций, одобрений или принятий двух попр</w:t>
      </w:r>
      <w:r w:rsidRPr="00E71C11">
        <w:rPr>
          <w:bCs/>
        </w:rPr>
        <w:t>а</w:t>
      </w:r>
      <w:r w:rsidRPr="00E71C11">
        <w:rPr>
          <w:bCs/>
        </w:rPr>
        <w:t xml:space="preserve">вок к Конвенции </w:t>
      </w:r>
      <w:proofErr w:type="spellStart"/>
      <w:r w:rsidRPr="00E71C11">
        <w:rPr>
          <w:bCs/>
        </w:rPr>
        <w:t>Эспо</w:t>
      </w:r>
      <w:proofErr w:type="spellEnd"/>
      <w:r w:rsidR="009A412A">
        <w:rPr>
          <w:bCs/>
        </w:rPr>
        <w:t>.</w:t>
      </w:r>
    </w:p>
    <w:p w:rsidR="0089058E" w:rsidRPr="0089058E" w:rsidRDefault="0089058E" w:rsidP="0089058E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89058E" w:rsidP="0089058E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Показатели результативности</w:t>
      </w:r>
    </w:p>
    <w:p w:rsidR="0089058E" w:rsidRPr="0089058E" w:rsidRDefault="0089058E" w:rsidP="0089058E">
      <w:pPr>
        <w:pStyle w:val="SingleTxt"/>
        <w:spacing w:after="0" w:line="120" w:lineRule="exact"/>
        <w:rPr>
          <w:sz w:val="10"/>
        </w:rPr>
      </w:pPr>
    </w:p>
    <w:p w:rsidR="00E71C11" w:rsidRPr="00E71C11" w:rsidRDefault="00E71C11" w:rsidP="00E71C11">
      <w:pPr>
        <w:pStyle w:val="SingleTxt"/>
      </w:pPr>
      <w:r w:rsidRPr="00E71C11">
        <w:t>2010–2011 го</w:t>
      </w:r>
      <w:r w:rsidR="000F48D4">
        <w:t xml:space="preserve">ды: </w:t>
      </w:r>
      <w:r w:rsidRPr="00E71C11">
        <w:t>a) 28; b) 42; с) 31; d) 9; e) 23; f) 45; g) первая поправка – 21, вт</w:t>
      </w:r>
      <w:r w:rsidRPr="00E71C11">
        <w:t>о</w:t>
      </w:r>
      <w:r w:rsidRPr="00E71C11">
        <w:t>рая поправка – 20</w:t>
      </w:r>
    </w:p>
    <w:p w:rsidR="00E71C11" w:rsidRPr="00E71C11" w:rsidRDefault="000F48D4" w:rsidP="00E71C11">
      <w:pPr>
        <w:pStyle w:val="SingleTxt"/>
      </w:pPr>
      <w:r>
        <w:t xml:space="preserve">2012–2013 годы: </w:t>
      </w:r>
      <w:r w:rsidR="00E71C11" w:rsidRPr="00E71C11">
        <w:t>a) 16; b) 38; с) 11; d) 10; e) 25; f) 45; g) первая поправка – 24, вторая поправка – 24</w:t>
      </w:r>
    </w:p>
    <w:p w:rsidR="00E71C11" w:rsidRPr="00E71C11" w:rsidRDefault="00E71C11" w:rsidP="009A412A">
      <w:pPr>
        <w:pStyle w:val="SingleTxt"/>
      </w:pPr>
      <w:r w:rsidRPr="00E71C11">
        <w:t>Целевой показатель на 2014–2015 годы:</w:t>
      </w:r>
      <w:r w:rsidR="009A412A">
        <w:t xml:space="preserve"> </w:t>
      </w:r>
      <w:r w:rsidRPr="00E71C11">
        <w:t>a) 30; b) 44; с) 33; d)</w:t>
      </w:r>
      <w:r w:rsidR="0089058E">
        <w:t> 12; e) 29; f) 46; g) </w:t>
      </w:r>
      <w:r w:rsidRPr="00E71C11">
        <w:t>первая поправка – 26, вторая поправка – 26</w:t>
      </w:r>
    </w:p>
    <w:p w:rsidR="00E71C11" w:rsidRPr="00E71C11" w:rsidRDefault="00E71C11" w:rsidP="00E71C11">
      <w:pPr>
        <w:pStyle w:val="SingleTxt"/>
      </w:pPr>
      <w:r w:rsidRPr="00E71C11">
        <w:t>Фактический показатель на 2014–2015 годы (по со</w:t>
      </w:r>
      <w:r w:rsidR="0089058E">
        <w:t xml:space="preserve">стоянию на 31 июля 2015 года): </w:t>
      </w:r>
      <w:r w:rsidRPr="00E71C11">
        <w:t xml:space="preserve">a) 30; b) 41; с) 37; d) 71; e) 26; f) 45; g) первая поправка – 26, вторая </w:t>
      </w:r>
      <w:r w:rsidR="0089058E">
        <w:br/>
      </w:r>
      <w:r w:rsidRPr="00E71C11">
        <w:t>поправка – 26</w:t>
      </w:r>
    </w:p>
    <w:p w:rsidR="0089058E" w:rsidRPr="0089058E" w:rsidRDefault="0089058E" w:rsidP="0089058E">
      <w:pPr>
        <w:pStyle w:val="SingleTxt"/>
        <w:spacing w:after="0" w:line="120" w:lineRule="exact"/>
        <w:rPr>
          <w:b/>
          <w:sz w:val="10"/>
        </w:rPr>
      </w:pPr>
    </w:p>
    <w:p w:rsidR="0089058E" w:rsidRPr="0089058E" w:rsidRDefault="0089058E" w:rsidP="0089058E">
      <w:pPr>
        <w:pStyle w:val="SingleTxt"/>
        <w:spacing w:after="0" w:line="120" w:lineRule="exact"/>
        <w:rPr>
          <w:b/>
          <w:sz w:val="10"/>
        </w:rPr>
      </w:pPr>
    </w:p>
    <w:p w:rsidR="00E71C11" w:rsidRPr="00E71C11" w:rsidRDefault="00477FA9" w:rsidP="00477FA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Тематический блок 8</w:t>
      </w:r>
      <w:r w:rsidR="00E71C11" w:rsidRPr="00E71C11">
        <w:br/>
        <w:t>Конвенция по охране и использованию трансграничных водотоков и международных озер</w:t>
      </w:r>
    </w:p>
    <w:p w:rsidR="00477FA9" w:rsidRPr="00477FA9" w:rsidRDefault="00477FA9" w:rsidP="00477FA9">
      <w:pPr>
        <w:pStyle w:val="SingleTxt"/>
        <w:spacing w:after="0" w:line="120" w:lineRule="exact"/>
        <w:rPr>
          <w:i/>
          <w:sz w:val="10"/>
        </w:rPr>
      </w:pPr>
    </w:p>
    <w:p w:rsidR="00477FA9" w:rsidRPr="00477FA9" w:rsidRDefault="00477FA9" w:rsidP="00477FA9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477FA9" w:rsidP="00477FA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Ожидаемые достижения</w:t>
      </w:r>
    </w:p>
    <w:p w:rsidR="00477FA9" w:rsidRPr="00477FA9" w:rsidRDefault="00477FA9" w:rsidP="00477FA9">
      <w:pPr>
        <w:pStyle w:val="SingleTxt"/>
        <w:spacing w:after="0" w:line="120" w:lineRule="exact"/>
        <w:rPr>
          <w:sz w:val="10"/>
        </w:rPr>
      </w:pPr>
    </w:p>
    <w:p w:rsidR="00E71C11" w:rsidRPr="00E71C11" w:rsidRDefault="00E71C11" w:rsidP="00E71C11">
      <w:pPr>
        <w:pStyle w:val="SingleTxt"/>
      </w:pPr>
      <w:r w:rsidRPr="00E71C11">
        <w:t>Рост числа ратификаций и активизация осуществления Конвенции по охране и использованию трансграничных водотоков и международных озер (Конвенции по водам) и Протокола по проблемам воды и здоровья</w:t>
      </w:r>
    </w:p>
    <w:p w:rsidR="00477FA9" w:rsidRPr="00477FA9" w:rsidRDefault="00477FA9" w:rsidP="00477FA9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477FA9" w:rsidP="00477FA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Отчет о достижениях/полученных результатах</w:t>
      </w:r>
    </w:p>
    <w:p w:rsidR="00477FA9" w:rsidRPr="00477FA9" w:rsidRDefault="00477FA9" w:rsidP="00477FA9">
      <w:pPr>
        <w:pStyle w:val="SingleTxt"/>
        <w:spacing w:after="0" w:line="120" w:lineRule="exact"/>
        <w:rPr>
          <w:sz w:val="10"/>
        </w:rPr>
      </w:pPr>
    </w:p>
    <w:p w:rsidR="00E71C11" w:rsidRPr="00E71C11" w:rsidRDefault="00E71C11" w:rsidP="00E71C11">
      <w:pPr>
        <w:pStyle w:val="SingleTxt"/>
      </w:pPr>
      <w:r w:rsidRPr="00E71C11">
        <w:t>40.</w:t>
      </w:r>
      <w:r w:rsidRPr="00E71C11">
        <w:tab/>
        <w:t>За двухгодичный период деятельность в рамках Конвенции по водам прио</w:t>
      </w:r>
      <w:r w:rsidRPr="00E71C11">
        <w:t>б</w:t>
      </w:r>
      <w:r w:rsidRPr="00E71C11">
        <w:t>рела глобальный характер. В предусматриваемой Конвенцией деятельности участвуют более 100 стран, включая 60 стран за пределами региона ЕЭК, а также 41 Сторона Конвенции в самом регионе. Несколько стран за пределами региона также высказали заинтересованность в присоединении к Конвенции и положили начало соответствующим национальным процессам в этих целях. Глобализация Конвенции уже приносит свои плоды в виде более эффективного обмена опытом и поощрения передовой практики.</w:t>
      </w:r>
    </w:p>
    <w:p w:rsidR="00E71C11" w:rsidRPr="00E71C11" w:rsidRDefault="00E71C11" w:rsidP="00E71C11">
      <w:pPr>
        <w:pStyle w:val="SingleTxt"/>
      </w:pPr>
      <w:r w:rsidRPr="00E71C11">
        <w:t>41.</w:t>
      </w:r>
      <w:r w:rsidRPr="00E71C11">
        <w:tab/>
      </w:r>
      <w:proofErr w:type="gramStart"/>
      <w:r w:rsidRPr="00E71C11">
        <w:t xml:space="preserve">Работа в рамках Конвенции по водам и Протокола по проблемам воды и здоровья (26 Сторон) характеризуется расширением деятельности, направленной на интеграцию мер политики и комплексных подходов, выходящих за пределы водохозяйственного сектора, и ведется по различным направлениям: начиная с работы над </w:t>
      </w:r>
      <w:r w:rsidRPr="00E71C11">
        <w:rPr>
          <w:bCs/>
          <w:iCs/>
        </w:rPr>
        <w:t>взаимосвязью между водой, продовольствием, энергией и экосист</w:t>
      </w:r>
      <w:r w:rsidRPr="00E71C11">
        <w:rPr>
          <w:bCs/>
          <w:iCs/>
        </w:rPr>
        <w:t>е</w:t>
      </w:r>
      <w:r w:rsidRPr="00E71C11">
        <w:rPr>
          <w:bCs/>
          <w:iCs/>
        </w:rPr>
        <w:t>мами</w:t>
      </w:r>
      <w:r w:rsidRPr="00E71C11">
        <w:t>, проблемами водных ресурсов и изменения климата, преимуществ сотру</w:t>
      </w:r>
      <w:r w:rsidRPr="00E71C11">
        <w:t>д</w:t>
      </w:r>
      <w:r w:rsidRPr="00E71C11">
        <w:t>ничества и диалогов по вопросам национальной</w:t>
      </w:r>
      <w:proofErr w:type="gramEnd"/>
      <w:r w:rsidRPr="00E71C11">
        <w:t xml:space="preserve"> политики (ДНП) в области ко</w:t>
      </w:r>
      <w:r w:rsidRPr="00E71C11">
        <w:t>м</w:t>
      </w:r>
      <w:r w:rsidRPr="00E71C11">
        <w:t>плексного управления водными ресурсами (КУВР) и заканчивая деятельностью по обеспечению равноправного доступа к системам водоснабжения и санитарии. Подобная деятельность и поощряемые в ее рамках усилия по интеграции во мн</w:t>
      </w:r>
      <w:r w:rsidRPr="00E71C11">
        <w:t>о</w:t>
      </w:r>
      <w:r w:rsidRPr="00E71C11">
        <w:t>гом созвучны духу и концептуальному видению Повестки дня в области усто</w:t>
      </w:r>
      <w:r w:rsidRPr="00E71C11">
        <w:t>й</w:t>
      </w:r>
      <w:r w:rsidRPr="00E71C11">
        <w:t>чивого развития на 2030 год.</w:t>
      </w:r>
    </w:p>
    <w:p w:rsidR="00E71C11" w:rsidRPr="00E71C11" w:rsidRDefault="00E71C11" w:rsidP="00E71C11">
      <w:pPr>
        <w:pStyle w:val="SingleTxt"/>
      </w:pPr>
      <w:r w:rsidRPr="00E71C11">
        <w:t>42.</w:t>
      </w:r>
      <w:r w:rsidRPr="00E71C11">
        <w:tab/>
        <w:t xml:space="preserve">Была разработана методология оценки </w:t>
      </w:r>
      <w:r w:rsidRPr="00E71C11">
        <w:rPr>
          <w:iCs/>
        </w:rPr>
        <w:t>взаимосвязи между водой</w:t>
      </w:r>
      <w:r w:rsidRPr="00E71C11">
        <w:rPr>
          <w:bCs/>
          <w:iCs/>
        </w:rPr>
        <w:t>, прод</w:t>
      </w:r>
      <w:r w:rsidRPr="00E71C11">
        <w:rPr>
          <w:bCs/>
          <w:iCs/>
        </w:rPr>
        <w:t>о</w:t>
      </w:r>
      <w:r w:rsidRPr="00E71C11">
        <w:rPr>
          <w:bCs/>
          <w:iCs/>
        </w:rPr>
        <w:t>вольствием, энергией и экосистемами</w:t>
      </w:r>
      <w:r w:rsidRPr="00E71C11">
        <w:t xml:space="preserve"> в трансграничных бассейнах. </w:t>
      </w:r>
      <w:proofErr w:type="gramStart"/>
      <w:r w:rsidRPr="00E71C11">
        <w:t>Методология направлена на получение представления о взаимозависимости между водой, энергией, продовольствием и другими сферами, такими как изменение климата и биоразнообразие, в плане видов их использования, потребностей в них, эконом</w:t>
      </w:r>
      <w:r w:rsidRPr="00E71C11">
        <w:t>и</w:t>
      </w:r>
      <w:r w:rsidRPr="00E71C11">
        <w:t>ческих и социальных выгод, потенциального синергизма, а также конфликтов и компромиссов, и позволяет определить возможные меры политики, которые сп</w:t>
      </w:r>
      <w:r w:rsidRPr="00E71C11">
        <w:t>о</w:t>
      </w:r>
      <w:r w:rsidRPr="00E71C11">
        <w:t xml:space="preserve">собны смягчить конфликты, связанные </w:t>
      </w:r>
      <w:r w:rsidR="009A412A">
        <w:t xml:space="preserve">с </w:t>
      </w:r>
      <w:r w:rsidRPr="00E71C11">
        <w:t>эксплуатацией общих ресурсов нескол</w:t>
      </w:r>
      <w:r w:rsidRPr="00E71C11">
        <w:t>ь</w:t>
      </w:r>
      <w:r w:rsidRPr="00E71C11">
        <w:t>кими странами.</w:t>
      </w:r>
      <w:proofErr w:type="gramEnd"/>
      <w:r w:rsidRPr="00E71C11">
        <w:t xml:space="preserve"> Данная методология уже была применена при оценке </w:t>
      </w:r>
      <w:r w:rsidRPr="00E71C11">
        <w:rPr>
          <w:bCs/>
          <w:iCs/>
        </w:rPr>
        <w:t xml:space="preserve">бассейнов рек </w:t>
      </w:r>
      <w:proofErr w:type="spellStart"/>
      <w:r w:rsidRPr="00E71C11">
        <w:rPr>
          <w:bCs/>
          <w:iCs/>
        </w:rPr>
        <w:t>Алазани</w:t>
      </w:r>
      <w:proofErr w:type="spellEnd"/>
      <w:r w:rsidRPr="00E71C11">
        <w:rPr>
          <w:bCs/>
          <w:iCs/>
        </w:rPr>
        <w:t>/</w:t>
      </w:r>
      <w:proofErr w:type="spellStart"/>
      <w:r w:rsidRPr="00E71C11">
        <w:rPr>
          <w:bCs/>
          <w:iCs/>
        </w:rPr>
        <w:t>Ганых</w:t>
      </w:r>
      <w:proofErr w:type="spellEnd"/>
      <w:r w:rsidRPr="00E71C11">
        <w:t>, Сава и Сырдарья. Подготовительная работа началась в ба</w:t>
      </w:r>
      <w:r w:rsidRPr="00E71C11">
        <w:t>с</w:t>
      </w:r>
      <w:r w:rsidRPr="00E71C11">
        <w:t xml:space="preserve">сейне реки </w:t>
      </w:r>
      <w:proofErr w:type="spellStart"/>
      <w:r w:rsidRPr="00E71C11">
        <w:t>Исонзо</w:t>
      </w:r>
      <w:proofErr w:type="spellEnd"/>
      <w:r w:rsidRPr="00E71C11">
        <w:t>/Сока, и в рамках программы ра</w:t>
      </w:r>
      <w:r w:rsidR="009A412A">
        <w:t>боты Конвенции по водам на 2016–</w:t>
      </w:r>
      <w:r w:rsidRPr="00E71C11">
        <w:t>2018 годы планируется провести оценку ряда других бассейнов, в том чи</w:t>
      </w:r>
      <w:r w:rsidRPr="00E71C11">
        <w:t>с</w:t>
      </w:r>
      <w:r w:rsidRPr="00E71C11">
        <w:t>ле за пределами региона ЕЭК.</w:t>
      </w:r>
    </w:p>
    <w:p w:rsidR="00E71C11" w:rsidRPr="00E71C11" w:rsidRDefault="00E71C11" w:rsidP="00477FA9">
      <w:pPr>
        <w:pStyle w:val="SingleTxt"/>
      </w:pPr>
      <w:r w:rsidRPr="00E71C11">
        <w:t>43.</w:t>
      </w:r>
      <w:r w:rsidRPr="00E71C11">
        <w:tab/>
        <w:t>В рамках экспериментальных проектов в области изменения климата, ос</w:t>
      </w:r>
      <w:r w:rsidRPr="00E71C11">
        <w:t>у</w:t>
      </w:r>
      <w:r w:rsidRPr="00E71C11">
        <w:t>ществляемых ЕЭК по линии Инициативы по окружающей среде и безопасности в бассейнах рек Неман и Днестр, были разработаны трансграничные адаптацио</w:t>
      </w:r>
      <w:r w:rsidRPr="00E71C11">
        <w:t>н</w:t>
      </w:r>
      <w:r w:rsidRPr="00E71C11">
        <w:t>ные стратегии. Опыт, полученный в рамках этих бассейнов, перенимается гл</w:t>
      </w:r>
      <w:r w:rsidRPr="00E71C11">
        <w:t>о</w:t>
      </w:r>
      <w:r w:rsidRPr="00E71C11">
        <w:t xml:space="preserve">бальной сетью из 14 бассейнов, в которых при поддержке ЕЭК и Международной сети водохозяйственных организаций ведется работа по адаптации к изменению климата. Коллективный опыт глобальной сети был подытожен в публикации </w:t>
      </w:r>
      <w:r w:rsidR="00477FA9">
        <w:rPr>
          <w:iCs/>
        </w:rPr>
        <w:t>«</w:t>
      </w:r>
      <w:r w:rsidRPr="00E71C11">
        <w:rPr>
          <w:iCs/>
        </w:rPr>
        <w:t>Адаптация к водным и климатическим изменениям в трансграничных бассейнах: извлеченные уроки и передовой опыт</w:t>
      </w:r>
      <w:r w:rsidR="00477FA9">
        <w:rPr>
          <w:iCs/>
        </w:rPr>
        <w:t>»</w:t>
      </w:r>
      <w:r w:rsidRPr="00E71C11">
        <w:rPr>
          <w:iCs/>
        </w:rPr>
        <w:t xml:space="preserve">, представленной на седьмом Всемирном форуме по водным ресурсам </w:t>
      </w:r>
      <w:r w:rsidRPr="00E71C11">
        <w:t>в апреле 2015 года.</w:t>
      </w:r>
    </w:p>
    <w:p w:rsidR="00E71C11" w:rsidRPr="00E71C11" w:rsidRDefault="00E71C11" w:rsidP="00E71C11">
      <w:pPr>
        <w:pStyle w:val="SingleTxt"/>
      </w:pPr>
      <w:r w:rsidRPr="00E71C11">
        <w:t>44.</w:t>
      </w:r>
      <w:r w:rsidRPr="00E71C11">
        <w:tab/>
        <w:t>В ходе серии рабочих совещаний была подготовлена руководящая записка по вопросу о выгодах трансграничного водного сотрудничества. Данное руково</w:t>
      </w:r>
      <w:r w:rsidRPr="00E71C11">
        <w:t>д</w:t>
      </w:r>
      <w:r w:rsidRPr="00E71C11">
        <w:t>ство призвано помочь странам осознать получаемые в результате сотрудничества экономические, социальные и природоохранные выгоды, не говоря уже о выгодах в плане поддержания мира и безопасности. Постоянная водная комиссия по ба</w:t>
      </w:r>
      <w:r w:rsidRPr="00E71C11">
        <w:t>с</w:t>
      </w:r>
      <w:r w:rsidRPr="00E71C11">
        <w:t xml:space="preserve">сейну реки </w:t>
      </w:r>
      <w:proofErr w:type="spellStart"/>
      <w:r w:rsidRPr="00E71C11">
        <w:t>Окаванго</w:t>
      </w:r>
      <w:proofErr w:type="spellEnd"/>
      <w:r w:rsidRPr="00E71C11">
        <w:t xml:space="preserve"> уже начала пользоваться руководящей запиской, и нескол</w:t>
      </w:r>
      <w:r w:rsidRPr="00E71C11">
        <w:t>ь</w:t>
      </w:r>
      <w:r w:rsidRPr="00E71C11">
        <w:t>ко стран и водохозяйственных организаций выразили заинтересованность в пр</w:t>
      </w:r>
      <w:r w:rsidRPr="00E71C11">
        <w:t>и</w:t>
      </w:r>
      <w:r w:rsidRPr="00E71C11">
        <w:t>менении соответствующей методологии.</w:t>
      </w:r>
    </w:p>
    <w:p w:rsidR="00E71C11" w:rsidRPr="00E71C11" w:rsidRDefault="00E71C11" w:rsidP="00E71C11">
      <w:pPr>
        <w:pStyle w:val="SingleTxt"/>
      </w:pPr>
      <w:r w:rsidRPr="00E71C11">
        <w:t>45.</w:t>
      </w:r>
      <w:r w:rsidRPr="00E71C11">
        <w:tab/>
        <w:t>ДНП в области КУВР и водоснабжения и санитарии в рамках Водной ин</w:t>
      </w:r>
      <w:r w:rsidRPr="00E71C11">
        <w:t>и</w:t>
      </w:r>
      <w:r w:rsidRPr="00E71C11">
        <w:t>циативы ЕС явились важным вкладом в реформирование водного сектора и д</w:t>
      </w:r>
      <w:r w:rsidRPr="00E71C11">
        <w:t>о</w:t>
      </w:r>
      <w:r w:rsidRPr="00E71C11">
        <w:t>стижение целей развития, сформулированных в Декларации тысячелетия в о</w:t>
      </w:r>
      <w:r w:rsidRPr="00E71C11">
        <w:t>т</w:t>
      </w:r>
      <w:r w:rsidRPr="00E71C11">
        <w:t>ношении воды, практически во всех странах Восточной Европы, Закавказья и Центральной Азии. ДНП успешно опираются на многочисленные виды деятел</w:t>
      </w:r>
      <w:r w:rsidRPr="00E71C11">
        <w:t>ь</w:t>
      </w:r>
      <w:r w:rsidRPr="00E71C11">
        <w:t>ности ЕЭК, не ограничиваясь деятельностью в рамках одной лишь Конвенции по водам и охватывая также другие конвенции ЕЭК, принятую ЕЭК Программу о</w:t>
      </w:r>
      <w:r w:rsidRPr="00E71C11">
        <w:t>б</w:t>
      </w:r>
      <w:r w:rsidRPr="00E71C11">
        <w:t>зоров результативности экологической деятельности (ОРЭД) и проекты и де</w:t>
      </w:r>
      <w:r w:rsidRPr="00E71C11">
        <w:t>я</w:t>
      </w:r>
      <w:r w:rsidRPr="00E71C11">
        <w:t>тельность ЕЭК на местах, реализуемые Региональным советником по вопросам окружающей среды.</w:t>
      </w:r>
    </w:p>
    <w:p w:rsidR="00E71C11" w:rsidRPr="00E71C11" w:rsidRDefault="00E71C11" w:rsidP="00E71C11">
      <w:pPr>
        <w:pStyle w:val="SingleTxt"/>
      </w:pPr>
      <w:r w:rsidRPr="00E71C11">
        <w:t>46.</w:t>
      </w:r>
      <w:r w:rsidRPr="00E71C11">
        <w:tab/>
        <w:t>Хотя изначально в тексте Конвенции не предусматривалось положений об отчетности, в текущем межсессионном периоде наметилась необходимость в р</w:t>
      </w:r>
      <w:r w:rsidRPr="00E71C11">
        <w:t>е</w:t>
      </w:r>
      <w:r w:rsidRPr="00E71C11">
        <w:t>гулярных обзорах осуществления, и, как ожидается, Совещание Сторон на своей седьмой сессии в ноябре 2015 года примет решение о создании механизма пре</w:t>
      </w:r>
      <w:r w:rsidRPr="00E71C11">
        <w:t>д</w:t>
      </w:r>
      <w:r w:rsidRPr="00E71C11">
        <w:t>ставления отчетности, начиная с экспериментального мероприятия по предста</w:t>
      </w:r>
      <w:r w:rsidRPr="00E71C11">
        <w:t>в</w:t>
      </w:r>
      <w:r w:rsidRPr="00E71C11">
        <w:t>лению информации. Благодаря такому механизму представления отчетности наряду с работой Комитета по осуществлению Конвенции по водам, учрежденн</w:t>
      </w:r>
      <w:r w:rsidRPr="00E71C11">
        <w:t>о</w:t>
      </w:r>
      <w:r w:rsidRPr="00E71C11">
        <w:t>го на шестой сессии Совещания Сторон Конвенции по водам в 2012 году, удастся еще более повысить эффективность осуществления Конвенции.</w:t>
      </w:r>
    </w:p>
    <w:p w:rsidR="00E71C11" w:rsidRPr="00E71C11" w:rsidRDefault="00E71C11" w:rsidP="00E71C11">
      <w:pPr>
        <w:pStyle w:val="SingleTxt"/>
      </w:pPr>
      <w:r w:rsidRPr="00E71C11">
        <w:t>47.</w:t>
      </w:r>
      <w:r w:rsidRPr="00E71C11">
        <w:tab/>
        <w:t>Благодаря оценочному листу равного доступа, используемому в соотве</w:t>
      </w:r>
      <w:r w:rsidRPr="00E71C11">
        <w:t>т</w:t>
      </w:r>
      <w:r w:rsidRPr="00E71C11">
        <w:t>ствии с Протоколом по проблемам воды и здоровья для определения того, все ли имеют одинаковые возможности доступа к воде и санитарным услугам, удалось повысить осведомленность об этой проблеме и создать условия для новых ин</w:t>
      </w:r>
      <w:r w:rsidRPr="00E71C11">
        <w:t>и</w:t>
      </w:r>
      <w:r w:rsidRPr="00E71C11">
        <w:t>циатив в этой области. Республика Молдова провела самооценку равного доступа в 2014 году. В настоящее время самооценки проводятся в Венгрии и бывшей югославской Республике Македония.</w:t>
      </w:r>
    </w:p>
    <w:p w:rsidR="00E71C11" w:rsidRPr="00E71C11" w:rsidRDefault="00E71C11" w:rsidP="00E71C11">
      <w:pPr>
        <w:pStyle w:val="SingleTxt"/>
      </w:pPr>
      <w:r w:rsidRPr="00E71C11">
        <w:t>48.</w:t>
      </w:r>
      <w:r w:rsidRPr="00E71C11">
        <w:tab/>
        <w:t>С учетом тех трудностей, с которыми столкнулся ряд Сторон при осущест</w:t>
      </w:r>
      <w:r w:rsidRPr="00E71C11">
        <w:t>в</w:t>
      </w:r>
      <w:r w:rsidRPr="00E71C11">
        <w:t>лении Протокола, Комитет по вопросам соблюдения Протокола постановил ра</w:t>
      </w:r>
      <w:r w:rsidRPr="00E71C11">
        <w:t>с</w:t>
      </w:r>
      <w:r w:rsidRPr="00E71C11">
        <w:t>ширить свои функции содействия и поддержки и принял решение о начале ко</w:t>
      </w:r>
      <w:r w:rsidRPr="00E71C11">
        <w:t>н</w:t>
      </w:r>
      <w:r w:rsidRPr="00E71C11">
        <w:t>сультаций с рядом Сторон. Основная цель консультаций заключается в оказании содействия и поддержки процессу осуществления, а не в определении или об</w:t>
      </w:r>
      <w:r w:rsidRPr="00E71C11">
        <w:t>ъ</w:t>
      </w:r>
      <w:r w:rsidRPr="00E71C11">
        <w:t>явлении того, что какая-то из Сторон не соблюдает Протокол. В 2015 году было положено начало первому раунду консультаций с Албанией и Азербайджаном с участием в качестве наблюдателя Боснии и Герцеговины.</w:t>
      </w:r>
    </w:p>
    <w:p w:rsidR="00477FA9" w:rsidRPr="00477FA9" w:rsidRDefault="00477FA9" w:rsidP="00477FA9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477FA9" w:rsidP="00477FA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Извлеченные уроки/области, нуждающиеся в усовершенствовании</w:t>
      </w:r>
    </w:p>
    <w:p w:rsidR="00477FA9" w:rsidRPr="00477FA9" w:rsidRDefault="00477FA9" w:rsidP="00477FA9">
      <w:pPr>
        <w:pStyle w:val="SingleTxt"/>
        <w:spacing w:after="0" w:line="120" w:lineRule="exact"/>
        <w:rPr>
          <w:sz w:val="10"/>
        </w:rPr>
      </w:pPr>
    </w:p>
    <w:p w:rsidR="00E71C11" w:rsidRPr="00E71C11" w:rsidRDefault="00E71C11" w:rsidP="009A412A">
      <w:pPr>
        <w:pStyle w:val="SingleTxt"/>
      </w:pPr>
      <w:r w:rsidRPr="00E71C11">
        <w:t>49.</w:t>
      </w:r>
      <w:r w:rsidRPr="00E71C11">
        <w:tab/>
        <w:t>Для претворения в жизнь обширной Повестки дня в области устойчивого развития на 2030 год государствам-членам необходимо будет как можно больше опираться на существующие механизмы. Как ожидается, Конвенция по водам и Протокол по проблемам воды и здоровья послужат значительным подспорьем для стран в деле достижения не только ЦУР по воде и санитарным услугам, но и многих связанных с водой целевых показателей в рамках других ЦУР. Будущая деятельность по линии этих двух документов будет во многом определяться н</w:t>
      </w:r>
      <w:r w:rsidRPr="00E71C11">
        <w:t>о</w:t>
      </w:r>
      <w:r w:rsidRPr="00E71C11">
        <w:t>вой Повесткой дня.</w:t>
      </w:r>
    </w:p>
    <w:p w:rsidR="00E71C11" w:rsidRPr="00E71C11" w:rsidRDefault="00E71C11" w:rsidP="00E71C11">
      <w:pPr>
        <w:pStyle w:val="SingleTxt"/>
      </w:pPr>
      <w:r w:rsidRPr="00E71C11">
        <w:t>50.</w:t>
      </w:r>
      <w:r w:rsidRPr="00E71C11">
        <w:tab/>
        <w:t>Применение и осуществление Конвенции по водам на глобальном уровне является приоритетной задачей в рамках развития трансграничного сотруднич</w:t>
      </w:r>
      <w:r w:rsidRPr="00E71C11">
        <w:t>е</w:t>
      </w:r>
      <w:r w:rsidRPr="00E71C11">
        <w:t>ства во всем мире. Открытие доступа к Конвенции для стран за пределами рег</w:t>
      </w:r>
      <w:r w:rsidRPr="00E71C11">
        <w:t>и</w:t>
      </w:r>
      <w:r w:rsidRPr="00E71C11">
        <w:t>она ЕЭК создаст новые возможности, а также новые вызовы и потребности в р</w:t>
      </w:r>
      <w:r w:rsidRPr="00E71C11">
        <w:t>е</w:t>
      </w:r>
      <w:r w:rsidRPr="00E71C11">
        <w:t xml:space="preserve">сурсах и партнерстве. В других регионах необходимо будет проводить работу по повышению информированности, наращиванию потенциала и деятельности на местах, начало которой уже положено. </w:t>
      </w:r>
      <w:proofErr w:type="gramStart"/>
      <w:r w:rsidRPr="00E71C11">
        <w:t>Для повышения эффективности деятел</w:t>
      </w:r>
      <w:r w:rsidRPr="00E71C11">
        <w:t>ь</w:t>
      </w:r>
      <w:r w:rsidRPr="00E71C11">
        <w:t>ности в этих новых условиях Совещание Сторон примет на своей седьмой сессии решение о создании рамочной основы для осуществления</w:t>
      </w:r>
      <w:proofErr w:type="gramEnd"/>
      <w:r w:rsidRPr="00E71C11">
        <w:t xml:space="preserve"> Конвенции на гл</w:t>
      </w:r>
      <w:r w:rsidRPr="00E71C11">
        <w:t>о</w:t>
      </w:r>
      <w:r w:rsidRPr="00E71C11">
        <w:t>бальном уровне.</w:t>
      </w:r>
    </w:p>
    <w:p w:rsidR="00477FA9" w:rsidRPr="00477FA9" w:rsidRDefault="00477FA9" w:rsidP="00477FA9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477FA9" w:rsidP="00477FA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Показатели достижения результатов</w:t>
      </w:r>
    </w:p>
    <w:p w:rsidR="00477FA9" w:rsidRPr="00477FA9" w:rsidRDefault="00477FA9" w:rsidP="00477FA9">
      <w:pPr>
        <w:pStyle w:val="SingleTxt"/>
        <w:spacing w:after="0" w:line="120" w:lineRule="exact"/>
        <w:rPr>
          <w:sz w:val="10"/>
        </w:rPr>
      </w:pPr>
    </w:p>
    <w:p w:rsidR="00E71C11" w:rsidRPr="00E71C11" w:rsidRDefault="00E71C11" w:rsidP="00E71C11">
      <w:pPr>
        <w:pStyle w:val="SingleTxt"/>
      </w:pPr>
      <w:r w:rsidRPr="00E71C11">
        <w:t>Увеличение числа стран, сообщающих о прогрессе в деле осуществления Ко</w:t>
      </w:r>
      <w:r w:rsidRPr="00E71C11">
        <w:t>н</w:t>
      </w:r>
      <w:r w:rsidRPr="00E71C11">
        <w:t>венции и Протокола по проблемам воды и здоровья посредством:</w:t>
      </w:r>
    </w:p>
    <w:p w:rsidR="00E71C11" w:rsidRPr="00E71C11" w:rsidRDefault="00E71C11" w:rsidP="00E71C11">
      <w:pPr>
        <w:pStyle w:val="SingleTxt"/>
      </w:pPr>
      <w:r w:rsidRPr="00E71C11">
        <w:tab/>
        <w:t>a)</w:t>
      </w:r>
      <w:r w:rsidRPr="00E71C11">
        <w:tab/>
      </w:r>
      <w:r w:rsidRPr="00E71C11">
        <w:rPr>
          <w:bCs/>
        </w:rPr>
        <w:t>интенсивной деятельности по наращиванию потенциала в странах, не являющихся Сторонами Конвенции по водам (среднее количество человеко-дней на одну страну, не являющуюся Стороной)</w:t>
      </w:r>
      <w:r w:rsidR="009A412A">
        <w:rPr>
          <w:bCs/>
        </w:rPr>
        <w:t>;</w:t>
      </w:r>
    </w:p>
    <w:p w:rsidR="00E71C11" w:rsidRPr="00E71C11" w:rsidRDefault="00E71C11" w:rsidP="00E71C11">
      <w:pPr>
        <w:pStyle w:val="SingleTxt"/>
      </w:pPr>
      <w:r w:rsidRPr="00E71C11">
        <w:tab/>
        <w:t>b)</w:t>
      </w:r>
      <w:r w:rsidRPr="00E71C11">
        <w:tab/>
      </w:r>
      <w:r w:rsidRPr="00E71C11">
        <w:rPr>
          <w:bCs/>
        </w:rPr>
        <w:t>интенсивной деятельности по наращиванию потенциала в странах, не являющихся Сторонами Протокола по проблемам воды и здоровья (среднее кол</w:t>
      </w:r>
      <w:r w:rsidRPr="00E71C11">
        <w:rPr>
          <w:bCs/>
        </w:rPr>
        <w:t>и</w:t>
      </w:r>
      <w:r w:rsidRPr="00E71C11">
        <w:rPr>
          <w:bCs/>
        </w:rPr>
        <w:t>чество человеко-дней на одну страну, не являющуюся Стороной);</w:t>
      </w:r>
    </w:p>
    <w:p w:rsidR="00E71C11" w:rsidRPr="00E71C11" w:rsidRDefault="00E71C11" w:rsidP="00E71C11">
      <w:pPr>
        <w:pStyle w:val="SingleTxt"/>
      </w:pPr>
      <w:r w:rsidRPr="00E71C11">
        <w:tab/>
        <w:t>с)</w:t>
      </w:r>
      <w:r w:rsidRPr="00E71C11">
        <w:tab/>
        <w:t>увеличения числа ратификаций Протокола по проблемам воды и зд</w:t>
      </w:r>
      <w:r w:rsidRPr="00E71C11">
        <w:t>о</w:t>
      </w:r>
      <w:r w:rsidRPr="00E71C11">
        <w:t>ровья;</w:t>
      </w:r>
    </w:p>
    <w:p w:rsidR="00E71C11" w:rsidRPr="00E71C11" w:rsidRDefault="00E71C11" w:rsidP="00477FA9">
      <w:pPr>
        <w:pStyle w:val="SingleTxt"/>
      </w:pPr>
      <w:r w:rsidRPr="00E71C11">
        <w:tab/>
        <w:t>d)</w:t>
      </w:r>
      <w:r w:rsidRPr="00E71C11">
        <w:tab/>
        <w:t>увеличения числа присоединений к Конвенции по водам государств</w:t>
      </w:r>
      <w:r w:rsidRPr="00E71C11">
        <w:t>а</w:t>
      </w:r>
      <w:r w:rsidRPr="00E71C11">
        <w:t xml:space="preserve">ми – </w:t>
      </w:r>
      <w:proofErr w:type="spellStart"/>
      <w:r w:rsidRPr="00E71C11">
        <w:t>нечленами</w:t>
      </w:r>
      <w:proofErr w:type="spellEnd"/>
      <w:r w:rsidRPr="00E71C11">
        <w:t xml:space="preserve"> ЕЭК</w:t>
      </w:r>
      <w:r w:rsidR="00477FA9" w:rsidRPr="00C15633">
        <w:rPr>
          <w:rStyle w:val="FootnoteReference"/>
        </w:rPr>
        <w:footnoteReference w:id="9"/>
      </w:r>
      <w:r w:rsidR="00477FA9">
        <w:t>.</w:t>
      </w:r>
    </w:p>
    <w:p w:rsidR="00477FA9" w:rsidRPr="00477FA9" w:rsidRDefault="00477FA9" w:rsidP="00477FA9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477FA9" w:rsidP="00477FA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Показатели результативности</w:t>
      </w:r>
    </w:p>
    <w:p w:rsidR="00477FA9" w:rsidRPr="00477FA9" w:rsidRDefault="00477FA9" w:rsidP="00477FA9">
      <w:pPr>
        <w:pStyle w:val="SingleTxt"/>
        <w:spacing w:after="0" w:line="120" w:lineRule="exact"/>
        <w:rPr>
          <w:sz w:val="10"/>
        </w:rPr>
      </w:pPr>
    </w:p>
    <w:p w:rsidR="00E71C11" w:rsidRPr="00E71C11" w:rsidRDefault="000F48D4" w:rsidP="00E71C11">
      <w:pPr>
        <w:pStyle w:val="SingleTxt"/>
      </w:pPr>
      <w:r>
        <w:t xml:space="preserve">2010–2011 годы: </w:t>
      </w:r>
      <w:r w:rsidR="00E71C11" w:rsidRPr="00E71C11">
        <w:t>a) 50; b) 20; с) 25; d) неприменимо</w:t>
      </w:r>
    </w:p>
    <w:p w:rsidR="00E71C11" w:rsidRPr="00E71C11" w:rsidRDefault="000F48D4" w:rsidP="00E71C11">
      <w:pPr>
        <w:pStyle w:val="SingleTxt"/>
      </w:pPr>
      <w:r>
        <w:t xml:space="preserve">2012–2013 годы: </w:t>
      </w:r>
      <w:r w:rsidR="00E71C11" w:rsidRPr="00E71C11">
        <w:t>a) 66; b) 25; с) 26; d) неприменимо</w:t>
      </w:r>
    </w:p>
    <w:p w:rsidR="00E71C11" w:rsidRPr="00E71C11" w:rsidRDefault="00E71C11" w:rsidP="00E71C11">
      <w:pPr>
        <w:pStyle w:val="SingleTxt"/>
      </w:pPr>
      <w:r w:rsidRPr="00E71C11">
        <w:t>Целево</w:t>
      </w:r>
      <w:r w:rsidR="000F48D4">
        <w:t xml:space="preserve">й показатель на 2014–2015 годы: </w:t>
      </w:r>
      <w:r w:rsidRPr="00E71C11">
        <w:t>a) 55; b) 25; с) 27; d) 2</w:t>
      </w:r>
    </w:p>
    <w:p w:rsidR="00E71C11" w:rsidRPr="00E71C11" w:rsidRDefault="00E71C11" w:rsidP="00477FA9">
      <w:pPr>
        <w:pStyle w:val="SingleTxt"/>
      </w:pPr>
      <w:r w:rsidRPr="00E71C11">
        <w:t>Фактический показатель на 2014–2015 годы (по со</w:t>
      </w:r>
      <w:r w:rsidR="00477FA9">
        <w:t xml:space="preserve">стоянию на 31 июля 2015 года): </w:t>
      </w:r>
      <w:r w:rsidRPr="00E71C11">
        <w:t>a) 55; b) 44; с) 26</w:t>
      </w:r>
      <w:r w:rsidR="009A412A">
        <w:t>;</w:t>
      </w:r>
      <w:r w:rsidRPr="00E71C11">
        <w:t xml:space="preserve"> d) 0</w:t>
      </w:r>
      <w:r w:rsidR="00477FA9" w:rsidRPr="00C15633">
        <w:rPr>
          <w:rStyle w:val="FootnoteReference"/>
        </w:rPr>
        <w:footnoteReference w:id="10"/>
      </w:r>
      <w:r w:rsidRPr="00E71C11">
        <w:t xml:space="preserve"> </w:t>
      </w:r>
    </w:p>
    <w:p w:rsidR="00477FA9" w:rsidRPr="00477FA9" w:rsidRDefault="00477FA9" w:rsidP="00477FA9">
      <w:pPr>
        <w:pStyle w:val="SingleTxt"/>
        <w:spacing w:after="0" w:line="120" w:lineRule="exact"/>
        <w:rPr>
          <w:b/>
          <w:sz w:val="10"/>
        </w:rPr>
      </w:pPr>
    </w:p>
    <w:p w:rsidR="00477FA9" w:rsidRPr="00477FA9" w:rsidRDefault="00477FA9" w:rsidP="00477FA9">
      <w:pPr>
        <w:pStyle w:val="SingleTxt"/>
        <w:spacing w:after="0" w:line="120" w:lineRule="exact"/>
        <w:rPr>
          <w:b/>
          <w:sz w:val="10"/>
        </w:rPr>
      </w:pPr>
    </w:p>
    <w:p w:rsidR="00E71C11" w:rsidRPr="00E71C11" w:rsidRDefault="00477FA9" w:rsidP="00477FA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Тематический блок 9</w:t>
      </w:r>
      <w:r w:rsidR="00E71C11" w:rsidRPr="00E71C11">
        <w:br/>
        <w:t>Конвенция о трансграничном воздействии промышленных аварий</w:t>
      </w:r>
    </w:p>
    <w:p w:rsidR="00477FA9" w:rsidRPr="00477FA9" w:rsidRDefault="00477FA9" w:rsidP="00477FA9">
      <w:pPr>
        <w:pStyle w:val="SingleTxt"/>
        <w:spacing w:after="0" w:line="120" w:lineRule="exact"/>
        <w:rPr>
          <w:i/>
          <w:sz w:val="10"/>
        </w:rPr>
      </w:pPr>
    </w:p>
    <w:p w:rsidR="00477FA9" w:rsidRPr="00477FA9" w:rsidRDefault="00477FA9" w:rsidP="00477FA9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477FA9" w:rsidP="00477FA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Ожидаемые достижения</w:t>
      </w:r>
    </w:p>
    <w:p w:rsidR="00477FA9" w:rsidRPr="00477FA9" w:rsidRDefault="00477FA9" w:rsidP="00477FA9">
      <w:pPr>
        <w:pStyle w:val="SingleTxt"/>
        <w:spacing w:after="0" w:line="120" w:lineRule="exact"/>
        <w:rPr>
          <w:sz w:val="10"/>
        </w:rPr>
      </w:pPr>
    </w:p>
    <w:p w:rsidR="00E71C11" w:rsidRPr="00E71C11" w:rsidRDefault="00E71C11" w:rsidP="00E71C11">
      <w:pPr>
        <w:pStyle w:val="SingleTxt"/>
      </w:pPr>
      <w:r w:rsidRPr="00E71C11">
        <w:t>Активизация осуществления Конвенции о трансграничном воздействии промы</w:t>
      </w:r>
      <w:r w:rsidRPr="00E71C11">
        <w:t>ш</w:t>
      </w:r>
      <w:r w:rsidRPr="00E71C11">
        <w:t>ленных аварий (Конвенция о промышленных авариях)</w:t>
      </w:r>
    </w:p>
    <w:p w:rsidR="00477FA9" w:rsidRPr="00477FA9" w:rsidRDefault="00477FA9" w:rsidP="00477FA9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477FA9" w:rsidP="00477FA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Отчет о достижениях/полученных результатах</w:t>
      </w:r>
    </w:p>
    <w:p w:rsidR="00477FA9" w:rsidRPr="00477FA9" w:rsidRDefault="00477FA9" w:rsidP="00477FA9">
      <w:pPr>
        <w:pStyle w:val="SingleTxt"/>
        <w:spacing w:after="0" w:line="120" w:lineRule="exact"/>
        <w:rPr>
          <w:sz w:val="10"/>
        </w:rPr>
      </w:pPr>
    </w:p>
    <w:p w:rsidR="00E71C11" w:rsidRPr="00E71C11" w:rsidRDefault="00E71C11" w:rsidP="00E71C11">
      <w:pPr>
        <w:pStyle w:val="SingleTxt"/>
      </w:pPr>
      <w:r w:rsidRPr="00E71C11">
        <w:t>51.</w:t>
      </w:r>
      <w:r w:rsidRPr="00E71C11">
        <w:tab/>
        <w:t>В декабре 2014 года по случаю проведения восьмого совещания Конфере</w:t>
      </w:r>
      <w:r w:rsidRPr="00E71C11">
        <w:t>н</w:t>
      </w:r>
      <w:r w:rsidRPr="00E71C11">
        <w:t xml:space="preserve">ции Сторон 41 Сторона Конвенции о промышленных авариях внесла поправки </w:t>
      </w:r>
      <w:proofErr w:type="gramStart"/>
      <w:r w:rsidRPr="00E71C11">
        <w:t>в договор в целях приведения его в соответствие с Согласованной на глобальном уровне</w:t>
      </w:r>
      <w:proofErr w:type="gramEnd"/>
      <w:r w:rsidRPr="00E71C11">
        <w:t xml:space="preserve"> системой классификации и маркировки химических продуктов (СГС). </w:t>
      </w:r>
      <w:r w:rsidR="009A412A">
        <w:br/>
      </w:r>
      <w:r w:rsidRPr="00E71C11">
        <w:t>На основании поправки был расширен круг категорий и перечень опасных в</w:t>
      </w:r>
      <w:r w:rsidRPr="00E71C11">
        <w:t>е</w:t>
      </w:r>
      <w:r w:rsidRPr="00E71C11">
        <w:t>ществ, охватываемых Конвенцией. Стороны также договорились согласовать д</w:t>
      </w:r>
      <w:r w:rsidRPr="00E71C11">
        <w:t>о</w:t>
      </w:r>
      <w:r w:rsidRPr="00E71C11">
        <w:t>полнительные поправки, в частности по вопросу об укреплении участия общ</w:t>
      </w:r>
      <w:r w:rsidRPr="00E71C11">
        <w:t>е</w:t>
      </w:r>
      <w:r w:rsidRPr="00E71C11">
        <w:t>ственности, и разработать руководство, в том числе по планированию землепол</w:t>
      </w:r>
      <w:r w:rsidRPr="00E71C11">
        <w:t>ь</w:t>
      </w:r>
      <w:r w:rsidRPr="00E71C11">
        <w:t>зования и размещению опасных объектов.</w:t>
      </w:r>
    </w:p>
    <w:p w:rsidR="00E71C11" w:rsidRPr="00E71C11" w:rsidRDefault="00E71C11" w:rsidP="009A412A">
      <w:pPr>
        <w:pStyle w:val="SingleTxt"/>
      </w:pPr>
      <w:r w:rsidRPr="00E71C11">
        <w:t>52.</w:t>
      </w:r>
      <w:r w:rsidRPr="00E71C11">
        <w:tab/>
        <w:t xml:space="preserve">Кроме того, Стороны Конвенции вновь рассмотрели вопрос об открытии Конвенции для присоединения государств-членов за пределами региона ЕЭК. </w:t>
      </w:r>
      <w:proofErr w:type="gramStart"/>
      <w:r w:rsidRPr="00E71C11">
        <w:t xml:space="preserve">Вместе с тем, приняв </w:t>
      </w:r>
      <w:proofErr w:type="spellStart"/>
      <w:r w:rsidRPr="00E71C11">
        <w:t>Сендайскую</w:t>
      </w:r>
      <w:proofErr w:type="spellEnd"/>
      <w:r w:rsidRPr="00E71C11">
        <w:t xml:space="preserve"> рамочную программу уменьшения опасности бедствий на 2015–2030 годы, государства</w:t>
      </w:r>
      <w:r w:rsidR="009A412A">
        <w:t xml:space="preserve"> – </w:t>
      </w:r>
      <w:r w:rsidRPr="00E71C11">
        <w:t>члены Организации Объединенных Наций договорились добиваться снижения угрозы известных рисков бедствий путем осуществления технологических и институциональных мер, предотвр</w:t>
      </w:r>
      <w:r w:rsidRPr="00E71C11">
        <w:t>а</w:t>
      </w:r>
      <w:r w:rsidRPr="00E71C11">
        <w:t>щающих и снижающих подверженность воздействию опасных факторов и уязв</w:t>
      </w:r>
      <w:r w:rsidRPr="00E71C11">
        <w:t>и</w:t>
      </w:r>
      <w:r w:rsidRPr="00E71C11">
        <w:t>мость к бедствиям, повышающих готовность к реагированию и восстановлению и тем самым укрепляющих потенциал противодействия.</w:t>
      </w:r>
      <w:proofErr w:type="gramEnd"/>
    </w:p>
    <w:p w:rsidR="00E71C11" w:rsidRPr="00E71C11" w:rsidRDefault="00E71C11" w:rsidP="00E71C11">
      <w:pPr>
        <w:pStyle w:val="SingleTxt"/>
      </w:pPr>
      <w:r w:rsidRPr="00E71C11">
        <w:t>53.</w:t>
      </w:r>
      <w:r w:rsidRPr="00E71C11">
        <w:tab/>
        <w:t>В рамках Программы оказания помощи по линии Конвенции, которой в 2004 году исполнилось 10 лет, в Азербайджане, Албании, Боснии и Герцеговине и Черногории были реализованы проекты, направленные на оказание соде</w:t>
      </w:r>
      <w:r w:rsidR="009A412A">
        <w:t>йствия</w:t>
      </w:r>
      <w:r w:rsidRPr="00E71C11">
        <w:t xml:space="preserve"> этим странам в разработке целевых показателей и критериев для оценки пр</w:t>
      </w:r>
      <w:r w:rsidRPr="00E71C11">
        <w:t>о</w:t>
      </w:r>
      <w:r w:rsidRPr="00E71C11">
        <w:t>гресса в деле обеспечения промышленной безопасности. В бывшей югославской Республике Македония было организовано мероприятие по подготовке и оценке докладов о мерах безопасности. Туркменистан принял плодотворное участие в организованном совместно с Конвенцией по водам мероприятии по наращив</w:t>
      </w:r>
      <w:r w:rsidRPr="00E71C11">
        <w:t>а</w:t>
      </w:r>
      <w:r w:rsidRPr="00E71C11">
        <w:t>нию потенциала. В Казахстане было проведено субрегиональное рабочее сов</w:t>
      </w:r>
      <w:r w:rsidRPr="00E71C11">
        <w:t>е</w:t>
      </w:r>
      <w:r w:rsidRPr="00E71C11">
        <w:t>щание для стран Центральной Азии, цель которого заключалась в наращивании потенциала в области применения измененного приложения I к Конвенции и р</w:t>
      </w:r>
      <w:r w:rsidRPr="00E71C11">
        <w:t>е</w:t>
      </w:r>
      <w:r w:rsidRPr="00E71C11">
        <w:t xml:space="preserve">шения проблемы аварийного загрязнения вод. В течение двухгодичного периода основные силы были брошены на отработку реагирования на аварии и кризисные ситуации в дельте Дуная с целью укрепления </w:t>
      </w:r>
      <w:r w:rsidR="00696862" w:rsidRPr="00E71C11">
        <w:t>сотрудничества</w:t>
      </w:r>
      <w:r w:rsidRPr="00E71C11">
        <w:t xml:space="preserve"> между Республикой Молдова, Румынией и Украиной в вопросах обеспечения готовности к возмо</w:t>
      </w:r>
      <w:r w:rsidRPr="00E71C11">
        <w:t>ж</w:t>
      </w:r>
      <w:r w:rsidRPr="00E71C11">
        <w:t>ным разливам нефти и реагирования на них.</w:t>
      </w:r>
    </w:p>
    <w:p w:rsidR="00E71C11" w:rsidRPr="00E71C11" w:rsidRDefault="00E71C11" w:rsidP="000F48D4">
      <w:pPr>
        <w:pStyle w:val="SingleTxt"/>
      </w:pPr>
      <w:r w:rsidRPr="00E71C11">
        <w:t>54.</w:t>
      </w:r>
      <w:r w:rsidRPr="00E71C11">
        <w:tab/>
      </w:r>
      <w:proofErr w:type="gramStart"/>
      <w:r w:rsidRPr="00E71C11">
        <w:t>В целях содействия при</w:t>
      </w:r>
      <w:r w:rsidR="009A412A">
        <w:t xml:space="preserve">менению Конвенции государствами – </w:t>
      </w:r>
      <w:r w:rsidRPr="00E71C11">
        <w:t>членами ЕЭК были подготовлены и изданы многочисленные публикации и руководящие мат</w:t>
      </w:r>
      <w:r w:rsidRPr="00E71C11">
        <w:t>е</w:t>
      </w:r>
      <w:r w:rsidRPr="00E71C11">
        <w:t>риалы: a) Руководящие принципы безопасности и надлежащая практика ее обе</w:t>
      </w:r>
      <w:r w:rsidRPr="00E71C11">
        <w:t>с</w:t>
      </w:r>
      <w:r w:rsidRPr="00E71C11">
        <w:t xml:space="preserve">печения для </w:t>
      </w:r>
      <w:proofErr w:type="spellStart"/>
      <w:r w:rsidRPr="00E71C11">
        <w:t>хвостохранилищ</w:t>
      </w:r>
      <w:proofErr w:type="spellEnd"/>
      <w:r w:rsidRPr="00E71C11">
        <w:t>; b) Ориентиры для осуществления Конвенции (удобная для пользователей версия) (совм</w:t>
      </w:r>
      <w:r w:rsidR="000F48D4">
        <w:t>естно с Экологической сетью «</w:t>
      </w:r>
      <w:r w:rsidRPr="00E71C11">
        <w:t>Зои</w:t>
      </w:r>
      <w:r w:rsidR="000F48D4">
        <w:t xml:space="preserve">»); с)  </w:t>
      </w:r>
      <w:r w:rsidRPr="00E71C11">
        <w:t>Руководство по мерам безопасности и общепринятой практике для нефтяных терминалов;</w:t>
      </w:r>
      <w:proofErr w:type="gramEnd"/>
      <w:r w:rsidRPr="00E71C11">
        <w:t xml:space="preserve"> d) Контрольный перечень для планирования действий в чрезвыча</w:t>
      </w:r>
      <w:r w:rsidRPr="00E71C11">
        <w:t>й</w:t>
      </w:r>
      <w:r w:rsidRPr="00E71C11">
        <w:t>ных ситуациях в трансграничном водах; и e) Обзор методологий оценки степени опасности промышленных объектов (совместно с Объединенным исследовател</w:t>
      </w:r>
      <w:r w:rsidRPr="00E71C11">
        <w:t>ь</w:t>
      </w:r>
      <w:r w:rsidRPr="00E71C11">
        <w:t>ским центром ЕС). Кроме того, для повышения уровня осведомленности о Ко</w:t>
      </w:r>
      <w:r w:rsidRPr="00E71C11">
        <w:t>н</w:t>
      </w:r>
      <w:r w:rsidRPr="00E71C11">
        <w:t>венц</w:t>
      </w:r>
      <w:proofErr w:type="gramStart"/>
      <w:r w:rsidRPr="00E71C11">
        <w:t>ии и ее</w:t>
      </w:r>
      <w:proofErr w:type="gramEnd"/>
      <w:r w:rsidRPr="00E71C11">
        <w:t xml:space="preserve"> применении была издана книга комиксов.</w:t>
      </w:r>
    </w:p>
    <w:p w:rsidR="00477FA9" w:rsidRPr="00477FA9" w:rsidRDefault="00477FA9" w:rsidP="00477FA9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477FA9" w:rsidP="00477FA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Извлеченные уроки/области, нуждающиеся в усовершенствовании</w:t>
      </w:r>
    </w:p>
    <w:p w:rsidR="00477FA9" w:rsidRPr="00477FA9" w:rsidRDefault="00477FA9" w:rsidP="00477FA9">
      <w:pPr>
        <w:pStyle w:val="SingleTxt"/>
        <w:spacing w:after="0" w:line="120" w:lineRule="exact"/>
        <w:rPr>
          <w:sz w:val="10"/>
        </w:rPr>
      </w:pPr>
    </w:p>
    <w:p w:rsidR="00E71C11" w:rsidRPr="00E71C11" w:rsidRDefault="00E71C11" w:rsidP="00E71C11">
      <w:pPr>
        <w:pStyle w:val="SingleTxt"/>
      </w:pPr>
      <w:r w:rsidRPr="00E71C11">
        <w:t>55.</w:t>
      </w:r>
      <w:r w:rsidRPr="00E71C11">
        <w:tab/>
        <w:t>Несмотря на проведенную деятельность по наращиванию потенциала, стр</w:t>
      </w:r>
      <w:r w:rsidRPr="00E71C11">
        <w:t>а</w:t>
      </w:r>
      <w:r w:rsidRPr="00E71C11">
        <w:t>ны-бенефициары до сих пор испытывают определенные трудности при ос</w:t>
      </w:r>
      <w:r w:rsidRPr="00E71C11">
        <w:t>у</w:t>
      </w:r>
      <w:r w:rsidRPr="00E71C11">
        <w:t>ществлении Конвенции на основе межсекторального подхода и при применении ее инструментов, в частности в том, что касается Стратегического подхода в ра</w:t>
      </w:r>
      <w:r w:rsidRPr="00E71C11">
        <w:t>м</w:t>
      </w:r>
      <w:r w:rsidRPr="00E71C11">
        <w:t>ках Программы оказания помощи по линии Конвенции.</w:t>
      </w:r>
    </w:p>
    <w:p w:rsidR="00E71C11" w:rsidRPr="00E71C11" w:rsidRDefault="00E71C11" w:rsidP="00E71C11">
      <w:pPr>
        <w:pStyle w:val="SingleTxt"/>
      </w:pPr>
      <w:r w:rsidRPr="00E71C11">
        <w:t>56.</w:t>
      </w:r>
      <w:r w:rsidRPr="00E71C11">
        <w:tab/>
        <w:t>Благодаря работе на партнерских началах с другими международными о</w:t>
      </w:r>
      <w:r w:rsidRPr="00E71C11">
        <w:t>р</w:t>
      </w:r>
      <w:r w:rsidRPr="00E71C11">
        <w:t>ганизациями наметились возможности для синергизма, которые, среди прочего, сложились в рамках ежегодных совещаний по вопросам межведомственного с</w:t>
      </w:r>
      <w:r w:rsidRPr="00E71C11">
        <w:t>о</w:t>
      </w:r>
      <w:r w:rsidRPr="00E71C11">
        <w:t>трудничества в области предупреждения промышленных аварий. Так, например, была издана совместная публикация, подготовленная вместе с Объединенным исследовательским центром ЕС. Организация по запрещению химического ор</w:t>
      </w:r>
      <w:r w:rsidRPr="00E71C11">
        <w:t>у</w:t>
      </w:r>
      <w:r w:rsidRPr="00E71C11">
        <w:t>жия выступила одним из партнеров в ходе проведения первоначального мер</w:t>
      </w:r>
      <w:r w:rsidRPr="00E71C11">
        <w:t>о</w:t>
      </w:r>
      <w:r w:rsidRPr="00E71C11">
        <w:t>приятия по наращиванию потенциала в области применения приложения I. Кр</w:t>
      </w:r>
      <w:r w:rsidRPr="00E71C11">
        <w:t>о</w:t>
      </w:r>
      <w:r w:rsidRPr="00E71C11">
        <w:t>ме того, проводилась активная деятельность по налаживанию партнерских отн</w:t>
      </w:r>
      <w:r w:rsidRPr="00E71C11">
        <w:t>о</w:t>
      </w:r>
      <w:r w:rsidRPr="00E71C11">
        <w:t>шений с другими МПС и программами ЕЭК, в том числе с: a) Подкомитетом эк</w:t>
      </w:r>
      <w:r w:rsidRPr="00E71C11">
        <w:t>с</w:t>
      </w:r>
      <w:r w:rsidRPr="00E71C11">
        <w:t xml:space="preserve">пертов Организации Объединенных Наций по СГС для содействия наращиванию потенциала в области применения приложения I; b) </w:t>
      </w:r>
      <w:proofErr w:type="spellStart"/>
      <w:r w:rsidRPr="00E71C11">
        <w:t>Орхусской</w:t>
      </w:r>
      <w:proofErr w:type="spellEnd"/>
      <w:r w:rsidRPr="00E71C11">
        <w:t xml:space="preserve"> конвенцией в ко</w:t>
      </w:r>
      <w:r w:rsidRPr="00E71C11">
        <w:t>н</w:t>
      </w:r>
      <w:r w:rsidRPr="00E71C11">
        <w:t>тексте разработки поправок, направленных на укрепление участия общественн</w:t>
      </w:r>
      <w:r w:rsidRPr="00E71C11">
        <w:t>о</w:t>
      </w:r>
      <w:r w:rsidRPr="00E71C11">
        <w:t>сти; и с) Протоколом по СЭО и Комитетом ЕЭК по жилищному хозяйству и зе</w:t>
      </w:r>
      <w:r w:rsidRPr="00E71C11">
        <w:t>м</w:t>
      </w:r>
      <w:r w:rsidRPr="00E71C11">
        <w:t>лепользованию в связи с вопросами безопасности и планирования землепольз</w:t>
      </w:r>
      <w:r w:rsidRPr="00E71C11">
        <w:t>о</w:t>
      </w:r>
      <w:r w:rsidRPr="00E71C11">
        <w:t>вания. Сотрудничество с механизмами Конвенции по водам продолжалось в ра</w:t>
      </w:r>
      <w:r w:rsidRPr="00E71C11">
        <w:t>м</w:t>
      </w:r>
      <w:r w:rsidRPr="00E71C11">
        <w:t>ках деятельности Совместной группы экспертов по воде и промышленным ав</w:t>
      </w:r>
      <w:r w:rsidRPr="00E71C11">
        <w:t>а</w:t>
      </w:r>
      <w:r w:rsidRPr="00E71C11">
        <w:t>риям, связанной с ДНП в области КУВР.</w:t>
      </w:r>
    </w:p>
    <w:p w:rsidR="00477FA9" w:rsidRPr="00477FA9" w:rsidRDefault="00477FA9" w:rsidP="00477FA9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477FA9" w:rsidP="00477FA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Показатели достижения результатов</w:t>
      </w:r>
    </w:p>
    <w:p w:rsidR="00477FA9" w:rsidRPr="00477FA9" w:rsidRDefault="00477FA9" w:rsidP="00477FA9">
      <w:pPr>
        <w:pStyle w:val="SingleTxt"/>
        <w:spacing w:after="0" w:line="120" w:lineRule="exact"/>
        <w:rPr>
          <w:sz w:val="10"/>
        </w:rPr>
      </w:pPr>
    </w:p>
    <w:p w:rsidR="00E71C11" w:rsidRPr="00E71C11" w:rsidRDefault="00E71C11" w:rsidP="00E71C11">
      <w:pPr>
        <w:pStyle w:val="SingleTxt"/>
      </w:pPr>
      <w:r w:rsidRPr="00E71C11">
        <w:t>Увеличение числа стран, сообщающих о достижении прогресса в осуществлении Конвенции в пяти основных областях:</w:t>
      </w:r>
    </w:p>
    <w:p w:rsidR="00E71C11" w:rsidRPr="00E71C11" w:rsidRDefault="00E71C11" w:rsidP="00E71C11">
      <w:pPr>
        <w:pStyle w:val="SingleTxt"/>
        <w:rPr>
          <w:bCs/>
        </w:rPr>
      </w:pPr>
      <w:r w:rsidRPr="00E71C11">
        <w:tab/>
        <w:t>a)</w:t>
      </w:r>
      <w:r w:rsidRPr="00E71C11">
        <w:rPr>
          <w:bCs/>
        </w:rPr>
        <w:tab/>
        <w:t>интенсивная деятельность по наращиванию потенциала в странах, не являющихся Сторонами Конвенции о промышленных авариях (среднее колич</w:t>
      </w:r>
      <w:r w:rsidRPr="00E71C11">
        <w:rPr>
          <w:bCs/>
        </w:rPr>
        <w:t>е</w:t>
      </w:r>
      <w:r w:rsidRPr="00E71C11">
        <w:rPr>
          <w:bCs/>
        </w:rPr>
        <w:t>ство человеко-дней на одну страну, не являющуюся Стороной</w:t>
      </w:r>
      <w:r w:rsidRPr="00E71C11">
        <w:t>)</w:t>
      </w:r>
      <w:r w:rsidRPr="00E71C11">
        <w:rPr>
          <w:bCs/>
        </w:rPr>
        <w:t>;</w:t>
      </w:r>
    </w:p>
    <w:p w:rsidR="00E71C11" w:rsidRPr="00E71C11" w:rsidRDefault="00E71C11" w:rsidP="00E71C11">
      <w:pPr>
        <w:pStyle w:val="SingleTxt"/>
      </w:pPr>
      <w:r w:rsidRPr="00E71C11">
        <w:tab/>
        <w:t>b)</w:t>
      </w:r>
      <w:r w:rsidRPr="00E71C11">
        <w:rPr>
          <w:bCs/>
        </w:rPr>
        <w:tab/>
        <w:t>интенсивная деятельность по наращиванию потенциала в странах, я</w:t>
      </w:r>
      <w:r w:rsidRPr="00E71C11">
        <w:rPr>
          <w:bCs/>
        </w:rPr>
        <w:t>в</w:t>
      </w:r>
      <w:r w:rsidRPr="00E71C11">
        <w:rPr>
          <w:bCs/>
        </w:rPr>
        <w:t>ляющихся Сторонами Конвенции о промышленных авариях (среднее количество человеко-дней на одну страну, являющуюся Стороной</w:t>
      </w:r>
      <w:r w:rsidRPr="00E71C11">
        <w:t>)</w:t>
      </w:r>
      <w:r w:rsidRPr="00E71C11">
        <w:rPr>
          <w:bCs/>
        </w:rPr>
        <w:t>;</w:t>
      </w:r>
    </w:p>
    <w:p w:rsidR="00E71C11" w:rsidRPr="00E71C11" w:rsidRDefault="00E71C11" w:rsidP="00E71C11">
      <w:pPr>
        <w:pStyle w:val="SingleTxt"/>
      </w:pPr>
      <w:r w:rsidRPr="00E71C11">
        <w:tab/>
        <w:t>с)</w:t>
      </w:r>
      <w:r w:rsidRPr="00E71C11">
        <w:tab/>
        <w:t>выявление опасных видов деятельности в ходе учебных сессий;</w:t>
      </w:r>
    </w:p>
    <w:p w:rsidR="00E71C11" w:rsidRPr="00E71C11" w:rsidRDefault="00E71C11" w:rsidP="00E71C11">
      <w:pPr>
        <w:pStyle w:val="SingleTxt"/>
      </w:pPr>
      <w:r w:rsidRPr="00E71C11">
        <w:tab/>
        <w:t>d)</w:t>
      </w:r>
      <w:r w:rsidRPr="00E71C11">
        <w:tab/>
        <w:t>предотвращение аварий − применение и усиление мер по предотвр</w:t>
      </w:r>
      <w:r w:rsidRPr="00E71C11">
        <w:t>а</w:t>
      </w:r>
      <w:r w:rsidRPr="00E71C11">
        <w:t>щению аварий на объектах с опасными видами деятельности путем проведения занятий по наращиванию потенциала;</w:t>
      </w:r>
    </w:p>
    <w:p w:rsidR="00E71C11" w:rsidRPr="00E71C11" w:rsidRDefault="00E71C11" w:rsidP="00E71C11">
      <w:pPr>
        <w:pStyle w:val="SingleTxt"/>
      </w:pPr>
      <w:r w:rsidRPr="00E71C11">
        <w:tab/>
        <w:t>e)</w:t>
      </w:r>
      <w:r w:rsidRPr="00E71C11">
        <w:tab/>
        <w:t>уведомление о промышленных авариях с использованием Системы уведомления о промышленных авариях, опробованной в рамках учебных занятий</w:t>
      </w:r>
      <w:r w:rsidR="00B1426E">
        <w:t>.</w:t>
      </w:r>
    </w:p>
    <w:p w:rsidR="00477FA9" w:rsidRPr="00477FA9" w:rsidRDefault="00477FA9" w:rsidP="00477FA9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477FA9" w:rsidP="00477FA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Показатели результативности</w:t>
      </w:r>
    </w:p>
    <w:p w:rsidR="00477FA9" w:rsidRPr="00477FA9" w:rsidRDefault="00477FA9" w:rsidP="00477FA9">
      <w:pPr>
        <w:pStyle w:val="SingleTxt"/>
        <w:spacing w:after="0" w:line="120" w:lineRule="exact"/>
        <w:rPr>
          <w:sz w:val="10"/>
        </w:rPr>
      </w:pPr>
    </w:p>
    <w:p w:rsidR="00E71C11" w:rsidRPr="00915B66" w:rsidRDefault="00E71C11" w:rsidP="00E71C11">
      <w:pPr>
        <w:pStyle w:val="SingleTxt"/>
      </w:pPr>
      <w:r w:rsidRPr="00915B66">
        <w:t>2010–2011</w:t>
      </w:r>
      <w:r w:rsidR="000F48D4" w:rsidRPr="00915B66">
        <w:t xml:space="preserve"> </w:t>
      </w:r>
      <w:r w:rsidR="000F48D4">
        <w:t>годы</w:t>
      </w:r>
      <w:r w:rsidR="000F48D4" w:rsidRPr="00915B66">
        <w:t xml:space="preserve">: </w:t>
      </w:r>
      <w:r w:rsidRPr="000F48D4">
        <w:rPr>
          <w:lang w:val="es-ES"/>
        </w:rPr>
        <w:t>a</w:t>
      </w:r>
      <w:r w:rsidRPr="00915B66">
        <w:t xml:space="preserve">) 31; </w:t>
      </w:r>
      <w:r w:rsidRPr="000F48D4">
        <w:rPr>
          <w:lang w:val="es-ES"/>
        </w:rPr>
        <w:t>b</w:t>
      </w:r>
      <w:r w:rsidRPr="00915B66">
        <w:t xml:space="preserve">) 23; </w:t>
      </w:r>
      <w:r w:rsidRPr="00E71C11">
        <w:t>с</w:t>
      </w:r>
      <w:r w:rsidRPr="00915B66">
        <w:t xml:space="preserve">) 40; </w:t>
      </w:r>
      <w:r w:rsidRPr="000F48D4">
        <w:rPr>
          <w:lang w:val="es-ES"/>
        </w:rPr>
        <w:t>d</w:t>
      </w:r>
      <w:r w:rsidRPr="00915B66">
        <w:t xml:space="preserve">) 40; </w:t>
      </w:r>
      <w:r w:rsidRPr="000F48D4">
        <w:rPr>
          <w:lang w:val="es-ES"/>
        </w:rPr>
        <w:t>e</w:t>
      </w:r>
      <w:r w:rsidRPr="00915B66">
        <w:t>)</w:t>
      </w:r>
      <w:r w:rsidRPr="000F48D4">
        <w:rPr>
          <w:lang w:val="es-ES"/>
        </w:rPr>
        <w:t> </w:t>
      </w:r>
      <w:r w:rsidRPr="00915B66">
        <w:t>40</w:t>
      </w:r>
    </w:p>
    <w:p w:rsidR="00E71C11" w:rsidRPr="00915B66" w:rsidRDefault="00E71C11" w:rsidP="000F48D4">
      <w:pPr>
        <w:pStyle w:val="SingleTxt"/>
      </w:pPr>
      <w:r w:rsidRPr="00915B66">
        <w:t xml:space="preserve">2012–2013 </w:t>
      </w:r>
      <w:r w:rsidRPr="00E71C11">
        <w:t>годы</w:t>
      </w:r>
      <w:r w:rsidRPr="00915B66">
        <w:t>:</w:t>
      </w:r>
      <w:r w:rsidR="000F48D4" w:rsidRPr="00915B66">
        <w:t xml:space="preserve"> </w:t>
      </w:r>
      <w:r w:rsidRPr="000F48D4">
        <w:rPr>
          <w:lang w:val="es-ES"/>
        </w:rPr>
        <w:t>a</w:t>
      </w:r>
      <w:r w:rsidRPr="00915B66">
        <w:t xml:space="preserve">) 26; </w:t>
      </w:r>
      <w:r w:rsidRPr="000F48D4">
        <w:rPr>
          <w:lang w:val="es-ES"/>
        </w:rPr>
        <w:t>b</w:t>
      </w:r>
      <w:r w:rsidRPr="00915B66">
        <w:t xml:space="preserve">) 32; </w:t>
      </w:r>
      <w:r w:rsidRPr="00E71C11">
        <w:t>с</w:t>
      </w:r>
      <w:r w:rsidRPr="00915B66">
        <w:t>) 32</w:t>
      </w:r>
      <w:r w:rsidR="00477FA9" w:rsidRPr="00C15633">
        <w:rPr>
          <w:rStyle w:val="FootnoteReference"/>
        </w:rPr>
        <w:footnoteReference w:id="11"/>
      </w:r>
      <w:r w:rsidRPr="00915B66">
        <w:t xml:space="preserve">; </w:t>
      </w:r>
      <w:r w:rsidRPr="000F48D4">
        <w:rPr>
          <w:lang w:val="es-ES"/>
        </w:rPr>
        <w:t>d</w:t>
      </w:r>
      <w:r w:rsidRPr="00915B66">
        <w:t>) 39</w:t>
      </w:r>
      <w:r w:rsidR="00477FA9" w:rsidRPr="00C15633">
        <w:rPr>
          <w:rStyle w:val="FootnoteReference"/>
        </w:rPr>
        <w:footnoteReference w:id="12"/>
      </w:r>
      <w:r w:rsidRPr="00915B66">
        <w:t xml:space="preserve">; </w:t>
      </w:r>
      <w:r w:rsidRPr="000F48D4">
        <w:rPr>
          <w:lang w:val="es-ES"/>
        </w:rPr>
        <w:t>e</w:t>
      </w:r>
      <w:r w:rsidRPr="00915B66">
        <w:t>) 16</w:t>
      </w:r>
      <w:r w:rsidR="00477FA9" w:rsidRPr="00C15633">
        <w:rPr>
          <w:rStyle w:val="FootnoteReference"/>
        </w:rPr>
        <w:footnoteReference w:id="13"/>
      </w:r>
    </w:p>
    <w:p w:rsidR="00E71C11" w:rsidRPr="00E71C11" w:rsidRDefault="00E71C11" w:rsidP="000F48D4">
      <w:pPr>
        <w:pStyle w:val="SingleTxt"/>
      </w:pPr>
      <w:r w:rsidRPr="00E71C11">
        <w:t>Целевой показатель на 2014–2015 годы:</w:t>
      </w:r>
      <w:r w:rsidR="000F48D4">
        <w:t xml:space="preserve"> </w:t>
      </w:r>
      <w:r w:rsidRPr="00E71C11">
        <w:t>a) 37; b) 20; с) 43; d) 40; e) 40</w:t>
      </w:r>
    </w:p>
    <w:p w:rsidR="00E71C11" w:rsidRPr="00E71C11" w:rsidRDefault="00E71C11" w:rsidP="00477FA9">
      <w:pPr>
        <w:pStyle w:val="SingleTxt"/>
      </w:pPr>
      <w:r w:rsidRPr="00E71C11">
        <w:t>Фактический показатель на 2014–2015 годы (по со</w:t>
      </w:r>
      <w:r w:rsidR="00477FA9">
        <w:t xml:space="preserve">стоянию на 31 июля 2015 года): </w:t>
      </w:r>
      <w:r w:rsidRPr="00E71C11">
        <w:t>a) 18; b) 20; с) 33</w:t>
      </w:r>
      <w:r w:rsidR="00477FA9" w:rsidRPr="00C15633">
        <w:rPr>
          <w:rStyle w:val="FootnoteReference"/>
        </w:rPr>
        <w:footnoteReference w:id="14"/>
      </w:r>
      <w:r w:rsidRPr="00E71C11">
        <w:t>; d) 40</w:t>
      </w:r>
      <w:r w:rsidR="00477FA9" w:rsidRPr="00C15633">
        <w:rPr>
          <w:rStyle w:val="FootnoteReference"/>
        </w:rPr>
        <w:footnoteReference w:id="15"/>
      </w:r>
      <w:r w:rsidRPr="00E71C11">
        <w:t>; e) 14</w:t>
      </w:r>
      <w:r w:rsidR="00477FA9" w:rsidRPr="00C15633">
        <w:rPr>
          <w:rStyle w:val="FootnoteReference"/>
        </w:rPr>
        <w:footnoteReference w:id="16"/>
      </w:r>
    </w:p>
    <w:p w:rsidR="00477FA9" w:rsidRPr="00477FA9" w:rsidRDefault="00477FA9" w:rsidP="00477FA9">
      <w:pPr>
        <w:pStyle w:val="SingleTxt"/>
        <w:spacing w:after="0" w:line="120" w:lineRule="exact"/>
        <w:rPr>
          <w:b/>
          <w:sz w:val="10"/>
        </w:rPr>
      </w:pPr>
    </w:p>
    <w:p w:rsidR="00477FA9" w:rsidRPr="00477FA9" w:rsidRDefault="00477FA9" w:rsidP="00477FA9">
      <w:pPr>
        <w:pStyle w:val="SingleTxt"/>
        <w:spacing w:after="0" w:line="120" w:lineRule="exact"/>
        <w:rPr>
          <w:b/>
          <w:sz w:val="10"/>
        </w:rPr>
      </w:pPr>
    </w:p>
    <w:p w:rsidR="00E71C11" w:rsidRPr="00E71C11" w:rsidRDefault="00477FA9" w:rsidP="00477FA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Тематический блок 10</w:t>
      </w:r>
      <w:r w:rsidR="00E71C11" w:rsidRPr="00E71C11">
        <w:br/>
        <w:t>Экологический мониторинг и оценка</w:t>
      </w:r>
    </w:p>
    <w:p w:rsidR="00477FA9" w:rsidRPr="00477FA9" w:rsidRDefault="00477FA9" w:rsidP="00477FA9">
      <w:pPr>
        <w:pStyle w:val="SingleTxt"/>
        <w:spacing w:after="0" w:line="120" w:lineRule="exact"/>
        <w:rPr>
          <w:i/>
          <w:sz w:val="10"/>
        </w:rPr>
      </w:pPr>
    </w:p>
    <w:p w:rsidR="00477FA9" w:rsidRPr="00477FA9" w:rsidRDefault="00477FA9" w:rsidP="00477FA9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477FA9" w:rsidP="00477FA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Ожидаемые достижения</w:t>
      </w:r>
    </w:p>
    <w:p w:rsidR="00477FA9" w:rsidRPr="00477FA9" w:rsidRDefault="00477FA9" w:rsidP="00477FA9">
      <w:pPr>
        <w:pStyle w:val="SingleTxt"/>
        <w:spacing w:after="0" w:line="120" w:lineRule="exact"/>
        <w:rPr>
          <w:sz w:val="10"/>
        </w:rPr>
      </w:pPr>
    </w:p>
    <w:p w:rsidR="00E71C11" w:rsidRPr="00E71C11" w:rsidRDefault="00E71C11" w:rsidP="00E71C11">
      <w:pPr>
        <w:pStyle w:val="SingleTxt"/>
      </w:pPr>
      <w:r w:rsidRPr="00E71C11">
        <w:t>Укрепление национального потенциала в области систем мониторинга окружа</w:t>
      </w:r>
      <w:r w:rsidRPr="00E71C11">
        <w:t>ю</w:t>
      </w:r>
      <w:r w:rsidRPr="00E71C11">
        <w:t>щей среды и оценки ее состояния в странах Восточной и Юго-Восточной Европы, Закавказья и Центральной Азии</w:t>
      </w:r>
    </w:p>
    <w:p w:rsidR="00477FA9" w:rsidRPr="00477FA9" w:rsidRDefault="00477FA9" w:rsidP="00477FA9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477FA9" w:rsidP="00477FA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Отчет о достижениях/полученных результатах</w:t>
      </w:r>
    </w:p>
    <w:p w:rsidR="00477FA9" w:rsidRPr="00477FA9" w:rsidRDefault="00477FA9" w:rsidP="00477FA9">
      <w:pPr>
        <w:pStyle w:val="SingleTxt"/>
        <w:spacing w:after="0" w:line="120" w:lineRule="exact"/>
        <w:rPr>
          <w:sz w:val="10"/>
        </w:rPr>
      </w:pPr>
    </w:p>
    <w:p w:rsidR="00E71C11" w:rsidRPr="00E71C11" w:rsidRDefault="00E71C11" w:rsidP="00E71C11">
      <w:pPr>
        <w:pStyle w:val="SingleTxt"/>
      </w:pPr>
      <w:r w:rsidRPr="00E71C11">
        <w:t>57.</w:t>
      </w:r>
      <w:r w:rsidRPr="00E71C11">
        <w:tab/>
        <w:t xml:space="preserve">Продолжалось расширение возможностей систем мониторинга окружающей среды, и </w:t>
      </w:r>
      <w:proofErr w:type="gramStart"/>
      <w:r w:rsidRPr="00E71C11">
        <w:t>был</w:t>
      </w:r>
      <w:proofErr w:type="gramEnd"/>
      <w:r w:rsidRPr="00E71C11">
        <w:t xml:space="preserve"> достигнут прогресс в укреплении механизмов экологической оце</w:t>
      </w:r>
      <w:r w:rsidRPr="00E71C11">
        <w:t>н</w:t>
      </w:r>
      <w:r w:rsidRPr="00E71C11">
        <w:t>ки в 15 из 17 целевых стран. В частности, шесть стран усовершенствовали пр</w:t>
      </w:r>
      <w:r w:rsidRPr="00E71C11">
        <w:t>а</w:t>
      </w:r>
      <w:r w:rsidRPr="00E71C11">
        <w:t>вовую основу экологического мониторинга и оценки. Шесть стран участвовали в проектах по укреплению сотрудничества между учреждениями, занимающимися мониторингом и оценкой. Десять стран повысили эффективность своих систем мониторинга атмосферного воздуха с помощью ряда мер − от установления н</w:t>
      </w:r>
      <w:r w:rsidRPr="00E71C11">
        <w:t>о</w:t>
      </w:r>
      <w:r w:rsidRPr="00E71C11">
        <w:t>вых параметров мониторинга до запуска новых сетевых станций.</w:t>
      </w:r>
    </w:p>
    <w:p w:rsidR="00E71C11" w:rsidRPr="00E71C11" w:rsidRDefault="00E71C11" w:rsidP="00E71C11">
      <w:pPr>
        <w:pStyle w:val="SingleTxt"/>
      </w:pPr>
      <w:r w:rsidRPr="00E71C11">
        <w:t>58.</w:t>
      </w:r>
      <w:r w:rsidRPr="00E71C11">
        <w:tab/>
        <w:t>Помимо этого, 11 стран укрепили потенциал в области мониторинга воды, в частности установив дополнительные новые параметры мониторинга, пред</w:t>
      </w:r>
      <w:r w:rsidRPr="00E71C11">
        <w:t>у</w:t>
      </w:r>
      <w:r w:rsidRPr="00E71C11">
        <w:t>смотрев новый метод мониторинга или участвуя в проектах для конкретных о</w:t>
      </w:r>
      <w:r w:rsidRPr="00E71C11">
        <w:t>р</w:t>
      </w:r>
      <w:r w:rsidRPr="00E71C11">
        <w:t>ганов по мониторингу воды. В одной из стран была разработана программа для выполнения Руководящих принципов ЕЭК в области мониторинга загрязнения почвы, а ряд других стран участвовали в проектах по наращиванию потенциала в области мониторинга почвы и биоразнообразия. Что касается обработки данных и обмена ими, то страны приступили к сбору данных по большинству основных показателей в соответствии с Руководством ЕЭК по применению экологических показателей.</w:t>
      </w:r>
    </w:p>
    <w:p w:rsidR="00477FA9" w:rsidRPr="00477FA9" w:rsidRDefault="00477FA9" w:rsidP="00477FA9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477FA9" w:rsidP="00477FA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Извлеченные уроки/области, нуждающиеся в усовершенствовании</w:t>
      </w:r>
    </w:p>
    <w:p w:rsidR="00477FA9" w:rsidRPr="00477FA9" w:rsidRDefault="00477FA9" w:rsidP="00477FA9">
      <w:pPr>
        <w:pStyle w:val="SingleTxt"/>
        <w:spacing w:after="0" w:line="120" w:lineRule="exact"/>
        <w:rPr>
          <w:sz w:val="10"/>
        </w:rPr>
      </w:pPr>
    </w:p>
    <w:p w:rsidR="00E71C11" w:rsidRPr="00E71C11" w:rsidRDefault="00E71C11" w:rsidP="00E71C11">
      <w:pPr>
        <w:pStyle w:val="SingleTxt"/>
      </w:pPr>
      <w:r w:rsidRPr="00E71C11">
        <w:t>59.</w:t>
      </w:r>
      <w:r w:rsidRPr="00E71C11">
        <w:tab/>
        <w:t>В большинстве целевых стран регулярно осуществлялся процесс подгото</w:t>
      </w:r>
      <w:r w:rsidRPr="00E71C11">
        <w:t>в</w:t>
      </w:r>
      <w:r w:rsidRPr="00E71C11">
        <w:t>ки и публикации экологических данных по показателям из основного набора эк</w:t>
      </w:r>
      <w:r w:rsidRPr="00E71C11">
        <w:t>о</w:t>
      </w:r>
      <w:r w:rsidRPr="00E71C11">
        <w:t>логических показателей ЕЭК. Охват проводимой ими работы необходимо расш</w:t>
      </w:r>
      <w:r w:rsidRPr="00E71C11">
        <w:t>и</w:t>
      </w:r>
      <w:r w:rsidRPr="00E71C11">
        <w:t xml:space="preserve">рить и включить в нее другие показатели, с </w:t>
      </w:r>
      <w:proofErr w:type="gramStart"/>
      <w:r w:rsidRPr="00E71C11">
        <w:t>тем</w:t>
      </w:r>
      <w:proofErr w:type="gramEnd"/>
      <w:r w:rsidRPr="00E71C11">
        <w:t xml:space="preserve"> чтобы к 2020 году обеспечить полное функционирование общей системы экологической информации (СЕИС) в масштабах всего европейского региона. Для содействия процессу принятия и</w:t>
      </w:r>
      <w:r w:rsidRPr="00E71C11">
        <w:t>н</w:t>
      </w:r>
      <w:r w:rsidRPr="00E71C11">
        <w:t>формированных решений на национальном уровне странам следует ввести пра</w:t>
      </w:r>
      <w:r w:rsidRPr="00E71C11">
        <w:t>к</w:t>
      </w:r>
      <w:r w:rsidRPr="00E71C11">
        <w:t>тику подготовки оценок состояния окружающей среды на основе показателей.</w:t>
      </w:r>
    </w:p>
    <w:p w:rsidR="00477FA9" w:rsidRPr="00477FA9" w:rsidRDefault="00477FA9" w:rsidP="00477FA9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477FA9" w:rsidP="00477FA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 xml:space="preserve">Показатель достижения результатов </w:t>
      </w:r>
    </w:p>
    <w:p w:rsidR="00477FA9" w:rsidRPr="00477FA9" w:rsidRDefault="00477FA9" w:rsidP="00477FA9">
      <w:pPr>
        <w:pStyle w:val="SingleTxt"/>
        <w:spacing w:after="0" w:line="120" w:lineRule="exact"/>
        <w:rPr>
          <w:sz w:val="10"/>
        </w:rPr>
      </w:pPr>
    </w:p>
    <w:p w:rsidR="00E71C11" w:rsidRPr="00E71C11" w:rsidRDefault="00E71C11" w:rsidP="00E71C11">
      <w:pPr>
        <w:pStyle w:val="SingleTxt"/>
      </w:pPr>
      <w:r w:rsidRPr="00E71C11">
        <w:t>Увеличение числа стран, использующих Руководство ЕЭК по применению экол</w:t>
      </w:r>
      <w:r w:rsidRPr="00E71C11">
        <w:t>о</w:t>
      </w:r>
      <w:r w:rsidRPr="00E71C11">
        <w:t xml:space="preserve">гических показателей, в Восточной Европе, Закавказье и Центральной Азии </w:t>
      </w:r>
    </w:p>
    <w:p w:rsidR="00477FA9" w:rsidRPr="00477FA9" w:rsidRDefault="00477FA9" w:rsidP="00477FA9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477FA9" w:rsidP="00477FA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Показатели результативности</w:t>
      </w:r>
    </w:p>
    <w:p w:rsidR="00477FA9" w:rsidRPr="00477FA9" w:rsidRDefault="00477FA9" w:rsidP="00477FA9">
      <w:pPr>
        <w:pStyle w:val="SingleTxt"/>
        <w:spacing w:after="0" w:line="120" w:lineRule="exact"/>
        <w:rPr>
          <w:sz w:val="10"/>
        </w:rPr>
      </w:pPr>
    </w:p>
    <w:p w:rsidR="00E71C11" w:rsidRPr="00E71C11" w:rsidRDefault="000A4C25" w:rsidP="00E71C11">
      <w:pPr>
        <w:pStyle w:val="SingleTxt"/>
      </w:pPr>
      <w:r>
        <w:t xml:space="preserve">2010–2011 годы: </w:t>
      </w:r>
      <w:r w:rsidR="00E71C11" w:rsidRPr="00E71C11">
        <w:t>11 стран</w:t>
      </w:r>
    </w:p>
    <w:p w:rsidR="00E71C11" w:rsidRPr="00E71C11" w:rsidRDefault="00E71C11" w:rsidP="000A4C25">
      <w:pPr>
        <w:pStyle w:val="SingleTxt"/>
      </w:pPr>
      <w:r w:rsidRPr="00E71C11">
        <w:t>2012–2013 годы:</w:t>
      </w:r>
      <w:r w:rsidR="000A4C25">
        <w:t xml:space="preserve"> </w:t>
      </w:r>
      <w:r w:rsidRPr="00E71C11">
        <w:t>14 стран</w:t>
      </w:r>
    </w:p>
    <w:p w:rsidR="00E71C11" w:rsidRPr="00E71C11" w:rsidRDefault="00E71C11" w:rsidP="000A4C25">
      <w:pPr>
        <w:pStyle w:val="SingleTxt"/>
      </w:pPr>
      <w:r w:rsidRPr="00E71C11">
        <w:t>Целевой показатель на 2014–2015 годы:</w:t>
      </w:r>
      <w:r w:rsidR="000A4C25">
        <w:t xml:space="preserve"> </w:t>
      </w:r>
      <w:r w:rsidRPr="00E71C11">
        <w:t>17 стран</w:t>
      </w:r>
    </w:p>
    <w:p w:rsidR="00E71C11" w:rsidRPr="00E71C11" w:rsidRDefault="00E71C11" w:rsidP="00E71C11">
      <w:pPr>
        <w:pStyle w:val="SingleTxt"/>
      </w:pPr>
      <w:r w:rsidRPr="00E71C11">
        <w:t>Фактический показатель на 2014–2015 годы (по с</w:t>
      </w:r>
      <w:r w:rsidR="00477FA9">
        <w:t xml:space="preserve">остоянию на 31 июля 2015 года): </w:t>
      </w:r>
      <w:r w:rsidRPr="00E71C11">
        <w:t>15 стран</w:t>
      </w:r>
    </w:p>
    <w:p w:rsidR="00E71C11" w:rsidRPr="00477FA9" w:rsidRDefault="00E71C11" w:rsidP="00477FA9">
      <w:pPr>
        <w:pStyle w:val="SingleTxt"/>
        <w:spacing w:after="0" w:line="120" w:lineRule="exact"/>
        <w:rPr>
          <w:sz w:val="10"/>
        </w:rPr>
      </w:pPr>
    </w:p>
    <w:p w:rsidR="00477FA9" w:rsidRPr="00477FA9" w:rsidRDefault="00477FA9" w:rsidP="00477FA9">
      <w:pPr>
        <w:pStyle w:val="SingleTxt"/>
        <w:spacing w:after="0" w:line="120" w:lineRule="exact"/>
        <w:rPr>
          <w:sz w:val="10"/>
        </w:rPr>
      </w:pPr>
    </w:p>
    <w:p w:rsidR="00E71C11" w:rsidRPr="00E71C11" w:rsidRDefault="00477FA9" w:rsidP="009A412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 xml:space="preserve">Тематический блок </w:t>
      </w:r>
      <w:r w:rsidR="009A412A">
        <w:t>11</w:t>
      </w:r>
      <w:r w:rsidR="00E71C11" w:rsidRPr="00E71C11">
        <w:br/>
        <w:t>Обзоры результативности экологической деятельности</w:t>
      </w:r>
    </w:p>
    <w:p w:rsidR="00477FA9" w:rsidRPr="00477FA9" w:rsidRDefault="00477FA9" w:rsidP="00477FA9">
      <w:pPr>
        <w:pStyle w:val="SingleTxt"/>
        <w:spacing w:after="0" w:line="120" w:lineRule="exact"/>
        <w:rPr>
          <w:i/>
          <w:sz w:val="10"/>
        </w:rPr>
      </w:pPr>
    </w:p>
    <w:p w:rsidR="00477FA9" w:rsidRPr="00477FA9" w:rsidRDefault="00477FA9" w:rsidP="00477FA9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477FA9" w:rsidP="00477FA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Ожидаемые достижения</w:t>
      </w:r>
    </w:p>
    <w:p w:rsidR="00477FA9" w:rsidRPr="00477FA9" w:rsidRDefault="00477FA9" w:rsidP="00477FA9">
      <w:pPr>
        <w:pStyle w:val="SingleTxt"/>
        <w:spacing w:after="0" w:line="120" w:lineRule="exact"/>
        <w:rPr>
          <w:sz w:val="10"/>
        </w:rPr>
      </w:pPr>
    </w:p>
    <w:p w:rsidR="00E71C11" w:rsidRPr="00E71C11" w:rsidRDefault="00E71C11" w:rsidP="00E71C11">
      <w:pPr>
        <w:pStyle w:val="SingleTxt"/>
      </w:pPr>
      <w:r w:rsidRPr="00E71C11">
        <w:t>Повышение результативности экологической деятельности в странах с перехо</w:t>
      </w:r>
      <w:r w:rsidRPr="00E71C11">
        <w:t>д</w:t>
      </w:r>
      <w:r w:rsidRPr="00E71C11">
        <w:t>ной экономикой</w:t>
      </w:r>
    </w:p>
    <w:p w:rsidR="00477FA9" w:rsidRPr="00477FA9" w:rsidRDefault="00477FA9" w:rsidP="00477FA9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477FA9" w:rsidP="00477FA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Отчет о достижениях/полученных результатах</w:t>
      </w:r>
      <w:r w:rsidRPr="00C15633">
        <w:rPr>
          <w:rStyle w:val="FootnoteReference"/>
          <w:i w:val="0"/>
          <w:iCs/>
        </w:rPr>
        <w:footnoteReference w:id="17"/>
      </w:r>
    </w:p>
    <w:p w:rsidR="00477FA9" w:rsidRPr="00477FA9" w:rsidRDefault="00477FA9" w:rsidP="00477FA9">
      <w:pPr>
        <w:pStyle w:val="SingleTxt"/>
        <w:spacing w:after="0" w:line="120" w:lineRule="exact"/>
        <w:rPr>
          <w:sz w:val="10"/>
        </w:rPr>
      </w:pPr>
    </w:p>
    <w:p w:rsidR="00E71C11" w:rsidRPr="00E71C11" w:rsidRDefault="00E71C11" w:rsidP="00E71C11">
      <w:pPr>
        <w:pStyle w:val="SingleTxt"/>
      </w:pPr>
      <w:r w:rsidRPr="00E71C11">
        <w:t>60.</w:t>
      </w:r>
      <w:r w:rsidRPr="00E71C11">
        <w:tab/>
        <w:t>К концу 2014 года число стран, добившихся улучшения результатов в обл</w:t>
      </w:r>
      <w:r w:rsidRPr="00E71C11">
        <w:t>а</w:t>
      </w:r>
      <w:r w:rsidRPr="00E71C11">
        <w:t>сти охраны окружающей среды, увеличилось с 21 до 23. В ходе третьего обзора Черногории и Сербии, включавшего оценку прогресса в плане выполнения рек</w:t>
      </w:r>
      <w:r w:rsidRPr="00E71C11">
        <w:t>о</w:t>
      </w:r>
      <w:r w:rsidRPr="00E71C11">
        <w:t>мендаций, вынесенных по итогам второго обзора, было установлено, что в этих странах результаты в области охраны окружающей среды улучшились. Черног</w:t>
      </w:r>
      <w:r w:rsidRPr="00E71C11">
        <w:t>о</w:t>
      </w:r>
      <w:r w:rsidRPr="00E71C11">
        <w:t>рия представила информацию о ходе осуществления 30 рекомендаций, соде</w:t>
      </w:r>
      <w:r w:rsidRPr="00E71C11">
        <w:t>р</w:t>
      </w:r>
      <w:r w:rsidRPr="00E71C11">
        <w:t>жавшихся в ее втором обзоре: 84% из них были полностью или частично выпо</w:t>
      </w:r>
      <w:r w:rsidRPr="00E71C11">
        <w:t>л</w:t>
      </w:r>
      <w:r w:rsidRPr="00E71C11">
        <w:t>нены. Сербия полностью или частично выполнила 78% рекомендаций, соде</w:t>
      </w:r>
      <w:r w:rsidRPr="00E71C11">
        <w:t>р</w:t>
      </w:r>
      <w:r w:rsidRPr="00E71C11">
        <w:t>жавшихся в ее втором обзоре. Степень осуществления была выше по тем рек</w:t>
      </w:r>
      <w:r w:rsidRPr="00E71C11">
        <w:t>о</w:t>
      </w:r>
      <w:r w:rsidRPr="00E71C11">
        <w:t>мендациям, которые были непосредственно адресованы органам, отвечающим за окружающую среду, в сравнении с рекомендациями, вынесенными другим д</w:t>
      </w:r>
      <w:r w:rsidRPr="00E71C11">
        <w:t>и</w:t>
      </w:r>
      <w:r w:rsidRPr="00E71C11">
        <w:t>рективным органам. На выполнение рекомендаций, затрагивающих широкие о</w:t>
      </w:r>
      <w:r w:rsidRPr="00E71C11">
        <w:t>б</w:t>
      </w:r>
      <w:r w:rsidRPr="00E71C11">
        <w:t>ласти экспертных знаний или касающихся большого числа исполнителей, как правило, уходит больше времени.</w:t>
      </w:r>
    </w:p>
    <w:p w:rsidR="00477FA9" w:rsidRPr="00477FA9" w:rsidRDefault="00477FA9" w:rsidP="00477FA9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477FA9" w:rsidP="00477FA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Извлеченные уроки/области, нуждающиеся в усовершенствовании</w:t>
      </w:r>
    </w:p>
    <w:p w:rsidR="00477FA9" w:rsidRPr="00477FA9" w:rsidRDefault="00477FA9" w:rsidP="00477FA9">
      <w:pPr>
        <w:pStyle w:val="SingleTxt"/>
        <w:spacing w:after="0" w:line="120" w:lineRule="exact"/>
        <w:rPr>
          <w:sz w:val="10"/>
        </w:rPr>
      </w:pPr>
    </w:p>
    <w:p w:rsidR="00E71C11" w:rsidRPr="00E71C11" w:rsidRDefault="00E71C11" w:rsidP="00E71C11">
      <w:pPr>
        <w:pStyle w:val="SingleTxt"/>
      </w:pPr>
      <w:r w:rsidRPr="00E71C11">
        <w:t>61.</w:t>
      </w:r>
      <w:r w:rsidRPr="00E71C11">
        <w:tab/>
        <w:t>Еще предстоит добиться полного осуществления рекомендаций, вынесе</w:t>
      </w:r>
      <w:r w:rsidRPr="00E71C11">
        <w:t>н</w:t>
      </w:r>
      <w:r w:rsidRPr="00E71C11">
        <w:t>ных в ходе предыдущих обзоров. Вопросы окружающей среды не входили в чи</w:t>
      </w:r>
      <w:r w:rsidRPr="00E71C11">
        <w:t>с</w:t>
      </w:r>
      <w:r w:rsidRPr="00E71C11">
        <w:t>ло приоритетов правительств Черногории и Сербии. В число основных препя</w:t>
      </w:r>
      <w:r w:rsidRPr="00E71C11">
        <w:t>т</w:t>
      </w:r>
      <w:r w:rsidRPr="00E71C11">
        <w:t>ствий, ограничивающих усилия этих стран по осуществлению рекомендаций о</w:t>
      </w:r>
      <w:r w:rsidRPr="00E71C11">
        <w:t>б</w:t>
      </w:r>
      <w:r w:rsidRPr="00E71C11">
        <w:t>зоров результативности экологической деятельности, входят</w:t>
      </w:r>
      <w:r w:rsidRPr="00E71C11" w:rsidDel="003C2DD8">
        <w:t xml:space="preserve"> </w:t>
      </w:r>
      <w:r w:rsidRPr="00E71C11">
        <w:t>отсутствие потенц</w:t>
      </w:r>
      <w:r w:rsidRPr="00E71C11">
        <w:t>и</w:t>
      </w:r>
      <w:r w:rsidRPr="00E71C11">
        <w:t>ала и ресурсов, пробелы в законодательстве, институциональном развитии и а</w:t>
      </w:r>
      <w:r w:rsidRPr="00E71C11">
        <w:t>д</w:t>
      </w:r>
      <w:r w:rsidRPr="00E71C11">
        <w:t>министративной организации и частые изменения институциональной основы и/или курса государственной политики.</w:t>
      </w:r>
    </w:p>
    <w:p w:rsidR="00477FA9" w:rsidRPr="00477FA9" w:rsidRDefault="00477FA9" w:rsidP="00477FA9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477FA9" w:rsidP="00477FA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Показатель достижения результатов</w:t>
      </w:r>
    </w:p>
    <w:p w:rsidR="00477FA9" w:rsidRPr="00477FA9" w:rsidRDefault="00477FA9" w:rsidP="00477FA9">
      <w:pPr>
        <w:pStyle w:val="SingleTxt"/>
        <w:spacing w:after="0" w:line="120" w:lineRule="exact"/>
        <w:rPr>
          <w:sz w:val="10"/>
        </w:rPr>
      </w:pPr>
    </w:p>
    <w:p w:rsidR="00E71C11" w:rsidRPr="00E71C11" w:rsidRDefault="00E71C11" w:rsidP="00E71C11">
      <w:pPr>
        <w:pStyle w:val="SingleTxt"/>
      </w:pPr>
      <w:r w:rsidRPr="00E71C11">
        <w:t>Увеличение числа стран, демонстрирующих высокую результативность эколог</w:t>
      </w:r>
      <w:r w:rsidRPr="00E71C11">
        <w:t>и</w:t>
      </w:r>
      <w:r w:rsidRPr="00E71C11">
        <w:t>ческой деятельности</w:t>
      </w:r>
    </w:p>
    <w:p w:rsidR="00477FA9" w:rsidRPr="00477FA9" w:rsidRDefault="00477FA9" w:rsidP="00477FA9">
      <w:pPr>
        <w:pStyle w:val="SingleTxt"/>
        <w:spacing w:after="0" w:line="120" w:lineRule="exact"/>
        <w:rPr>
          <w:i/>
          <w:sz w:val="10"/>
        </w:rPr>
      </w:pPr>
    </w:p>
    <w:p w:rsidR="00E71C11" w:rsidRPr="00E71C11" w:rsidRDefault="00477FA9" w:rsidP="00477FA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71C11" w:rsidRPr="00E71C11">
        <w:t>Показатели результативности</w:t>
      </w:r>
    </w:p>
    <w:p w:rsidR="00477FA9" w:rsidRPr="00477FA9" w:rsidRDefault="00477FA9" w:rsidP="00477FA9">
      <w:pPr>
        <w:pStyle w:val="SingleTxt"/>
        <w:spacing w:after="0" w:line="120" w:lineRule="exact"/>
        <w:rPr>
          <w:sz w:val="10"/>
        </w:rPr>
      </w:pPr>
    </w:p>
    <w:p w:rsidR="00E71C11" w:rsidRPr="00E71C11" w:rsidRDefault="000A4C25" w:rsidP="00E71C11">
      <w:pPr>
        <w:pStyle w:val="SingleTxt"/>
      </w:pPr>
      <w:r>
        <w:t xml:space="preserve">2010–2011 годы: </w:t>
      </w:r>
      <w:r w:rsidR="00E71C11" w:rsidRPr="00E71C11">
        <w:t>15 стран</w:t>
      </w:r>
    </w:p>
    <w:p w:rsidR="00E71C11" w:rsidRPr="00E71C11" w:rsidRDefault="00E71C11" w:rsidP="000A4C25">
      <w:pPr>
        <w:pStyle w:val="SingleTxt"/>
      </w:pPr>
      <w:r w:rsidRPr="00E71C11">
        <w:t>2012–2013 годы</w:t>
      </w:r>
      <w:r w:rsidR="00477FA9">
        <w:t>:</w:t>
      </w:r>
      <w:r w:rsidR="000A4C25">
        <w:t xml:space="preserve"> </w:t>
      </w:r>
      <w:r w:rsidRPr="00E71C11">
        <w:t>18 стран</w:t>
      </w:r>
    </w:p>
    <w:p w:rsidR="00E71C11" w:rsidRPr="00E71C11" w:rsidRDefault="00E71C11" w:rsidP="000A4C25">
      <w:pPr>
        <w:pStyle w:val="SingleTxt"/>
      </w:pPr>
      <w:r w:rsidRPr="00E71C11">
        <w:t>Целевой показатель на 2014–2015 годы:</w:t>
      </w:r>
      <w:r w:rsidR="000A4C25">
        <w:t xml:space="preserve"> </w:t>
      </w:r>
      <w:r w:rsidRPr="00E71C11">
        <w:t>21 страна</w:t>
      </w:r>
    </w:p>
    <w:p w:rsidR="00E71C11" w:rsidRPr="00E71C11" w:rsidRDefault="00E71C11" w:rsidP="00E71C11">
      <w:pPr>
        <w:pStyle w:val="SingleTxt"/>
      </w:pPr>
      <w:r w:rsidRPr="00E71C11">
        <w:t>Фактический показатель на 2014–2015 годы (по с</w:t>
      </w:r>
      <w:r w:rsidR="00477FA9">
        <w:t xml:space="preserve">остоянию на 31 июля 2015 года): </w:t>
      </w:r>
      <w:r w:rsidRPr="00E71C11">
        <w:t>23 страны</w:t>
      </w:r>
    </w:p>
    <w:p w:rsidR="00163251" w:rsidRPr="00E71C11" w:rsidRDefault="00E71C11" w:rsidP="00E71C11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163251" w:rsidRPr="00E71C11" w:rsidSect="00163251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B66" w:rsidRDefault="00915B66" w:rsidP="008A1A7A">
      <w:pPr>
        <w:spacing w:line="240" w:lineRule="auto"/>
      </w:pPr>
      <w:r>
        <w:separator/>
      </w:r>
    </w:p>
  </w:endnote>
  <w:endnote w:type="continuationSeparator" w:id="0">
    <w:p w:rsidR="00915B66" w:rsidRDefault="00915B66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15B66" w:rsidTr="0016325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15B66" w:rsidRPr="00163251" w:rsidRDefault="00915B66" w:rsidP="00163251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11D70">
            <w:rPr>
              <w:noProof/>
            </w:rPr>
            <w:t>22</w:t>
          </w:r>
          <w:r>
            <w:fldChar w:fldCharType="end"/>
          </w:r>
          <w:r>
            <w:t>/</w:t>
          </w:r>
          <w:r w:rsidR="00D11D70">
            <w:fldChar w:fldCharType="begin"/>
          </w:r>
          <w:r w:rsidR="00D11D70">
            <w:instrText xml:space="preserve"> NUMPAGES  \* Arabic  \* MERGEFORMAT </w:instrText>
          </w:r>
          <w:r w:rsidR="00D11D70">
            <w:fldChar w:fldCharType="separate"/>
          </w:r>
          <w:r w:rsidR="00D11D70">
            <w:rPr>
              <w:noProof/>
            </w:rPr>
            <w:t>22</w:t>
          </w:r>
          <w:r w:rsidR="00D11D70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15B66" w:rsidRPr="00163251" w:rsidRDefault="00915B66" w:rsidP="00163251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3B1DDB">
            <w:rPr>
              <w:b w:val="0"/>
              <w:color w:val="000000"/>
              <w:sz w:val="14"/>
            </w:rPr>
            <w:t>GE.15-14003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915B66" w:rsidRPr="00163251" w:rsidRDefault="00915B66" w:rsidP="001632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15B66" w:rsidTr="0016325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15B66" w:rsidRPr="00163251" w:rsidRDefault="00915B66" w:rsidP="00163251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3B1DDB">
            <w:rPr>
              <w:b w:val="0"/>
              <w:color w:val="000000"/>
              <w:sz w:val="14"/>
            </w:rPr>
            <w:t>GE.15-14003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15B66" w:rsidRPr="00163251" w:rsidRDefault="00915B66" w:rsidP="00163251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11D70">
            <w:rPr>
              <w:noProof/>
            </w:rPr>
            <w:t>21</w:t>
          </w:r>
          <w:r>
            <w:fldChar w:fldCharType="end"/>
          </w:r>
          <w:r>
            <w:t>/</w:t>
          </w:r>
          <w:r w:rsidR="00D11D70">
            <w:fldChar w:fldCharType="begin"/>
          </w:r>
          <w:r w:rsidR="00D11D70">
            <w:instrText xml:space="preserve"> NUMPAGES  \* Arabic  \* MERGEFORMAT </w:instrText>
          </w:r>
          <w:r w:rsidR="00D11D70">
            <w:fldChar w:fldCharType="separate"/>
          </w:r>
          <w:r w:rsidR="00D11D70">
            <w:rPr>
              <w:noProof/>
            </w:rPr>
            <w:t>21</w:t>
          </w:r>
          <w:r w:rsidR="00D11D70">
            <w:rPr>
              <w:noProof/>
            </w:rPr>
            <w:fldChar w:fldCharType="end"/>
          </w:r>
        </w:p>
      </w:tc>
    </w:tr>
  </w:tbl>
  <w:p w:rsidR="00915B66" w:rsidRPr="00163251" w:rsidRDefault="00915B66" w:rsidP="001632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915B66" w:rsidTr="00163251">
      <w:tc>
        <w:tcPr>
          <w:tcW w:w="3873" w:type="dxa"/>
        </w:tcPr>
        <w:p w:rsidR="00915B66" w:rsidRDefault="00915B66" w:rsidP="00163251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8C24419" wp14:editId="6FBB3205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CEP/2015/6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CEP/2015/6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GE.15-14003 (R)</w:t>
          </w:r>
          <w:r>
            <w:rPr>
              <w:color w:val="010000"/>
            </w:rPr>
            <w:t xml:space="preserve">    220915    220915</w:t>
          </w:r>
        </w:p>
        <w:p w:rsidR="00915B66" w:rsidRPr="00163251" w:rsidRDefault="00915B66" w:rsidP="00163251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*1514003*</w:t>
          </w:r>
        </w:p>
      </w:tc>
      <w:tc>
        <w:tcPr>
          <w:tcW w:w="5127" w:type="dxa"/>
        </w:tcPr>
        <w:p w:rsidR="00915B66" w:rsidRDefault="00915B66" w:rsidP="00163251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B7AD9D5" wp14:editId="3303AF8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15B66" w:rsidRPr="00163251" w:rsidRDefault="00915B66" w:rsidP="00163251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B66" w:rsidRPr="00C15633" w:rsidRDefault="00915B66" w:rsidP="00C15633">
      <w:pPr>
        <w:pStyle w:val="Footer"/>
        <w:spacing w:after="80"/>
        <w:ind w:left="792"/>
        <w:rPr>
          <w:sz w:val="16"/>
        </w:rPr>
      </w:pPr>
      <w:r w:rsidRPr="00C15633">
        <w:rPr>
          <w:sz w:val="16"/>
        </w:rPr>
        <w:t>__________________</w:t>
      </w:r>
    </w:p>
  </w:footnote>
  <w:footnote w:type="continuationSeparator" w:id="0">
    <w:p w:rsidR="00915B66" w:rsidRPr="00C15633" w:rsidRDefault="00915B66" w:rsidP="00C15633">
      <w:pPr>
        <w:pStyle w:val="Footer"/>
        <w:spacing w:after="80"/>
        <w:ind w:left="792"/>
        <w:rPr>
          <w:sz w:val="16"/>
        </w:rPr>
      </w:pPr>
      <w:r w:rsidRPr="00C15633">
        <w:rPr>
          <w:sz w:val="16"/>
        </w:rPr>
        <w:t>__________________</w:t>
      </w:r>
    </w:p>
  </w:footnote>
  <w:footnote w:id="1">
    <w:p w:rsidR="00915B66" w:rsidRPr="00330345" w:rsidRDefault="00915B66" w:rsidP="00C1563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330345">
        <w:rPr>
          <w:rStyle w:val="FootnoteReference"/>
        </w:rPr>
        <w:tab/>
      </w:r>
      <w:r w:rsidRPr="00330345">
        <w:rPr>
          <w:rStyle w:val="FootnoteReference"/>
          <w:vertAlign w:val="baseline"/>
        </w:rPr>
        <w:sym w:font="Symbol" w:char="F02A"/>
      </w:r>
      <w:r w:rsidRPr="00330345">
        <w:tab/>
        <w:t>Настоящий документ официально не редактировался.</w:t>
      </w:r>
    </w:p>
  </w:footnote>
  <w:footnote w:id="2">
    <w:p w:rsidR="00915B66" w:rsidRDefault="00915B66" w:rsidP="00915B6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B37F4A">
        <w:t xml:space="preserve">В данный тематический блок по необходимости включаются мероприятия/виды деятельности из всех других тематических блоков. Они могут иметь отношение к последующей деятельности по итогам Конференции Организации Объединенных </w:t>
      </w:r>
      <w:r>
        <w:br/>
      </w:r>
      <w:r w:rsidRPr="00B37F4A">
        <w:t>Наций по устойчивому развитию (Рио+20).</w:t>
      </w:r>
    </w:p>
  </w:footnote>
  <w:footnote w:id="3">
    <w:p w:rsidR="00915B66" w:rsidRDefault="00915B66" w:rsidP="00C1563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B37F4A">
        <w:t xml:space="preserve">Это число отражает исключительно официальные данные национальных докладов </w:t>
      </w:r>
      <w:r>
        <w:br/>
      </w:r>
      <w:r w:rsidRPr="00B37F4A">
        <w:t>об осуществлении, направленных государствами-членами в рамках третьего цикла представления докладов об осуществлении. Помимо этого, 20 стран представили свои доклады на девятом совещании Руководящего комитета по ОУР в апреле 2014 года.</w:t>
      </w:r>
    </w:p>
  </w:footnote>
  <w:footnote w:id="4">
    <w:p w:rsidR="00915B66" w:rsidRDefault="00915B66" w:rsidP="00C1563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CC68C1">
        <w:t>Сюда относятся четвертое Совещание высокого уровня по транспорту, охране здоровья и окружающей среде в апреле 2014 года, двенадцатое совещание Руководящего комитета ОПТОСОЗ в ноябре 2014 года и рабочее совещание в Каунасе (Литва) в сентябре 2014 года. Показатель участвующих стран ниже целевого показателя на 2014−2015 годы, поскольку тринадцатое совещание Руководящего комитета ОПТОСОЗ еще не состоялось (запланировано на ноябрь 2015 года). Кроме того, ожидаются дополнительные данные о регистрации участников рабочего совещания в Иркутске (Российская Федерация).</w:t>
      </w:r>
    </w:p>
  </w:footnote>
  <w:footnote w:id="5">
    <w:p w:rsidR="00915B66" w:rsidRDefault="00915B66" w:rsidP="00C1563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CC68C1">
        <w:t xml:space="preserve">Совместная программа наблюдения и оценки распространения загрязнителей воздуха </w:t>
      </w:r>
      <w:r>
        <w:br/>
      </w:r>
      <w:r w:rsidRPr="00CC68C1">
        <w:t>на большие расстояния в Европе.</w:t>
      </w:r>
    </w:p>
  </w:footnote>
  <w:footnote w:id="6">
    <w:p w:rsidR="00915B66" w:rsidRDefault="00915B66" w:rsidP="00C1563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CC68C1">
        <w:t xml:space="preserve">В 2012–2013 годах национальные доклады об осуществлении представлению не подлежали. Следующий цикл </w:t>
      </w:r>
      <w:proofErr w:type="gramStart"/>
      <w:r w:rsidRPr="00CC68C1">
        <w:t>отчетности</w:t>
      </w:r>
      <w:proofErr w:type="gramEnd"/>
      <w:r w:rsidRPr="00CC68C1">
        <w:t xml:space="preserve"> как в случае Конвенции, так и в случае Протокола пришелся </w:t>
      </w:r>
      <w:r>
        <w:br/>
      </w:r>
      <w:r w:rsidRPr="00CC68C1">
        <w:t>на 2014 год.</w:t>
      </w:r>
    </w:p>
  </w:footnote>
  <w:footnote w:id="7">
    <w:p w:rsidR="00915B66" w:rsidRDefault="00915B66" w:rsidP="00C1563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CC68C1">
        <w:t>К числу крупных мероприятий по наращиванию потенциала относится работа целевых групп в рамках Конвенции. Многие мероприятия по наращиванию потенциала проводятся силами партнеров в регионе.</w:t>
      </w:r>
    </w:p>
  </w:footnote>
  <w:footnote w:id="8">
    <w:p w:rsidR="00915B66" w:rsidRDefault="00915B66" w:rsidP="00C1563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CC68C1">
        <w:t xml:space="preserve">Это число ниже целевого показателя, поскольку крупное мероприятие по наращиванию потенциала − Глобальный круглый стол по РВПЗ − запланировано на ноябрь 2015 года. </w:t>
      </w:r>
      <w:r>
        <w:br/>
      </w:r>
      <w:r w:rsidRPr="00CC68C1">
        <w:t>Как ожидается, в нем примут участие и представители стран, не являющихся Сторонами.</w:t>
      </w:r>
    </w:p>
  </w:footnote>
  <w:footnote w:id="9">
    <w:p w:rsidR="00915B66" w:rsidRDefault="00915B66" w:rsidP="009A412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477FA9">
        <w:t>Поправки к Конвенции по водам, открывающие ее для подписания всеми государствами</w:t>
      </w:r>
      <w:r w:rsidR="009A412A">
        <w:t xml:space="preserve"> – </w:t>
      </w:r>
      <w:r w:rsidRPr="00477FA9">
        <w:t>членами Организации Объединенных Наций, вступили в силу в феврале 2013 года и, как ожидается, начнут действовать в конце 2015 года, как только их ратифицируют все государства, являвшиеся Сторонами Конвенции на момент принятия поправок.</w:t>
      </w:r>
    </w:p>
  </w:footnote>
  <w:footnote w:id="10">
    <w:p w:rsidR="00915B66" w:rsidRDefault="00915B66" w:rsidP="00C1563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477FA9">
        <w:t>В ожидании ратификации Украиной поправок к статьям 25 и 26 Конвенции, необходимой для того, чтобы открытие считалось действительным.</w:t>
      </w:r>
    </w:p>
  </w:footnote>
  <w:footnote w:id="11">
    <w:p w:rsidR="00915B66" w:rsidRDefault="00915B66" w:rsidP="00C1563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477FA9">
        <w:t>На основе данных, полученных из национальных докладов об осуществлении, представленных в 2012 году за отчетный цикл 2010–2011 годов.</w:t>
      </w:r>
    </w:p>
  </w:footnote>
  <w:footnote w:id="12">
    <w:p w:rsidR="00915B66" w:rsidRDefault="00915B66" w:rsidP="00C1563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477FA9">
        <w:t>Там же.</w:t>
      </w:r>
    </w:p>
  </w:footnote>
  <w:footnote w:id="13">
    <w:p w:rsidR="00915B66" w:rsidRDefault="00915B66" w:rsidP="00C1563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477FA9">
        <w:t>Учебное занятие по вопросам применения Системы уведомления о промышленных авариях проводилось в формате онлайновой консультации.</w:t>
      </w:r>
    </w:p>
  </w:footnote>
  <w:footnote w:id="14">
    <w:p w:rsidR="00915B66" w:rsidRDefault="00915B66" w:rsidP="00C1563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477FA9">
        <w:t>На основе данных, полученных из национальных докладов об осуществлении, представленных в 2014 году за отчетный цикл 2012–2013 годов.</w:t>
      </w:r>
    </w:p>
  </w:footnote>
  <w:footnote w:id="15">
    <w:p w:rsidR="00915B66" w:rsidRDefault="00915B66" w:rsidP="00C1563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477FA9">
        <w:t>Там же.</w:t>
      </w:r>
    </w:p>
  </w:footnote>
  <w:footnote w:id="16">
    <w:p w:rsidR="00915B66" w:rsidRDefault="00915B66" w:rsidP="00C1563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477FA9">
        <w:t>Учебное занятие по вопросам применения Системы уведомления о промышленных авариях проводилось в формате онлайновой консультации.</w:t>
      </w:r>
    </w:p>
  </w:footnote>
  <w:footnote w:id="17">
    <w:p w:rsidR="00915B66" w:rsidRDefault="00915B66" w:rsidP="00C1563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477FA9">
        <w:t>Отчет о достижениях/полученных результатах, связанных с проведением ОРЭД в Грузии и Беларуси, будет подготовлен в конце двухгодичного периода и включен в Комплексную информационную систему контроля и документации секретариата.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15B66" w:rsidTr="0016325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15B66" w:rsidRPr="00163251" w:rsidRDefault="00915B66" w:rsidP="00163251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B1DDB">
            <w:rPr>
              <w:b/>
            </w:rPr>
            <w:t>ECE/CEP/2015/6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15B66" w:rsidRDefault="00915B66" w:rsidP="00163251">
          <w:pPr>
            <w:pStyle w:val="Header"/>
          </w:pPr>
        </w:p>
      </w:tc>
    </w:tr>
  </w:tbl>
  <w:p w:rsidR="00915B66" w:rsidRPr="00163251" w:rsidRDefault="00915B66" w:rsidP="001632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15B66" w:rsidTr="0016325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15B66" w:rsidRDefault="00915B66" w:rsidP="00163251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915B66" w:rsidRPr="00163251" w:rsidRDefault="00915B66" w:rsidP="00163251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B1DDB">
            <w:rPr>
              <w:b/>
            </w:rPr>
            <w:t>ECE/CEP/2015/6</w:t>
          </w:r>
          <w:r>
            <w:rPr>
              <w:b/>
            </w:rPr>
            <w:fldChar w:fldCharType="end"/>
          </w:r>
        </w:p>
      </w:tc>
    </w:tr>
  </w:tbl>
  <w:p w:rsidR="00915B66" w:rsidRPr="00163251" w:rsidRDefault="00915B66" w:rsidP="001632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915B66" w:rsidTr="00163251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915B66" w:rsidRPr="00163251" w:rsidRDefault="00915B66" w:rsidP="00163251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15B66" w:rsidRDefault="00915B66" w:rsidP="00163251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915B66" w:rsidRPr="00163251" w:rsidRDefault="00915B66" w:rsidP="00163251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/CEP/2015/6</w:t>
          </w:r>
        </w:p>
      </w:tc>
    </w:tr>
    <w:tr w:rsidR="00915B66" w:rsidRPr="00D11D70" w:rsidTr="00163251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15B66" w:rsidRPr="00163251" w:rsidRDefault="00915B66" w:rsidP="00163251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42B96BB9" wp14:editId="5E6661C9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15B66" w:rsidRPr="00163251" w:rsidRDefault="00915B66" w:rsidP="00163251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15B66" w:rsidRPr="00163251" w:rsidRDefault="00915B66" w:rsidP="00163251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15B66" w:rsidRPr="00E71C11" w:rsidRDefault="00915B66" w:rsidP="00163251">
          <w:pPr>
            <w:pStyle w:val="Distribution"/>
            <w:rPr>
              <w:color w:val="000000"/>
              <w:lang w:val="en-US"/>
            </w:rPr>
          </w:pPr>
          <w:r w:rsidRPr="00E71C11">
            <w:rPr>
              <w:color w:val="000000"/>
              <w:lang w:val="en-US"/>
            </w:rPr>
            <w:t>Distr.: General</w:t>
          </w:r>
        </w:p>
        <w:p w:rsidR="00915B66" w:rsidRPr="00E71C11" w:rsidRDefault="00915B66" w:rsidP="00163251">
          <w:pPr>
            <w:pStyle w:val="Publication"/>
            <w:rPr>
              <w:color w:val="000000"/>
              <w:lang w:val="en-US"/>
            </w:rPr>
          </w:pPr>
          <w:r w:rsidRPr="00E71C11">
            <w:rPr>
              <w:color w:val="000000"/>
              <w:lang w:val="en-US"/>
            </w:rPr>
            <w:t>18 August 2015</w:t>
          </w:r>
        </w:p>
        <w:p w:rsidR="00915B66" w:rsidRPr="00E71C11" w:rsidRDefault="00915B66" w:rsidP="00163251">
          <w:pPr>
            <w:rPr>
              <w:color w:val="000000"/>
              <w:lang w:val="en-US"/>
            </w:rPr>
          </w:pPr>
          <w:r w:rsidRPr="00E71C11">
            <w:rPr>
              <w:color w:val="000000"/>
              <w:lang w:val="en-US"/>
            </w:rPr>
            <w:t>Russian</w:t>
          </w:r>
        </w:p>
        <w:p w:rsidR="00915B66" w:rsidRPr="00E71C11" w:rsidRDefault="00915B66" w:rsidP="00163251">
          <w:pPr>
            <w:pStyle w:val="Original"/>
            <w:rPr>
              <w:color w:val="000000"/>
              <w:lang w:val="en-US"/>
            </w:rPr>
          </w:pPr>
          <w:r w:rsidRPr="00E71C11">
            <w:rPr>
              <w:color w:val="000000"/>
              <w:lang w:val="en-US"/>
            </w:rPr>
            <w:t>Original: English</w:t>
          </w:r>
        </w:p>
        <w:p w:rsidR="00915B66" w:rsidRPr="00E71C11" w:rsidRDefault="00915B66" w:rsidP="00163251">
          <w:pPr>
            <w:rPr>
              <w:lang w:val="en-US"/>
            </w:rPr>
          </w:pPr>
        </w:p>
      </w:tc>
    </w:tr>
  </w:tbl>
  <w:p w:rsidR="00915B66" w:rsidRPr="00E71C11" w:rsidRDefault="00915B66" w:rsidP="00163251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93681B"/>
    <w:multiLevelType w:val="hybridMultilevel"/>
    <w:tmpl w:val="6128D146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885E7B"/>
    <w:multiLevelType w:val="hybridMultilevel"/>
    <w:tmpl w:val="DBB07E76"/>
    <w:lvl w:ilvl="0" w:tplc="04090001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abstractNum w:abstractNumId="14">
    <w:nsid w:val="0D8B320B"/>
    <w:multiLevelType w:val="hybridMultilevel"/>
    <w:tmpl w:val="1A4650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2275DE"/>
    <w:multiLevelType w:val="hybridMultilevel"/>
    <w:tmpl w:val="52AE733C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>
    <w:nsid w:val="117C7D65"/>
    <w:multiLevelType w:val="hybridMultilevel"/>
    <w:tmpl w:val="D870DD06"/>
    <w:lvl w:ilvl="0" w:tplc="04090005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7">
    <w:nsid w:val="1B943AD0"/>
    <w:multiLevelType w:val="hybridMultilevel"/>
    <w:tmpl w:val="D228E118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F330DF5"/>
    <w:multiLevelType w:val="multilevel"/>
    <w:tmpl w:val="52AE733C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3">
    <w:nsid w:val="2156073B"/>
    <w:multiLevelType w:val="hybridMultilevel"/>
    <w:tmpl w:val="17EAB11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EE5F61"/>
    <w:multiLevelType w:val="hybridMultilevel"/>
    <w:tmpl w:val="CCBAA88C"/>
    <w:lvl w:ilvl="0" w:tplc="0409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DD017A"/>
    <w:multiLevelType w:val="hybridMultilevel"/>
    <w:tmpl w:val="C7DE439E"/>
    <w:lvl w:ilvl="0" w:tplc="04090001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abstractNum w:abstractNumId="29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3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1863AA"/>
    <w:multiLevelType w:val="hybridMultilevel"/>
    <w:tmpl w:val="FF4CCAA2"/>
    <w:lvl w:ilvl="0" w:tplc="3402AB6A">
      <w:start w:val="3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B6DE0140">
      <w:numFmt w:val="none"/>
      <w:lvlText w:val=""/>
      <w:lvlJc w:val="left"/>
      <w:pPr>
        <w:tabs>
          <w:tab w:val="num" w:pos="360"/>
        </w:tabs>
      </w:pPr>
    </w:lvl>
    <w:lvl w:ilvl="2" w:tplc="65C00BD8">
      <w:numFmt w:val="none"/>
      <w:lvlText w:val=""/>
      <w:lvlJc w:val="left"/>
      <w:pPr>
        <w:tabs>
          <w:tab w:val="num" w:pos="360"/>
        </w:tabs>
      </w:pPr>
    </w:lvl>
    <w:lvl w:ilvl="3" w:tplc="CBD684A6">
      <w:numFmt w:val="none"/>
      <w:lvlText w:val=""/>
      <w:lvlJc w:val="left"/>
      <w:pPr>
        <w:tabs>
          <w:tab w:val="num" w:pos="360"/>
        </w:tabs>
      </w:pPr>
    </w:lvl>
    <w:lvl w:ilvl="4" w:tplc="6888BDE0">
      <w:numFmt w:val="none"/>
      <w:lvlText w:val=""/>
      <w:lvlJc w:val="left"/>
      <w:pPr>
        <w:tabs>
          <w:tab w:val="num" w:pos="360"/>
        </w:tabs>
      </w:pPr>
    </w:lvl>
    <w:lvl w:ilvl="5" w:tplc="E92CEDD8">
      <w:numFmt w:val="none"/>
      <w:lvlText w:val=""/>
      <w:lvlJc w:val="left"/>
      <w:pPr>
        <w:tabs>
          <w:tab w:val="num" w:pos="360"/>
        </w:tabs>
      </w:pPr>
    </w:lvl>
    <w:lvl w:ilvl="6" w:tplc="265E6D34">
      <w:numFmt w:val="none"/>
      <w:lvlText w:val=""/>
      <w:lvlJc w:val="left"/>
      <w:pPr>
        <w:tabs>
          <w:tab w:val="num" w:pos="360"/>
        </w:tabs>
      </w:pPr>
    </w:lvl>
    <w:lvl w:ilvl="7" w:tplc="CC6CFCD8">
      <w:numFmt w:val="none"/>
      <w:lvlText w:val=""/>
      <w:lvlJc w:val="left"/>
      <w:pPr>
        <w:tabs>
          <w:tab w:val="num" w:pos="360"/>
        </w:tabs>
      </w:pPr>
    </w:lvl>
    <w:lvl w:ilvl="8" w:tplc="B3101A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2"/>
  </w:num>
  <w:num w:numId="2">
    <w:abstractNumId w:val="2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2"/>
  </w:num>
  <w:num w:numId="9">
    <w:abstractNumId w:val="31"/>
  </w:num>
  <w:num w:numId="10">
    <w:abstractNumId w:val="2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4"/>
  </w:num>
  <w:num w:numId="17">
    <w:abstractNumId w:val="20"/>
  </w:num>
  <w:num w:numId="18">
    <w:abstractNumId w:val="10"/>
  </w:num>
  <w:num w:numId="19">
    <w:abstractNumId w:val="18"/>
  </w:num>
  <w:num w:numId="20">
    <w:abstractNumId w:val="26"/>
  </w:num>
  <w:num w:numId="21">
    <w:abstractNumId w:val="19"/>
  </w:num>
  <w:num w:numId="22">
    <w:abstractNumId w:val="30"/>
  </w:num>
  <w:num w:numId="23">
    <w:abstractNumId w:val="32"/>
  </w:num>
  <w:num w:numId="24">
    <w:abstractNumId w:val="16"/>
  </w:num>
  <w:num w:numId="25">
    <w:abstractNumId w:val="33"/>
  </w:num>
  <w:num w:numId="26">
    <w:abstractNumId w:val="13"/>
  </w:num>
  <w:num w:numId="27">
    <w:abstractNumId w:val="28"/>
  </w:num>
  <w:num w:numId="28">
    <w:abstractNumId w:val="14"/>
  </w:num>
  <w:num w:numId="29">
    <w:abstractNumId w:val="17"/>
  </w:num>
  <w:num w:numId="30">
    <w:abstractNumId w:val="11"/>
  </w:num>
  <w:num w:numId="31">
    <w:abstractNumId w:val="15"/>
  </w:num>
  <w:num w:numId="32">
    <w:abstractNumId w:val="21"/>
  </w:num>
  <w:num w:numId="33">
    <w:abstractNumId w:val="2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4003*"/>
    <w:docVar w:name="CreationDt" w:val="9/22/2015 11:32 AM"/>
    <w:docVar w:name="DocCategory" w:val="Doc"/>
    <w:docVar w:name="DocType" w:val="Final"/>
    <w:docVar w:name="DutyStation" w:val="Geneva"/>
    <w:docVar w:name="FooterJN" w:val="GE.15-14003"/>
    <w:docVar w:name="jobn" w:val="GE.15-14003 (R)"/>
    <w:docVar w:name="jobnDT" w:val="GE.15-14003 (R)   220915"/>
    <w:docVar w:name="jobnDTDT" w:val="GE.15-14003 (R)   220915   220915"/>
    <w:docVar w:name="JobNo" w:val="GE.1514003R"/>
    <w:docVar w:name="JobNo2" w:val="1518495R"/>
    <w:docVar w:name="LocalDrive" w:val="0"/>
    <w:docVar w:name="OandT" w:val="KP"/>
    <w:docVar w:name="PaperSize" w:val="A4"/>
    <w:docVar w:name="sss1" w:val="ECE/CEP/2015/6"/>
    <w:docVar w:name="sss2" w:val="-"/>
    <w:docVar w:name="Symbol1" w:val="ECE/CEP/2015/6"/>
    <w:docVar w:name="Symbol2" w:val="-"/>
  </w:docVars>
  <w:rsids>
    <w:rsidRoot w:val="005602FD"/>
    <w:rsid w:val="00004615"/>
    <w:rsid w:val="0000472C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A4C25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48D4"/>
    <w:rsid w:val="000F5D07"/>
    <w:rsid w:val="00105B0E"/>
    <w:rsid w:val="00113678"/>
    <w:rsid w:val="001235FD"/>
    <w:rsid w:val="0014308F"/>
    <w:rsid w:val="001444A3"/>
    <w:rsid w:val="00153645"/>
    <w:rsid w:val="00153E8C"/>
    <w:rsid w:val="00160648"/>
    <w:rsid w:val="00161F29"/>
    <w:rsid w:val="00162200"/>
    <w:rsid w:val="00162E88"/>
    <w:rsid w:val="00163251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C54CE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31466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0345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1DDB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77FA9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02FD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6DF9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6862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9058E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15B66"/>
    <w:rsid w:val="009228D9"/>
    <w:rsid w:val="009312DC"/>
    <w:rsid w:val="009327BF"/>
    <w:rsid w:val="00934047"/>
    <w:rsid w:val="0093512D"/>
    <w:rsid w:val="00935F33"/>
    <w:rsid w:val="0094238E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412A"/>
    <w:rsid w:val="009A5318"/>
    <w:rsid w:val="009B16EA"/>
    <w:rsid w:val="009B3444"/>
    <w:rsid w:val="009B5DCD"/>
    <w:rsid w:val="009B5EE6"/>
    <w:rsid w:val="009B7193"/>
    <w:rsid w:val="009C02FB"/>
    <w:rsid w:val="009C20B9"/>
    <w:rsid w:val="009C382E"/>
    <w:rsid w:val="009C495F"/>
    <w:rsid w:val="009C6A25"/>
    <w:rsid w:val="009D28B9"/>
    <w:rsid w:val="009D527D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0F4"/>
    <w:rsid w:val="00AD78B1"/>
    <w:rsid w:val="00AF0B91"/>
    <w:rsid w:val="00AF1A65"/>
    <w:rsid w:val="00AF3B70"/>
    <w:rsid w:val="00B03D42"/>
    <w:rsid w:val="00B11766"/>
    <w:rsid w:val="00B1426E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37F4A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633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C68C1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1D70"/>
    <w:rsid w:val="00D1470E"/>
    <w:rsid w:val="00D20AA4"/>
    <w:rsid w:val="00D25A7B"/>
    <w:rsid w:val="00D32157"/>
    <w:rsid w:val="00D35B2E"/>
    <w:rsid w:val="00D40F84"/>
    <w:rsid w:val="00D434AF"/>
    <w:rsid w:val="00D44FA6"/>
    <w:rsid w:val="00D523BC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71C11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31E8"/>
    <w:rsid w:val="00F26EA8"/>
    <w:rsid w:val="00F30632"/>
    <w:rsid w:val="00F31B97"/>
    <w:rsid w:val="00F33544"/>
    <w:rsid w:val="00F35ACF"/>
    <w:rsid w:val="00F36445"/>
    <w:rsid w:val="00F40CAB"/>
    <w:rsid w:val="00F414C3"/>
    <w:rsid w:val="00F51C87"/>
    <w:rsid w:val="00F5214D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semiHidden="0" w:unhideWhenUsed="0"/>
    <w:lsdException w:name="footer" w:semiHidden="0" w:uiPriority="0" w:unhideWhenUsed="0"/>
    <w:lsdException w:name="caption" w:uiPriority="35" w:qFormat="1"/>
    <w:lsdException w:name="footnote reference" w:uiPriority="0"/>
    <w:lsdException w:name="annotation reference" w:uiPriority="0"/>
    <w:lsdException w:name="line number" w:semiHidden="0" w:unhideWhenUsed="0"/>
    <w:lsdException w:name="page number" w:uiPriority="0"/>
    <w:lsdException w:name="endnote reference" w:semiHidden="0" w:uiPriority="0" w:unhideWhenUsed="0"/>
    <w:lsdException w:name="endnote text" w:uiPriority="0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Hyperlink" w:uiPriority="0"/>
    <w:lsdException w:name="FollowedHyperlink" w:uiPriority="0"/>
    <w:lsdException w:name="Strong" w:uiPriority="0" w:unhideWhenUsed="0" w:qFormat="1"/>
    <w:lsdException w:name="Emphasis" w:uiPriority="20" w:unhideWhenUsed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E71C11"/>
    <w:pPr>
      <w:suppressAutoHyphens/>
      <w:spacing w:line="240" w:lineRule="auto"/>
      <w:outlineLvl w:val="3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E71C11"/>
    <w:pPr>
      <w:suppressAutoHyphens/>
      <w:spacing w:line="240" w:lineRule="auto"/>
      <w:outlineLvl w:val="4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E71C11"/>
    <w:pPr>
      <w:suppressAutoHyphens/>
      <w:spacing w:line="240" w:lineRule="auto"/>
      <w:outlineLvl w:val="5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E71C11"/>
    <w:pPr>
      <w:suppressAutoHyphens/>
      <w:spacing w:line="240" w:lineRule="auto"/>
      <w:outlineLvl w:val="6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E71C11"/>
    <w:pPr>
      <w:suppressAutoHyphens/>
      <w:spacing w:line="240" w:lineRule="auto"/>
      <w:outlineLvl w:val="7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E71C11"/>
    <w:pPr>
      <w:suppressAutoHyphens/>
      <w:spacing w:line="240" w:lineRule="auto"/>
      <w:outlineLvl w:val="8"/>
    </w:pPr>
    <w:rPr>
      <w:rFonts w:eastAsia="Times New Roman"/>
      <w:spacing w:val="0"/>
      <w:w w:val="100"/>
      <w:kern w:val="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link w:val="H23Char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aliases w:val="3_G"/>
    <w:basedOn w:val="Normal"/>
    <w:link w:val="FooterChar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 Char"/>
    <w:basedOn w:val="DefaultParagraphFont"/>
    <w:link w:val="Footer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"/>
    <w:basedOn w:val="Normal"/>
    <w:link w:val="HeaderChar"/>
    <w:uiPriority w:val="99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,Fußnote,Footnote Text Char Char,single space,footnote text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,Fußnote Char,Footnote Text Char Char Char,single space Char,footnote text Char"/>
    <w:basedOn w:val="DefaultParagraphFont"/>
    <w:link w:val="FootnoteText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"/>
    <w:basedOn w:val="DefaultParagraphFont"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aliases w:val="2_G"/>
    <w:basedOn w:val="Normal"/>
    <w:link w:val="EndnoteTextChar"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aliases w:val="1_G"/>
    <w:basedOn w:val="DefaultParagraphFont"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semiHidden/>
    <w:unhideWhenUsed/>
    <w:rsid w:val="001632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325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325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3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325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rsid w:val="00E71C1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71C1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71C1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71C1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71C1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71C1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rsid w:val="00E71C11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customStyle="1" w:styleId="HMG">
    <w:name w:val="_ H __M_G"/>
    <w:basedOn w:val="Normal"/>
    <w:next w:val="Normal"/>
    <w:rsid w:val="00E71C11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/>
      <w:b/>
      <w:spacing w:val="0"/>
      <w:w w:val="100"/>
      <w:kern w:val="0"/>
      <w:sz w:val="34"/>
      <w:szCs w:val="20"/>
      <w:lang w:val="en-GB" w:eastAsia="en-US"/>
    </w:rPr>
  </w:style>
  <w:style w:type="paragraph" w:customStyle="1" w:styleId="HChG">
    <w:name w:val="_ H _Ch_G"/>
    <w:basedOn w:val="Normal"/>
    <w:next w:val="Normal"/>
    <w:link w:val="HChGChar"/>
    <w:rsid w:val="00E71C1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val="en-GB" w:eastAsia="en-US"/>
    </w:rPr>
  </w:style>
  <w:style w:type="character" w:styleId="PageNumber">
    <w:name w:val="page number"/>
    <w:aliases w:val="7_G"/>
    <w:rsid w:val="00E71C1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71C11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SLG">
    <w:name w:val="__S_L_G"/>
    <w:basedOn w:val="Normal"/>
    <w:next w:val="Normal"/>
    <w:rsid w:val="00E71C11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/>
      <w:b/>
      <w:spacing w:val="0"/>
      <w:w w:val="100"/>
      <w:kern w:val="0"/>
      <w:sz w:val="56"/>
      <w:szCs w:val="20"/>
      <w:lang w:val="en-GB" w:eastAsia="en-US"/>
    </w:rPr>
  </w:style>
  <w:style w:type="paragraph" w:customStyle="1" w:styleId="SSG">
    <w:name w:val="__S_S_G"/>
    <w:basedOn w:val="Normal"/>
    <w:next w:val="Normal"/>
    <w:rsid w:val="00E71C11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XLargeG">
    <w:name w:val="__XLarge_G"/>
    <w:basedOn w:val="Normal"/>
    <w:next w:val="Normal"/>
    <w:rsid w:val="00E71C11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Bullet1G">
    <w:name w:val="_Bullet 1_G"/>
    <w:basedOn w:val="Normal"/>
    <w:rsid w:val="00E71C11"/>
    <w:pPr>
      <w:numPr>
        <w:numId w:val="22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customStyle="1" w:styleId="Bullet2G">
    <w:name w:val="_Bullet 2_G"/>
    <w:basedOn w:val="Normal"/>
    <w:rsid w:val="00E71C11"/>
    <w:pPr>
      <w:numPr>
        <w:numId w:val="23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E71C11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E71C11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pacing w:val="0"/>
      <w:w w:val="100"/>
      <w:kern w:val="0"/>
      <w:szCs w:val="20"/>
      <w:lang w:val="en-GB" w:eastAsia="en-US"/>
    </w:rPr>
  </w:style>
  <w:style w:type="paragraph" w:customStyle="1" w:styleId="H4G">
    <w:name w:val="_ H_4_G"/>
    <w:basedOn w:val="Normal"/>
    <w:next w:val="Normal"/>
    <w:rsid w:val="00E71C11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i/>
      <w:spacing w:val="0"/>
      <w:w w:val="100"/>
      <w:kern w:val="0"/>
      <w:szCs w:val="20"/>
      <w:lang w:val="en-GB" w:eastAsia="en-US"/>
    </w:rPr>
  </w:style>
  <w:style w:type="paragraph" w:customStyle="1" w:styleId="H56G">
    <w:name w:val="_ H_5/6_G"/>
    <w:basedOn w:val="Normal"/>
    <w:next w:val="Normal"/>
    <w:rsid w:val="00E71C11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spacing w:val="0"/>
      <w:w w:val="100"/>
      <w:kern w:val="0"/>
      <w:szCs w:val="20"/>
      <w:lang w:val="en-GB" w:eastAsia="en-US"/>
    </w:rPr>
  </w:style>
  <w:style w:type="character" w:styleId="Hyperlink">
    <w:name w:val="Hyperlink"/>
    <w:semiHidden/>
    <w:rsid w:val="00E71C11"/>
    <w:rPr>
      <w:color w:val="auto"/>
      <w:u w:val="none"/>
    </w:rPr>
  </w:style>
  <w:style w:type="table" w:styleId="TableGrid">
    <w:name w:val="Table Grid"/>
    <w:basedOn w:val="TableNormal"/>
    <w:rsid w:val="00E71C1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semiHidden/>
    <w:rsid w:val="00E71C11"/>
    <w:rPr>
      <w:color w:val="auto"/>
      <w:u w:val="none"/>
    </w:rPr>
  </w:style>
  <w:style w:type="paragraph" w:styleId="BalloonText">
    <w:name w:val="Balloon Text"/>
    <w:basedOn w:val="Normal"/>
    <w:link w:val="BalloonTextChar"/>
    <w:semiHidden/>
    <w:rsid w:val="00E71C11"/>
    <w:pPr>
      <w:suppressAutoHyphens/>
      <w:spacing w:line="240" w:lineRule="atLeast"/>
    </w:pPr>
    <w:rPr>
      <w:rFonts w:ascii="Tahoma" w:eastAsia="Times New Roman" w:hAnsi="Tahoma" w:cs="Tahoma"/>
      <w:spacing w:val="0"/>
      <w:w w:val="100"/>
      <w:kern w:val="0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E71C11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E71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HChGChar">
    <w:name w:val="_ H _Ch_G Char"/>
    <w:link w:val="HChG"/>
    <w:rsid w:val="00E71C11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customStyle="1" w:styleId="H1GChar">
    <w:name w:val="_ H_1_G Char"/>
    <w:link w:val="H1G"/>
    <w:rsid w:val="00E71C11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23Char">
    <w:name w:val="_ H_2/3 Char"/>
    <w:link w:val="H23"/>
    <w:rsid w:val="00E71C11"/>
    <w:rPr>
      <w:rFonts w:ascii="Times New Roman" w:hAnsi="Times New Roman" w:cs="Times New Roman"/>
      <w:b/>
      <w:spacing w:val="2"/>
      <w:w w:val="103"/>
      <w:kern w:val="14"/>
      <w:sz w:val="20"/>
      <w:lang w:val="ru-RU"/>
    </w:rPr>
  </w:style>
  <w:style w:type="character" w:styleId="Strong">
    <w:name w:val="Strong"/>
    <w:qFormat/>
    <w:rsid w:val="00E71C11"/>
    <w:rPr>
      <w:b/>
      <w:bCs/>
    </w:rPr>
  </w:style>
  <w:style w:type="character" w:customStyle="1" w:styleId="SingleTxtGChar">
    <w:name w:val="_ Single Txt_G Char"/>
    <w:link w:val="SingleTxtG"/>
    <w:rsid w:val="00E71C1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E71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semiHidden="0" w:unhideWhenUsed="0"/>
    <w:lsdException w:name="footer" w:semiHidden="0" w:uiPriority="0" w:unhideWhenUsed="0"/>
    <w:lsdException w:name="caption" w:uiPriority="35" w:qFormat="1"/>
    <w:lsdException w:name="footnote reference" w:uiPriority="0"/>
    <w:lsdException w:name="annotation reference" w:uiPriority="0"/>
    <w:lsdException w:name="line number" w:semiHidden="0" w:unhideWhenUsed="0"/>
    <w:lsdException w:name="page number" w:uiPriority="0"/>
    <w:lsdException w:name="endnote reference" w:semiHidden="0" w:uiPriority="0" w:unhideWhenUsed="0"/>
    <w:lsdException w:name="endnote text" w:uiPriority="0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Hyperlink" w:uiPriority="0"/>
    <w:lsdException w:name="FollowedHyperlink" w:uiPriority="0"/>
    <w:lsdException w:name="Strong" w:uiPriority="0" w:unhideWhenUsed="0" w:qFormat="1"/>
    <w:lsdException w:name="Emphasis" w:uiPriority="20" w:unhideWhenUsed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E71C11"/>
    <w:pPr>
      <w:suppressAutoHyphens/>
      <w:spacing w:line="240" w:lineRule="auto"/>
      <w:outlineLvl w:val="3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E71C11"/>
    <w:pPr>
      <w:suppressAutoHyphens/>
      <w:spacing w:line="240" w:lineRule="auto"/>
      <w:outlineLvl w:val="4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E71C11"/>
    <w:pPr>
      <w:suppressAutoHyphens/>
      <w:spacing w:line="240" w:lineRule="auto"/>
      <w:outlineLvl w:val="5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E71C11"/>
    <w:pPr>
      <w:suppressAutoHyphens/>
      <w:spacing w:line="240" w:lineRule="auto"/>
      <w:outlineLvl w:val="6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E71C11"/>
    <w:pPr>
      <w:suppressAutoHyphens/>
      <w:spacing w:line="240" w:lineRule="auto"/>
      <w:outlineLvl w:val="7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E71C11"/>
    <w:pPr>
      <w:suppressAutoHyphens/>
      <w:spacing w:line="240" w:lineRule="auto"/>
      <w:outlineLvl w:val="8"/>
    </w:pPr>
    <w:rPr>
      <w:rFonts w:eastAsia="Times New Roman"/>
      <w:spacing w:val="0"/>
      <w:w w:val="100"/>
      <w:kern w:val="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link w:val="H23Char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aliases w:val="3_G"/>
    <w:basedOn w:val="Normal"/>
    <w:link w:val="FooterChar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 Char"/>
    <w:basedOn w:val="DefaultParagraphFont"/>
    <w:link w:val="Footer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"/>
    <w:basedOn w:val="Normal"/>
    <w:link w:val="HeaderChar"/>
    <w:uiPriority w:val="99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,Fußnote,Footnote Text Char Char,single space,footnote text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,Fußnote Char,Footnote Text Char Char Char,single space Char,footnote text Char"/>
    <w:basedOn w:val="DefaultParagraphFont"/>
    <w:link w:val="FootnoteText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"/>
    <w:basedOn w:val="DefaultParagraphFont"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aliases w:val="2_G"/>
    <w:basedOn w:val="Normal"/>
    <w:link w:val="EndnoteTextChar"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aliases w:val="1_G"/>
    <w:basedOn w:val="DefaultParagraphFont"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semiHidden/>
    <w:unhideWhenUsed/>
    <w:rsid w:val="001632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325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325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3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325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rsid w:val="00E71C1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71C1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71C1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71C1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71C1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71C1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rsid w:val="00E71C11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customStyle="1" w:styleId="HMG">
    <w:name w:val="_ H __M_G"/>
    <w:basedOn w:val="Normal"/>
    <w:next w:val="Normal"/>
    <w:rsid w:val="00E71C11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/>
      <w:b/>
      <w:spacing w:val="0"/>
      <w:w w:val="100"/>
      <w:kern w:val="0"/>
      <w:sz w:val="34"/>
      <w:szCs w:val="20"/>
      <w:lang w:val="en-GB" w:eastAsia="en-US"/>
    </w:rPr>
  </w:style>
  <w:style w:type="paragraph" w:customStyle="1" w:styleId="HChG">
    <w:name w:val="_ H _Ch_G"/>
    <w:basedOn w:val="Normal"/>
    <w:next w:val="Normal"/>
    <w:link w:val="HChGChar"/>
    <w:rsid w:val="00E71C1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val="en-GB" w:eastAsia="en-US"/>
    </w:rPr>
  </w:style>
  <w:style w:type="character" w:styleId="PageNumber">
    <w:name w:val="page number"/>
    <w:aliases w:val="7_G"/>
    <w:rsid w:val="00E71C1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71C11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SLG">
    <w:name w:val="__S_L_G"/>
    <w:basedOn w:val="Normal"/>
    <w:next w:val="Normal"/>
    <w:rsid w:val="00E71C11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/>
      <w:b/>
      <w:spacing w:val="0"/>
      <w:w w:val="100"/>
      <w:kern w:val="0"/>
      <w:sz w:val="56"/>
      <w:szCs w:val="20"/>
      <w:lang w:val="en-GB" w:eastAsia="en-US"/>
    </w:rPr>
  </w:style>
  <w:style w:type="paragraph" w:customStyle="1" w:styleId="SSG">
    <w:name w:val="__S_S_G"/>
    <w:basedOn w:val="Normal"/>
    <w:next w:val="Normal"/>
    <w:rsid w:val="00E71C11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XLargeG">
    <w:name w:val="__XLarge_G"/>
    <w:basedOn w:val="Normal"/>
    <w:next w:val="Normal"/>
    <w:rsid w:val="00E71C11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Bullet1G">
    <w:name w:val="_Bullet 1_G"/>
    <w:basedOn w:val="Normal"/>
    <w:rsid w:val="00E71C11"/>
    <w:pPr>
      <w:numPr>
        <w:numId w:val="22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customStyle="1" w:styleId="Bullet2G">
    <w:name w:val="_Bullet 2_G"/>
    <w:basedOn w:val="Normal"/>
    <w:rsid w:val="00E71C11"/>
    <w:pPr>
      <w:numPr>
        <w:numId w:val="23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E71C11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E71C11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pacing w:val="0"/>
      <w:w w:val="100"/>
      <w:kern w:val="0"/>
      <w:szCs w:val="20"/>
      <w:lang w:val="en-GB" w:eastAsia="en-US"/>
    </w:rPr>
  </w:style>
  <w:style w:type="paragraph" w:customStyle="1" w:styleId="H4G">
    <w:name w:val="_ H_4_G"/>
    <w:basedOn w:val="Normal"/>
    <w:next w:val="Normal"/>
    <w:rsid w:val="00E71C11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i/>
      <w:spacing w:val="0"/>
      <w:w w:val="100"/>
      <w:kern w:val="0"/>
      <w:szCs w:val="20"/>
      <w:lang w:val="en-GB" w:eastAsia="en-US"/>
    </w:rPr>
  </w:style>
  <w:style w:type="paragraph" w:customStyle="1" w:styleId="H56G">
    <w:name w:val="_ H_5/6_G"/>
    <w:basedOn w:val="Normal"/>
    <w:next w:val="Normal"/>
    <w:rsid w:val="00E71C11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spacing w:val="0"/>
      <w:w w:val="100"/>
      <w:kern w:val="0"/>
      <w:szCs w:val="20"/>
      <w:lang w:val="en-GB" w:eastAsia="en-US"/>
    </w:rPr>
  </w:style>
  <w:style w:type="character" w:styleId="Hyperlink">
    <w:name w:val="Hyperlink"/>
    <w:semiHidden/>
    <w:rsid w:val="00E71C11"/>
    <w:rPr>
      <w:color w:val="auto"/>
      <w:u w:val="none"/>
    </w:rPr>
  </w:style>
  <w:style w:type="table" w:styleId="TableGrid">
    <w:name w:val="Table Grid"/>
    <w:basedOn w:val="TableNormal"/>
    <w:rsid w:val="00E71C1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semiHidden/>
    <w:rsid w:val="00E71C11"/>
    <w:rPr>
      <w:color w:val="auto"/>
      <w:u w:val="none"/>
    </w:rPr>
  </w:style>
  <w:style w:type="paragraph" w:styleId="BalloonText">
    <w:name w:val="Balloon Text"/>
    <w:basedOn w:val="Normal"/>
    <w:link w:val="BalloonTextChar"/>
    <w:semiHidden/>
    <w:rsid w:val="00E71C11"/>
    <w:pPr>
      <w:suppressAutoHyphens/>
      <w:spacing w:line="240" w:lineRule="atLeast"/>
    </w:pPr>
    <w:rPr>
      <w:rFonts w:ascii="Tahoma" w:eastAsia="Times New Roman" w:hAnsi="Tahoma" w:cs="Tahoma"/>
      <w:spacing w:val="0"/>
      <w:w w:val="100"/>
      <w:kern w:val="0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E71C11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E71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HChGChar">
    <w:name w:val="_ H _Ch_G Char"/>
    <w:link w:val="HChG"/>
    <w:rsid w:val="00E71C11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customStyle="1" w:styleId="H1GChar">
    <w:name w:val="_ H_1_G Char"/>
    <w:link w:val="H1G"/>
    <w:rsid w:val="00E71C11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23Char">
    <w:name w:val="_ H_2/3 Char"/>
    <w:link w:val="H23"/>
    <w:rsid w:val="00E71C11"/>
    <w:rPr>
      <w:rFonts w:ascii="Times New Roman" w:hAnsi="Times New Roman" w:cs="Times New Roman"/>
      <w:b/>
      <w:spacing w:val="2"/>
      <w:w w:val="103"/>
      <w:kern w:val="14"/>
      <w:sz w:val="20"/>
      <w:lang w:val="ru-RU"/>
    </w:rPr>
  </w:style>
  <w:style w:type="character" w:styleId="Strong">
    <w:name w:val="Strong"/>
    <w:qFormat/>
    <w:rsid w:val="00E71C11"/>
    <w:rPr>
      <w:b/>
      <w:bCs/>
    </w:rPr>
  </w:style>
  <w:style w:type="character" w:customStyle="1" w:styleId="SingleTxtGChar">
    <w:name w:val="_ Single Txt_G Char"/>
    <w:link w:val="SingleTxtG"/>
    <w:rsid w:val="00E71C1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E71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CBA80-0EB4-4F97-8AF5-C1E2D6CE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8700</Words>
  <Characters>49594</Characters>
  <Application>Microsoft Office Word</Application>
  <DocSecurity>0</DocSecurity>
  <Lines>413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58178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subject/>
  <dc:creator>Ксения Павленко</dc:creator>
  <cp:keywords/>
  <dc:description/>
  <cp:lastModifiedBy>sochirca</cp:lastModifiedBy>
  <cp:revision>6</cp:revision>
  <cp:lastPrinted>2015-09-22T14:34:00Z</cp:lastPrinted>
  <dcterms:created xsi:type="dcterms:W3CDTF">2015-09-22T14:32:00Z</dcterms:created>
  <dcterms:modified xsi:type="dcterms:W3CDTF">2015-10-14T15:53:00Z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1514003R</vt:lpwstr>
  </property>
  <property fmtid="{D5CDD505-2E9C-101B-9397-08002B2CF9AE}" pid="3" name="ODSRefJobNo">
    <vt:lpwstr>1518495R</vt:lpwstr>
  </property>
  <property fmtid="{D5CDD505-2E9C-101B-9397-08002B2CF9AE}" pid="4" name="Symbol1">
    <vt:lpwstr>ECE/CEP/2015/6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KP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18 August 2015</vt:lpwstr>
  </property>
  <property fmtid="{D5CDD505-2E9C-101B-9397-08002B2CF9AE}" pid="12" name="Original">
    <vt:lpwstr>English</vt:lpwstr>
  </property>
  <property fmtid="{D5CDD505-2E9C-101B-9397-08002B2CF9AE}" pid="13" name="Release Date">
    <vt:lpwstr>220915</vt:lpwstr>
  </property>
</Properties>
</file>