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F6" w:rsidRPr="00F477AD" w:rsidRDefault="00DC7CF6" w:rsidP="00DC7CF6">
      <w:pPr>
        <w:spacing w:line="60" w:lineRule="exact"/>
        <w:rPr>
          <w:color w:val="010000"/>
          <w:sz w:val="6"/>
        </w:rPr>
        <w:sectPr w:rsidR="00DC7CF6" w:rsidRPr="00F477AD" w:rsidSect="00DC7C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477AD" w:rsidRPr="00F477AD" w:rsidRDefault="00F477AD" w:rsidP="003E72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77AD">
        <w:lastRenderedPageBreak/>
        <w:t>Европейская экономическая комиссия</w:t>
      </w:r>
    </w:p>
    <w:p w:rsidR="003E7248" w:rsidRPr="003E7248" w:rsidRDefault="003E7248" w:rsidP="003E7248">
      <w:pPr>
        <w:spacing w:line="120" w:lineRule="exact"/>
        <w:rPr>
          <w:sz w:val="10"/>
        </w:rPr>
      </w:pPr>
    </w:p>
    <w:p w:rsidR="00F477AD" w:rsidRPr="003E7248" w:rsidRDefault="00F477AD" w:rsidP="003E724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3E7248">
        <w:rPr>
          <w:b w:val="0"/>
          <w:bCs/>
        </w:rPr>
        <w:t>Комитет по экологической политике</w:t>
      </w:r>
    </w:p>
    <w:p w:rsidR="003E7248" w:rsidRPr="003E7248" w:rsidRDefault="003E7248" w:rsidP="003E7248">
      <w:pPr>
        <w:spacing w:line="120" w:lineRule="exact"/>
        <w:rPr>
          <w:sz w:val="10"/>
        </w:rPr>
      </w:pPr>
    </w:p>
    <w:p w:rsidR="00F477AD" w:rsidRPr="00F477AD" w:rsidRDefault="00F477AD" w:rsidP="003E724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77AD">
        <w:t>Двадцать первая сессия</w:t>
      </w:r>
    </w:p>
    <w:p w:rsidR="00F477AD" w:rsidRPr="00F477AD" w:rsidRDefault="00F477AD" w:rsidP="003E7248">
      <w:r w:rsidRPr="00F477AD">
        <w:t>Женева, 27–30 октября 2015 года</w:t>
      </w:r>
    </w:p>
    <w:p w:rsidR="00F477AD" w:rsidRPr="00F477AD" w:rsidRDefault="00F477AD" w:rsidP="003E7248">
      <w:r w:rsidRPr="00F477AD">
        <w:t>Пункт 8 с) предварительной повестки дня</w:t>
      </w:r>
    </w:p>
    <w:p w:rsidR="00F477AD" w:rsidRPr="00F477AD" w:rsidRDefault="00F477AD" w:rsidP="003E7248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77AD">
        <w:t xml:space="preserve">Программа работы по Подпрограмме по окружающей среде: </w:t>
      </w:r>
      <w:r w:rsidR="003E7248">
        <w:br/>
      </w:r>
      <w:r w:rsidRPr="00F477AD">
        <w:t xml:space="preserve">оценка результативности Подпрограммы по окружающей </w:t>
      </w:r>
      <w:r w:rsidR="003E7248">
        <w:br/>
      </w:r>
      <w:r w:rsidRPr="00F477AD">
        <w:t xml:space="preserve">среде за 2014–2015 годы и план оценки </w:t>
      </w:r>
      <w:r w:rsidR="003E7248">
        <w:br/>
      </w:r>
      <w:r w:rsidRPr="00F477AD">
        <w:t>результативности на 2016–2017 годы</w:t>
      </w:r>
    </w:p>
    <w:p w:rsidR="003E7248" w:rsidRPr="003E7248" w:rsidRDefault="003E7248" w:rsidP="003E7248">
      <w:pPr>
        <w:pStyle w:val="SingleTxt"/>
        <w:spacing w:after="0" w:line="120" w:lineRule="exact"/>
        <w:rPr>
          <w:b/>
          <w:bCs/>
          <w:sz w:val="10"/>
        </w:rPr>
      </w:pPr>
    </w:p>
    <w:p w:rsidR="003E7248" w:rsidRPr="00DF2A52" w:rsidRDefault="003E7248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DF2A52" w:rsidRPr="003E7248" w:rsidRDefault="00DF2A52" w:rsidP="003E7248">
      <w:pPr>
        <w:pStyle w:val="SingleTxt"/>
        <w:spacing w:after="0" w:line="120" w:lineRule="exact"/>
        <w:rPr>
          <w:b/>
          <w:bCs/>
          <w:sz w:val="10"/>
        </w:rPr>
      </w:pPr>
    </w:p>
    <w:p w:rsidR="00F477AD" w:rsidRPr="00F477AD" w:rsidRDefault="003E7248" w:rsidP="00DF2A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477AD" w:rsidRPr="00F477AD">
        <w:tab/>
        <w:t>План оценки результативности Подпрограммы по</w:t>
      </w:r>
      <w:r w:rsidR="00DF2A52">
        <w:t> </w:t>
      </w:r>
      <w:r w:rsidR="00F477AD" w:rsidRPr="00F477AD">
        <w:t xml:space="preserve">окружающей среде на двухгодичный период </w:t>
      </w:r>
      <w:r>
        <w:br/>
      </w:r>
      <w:r w:rsidR="00F477AD" w:rsidRPr="00F477AD">
        <w:t>2016–2017 годов</w:t>
      </w:r>
    </w:p>
    <w:p w:rsidR="003E7248" w:rsidRPr="003E7248" w:rsidRDefault="003E7248" w:rsidP="003E7248">
      <w:pPr>
        <w:pStyle w:val="SingleTxt"/>
        <w:spacing w:after="0" w:line="120" w:lineRule="exact"/>
        <w:rPr>
          <w:b/>
          <w:bCs/>
          <w:sz w:val="10"/>
        </w:rPr>
      </w:pPr>
    </w:p>
    <w:p w:rsidR="003E7248" w:rsidRPr="003E7248" w:rsidRDefault="003E7248" w:rsidP="003E7248">
      <w:pPr>
        <w:pStyle w:val="SingleTxt"/>
        <w:spacing w:after="0" w:line="120" w:lineRule="exact"/>
        <w:rPr>
          <w:b/>
          <w:bCs/>
          <w:sz w:val="10"/>
        </w:rPr>
      </w:pPr>
    </w:p>
    <w:p w:rsidR="00F477AD" w:rsidRDefault="00DF2A52" w:rsidP="00DF2A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477AD" w:rsidRPr="00F477AD">
        <w:tab/>
        <w:t>Записка секретариата</w:t>
      </w:r>
      <w:r w:rsidRPr="00DF2A5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3E7248" w:rsidRPr="00DF2A52" w:rsidRDefault="003E7248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DF2A52" w:rsidRPr="00DF2A52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DF2A52" w:rsidRPr="00DF2A52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DF2A52" w:rsidTr="00DF2A52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DF2A52" w:rsidRPr="00DF2A52" w:rsidRDefault="00DF2A52" w:rsidP="00DF2A52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DF2A52" w:rsidRPr="00DF2A52" w:rsidTr="00DF2A52">
        <w:tc>
          <w:tcPr>
            <w:tcW w:w="10051" w:type="dxa"/>
            <w:shd w:val="clear" w:color="auto" w:fill="auto"/>
          </w:tcPr>
          <w:p w:rsidR="00DF2A52" w:rsidRPr="00DF2A52" w:rsidRDefault="00DF2A52" w:rsidP="00DF2A52">
            <w:pPr>
              <w:pStyle w:val="SingleTxt"/>
            </w:pPr>
            <w:r w:rsidRPr="00DF2A52">
              <w:tab/>
            </w:r>
            <w:proofErr w:type="gramStart"/>
            <w:r w:rsidRPr="00F477AD">
              <w:t>На своей предыдущей сессии в октябре 2014 года Комитет по экологической политике (КЭП) Европейской экономической комиссии (ЕЭК) Организации Об</w:t>
            </w:r>
            <w:r w:rsidRPr="00F477AD">
              <w:t>ъ</w:t>
            </w:r>
            <w:r w:rsidRPr="00F477AD">
              <w:t>единенных Наций принял решение продолжить оценку результативности По</w:t>
            </w:r>
            <w:r w:rsidRPr="00F477AD">
              <w:t>д</w:t>
            </w:r>
            <w:r w:rsidRPr="00F477AD">
              <w:t>программы по окружающей среде как минимум в течение еще одного цикла и одобрил план оценки результативности Подпрограммы по окружающей среде на двухгодичный период 2014–2015 годов (</w:t>
            </w:r>
            <w:r w:rsidRPr="00F477AD">
              <w:rPr>
                <w:lang w:val="en-GB"/>
              </w:rPr>
              <w:t>ECE</w:t>
            </w:r>
            <w:r w:rsidRPr="00F477AD">
              <w:t>/</w:t>
            </w:r>
            <w:r w:rsidRPr="00F477AD">
              <w:rPr>
                <w:lang w:val="en-GB"/>
              </w:rPr>
              <w:t>CEP</w:t>
            </w:r>
            <w:r w:rsidRPr="00F477AD">
              <w:t xml:space="preserve">/2014/2, пункты 91 и 98 </w:t>
            </w:r>
            <w:proofErr w:type="spellStart"/>
            <w:r w:rsidRPr="00F477AD">
              <w:rPr>
                <w:lang w:val="en-GB"/>
              </w:rPr>
              <w:t>jj</w:t>
            </w:r>
            <w:proofErr w:type="spellEnd"/>
            <w:r w:rsidRPr="00F477AD">
              <w:t>)).</w:t>
            </w:r>
            <w:proofErr w:type="gramEnd"/>
          </w:p>
        </w:tc>
      </w:tr>
      <w:tr w:rsidR="00DF2A52" w:rsidRPr="00DF2A52" w:rsidTr="00DF2A52">
        <w:tc>
          <w:tcPr>
            <w:tcW w:w="10051" w:type="dxa"/>
            <w:shd w:val="clear" w:color="auto" w:fill="auto"/>
          </w:tcPr>
          <w:p w:rsidR="00DF2A52" w:rsidRPr="00DF2A52" w:rsidRDefault="00DF2A52" w:rsidP="00DF2A52">
            <w:pPr>
              <w:pStyle w:val="SingleTxt"/>
            </w:pPr>
            <w:r w:rsidRPr="00F477AD">
              <w:tab/>
              <w:t>В настоящем документе изложен план оценки результативности Подпр</w:t>
            </w:r>
            <w:r w:rsidRPr="00F477AD">
              <w:t>о</w:t>
            </w:r>
            <w:r w:rsidRPr="00F477AD">
              <w:t>граммы по окружающей среде на двухгодичный период 2016–2017 годов. Его структура соответствует тематическим блокам, по которым сгруппированы виды деятельности по Подпрограмме по окружающей среде.</w:t>
            </w:r>
          </w:p>
        </w:tc>
      </w:tr>
      <w:tr w:rsidR="00DF2A52" w:rsidRPr="00DF2A52" w:rsidTr="00DF2A52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DF2A52" w:rsidRPr="00DF2A52" w:rsidRDefault="00DF2A52" w:rsidP="00DF2A52">
            <w:pPr>
              <w:pStyle w:val="SingleTxt"/>
            </w:pPr>
            <w:r w:rsidRPr="00F477AD">
              <w:tab/>
              <w:t>КЭП будет предложено рассмотреть и утвердить настоящий документ на его двадцать первой сессии.</w:t>
            </w:r>
          </w:p>
        </w:tc>
      </w:tr>
      <w:tr w:rsidR="00DF2A52" w:rsidRPr="00DF2A52" w:rsidTr="00DF2A52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DF2A52" w:rsidRPr="00DF2A52" w:rsidRDefault="00DF2A52" w:rsidP="00DF2A52">
            <w:pPr>
              <w:pStyle w:val="SingleTxt"/>
            </w:pPr>
          </w:p>
        </w:tc>
      </w:tr>
    </w:tbl>
    <w:p w:rsidR="00DF2A52" w:rsidRPr="00DF2A52" w:rsidRDefault="00DF2A52" w:rsidP="00F477AD">
      <w:pPr>
        <w:pStyle w:val="SingleTxt"/>
        <w:rPr>
          <w:b/>
          <w:bCs/>
        </w:rPr>
      </w:pPr>
    </w:p>
    <w:p w:rsidR="00F477AD" w:rsidRPr="00F477AD" w:rsidRDefault="00F477AD" w:rsidP="00DF2A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77AD">
        <w:br w:type="page"/>
      </w:r>
      <w:r w:rsidRPr="00F477AD">
        <w:lastRenderedPageBreak/>
        <w:tab/>
      </w:r>
      <w:r w:rsidRPr="00F477AD">
        <w:rPr>
          <w:lang w:val="en-US"/>
        </w:rPr>
        <w:t>I</w:t>
      </w:r>
      <w:r w:rsidRPr="00F477AD">
        <w:t>.</w:t>
      </w:r>
      <w:r w:rsidRPr="00F477AD">
        <w:tab/>
        <w:t>Введение</w:t>
      </w:r>
    </w:p>
    <w:p w:rsidR="00DF2A52" w:rsidRPr="00DF2A52" w:rsidRDefault="00DF2A52" w:rsidP="00DF2A52">
      <w:pPr>
        <w:pStyle w:val="SingleTxt"/>
        <w:spacing w:after="0" w:line="120" w:lineRule="exact"/>
        <w:rPr>
          <w:sz w:val="10"/>
        </w:rPr>
      </w:pPr>
    </w:p>
    <w:p w:rsidR="00DF2A52" w:rsidRPr="00DF2A52" w:rsidRDefault="00DF2A52" w:rsidP="00DF2A52">
      <w:pPr>
        <w:pStyle w:val="SingleTxt"/>
        <w:spacing w:after="0" w:line="120" w:lineRule="exact"/>
        <w:rPr>
          <w:sz w:val="10"/>
        </w:rPr>
      </w:pPr>
    </w:p>
    <w:p w:rsidR="00F477AD" w:rsidRPr="00F477AD" w:rsidRDefault="00F477AD" w:rsidP="00F477AD">
      <w:pPr>
        <w:pStyle w:val="SingleTxt"/>
      </w:pPr>
      <w:r w:rsidRPr="00F477AD">
        <w:t>1.</w:t>
      </w:r>
      <w:r w:rsidRPr="00F477AD">
        <w:tab/>
        <w:t>Стратегическими рамками для Подпрограммы по окружающей среде Евр</w:t>
      </w:r>
      <w:r w:rsidRPr="00F477AD">
        <w:t>о</w:t>
      </w:r>
      <w:r w:rsidRPr="00F477AD">
        <w:t>пейской экономической комиссии Организации Объединенных Наций (ЕЭК) на период 2016–2017 годов (</w:t>
      </w:r>
      <w:r w:rsidRPr="00F477AD">
        <w:rPr>
          <w:lang w:val="en-GB"/>
        </w:rPr>
        <w:t>A</w:t>
      </w:r>
      <w:r w:rsidRPr="00F477AD">
        <w:t>/69/6 (Программа 17)) предусмотрены четыре осно</w:t>
      </w:r>
      <w:r w:rsidRPr="00F477AD">
        <w:t>в</w:t>
      </w:r>
      <w:r w:rsidRPr="00F477AD">
        <w:t xml:space="preserve">ных ожидаемых достижения. Подпрограмма представит Генеральной Ассамблее Организации Объединенных Наций доклад об их реализации. </w:t>
      </w:r>
    </w:p>
    <w:p w:rsidR="00F477AD" w:rsidRPr="00F477AD" w:rsidRDefault="00F477AD" w:rsidP="00F477AD">
      <w:pPr>
        <w:pStyle w:val="SingleTxt"/>
      </w:pPr>
      <w:r w:rsidRPr="00F477AD">
        <w:t>2.</w:t>
      </w:r>
      <w:r w:rsidRPr="00F477AD">
        <w:tab/>
        <w:t>Деятельность по Подпрограмме по окружающей среде на двухгодичный п</w:t>
      </w:r>
      <w:r w:rsidRPr="00F477AD">
        <w:t>е</w:t>
      </w:r>
      <w:r w:rsidRPr="00F477AD">
        <w:t>риод 2016–2017 годов сгруппирована по тематическим блокам. Подпрограмма представит Комитету по экологической политике доклад об осуществлении.</w:t>
      </w:r>
    </w:p>
    <w:p w:rsidR="00F477AD" w:rsidRPr="006F4169" w:rsidRDefault="00F477AD" w:rsidP="00F477AD">
      <w:pPr>
        <w:pStyle w:val="SingleTxt"/>
      </w:pPr>
      <w:r w:rsidRPr="00F477AD">
        <w:t>3.</w:t>
      </w:r>
      <w:r w:rsidRPr="00F477AD">
        <w:tab/>
        <w:t>В приводимой ниже таблице изложены ожидаемые достижения и показат</w:t>
      </w:r>
      <w:r w:rsidRPr="00F477AD">
        <w:t>е</w:t>
      </w:r>
      <w:r w:rsidRPr="00F477AD">
        <w:t>ли достижения результатов на двухгодичный период 2016–2017 годов по кажд</w:t>
      </w:r>
      <w:r w:rsidRPr="00F477AD">
        <w:t>о</w:t>
      </w:r>
      <w:r w:rsidRPr="00F477AD">
        <w:t>му тематическому блоку видов деятельности по Подпрограмме. В левой колонке указаны четыре основных ожидаемых достижения в том виде, в каком они изл</w:t>
      </w:r>
      <w:r w:rsidRPr="00F477AD">
        <w:t>о</w:t>
      </w:r>
      <w:r w:rsidRPr="00F477AD">
        <w:t>жены в стратегических рамках на период 2016–2017 годов. В средней колонке указаны тематические блоки видов деятельности. В правой колонке описаны ожидаемые достижения и показатели достижения результатов, а также итоги и</w:t>
      </w:r>
      <w:r w:rsidRPr="00F477AD">
        <w:t>з</w:t>
      </w:r>
      <w:r w:rsidRPr="00F477AD">
        <w:t>мерения результативности по каждому блоку. Структура таблицы позволяет п</w:t>
      </w:r>
      <w:r w:rsidRPr="00F477AD">
        <w:t>о</w:t>
      </w:r>
      <w:r w:rsidRPr="00F477AD">
        <w:t>казать взаимосвязь между стратегическими рамками ЕЭК и тематическими бл</w:t>
      </w:r>
      <w:r w:rsidRPr="00F477AD">
        <w:t>о</w:t>
      </w:r>
      <w:r w:rsidRPr="00F477AD">
        <w:t>ками, используемыми для оценки результативности Подпрограммы на двухг</w:t>
      </w:r>
      <w:r w:rsidRPr="00F477AD">
        <w:t>о</w:t>
      </w:r>
      <w:r w:rsidRPr="00F477AD">
        <w:t xml:space="preserve">дичный период 2016–2017 годов. </w:t>
      </w:r>
    </w:p>
    <w:p w:rsidR="00DF2A52" w:rsidRPr="00DF2A52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DF2A52" w:rsidRPr="00DF2A52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F477AD" w:rsidRPr="005A0AEA" w:rsidRDefault="00F477AD" w:rsidP="00DF2A5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77AD">
        <w:tab/>
      </w:r>
      <w:r w:rsidRPr="00F477AD">
        <w:rPr>
          <w:lang w:val="en-US"/>
        </w:rPr>
        <w:t>II</w:t>
      </w:r>
      <w:r w:rsidRPr="00F477AD">
        <w:t>.</w:t>
      </w:r>
      <w:r w:rsidRPr="00F477AD">
        <w:tab/>
        <w:t>Ожидаемые достижения и показатели достижения результатов за 2016–2017 годы</w:t>
      </w:r>
    </w:p>
    <w:p w:rsidR="00DF2A52" w:rsidRPr="005A0AEA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p w:rsidR="00DF2A52" w:rsidRPr="005A0AEA" w:rsidRDefault="00DF2A52" w:rsidP="00DF2A52">
      <w:pPr>
        <w:pStyle w:val="SingleTxt"/>
        <w:spacing w:after="0" w:line="120" w:lineRule="exact"/>
        <w:rPr>
          <w:b/>
          <w:bCs/>
          <w:sz w:val="10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3218"/>
        <w:gridCol w:w="3481"/>
      </w:tblGrid>
      <w:tr w:rsidR="003E7248" w:rsidRPr="00626764" w:rsidTr="00DF2A52">
        <w:trPr>
          <w:tblHeader/>
        </w:trPr>
        <w:tc>
          <w:tcPr>
            <w:tcW w:w="3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E7248" w:rsidRPr="00626764" w:rsidRDefault="003E7248" w:rsidP="00322750">
            <w:pPr>
              <w:spacing w:before="60" w:after="60" w:line="18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Ожидаемые достижения (ОД) и показатели д</w:t>
            </w:r>
            <w:r>
              <w:rPr>
                <w:i/>
                <w:sz w:val="14"/>
              </w:rPr>
              <w:t>о</w:t>
            </w:r>
            <w:r>
              <w:rPr>
                <w:i/>
                <w:sz w:val="14"/>
              </w:rPr>
              <w:t>стижения результатов (ПДР) стратегических рамок на период 2016–2017 годов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248" w:rsidRPr="00626764" w:rsidRDefault="003E7248" w:rsidP="003569FB">
            <w:pPr>
              <w:spacing w:before="60" w:after="60" w:line="180" w:lineRule="exact"/>
              <w:ind w:left="68" w:right="180"/>
              <w:rPr>
                <w:i/>
                <w:sz w:val="14"/>
              </w:rPr>
            </w:pPr>
            <w:r>
              <w:rPr>
                <w:i/>
                <w:sz w:val="14"/>
              </w:rPr>
              <w:t>Тематический блок видов деятельности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E7248" w:rsidRPr="00626764" w:rsidRDefault="003E7248" w:rsidP="00DF2A52">
            <w:pPr>
              <w:spacing w:before="60" w:after="60" w:line="180" w:lineRule="exact"/>
              <w:ind w:right="61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ОД и ПДР для оценки за двухгодичный период </w:t>
            </w:r>
            <w:r w:rsidR="00DF2A52" w:rsidRPr="00DF2A52">
              <w:rPr>
                <w:i/>
                <w:sz w:val="14"/>
              </w:rPr>
              <w:br/>
            </w:r>
            <w:r>
              <w:rPr>
                <w:i/>
                <w:sz w:val="14"/>
              </w:rPr>
              <w:t>2016–2017 годов</w:t>
            </w:r>
          </w:p>
        </w:tc>
      </w:tr>
      <w:tr w:rsidR="003E7248" w:rsidRPr="00626764" w:rsidTr="00DF2A52">
        <w:trPr>
          <w:trHeight w:hRule="exact" w:val="115"/>
          <w:tblHeader/>
        </w:trPr>
        <w:tc>
          <w:tcPr>
            <w:tcW w:w="3352" w:type="dxa"/>
            <w:tcBorders>
              <w:top w:val="single" w:sz="12" w:space="0" w:color="auto"/>
            </w:tcBorders>
            <w:shd w:val="clear" w:color="auto" w:fill="auto"/>
          </w:tcPr>
          <w:p w:rsidR="003E7248" w:rsidRPr="00626764" w:rsidRDefault="003E7248" w:rsidP="00322750">
            <w:pPr>
              <w:spacing w:before="60" w:after="60" w:line="220" w:lineRule="exact"/>
              <w:ind w:right="40"/>
            </w:pPr>
          </w:p>
        </w:tc>
        <w:tc>
          <w:tcPr>
            <w:tcW w:w="3218" w:type="dxa"/>
            <w:tcBorders>
              <w:top w:val="single" w:sz="12" w:space="0" w:color="auto"/>
            </w:tcBorders>
            <w:shd w:val="clear" w:color="auto" w:fill="auto"/>
          </w:tcPr>
          <w:p w:rsidR="003E7248" w:rsidRPr="00626764" w:rsidRDefault="003E7248" w:rsidP="003569FB">
            <w:pPr>
              <w:spacing w:before="60" w:after="60" w:line="220" w:lineRule="exact"/>
              <w:ind w:left="68" w:right="180"/>
            </w:pPr>
          </w:p>
        </w:tc>
        <w:tc>
          <w:tcPr>
            <w:tcW w:w="3481" w:type="dxa"/>
            <w:tcBorders>
              <w:top w:val="single" w:sz="12" w:space="0" w:color="auto"/>
            </w:tcBorders>
            <w:shd w:val="clear" w:color="auto" w:fill="auto"/>
          </w:tcPr>
          <w:p w:rsidR="003E7248" w:rsidRPr="00626764" w:rsidRDefault="003E7248" w:rsidP="00DF2A52">
            <w:pPr>
              <w:spacing w:before="60" w:after="60" w:line="220" w:lineRule="exact"/>
              <w:ind w:right="61"/>
            </w:pP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а)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Более эффективное реагирование стран – членов ЕЭК на экологические проблемы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iCs/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2012–2013 годы: неприменимо 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DF2A52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2 меры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1.</w:t>
            </w:r>
            <w:r w:rsidRPr="003569FB">
              <w:rPr>
                <w:sz w:val="19"/>
                <w:szCs w:val="19"/>
              </w:rPr>
              <w:tab/>
            </w:r>
            <w:proofErr w:type="gramStart"/>
            <w:r w:rsidRPr="003569FB">
              <w:rPr>
                <w:sz w:val="19"/>
                <w:szCs w:val="19"/>
              </w:rPr>
              <w:t>Более эффективное реагиров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ние на экологические проблемы (этот тематический блок, при необходимости, включает в себя результаты/виды деятельности, указанные во всех других тем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тических блоках.</w:t>
            </w:r>
            <w:proofErr w:type="gramEnd"/>
            <w:r w:rsidRPr="003569FB">
              <w:rPr>
                <w:sz w:val="19"/>
                <w:szCs w:val="19"/>
              </w:rPr>
              <w:t xml:space="preserve"> Они могут иметь отношение к последующей деятельности по итогам Конф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ренции Организации Объедине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ных Наций по устойчивому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(Конференция «Рио+20») или саммита Организации Об</w:t>
            </w:r>
            <w:r w:rsidRPr="003569FB">
              <w:rPr>
                <w:sz w:val="19"/>
                <w:szCs w:val="19"/>
              </w:rPr>
              <w:t>ъ</w:t>
            </w:r>
            <w:r w:rsidRPr="003569FB">
              <w:rPr>
                <w:sz w:val="19"/>
                <w:szCs w:val="19"/>
              </w:rPr>
              <w:t>единенных Наций по повестке дня в области развития на период после 2015 года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1</w:t>
            </w:r>
            <w:proofErr w:type="gramStart"/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Б</w:t>
            </w:r>
            <w:proofErr w:type="gramEnd"/>
            <w:r w:rsidRPr="003569FB">
              <w:rPr>
                <w:sz w:val="19"/>
                <w:szCs w:val="19"/>
              </w:rPr>
              <w:t>олее эффективное реагирование стран – членов ЕЭК на экологические проблемы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1 а)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Количество новых мер, принятых странами – членами ЕЭК в связи с 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ществующими и возникающими н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выми экологическими проблемами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iCs/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DF2A52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 w:rsidRP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2 меры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3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lastRenderedPageBreak/>
              <w:t xml:space="preserve">ОД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br/>
              <w:t>Более активное выполнение закл</w:t>
            </w:r>
            <w:r w:rsidRPr="003569FB">
              <w:rPr>
                <w:sz w:val="19"/>
                <w:szCs w:val="19"/>
              </w:rPr>
              <w:t>ю</w:t>
            </w:r>
            <w:r w:rsidRPr="003569FB">
              <w:rPr>
                <w:sz w:val="19"/>
                <w:szCs w:val="19"/>
              </w:rPr>
              <w:t>ченных в рамках ЕЭК многосторо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них соглашений в области охраны окружающей среды и расширение сферы географического охвата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2.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Деятельность в рамках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цесса «Окружающая среда для Европы» (ОСЕ)</w:t>
            </w:r>
          </w:p>
        </w:tc>
        <w:tc>
          <w:tcPr>
            <w:tcW w:w="3481" w:type="dxa"/>
            <w:vMerge w:val="restart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2</w:t>
            </w:r>
            <w:r w:rsidRPr="003569FB">
              <w:rPr>
                <w:sz w:val="19"/>
                <w:szCs w:val="19"/>
              </w:rPr>
              <w:br/>
              <w:t>Успешное осуществление реформы процесса ОСЕ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2 а)</w:t>
            </w:r>
            <w:r w:rsidRPr="003569FB">
              <w:rPr>
                <w:sz w:val="19"/>
                <w:szCs w:val="19"/>
              </w:rPr>
              <w:br/>
              <w:t>Достижение государствами-членами консенсуса по вопросу о деятельности в рамках процесса ОСЕ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достигнут консенсус в отношении организации среднесро</w:t>
            </w:r>
            <w:r w:rsidRPr="003569FB">
              <w:rPr>
                <w:sz w:val="19"/>
                <w:szCs w:val="19"/>
              </w:rPr>
              <w:t>ч</w:t>
            </w:r>
            <w:r w:rsidRPr="003569FB">
              <w:rPr>
                <w:sz w:val="19"/>
                <w:szCs w:val="19"/>
              </w:rPr>
              <w:t>ного обзора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достиж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ние консенсуса по вопросам о посл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дующих мерах по итогам среднесро</w:t>
            </w:r>
            <w:r w:rsidRPr="003569FB">
              <w:rPr>
                <w:sz w:val="19"/>
                <w:szCs w:val="19"/>
              </w:rPr>
              <w:t>ч</w:t>
            </w:r>
            <w:r w:rsidRPr="003569FB">
              <w:rPr>
                <w:sz w:val="19"/>
                <w:szCs w:val="19"/>
              </w:rPr>
              <w:t>ного обзора и подготовке восьмой Конференции министров ОСЕ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 w:rsidRP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достигнут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сенсус в отношении последующих действий в связи со среднесрочным обзором и подготовкой к восьмой Конференции министров ОСЕ (Бат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ми, Грузия, 8–10 июня 2016 года)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достижение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сенсуса в отношении последующей деятельности по итогам восьмой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ференции министров ОСЕ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ПДР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</w:t>
            </w:r>
            <w:proofErr w:type="spellStart"/>
            <w:r w:rsidRPr="003569FB">
              <w:rPr>
                <w:sz w:val="19"/>
                <w:szCs w:val="19"/>
                <w:lang w:val="en-US"/>
              </w:rPr>
              <w:t>i</w:t>
            </w:r>
            <w:proofErr w:type="spellEnd"/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br/>
              <w:t>Повышение доли участников закл</w:t>
            </w:r>
            <w:r w:rsidRPr="003569FB">
              <w:rPr>
                <w:sz w:val="19"/>
                <w:szCs w:val="19"/>
              </w:rPr>
              <w:t>ю</w:t>
            </w:r>
            <w:r w:rsidRPr="003569FB">
              <w:rPr>
                <w:sz w:val="19"/>
                <w:szCs w:val="19"/>
              </w:rPr>
              <w:t>ченных в рамках ЕЭК многосторо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них соглашений в области охраны окружающей среды, представляющих информацию об их выполнении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85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</w:p>
        </w:tc>
      </w:tr>
      <w:tr w:rsidR="003E7248" w:rsidRPr="00626764" w:rsidTr="00911794">
        <w:tc>
          <w:tcPr>
            <w:tcW w:w="3352" w:type="dxa"/>
            <w:shd w:val="clear" w:color="auto" w:fill="auto"/>
            <w:vAlign w:val="bottom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proofErr w:type="gramStart"/>
            <w:r w:rsidRPr="003569FB">
              <w:rPr>
                <w:sz w:val="19"/>
                <w:szCs w:val="19"/>
              </w:rPr>
              <w:t xml:space="preserve">ПДР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</w:t>
            </w:r>
            <w:r w:rsidRPr="003569FB">
              <w:rPr>
                <w:sz w:val="19"/>
                <w:szCs w:val="19"/>
                <w:lang w:val="en-US"/>
              </w:rPr>
              <w:t>ii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br/>
              <w:t>Увеличение числа участников закл</w:t>
            </w:r>
            <w:r w:rsidRPr="003569FB">
              <w:rPr>
                <w:sz w:val="19"/>
                <w:szCs w:val="19"/>
              </w:rPr>
              <w:t>ю</w:t>
            </w:r>
            <w:r w:rsidRPr="003569FB">
              <w:rPr>
                <w:sz w:val="19"/>
                <w:szCs w:val="19"/>
              </w:rPr>
              <w:t>ченных в рамках ЕЭК многосторо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них соглашений в области охраны окружающей среды</w:t>
            </w:r>
            <w:proofErr w:type="gramEnd"/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569FB" w:rsidRPr="003569FB">
              <w:rPr>
                <w:sz w:val="19"/>
                <w:szCs w:val="19"/>
                <w:lang w:val="en-US"/>
              </w:rPr>
              <w:br/>
            </w:r>
            <w:r w:rsidRPr="003569FB">
              <w:rPr>
                <w:sz w:val="19"/>
                <w:szCs w:val="19"/>
              </w:rPr>
              <w:t>на 2016–2017 годы: 310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3.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Образование в интересах устойчивого развития (ОУР)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</w:t>
            </w:r>
            <w:proofErr w:type="gramStart"/>
            <w:r w:rsidRPr="003569FB">
              <w:rPr>
                <w:sz w:val="19"/>
                <w:szCs w:val="19"/>
              </w:rPr>
              <w:t>4</w:t>
            </w:r>
            <w:proofErr w:type="gramEnd"/>
            <w:r w:rsidRPr="003569FB">
              <w:rPr>
                <w:sz w:val="19"/>
                <w:szCs w:val="19"/>
              </w:rPr>
              <w:br/>
              <w:t>Активизация осуществления Страт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гии ЕЭК в области ОУР на национал</w:t>
            </w:r>
            <w:r w:rsidRPr="003569FB">
              <w:rPr>
                <w:sz w:val="19"/>
                <w:szCs w:val="19"/>
              </w:rPr>
              <w:t>ь</w:t>
            </w:r>
            <w:r w:rsidRPr="003569FB">
              <w:rPr>
                <w:sz w:val="19"/>
                <w:szCs w:val="19"/>
              </w:rPr>
              <w:t>ном уровне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</w:t>
            </w:r>
            <w:proofErr w:type="gramStart"/>
            <w:r w:rsidRPr="003569FB">
              <w:rPr>
                <w:sz w:val="19"/>
                <w:szCs w:val="19"/>
              </w:rPr>
              <w:t>4</w:t>
            </w:r>
            <w:proofErr w:type="gramEnd"/>
            <w:r w:rsidRPr="003569FB">
              <w:rPr>
                <w:sz w:val="19"/>
                <w:szCs w:val="19"/>
              </w:rPr>
              <w:br/>
              <w:t>Эффективные меры по осуществлению Стратегии ЕЭК в области ОУР на национальном уровне, оцениваемые на основе докладов государств-членов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42 страны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40 стран</w:t>
            </w:r>
          </w:p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Фактический результат </w:t>
            </w:r>
            <w:r w:rsidR="003569FB" w:rsidRPr="003569FB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569FB" w:rsidRPr="003569FB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38 стран</w:t>
            </w:r>
            <w:r w:rsidRPr="003569FB">
              <w:rPr>
                <w:i/>
                <w:sz w:val="19"/>
                <w:szCs w:val="19"/>
                <w:vertAlign w:val="superscript"/>
              </w:rPr>
              <w:t>а</w:t>
            </w:r>
          </w:p>
          <w:p w:rsidR="003E7248" w:rsidRPr="003569FB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38 стран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3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4.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Транспорт, окружающая среда и охрана здоровья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ОД5</w:t>
            </w:r>
            <w:r w:rsidRPr="003569FB">
              <w:rPr>
                <w:sz w:val="19"/>
                <w:szCs w:val="19"/>
              </w:rPr>
              <w:br/>
              <w:t>Укрепление взаимосвязей между стр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тегиями в области транспорта, здрав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охранения и окружающей среды п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средством обмена опытом и надлеж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щей практикой и наращивание поте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 xml:space="preserve">циала с </w:t>
            </w:r>
            <w:proofErr w:type="spellStart"/>
            <w:r w:rsidRPr="003569FB">
              <w:rPr>
                <w:sz w:val="19"/>
                <w:szCs w:val="19"/>
              </w:rPr>
              <w:t>уделением</w:t>
            </w:r>
            <w:proofErr w:type="spellEnd"/>
            <w:r w:rsidRPr="003569FB">
              <w:rPr>
                <w:sz w:val="19"/>
                <w:szCs w:val="19"/>
              </w:rPr>
              <w:t xml:space="preserve"> особого внимания странам Восточной и Юго-Восточной Европы, Кавказа и Центральной Азии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ОД5</w:t>
            </w:r>
            <w:r w:rsidRPr="003569FB">
              <w:rPr>
                <w:sz w:val="19"/>
                <w:szCs w:val="19"/>
              </w:rPr>
              <w:br/>
              <w:t>Количество государств-членов, ме</w:t>
            </w:r>
            <w:r w:rsidRPr="003569FB">
              <w:rPr>
                <w:sz w:val="19"/>
                <w:szCs w:val="19"/>
              </w:rPr>
              <w:t>ж</w:t>
            </w:r>
            <w:r w:rsidRPr="003569FB">
              <w:rPr>
                <w:sz w:val="19"/>
                <w:szCs w:val="19"/>
              </w:rPr>
              <w:t>дународных правительственных орг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низаций (НПО) и неправительстве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ных организаций (НПО), участвующих в совещаниях Руководящего комитета Общеевропейской программы по транспорту, окружающей среде и охране здоровья (ОПТОСОЗ) и в соо</w:t>
            </w:r>
            <w:r w:rsidRPr="003569FB">
              <w:rPr>
                <w:sz w:val="19"/>
                <w:szCs w:val="19"/>
              </w:rPr>
              <w:t>т</w:t>
            </w:r>
            <w:r w:rsidRPr="003569FB">
              <w:rPr>
                <w:sz w:val="19"/>
                <w:szCs w:val="19"/>
              </w:rPr>
              <w:t xml:space="preserve">ветствующих рабочих совещаниях, </w:t>
            </w:r>
            <w:r w:rsidR="00911794" w:rsidRPr="00911794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организуемых под его эгидой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</w:t>
            </w:r>
            <w:r w:rsidRPr="003569FB">
              <w:rPr>
                <w:sz w:val="19"/>
                <w:szCs w:val="19"/>
              </w:rPr>
              <w:t>: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участие 62 стран и 31</w:t>
            </w:r>
            <w:r w:rsidR="000E5F16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МПО и НПО в четырех основных совещаниях, включая два рабочих с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вещания по наращиванию потенциала и две сессии Руководящего комитета ОПТОСОЗ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Оценка за 2014–2015 годы: </w:t>
            </w:r>
            <w:r w:rsidR="00911794" w:rsidRPr="003569FB">
              <w:rPr>
                <w:sz w:val="19"/>
                <w:szCs w:val="19"/>
              </w:rPr>
              <w:t xml:space="preserve">участие </w:t>
            </w:r>
            <w:r w:rsidRPr="003569FB">
              <w:rPr>
                <w:sz w:val="19"/>
                <w:szCs w:val="19"/>
              </w:rPr>
              <w:t>60</w:t>
            </w:r>
            <w:r w:rsidR="000E5F16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стран и 20 МПО и НПО в 6 осно</w:t>
            </w:r>
            <w:r w:rsidRPr="003569FB">
              <w:rPr>
                <w:sz w:val="19"/>
                <w:szCs w:val="19"/>
              </w:rPr>
              <w:t>в</w:t>
            </w:r>
            <w:r w:rsidRPr="003569FB">
              <w:rPr>
                <w:sz w:val="19"/>
                <w:szCs w:val="19"/>
              </w:rPr>
              <w:t>ных совещаниях, включая 4 рабочих совещания по наращиванию потенци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ла и 2 сессии Руководящего комитета ОПТОЗОС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Фактический результат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 31 июля 2015 года)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: </w:t>
            </w:r>
            <w:r w:rsidR="00911794" w:rsidRPr="003569FB">
              <w:rPr>
                <w:sz w:val="19"/>
                <w:szCs w:val="19"/>
              </w:rPr>
              <w:t xml:space="preserve">участие </w:t>
            </w:r>
            <w:r w:rsidRPr="003569FB">
              <w:rPr>
                <w:sz w:val="19"/>
                <w:szCs w:val="19"/>
              </w:rPr>
              <w:t>58 стран и 23 МПО и НПО в 3 основных сов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щаниях, включая 1 рабочее совещание по наращению потенциала, 1 совещ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ние высокого уровня и 1 сессию Рук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водящего комитета ОПТОЗОС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Целевой показатель на 2016–2017 г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 xml:space="preserve">ды: </w:t>
            </w:r>
            <w:r w:rsidR="00911794" w:rsidRPr="003569FB">
              <w:rPr>
                <w:sz w:val="19"/>
                <w:szCs w:val="19"/>
              </w:rPr>
              <w:t xml:space="preserve">участие </w:t>
            </w:r>
            <w:r w:rsidRPr="003569FB">
              <w:rPr>
                <w:sz w:val="19"/>
                <w:szCs w:val="19"/>
              </w:rPr>
              <w:t>60 стран и 20 МПО и НПО в 6 основных совещаниях, включая 4</w:t>
            </w:r>
            <w:r w:rsidR="00911794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рабочие совещания по наращиванию потенциала и 2 сессии Руководящего комитета ОПТОСОЗ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3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5.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 xml:space="preserve">Конвенция о трансграничном загрязнении воздуха на большие расстояния 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</w:t>
            </w:r>
            <w:proofErr w:type="gramStart"/>
            <w:r w:rsidRPr="003569FB">
              <w:rPr>
                <w:sz w:val="19"/>
                <w:szCs w:val="19"/>
              </w:rPr>
              <w:t>6</w:t>
            </w:r>
            <w:proofErr w:type="gramEnd"/>
            <w:r w:rsidRPr="003569FB">
              <w:rPr>
                <w:sz w:val="19"/>
                <w:szCs w:val="19"/>
              </w:rPr>
              <w:br/>
              <w:t>Увеличение количества стран, ратиф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цировавших Конвенцию о загрязнении воздуха и 3 последних протокола к ней (Протокол по тяжелым металлам,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токол о стойких органических загря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нителях и Протокол о борьбе с по</w:t>
            </w:r>
            <w:r w:rsidRPr="003569FB">
              <w:rPr>
                <w:sz w:val="19"/>
                <w:szCs w:val="19"/>
              </w:rPr>
              <w:t>д</w:t>
            </w:r>
            <w:r w:rsidRPr="003569FB">
              <w:rPr>
                <w:sz w:val="19"/>
                <w:szCs w:val="19"/>
              </w:rPr>
              <w:t xml:space="preserve">кислением, </w:t>
            </w:r>
            <w:proofErr w:type="spellStart"/>
            <w:r w:rsidRPr="003569FB">
              <w:rPr>
                <w:sz w:val="19"/>
                <w:szCs w:val="19"/>
              </w:rPr>
              <w:t>эфтрофикацией</w:t>
            </w:r>
            <w:proofErr w:type="spellEnd"/>
            <w:r w:rsidRPr="003569FB">
              <w:rPr>
                <w:sz w:val="19"/>
                <w:szCs w:val="19"/>
              </w:rPr>
              <w:t xml:space="preserve"> и призе</w:t>
            </w:r>
            <w:r w:rsidRPr="003569FB">
              <w:rPr>
                <w:sz w:val="19"/>
                <w:szCs w:val="19"/>
              </w:rPr>
              <w:t>м</w:t>
            </w:r>
            <w:r w:rsidRPr="003569FB">
              <w:rPr>
                <w:sz w:val="19"/>
                <w:szCs w:val="19"/>
              </w:rPr>
              <w:t>ным озоном (</w:t>
            </w:r>
            <w:proofErr w:type="spellStart"/>
            <w:r w:rsidRPr="003569FB">
              <w:rPr>
                <w:sz w:val="19"/>
                <w:szCs w:val="19"/>
              </w:rPr>
              <w:t>Гётеборгский</w:t>
            </w:r>
            <w:proofErr w:type="spellEnd"/>
            <w:r w:rsidRPr="003569FB">
              <w:rPr>
                <w:sz w:val="19"/>
                <w:szCs w:val="19"/>
              </w:rPr>
              <w:t xml:space="preserve"> протокол)), и активизация их осуществления гос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дарствами – членами ЕЭК, в частности странами Восточной и Юго-Восточной Европы, Кавказа и Центральной Азии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i/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</w:t>
            </w:r>
            <w:proofErr w:type="gramStart"/>
            <w:r w:rsidRPr="003569FB">
              <w:rPr>
                <w:sz w:val="19"/>
                <w:szCs w:val="19"/>
              </w:rPr>
              <w:t>6</w:t>
            </w:r>
            <w:proofErr w:type="gramEnd"/>
            <w:r w:rsidRPr="003569FB">
              <w:rPr>
                <w:sz w:val="19"/>
                <w:szCs w:val="19"/>
              </w:rPr>
              <w:br/>
              <w:t>Показатели прогресса в осуществл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нии Конвенции и 3 последних прот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колов к ней в следующих областях: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a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количество докладов о выполнении обязательств по сокращению выбр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сов;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интенсивность деятельности по развитию потенциала в странах, не я</w:t>
            </w:r>
            <w:r w:rsidRPr="003569FB">
              <w:rPr>
                <w:sz w:val="19"/>
                <w:szCs w:val="19"/>
              </w:rPr>
              <w:t>в</w:t>
            </w:r>
            <w:r w:rsidRPr="003569FB">
              <w:rPr>
                <w:sz w:val="19"/>
                <w:szCs w:val="19"/>
              </w:rPr>
              <w:t>ляющихся Сторонами Конвенции о з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грязнении воздуха (среднее колич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ство человеко-дней на одну страну, не являющуюся Стороной);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число ратификаций трех последних протоколов к Конвенции;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количество учебных сессий, п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священных осуществлению Конве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ции и протоколов к ней, в странах В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сточной и Юго-Восточной Европы, Кавказа и Центральной Азии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iCs/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a) 37; b) 27; c) 91; d) 6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a) 45; b)</w:t>
            </w:r>
            <w:r w:rsidR="000E5F16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28; c) 93; d) 6</w:t>
            </w:r>
          </w:p>
        </w:tc>
      </w:tr>
      <w:tr w:rsidR="003E7248" w:rsidRPr="007B2FDD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 31 июля 2015 года): a) 45; b) 28; c) 92; d) 6</w:t>
            </w:r>
          </w:p>
        </w:tc>
      </w:tr>
      <w:tr w:rsidR="003E7248" w:rsidRPr="00FF6877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Целевые показатели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на 2016–2017 годы: </w:t>
            </w:r>
            <w:r w:rsidRPr="003569FB">
              <w:rPr>
                <w:sz w:val="19"/>
                <w:szCs w:val="19"/>
                <w:lang w:val="en-US"/>
              </w:rPr>
              <w:t>a</w:t>
            </w:r>
            <w:r w:rsidRPr="003569FB">
              <w:rPr>
                <w:sz w:val="19"/>
                <w:szCs w:val="19"/>
              </w:rPr>
              <w:t xml:space="preserve">) 45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 28;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93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 6</w:t>
            </w:r>
          </w:p>
        </w:tc>
      </w:tr>
      <w:tr w:rsidR="003E7248" w:rsidRPr="00FF6877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3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6.</w:t>
            </w:r>
            <w:r w:rsidRPr="003569FB">
              <w:rPr>
                <w:sz w:val="19"/>
                <w:szCs w:val="19"/>
              </w:rPr>
              <w:tab/>
              <w:t>Конвенция о доступе к инфо</w:t>
            </w:r>
            <w:r w:rsidRPr="003569FB">
              <w:rPr>
                <w:sz w:val="19"/>
                <w:szCs w:val="19"/>
              </w:rPr>
              <w:t>р</w:t>
            </w:r>
            <w:r w:rsidRPr="003569FB">
              <w:rPr>
                <w:sz w:val="19"/>
                <w:szCs w:val="19"/>
              </w:rPr>
              <w:t>мации, участии общественности в процессе принятия решений и доступе к правосудию по вопр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сам, касающимся окружающей среды (</w:t>
            </w:r>
            <w:proofErr w:type="spellStart"/>
            <w:r w:rsidRPr="003569FB">
              <w:rPr>
                <w:sz w:val="19"/>
                <w:szCs w:val="19"/>
              </w:rPr>
              <w:t>Орхусская</w:t>
            </w:r>
            <w:proofErr w:type="spellEnd"/>
            <w:r w:rsidRPr="003569FB">
              <w:rPr>
                <w:sz w:val="19"/>
                <w:szCs w:val="19"/>
              </w:rPr>
              <w:t xml:space="preserve"> конвенция)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 7</w:t>
            </w:r>
            <w:r w:rsidRPr="003569FB">
              <w:rPr>
                <w:sz w:val="19"/>
                <w:szCs w:val="19"/>
              </w:rPr>
              <w:br/>
              <w:t xml:space="preserve">Увеличение числа ратификаций </w:t>
            </w:r>
            <w:proofErr w:type="spellStart"/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р</w:t>
            </w:r>
            <w:r w:rsidRPr="003569FB">
              <w:rPr>
                <w:sz w:val="19"/>
                <w:szCs w:val="19"/>
              </w:rPr>
              <w:t>хусской</w:t>
            </w:r>
            <w:proofErr w:type="spellEnd"/>
            <w:r w:rsidRPr="003569FB">
              <w:rPr>
                <w:sz w:val="19"/>
                <w:szCs w:val="19"/>
              </w:rPr>
              <w:t xml:space="preserve"> конвенции и Протокола о р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гистрах выбросов и переноса загря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нителей (Протокол о РВПЗ) и укре</w:t>
            </w:r>
            <w:r w:rsidRPr="003569FB">
              <w:rPr>
                <w:sz w:val="19"/>
                <w:szCs w:val="19"/>
              </w:rPr>
              <w:t>п</w:t>
            </w:r>
            <w:r w:rsidRPr="003569FB">
              <w:rPr>
                <w:sz w:val="19"/>
                <w:szCs w:val="19"/>
              </w:rPr>
              <w:t>ление их осуществления</w:t>
            </w:r>
          </w:p>
        </w:tc>
      </w:tr>
      <w:tr w:rsidR="003E7248" w:rsidRPr="00FF6877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7</w:t>
            </w:r>
            <w:r w:rsidRPr="003569FB">
              <w:rPr>
                <w:sz w:val="19"/>
                <w:szCs w:val="19"/>
              </w:rPr>
              <w:br/>
              <w:t>Увеличение количества стран, прин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мающих меры к активизации 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ществления Конвенции и Протокола о РВПЗ к ней посредством:</w:t>
            </w:r>
          </w:p>
        </w:tc>
      </w:tr>
      <w:tr w:rsidR="003E7248" w:rsidRPr="00FF6877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5A0AEA" w:rsidRDefault="003E7248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a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интенсивной деятельности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ющихся Сторонами </w:t>
            </w:r>
            <w:proofErr w:type="spellStart"/>
            <w:r w:rsidRPr="003569FB">
              <w:rPr>
                <w:sz w:val="19"/>
                <w:szCs w:val="19"/>
              </w:rPr>
              <w:t>Орхусской</w:t>
            </w:r>
            <w:proofErr w:type="spellEnd"/>
            <w:r w:rsidRPr="003569FB">
              <w:rPr>
                <w:sz w:val="19"/>
                <w:szCs w:val="19"/>
              </w:rPr>
              <w:t xml:space="preserve">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венции (среднее количество человеко-дней на одну страну, не являющуюся Стороной);</w:t>
            </w:r>
          </w:p>
          <w:p w:rsidR="000E5F16" w:rsidRPr="005A0AEA" w:rsidRDefault="000E5F16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интенсивной деятельности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ющихся Сторонами Протокола о РВПЗ (среднее количество человеко-дней на одну страну, не являющуюся Стор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ной);</w:t>
            </w:r>
          </w:p>
          <w:p w:rsidR="000E5F16" w:rsidRPr="005A0AEA" w:rsidRDefault="000E5F16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 xml:space="preserve">увеличения числа ратификаций </w:t>
            </w:r>
            <w:proofErr w:type="spellStart"/>
            <w:r w:rsidRPr="003569FB">
              <w:rPr>
                <w:sz w:val="19"/>
                <w:szCs w:val="19"/>
              </w:rPr>
              <w:t>Орхусской</w:t>
            </w:r>
            <w:proofErr w:type="spellEnd"/>
            <w:r w:rsidRPr="003569FB">
              <w:rPr>
                <w:sz w:val="19"/>
                <w:szCs w:val="19"/>
              </w:rPr>
              <w:t xml:space="preserve"> конвенции;</w:t>
            </w:r>
          </w:p>
          <w:p w:rsidR="000E5F16" w:rsidRPr="005A0AEA" w:rsidRDefault="000E5F16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увеличения числа ратификаций Протокола о РВПЗ;</w:t>
            </w:r>
          </w:p>
          <w:p w:rsidR="000E5F16" w:rsidRPr="00860526" w:rsidRDefault="000E5F16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</w:t>
            </w:r>
            <w:r w:rsidR="00911794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 количества стран, представляющих национальные д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клады об осуществлении Совещанию Сторон Конвенции с указанием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гресса в выполнении основных обяз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тельств;</w:t>
            </w:r>
          </w:p>
          <w:p w:rsidR="000E5F16" w:rsidRPr="005A0AEA" w:rsidRDefault="000E5F16" w:rsidP="000E5F1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увеличения количества стран, представляющих национальные д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клады об осуществлении Совещанию Сторон Протокола о РВПЗ с указанием прогресса в выполнении основных обязательств</w:t>
            </w:r>
          </w:p>
        </w:tc>
      </w:tr>
      <w:tr w:rsidR="003E7248" w:rsidRPr="00FF6877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iCs/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</w:tc>
      </w:tr>
      <w:tr w:rsidR="003E7248" w:rsidRPr="00BC10F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2012–2013 годы: </w:t>
            </w:r>
            <w:r w:rsidRPr="003569FB">
              <w:rPr>
                <w:sz w:val="19"/>
                <w:szCs w:val="19"/>
                <w:lang w:val="es-ES"/>
              </w:rPr>
              <w:t>a</w:t>
            </w:r>
            <w:r w:rsidRPr="003569FB">
              <w:rPr>
                <w:sz w:val="19"/>
                <w:szCs w:val="19"/>
              </w:rPr>
              <w:t xml:space="preserve">) 4; </w:t>
            </w:r>
            <w:r w:rsidRPr="003569FB">
              <w:rPr>
                <w:sz w:val="19"/>
                <w:szCs w:val="19"/>
                <w:lang w:val="es-ES"/>
              </w:rPr>
              <w:t>b</w:t>
            </w:r>
            <w:r w:rsidRPr="003569FB">
              <w:rPr>
                <w:sz w:val="19"/>
                <w:szCs w:val="19"/>
              </w:rPr>
              <w:t xml:space="preserve">) 3; </w:t>
            </w:r>
            <w:r w:rsidRPr="003569FB">
              <w:rPr>
                <w:sz w:val="19"/>
                <w:szCs w:val="19"/>
                <w:lang w:val="es-ES"/>
              </w:rPr>
              <w:t>c</w:t>
            </w:r>
            <w:r w:rsidRPr="003569FB">
              <w:rPr>
                <w:sz w:val="19"/>
                <w:szCs w:val="19"/>
              </w:rPr>
              <w:t xml:space="preserve">) 46; </w:t>
            </w:r>
            <w:r w:rsidRPr="003569FB">
              <w:rPr>
                <w:sz w:val="19"/>
                <w:szCs w:val="19"/>
                <w:lang w:val="es-ES"/>
              </w:rPr>
              <w:t>d</w:t>
            </w:r>
            <w:r w:rsidRPr="003569FB">
              <w:rPr>
                <w:sz w:val="19"/>
                <w:szCs w:val="19"/>
              </w:rPr>
              <w:t xml:space="preserve">) 33; </w:t>
            </w:r>
            <w:r w:rsidRPr="003569FB">
              <w:rPr>
                <w:sz w:val="19"/>
                <w:szCs w:val="19"/>
                <w:lang w:val="es-ES"/>
              </w:rPr>
              <w:t>e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  <w:lang w:val="es-ES"/>
              </w:rPr>
              <w:t> </w:t>
            </w:r>
            <w:proofErr w:type="spellStart"/>
            <w:r w:rsidRPr="003569FB">
              <w:rPr>
                <w:sz w:val="19"/>
                <w:szCs w:val="19"/>
              </w:rPr>
              <w:t>неприменимо</w:t>
            </w:r>
            <w:r w:rsidRPr="003569FB">
              <w:rPr>
                <w:i/>
                <w:iCs/>
                <w:sz w:val="19"/>
                <w:szCs w:val="19"/>
                <w:vertAlign w:val="superscript"/>
              </w:rPr>
              <w:t>с</w:t>
            </w:r>
            <w:proofErr w:type="spellEnd"/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s-ES"/>
              </w:rPr>
              <w:t>f</w:t>
            </w:r>
            <w:r w:rsidRPr="003569FB">
              <w:rPr>
                <w:sz w:val="19"/>
                <w:szCs w:val="19"/>
              </w:rPr>
              <w:t>) неприменимо</w:t>
            </w:r>
          </w:p>
        </w:tc>
      </w:tr>
      <w:tr w:rsidR="003E7248" w:rsidRPr="00BC10F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Оценка за 2014–2015 годы: </w:t>
            </w:r>
            <w:r w:rsidRPr="003569FB">
              <w:rPr>
                <w:sz w:val="19"/>
                <w:szCs w:val="19"/>
                <w:lang w:val="es-ES"/>
              </w:rPr>
              <w:t>a</w:t>
            </w:r>
            <w:r w:rsidRPr="003569FB">
              <w:rPr>
                <w:sz w:val="19"/>
                <w:szCs w:val="19"/>
              </w:rPr>
              <w:t xml:space="preserve">) 4; </w:t>
            </w:r>
            <w:r w:rsidRPr="003569FB">
              <w:rPr>
                <w:sz w:val="19"/>
                <w:szCs w:val="19"/>
                <w:lang w:val="es-ES"/>
              </w:rPr>
              <w:t>b</w:t>
            </w:r>
            <w:r w:rsidRPr="003569FB">
              <w:rPr>
                <w:sz w:val="19"/>
                <w:szCs w:val="19"/>
              </w:rPr>
              <w:t xml:space="preserve">) 3; </w:t>
            </w:r>
            <w:r w:rsidRPr="003569FB">
              <w:rPr>
                <w:sz w:val="19"/>
                <w:szCs w:val="19"/>
                <w:lang w:val="es-ES"/>
              </w:rPr>
              <w:t>c</w:t>
            </w:r>
            <w:r w:rsidRPr="003569FB">
              <w:rPr>
                <w:sz w:val="19"/>
                <w:szCs w:val="19"/>
              </w:rPr>
              <w:t xml:space="preserve">) 47; </w:t>
            </w:r>
            <w:r w:rsidRPr="003569FB">
              <w:rPr>
                <w:sz w:val="19"/>
                <w:szCs w:val="19"/>
                <w:lang w:val="es-ES"/>
              </w:rPr>
              <w:t>d</w:t>
            </w:r>
            <w:r w:rsidRPr="003569FB">
              <w:rPr>
                <w:sz w:val="19"/>
                <w:szCs w:val="19"/>
              </w:rPr>
              <w:t xml:space="preserve">) 34; </w:t>
            </w:r>
            <w:r w:rsidRPr="003569FB">
              <w:rPr>
                <w:sz w:val="19"/>
                <w:szCs w:val="19"/>
                <w:lang w:val="es-ES"/>
              </w:rPr>
              <w:t>e</w:t>
            </w:r>
            <w:r w:rsidRPr="003569FB">
              <w:rPr>
                <w:sz w:val="19"/>
                <w:szCs w:val="19"/>
              </w:rPr>
              <w:t xml:space="preserve">) 46; </w:t>
            </w:r>
            <w:r w:rsidRPr="003569FB">
              <w:rPr>
                <w:sz w:val="19"/>
                <w:szCs w:val="19"/>
                <w:lang w:val="es-ES"/>
              </w:rPr>
              <w:t>f</w:t>
            </w:r>
            <w:r w:rsidRPr="003569FB">
              <w:rPr>
                <w:sz w:val="19"/>
                <w:szCs w:val="19"/>
              </w:rPr>
              <w:t>) 32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0E5F16" w:rsidRPr="000E5F16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за 2014–2015 годы (по состоянию на 31 июля 2015 года): </w:t>
            </w:r>
            <w:r w:rsidRPr="003569FB">
              <w:rPr>
                <w:sz w:val="19"/>
                <w:szCs w:val="19"/>
                <w:lang w:val="en-US"/>
              </w:rPr>
              <w:t>a</w:t>
            </w:r>
            <w:r w:rsidRPr="003569FB">
              <w:rPr>
                <w:sz w:val="19"/>
                <w:szCs w:val="19"/>
              </w:rPr>
              <w:t>) 6</w:t>
            </w:r>
            <w:r w:rsidRPr="003569FB">
              <w:rPr>
                <w:i/>
                <w:iCs/>
                <w:sz w:val="19"/>
                <w:szCs w:val="19"/>
                <w:vertAlign w:val="superscript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 2</w:t>
            </w:r>
            <w:r w:rsidRPr="003569FB">
              <w:rPr>
                <w:i/>
                <w:iCs/>
                <w:sz w:val="19"/>
                <w:szCs w:val="19"/>
                <w:vertAlign w:val="superscript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47;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33;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 xml:space="preserve">) 46; </w:t>
            </w: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>) 32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Целевые показатели на 2016–2017 г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ды: a) 2; b) 3; c) 47; d) 34; e) 46; f) 32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7.</w:t>
            </w:r>
            <w:r w:rsidRPr="003569FB">
              <w:rPr>
                <w:sz w:val="19"/>
                <w:szCs w:val="19"/>
              </w:rPr>
              <w:tab/>
              <w:t>Конвенция об оценке возде</w:t>
            </w:r>
            <w:r w:rsidRPr="003569FB">
              <w:rPr>
                <w:sz w:val="19"/>
                <w:szCs w:val="19"/>
              </w:rPr>
              <w:t>й</w:t>
            </w:r>
            <w:r w:rsidRPr="003569FB">
              <w:rPr>
                <w:sz w:val="19"/>
                <w:szCs w:val="19"/>
              </w:rPr>
              <w:t>ствия на окружающую среду в трансграничном контексте (Ко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 xml:space="preserve">венция </w:t>
            </w:r>
            <w:proofErr w:type="spellStart"/>
            <w:r w:rsidRPr="003569FB">
              <w:rPr>
                <w:sz w:val="19"/>
                <w:szCs w:val="19"/>
              </w:rPr>
              <w:t>Эспо</w:t>
            </w:r>
            <w:proofErr w:type="spellEnd"/>
            <w:r w:rsidRPr="003569FB">
              <w:rPr>
                <w:sz w:val="19"/>
                <w:szCs w:val="19"/>
              </w:rPr>
              <w:t>)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 8</w:t>
            </w:r>
            <w:r w:rsidRPr="003569FB">
              <w:rPr>
                <w:sz w:val="19"/>
                <w:szCs w:val="19"/>
              </w:rPr>
              <w:br/>
              <w:t>Увеличение числа ратификаций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 xml:space="preserve">венции </w:t>
            </w:r>
            <w:proofErr w:type="spellStart"/>
            <w:r w:rsidRPr="003569FB">
              <w:rPr>
                <w:sz w:val="19"/>
                <w:szCs w:val="19"/>
              </w:rPr>
              <w:t>Эспо</w:t>
            </w:r>
            <w:proofErr w:type="spellEnd"/>
            <w:r w:rsidRPr="003569FB">
              <w:rPr>
                <w:sz w:val="19"/>
                <w:szCs w:val="19"/>
              </w:rPr>
              <w:t xml:space="preserve"> и Протокола по стратег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ческой экологической оценке (Прот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кол по СЭО) и усиление работы по их осуществлению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8</w:t>
            </w:r>
            <w:r w:rsidRPr="003569FB">
              <w:rPr>
                <w:sz w:val="19"/>
                <w:szCs w:val="19"/>
              </w:rPr>
              <w:br/>
              <w:t>Увеличение количества стран, прин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мающих меры к активизации 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ществления Конвенции и Протокола по СЭО к ней посредством: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a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увеличения количества стран, участвующих в субрегиональном с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трудничестве в рамках Конвенции;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</w:t>
            </w:r>
            <w:r w:rsidR="00911794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 количества Сторон, представляющих доклады об 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ществлении Конвенции;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интенсивной деятельности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ющихся Сторонами Конвенции </w:t>
            </w:r>
            <w:proofErr w:type="spellStart"/>
            <w:r w:rsidRPr="003569FB">
              <w:rPr>
                <w:sz w:val="19"/>
                <w:szCs w:val="19"/>
              </w:rPr>
              <w:t>Эспо</w:t>
            </w:r>
            <w:proofErr w:type="spellEnd"/>
            <w:r w:rsidRPr="003569FB">
              <w:rPr>
                <w:sz w:val="19"/>
                <w:szCs w:val="19"/>
              </w:rPr>
              <w:t xml:space="preserve"> (среднее количество человеко-дней на одну страну, не являющуюся Стор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ной);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интенсивной деятельности по наращиванию потенциала в странах, не являющихся Сторонами Протокола по СЭО (среднее количество человека-дней на одну страну, не являющуюся Стороной);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увеличения числа ратификаций Протокола по СЭО;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 xml:space="preserve">увеличения числа ратификаций, одобрений или принятий Конвенции </w:t>
            </w:r>
            <w:proofErr w:type="spellStart"/>
            <w:r w:rsidRPr="003569FB">
              <w:rPr>
                <w:sz w:val="19"/>
                <w:szCs w:val="19"/>
              </w:rPr>
              <w:t>Эспо</w:t>
            </w:r>
            <w:proofErr w:type="spellEnd"/>
            <w:r w:rsidRPr="003569FB">
              <w:rPr>
                <w:sz w:val="19"/>
                <w:szCs w:val="19"/>
              </w:rPr>
              <w:t>;</w:t>
            </w:r>
          </w:p>
        </w:tc>
      </w:tr>
      <w:tr w:rsidR="003E7248" w:rsidRPr="0072163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g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tab/>
              <w:t>увеличения числа ратификаций, одобрений или принятий двух попр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 xml:space="preserve">вок к Конвенции </w:t>
            </w:r>
            <w:proofErr w:type="spellStart"/>
            <w:r w:rsidRPr="003569FB">
              <w:rPr>
                <w:sz w:val="19"/>
                <w:szCs w:val="19"/>
              </w:rPr>
              <w:t>Эспо</w:t>
            </w:r>
            <w:proofErr w:type="spellEnd"/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  <w:vertAlign w:val="superscript"/>
                <w:lang w:val="en-US"/>
              </w:rPr>
            </w:pPr>
            <w:r w:rsidRPr="003569FB">
              <w:rPr>
                <w:sz w:val="19"/>
                <w:szCs w:val="19"/>
                <w:lang w:val="en-US"/>
              </w:rPr>
              <w:t>h</w:t>
            </w:r>
            <w:r w:rsidRPr="003569FB">
              <w:rPr>
                <w:sz w:val="19"/>
                <w:szCs w:val="19"/>
              </w:rPr>
              <w:t>) увеличени</w:t>
            </w:r>
            <w:r w:rsidR="00911794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 количества Сторон, представляющих доклады о провод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мой ими работе по осуществлению Протокола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f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22750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CF79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2012–2013 годы: а) 16;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38; с) 11;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="00CF79C5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10; е) 25; </w:t>
            </w: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 xml:space="preserve">) 45; </w:t>
            </w:r>
            <w:r w:rsidRPr="003569FB">
              <w:rPr>
                <w:sz w:val="19"/>
                <w:szCs w:val="19"/>
                <w:lang w:val="en-US"/>
              </w:rPr>
              <w:t>g</w:t>
            </w:r>
            <w:r w:rsidRPr="003569FB">
              <w:rPr>
                <w:sz w:val="19"/>
                <w:szCs w:val="19"/>
              </w:rPr>
              <w:t>) первая поправка – 24; вторая поправка – 24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CF79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Оценка за 2014–2015 годы: а) 30;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="00CF79C5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44;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33;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12;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 xml:space="preserve">) 29; </w:t>
            </w: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 xml:space="preserve">) 46; </w:t>
            </w:r>
            <w:r w:rsidRPr="003569FB">
              <w:rPr>
                <w:sz w:val="19"/>
                <w:szCs w:val="19"/>
                <w:lang w:val="en-US"/>
              </w:rPr>
              <w:t>g</w:t>
            </w:r>
            <w:r w:rsidRPr="003569FB">
              <w:rPr>
                <w:sz w:val="19"/>
                <w:szCs w:val="19"/>
              </w:rPr>
              <w:t>) пе</w:t>
            </w:r>
            <w:r w:rsidRPr="003569FB">
              <w:rPr>
                <w:sz w:val="19"/>
                <w:szCs w:val="19"/>
              </w:rPr>
              <w:t>р</w:t>
            </w:r>
            <w:r w:rsidRPr="003569FB">
              <w:rPr>
                <w:sz w:val="19"/>
                <w:szCs w:val="19"/>
              </w:rPr>
              <w:t>вая поправка – 26, вторая поправка – 26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CF79C5" w:rsidRPr="00CF79C5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за 2014–2015 годы (по состоянию на 31 июля 2015 года): а) 30;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41;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37;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71;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 xml:space="preserve">) 26; </w:t>
            </w: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 xml:space="preserve">) 45; </w:t>
            </w:r>
            <w:r w:rsidRPr="003569FB">
              <w:rPr>
                <w:sz w:val="19"/>
                <w:szCs w:val="19"/>
                <w:lang w:val="en-US"/>
              </w:rPr>
              <w:t>g</w:t>
            </w:r>
            <w:r w:rsidRPr="003569FB">
              <w:rPr>
                <w:sz w:val="19"/>
                <w:szCs w:val="19"/>
              </w:rPr>
              <w:t>) первая поправка – 26, вторая поправка – 26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Целевые показатели </w:t>
            </w:r>
            <w:r w:rsidR="00CF79C5" w:rsidRPr="00CF79C5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на 2016–2017 годы: а) 35;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45;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18;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35;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 xml:space="preserve">) 31; </w:t>
            </w:r>
            <w:r w:rsidRPr="003569FB">
              <w:rPr>
                <w:sz w:val="19"/>
                <w:szCs w:val="19"/>
                <w:lang w:val="en-US"/>
              </w:rPr>
              <w:t>f</w:t>
            </w:r>
            <w:r w:rsidRPr="003569FB">
              <w:rPr>
                <w:sz w:val="19"/>
                <w:szCs w:val="19"/>
              </w:rPr>
              <w:t xml:space="preserve">) 47; </w:t>
            </w:r>
            <w:r w:rsidRPr="003569FB">
              <w:rPr>
                <w:sz w:val="19"/>
                <w:szCs w:val="19"/>
                <w:lang w:val="en-US"/>
              </w:rPr>
              <w:t>g</w:t>
            </w:r>
            <w:r w:rsidRPr="003569FB">
              <w:rPr>
                <w:sz w:val="19"/>
                <w:szCs w:val="19"/>
              </w:rPr>
              <w:t xml:space="preserve">) первая поправка – 32, вторая поправка – 31; </w:t>
            </w:r>
            <w:r w:rsidRPr="003569FB">
              <w:rPr>
                <w:sz w:val="19"/>
                <w:szCs w:val="19"/>
                <w:lang w:val="en-US"/>
              </w:rPr>
              <w:t>h</w:t>
            </w:r>
            <w:r w:rsidRPr="003569FB">
              <w:rPr>
                <w:sz w:val="19"/>
                <w:szCs w:val="19"/>
              </w:rPr>
              <w:t>) 26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8.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Конвенция по охране и испол</w:t>
            </w:r>
            <w:r w:rsidRPr="003569FB">
              <w:rPr>
                <w:sz w:val="19"/>
                <w:szCs w:val="19"/>
              </w:rPr>
              <w:t>ь</w:t>
            </w:r>
            <w:r w:rsidRPr="003569FB">
              <w:rPr>
                <w:sz w:val="19"/>
                <w:szCs w:val="19"/>
              </w:rPr>
              <w:t>зованию трансграничных водот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ков и международных озер (Ко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венция по водам)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</w:t>
            </w:r>
            <w:proofErr w:type="gramStart"/>
            <w:r w:rsidRPr="003569FB">
              <w:rPr>
                <w:sz w:val="19"/>
                <w:szCs w:val="19"/>
              </w:rPr>
              <w:t>9</w:t>
            </w:r>
            <w:proofErr w:type="gramEnd"/>
            <w:r w:rsidRPr="003569FB">
              <w:rPr>
                <w:sz w:val="19"/>
                <w:szCs w:val="19"/>
              </w:rPr>
              <w:br/>
              <w:t>Увеличение числа ратификаций Ко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венции по водам и Протокола по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блемам воды и здоровья и усиление работы по их осуществлению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</w:t>
            </w:r>
            <w:proofErr w:type="gramStart"/>
            <w:r w:rsidRPr="003569FB">
              <w:rPr>
                <w:sz w:val="19"/>
                <w:szCs w:val="19"/>
              </w:rPr>
              <w:t>9</w:t>
            </w:r>
            <w:proofErr w:type="gramEnd"/>
            <w:r w:rsidRPr="003569FB">
              <w:rPr>
                <w:sz w:val="19"/>
                <w:szCs w:val="19"/>
              </w:rPr>
              <w:br/>
              <w:t>Увеличение числа стран, представл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ющих доклады о ходе осуществления Конвенции по водам и Протокола по проблемам воды и здоровья, путем: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а)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интенсивной деятельности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ющихся Сторонами Конвенции по в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дам (среднее количество человеко-дней на одну страну, не являющуюся Стороной);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интенсивной деятельности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ющихся Сторонами Протокола по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блемам воды и здоровья (среднее к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личество человеко-дней на одну стр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ну, не являющуюся Стороной);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с)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увеличения числа ратификаций Протокола по проблемам воды и зд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ровья;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  <w:vertAlign w:val="superscript"/>
              </w:rPr>
            </w:pP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увеличения числа присоединений к Конвенции по водам государствами, не являющимися членами ЕЭК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g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22750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iCs/>
                <w:sz w:val="19"/>
                <w:szCs w:val="19"/>
              </w:rPr>
            </w:pPr>
            <w:r w:rsidRPr="00322750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2012–2013 годы: а) 66;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25;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26;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неприменимо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Оценка за 2014–2015 годы: а) 55;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25;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27;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 2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  <w:vertAlign w:val="superscript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31 июля 2015 года): а) 55;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44;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26;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 0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h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Целевые показатели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на 2016–2017 годы: а) 50;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35;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27;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 1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9. </w:t>
            </w:r>
            <w:r w:rsidR="00322750" w:rsidRPr="005A0AEA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Конвенция о трансграничном воздействии промышленных ав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рий (Конвенция о промышленных авариях)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10</w:t>
            </w:r>
            <w:r w:rsidRPr="003569FB">
              <w:rPr>
                <w:sz w:val="19"/>
                <w:szCs w:val="19"/>
              </w:rPr>
              <w:br/>
              <w:t>Активизация осуществления Конве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ции о промышленных авариях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9117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10</w:t>
            </w:r>
            <w:r w:rsidRPr="003569FB">
              <w:rPr>
                <w:sz w:val="19"/>
                <w:szCs w:val="19"/>
              </w:rPr>
              <w:br/>
              <w:t>Увеличение количества докладов гос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>дарств о ходе осуществления Конве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 xml:space="preserve">ции в пяти основных областях: 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а)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интенсивная деятельность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не явл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ющихся Сторонами Конвенции о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мышленных авариях (среднее колич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ство человеко-дней на одну страну, не являющуюся Стороной);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интенсивная деятельность по ра</w:t>
            </w:r>
            <w:r w:rsidRPr="003569FB">
              <w:rPr>
                <w:sz w:val="19"/>
                <w:szCs w:val="19"/>
              </w:rPr>
              <w:t>з</w:t>
            </w:r>
            <w:r w:rsidRPr="003569FB">
              <w:rPr>
                <w:sz w:val="19"/>
                <w:szCs w:val="19"/>
              </w:rPr>
              <w:t>витию потенциала в странах, явля</w:t>
            </w:r>
            <w:r w:rsidRPr="003569FB">
              <w:rPr>
                <w:sz w:val="19"/>
                <w:szCs w:val="19"/>
              </w:rPr>
              <w:t>ю</w:t>
            </w:r>
            <w:r w:rsidRPr="003569FB">
              <w:rPr>
                <w:sz w:val="19"/>
                <w:szCs w:val="19"/>
              </w:rPr>
              <w:t>щихся Сторонами Конвенции о пр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мышленных авариях (среднее колич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ство человеко-дней на одну страну, я</w:t>
            </w:r>
            <w:r w:rsidRPr="003569FB">
              <w:rPr>
                <w:sz w:val="19"/>
                <w:szCs w:val="19"/>
              </w:rPr>
              <w:t>в</w:t>
            </w:r>
            <w:r w:rsidRPr="003569FB">
              <w:rPr>
                <w:sz w:val="19"/>
                <w:szCs w:val="19"/>
              </w:rPr>
              <w:t>ляющуюся Стороной);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с)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выявление опасных видов деятел</w:t>
            </w:r>
            <w:r w:rsidRPr="003569FB">
              <w:rPr>
                <w:sz w:val="19"/>
                <w:szCs w:val="19"/>
              </w:rPr>
              <w:t>ь</w:t>
            </w:r>
            <w:r w:rsidRPr="003569FB">
              <w:rPr>
                <w:sz w:val="19"/>
                <w:szCs w:val="19"/>
              </w:rPr>
              <w:t>ности в ходе учебных сессий;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предупреждение – применение и усиление превентивных мер в отнош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нии опасных видов деятельности в рамках мероприятий по наращиванию потенциала;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е) </w:t>
            </w:r>
            <w:r w:rsidR="00322750" w:rsidRPr="00322750">
              <w:rPr>
                <w:sz w:val="19"/>
                <w:szCs w:val="19"/>
              </w:rPr>
              <w:tab/>
            </w:r>
            <w:r w:rsidRPr="003569FB">
              <w:rPr>
                <w:sz w:val="19"/>
                <w:szCs w:val="19"/>
              </w:rPr>
              <w:t>уведомление о промышленных ав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риях с использованием Системы оп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вещения о промышленных авариях, внедряемой с помощью организации обучения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22750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i/>
                <w:sz w:val="19"/>
                <w:szCs w:val="19"/>
              </w:rPr>
              <w:t>Итоги измерения результативности: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5A0A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  <w:vertAlign w:val="superscript"/>
              </w:rPr>
            </w:pPr>
            <w:r w:rsidRPr="003569FB">
              <w:rPr>
                <w:sz w:val="19"/>
                <w:szCs w:val="19"/>
              </w:rPr>
              <w:t xml:space="preserve">2012–2013 годы: а) 26;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32;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 32</w:t>
            </w:r>
            <w:proofErr w:type="spellStart"/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i</w:t>
            </w:r>
            <w:proofErr w:type="spellEnd"/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39</w:t>
            </w:r>
            <w:r w:rsidR="005A0AEA">
              <w:rPr>
                <w:i/>
                <w:sz w:val="19"/>
                <w:szCs w:val="19"/>
                <w:vertAlign w:val="superscript"/>
                <w:lang w:val="en-US"/>
              </w:rPr>
              <w:t>j</w:t>
            </w:r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 16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k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Оценка за 2014–2015 годы: а) 37;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>)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 xml:space="preserve">20;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43;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40;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 40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i/>
                <w:sz w:val="19"/>
                <w:szCs w:val="19"/>
                <w:vertAlign w:val="superscript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за 2014–2015 годы (по состоянию на 31 июля 2015 года): а) 18;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20;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>) 33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l</w:t>
            </w:r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 40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m</w:t>
            </w:r>
            <w:r w:rsidRPr="003569FB">
              <w:rPr>
                <w:sz w:val="19"/>
                <w:szCs w:val="19"/>
              </w:rPr>
              <w:t xml:space="preserve">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 14</w:t>
            </w:r>
            <w:r w:rsidRPr="003569FB">
              <w:rPr>
                <w:i/>
                <w:sz w:val="19"/>
                <w:szCs w:val="19"/>
                <w:vertAlign w:val="superscript"/>
                <w:lang w:val="en-US"/>
              </w:rPr>
              <w:t>n</w:t>
            </w:r>
          </w:p>
        </w:tc>
      </w:tr>
      <w:tr w:rsidR="003E7248" w:rsidRPr="009B3E6E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Целевые показатели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 xml:space="preserve">на 2016–2017 годы: а) 17; </w:t>
            </w:r>
            <w:r w:rsidRPr="003569FB">
              <w:rPr>
                <w:sz w:val="19"/>
                <w:szCs w:val="19"/>
                <w:lang w:val="en-US"/>
              </w:rPr>
              <w:t>b</w:t>
            </w:r>
            <w:r w:rsidRPr="003569FB">
              <w:rPr>
                <w:sz w:val="19"/>
                <w:szCs w:val="19"/>
              </w:rPr>
              <w:t xml:space="preserve">) 15; </w:t>
            </w:r>
            <w:r w:rsidRPr="003569FB">
              <w:rPr>
                <w:sz w:val="19"/>
                <w:szCs w:val="19"/>
                <w:lang w:val="en-US"/>
              </w:rPr>
              <w:t>c</w:t>
            </w:r>
            <w:r w:rsidRPr="003569FB">
              <w:rPr>
                <w:sz w:val="19"/>
                <w:szCs w:val="19"/>
              </w:rPr>
              <w:t xml:space="preserve">) 34;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 xml:space="preserve">) 40; </w:t>
            </w:r>
            <w:r w:rsidRPr="003569FB">
              <w:rPr>
                <w:sz w:val="19"/>
                <w:szCs w:val="19"/>
                <w:lang w:val="en-US"/>
              </w:rPr>
              <w:t>e</w:t>
            </w:r>
            <w:r w:rsidRPr="003569FB">
              <w:rPr>
                <w:sz w:val="19"/>
                <w:szCs w:val="19"/>
              </w:rPr>
              <w:t>) 15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3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lastRenderedPageBreak/>
              <w:t>ОД с)</w:t>
            </w:r>
            <w:r w:rsidRPr="003569FB">
              <w:rPr>
                <w:sz w:val="19"/>
                <w:szCs w:val="19"/>
              </w:rPr>
              <w:br/>
              <w:t>Укрепление национального потенц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ала в области мониторинга и оценки состояния окружающей среды в странах Восточной Европы, Кавказа, Центрально Азии и Юго-Восточной Европы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33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10.</w:t>
            </w:r>
            <w:r w:rsidRPr="003569FB">
              <w:rPr>
                <w:sz w:val="19"/>
                <w:szCs w:val="19"/>
              </w:rPr>
              <w:tab/>
              <w:t xml:space="preserve">Мониторинг </w:t>
            </w:r>
            <w:r w:rsidR="00911794">
              <w:rPr>
                <w:sz w:val="19"/>
                <w:szCs w:val="19"/>
              </w:rPr>
              <w:t xml:space="preserve">и </w:t>
            </w:r>
            <w:r w:rsidRPr="003569FB">
              <w:rPr>
                <w:sz w:val="19"/>
                <w:szCs w:val="19"/>
              </w:rPr>
              <w:t>оценка состо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 xml:space="preserve">ния окружающей среды 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11</w:t>
            </w:r>
            <w:r w:rsidRPr="003569FB">
              <w:rPr>
                <w:sz w:val="19"/>
                <w:szCs w:val="19"/>
              </w:rPr>
              <w:br/>
              <w:t>Укрепление национального потенци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ла в области мониторинга и оценки состояния окружающей среды в стр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нах Восточной Европы, Кавказа, Це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трально Азии и Юго-Восточной Евр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пы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с)</w:t>
            </w:r>
            <w:r w:rsidRPr="003569FB">
              <w:rPr>
                <w:sz w:val="19"/>
                <w:szCs w:val="19"/>
              </w:rPr>
              <w:br/>
              <w:t>Повышение степени выполнения го</w:t>
            </w:r>
            <w:r w:rsidRPr="003569FB">
              <w:rPr>
                <w:sz w:val="19"/>
                <w:szCs w:val="19"/>
              </w:rPr>
              <w:t>с</w:t>
            </w:r>
            <w:r w:rsidRPr="003569FB">
              <w:rPr>
                <w:sz w:val="19"/>
                <w:szCs w:val="19"/>
              </w:rPr>
              <w:t>ударствами-членами рекомендаций ЕЭК в отношении мониторинга окружающей среды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11</w:t>
            </w:r>
            <w:r w:rsidRPr="003569FB">
              <w:rPr>
                <w:sz w:val="19"/>
                <w:szCs w:val="19"/>
              </w:rPr>
              <w:br/>
              <w:t>Увеличение процентной доли ос</w:t>
            </w:r>
            <w:r w:rsidRPr="003569FB">
              <w:rPr>
                <w:sz w:val="19"/>
                <w:szCs w:val="19"/>
              </w:rPr>
              <w:t>у</w:t>
            </w:r>
            <w:r w:rsidRPr="003569FB">
              <w:rPr>
                <w:sz w:val="19"/>
                <w:szCs w:val="19"/>
              </w:rPr>
              <w:t xml:space="preserve">ществляемых государствами-членами рекомендаций ЕЭК по экологическому мониторингу 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50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50</w:t>
            </w:r>
          </w:p>
        </w:tc>
      </w:tr>
      <w:tr w:rsidR="003E7248" w:rsidRPr="00626764" w:rsidTr="00DF2A52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ОД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br/>
              <w:t>Повышение результативности прир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доохранной деятельности в заинтер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сованных странах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33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11.</w:t>
            </w:r>
            <w:r w:rsidRPr="003569FB">
              <w:rPr>
                <w:sz w:val="19"/>
                <w:szCs w:val="19"/>
              </w:rPr>
              <w:tab/>
              <w:t>Обзоры результативности эк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логической деятельности</w:t>
            </w: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ОД 12</w:t>
            </w:r>
            <w:r w:rsidRPr="003569FB">
              <w:rPr>
                <w:sz w:val="19"/>
                <w:szCs w:val="19"/>
              </w:rPr>
              <w:br/>
              <w:t>Повышение результативности экол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гической деятельности заинтересова</w:t>
            </w:r>
            <w:r w:rsidRPr="003569FB">
              <w:rPr>
                <w:sz w:val="19"/>
                <w:szCs w:val="19"/>
              </w:rPr>
              <w:t>н</w:t>
            </w:r>
            <w:r w:rsidRPr="003569FB">
              <w:rPr>
                <w:sz w:val="19"/>
                <w:szCs w:val="19"/>
              </w:rPr>
              <w:t>ных стран</w:t>
            </w:r>
          </w:p>
        </w:tc>
      </w:tr>
      <w:tr w:rsidR="003E7248" w:rsidRPr="00626764" w:rsidTr="00322750">
        <w:tc>
          <w:tcPr>
            <w:tcW w:w="3352" w:type="dxa"/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ПДР </w:t>
            </w:r>
            <w:r w:rsidRPr="003569FB">
              <w:rPr>
                <w:sz w:val="19"/>
                <w:szCs w:val="19"/>
                <w:lang w:val="en-US"/>
              </w:rPr>
              <w:t>d</w:t>
            </w:r>
            <w:r w:rsidRPr="003569FB">
              <w:rPr>
                <w:sz w:val="19"/>
                <w:szCs w:val="19"/>
              </w:rPr>
              <w:t>)</w:t>
            </w:r>
            <w:r w:rsidRPr="003569FB">
              <w:rPr>
                <w:sz w:val="19"/>
                <w:szCs w:val="19"/>
              </w:rPr>
              <w:br/>
              <w:t>Доля рекомендаций по итогам анал</w:t>
            </w:r>
            <w:r w:rsidRPr="003569FB">
              <w:rPr>
                <w:sz w:val="19"/>
                <w:szCs w:val="19"/>
              </w:rPr>
              <w:t>и</w:t>
            </w:r>
            <w:r w:rsidRPr="003569FB">
              <w:rPr>
                <w:sz w:val="19"/>
                <w:szCs w:val="19"/>
              </w:rPr>
              <w:t>за эффективности природоохранной деятельности, выполненных стран</w:t>
            </w:r>
            <w:r w:rsidRPr="003569FB">
              <w:rPr>
                <w:sz w:val="19"/>
                <w:szCs w:val="19"/>
              </w:rPr>
              <w:t>а</w:t>
            </w:r>
            <w:r w:rsidRPr="003569FB">
              <w:rPr>
                <w:sz w:val="19"/>
                <w:szCs w:val="19"/>
              </w:rPr>
              <w:t>ми, охваченными таким анализом в двухгодичном периоде</w:t>
            </w:r>
          </w:p>
        </w:tc>
        <w:tc>
          <w:tcPr>
            <w:tcW w:w="3218" w:type="dxa"/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ПДР 12</w:t>
            </w:r>
            <w:r w:rsidRPr="003569FB">
              <w:rPr>
                <w:sz w:val="19"/>
                <w:szCs w:val="19"/>
              </w:rPr>
              <w:br/>
              <w:t>Процентная доля рекомендаций обзора результативности экологической де</w:t>
            </w:r>
            <w:r w:rsidRPr="003569FB">
              <w:rPr>
                <w:sz w:val="19"/>
                <w:szCs w:val="19"/>
              </w:rPr>
              <w:t>я</w:t>
            </w:r>
            <w:r w:rsidRPr="003569FB">
              <w:rPr>
                <w:sz w:val="19"/>
                <w:szCs w:val="19"/>
              </w:rPr>
              <w:t>тельности, реализованных за двухг</w:t>
            </w:r>
            <w:r w:rsidRPr="003569FB">
              <w:rPr>
                <w:sz w:val="19"/>
                <w:szCs w:val="19"/>
              </w:rPr>
              <w:t>о</w:t>
            </w:r>
            <w:r w:rsidRPr="003569FB">
              <w:rPr>
                <w:sz w:val="19"/>
                <w:szCs w:val="19"/>
              </w:rPr>
              <w:t>дичный период странами – объектами обзора</w:t>
            </w:r>
          </w:p>
        </w:tc>
      </w:tr>
      <w:tr w:rsidR="003E7248" w:rsidRPr="00626764" w:rsidTr="00322750">
        <w:tc>
          <w:tcPr>
            <w:tcW w:w="3352" w:type="dxa"/>
            <w:tcBorders>
              <w:bottom w:val="single" w:sz="12" w:space="0" w:color="auto"/>
            </w:tcBorders>
            <w:shd w:val="clear" w:color="auto" w:fill="auto"/>
          </w:tcPr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40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65</w:t>
            </w:r>
          </w:p>
        </w:tc>
        <w:tc>
          <w:tcPr>
            <w:tcW w:w="3218" w:type="dxa"/>
            <w:tcBorders>
              <w:bottom w:val="single" w:sz="12" w:space="0" w:color="auto"/>
            </w:tcBorders>
            <w:shd w:val="clear" w:color="auto" w:fill="auto"/>
          </w:tcPr>
          <w:p w:rsidR="003E7248" w:rsidRPr="003569FB" w:rsidRDefault="003E7248" w:rsidP="003569F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left="68" w:right="180"/>
              <w:rPr>
                <w:sz w:val="19"/>
                <w:szCs w:val="19"/>
              </w:rPr>
            </w:pPr>
          </w:p>
        </w:tc>
        <w:tc>
          <w:tcPr>
            <w:tcW w:w="3481" w:type="dxa"/>
            <w:tcBorders>
              <w:bottom w:val="single" w:sz="12" w:space="0" w:color="auto"/>
            </w:tcBorders>
            <w:shd w:val="clear" w:color="auto" w:fill="auto"/>
          </w:tcPr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i/>
                <w:iCs/>
                <w:sz w:val="19"/>
                <w:szCs w:val="19"/>
              </w:rPr>
              <w:t>Итоги измерения результативности: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2012–2013 годы: неприменимо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>Оценка за 2014–2015 годы: неприм</w:t>
            </w:r>
            <w:r w:rsidRPr="003569FB">
              <w:rPr>
                <w:sz w:val="19"/>
                <w:szCs w:val="19"/>
              </w:rPr>
              <w:t>е</w:t>
            </w:r>
            <w:r w:rsidRPr="003569FB">
              <w:rPr>
                <w:sz w:val="19"/>
                <w:szCs w:val="19"/>
              </w:rPr>
              <w:t>нимо</w:t>
            </w:r>
          </w:p>
          <w:p w:rsidR="003E7248" w:rsidRPr="003569FB" w:rsidRDefault="003E7248" w:rsidP="0032275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Фактические результаты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за 2014–2015 годы (по состоянию на</w:t>
            </w:r>
            <w:r w:rsidR="00322750">
              <w:rPr>
                <w:sz w:val="19"/>
                <w:szCs w:val="19"/>
                <w:lang w:val="en-US"/>
              </w:rPr>
              <w:t> </w:t>
            </w:r>
            <w:r w:rsidRPr="003569FB">
              <w:rPr>
                <w:sz w:val="19"/>
                <w:szCs w:val="19"/>
              </w:rPr>
              <w:t>31 июля 2015 года): неприменимо</w:t>
            </w:r>
          </w:p>
          <w:p w:rsidR="003E7248" w:rsidRPr="003569FB" w:rsidRDefault="003E7248" w:rsidP="00DF2A5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220" w:lineRule="exact"/>
              <w:ind w:right="61"/>
              <w:rPr>
                <w:sz w:val="19"/>
                <w:szCs w:val="19"/>
              </w:rPr>
            </w:pPr>
            <w:r w:rsidRPr="003569FB">
              <w:rPr>
                <w:sz w:val="19"/>
                <w:szCs w:val="19"/>
              </w:rPr>
              <w:t xml:space="preserve">Целевой показатель </w:t>
            </w:r>
            <w:r w:rsidR="00322750" w:rsidRPr="00322750">
              <w:rPr>
                <w:sz w:val="19"/>
                <w:szCs w:val="19"/>
              </w:rPr>
              <w:br/>
            </w:r>
            <w:r w:rsidRPr="003569FB">
              <w:rPr>
                <w:sz w:val="19"/>
                <w:szCs w:val="19"/>
              </w:rPr>
              <w:t>на 2016–2017 годы: 65</w:t>
            </w:r>
          </w:p>
        </w:tc>
      </w:tr>
    </w:tbl>
    <w:p w:rsidR="00322750" w:rsidRPr="00322750" w:rsidRDefault="00322750" w:rsidP="00322750">
      <w:pPr>
        <w:pStyle w:val="SingleTxt"/>
        <w:spacing w:after="0" w:line="120" w:lineRule="exact"/>
        <w:rPr>
          <w:sz w:val="10"/>
          <w:vertAlign w:val="superscript"/>
        </w:rPr>
      </w:pP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a</w:t>
      </w:r>
      <w:proofErr w:type="gramEnd"/>
      <w:r w:rsidRPr="003E7248">
        <w:rPr>
          <w:vertAlign w:val="superscript"/>
        </w:rPr>
        <w:tab/>
      </w:r>
      <w:r w:rsidRPr="003E7248">
        <w:t xml:space="preserve">Это количество отражает только данные, приведенные в официальных национальных докладах об осуществлении, которые были представлены государствами-членами в рамках третьего цикла отчетности об осуществлении на национальном уровне. Кроме того, 20 стран представили свои доклады девятому совещанию Руководящего комитета по ОУР в апреле 2014 года.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vertAlign w:val="superscript"/>
        </w:rPr>
        <w:tab/>
      </w:r>
      <w:r w:rsidRPr="003E7248">
        <w:rPr>
          <w:i/>
          <w:iCs/>
          <w:vertAlign w:val="superscript"/>
          <w:lang w:val="en-US"/>
        </w:rPr>
        <w:t>b</w:t>
      </w:r>
      <w:r w:rsidRPr="003E7248">
        <w:rPr>
          <w:i/>
          <w:iCs/>
          <w:vertAlign w:val="superscript"/>
        </w:rPr>
        <w:tab/>
      </w:r>
      <w:r w:rsidRPr="003E7248">
        <w:t>В этих показателях учтены четвертое Совещание высокого уровня по транспорту, окружающей среде и охране здоровья в</w:t>
      </w:r>
      <w:r w:rsidR="00322750">
        <w:rPr>
          <w:lang w:val="en-US"/>
        </w:rPr>
        <w:t> </w:t>
      </w:r>
      <w:r w:rsidRPr="003E7248">
        <w:t xml:space="preserve">апреле 2014 года, двенадцатое совещание Руководящего комитета ОПТОСОЗ в ноябре 2014 года и состоявшееся в Каунасе (Литва) в сентябре 2014 года рабочее совещание. Показатель количества участвующих стран ниже целевого показателя на 2014–2015 годы в связи с тем, что тринадцатое совещание Руководящего комитета ОПТОСОЗ еще не </w:t>
      </w:r>
      <w:r w:rsidRPr="003E7248">
        <w:lastRenderedPageBreak/>
        <w:t xml:space="preserve">состоялось (запланировано на ноябрь 2015 года). Кроме того, ожидается, что для участия в рабочем совещании в Иркутске зарегистрируется большее количество участников.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c</w:t>
      </w:r>
      <w:proofErr w:type="gramEnd"/>
      <w:r w:rsidRPr="003E7248">
        <w:rPr>
          <w:i/>
          <w:iCs/>
          <w:vertAlign w:val="superscript"/>
        </w:rPr>
        <w:tab/>
      </w:r>
      <w:r w:rsidRPr="003E7248">
        <w:t>В 2012–2013 годах представление национальных докладов об осуществлении не предусмотрено. Очередной цикл представления отчетности по осуществлению и Конвенции</w:t>
      </w:r>
      <w:r w:rsidR="00911794">
        <w:t>,</w:t>
      </w:r>
      <w:r w:rsidRPr="003E7248">
        <w:t xml:space="preserve"> и Протокола состоялся в 2014 году.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d</w:t>
      </w:r>
      <w:proofErr w:type="gramEnd"/>
      <w:r w:rsidRPr="003E7248">
        <w:rPr>
          <w:i/>
          <w:iCs/>
          <w:vertAlign w:val="superscript"/>
        </w:rPr>
        <w:tab/>
      </w:r>
      <w:r w:rsidRPr="003E7248">
        <w:t xml:space="preserve">Основные виды деятельности по наращиванию потенциала включают в себя работу целевых групп в рамках Конвенции. Многие мероприятия по наращиванию потенциала осуществлены партнерами из региона.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r w:rsidRPr="003E7248">
        <w:rPr>
          <w:i/>
          <w:iCs/>
          <w:vertAlign w:val="superscript"/>
          <w:lang w:val="en-US"/>
        </w:rPr>
        <w:t>e</w:t>
      </w:r>
      <w:r w:rsidRPr="003E7248">
        <w:rPr>
          <w:i/>
          <w:iCs/>
          <w:vertAlign w:val="superscript"/>
        </w:rPr>
        <w:tab/>
      </w:r>
      <w:r w:rsidRPr="003E7248">
        <w:t xml:space="preserve">Показатель ниже целевого показателя в связи с тем, что основное мероприятие по наращиванию потенциала, а именно глобальный «круглый стол» по РВПЗ состоится только в ноябре 2015 года. Как ожидается, на этом совещании также будут присутствовать участники из стран, не являющихся Сторонами.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f</w:t>
      </w:r>
      <w:proofErr w:type="gramEnd"/>
      <w:r w:rsidRPr="003E7248">
        <w:rPr>
          <w:i/>
          <w:iCs/>
          <w:vertAlign w:val="superscript"/>
        </w:rPr>
        <w:tab/>
      </w:r>
      <w:r w:rsidRPr="003E7248">
        <w:t>На 2016–2017 годы и последующий период предложен новый показатель.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r w:rsidRPr="003E7248">
        <w:rPr>
          <w:i/>
          <w:iCs/>
          <w:vertAlign w:val="superscript"/>
          <w:lang w:val="en-US"/>
        </w:rPr>
        <w:t>g</w:t>
      </w:r>
      <w:r w:rsidRPr="003E7248">
        <w:rPr>
          <w:i/>
          <w:iCs/>
          <w:vertAlign w:val="superscript"/>
        </w:rPr>
        <w:tab/>
      </w:r>
      <w:r w:rsidRPr="003E7248">
        <w:t xml:space="preserve">Поправки к Конвенции по водам, открывающие возможность присоединения к ней для всех государств-членов Организации Объединенных Наций, вступили в силу в феврале 2013 года и, как ожидается, начнут действовать в конце 2015 года после того, как их ратифицируют все государства, являвшиеся Сторонами Конвенции на момент принятия поправок.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h</w:t>
      </w:r>
      <w:proofErr w:type="gramEnd"/>
      <w:r w:rsidRPr="003E7248">
        <w:rPr>
          <w:i/>
          <w:iCs/>
          <w:vertAlign w:val="superscript"/>
        </w:rPr>
        <w:tab/>
      </w:r>
      <w:r w:rsidRPr="003E7248">
        <w:t xml:space="preserve">Для открытия Конвенции необходимо, чтобы Украина ратифицировала поправки к статьям 25–26.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spellStart"/>
      <w:proofErr w:type="gramStart"/>
      <w:r w:rsidRPr="003E7248">
        <w:rPr>
          <w:i/>
          <w:iCs/>
          <w:vertAlign w:val="superscript"/>
          <w:lang w:val="en-US"/>
        </w:rPr>
        <w:t>i</w:t>
      </w:r>
      <w:proofErr w:type="spellEnd"/>
      <w:proofErr w:type="gramEnd"/>
      <w:r w:rsidRPr="003E7248">
        <w:rPr>
          <w:i/>
          <w:iCs/>
          <w:vertAlign w:val="superscript"/>
        </w:rPr>
        <w:tab/>
      </w:r>
      <w:r w:rsidRPr="003E7248">
        <w:t xml:space="preserve">Этот показатель основан на данных, полученных из национальных докладов об осуществлении, представленных в ходе отчетного цикла 2010–2011 годов. 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j</w:t>
      </w:r>
      <w:proofErr w:type="gramEnd"/>
      <w:r w:rsidRPr="003E7248">
        <w:rPr>
          <w:i/>
          <w:iCs/>
          <w:vertAlign w:val="superscript"/>
        </w:rPr>
        <w:tab/>
      </w:r>
      <w:r w:rsidRPr="003E7248">
        <w:t xml:space="preserve">То же. </w:t>
      </w:r>
    </w:p>
    <w:p w:rsidR="003E7248" w:rsidRPr="003E7248" w:rsidRDefault="003E7248" w:rsidP="00911794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  <w:rPr>
          <w:i/>
          <w:iCs/>
        </w:rPr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k</w:t>
      </w:r>
      <w:proofErr w:type="gramEnd"/>
      <w:r w:rsidRPr="003E7248">
        <w:rPr>
          <w:i/>
          <w:iCs/>
          <w:vertAlign w:val="superscript"/>
        </w:rPr>
        <w:tab/>
      </w:r>
      <w:r w:rsidRPr="003E7248">
        <w:t>Обучение по вопросам внедрения Системы уведомления о промышленных авариях проводил</w:t>
      </w:r>
      <w:r w:rsidR="00911794">
        <w:t>о</w:t>
      </w:r>
      <w:r w:rsidRPr="003E7248">
        <w:t>сь в режиме онлайновых консультаций.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l</w:t>
      </w:r>
      <w:proofErr w:type="gramEnd"/>
      <w:r w:rsidRPr="003E7248">
        <w:rPr>
          <w:i/>
          <w:iCs/>
          <w:vertAlign w:val="superscript"/>
        </w:rPr>
        <w:tab/>
      </w:r>
      <w:r w:rsidRPr="003E7248">
        <w:t>На основе данных национальных докладов об осуществлении за отчетный цикл 2012–2013 годов, которые были представлены в 2014 году.</w:t>
      </w:r>
    </w:p>
    <w:p w:rsidR="003E7248" w:rsidRPr="003E7248" w:rsidRDefault="003E7248" w:rsidP="00322750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m</w:t>
      </w:r>
      <w:proofErr w:type="gramEnd"/>
      <w:r w:rsidRPr="003E7248">
        <w:rPr>
          <w:i/>
          <w:iCs/>
          <w:vertAlign w:val="superscript"/>
        </w:rPr>
        <w:tab/>
      </w:r>
      <w:r w:rsidRPr="003E7248">
        <w:t xml:space="preserve">То же. </w:t>
      </w:r>
    </w:p>
    <w:p w:rsidR="003E7248" w:rsidRPr="003E7248" w:rsidRDefault="003E7248" w:rsidP="00911794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3E7248">
        <w:rPr>
          <w:i/>
          <w:iCs/>
          <w:vertAlign w:val="superscript"/>
        </w:rPr>
        <w:tab/>
      </w:r>
      <w:proofErr w:type="gramStart"/>
      <w:r w:rsidRPr="003E7248">
        <w:rPr>
          <w:i/>
          <w:iCs/>
          <w:vertAlign w:val="superscript"/>
          <w:lang w:val="en-US"/>
        </w:rPr>
        <w:t>n</w:t>
      </w:r>
      <w:proofErr w:type="gramEnd"/>
      <w:r w:rsidRPr="003E7248">
        <w:rPr>
          <w:i/>
          <w:iCs/>
          <w:vertAlign w:val="superscript"/>
        </w:rPr>
        <w:tab/>
      </w:r>
      <w:r w:rsidRPr="003E7248">
        <w:t>Обучение по вопросам внедрения Системы уведомления о промышленных авариях проводил</w:t>
      </w:r>
      <w:r w:rsidR="00911794">
        <w:t>о</w:t>
      </w:r>
      <w:r w:rsidRPr="003E7248">
        <w:t>сь в режиме онлайновых консультаций.</w:t>
      </w:r>
    </w:p>
    <w:p w:rsidR="00DC7CF6" w:rsidRPr="00322750" w:rsidRDefault="00322750" w:rsidP="00322750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C7CF6" w:rsidRPr="00322750" w:rsidSect="00DC7CF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50" w:rsidRDefault="00322750" w:rsidP="008A1A7A">
      <w:pPr>
        <w:spacing w:line="240" w:lineRule="auto"/>
      </w:pPr>
      <w:r>
        <w:separator/>
      </w:r>
    </w:p>
  </w:endnote>
  <w:endnote w:type="continuationSeparator" w:id="0">
    <w:p w:rsidR="00322750" w:rsidRDefault="0032275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2750" w:rsidTr="00DC7C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60526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860526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D87">
            <w:rPr>
              <w:b w:val="0"/>
              <w:color w:val="000000"/>
              <w:sz w:val="14"/>
            </w:rPr>
            <w:t>GE.15-13999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22750" w:rsidRPr="00DC7CF6" w:rsidRDefault="00322750" w:rsidP="00DC7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22750" w:rsidTr="00DC7C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B6D87">
            <w:rPr>
              <w:b w:val="0"/>
              <w:color w:val="000000"/>
              <w:sz w:val="14"/>
            </w:rPr>
            <w:t>GE.15-13999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60526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860526">
              <w:rPr>
                <w:noProof/>
              </w:rPr>
              <w:t>11</w:t>
            </w:r>
          </w:fldSimple>
        </w:p>
      </w:tc>
    </w:tr>
  </w:tbl>
  <w:p w:rsidR="00322750" w:rsidRPr="00DC7CF6" w:rsidRDefault="00322750" w:rsidP="00DC7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22750" w:rsidTr="00DC7CF6">
      <w:tc>
        <w:tcPr>
          <w:tcW w:w="3873" w:type="dxa"/>
        </w:tcPr>
        <w:p w:rsidR="00322750" w:rsidRDefault="00322750" w:rsidP="00DC7CF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D496B92" wp14:editId="04B0B2C2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GE.15-13999 (R)</w:t>
          </w:r>
          <w:r>
            <w:rPr>
              <w:color w:val="010000"/>
            </w:rPr>
            <w:t xml:space="preserve">    040915    040915</w:t>
          </w:r>
        </w:p>
        <w:p w:rsidR="00322750" w:rsidRPr="00DC7CF6" w:rsidRDefault="00322750" w:rsidP="00DC7CF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*1513999*</w:t>
          </w:r>
        </w:p>
      </w:tc>
      <w:tc>
        <w:tcPr>
          <w:tcW w:w="5127" w:type="dxa"/>
        </w:tcPr>
        <w:p w:rsidR="00322750" w:rsidRDefault="00322750" w:rsidP="00DC7CF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9C6738D" wp14:editId="1D4BAF1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2750" w:rsidRPr="00DC7CF6" w:rsidRDefault="00322750" w:rsidP="00DC7CF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50" w:rsidRPr="00DF2A52" w:rsidRDefault="00322750" w:rsidP="00DF2A52">
      <w:pPr>
        <w:pStyle w:val="Footer"/>
        <w:spacing w:after="80"/>
        <w:ind w:left="792"/>
        <w:rPr>
          <w:sz w:val="16"/>
        </w:rPr>
      </w:pPr>
      <w:r w:rsidRPr="00DF2A52">
        <w:rPr>
          <w:sz w:val="16"/>
        </w:rPr>
        <w:t>__________________</w:t>
      </w:r>
    </w:p>
  </w:footnote>
  <w:footnote w:type="continuationSeparator" w:id="0">
    <w:p w:rsidR="00322750" w:rsidRPr="00DF2A52" w:rsidRDefault="00322750" w:rsidP="00DF2A52">
      <w:pPr>
        <w:pStyle w:val="Footer"/>
        <w:spacing w:after="80"/>
        <w:ind w:left="792"/>
        <w:rPr>
          <w:sz w:val="16"/>
        </w:rPr>
      </w:pPr>
      <w:r w:rsidRPr="00DF2A52">
        <w:rPr>
          <w:sz w:val="16"/>
        </w:rPr>
        <w:t>__________________</w:t>
      </w:r>
    </w:p>
  </w:footnote>
  <w:footnote w:id="1">
    <w:p w:rsidR="00322750" w:rsidRPr="00DF2A52" w:rsidRDefault="00322750" w:rsidP="00DF2A5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DF2A52">
        <w:rPr>
          <w:rStyle w:val="FootnoteReference"/>
          <w:vertAlign w:val="baseline"/>
        </w:rPr>
        <w:t>*</w:t>
      </w:r>
      <w:r>
        <w:t xml:space="preserve"> </w:t>
      </w:r>
      <w:r w:rsidRPr="00DF2A52">
        <w:tab/>
      </w:r>
      <w:r>
        <w:t>Настоящий документ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2750" w:rsidTr="00DC7C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D87">
            <w:rPr>
              <w:b/>
            </w:rPr>
            <w:t>ECE/CEP/2015/5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22750" w:rsidRDefault="00322750" w:rsidP="00DC7CF6">
          <w:pPr>
            <w:pStyle w:val="Header"/>
          </w:pPr>
        </w:p>
      </w:tc>
    </w:tr>
  </w:tbl>
  <w:p w:rsidR="00322750" w:rsidRPr="00DC7CF6" w:rsidRDefault="00322750" w:rsidP="00DC7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22750" w:rsidTr="00DC7C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22750" w:rsidRDefault="00322750" w:rsidP="00DC7CF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22750" w:rsidRPr="00DC7CF6" w:rsidRDefault="00322750" w:rsidP="00DC7CF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6D87">
            <w:rPr>
              <w:b/>
            </w:rPr>
            <w:t>ECE/CEP/2015/5</w:t>
          </w:r>
          <w:r>
            <w:rPr>
              <w:b/>
            </w:rPr>
            <w:fldChar w:fldCharType="end"/>
          </w:r>
        </w:p>
      </w:tc>
    </w:tr>
  </w:tbl>
  <w:p w:rsidR="00322750" w:rsidRPr="00DC7CF6" w:rsidRDefault="00322750" w:rsidP="00DC7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22750" w:rsidTr="00DC7CF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22750" w:rsidRPr="00DC7CF6" w:rsidRDefault="00322750" w:rsidP="00DC7CF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22750" w:rsidRDefault="00322750" w:rsidP="00DC7CF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22750" w:rsidRPr="00DC7CF6" w:rsidRDefault="00322750" w:rsidP="00DC7CF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/CEP/2015/5</w:t>
          </w:r>
        </w:p>
      </w:tc>
    </w:tr>
    <w:tr w:rsidR="00322750" w:rsidRPr="00860526" w:rsidTr="00DC7CF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2750" w:rsidRPr="00DC7CF6" w:rsidRDefault="00322750" w:rsidP="00DC7CF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4FF760F" wp14:editId="1760F2A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2750" w:rsidRPr="00DC7CF6" w:rsidRDefault="00322750" w:rsidP="00DC7CF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2750" w:rsidRPr="00DC7CF6" w:rsidRDefault="00322750" w:rsidP="00DC7CF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22750" w:rsidRPr="00F477AD" w:rsidRDefault="00322750" w:rsidP="00DC7CF6">
          <w:pPr>
            <w:pStyle w:val="Distribution"/>
            <w:rPr>
              <w:color w:val="000000"/>
              <w:lang w:val="en-US"/>
            </w:rPr>
          </w:pPr>
          <w:r w:rsidRPr="00F477AD">
            <w:rPr>
              <w:color w:val="000000"/>
              <w:lang w:val="en-US"/>
            </w:rPr>
            <w:t>Distr.: General</w:t>
          </w:r>
        </w:p>
        <w:p w:rsidR="00322750" w:rsidRPr="00F477AD" w:rsidRDefault="00322750" w:rsidP="00DC7CF6">
          <w:pPr>
            <w:pStyle w:val="Publication"/>
            <w:rPr>
              <w:color w:val="000000"/>
              <w:lang w:val="en-US"/>
            </w:rPr>
          </w:pPr>
          <w:r w:rsidRPr="00F477AD">
            <w:rPr>
              <w:color w:val="000000"/>
              <w:lang w:val="en-US"/>
            </w:rPr>
            <w:t>18 August 2015</w:t>
          </w:r>
        </w:p>
        <w:p w:rsidR="00322750" w:rsidRPr="00F477AD" w:rsidRDefault="00322750" w:rsidP="00DC7CF6">
          <w:pPr>
            <w:rPr>
              <w:color w:val="000000"/>
              <w:lang w:val="en-US"/>
            </w:rPr>
          </w:pPr>
          <w:r w:rsidRPr="00F477AD">
            <w:rPr>
              <w:color w:val="000000"/>
              <w:lang w:val="en-US"/>
            </w:rPr>
            <w:t>Russian</w:t>
          </w:r>
        </w:p>
        <w:p w:rsidR="00322750" w:rsidRPr="00F477AD" w:rsidRDefault="00322750" w:rsidP="00DC7CF6">
          <w:pPr>
            <w:pStyle w:val="Original"/>
            <w:rPr>
              <w:color w:val="000000"/>
              <w:lang w:val="en-US"/>
            </w:rPr>
          </w:pPr>
          <w:r w:rsidRPr="00F477AD">
            <w:rPr>
              <w:color w:val="000000"/>
              <w:lang w:val="en-US"/>
            </w:rPr>
            <w:t>Original: English</w:t>
          </w:r>
        </w:p>
        <w:p w:rsidR="00322750" w:rsidRPr="00F477AD" w:rsidRDefault="00322750" w:rsidP="00DC7CF6">
          <w:pPr>
            <w:rPr>
              <w:lang w:val="en-US"/>
            </w:rPr>
          </w:pPr>
        </w:p>
      </w:tc>
    </w:tr>
  </w:tbl>
  <w:p w:rsidR="00322750" w:rsidRPr="00F477AD" w:rsidRDefault="00322750" w:rsidP="00DC7CF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99*"/>
    <w:docVar w:name="CreationDt" w:val="9/4/2015 9:49: AM"/>
    <w:docVar w:name="DocCategory" w:val="Doc"/>
    <w:docVar w:name="DocType" w:val="Final"/>
    <w:docVar w:name="DutyStation" w:val="Geneva"/>
    <w:docVar w:name="FooterJN" w:val="GE.15-13999"/>
    <w:docVar w:name="jobn" w:val="GE.15-13999 (R)"/>
    <w:docVar w:name="jobnDT" w:val="GE.15-13999 (R)   040915"/>
    <w:docVar w:name="jobnDTDT" w:val="GE.15-13999 (R)   040915   040915"/>
    <w:docVar w:name="JobNo" w:val="GE.1513999R"/>
    <w:docVar w:name="JobNo2" w:val="1518468R"/>
    <w:docVar w:name="LocalDrive" w:val="0"/>
    <w:docVar w:name="OandT" w:val=" "/>
    <w:docVar w:name="PaperSize" w:val="A4"/>
    <w:docVar w:name="sss1" w:val="ECE/CEP/2015/5"/>
    <w:docVar w:name="sss2" w:val="-"/>
    <w:docVar w:name="Symbol1" w:val="ECE/CEP/2015/5"/>
    <w:docVar w:name="Symbol2" w:val="-"/>
  </w:docVars>
  <w:rsids>
    <w:rsidRoot w:val="00BC0F1B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5F16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2750"/>
    <w:rsid w:val="00325C10"/>
    <w:rsid w:val="00326F5F"/>
    <w:rsid w:val="00332D90"/>
    <w:rsid w:val="00333B06"/>
    <w:rsid w:val="00337D91"/>
    <w:rsid w:val="00346BFB"/>
    <w:rsid w:val="00350756"/>
    <w:rsid w:val="00352EB7"/>
    <w:rsid w:val="003542EE"/>
    <w:rsid w:val="003569FB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4A0"/>
    <w:rsid w:val="003B16B4"/>
    <w:rsid w:val="003B5A03"/>
    <w:rsid w:val="003C12AC"/>
    <w:rsid w:val="003C2842"/>
    <w:rsid w:val="003D0825"/>
    <w:rsid w:val="003D2003"/>
    <w:rsid w:val="003D5DA2"/>
    <w:rsid w:val="003E5193"/>
    <w:rsid w:val="003E7248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0AEA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2D80"/>
    <w:rsid w:val="006F3683"/>
    <w:rsid w:val="006F4169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60526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1794"/>
    <w:rsid w:val="00912FB5"/>
    <w:rsid w:val="00913A54"/>
    <w:rsid w:val="00915944"/>
    <w:rsid w:val="00915A9F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54C8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0F1B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2255"/>
    <w:rsid w:val="00CE4211"/>
    <w:rsid w:val="00CF021B"/>
    <w:rsid w:val="00CF066B"/>
    <w:rsid w:val="00CF07BE"/>
    <w:rsid w:val="00CF4412"/>
    <w:rsid w:val="00CF5B33"/>
    <w:rsid w:val="00CF79C5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0F84"/>
    <w:rsid w:val="00D434AF"/>
    <w:rsid w:val="00D44FA6"/>
    <w:rsid w:val="00D4709E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0EBD"/>
    <w:rsid w:val="00DC1E7E"/>
    <w:rsid w:val="00DC31D2"/>
    <w:rsid w:val="00DC7A5F"/>
    <w:rsid w:val="00DC7CF6"/>
    <w:rsid w:val="00DD6A66"/>
    <w:rsid w:val="00DE0D15"/>
    <w:rsid w:val="00DF1CF0"/>
    <w:rsid w:val="00DF2A52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B6D87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14C3"/>
    <w:rsid w:val="00F477AD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C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2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C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C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C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C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2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6A4E-30A8-4D63-AF50-E1C707C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sochirca</cp:lastModifiedBy>
  <cp:revision>6</cp:revision>
  <cp:lastPrinted>2015-09-04T10:43:00Z</cp:lastPrinted>
  <dcterms:created xsi:type="dcterms:W3CDTF">2015-09-04T09:23:00Z</dcterms:created>
  <dcterms:modified xsi:type="dcterms:W3CDTF">2015-10-12T13:56:00Z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1513999R</vt:lpwstr>
  </property>
  <property fmtid="{D5CDD505-2E9C-101B-9397-08002B2CF9AE}" pid="3" name="ODSRefJobNo">
    <vt:lpwstr>1518468R</vt:lpwstr>
  </property>
  <property fmtid="{D5CDD505-2E9C-101B-9397-08002B2CF9AE}" pid="4" name="Symbol1">
    <vt:lpwstr>ECE/CEP/2015/5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040915</vt:lpwstr>
  </property>
</Properties>
</file>