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713689">
        <w:trPr>
          <w:cantSplit/>
          <w:trHeight w:hRule="exact" w:val="851"/>
        </w:trPr>
        <w:tc>
          <w:tcPr>
            <w:tcW w:w="1276" w:type="dxa"/>
            <w:tcBorders>
              <w:bottom w:val="single" w:sz="4" w:space="0" w:color="auto"/>
            </w:tcBorders>
            <w:vAlign w:val="bottom"/>
          </w:tcPr>
          <w:p w:rsidR="009E6CB7" w:rsidRPr="006B1CB1" w:rsidRDefault="009E6CB7" w:rsidP="006B1CB1">
            <w:pPr>
              <w:spacing w:line="20" w:lineRule="exact"/>
              <w:rPr>
                <w:sz w:val="2"/>
              </w:rPr>
            </w:pPr>
          </w:p>
          <w:p w:rsidR="006B1CB1" w:rsidRPr="00713689" w:rsidRDefault="006B1CB1" w:rsidP="00411F85">
            <w:pPr>
              <w:spacing w:after="80" w:line="240" w:lineRule="auto"/>
            </w:pPr>
          </w:p>
        </w:tc>
        <w:tc>
          <w:tcPr>
            <w:tcW w:w="2268" w:type="dxa"/>
            <w:tcBorders>
              <w:bottom w:val="single" w:sz="4" w:space="0" w:color="auto"/>
            </w:tcBorders>
            <w:vAlign w:val="bottom"/>
          </w:tcPr>
          <w:p w:rsidR="009E6CB7" w:rsidRPr="00713689" w:rsidRDefault="009E6CB7" w:rsidP="00411F85">
            <w:pPr>
              <w:spacing w:after="80" w:line="240" w:lineRule="auto"/>
              <w:rPr>
                <w:b/>
                <w:sz w:val="24"/>
                <w:szCs w:val="24"/>
              </w:rPr>
            </w:pPr>
            <w:r w:rsidRPr="00713689">
              <w:rPr>
                <w:sz w:val="28"/>
                <w:szCs w:val="28"/>
              </w:rPr>
              <w:t>United Nations</w:t>
            </w:r>
          </w:p>
        </w:tc>
        <w:tc>
          <w:tcPr>
            <w:tcW w:w="6095" w:type="dxa"/>
            <w:gridSpan w:val="2"/>
            <w:tcBorders>
              <w:bottom w:val="single" w:sz="4" w:space="0" w:color="auto"/>
            </w:tcBorders>
            <w:vAlign w:val="bottom"/>
          </w:tcPr>
          <w:p w:rsidR="009E6CB7" w:rsidRPr="00713689" w:rsidRDefault="009146C3" w:rsidP="001F2ED6">
            <w:pPr>
              <w:spacing w:line="240" w:lineRule="auto"/>
              <w:jc w:val="right"/>
            </w:pPr>
            <w:r w:rsidRPr="00713689">
              <w:rPr>
                <w:sz w:val="40"/>
              </w:rPr>
              <w:t>ECE</w:t>
            </w:r>
            <w:r w:rsidRPr="00713689">
              <w:t>/CEP/201</w:t>
            </w:r>
            <w:r w:rsidR="001F2ED6">
              <w:t>5</w:t>
            </w:r>
            <w:r w:rsidRPr="00713689">
              <w:t>/</w:t>
            </w:r>
            <w:r w:rsidR="001F2ED6">
              <w:t>5</w:t>
            </w:r>
          </w:p>
        </w:tc>
      </w:tr>
      <w:tr w:rsidR="009E6CB7" w:rsidRPr="00713689">
        <w:trPr>
          <w:cantSplit/>
          <w:trHeight w:hRule="exact" w:val="2835"/>
        </w:trPr>
        <w:tc>
          <w:tcPr>
            <w:tcW w:w="1276" w:type="dxa"/>
            <w:tcBorders>
              <w:top w:val="single" w:sz="4" w:space="0" w:color="auto"/>
              <w:bottom w:val="single" w:sz="12" w:space="0" w:color="auto"/>
            </w:tcBorders>
          </w:tcPr>
          <w:p w:rsidR="009E6CB7" w:rsidRPr="00713689" w:rsidRDefault="0061374B" w:rsidP="00411F85">
            <w:pPr>
              <w:spacing w:before="120" w:line="240" w:lineRule="auto"/>
            </w:pPr>
            <w:r>
              <w:rPr>
                <w:noProof/>
                <w:lang w:eastAsia="en-GB"/>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713689" w:rsidRDefault="009E6CB7" w:rsidP="00411F85">
            <w:pPr>
              <w:spacing w:before="120" w:line="240" w:lineRule="auto"/>
              <w:rPr>
                <w:sz w:val="40"/>
                <w:szCs w:val="40"/>
              </w:rPr>
            </w:pPr>
            <w:r w:rsidRPr="00713689">
              <w:rPr>
                <w:b/>
                <w:sz w:val="40"/>
                <w:szCs w:val="40"/>
              </w:rPr>
              <w:t>Economic and Social Council</w:t>
            </w:r>
          </w:p>
        </w:tc>
        <w:tc>
          <w:tcPr>
            <w:tcW w:w="2835" w:type="dxa"/>
            <w:tcBorders>
              <w:top w:val="single" w:sz="4" w:space="0" w:color="auto"/>
              <w:bottom w:val="single" w:sz="12" w:space="0" w:color="auto"/>
            </w:tcBorders>
          </w:tcPr>
          <w:p w:rsidR="009146C3" w:rsidRPr="00713689" w:rsidRDefault="009146C3" w:rsidP="00411F85">
            <w:pPr>
              <w:spacing w:before="240" w:line="240" w:lineRule="auto"/>
            </w:pPr>
            <w:r w:rsidRPr="00713689">
              <w:t xml:space="preserve">Distr.: </w:t>
            </w:r>
            <w:r w:rsidR="00E634B9" w:rsidRPr="00713689">
              <w:t>General</w:t>
            </w:r>
          </w:p>
          <w:p w:rsidR="009146C3" w:rsidRPr="00713689" w:rsidRDefault="00D118D8" w:rsidP="00411F85">
            <w:pPr>
              <w:spacing w:line="240" w:lineRule="auto"/>
            </w:pPr>
            <w:r>
              <w:t>18</w:t>
            </w:r>
            <w:r w:rsidRPr="00713689">
              <w:t xml:space="preserve"> </w:t>
            </w:r>
            <w:r w:rsidR="001F2ED6">
              <w:t>August</w:t>
            </w:r>
            <w:r w:rsidR="00E634B9" w:rsidRPr="00713689">
              <w:t xml:space="preserve"> </w:t>
            </w:r>
            <w:r w:rsidR="009146C3" w:rsidRPr="00713689">
              <w:t>201</w:t>
            </w:r>
            <w:r w:rsidR="001F2ED6">
              <w:t>5</w:t>
            </w:r>
          </w:p>
          <w:p w:rsidR="009146C3" w:rsidRPr="00713689" w:rsidRDefault="009146C3" w:rsidP="00411F85">
            <w:pPr>
              <w:spacing w:line="240" w:lineRule="auto"/>
            </w:pPr>
          </w:p>
          <w:p w:rsidR="009E6CB7" w:rsidRPr="00713689" w:rsidRDefault="009146C3" w:rsidP="00411F85">
            <w:pPr>
              <w:spacing w:line="240" w:lineRule="auto"/>
            </w:pPr>
            <w:r w:rsidRPr="00713689">
              <w:t>Original: English</w:t>
            </w:r>
          </w:p>
        </w:tc>
      </w:tr>
    </w:tbl>
    <w:p w:rsidR="009146C3" w:rsidRPr="00713689" w:rsidRDefault="009146C3" w:rsidP="00411F85">
      <w:pPr>
        <w:spacing w:before="100" w:line="240" w:lineRule="auto"/>
        <w:rPr>
          <w:b/>
          <w:sz w:val="28"/>
          <w:szCs w:val="28"/>
        </w:rPr>
      </w:pPr>
      <w:r w:rsidRPr="00713689">
        <w:rPr>
          <w:b/>
          <w:sz w:val="28"/>
          <w:szCs w:val="28"/>
        </w:rPr>
        <w:t>Economic Commission for Europe</w:t>
      </w:r>
    </w:p>
    <w:p w:rsidR="009146C3" w:rsidRPr="00713689" w:rsidRDefault="009146C3" w:rsidP="00411F85">
      <w:pPr>
        <w:spacing w:before="100" w:line="240" w:lineRule="auto"/>
        <w:rPr>
          <w:bCs/>
          <w:sz w:val="28"/>
          <w:szCs w:val="28"/>
        </w:rPr>
      </w:pPr>
      <w:r w:rsidRPr="00713689">
        <w:rPr>
          <w:bCs/>
          <w:sz w:val="28"/>
          <w:szCs w:val="28"/>
        </w:rPr>
        <w:t>Committee on Environmental Policy</w:t>
      </w:r>
    </w:p>
    <w:p w:rsidR="009146C3" w:rsidRPr="00713689" w:rsidRDefault="005E2C60" w:rsidP="00411F85">
      <w:pPr>
        <w:spacing w:before="100" w:line="240" w:lineRule="auto"/>
        <w:rPr>
          <w:b/>
        </w:rPr>
      </w:pPr>
      <w:r w:rsidRPr="00713689">
        <w:rPr>
          <w:b/>
        </w:rPr>
        <w:t>Twen</w:t>
      </w:r>
      <w:r w:rsidR="00B150CC" w:rsidRPr="00713689">
        <w:rPr>
          <w:b/>
        </w:rPr>
        <w:t>t</w:t>
      </w:r>
      <w:r w:rsidR="001C10BC">
        <w:rPr>
          <w:b/>
        </w:rPr>
        <w:t xml:space="preserve">y-first </w:t>
      </w:r>
      <w:proofErr w:type="gramStart"/>
      <w:r w:rsidR="00B150CC" w:rsidRPr="00713689">
        <w:rPr>
          <w:b/>
        </w:rPr>
        <w:t>session</w:t>
      </w:r>
      <w:proofErr w:type="gramEnd"/>
    </w:p>
    <w:p w:rsidR="003571BA" w:rsidRPr="00713689" w:rsidRDefault="003571BA" w:rsidP="00411F85">
      <w:pPr>
        <w:spacing w:line="240" w:lineRule="auto"/>
      </w:pPr>
      <w:r w:rsidRPr="00713689">
        <w:t xml:space="preserve">Geneva, </w:t>
      </w:r>
      <w:r w:rsidR="00552ABD" w:rsidRPr="00713689">
        <w:t>2</w:t>
      </w:r>
      <w:r w:rsidR="001C10BC">
        <w:t>7</w:t>
      </w:r>
      <w:r w:rsidR="008B2E4A" w:rsidRPr="00713689">
        <w:t>–</w:t>
      </w:r>
      <w:r w:rsidR="005E2C60" w:rsidRPr="00713689">
        <w:t>3</w:t>
      </w:r>
      <w:r w:rsidR="001C10BC">
        <w:t>0</w:t>
      </w:r>
      <w:r w:rsidRPr="00713689">
        <w:t xml:space="preserve"> </w:t>
      </w:r>
      <w:r w:rsidR="00552ABD" w:rsidRPr="00713689">
        <w:t>October</w:t>
      </w:r>
      <w:r w:rsidRPr="00713689">
        <w:t xml:space="preserve"> 201</w:t>
      </w:r>
      <w:r w:rsidR="001C10BC">
        <w:t>5</w:t>
      </w:r>
    </w:p>
    <w:p w:rsidR="003571BA" w:rsidRPr="00713689" w:rsidRDefault="003571BA" w:rsidP="00411F85">
      <w:pPr>
        <w:spacing w:line="240" w:lineRule="auto"/>
      </w:pPr>
      <w:r w:rsidRPr="00713689">
        <w:t xml:space="preserve">Item </w:t>
      </w:r>
      <w:r w:rsidR="004733E4">
        <w:t>8</w:t>
      </w:r>
      <w:r w:rsidR="006703D3" w:rsidRPr="00713689">
        <w:t xml:space="preserve"> (</w:t>
      </w:r>
      <w:r w:rsidR="004733E4">
        <w:t>c</w:t>
      </w:r>
      <w:r w:rsidR="006703D3" w:rsidRPr="00713689">
        <w:t>)</w:t>
      </w:r>
      <w:r w:rsidRPr="00713689">
        <w:t xml:space="preserve"> of the provisional agenda</w:t>
      </w:r>
    </w:p>
    <w:p w:rsidR="009146C3" w:rsidRPr="00713689" w:rsidRDefault="003571BA" w:rsidP="00411F85">
      <w:pPr>
        <w:spacing w:line="240" w:lineRule="auto"/>
        <w:rPr>
          <w:b/>
        </w:rPr>
      </w:pPr>
      <w:r w:rsidRPr="00713689">
        <w:rPr>
          <w:b/>
        </w:rPr>
        <w:t xml:space="preserve">Programme of </w:t>
      </w:r>
      <w:r w:rsidR="000F0414" w:rsidRPr="00713689">
        <w:rPr>
          <w:b/>
        </w:rPr>
        <w:t>w</w:t>
      </w:r>
      <w:r w:rsidRPr="00713689">
        <w:rPr>
          <w:b/>
        </w:rPr>
        <w:t>ork</w:t>
      </w:r>
      <w:r w:rsidR="00574159">
        <w:rPr>
          <w:b/>
        </w:rPr>
        <w:t xml:space="preserve"> </w:t>
      </w:r>
      <w:r w:rsidR="00574159" w:rsidRPr="00411F85">
        <w:rPr>
          <w:b/>
        </w:rPr>
        <w:t>of the Environment subprogramm</w:t>
      </w:r>
      <w:bookmarkStart w:id="0" w:name="_GoBack"/>
      <w:bookmarkEnd w:id="0"/>
      <w:r w:rsidR="00574159" w:rsidRPr="00411F85">
        <w:rPr>
          <w:b/>
        </w:rPr>
        <w:t>e</w:t>
      </w:r>
      <w:r w:rsidR="00980600" w:rsidRPr="00411F85">
        <w:t>:</w:t>
      </w:r>
      <w:r w:rsidR="00980600" w:rsidRPr="00713689">
        <w:rPr>
          <w:b/>
        </w:rPr>
        <w:t xml:space="preserve"> </w:t>
      </w:r>
      <w:r w:rsidR="00574159">
        <w:rPr>
          <w:b/>
        </w:rPr>
        <w:br/>
      </w:r>
      <w:r w:rsidR="005E2C60" w:rsidRPr="00713689">
        <w:rPr>
          <w:b/>
        </w:rPr>
        <w:t xml:space="preserve">performance </w:t>
      </w:r>
      <w:r w:rsidR="00475D49">
        <w:rPr>
          <w:b/>
        </w:rPr>
        <w:t>assessment</w:t>
      </w:r>
      <w:r w:rsidR="005E2C60" w:rsidRPr="00713689">
        <w:rPr>
          <w:b/>
        </w:rPr>
        <w:t xml:space="preserve"> of the Environment subprogramme</w:t>
      </w:r>
      <w:r w:rsidR="00C410F8">
        <w:rPr>
          <w:b/>
        </w:rPr>
        <w:br/>
      </w:r>
      <w:r w:rsidR="005E2C60" w:rsidRPr="00713689">
        <w:rPr>
          <w:b/>
        </w:rPr>
        <w:t>in 2014–2015</w:t>
      </w:r>
      <w:r w:rsidR="00475D49">
        <w:rPr>
          <w:b/>
        </w:rPr>
        <w:t xml:space="preserve"> and performance plan for 2016–2017</w:t>
      </w:r>
    </w:p>
    <w:p w:rsidR="009146C3" w:rsidRPr="00713689" w:rsidRDefault="009146C3" w:rsidP="00411F85">
      <w:pPr>
        <w:pStyle w:val="HChG"/>
        <w:spacing w:before="240" w:after="180" w:line="240" w:lineRule="auto"/>
      </w:pPr>
      <w:r w:rsidRPr="00713689">
        <w:tab/>
      </w:r>
      <w:r w:rsidRPr="00713689">
        <w:tab/>
      </w:r>
      <w:r w:rsidR="002D520A" w:rsidRPr="00713689">
        <w:t>B</w:t>
      </w:r>
      <w:r w:rsidR="00F61B46" w:rsidRPr="00713689">
        <w:t xml:space="preserve">iennial </w:t>
      </w:r>
      <w:r w:rsidR="00003DF4" w:rsidRPr="00713689">
        <w:t xml:space="preserve">performance </w:t>
      </w:r>
      <w:r w:rsidR="002D520A" w:rsidRPr="00713689">
        <w:t>plan</w:t>
      </w:r>
      <w:r w:rsidR="00C136EC" w:rsidRPr="00713689">
        <w:t xml:space="preserve"> of the Environment subprogramme </w:t>
      </w:r>
      <w:r w:rsidR="00574159">
        <w:t xml:space="preserve">for </w:t>
      </w:r>
      <w:r w:rsidR="00C136EC" w:rsidRPr="00713689">
        <w:t>201</w:t>
      </w:r>
      <w:r w:rsidR="006432EB">
        <w:t>6</w:t>
      </w:r>
      <w:r w:rsidR="00C136EC" w:rsidRPr="00713689">
        <w:t>–201</w:t>
      </w:r>
      <w:r w:rsidR="006432EB">
        <w:t>7</w:t>
      </w:r>
    </w:p>
    <w:p w:rsidR="001C6663" w:rsidRPr="00713689" w:rsidRDefault="009146C3" w:rsidP="00411F85">
      <w:pPr>
        <w:pStyle w:val="H1G"/>
        <w:spacing w:before="240" w:after="180" w:line="240" w:lineRule="auto"/>
      </w:pPr>
      <w:r w:rsidRPr="00713689">
        <w:tab/>
      </w:r>
      <w:r w:rsidRPr="00713689">
        <w:tab/>
      </w:r>
      <w:r w:rsidR="003571BA" w:rsidRPr="00713689">
        <w:t xml:space="preserve">Note by the </w:t>
      </w:r>
      <w:r w:rsidR="008B2E4A" w:rsidRPr="00713689">
        <w:t>s</w:t>
      </w:r>
      <w:r w:rsidR="003571BA" w:rsidRPr="00713689">
        <w:t>ecretariat</w:t>
      </w:r>
      <w:r w:rsidR="00F61603" w:rsidRPr="00F61603">
        <w:rPr>
          <w:rStyle w:val="FootnoteReference"/>
          <w:sz w:val="20"/>
          <w:vertAlign w:val="baseline"/>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970887" w:rsidRPr="00713689" w:rsidTr="002D6BED">
        <w:trPr>
          <w:jc w:val="center"/>
        </w:trPr>
        <w:tc>
          <w:tcPr>
            <w:tcW w:w="9637" w:type="dxa"/>
            <w:shd w:val="clear" w:color="auto" w:fill="auto"/>
          </w:tcPr>
          <w:p w:rsidR="00970887" w:rsidRPr="00713689" w:rsidRDefault="00970887" w:rsidP="00411F85">
            <w:pPr>
              <w:spacing w:before="200" w:after="120" w:line="240" w:lineRule="auto"/>
              <w:ind w:left="255"/>
              <w:rPr>
                <w:i/>
                <w:sz w:val="24"/>
              </w:rPr>
            </w:pPr>
            <w:r w:rsidRPr="00713689">
              <w:rPr>
                <w:i/>
                <w:sz w:val="24"/>
              </w:rPr>
              <w:t>Summary</w:t>
            </w:r>
          </w:p>
        </w:tc>
      </w:tr>
      <w:tr w:rsidR="00970887" w:rsidRPr="00713689" w:rsidTr="002D6BED">
        <w:trPr>
          <w:jc w:val="center"/>
        </w:trPr>
        <w:tc>
          <w:tcPr>
            <w:tcW w:w="9637" w:type="dxa"/>
            <w:shd w:val="clear" w:color="auto" w:fill="auto"/>
          </w:tcPr>
          <w:p w:rsidR="00C93ADA" w:rsidRPr="00176D6F" w:rsidRDefault="00970887" w:rsidP="00C93ADA">
            <w:pPr>
              <w:pStyle w:val="SingleTxtG"/>
            </w:pPr>
            <w:r w:rsidRPr="00713689">
              <w:tab/>
            </w:r>
            <w:r w:rsidR="00C93ADA" w:rsidRPr="00176D6F">
              <w:t xml:space="preserve">The </w:t>
            </w:r>
            <w:r w:rsidR="00C93ADA">
              <w:t xml:space="preserve">United Nations </w:t>
            </w:r>
            <w:r w:rsidR="00C93ADA" w:rsidRPr="00176D6F">
              <w:t xml:space="preserve">Economic Commission for Europe (ECE) </w:t>
            </w:r>
            <w:r w:rsidR="00C93ADA">
              <w:t xml:space="preserve">Committee on </w:t>
            </w:r>
            <w:r w:rsidR="00C93ADA" w:rsidRPr="00176D6F">
              <w:t>Committee on Environmental Policy (CEP)</w:t>
            </w:r>
            <w:r w:rsidR="00C93ADA">
              <w:t xml:space="preserve"> agreed at its last session in October 2014 to continue with the biennial performance assessment of the Environment subprogramme for another cycle, at least, and approved the biennial performance plan of the Environment subprogramme for 2014–2015 (ECE/CEP/2014/</w:t>
            </w:r>
            <w:r w:rsidR="000C3A2B">
              <w:t>2, paras. 91 and 98 (</w:t>
            </w:r>
            <w:proofErr w:type="spellStart"/>
            <w:r w:rsidR="000C3A2B">
              <w:t>jj</w:t>
            </w:r>
            <w:proofErr w:type="spellEnd"/>
            <w:r w:rsidR="000C3A2B">
              <w:t>)</w:t>
            </w:r>
            <w:r w:rsidR="00C93ADA">
              <w:t>)</w:t>
            </w:r>
            <w:r w:rsidR="00C93ADA" w:rsidRPr="00176D6F">
              <w:t xml:space="preserve">. </w:t>
            </w:r>
          </w:p>
          <w:p w:rsidR="00C93ADA" w:rsidRPr="00176D6F" w:rsidRDefault="00C93ADA" w:rsidP="00C93ADA">
            <w:pPr>
              <w:pStyle w:val="SingleTxtG"/>
            </w:pPr>
            <w:r w:rsidRPr="00176D6F">
              <w:tab/>
              <w:t xml:space="preserve">The present document provides the biennial </w:t>
            </w:r>
            <w:r>
              <w:t>performance</w:t>
            </w:r>
            <w:r w:rsidRPr="00176D6F">
              <w:t xml:space="preserve"> </w:t>
            </w:r>
            <w:r>
              <w:t>plan</w:t>
            </w:r>
            <w:r w:rsidRPr="00176D6F">
              <w:t xml:space="preserve"> of the Environment subprogramme </w:t>
            </w:r>
            <w:r>
              <w:t xml:space="preserve">for </w:t>
            </w:r>
            <w:r w:rsidRPr="00176D6F">
              <w:t>201</w:t>
            </w:r>
            <w:r>
              <w:t>6</w:t>
            </w:r>
            <w:r w:rsidRPr="00176D6F">
              <w:t>–201</w:t>
            </w:r>
            <w:r>
              <w:t>7</w:t>
            </w:r>
            <w:r w:rsidRPr="00176D6F">
              <w:t xml:space="preserve">. </w:t>
            </w:r>
            <w:r>
              <w:t xml:space="preserve">It </w:t>
            </w:r>
            <w:r w:rsidRPr="00176D6F">
              <w:t xml:space="preserve">is structured in accordance with the clusters grouping the Environment </w:t>
            </w:r>
            <w:proofErr w:type="spellStart"/>
            <w:r w:rsidRPr="00176D6F">
              <w:t>subprogramme’s</w:t>
            </w:r>
            <w:proofErr w:type="spellEnd"/>
            <w:r w:rsidRPr="00176D6F">
              <w:t xml:space="preserve"> activities.  </w:t>
            </w:r>
          </w:p>
          <w:p w:rsidR="00970887" w:rsidRPr="00713689" w:rsidRDefault="00C93ADA" w:rsidP="00C93ADA">
            <w:pPr>
              <w:pStyle w:val="SingleTxtG"/>
              <w:spacing w:line="240" w:lineRule="auto"/>
              <w:ind w:left="1701" w:hanging="567"/>
            </w:pPr>
            <w:r w:rsidRPr="00176D6F">
              <w:tab/>
              <w:t xml:space="preserve">CEP will be invited to consider the document at its </w:t>
            </w:r>
            <w:r>
              <w:t>twenty-first</w:t>
            </w:r>
            <w:r w:rsidRPr="00176D6F">
              <w:t xml:space="preserve"> session for approval.</w:t>
            </w:r>
          </w:p>
        </w:tc>
      </w:tr>
      <w:tr w:rsidR="00D755B2" w:rsidRPr="00713689" w:rsidTr="002D6BED">
        <w:trPr>
          <w:jc w:val="center"/>
        </w:trPr>
        <w:tc>
          <w:tcPr>
            <w:tcW w:w="9637" w:type="dxa"/>
            <w:shd w:val="clear" w:color="auto" w:fill="auto"/>
          </w:tcPr>
          <w:p w:rsidR="00D755B2" w:rsidRPr="00713689" w:rsidRDefault="00D755B2" w:rsidP="00411F85">
            <w:pPr>
              <w:pStyle w:val="SingleTxtG"/>
              <w:spacing w:after="0" w:line="240" w:lineRule="auto"/>
            </w:pPr>
          </w:p>
        </w:tc>
      </w:tr>
    </w:tbl>
    <w:p w:rsidR="000F3BCE" w:rsidRPr="00713689" w:rsidRDefault="00FF268E" w:rsidP="00411F85">
      <w:pPr>
        <w:pStyle w:val="HChG"/>
        <w:spacing w:before="120" w:after="200" w:line="240" w:lineRule="auto"/>
      </w:pPr>
      <w:r w:rsidRPr="00713689">
        <w:br w:type="page"/>
      </w:r>
      <w:r w:rsidR="00A82E88" w:rsidRPr="00713689">
        <w:lastRenderedPageBreak/>
        <w:tab/>
        <w:t>I.</w:t>
      </w:r>
      <w:r w:rsidR="00A82E88" w:rsidRPr="00713689">
        <w:tab/>
        <w:t>Introduction</w:t>
      </w:r>
    </w:p>
    <w:p w:rsidR="000F3BCE" w:rsidRPr="00713689" w:rsidRDefault="000F3BCE" w:rsidP="00411F85">
      <w:pPr>
        <w:pStyle w:val="SingleTxtG"/>
        <w:spacing w:line="240" w:lineRule="auto"/>
      </w:pPr>
      <w:r w:rsidRPr="00713689">
        <w:t>1.</w:t>
      </w:r>
      <w:r w:rsidRPr="00713689">
        <w:tab/>
        <w:t xml:space="preserve">The Environment subprogramme </w:t>
      </w:r>
      <w:r w:rsidR="003D4E66" w:rsidRPr="00713689">
        <w:t xml:space="preserve">of the United Nations Economic Commission for Europe (ECE) </w:t>
      </w:r>
      <w:r w:rsidRPr="00713689">
        <w:t xml:space="preserve">has </w:t>
      </w:r>
      <w:r w:rsidR="00094F52" w:rsidRPr="00713689">
        <w:t>four</w:t>
      </w:r>
      <w:r w:rsidRPr="00713689">
        <w:t xml:space="preserve"> overarching</w:t>
      </w:r>
      <w:r w:rsidR="00B72953" w:rsidRPr="00713689">
        <w:t xml:space="preserve"> </w:t>
      </w:r>
      <w:r w:rsidRPr="00713689">
        <w:t xml:space="preserve">expected accomplishments in the </w:t>
      </w:r>
      <w:r w:rsidR="003D4E66" w:rsidRPr="00713689">
        <w:t>s</w:t>
      </w:r>
      <w:r w:rsidRPr="00713689">
        <w:t xml:space="preserve">trategic </w:t>
      </w:r>
      <w:r w:rsidR="003D4E66" w:rsidRPr="00713689">
        <w:t>f</w:t>
      </w:r>
      <w:r w:rsidRPr="00713689">
        <w:t>ramework for 201</w:t>
      </w:r>
      <w:r w:rsidR="00D6518D">
        <w:t>6</w:t>
      </w:r>
      <w:r w:rsidRPr="00713689">
        <w:t>–201</w:t>
      </w:r>
      <w:r w:rsidR="00D6518D">
        <w:t>7</w:t>
      </w:r>
      <w:r w:rsidR="003D4E66" w:rsidRPr="00713689">
        <w:t xml:space="preserve"> </w:t>
      </w:r>
      <w:r w:rsidR="003D4E66" w:rsidRPr="007D2A58">
        <w:t>(A/6</w:t>
      </w:r>
      <w:r w:rsidR="007D2A58" w:rsidRPr="007D2A58">
        <w:t>9</w:t>
      </w:r>
      <w:r w:rsidR="003D4E66" w:rsidRPr="007D2A58">
        <w:t>/6 (</w:t>
      </w:r>
      <w:proofErr w:type="spellStart"/>
      <w:r w:rsidR="003D4E66" w:rsidRPr="007D2A58">
        <w:t>Prog</w:t>
      </w:r>
      <w:proofErr w:type="spellEnd"/>
      <w:r w:rsidR="003D4E66" w:rsidRPr="007D2A58">
        <w:t>. 17))</w:t>
      </w:r>
      <w:r w:rsidR="002D520A" w:rsidRPr="00713689">
        <w:t>. It will report</w:t>
      </w:r>
      <w:r w:rsidRPr="00713689">
        <w:t xml:space="preserve"> on </w:t>
      </w:r>
      <w:r w:rsidR="00FD6556" w:rsidRPr="00713689">
        <w:t xml:space="preserve">their </w:t>
      </w:r>
      <w:r w:rsidRPr="00713689">
        <w:t xml:space="preserve">implementation to the General Assembly of the United Nations. </w:t>
      </w:r>
    </w:p>
    <w:p w:rsidR="000F3BCE" w:rsidRPr="00713689" w:rsidRDefault="000F3BCE" w:rsidP="00411F85">
      <w:pPr>
        <w:pStyle w:val="SingleTxtG"/>
        <w:spacing w:line="240" w:lineRule="auto"/>
      </w:pPr>
      <w:r w:rsidRPr="00713689">
        <w:t>2.</w:t>
      </w:r>
      <w:r w:rsidRPr="00713689">
        <w:tab/>
        <w:t>The activities in the Environment subprogramme for the biennium 201</w:t>
      </w:r>
      <w:r w:rsidR="00C46B07">
        <w:t>6</w:t>
      </w:r>
      <w:r w:rsidRPr="00713689">
        <w:t>–201</w:t>
      </w:r>
      <w:r w:rsidR="00C46B07">
        <w:t>7</w:t>
      </w:r>
      <w:r w:rsidRPr="00713689">
        <w:t xml:space="preserve"> are grouped into clusters</w:t>
      </w:r>
      <w:r w:rsidR="002D520A" w:rsidRPr="00713689">
        <w:t xml:space="preserve"> of activities. It will report</w:t>
      </w:r>
      <w:r w:rsidRPr="00713689">
        <w:t xml:space="preserve"> on </w:t>
      </w:r>
      <w:r w:rsidR="00FD6556" w:rsidRPr="00713689">
        <w:t xml:space="preserve">their </w:t>
      </w:r>
      <w:r w:rsidRPr="00713689">
        <w:t xml:space="preserve">implementation </w:t>
      </w:r>
      <w:r w:rsidR="002D520A" w:rsidRPr="00713689">
        <w:t>to the Committee on Environmental Policy</w:t>
      </w:r>
      <w:r w:rsidRPr="00713689">
        <w:t xml:space="preserve">. </w:t>
      </w:r>
    </w:p>
    <w:p w:rsidR="00634315" w:rsidRPr="00713689" w:rsidRDefault="000F3BCE" w:rsidP="00411F85">
      <w:pPr>
        <w:pStyle w:val="SingleTxtG"/>
        <w:spacing w:line="240" w:lineRule="auto"/>
      </w:pPr>
      <w:r w:rsidRPr="00713689">
        <w:t>3.</w:t>
      </w:r>
      <w:r w:rsidRPr="00713689">
        <w:tab/>
        <w:t xml:space="preserve">The table below presents </w:t>
      </w:r>
      <w:r w:rsidR="00E50013" w:rsidRPr="00713689">
        <w:t>expected</w:t>
      </w:r>
      <w:r w:rsidRPr="00713689">
        <w:t xml:space="preserve"> accomplishments and indicators of achievement for the biennium 201</w:t>
      </w:r>
      <w:r w:rsidR="00C46B07">
        <w:t>6</w:t>
      </w:r>
      <w:r w:rsidRPr="00713689">
        <w:t>–201</w:t>
      </w:r>
      <w:r w:rsidR="00C46B07">
        <w:t>7</w:t>
      </w:r>
      <w:r w:rsidRPr="00713689">
        <w:t xml:space="preserve"> </w:t>
      </w:r>
      <w:r w:rsidR="00FD6556" w:rsidRPr="00713689">
        <w:t xml:space="preserve">for </w:t>
      </w:r>
      <w:r w:rsidRPr="00713689">
        <w:t>each of the clusters</w:t>
      </w:r>
      <w:r w:rsidR="00196C4E" w:rsidRPr="00713689">
        <w:t xml:space="preserve"> grouping the </w:t>
      </w:r>
      <w:proofErr w:type="spellStart"/>
      <w:r w:rsidR="00196C4E" w:rsidRPr="00713689">
        <w:t>subprogramme’s</w:t>
      </w:r>
      <w:proofErr w:type="spellEnd"/>
      <w:r w:rsidR="00196C4E" w:rsidRPr="00713689">
        <w:t xml:space="preserve"> activities</w:t>
      </w:r>
      <w:r w:rsidRPr="00713689">
        <w:t xml:space="preserve">. The left column contains the </w:t>
      </w:r>
      <w:r w:rsidR="00E50013" w:rsidRPr="00713689">
        <w:t>four</w:t>
      </w:r>
      <w:r w:rsidRPr="00713689">
        <w:t xml:space="preserve"> overarching </w:t>
      </w:r>
      <w:r w:rsidR="002D520A" w:rsidRPr="00713689">
        <w:t>expected accomplishment</w:t>
      </w:r>
      <w:r w:rsidR="00496AAE">
        <w:t>s</w:t>
      </w:r>
      <w:r w:rsidR="002D520A" w:rsidRPr="00713689">
        <w:t xml:space="preserve"> </w:t>
      </w:r>
      <w:r w:rsidRPr="00713689">
        <w:t xml:space="preserve">as included in the </w:t>
      </w:r>
      <w:r w:rsidR="00FD6556" w:rsidRPr="00713689">
        <w:t>s</w:t>
      </w:r>
      <w:r w:rsidRPr="00713689">
        <w:t xml:space="preserve">trategic </w:t>
      </w:r>
      <w:r w:rsidR="00FD6556" w:rsidRPr="00713689">
        <w:t>f</w:t>
      </w:r>
      <w:r w:rsidRPr="00713689">
        <w:t xml:space="preserve">ramework </w:t>
      </w:r>
      <w:r w:rsidR="00FD6556" w:rsidRPr="00713689">
        <w:t>for</w:t>
      </w:r>
      <w:r w:rsidR="003C132A" w:rsidRPr="00713689">
        <w:t xml:space="preserve"> </w:t>
      </w:r>
      <w:r w:rsidRPr="00713689">
        <w:t>201</w:t>
      </w:r>
      <w:r w:rsidR="00C46B07">
        <w:t>6</w:t>
      </w:r>
      <w:r w:rsidRPr="00713689">
        <w:t>–201</w:t>
      </w:r>
      <w:r w:rsidR="00C46B07">
        <w:t>7</w:t>
      </w:r>
      <w:r w:rsidRPr="00713689">
        <w:t xml:space="preserve">. The middle column contains </w:t>
      </w:r>
      <w:r w:rsidR="00632298" w:rsidRPr="00713689">
        <w:t>the clusters</w:t>
      </w:r>
      <w:r w:rsidRPr="00713689">
        <w:t xml:space="preserve"> of activities. The right column presents the expected accomplishments and indicators of achievement</w:t>
      </w:r>
      <w:r w:rsidR="00FD6556" w:rsidRPr="00713689">
        <w:t>,</w:t>
      </w:r>
      <w:r w:rsidRPr="00713689">
        <w:t xml:space="preserve"> as well as performance measures for each of the clusters. </w:t>
      </w:r>
      <w:r w:rsidR="008764FD" w:rsidRPr="00713689">
        <w:t xml:space="preserve">The table is structured in </w:t>
      </w:r>
      <w:r w:rsidR="00FD6556" w:rsidRPr="00713689">
        <w:t xml:space="preserve">such </w:t>
      </w:r>
      <w:r w:rsidR="008764FD" w:rsidRPr="00713689">
        <w:t>a way as to show t</w:t>
      </w:r>
      <w:r w:rsidR="008764FD" w:rsidRPr="00713689">
        <w:rPr>
          <w:szCs w:val="24"/>
        </w:rPr>
        <w:t xml:space="preserve">he correlation between the ECE </w:t>
      </w:r>
      <w:r w:rsidR="00FD6556" w:rsidRPr="00713689">
        <w:rPr>
          <w:szCs w:val="24"/>
        </w:rPr>
        <w:t>s</w:t>
      </w:r>
      <w:r w:rsidR="008764FD" w:rsidRPr="00713689">
        <w:rPr>
          <w:szCs w:val="24"/>
        </w:rPr>
        <w:t xml:space="preserve">trategic </w:t>
      </w:r>
      <w:r w:rsidR="00FD6556" w:rsidRPr="00713689">
        <w:rPr>
          <w:szCs w:val="24"/>
        </w:rPr>
        <w:t>f</w:t>
      </w:r>
      <w:r w:rsidR="008764FD" w:rsidRPr="00713689">
        <w:rPr>
          <w:szCs w:val="24"/>
        </w:rPr>
        <w:t xml:space="preserve">ramework and the cluster framework used for subprogramme biennial </w:t>
      </w:r>
      <w:r w:rsidR="00C46B07">
        <w:rPr>
          <w:szCs w:val="24"/>
        </w:rPr>
        <w:t>performance assessment</w:t>
      </w:r>
      <w:r w:rsidR="008764FD" w:rsidRPr="00713689">
        <w:rPr>
          <w:szCs w:val="24"/>
        </w:rPr>
        <w:t xml:space="preserve"> for 201</w:t>
      </w:r>
      <w:r w:rsidR="00C46B07">
        <w:rPr>
          <w:szCs w:val="24"/>
        </w:rPr>
        <w:t>6</w:t>
      </w:r>
      <w:r w:rsidR="008764FD" w:rsidRPr="00713689">
        <w:rPr>
          <w:szCs w:val="24"/>
        </w:rPr>
        <w:t>–201</w:t>
      </w:r>
      <w:r w:rsidR="00C46B07">
        <w:rPr>
          <w:szCs w:val="24"/>
        </w:rPr>
        <w:t>7</w:t>
      </w:r>
      <w:r w:rsidR="004A4DE7" w:rsidRPr="00713689">
        <w:rPr>
          <w:bCs/>
        </w:rPr>
        <w:t>.</w:t>
      </w:r>
      <w:r w:rsidR="004A4DE7" w:rsidRPr="00713689">
        <w:t xml:space="preserve"> </w:t>
      </w:r>
    </w:p>
    <w:p w:rsidR="000F3BCE" w:rsidRPr="00713689" w:rsidRDefault="00A82E88" w:rsidP="0020011D">
      <w:pPr>
        <w:pStyle w:val="HChG"/>
      </w:pPr>
      <w:r w:rsidRPr="00713689">
        <w:tab/>
        <w:t>II.</w:t>
      </w:r>
      <w:r w:rsidRPr="00713689">
        <w:tab/>
      </w:r>
      <w:r w:rsidR="00F763B9" w:rsidRPr="00713689">
        <w:t xml:space="preserve">Expected accomplishments and indicators of achievement </w:t>
      </w:r>
      <w:r w:rsidR="00DD131D" w:rsidRPr="00713689">
        <w:br/>
      </w:r>
      <w:r w:rsidR="00F763B9" w:rsidRPr="00713689">
        <w:t>for 201</w:t>
      </w:r>
      <w:r w:rsidR="00044CBF">
        <w:t>6</w:t>
      </w:r>
      <w:r w:rsidR="00F763B9" w:rsidRPr="00713689">
        <w:t>–201</w:t>
      </w:r>
      <w:r w:rsidR="00044CBF">
        <w:t>7</w:t>
      </w:r>
    </w:p>
    <w:tbl>
      <w:tblPr>
        <w:tblW w:w="9639" w:type="dxa"/>
        <w:tblLayout w:type="fixed"/>
        <w:tblCellMar>
          <w:left w:w="0" w:type="dxa"/>
          <w:right w:w="0" w:type="dxa"/>
        </w:tblCellMar>
        <w:tblLook w:val="01E0" w:firstRow="1" w:lastRow="1" w:firstColumn="1" w:lastColumn="1" w:noHBand="0" w:noVBand="0"/>
      </w:tblPr>
      <w:tblGrid>
        <w:gridCol w:w="3486"/>
        <w:gridCol w:w="2337"/>
        <w:gridCol w:w="3816"/>
      </w:tblGrid>
      <w:tr w:rsidR="000F3BCE" w:rsidRPr="00713689" w:rsidTr="009711C7">
        <w:trPr>
          <w:tblHeader/>
        </w:trPr>
        <w:tc>
          <w:tcPr>
            <w:tcW w:w="3486" w:type="dxa"/>
            <w:tcBorders>
              <w:top w:val="single" w:sz="4" w:space="0" w:color="auto"/>
              <w:bottom w:val="single" w:sz="12" w:space="0" w:color="auto"/>
            </w:tcBorders>
            <w:shd w:val="clear" w:color="auto" w:fill="auto"/>
            <w:vAlign w:val="bottom"/>
          </w:tcPr>
          <w:p w:rsidR="000F3BCE" w:rsidRPr="00713689" w:rsidRDefault="000F3BCE" w:rsidP="006B7033">
            <w:pPr>
              <w:widowControl w:val="0"/>
              <w:suppressAutoHyphens w:val="0"/>
              <w:spacing w:before="80" w:after="80" w:line="240" w:lineRule="auto"/>
              <w:ind w:left="142"/>
              <w:rPr>
                <w:i/>
                <w:sz w:val="16"/>
                <w:szCs w:val="16"/>
              </w:rPr>
            </w:pPr>
            <w:r w:rsidRPr="00713689">
              <w:rPr>
                <w:i/>
                <w:sz w:val="16"/>
                <w:szCs w:val="16"/>
              </w:rPr>
              <w:br w:type="page"/>
              <w:t xml:space="preserve">Expected accomplishments (EA) and indicators of achievement (IA) of the </w:t>
            </w:r>
            <w:r w:rsidR="00DD131D" w:rsidRPr="00713689">
              <w:rPr>
                <w:i/>
                <w:sz w:val="16"/>
                <w:szCs w:val="16"/>
              </w:rPr>
              <w:t>s</w:t>
            </w:r>
            <w:r w:rsidRPr="00713689">
              <w:rPr>
                <w:i/>
                <w:sz w:val="16"/>
                <w:szCs w:val="16"/>
              </w:rPr>
              <w:t xml:space="preserve">trategic </w:t>
            </w:r>
            <w:r w:rsidR="00DD131D" w:rsidRPr="00713689">
              <w:rPr>
                <w:i/>
                <w:sz w:val="16"/>
                <w:szCs w:val="16"/>
              </w:rPr>
              <w:t>f</w:t>
            </w:r>
            <w:r w:rsidRPr="00713689">
              <w:rPr>
                <w:i/>
                <w:sz w:val="16"/>
                <w:szCs w:val="16"/>
              </w:rPr>
              <w:t xml:space="preserve">ramework </w:t>
            </w:r>
            <w:r w:rsidR="00DD131D" w:rsidRPr="00713689">
              <w:rPr>
                <w:i/>
                <w:sz w:val="16"/>
                <w:szCs w:val="16"/>
              </w:rPr>
              <w:t xml:space="preserve">for </w:t>
            </w:r>
            <w:r w:rsidRPr="00713689">
              <w:rPr>
                <w:i/>
                <w:sz w:val="16"/>
                <w:szCs w:val="16"/>
              </w:rPr>
              <w:t>201</w:t>
            </w:r>
            <w:r w:rsidR="00044CBF">
              <w:rPr>
                <w:i/>
                <w:sz w:val="16"/>
                <w:szCs w:val="16"/>
              </w:rPr>
              <w:t>6</w:t>
            </w:r>
            <w:r w:rsidRPr="00713689">
              <w:rPr>
                <w:i/>
                <w:sz w:val="16"/>
                <w:szCs w:val="16"/>
              </w:rPr>
              <w:t>–201</w:t>
            </w:r>
            <w:r w:rsidR="00044CBF">
              <w:rPr>
                <w:i/>
                <w:sz w:val="16"/>
                <w:szCs w:val="16"/>
              </w:rPr>
              <w:t>7</w:t>
            </w:r>
          </w:p>
        </w:tc>
        <w:tc>
          <w:tcPr>
            <w:tcW w:w="2337" w:type="dxa"/>
            <w:tcBorders>
              <w:top w:val="single" w:sz="4" w:space="0" w:color="auto"/>
              <w:bottom w:val="single" w:sz="12" w:space="0" w:color="auto"/>
            </w:tcBorders>
            <w:shd w:val="clear" w:color="auto" w:fill="auto"/>
            <w:vAlign w:val="bottom"/>
          </w:tcPr>
          <w:p w:rsidR="000F3BCE" w:rsidRPr="00713689" w:rsidRDefault="000F3BCE" w:rsidP="006B7033">
            <w:pPr>
              <w:widowControl w:val="0"/>
              <w:suppressAutoHyphens w:val="0"/>
              <w:spacing w:before="80" w:after="80" w:line="240" w:lineRule="auto"/>
              <w:ind w:left="113"/>
              <w:rPr>
                <w:i/>
                <w:sz w:val="16"/>
                <w:szCs w:val="16"/>
              </w:rPr>
            </w:pPr>
            <w:r w:rsidRPr="00713689">
              <w:rPr>
                <w:i/>
                <w:sz w:val="16"/>
                <w:szCs w:val="16"/>
              </w:rPr>
              <w:t xml:space="preserve">Cluster of activities </w:t>
            </w:r>
          </w:p>
        </w:tc>
        <w:tc>
          <w:tcPr>
            <w:tcW w:w="3816" w:type="dxa"/>
            <w:tcBorders>
              <w:top w:val="single" w:sz="4" w:space="0" w:color="auto"/>
              <w:bottom w:val="single" w:sz="12" w:space="0" w:color="auto"/>
            </w:tcBorders>
            <w:shd w:val="clear" w:color="auto" w:fill="auto"/>
            <w:vAlign w:val="bottom"/>
          </w:tcPr>
          <w:p w:rsidR="000F3BCE" w:rsidRPr="00713689" w:rsidRDefault="000F3BCE" w:rsidP="006B7033">
            <w:pPr>
              <w:widowControl w:val="0"/>
              <w:suppressAutoHyphens w:val="0"/>
              <w:spacing w:before="80" w:after="80" w:line="240" w:lineRule="auto"/>
              <w:ind w:left="142"/>
              <w:rPr>
                <w:i/>
                <w:sz w:val="16"/>
                <w:szCs w:val="16"/>
              </w:rPr>
            </w:pPr>
            <w:r w:rsidRPr="00713689">
              <w:rPr>
                <w:i/>
                <w:sz w:val="16"/>
                <w:szCs w:val="16"/>
              </w:rPr>
              <w:t xml:space="preserve">EA and IA of the </w:t>
            </w:r>
            <w:r w:rsidR="00DD131D" w:rsidRPr="00713689">
              <w:rPr>
                <w:i/>
                <w:sz w:val="16"/>
                <w:szCs w:val="16"/>
              </w:rPr>
              <w:t>b</w:t>
            </w:r>
            <w:r w:rsidRPr="00713689">
              <w:rPr>
                <w:i/>
                <w:sz w:val="16"/>
                <w:szCs w:val="16"/>
              </w:rPr>
              <w:t xml:space="preserve">iennial </w:t>
            </w:r>
            <w:r w:rsidR="00DD131D" w:rsidRPr="00713689">
              <w:rPr>
                <w:i/>
                <w:sz w:val="16"/>
                <w:szCs w:val="16"/>
              </w:rPr>
              <w:t>e</w:t>
            </w:r>
            <w:r w:rsidRPr="00713689">
              <w:rPr>
                <w:i/>
                <w:sz w:val="16"/>
                <w:szCs w:val="16"/>
              </w:rPr>
              <w:t xml:space="preserve">valuation </w:t>
            </w:r>
            <w:r w:rsidR="00DD131D" w:rsidRPr="00713689">
              <w:rPr>
                <w:i/>
                <w:sz w:val="16"/>
                <w:szCs w:val="16"/>
              </w:rPr>
              <w:t xml:space="preserve">for </w:t>
            </w:r>
            <w:r w:rsidRPr="00713689">
              <w:rPr>
                <w:i/>
                <w:sz w:val="16"/>
                <w:szCs w:val="16"/>
              </w:rPr>
              <w:t>201</w:t>
            </w:r>
            <w:r w:rsidR="00044CBF">
              <w:rPr>
                <w:i/>
                <w:sz w:val="16"/>
                <w:szCs w:val="16"/>
              </w:rPr>
              <w:t>6</w:t>
            </w:r>
            <w:r w:rsidRPr="00713689">
              <w:rPr>
                <w:i/>
                <w:sz w:val="16"/>
                <w:szCs w:val="16"/>
              </w:rPr>
              <w:t>–201</w:t>
            </w:r>
            <w:r w:rsidR="00044CBF">
              <w:rPr>
                <w:i/>
                <w:sz w:val="16"/>
                <w:szCs w:val="16"/>
              </w:rPr>
              <w:t>7</w:t>
            </w:r>
          </w:p>
        </w:tc>
      </w:tr>
      <w:tr w:rsidR="000F3BCE" w:rsidRPr="00713689" w:rsidTr="009711C7">
        <w:trPr>
          <w:trHeight w:val="30"/>
          <w:tblHeader/>
        </w:trPr>
        <w:tc>
          <w:tcPr>
            <w:tcW w:w="3486" w:type="dxa"/>
            <w:tcBorders>
              <w:top w:val="single" w:sz="12" w:space="0" w:color="auto"/>
            </w:tcBorders>
            <w:shd w:val="clear" w:color="auto" w:fill="auto"/>
          </w:tcPr>
          <w:p w:rsidR="000F3BCE" w:rsidRPr="00713689" w:rsidRDefault="000F3BCE" w:rsidP="006B7033">
            <w:pPr>
              <w:widowControl w:val="0"/>
              <w:tabs>
                <w:tab w:val="left" w:pos="576"/>
              </w:tabs>
              <w:suppressAutoHyphens w:val="0"/>
              <w:spacing w:line="100" w:lineRule="exact"/>
              <w:ind w:left="142"/>
            </w:pPr>
          </w:p>
        </w:tc>
        <w:tc>
          <w:tcPr>
            <w:tcW w:w="2337" w:type="dxa"/>
            <w:tcBorders>
              <w:top w:val="single" w:sz="12" w:space="0" w:color="auto"/>
            </w:tcBorders>
            <w:shd w:val="clear" w:color="auto" w:fill="auto"/>
          </w:tcPr>
          <w:p w:rsidR="000F3BCE" w:rsidRPr="00713689" w:rsidRDefault="000F3BCE" w:rsidP="006B7033">
            <w:pPr>
              <w:widowControl w:val="0"/>
              <w:suppressAutoHyphens w:val="0"/>
              <w:autoSpaceDE w:val="0"/>
              <w:autoSpaceDN w:val="0"/>
              <w:adjustRightInd w:val="0"/>
              <w:spacing w:line="100" w:lineRule="exact"/>
              <w:ind w:left="113"/>
            </w:pPr>
          </w:p>
        </w:tc>
        <w:tc>
          <w:tcPr>
            <w:tcW w:w="3816" w:type="dxa"/>
            <w:tcBorders>
              <w:top w:val="single" w:sz="12" w:space="0" w:color="auto"/>
            </w:tcBorders>
            <w:shd w:val="clear" w:color="auto" w:fill="auto"/>
          </w:tcPr>
          <w:p w:rsidR="000F3BCE" w:rsidRPr="00713689" w:rsidRDefault="000F3BCE" w:rsidP="006B7033">
            <w:pPr>
              <w:widowControl w:val="0"/>
              <w:suppressAutoHyphens w:val="0"/>
              <w:spacing w:line="100" w:lineRule="exact"/>
              <w:ind w:left="142"/>
            </w:pPr>
          </w:p>
        </w:tc>
      </w:tr>
      <w:tr w:rsidR="000F3BCE" w:rsidRPr="00713689" w:rsidTr="009711C7">
        <w:trPr>
          <w:trHeight w:val="240"/>
        </w:trPr>
        <w:tc>
          <w:tcPr>
            <w:tcW w:w="3486" w:type="dxa"/>
            <w:shd w:val="clear" w:color="auto" w:fill="auto"/>
          </w:tcPr>
          <w:p w:rsidR="000F3BCE" w:rsidRPr="00713689" w:rsidRDefault="000F3BCE" w:rsidP="006B7033">
            <w:pPr>
              <w:widowControl w:val="0"/>
              <w:tabs>
                <w:tab w:val="left" w:pos="576"/>
              </w:tabs>
              <w:suppressAutoHyphens w:val="0"/>
              <w:spacing w:before="40" w:after="120" w:line="240" w:lineRule="auto"/>
              <w:ind w:left="142"/>
            </w:pPr>
            <w:r w:rsidRPr="00713689">
              <w:t>EA (a)</w:t>
            </w:r>
            <w:r w:rsidR="00DD131D" w:rsidRPr="00713689">
              <w:t xml:space="preserve"> </w:t>
            </w:r>
            <w:r w:rsidR="00DD131D" w:rsidRPr="00713689">
              <w:br/>
            </w:r>
            <w:r w:rsidR="007B459E" w:rsidRPr="00713689">
              <w:t>Improved response to environmental challenges by ECE constituencies</w:t>
            </w:r>
          </w:p>
          <w:p w:rsidR="000F3BCE" w:rsidRPr="00713689" w:rsidRDefault="000F3BCE" w:rsidP="006B7033">
            <w:pPr>
              <w:widowControl w:val="0"/>
              <w:tabs>
                <w:tab w:val="left" w:pos="576"/>
              </w:tabs>
              <w:suppressAutoHyphens w:val="0"/>
              <w:spacing w:before="40" w:after="120" w:line="240" w:lineRule="auto"/>
              <w:ind w:left="142"/>
            </w:pPr>
            <w:r w:rsidRPr="00713689">
              <w:rPr>
                <w:i/>
              </w:rPr>
              <w:t>Performance measures:</w:t>
            </w:r>
          </w:p>
          <w:p w:rsidR="00DF29F7" w:rsidRPr="00713689" w:rsidRDefault="00787760" w:rsidP="006B7033">
            <w:pPr>
              <w:widowControl w:val="0"/>
              <w:suppressAutoHyphens w:val="0"/>
              <w:spacing w:before="40" w:after="120" w:line="240" w:lineRule="auto"/>
              <w:ind w:left="142"/>
            </w:pPr>
            <w:r w:rsidRPr="00713689">
              <w:t>201</w:t>
            </w:r>
            <w:r w:rsidR="0022738B">
              <w:t>2</w:t>
            </w:r>
            <w:r w:rsidRPr="00713689">
              <w:t>–201</w:t>
            </w:r>
            <w:r w:rsidR="0022738B">
              <w:t>3</w:t>
            </w:r>
            <w:r w:rsidRPr="00713689">
              <w:t xml:space="preserve">: </w:t>
            </w:r>
            <w:r w:rsidR="00DD76C8" w:rsidRPr="00713689">
              <w:t xml:space="preserve">not applicable </w:t>
            </w:r>
            <w:r w:rsidRPr="00713689">
              <w:t>(</w:t>
            </w:r>
            <w:r w:rsidR="000459B1" w:rsidRPr="00713689">
              <w:t>N/A</w:t>
            </w:r>
            <w:r w:rsidR="00DD76C8" w:rsidRPr="00713689">
              <w:t>)</w:t>
            </w:r>
          </w:p>
          <w:p w:rsidR="00A05831" w:rsidRDefault="00A05831" w:rsidP="006B7033">
            <w:pPr>
              <w:widowControl w:val="0"/>
              <w:suppressAutoHyphens w:val="0"/>
              <w:spacing w:before="40" w:after="120" w:line="240" w:lineRule="auto"/>
              <w:ind w:left="142"/>
            </w:pPr>
            <w:r w:rsidRPr="00713689">
              <w:t xml:space="preserve">Estimate </w:t>
            </w:r>
            <w:r w:rsidR="008B12B0" w:rsidRPr="00713689">
              <w:t>2</w:t>
            </w:r>
            <w:r w:rsidRPr="00713689">
              <w:t>01</w:t>
            </w:r>
            <w:r w:rsidR="0022738B">
              <w:t>4</w:t>
            </w:r>
            <w:r w:rsidRPr="00713689">
              <w:t>–201</w:t>
            </w:r>
            <w:r w:rsidR="0022738B">
              <w:t>5</w:t>
            </w:r>
            <w:r w:rsidRPr="00713689">
              <w:t xml:space="preserve">: </w:t>
            </w:r>
            <w:r w:rsidR="0022738B">
              <w:t>N/A</w:t>
            </w:r>
          </w:p>
          <w:p w:rsidR="00804562" w:rsidRPr="00713689" w:rsidRDefault="00804562" w:rsidP="006B7033">
            <w:pPr>
              <w:widowControl w:val="0"/>
              <w:tabs>
                <w:tab w:val="left" w:pos="1200"/>
              </w:tabs>
              <w:suppressAutoHyphens w:val="0"/>
              <w:spacing w:before="40" w:after="120" w:line="240" w:lineRule="auto"/>
              <w:ind w:left="142"/>
            </w:pPr>
            <w:r w:rsidRPr="00AB7B14">
              <w:t>Actual 2014–2015</w:t>
            </w:r>
            <w:r w:rsidR="00496AAE" w:rsidRPr="00AB7B14">
              <w:t xml:space="preserve"> (as of 31 July 2015)</w:t>
            </w:r>
            <w:r w:rsidRPr="00AB7B14">
              <w:t>:</w:t>
            </w:r>
            <w:r>
              <w:t xml:space="preserve"> N/A</w:t>
            </w:r>
          </w:p>
          <w:p w:rsidR="007B459E" w:rsidRPr="00713689" w:rsidRDefault="00A05831" w:rsidP="006B7033">
            <w:pPr>
              <w:widowControl w:val="0"/>
              <w:suppressAutoHyphens w:val="0"/>
              <w:spacing w:before="40" w:after="120" w:line="240" w:lineRule="auto"/>
              <w:ind w:left="142"/>
            </w:pPr>
            <w:r w:rsidRPr="00713689">
              <w:t>Target 201</w:t>
            </w:r>
            <w:r w:rsidR="0022738B">
              <w:t>6</w:t>
            </w:r>
            <w:r w:rsidRPr="00713689">
              <w:t>–201</w:t>
            </w:r>
            <w:r w:rsidR="0022738B">
              <w:t>7</w:t>
            </w:r>
            <w:r w:rsidRPr="00713689">
              <w:t xml:space="preserve">: </w:t>
            </w:r>
            <w:r w:rsidR="0022738B">
              <w:t>2</w:t>
            </w:r>
            <w:r w:rsidRPr="00713689">
              <w:t xml:space="preserve"> measures</w:t>
            </w:r>
          </w:p>
        </w:tc>
        <w:tc>
          <w:tcPr>
            <w:tcW w:w="2337" w:type="dxa"/>
            <w:shd w:val="clear" w:color="auto" w:fill="auto"/>
          </w:tcPr>
          <w:p w:rsidR="000F3BCE" w:rsidRPr="00713689" w:rsidRDefault="00890834" w:rsidP="006B7033">
            <w:pPr>
              <w:widowControl w:val="0"/>
              <w:suppressAutoHyphens w:val="0"/>
              <w:autoSpaceDE w:val="0"/>
              <w:autoSpaceDN w:val="0"/>
              <w:adjustRightInd w:val="0"/>
              <w:spacing w:before="40" w:after="120" w:line="240" w:lineRule="auto"/>
              <w:ind w:left="113"/>
            </w:pPr>
            <w:r w:rsidRPr="00713689">
              <w:t>1. Improved response to environmental challenges (</w:t>
            </w:r>
            <w:r w:rsidR="00B35A23" w:rsidRPr="00713689">
              <w:t xml:space="preserve">This cluster includes outputs/activities from all other clusters, as appropriate. They may relate to the follow up to the </w:t>
            </w:r>
            <w:r w:rsidR="00E6054E" w:rsidRPr="00713689">
              <w:t>United Nations Conference on Sustainable Development (</w:t>
            </w:r>
            <w:r w:rsidR="00B35A23" w:rsidRPr="00713689">
              <w:t>Rio+20 Conference</w:t>
            </w:r>
            <w:r w:rsidR="00E6054E" w:rsidRPr="00713689">
              <w:t>)</w:t>
            </w:r>
            <w:r w:rsidR="00DC3398">
              <w:t xml:space="preserve"> or to the </w:t>
            </w:r>
            <w:r w:rsidR="00DC3398" w:rsidRPr="00DC3398">
              <w:t>U</w:t>
            </w:r>
            <w:r w:rsidR="00DC3398">
              <w:t xml:space="preserve">nited </w:t>
            </w:r>
            <w:r w:rsidR="00DC3398" w:rsidRPr="00DC3398">
              <w:t>N</w:t>
            </w:r>
            <w:r w:rsidR="00DC3398">
              <w:t>ations</w:t>
            </w:r>
            <w:r w:rsidR="00DC3398" w:rsidRPr="00DC3398">
              <w:t xml:space="preserve"> Summit on the Post-2015 Development Agenda</w:t>
            </w:r>
            <w:r w:rsidRPr="00713689">
              <w:t>)</w:t>
            </w:r>
          </w:p>
        </w:tc>
        <w:tc>
          <w:tcPr>
            <w:tcW w:w="3816" w:type="dxa"/>
            <w:shd w:val="clear" w:color="auto" w:fill="auto"/>
          </w:tcPr>
          <w:p w:rsidR="000B60FC" w:rsidRPr="00713689" w:rsidRDefault="000B60FC" w:rsidP="006B7033">
            <w:pPr>
              <w:widowControl w:val="0"/>
              <w:suppressAutoHyphens w:val="0"/>
              <w:autoSpaceDE w:val="0"/>
              <w:autoSpaceDN w:val="0"/>
              <w:adjustRightInd w:val="0"/>
              <w:spacing w:before="40" w:after="120" w:line="240" w:lineRule="auto"/>
              <w:ind w:left="142"/>
            </w:pPr>
            <w:r w:rsidRPr="00713689">
              <w:t>EA</w:t>
            </w:r>
            <w:r w:rsidR="00DD131D" w:rsidRPr="00713689">
              <w:t xml:space="preserve"> </w:t>
            </w:r>
            <w:r w:rsidR="00205CFF" w:rsidRPr="00713689">
              <w:t>1</w:t>
            </w:r>
            <w:r w:rsidRPr="00713689">
              <w:t xml:space="preserve"> </w:t>
            </w:r>
            <w:r w:rsidR="00DD131D" w:rsidRPr="00713689">
              <w:br/>
            </w:r>
            <w:r w:rsidR="00DC3398" w:rsidRPr="00713689">
              <w:t>Improved response to environmental challenges by ECE constituencies</w:t>
            </w:r>
          </w:p>
          <w:p w:rsidR="000B60FC" w:rsidRPr="00713689" w:rsidRDefault="000B60FC" w:rsidP="006B7033">
            <w:pPr>
              <w:widowControl w:val="0"/>
              <w:suppressAutoHyphens w:val="0"/>
              <w:autoSpaceDE w:val="0"/>
              <w:autoSpaceDN w:val="0"/>
              <w:adjustRightInd w:val="0"/>
              <w:spacing w:before="40" w:after="120" w:line="240" w:lineRule="auto"/>
              <w:ind w:left="142"/>
            </w:pPr>
            <w:r w:rsidRPr="00713689">
              <w:t>IA</w:t>
            </w:r>
            <w:r w:rsidR="00DD131D" w:rsidRPr="00713689">
              <w:t xml:space="preserve"> </w:t>
            </w:r>
            <w:r w:rsidR="00205CFF" w:rsidRPr="00713689">
              <w:t>1</w:t>
            </w:r>
            <w:r w:rsidRPr="00713689">
              <w:t xml:space="preserve"> </w:t>
            </w:r>
            <w:r w:rsidR="000459B1" w:rsidRPr="00713689">
              <w:t>(</w:t>
            </w:r>
            <w:r w:rsidR="00DF1700" w:rsidRPr="00713689">
              <w:t>a</w:t>
            </w:r>
            <w:r w:rsidR="000459B1" w:rsidRPr="00713689">
              <w:t>)</w:t>
            </w:r>
            <w:r w:rsidR="00DD131D" w:rsidRPr="00713689">
              <w:br/>
            </w:r>
            <w:r w:rsidR="005B5166" w:rsidRPr="005B5166">
              <w:t>Number of new measures taken by ECE constituencies in response to existing and emerging environmental challenges</w:t>
            </w:r>
            <w:r w:rsidRPr="00713689">
              <w:t xml:space="preserve"> </w:t>
            </w:r>
          </w:p>
          <w:p w:rsidR="000B60FC" w:rsidRPr="00713689" w:rsidRDefault="000B60FC" w:rsidP="006B7033">
            <w:pPr>
              <w:widowControl w:val="0"/>
              <w:suppressAutoHyphens w:val="0"/>
              <w:spacing w:before="40" w:after="120" w:line="240" w:lineRule="auto"/>
              <w:ind w:left="142"/>
              <w:rPr>
                <w:i/>
              </w:rPr>
            </w:pPr>
            <w:r w:rsidRPr="00713689">
              <w:rPr>
                <w:i/>
              </w:rPr>
              <w:t>Performance measures:</w:t>
            </w:r>
          </w:p>
          <w:p w:rsidR="000B60FC" w:rsidRPr="00713689" w:rsidRDefault="000B60FC" w:rsidP="006B7033">
            <w:pPr>
              <w:widowControl w:val="0"/>
              <w:suppressAutoHyphens w:val="0"/>
              <w:spacing w:before="40" w:after="120" w:line="240" w:lineRule="auto"/>
              <w:ind w:left="142"/>
            </w:pPr>
            <w:r w:rsidRPr="00713689">
              <w:t>201</w:t>
            </w:r>
            <w:r w:rsidR="005F4B51">
              <w:t>2</w:t>
            </w:r>
            <w:r w:rsidRPr="00713689">
              <w:t>–201</w:t>
            </w:r>
            <w:r w:rsidR="005F4B51">
              <w:t>3</w:t>
            </w:r>
            <w:r w:rsidRPr="00713689">
              <w:t xml:space="preserve">: </w:t>
            </w:r>
            <w:r w:rsidR="000459B1" w:rsidRPr="00713689">
              <w:t>N/A</w:t>
            </w:r>
          </w:p>
          <w:p w:rsidR="000B60FC" w:rsidRDefault="00F728B5" w:rsidP="006B7033">
            <w:pPr>
              <w:widowControl w:val="0"/>
              <w:tabs>
                <w:tab w:val="left" w:pos="1200"/>
              </w:tabs>
              <w:suppressAutoHyphens w:val="0"/>
              <w:spacing w:before="40" w:after="120" w:line="240" w:lineRule="auto"/>
              <w:ind w:left="142"/>
            </w:pPr>
            <w:r w:rsidRPr="00713689">
              <w:t>Estimate</w:t>
            </w:r>
            <w:r w:rsidR="00DD131D" w:rsidRPr="00713689">
              <w:t xml:space="preserve"> </w:t>
            </w:r>
            <w:r w:rsidR="000B60FC" w:rsidRPr="00713689">
              <w:t>201</w:t>
            </w:r>
            <w:r w:rsidR="005F4B51">
              <w:t>4</w:t>
            </w:r>
            <w:r w:rsidR="000B60FC" w:rsidRPr="00713689">
              <w:t>–201</w:t>
            </w:r>
            <w:r w:rsidR="005F4B51">
              <w:t>5</w:t>
            </w:r>
            <w:r w:rsidR="000B60FC" w:rsidRPr="00713689">
              <w:t>:</w:t>
            </w:r>
            <w:r w:rsidR="00DD131D" w:rsidRPr="00713689">
              <w:t xml:space="preserve"> </w:t>
            </w:r>
            <w:r w:rsidR="005F4B51" w:rsidRPr="00713689">
              <w:t>N/A</w:t>
            </w:r>
          </w:p>
          <w:p w:rsidR="0065438F" w:rsidRPr="00713689" w:rsidRDefault="0065438F" w:rsidP="006B7033">
            <w:pPr>
              <w:widowControl w:val="0"/>
              <w:tabs>
                <w:tab w:val="left" w:pos="1200"/>
              </w:tabs>
              <w:suppressAutoHyphens w:val="0"/>
              <w:spacing w:before="40" w:after="120" w:line="240" w:lineRule="auto"/>
              <w:ind w:left="142"/>
            </w:pPr>
            <w:r w:rsidRPr="00AB7B14">
              <w:t>Actual 2014–2015</w:t>
            </w:r>
            <w:r w:rsidR="00496AAE" w:rsidRPr="00AB7B14">
              <w:t xml:space="preserve"> (as of 31 July 2015)</w:t>
            </w:r>
            <w:r w:rsidRPr="00AB7B14">
              <w:t>:</w:t>
            </w:r>
            <w:r>
              <w:t xml:space="preserve"> N/A</w:t>
            </w:r>
          </w:p>
          <w:p w:rsidR="000459B1" w:rsidRPr="00713689" w:rsidRDefault="000B60FC" w:rsidP="006B7033">
            <w:pPr>
              <w:widowControl w:val="0"/>
              <w:suppressAutoHyphens w:val="0"/>
              <w:spacing w:before="40" w:after="120" w:line="240" w:lineRule="auto"/>
              <w:ind w:left="142"/>
            </w:pPr>
            <w:r w:rsidRPr="00713689">
              <w:rPr>
                <w:spacing w:val="-4"/>
              </w:rPr>
              <w:t xml:space="preserve">Target </w:t>
            </w:r>
            <w:r w:rsidR="008440B0" w:rsidRPr="00713689">
              <w:rPr>
                <w:spacing w:val="-4"/>
              </w:rPr>
              <w:t xml:space="preserve"> </w:t>
            </w:r>
            <w:r w:rsidRPr="00713689">
              <w:rPr>
                <w:spacing w:val="-4"/>
              </w:rPr>
              <w:t>201</w:t>
            </w:r>
            <w:r w:rsidR="005F4B51">
              <w:rPr>
                <w:spacing w:val="-4"/>
              </w:rPr>
              <w:t>6</w:t>
            </w:r>
            <w:r w:rsidRPr="00713689">
              <w:rPr>
                <w:spacing w:val="-4"/>
              </w:rPr>
              <w:t>–201</w:t>
            </w:r>
            <w:r w:rsidR="005F4B51">
              <w:rPr>
                <w:spacing w:val="-4"/>
              </w:rPr>
              <w:t>7</w:t>
            </w:r>
            <w:r w:rsidRPr="00713689">
              <w:rPr>
                <w:spacing w:val="-4"/>
              </w:rPr>
              <w:t>:</w:t>
            </w:r>
            <w:r w:rsidR="00DD131D" w:rsidRPr="00713689">
              <w:t xml:space="preserve"> </w:t>
            </w:r>
            <w:r w:rsidR="005F4B51">
              <w:t>2</w:t>
            </w:r>
            <w:r w:rsidR="000459B1" w:rsidRPr="00713689">
              <w:t xml:space="preserve"> measures</w:t>
            </w:r>
          </w:p>
        </w:tc>
      </w:tr>
      <w:tr w:rsidR="00D2745F" w:rsidRPr="00713689" w:rsidTr="00413243">
        <w:trPr>
          <w:cantSplit/>
          <w:trHeight w:val="372"/>
        </w:trPr>
        <w:tc>
          <w:tcPr>
            <w:tcW w:w="3486" w:type="dxa"/>
            <w:vMerge w:val="restart"/>
            <w:shd w:val="clear" w:color="auto" w:fill="auto"/>
          </w:tcPr>
          <w:p w:rsidR="00D2745F" w:rsidRPr="00713689" w:rsidRDefault="00D2745F" w:rsidP="006B7033">
            <w:pPr>
              <w:widowControl w:val="0"/>
              <w:tabs>
                <w:tab w:val="left" w:pos="576"/>
              </w:tabs>
              <w:suppressAutoHyphens w:val="0"/>
              <w:spacing w:before="40" w:after="120"/>
              <w:ind w:left="142"/>
            </w:pPr>
            <w:r w:rsidRPr="00713689">
              <w:lastRenderedPageBreak/>
              <w:t>EA (b)</w:t>
            </w:r>
            <w:r w:rsidRPr="00713689">
              <w:br/>
            </w:r>
            <w:r>
              <w:t>Strengthened implementation of ECE multilateral environmental commitments and increased geographical coverage</w:t>
            </w:r>
          </w:p>
          <w:p w:rsidR="00D2745F" w:rsidRPr="00713689" w:rsidRDefault="00D2745F" w:rsidP="006B7033">
            <w:pPr>
              <w:widowControl w:val="0"/>
              <w:tabs>
                <w:tab w:val="left" w:pos="576"/>
              </w:tabs>
              <w:suppressAutoHyphens w:val="0"/>
              <w:spacing w:before="40" w:after="120"/>
              <w:ind w:left="142"/>
            </w:pPr>
            <w:r w:rsidRPr="00713689">
              <w:t>IA (b)</w:t>
            </w:r>
            <w:r>
              <w:t xml:space="preserve"> (</w:t>
            </w:r>
            <w:proofErr w:type="spellStart"/>
            <w:r>
              <w:t>i</w:t>
            </w:r>
            <w:proofErr w:type="spellEnd"/>
            <w:r>
              <w:t>)</w:t>
            </w:r>
            <w:r w:rsidRPr="00713689">
              <w:br/>
            </w:r>
            <w:r w:rsidRPr="00A32BCA">
              <w:t>Increased percentage of Contracting Parties reporting on the implementation of ECE multilateral environmental agreements</w:t>
            </w:r>
          </w:p>
          <w:p w:rsidR="00D2745F" w:rsidRPr="00713689" w:rsidRDefault="00D2745F" w:rsidP="006B7033">
            <w:pPr>
              <w:widowControl w:val="0"/>
              <w:tabs>
                <w:tab w:val="left" w:pos="576"/>
              </w:tabs>
              <w:suppressAutoHyphens w:val="0"/>
              <w:spacing w:before="40" w:after="120"/>
              <w:ind w:left="142"/>
            </w:pPr>
            <w:r w:rsidRPr="00713689">
              <w:rPr>
                <w:i/>
              </w:rPr>
              <w:t>Performance measures:</w:t>
            </w:r>
          </w:p>
          <w:p w:rsidR="00D2745F" w:rsidRPr="00713689" w:rsidRDefault="00D2745F" w:rsidP="006B7033">
            <w:pPr>
              <w:widowControl w:val="0"/>
              <w:tabs>
                <w:tab w:val="left" w:pos="576"/>
              </w:tabs>
              <w:suppressAutoHyphens w:val="0"/>
              <w:spacing w:before="40" w:after="120"/>
              <w:ind w:left="142"/>
            </w:pPr>
            <w:r w:rsidRPr="00713689">
              <w:t>201</w:t>
            </w:r>
            <w:r>
              <w:t>2</w:t>
            </w:r>
            <w:r w:rsidRPr="00713689">
              <w:t>–201</w:t>
            </w:r>
            <w:r>
              <w:t>3</w:t>
            </w:r>
            <w:r w:rsidRPr="00713689">
              <w:t xml:space="preserve">: </w:t>
            </w:r>
            <w:r>
              <w:t>N/A</w:t>
            </w:r>
          </w:p>
          <w:p w:rsidR="00D2745F" w:rsidRDefault="00D2745F" w:rsidP="006B7033">
            <w:pPr>
              <w:widowControl w:val="0"/>
              <w:tabs>
                <w:tab w:val="left" w:pos="576"/>
              </w:tabs>
              <w:suppressAutoHyphens w:val="0"/>
              <w:spacing w:before="40" w:after="120"/>
              <w:ind w:left="142"/>
            </w:pPr>
            <w:r w:rsidRPr="00713689">
              <w:t>Estimate 201</w:t>
            </w:r>
            <w:r>
              <w:t>4</w:t>
            </w:r>
            <w:r w:rsidRPr="00713689">
              <w:t>–201</w:t>
            </w:r>
            <w:r>
              <w:t>5</w:t>
            </w:r>
            <w:r w:rsidRPr="00713689">
              <w:t xml:space="preserve">: </w:t>
            </w:r>
            <w:r>
              <w:t>N/A</w:t>
            </w:r>
          </w:p>
          <w:p w:rsidR="00804562" w:rsidRPr="00713689" w:rsidRDefault="00804562" w:rsidP="006B7033">
            <w:pPr>
              <w:widowControl w:val="0"/>
              <w:tabs>
                <w:tab w:val="left" w:pos="1200"/>
              </w:tabs>
              <w:suppressAutoHyphens w:val="0"/>
              <w:spacing w:before="40" w:after="120" w:line="240" w:lineRule="auto"/>
              <w:ind w:left="142"/>
            </w:pPr>
            <w:r w:rsidRPr="00AB7B14">
              <w:t>Actual 2014–2015</w:t>
            </w:r>
            <w:r w:rsidR="00496AAE" w:rsidRPr="00AB7B14">
              <w:t xml:space="preserve"> (as of 31 July 2015)</w:t>
            </w:r>
            <w:r w:rsidRPr="00AB7B14">
              <w:t>:</w:t>
            </w:r>
            <w:r>
              <w:t xml:space="preserve"> N/A</w:t>
            </w:r>
          </w:p>
          <w:p w:rsidR="00D2745F" w:rsidRPr="00713689" w:rsidRDefault="00D2745F" w:rsidP="006B7033">
            <w:pPr>
              <w:widowControl w:val="0"/>
              <w:tabs>
                <w:tab w:val="left" w:pos="576"/>
              </w:tabs>
              <w:suppressAutoHyphens w:val="0"/>
              <w:spacing w:before="40" w:after="120"/>
              <w:ind w:left="142"/>
            </w:pPr>
            <w:r w:rsidRPr="00713689">
              <w:t>Target 201</w:t>
            </w:r>
            <w:r>
              <w:t>6</w:t>
            </w:r>
            <w:r w:rsidRPr="00713689">
              <w:t>–201</w:t>
            </w:r>
            <w:r>
              <w:t>7</w:t>
            </w:r>
            <w:r w:rsidRPr="00713689">
              <w:t xml:space="preserve">: </w:t>
            </w:r>
            <w:r>
              <w:t>85</w:t>
            </w:r>
          </w:p>
          <w:p w:rsidR="00D2745F" w:rsidRDefault="00D2745F" w:rsidP="006B7033">
            <w:pPr>
              <w:widowControl w:val="0"/>
              <w:tabs>
                <w:tab w:val="left" w:pos="576"/>
              </w:tabs>
              <w:suppressAutoHyphens w:val="0"/>
              <w:spacing w:before="40" w:after="120"/>
              <w:ind w:left="142"/>
            </w:pPr>
          </w:p>
          <w:p w:rsidR="00D2745F" w:rsidRPr="00713689" w:rsidRDefault="00D2745F" w:rsidP="006B7033">
            <w:pPr>
              <w:widowControl w:val="0"/>
              <w:tabs>
                <w:tab w:val="left" w:pos="576"/>
              </w:tabs>
              <w:suppressAutoHyphens w:val="0"/>
              <w:spacing w:before="40" w:after="120"/>
              <w:ind w:left="142"/>
            </w:pPr>
            <w:r w:rsidRPr="00713689">
              <w:t>IA (b)</w:t>
            </w:r>
            <w:r>
              <w:t xml:space="preserve"> (ii)</w:t>
            </w:r>
            <w:r w:rsidRPr="00713689">
              <w:br/>
            </w:r>
            <w:r w:rsidRPr="00A32BCA">
              <w:t>Increased number of Contracting Parties to the ECE multilateral environmental agreements</w:t>
            </w:r>
          </w:p>
          <w:p w:rsidR="00D2745F" w:rsidRPr="00713689" w:rsidRDefault="00D2745F" w:rsidP="006B7033">
            <w:pPr>
              <w:widowControl w:val="0"/>
              <w:tabs>
                <w:tab w:val="left" w:pos="576"/>
              </w:tabs>
              <w:suppressAutoHyphens w:val="0"/>
              <w:spacing w:before="40" w:after="120"/>
              <w:ind w:left="142"/>
            </w:pPr>
            <w:r w:rsidRPr="00713689">
              <w:rPr>
                <w:i/>
              </w:rPr>
              <w:t>Performance measures:</w:t>
            </w:r>
          </w:p>
          <w:p w:rsidR="00D2745F" w:rsidRPr="00713689" w:rsidRDefault="00D2745F" w:rsidP="006B7033">
            <w:pPr>
              <w:widowControl w:val="0"/>
              <w:tabs>
                <w:tab w:val="left" w:pos="576"/>
              </w:tabs>
              <w:suppressAutoHyphens w:val="0"/>
              <w:spacing w:before="40" w:after="120"/>
              <w:ind w:left="142"/>
            </w:pPr>
            <w:r w:rsidRPr="00713689">
              <w:t>201</w:t>
            </w:r>
            <w:r>
              <w:t>2</w:t>
            </w:r>
            <w:r w:rsidRPr="00713689">
              <w:t>–201</w:t>
            </w:r>
            <w:r>
              <w:t>3</w:t>
            </w:r>
            <w:r w:rsidRPr="00713689">
              <w:t xml:space="preserve">: </w:t>
            </w:r>
            <w:r>
              <w:t>N/A</w:t>
            </w:r>
          </w:p>
          <w:p w:rsidR="00D2745F" w:rsidRDefault="00D2745F" w:rsidP="006B7033">
            <w:pPr>
              <w:widowControl w:val="0"/>
              <w:tabs>
                <w:tab w:val="left" w:pos="576"/>
              </w:tabs>
              <w:suppressAutoHyphens w:val="0"/>
              <w:spacing w:before="40" w:after="120"/>
              <w:ind w:left="142"/>
            </w:pPr>
            <w:r w:rsidRPr="00713689">
              <w:t>Estimate 201</w:t>
            </w:r>
            <w:r>
              <w:t>4</w:t>
            </w:r>
            <w:r w:rsidRPr="00713689">
              <w:t>–201</w:t>
            </w:r>
            <w:r>
              <w:t>5</w:t>
            </w:r>
            <w:r w:rsidRPr="00713689">
              <w:t xml:space="preserve">: </w:t>
            </w:r>
            <w:r>
              <w:t>N/A</w:t>
            </w:r>
          </w:p>
          <w:p w:rsidR="00804562" w:rsidRPr="00713689" w:rsidRDefault="00804562" w:rsidP="006B7033">
            <w:pPr>
              <w:widowControl w:val="0"/>
              <w:tabs>
                <w:tab w:val="left" w:pos="1200"/>
              </w:tabs>
              <w:suppressAutoHyphens w:val="0"/>
              <w:spacing w:before="40" w:after="120" w:line="240" w:lineRule="auto"/>
              <w:ind w:left="142"/>
            </w:pPr>
            <w:r w:rsidRPr="00AB7B14">
              <w:t>Actual 2014–2015</w:t>
            </w:r>
            <w:r w:rsidR="00496AAE" w:rsidRPr="00AB7B14">
              <w:t xml:space="preserve"> (as of 31 July 2015)</w:t>
            </w:r>
            <w:r w:rsidRPr="00AB7B14">
              <w:t>:</w:t>
            </w:r>
            <w:r>
              <w:t xml:space="preserve"> N/A</w:t>
            </w:r>
          </w:p>
          <w:p w:rsidR="00D2745F" w:rsidRPr="00713689" w:rsidRDefault="00D2745F" w:rsidP="006B7033">
            <w:pPr>
              <w:widowControl w:val="0"/>
              <w:tabs>
                <w:tab w:val="left" w:pos="576"/>
              </w:tabs>
              <w:suppressAutoHyphens w:val="0"/>
              <w:spacing w:before="40" w:after="120"/>
              <w:ind w:left="142"/>
            </w:pPr>
            <w:r w:rsidRPr="00713689">
              <w:t>Target 201</w:t>
            </w:r>
            <w:r>
              <w:t>6</w:t>
            </w:r>
            <w:r w:rsidRPr="00713689">
              <w:t>–201</w:t>
            </w:r>
            <w:r>
              <w:t>7</w:t>
            </w:r>
            <w:r w:rsidRPr="00713689">
              <w:t xml:space="preserve">: </w:t>
            </w:r>
            <w:r>
              <w:t>310</w:t>
            </w:r>
          </w:p>
          <w:p w:rsidR="00D2745F" w:rsidRPr="00713689" w:rsidRDefault="00D2745F" w:rsidP="006B7033">
            <w:pPr>
              <w:widowControl w:val="0"/>
              <w:tabs>
                <w:tab w:val="left" w:pos="576"/>
              </w:tabs>
              <w:suppressAutoHyphens w:val="0"/>
              <w:spacing w:before="40" w:after="120"/>
              <w:ind w:left="142"/>
            </w:pPr>
          </w:p>
        </w:tc>
        <w:tc>
          <w:tcPr>
            <w:tcW w:w="2337" w:type="dxa"/>
            <w:shd w:val="clear" w:color="auto" w:fill="auto"/>
          </w:tcPr>
          <w:p w:rsidR="00D2745F" w:rsidRPr="00713689" w:rsidRDefault="00D2745F" w:rsidP="006B7033">
            <w:pPr>
              <w:widowControl w:val="0"/>
              <w:suppressAutoHyphens w:val="0"/>
              <w:autoSpaceDE w:val="0"/>
              <w:autoSpaceDN w:val="0"/>
              <w:adjustRightInd w:val="0"/>
              <w:spacing w:before="40" w:after="120"/>
              <w:ind w:left="113"/>
            </w:pPr>
            <w:r w:rsidRPr="00713689">
              <w:t xml:space="preserve">2. </w:t>
            </w:r>
            <w:r>
              <w:t xml:space="preserve">Activities under the </w:t>
            </w:r>
            <w:r w:rsidRPr="00713689">
              <w:t xml:space="preserve">Environment for Europe (EfE) process </w:t>
            </w:r>
          </w:p>
          <w:p w:rsidR="00D2745F" w:rsidRPr="00713689" w:rsidRDefault="00D2745F" w:rsidP="006B7033">
            <w:pPr>
              <w:widowControl w:val="0"/>
              <w:suppressAutoHyphens w:val="0"/>
              <w:autoSpaceDE w:val="0"/>
              <w:autoSpaceDN w:val="0"/>
              <w:adjustRightInd w:val="0"/>
              <w:spacing w:before="40" w:after="120"/>
              <w:ind w:left="113"/>
            </w:pPr>
          </w:p>
        </w:tc>
        <w:tc>
          <w:tcPr>
            <w:tcW w:w="3816" w:type="dxa"/>
            <w:shd w:val="clear" w:color="auto" w:fill="auto"/>
          </w:tcPr>
          <w:p w:rsidR="00D2745F" w:rsidRPr="00713689" w:rsidRDefault="00D2745F" w:rsidP="006B7033">
            <w:pPr>
              <w:widowControl w:val="0"/>
              <w:suppressAutoHyphens w:val="0"/>
              <w:autoSpaceDE w:val="0"/>
              <w:autoSpaceDN w:val="0"/>
              <w:adjustRightInd w:val="0"/>
              <w:spacing w:before="40" w:after="120"/>
              <w:ind w:left="142"/>
            </w:pPr>
            <w:r w:rsidRPr="00713689">
              <w:t xml:space="preserve">EA 2 </w:t>
            </w:r>
            <w:r w:rsidRPr="00713689">
              <w:br/>
              <w:t>Successful implementation of the reform of the EfE process</w:t>
            </w:r>
          </w:p>
          <w:p w:rsidR="00D2745F" w:rsidRPr="00713689" w:rsidRDefault="00D2745F" w:rsidP="006B7033">
            <w:pPr>
              <w:widowControl w:val="0"/>
              <w:suppressAutoHyphens w:val="0"/>
              <w:autoSpaceDE w:val="0"/>
              <w:autoSpaceDN w:val="0"/>
              <w:adjustRightInd w:val="0"/>
              <w:spacing w:before="40" w:after="120"/>
              <w:ind w:left="142"/>
            </w:pPr>
            <w:r w:rsidRPr="00713689">
              <w:t xml:space="preserve">IA 2 </w:t>
            </w:r>
            <w:r>
              <w:t>(a)</w:t>
            </w:r>
            <w:r w:rsidRPr="00713689">
              <w:br/>
              <w:t>Consensus reached by member States on the a</w:t>
            </w:r>
            <w:r>
              <w:t>ctivities under the EfE process</w:t>
            </w:r>
            <w:r w:rsidRPr="00713689">
              <w:t xml:space="preserve"> </w:t>
            </w:r>
          </w:p>
          <w:p w:rsidR="00D2745F" w:rsidRPr="00713689" w:rsidRDefault="00D2745F" w:rsidP="006B7033">
            <w:pPr>
              <w:widowControl w:val="0"/>
              <w:suppressAutoHyphens w:val="0"/>
              <w:spacing w:before="40" w:after="120"/>
              <w:ind w:left="142"/>
              <w:rPr>
                <w:i/>
              </w:rPr>
            </w:pPr>
            <w:r w:rsidRPr="00713689">
              <w:rPr>
                <w:i/>
              </w:rPr>
              <w:t>Performance measures:</w:t>
            </w:r>
          </w:p>
          <w:p w:rsidR="00D2745F" w:rsidRPr="00713689" w:rsidRDefault="00D2745F" w:rsidP="006B7033">
            <w:pPr>
              <w:widowControl w:val="0"/>
              <w:tabs>
                <w:tab w:val="left" w:pos="1200"/>
              </w:tabs>
              <w:suppressAutoHyphens w:val="0"/>
              <w:spacing w:before="40" w:after="120"/>
              <w:ind w:left="142"/>
            </w:pPr>
            <w:r w:rsidRPr="00713689">
              <w:t xml:space="preserve">2012–2013: Consensus reached on the </w:t>
            </w:r>
            <w:r w:rsidR="00242800">
              <w:t xml:space="preserve">organization of the </w:t>
            </w:r>
            <w:r w:rsidRPr="00713689">
              <w:t xml:space="preserve">mid-term review </w:t>
            </w:r>
          </w:p>
          <w:p w:rsidR="00D2745F" w:rsidRDefault="00D2745F" w:rsidP="006B7033">
            <w:pPr>
              <w:widowControl w:val="0"/>
              <w:suppressAutoHyphens w:val="0"/>
              <w:spacing w:before="40" w:after="120"/>
              <w:ind w:left="142"/>
            </w:pPr>
            <w:r>
              <w:rPr>
                <w:spacing w:val="-4"/>
              </w:rPr>
              <w:t>Estimate 2014–2015</w:t>
            </w:r>
            <w:r>
              <w:t xml:space="preserve">: </w:t>
            </w:r>
            <w:r w:rsidRPr="00713689">
              <w:t>Consensus to be reached on the follow-up to the mid-term review</w:t>
            </w:r>
            <w:r>
              <w:t xml:space="preserve"> and preparing the Eighth EfE Ministerial Conference</w:t>
            </w:r>
          </w:p>
          <w:p w:rsidR="00587F1A" w:rsidRDefault="00587F1A" w:rsidP="006B7033">
            <w:pPr>
              <w:widowControl w:val="0"/>
              <w:suppressAutoHyphens w:val="0"/>
              <w:spacing w:before="40" w:after="120"/>
              <w:ind w:left="142"/>
              <w:rPr>
                <w:spacing w:val="-4"/>
              </w:rPr>
            </w:pPr>
            <w:r w:rsidRPr="00AB7B14">
              <w:t>Actual 2014–2015</w:t>
            </w:r>
            <w:r w:rsidR="00496AAE" w:rsidRPr="00AB7B14">
              <w:t xml:space="preserve"> (as of 31 July 2015)</w:t>
            </w:r>
            <w:r w:rsidRPr="00AB7B14">
              <w:t>:</w:t>
            </w:r>
            <w:r w:rsidR="00A31379" w:rsidRPr="00713689">
              <w:t xml:space="preserve"> Consensus </w:t>
            </w:r>
            <w:r w:rsidR="00A31379">
              <w:t>was</w:t>
            </w:r>
            <w:r w:rsidR="00A31379" w:rsidRPr="00713689">
              <w:t xml:space="preserve"> reached on the follow-up to the mid-term review</w:t>
            </w:r>
            <w:r w:rsidR="00A31379">
              <w:t xml:space="preserve"> and preparing the Eighth EfE Ministerial Conference</w:t>
            </w:r>
            <w:r w:rsidR="00A31379">
              <w:tab/>
              <w:t>(Batumi, Georgia, 8–10 June 2016)</w:t>
            </w:r>
          </w:p>
          <w:p w:rsidR="00D2745F" w:rsidRPr="00713689" w:rsidRDefault="00D2745F" w:rsidP="006B7033">
            <w:pPr>
              <w:widowControl w:val="0"/>
              <w:suppressAutoHyphens w:val="0"/>
              <w:spacing w:before="40" w:after="120"/>
              <w:ind w:left="142"/>
            </w:pPr>
            <w:r w:rsidRPr="00713689">
              <w:rPr>
                <w:spacing w:val="-4"/>
              </w:rPr>
              <w:t>Target 201</w:t>
            </w:r>
            <w:r>
              <w:rPr>
                <w:spacing w:val="-4"/>
              </w:rPr>
              <w:t>6</w:t>
            </w:r>
            <w:r w:rsidRPr="00713689">
              <w:rPr>
                <w:spacing w:val="-4"/>
              </w:rPr>
              <w:t>–201</w:t>
            </w:r>
            <w:r>
              <w:rPr>
                <w:spacing w:val="-4"/>
              </w:rPr>
              <w:t>7</w:t>
            </w:r>
            <w:r w:rsidRPr="00713689">
              <w:rPr>
                <w:spacing w:val="-4"/>
              </w:rPr>
              <w:t xml:space="preserve">: </w:t>
            </w:r>
            <w:r>
              <w:rPr>
                <w:spacing w:val="-4"/>
              </w:rPr>
              <w:t xml:space="preserve"> </w:t>
            </w:r>
            <w:r w:rsidRPr="00713689">
              <w:t>Consensus to be reached on the follow-up to the</w:t>
            </w:r>
            <w:r>
              <w:t xml:space="preserve"> Eighth EfE Ministerial Conference</w:t>
            </w:r>
          </w:p>
        </w:tc>
      </w:tr>
      <w:tr w:rsidR="00D2745F" w:rsidRPr="00713689" w:rsidTr="009711C7">
        <w:trPr>
          <w:trHeight w:val="670"/>
        </w:trPr>
        <w:tc>
          <w:tcPr>
            <w:tcW w:w="3486" w:type="dxa"/>
            <w:vMerge/>
            <w:shd w:val="clear" w:color="auto" w:fill="auto"/>
          </w:tcPr>
          <w:p w:rsidR="00D2745F" w:rsidRPr="00713689" w:rsidRDefault="00D2745F" w:rsidP="006B7033">
            <w:pPr>
              <w:widowControl w:val="0"/>
              <w:tabs>
                <w:tab w:val="left" w:pos="576"/>
              </w:tabs>
              <w:suppressAutoHyphens w:val="0"/>
              <w:spacing w:before="40" w:after="120"/>
              <w:ind w:left="142"/>
            </w:pPr>
          </w:p>
        </w:tc>
        <w:tc>
          <w:tcPr>
            <w:tcW w:w="2337" w:type="dxa"/>
            <w:shd w:val="clear" w:color="auto" w:fill="auto"/>
          </w:tcPr>
          <w:p w:rsidR="00D2745F" w:rsidRPr="00713689" w:rsidRDefault="007B35AE" w:rsidP="006B7033">
            <w:pPr>
              <w:widowControl w:val="0"/>
              <w:suppressAutoHyphens w:val="0"/>
              <w:autoSpaceDE w:val="0"/>
              <w:autoSpaceDN w:val="0"/>
              <w:adjustRightInd w:val="0"/>
              <w:spacing w:before="40" w:after="120"/>
              <w:ind w:left="113"/>
            </w:pPr>
            <w:r>
              <w:t>3</w:t>
            </w:r>
            <w:r w:rsidR="00D2745F" w:rsidRPr="00713689">
              <w:t>. Education for sustainable development (ESD)</w:t>
            </w:r>
          </w:p>
        </w:tc>
        <w:tc>
          <w:tcPr>
            <w:tcW w:w="3816" w:type="dxa"/>
            <w:shd w:val="clear" w:color="auto" w:fill="auto"/>
          </w:tcPr>
          <w:p w:rsidR="00D2745F" w:rsidRPr="00713689" w:rsidRDefault="00D2745F" w:rsidP="006B7033">
            <w:pPr>
              <w:widowControl w:val="0"/>
              <w:suppressAutoHyphens w:val="0"/>
              <w:spacing w:before="40" w:after="120"/>
              <w:ind w:left="142"/>
            </w:pPr>
            <w:r w:rsidRPr="00713689">
              <w:t>EA 4</w:t>
            </w:r>
            <w:r w:rsidRPr="00713689">
              <w:br/>
              <w:t>Enhanced implementation of the ECE Strategy for ESD at the national level</w:t>
            </w:r>
          </w:p>
          <w:p w:rsidR="00D2745F" w:rsidRPr="00713689" w:rsidRDefault="00D2745F" w:rsidP="006B7033">
            <w:pPr>
              <w:widowControl w:val="0"/>
              <w:suppressAutoHyphens w:val="0"/>
              <w:autoSpaceDE w:val="0"/>
              <w:autoSpaceDN w:val="0"/>
              <w:adjustRightInd w:val="0"/>
              <w:spacing w:before="40" w:after="120"/>
              <w:ind w:left="142"/>
            </w:pPr>
            <w:r w:rsidRPr="00713689">
              <w:t>IA 4</w:t>
            </w:r>
            <w:r w:rsidRPr="00713689">
              <w:br/>
              <w:t>Successful measures to implement the ECE Strategy for ESD at the national level, assessed through the reporting by member States</w:t>
            </w:r>
          </w:p>
          <w:p w:rsidR="00D2745F" w:rsidRPr="00713689" w:rsidRDefault="00D2745F" w:rsidP="006B7033">
            <w:pPr>
              <w:widowControl w:val="0"/>
              <w:suppressAutoHyphens w:val="0"/>
              <w:spacing w:before="40" w:after="120"/>
              <w:ind w:left="142"/>
              <w:rPr>
                <w:i/>
              </w:rPr>
            </w:pPr>
            <w:r w:rsidRPr="00713689">
              <w:rPr>
                <w:i/>
              </w:rPr>
              <w:t>Performance measures:</w:t>
            </w:r>
          </w:p>
          <w:p w:rsidR="00D2745F" w:rsidRPr="00713689" w:rsidRDefault="00D2745F" w:rsidP="006B7033">
            <w:pPr>
              <w:widowControl w:val="0"/>
              <w:suppressAutoHyphens w:val="0"/>
              <w:spacing w:before="40" w:after="120"/>
              <w:ind w:left="142"/>
            </w:pPr>
            <w:r w:rsidRPr="00713689">
              <w:t>201</w:t>
            </w:r>
            <w:r>
              <w:t>2</w:t>
            </w:r>
            <w:r w:rsidRPr="00713689">
              <w:t>–201</w:t>
            </w:r>
            <w:r>
              <w:t>3</w:t>
            </w:r>
            <w:r w:rsidRPr="00713689">
              <w:t xml:space="preserve">: </w:t>
            </w:r>
            <w:r w:rsidR="001F58E0">
              <w:t>42</w:t>
            </w:r>
            <w:r w:rsidR="001F58E0" w:rsidRPr="00713689">
              <w:t xml:space="preserve"> </w:t>
            </w:r>
            <w:r w:rsidRPr="00713689">
              <w:t>countries</w:t>
            </w:r>
          </w:p>
          <w:p w:rsidR="00D2745F" w:rsidRDefault="00D2745F" w:rsidP="006B7033">
            <w:pPr>
              <w:widowControl w:val="0"/>
              <w:suppressAutoHyphens w:val="0"/>
              <w:spacing w:before="40" w:after="120"/>
              <w:ind w:left="142"/>
            </w:pPr>
            <w:r w:rsidRPr="00713689">
              <w:t>Estimate 201</w:t>
            </w:r>
            <w:r>
              <w:t>4</w:t>
            </w:r>
            <w:r w:rsidRPr="00713689">
              <w:t>–201</w:t>
            </w:r>
            <w:r>
              <w:t>5</w:t>
            </w:r>
            <w:r w:rsidRPr="00713689">
              <w:t xml:space="preserve">: </w:t>
            </w:r>
            <w:r>
              <w:t>40</w:t>
            </w:r>
            <w:r w:rsidRPr="00713689">
              <w:t xml:space="preserve"> countries</w:t>
            </w:r>
          </w:p>
          <w:p w:rsidR="00AB7B14" w:rsidRPr="00713689" w:rsidRDefault="00AB7B14" w:rsidP="006B7033">
            <w:pPr>
              <w:widowControl w:val="0"/>
              <w:suppressAutoHyphens w:val="0"/>
              <w:spacing w:before="40" w:after="120"/>
              <w:ind w:left="142"/>
            </w:pPr>
            <w:r w:rsidRPr="00AB7B14">
              <w:t>Actual 2014–2015</w:t>
            </w:r>
            <w:r w:rsidR="00496AAE" w:rsidRPr="00AB7B14">
              <w:t xml:space="preserve"> (as of 31 July 2015)</w:t>
            </w:r>
            <w:r w:rsidRPr="00AB7B14">
              <w:t xml:space="preserve">: 38 </w:t>
            </w:r>
            <w:r w:rsidRPr="00BC21A9">
              <w:t>countries</w:t>
            </w:r>
            <w:r w:rsidR="00F66C93">
              <w:t xml:space="preserve"> </w:t>
            </w:r>
            <w:r w:rsidR="00BF7693" w:rsidRPr="00BF7693">
              <w:rPr>
                <w:i/>
                <w:vertAlign w:val="superscript"/>
              </w:rPr>
              <w:t>a</w:t>
            </w:r>
          </w:p>
          <w:p w:rsidR="00D2745F" w:rsidRPr="00713689" w:rsidRDefault="00D2745F" w:rsidP="006B7033">
            <w:pPr>
              <w:widowControl w:val="0"/>
              <w:suppressAutoHyphens w:val="0"/>
              <w:spacing w:before="40" w:after="120"/>
              <w:ind w:left="142"/>
            </w:pPr>
            <w:r w:rsidRPr="00713689">
              <w:rPr>
                <w:spacing w:val="-4"/>
              </w:rPr>
              <w:t>Target 201</w:t>
            </w:r>
            <w:r>
              <w:rPr>
                <w:spacing w:val="-4"/>
              </w:rPr>
              <w:t>6</w:t>
            </w:r>
            <w:r w:rsidRPr="00713689">
              <w:rPr>
                <w:spacing w:val="-4"/>
              </w:rPr>
              <w:t>–201</w:t>
            </w:r>
            <w:r>
              <w:rPr>
                <w:spacing w:val="-4"/>
              </w:rPr>
              <w:t>7</w:t>
            </w:r>
            <w:r w:rsidRPr="00713689">
              <w:rPr>
                <w:spacing w:val="-4"/>
              </w:rPr>
              <w:t>:</w:t>
            </w:r>
            <w:r w:rsidRPr="00713689">
              <w:t xml:space="preserve"> </w:t>
            </w:r>
            <w:r w:rsidR="006A6E81">
              <w:t>38</w:t>
            </w:r>
            <w:r w:rsidRPr="006A6E81">
              <w:t xml:space="preserve"> countries</w:t>
            </w:r>
          </w:p>
        </w:tc>
      </w:tr>
      <w:tr w:rsidR="00D2745F" w:rsidRPr="00713689" w:rsidTr="009711C7">
        <w:trPr>
          <w:trHeight w:val="192"/>
        </w:trPr>
        <w:tc>
          <w:tcPr>
            <w:tcW w:w="3486" w:type="dxa"/>
            <w:vMerge/>
            <w:shd w:val="clear" w:color="auto" w:fill="auto"/>
          </w:tcPr>
          <w:p w:rsidR="00D2745F" w:rsidRPr="00713689" w:rsidRDefault="00D2745F" w:rsidP="006B7033">
            <w:pPr>
              <w:widowControl w:val="0"/>
              <w:tabs>
                <w:tab w:val="left" w:pos="576"/>
              </w:tabs>
              <w:suppressAutoHyphens w:val="0"/>
              <w:spacing w:before="40" w:after="120"/>
              <w:ind w:left="142"/>
            </w:pPr>
          </w:p>
        </w:tc>
        <w:tc>
          <w:tcPr>
            <w:tcW w:w="2337" w:type="dxa"/>
            <w:shd w:val="clear" w:color="auto" w:fill="auto"/>
          </w:tcPr>
          <w:p w:rsidR="00D2745F" w:rsidRPr="00713689" w:rsidRDefault="007B35AE" w:rsidP="006B7033">
            <w:pPr>
              <w:widowControl w:val="0"/>
              <w:suppressAutoHyphens w:val="0"/>
              <w:autoSpaceDE w:val="0"/>
              <w:autoSpaceDN w:val="0"/>
              <w:adjustRightInd w:val="0"/>
              <w:spacing w:before="40" w:after="120" w:line="240" w:lineRule="auto"/>
              <w:ind w:left="113"/>
            </w:pPr>
            <w:r>
              <w:t>4</w:t>
            </w:r>
            <w:r w:rsidR="00D2745F" w:rsidRPr="00713689">
              <w:t>. Transport, health and environment</w:t>
            </w:r>
          </w:p>
        </w:tc>
        <w:tc>
          <w:tcPr>
            <w:tcW w:w="3816" w:type="dxa"/>
            <w:shd w:val="clear" w:color="auto" w:fill="auto"/>
          </w:tcPr>
          <w:p w:rsidR="00D2745F" w:rsidRPr="00713689" w:rsidRDefault="00D2745F" w:rsidP="006B7033">
            <w:pPr>
              <w:widowControl w:val="0"/>
              <w:suppressAutoHyphens w:val="0"/>
              <w:spacing w:before="40" w:after="120"/>
              <w:ind w:left="142"/>
            </w:pPr>
            <w:r w:rsidRPr="00713689">
              <w:t>EA 5</w:t>
            </w:r>
            <w:r w:rsidRPr="00713689">
              <w:br/>
              <w:t>Enhanced integration between transport, health and environment policies through exchanging experiences and good practice and capacity-building with a special focus on Eastern and South-Eastern Europe, the Caucasus and Central Asia</w:t>
            </w:r>
          </w:p>
          <w:p w:rsidR="00D2745F" w:rsidRPr="00713689" w:rsidRDefault="00D2745F" w:rsidP="006B7033">
            <w:pPr>
              <w:widowControl w:val="0"/>
              <w:suppressAutoHyphens w:val="0"/>
              <w:spacing w:before="40" w:after="120"/>
              <w:ind w:left="142"/>
            </w:pPr>
            <w:r w:rsidRPr="00713689">
              <w:lastRenderedPageBreak/>
              <w:t>IA 5</w:t>
            </w:r>
            <w:r w:rsidRPr="00713689">
              <w:br/>
              <w:t>Number of member States, international governmental organizations (IGOs) and non-governmental organizations (NGOs) engaged in meetings of Transport, Health and Environment Pan-European Programme (THE PEP) Steering Committee and relevant workshops undertaken in this framework</w:t>
            </w:r>
          </w:p>
          <w:p w:rsidR="00D2745F" w:rsidRPr="00713689" w:rsidRDefault="00D2745F" w:rsidP="006B7033">
            <w:pPr>
              <w:widowControl w:val="0"/>
              <w:suppressAutoHyphens w:val="0"/>
              <w:spacing w:before="40" w:after="120"/>
              <w:ind w:left="142"/>
              <w:rPr>
                <w:i/>
              </w:rPr>
            </w:pPr>
            <w:r w:rsidRPr="00713689">
              <w:rPr>
                <w:i/>
              </w:rPr>
              <w:t>Performance measures:</w:t>
            </w:r>
          </w:p>
          <w:p w:rsidR="00B551AF" w:rsidRPr="00713689" w:rsidRDefault="00D2745F" w:rsidP="006B7033">
            <w:pPr>
              <w:widowControl w:val="0"/>
              <w:suppressAutoHyphens w:val="0"/>
              <w:spacing w:before="40" w:after="120"/>
              <w:ind w:left="142"/>
            </w:pPr>
            <w:r w:rsidRPr="00713689">
              <w:t>201</w:t>
            </w:r>
            <w:r>
              <w:t>2</w:t>
            </w:r>
            <w:r w:rsidRPr="00713689">
              <w:t>–201</w:t>
            </w:r>
            <w:r>
              <w:t>3</w:t>
            </w:r>
            <w:r w:rsidRPr="00713689">
              <w:t xml:space="preserve">: </w:t>
            </w:r>
            <w:r w:rsidR="00B551AF" w:rsidRPr="00176D6F">
              <w:t xml:space="preserve">Participation of </w:t>
            </w:r>
            <w:r w:rsidR="00B551AF">
              <w:t>62</w:t>
            </w:r>
            <w:r w:rsidR="00B551AF" w:rsidRPr="00176D6F">
              <w:t xml:space="preserve"> countries and </w:t>
            </w:r>
            <w:r w:rsidR="00B551AF">
              <w:t>31</w:t>
            </w:r>
            <w:r w:rsidR="00B551AF" w:rsidRPr="00176D6F">
              <w:t xml:space="preserve"> IGOs and NGOs in </w:t>
            </w:r>
            <w:r w:rsidR="000B356F">
              <w:t xml:space="preserve">4 </w:t>
            </w:r>
            <w:r w:rsidR="00B551AF" w:rsidRPr="00176D6F">
              <w:t xml:space="preserve">substantive meetings, including </w:t>
            </w:r>
            <w:r w:rsidR="000B356F">
              <w:t xml:space="preserve">2 </w:t>
            </w:r>
            <w:r w:rsidR="00B551AF" w:rsidRPr="00176D6F">
              <w:t xml:space="preserve">capacity-building workshops and </w:t>
            </w:r>
            <w:r w:rsidR="000B356F">
              <w:t xml:space="preserve">2 </w:t>
            </w:r>
            <w:r w:rsidR="00B551AF" w:rsidRPr="00176D6F">
              <w:t>sessions of THE PEP Steering Committee</w:t>
            </w:r>
            <w:r w:rsidR="00B551AF">
              <w:t xml:space="preserve"> </w:t>
            </w:r>
          </w:p>
          <w:p w:rsidR="00D2745F" w:rsidRPr="00713689" w:rsidRDefault="00D2745F" w:rsidP="006B7033">
            <w:pPr>
              <w:widowControl w:val="0"/>
              <w:suppressAutoHyphens w:val="0"/>
              <w:spacing w:before="40" w:after="120"/>
              <w:ind w:left="142"/>
            </w:pPr>
            <w:r w:rsidRPr="00713689">
              <w:rPr>
                <w:spacing w:val="-4"/>
              </w:rPr>
              <w:t>Estimate 201</w:t>
            </w:r>
            <w:r>
              <w:rPr>
                <w:spacing w:val="-4"/>
              </w:rPr>
              <w:t>4</w:t>
            </w:r>
            <w:r w:rsidRPr="00713689">
              <w:rPr>
                <w:spacing w:val="-4"/>
              </w:rPr>
              <w:t>–201</w:t>
            </w:r>
            <w:r>
              <w:rPr>
                <w:spacing w:val="-4"/>
              </w:rPr>
              <w:t>5</w:t>
            </w:r>
            <w:r w:rsidRPr="00713689">
              <w:rPr>
                <w:spacing w:val="-4"/>
              </w:rPr>
              <w:t>:</w:t>
            </w:r>
            <w:r w:rsidRPr="00713689">
              <w:t xml:space="preserve"> Participation of 60 countries and 20 IGOs and NGOs in 6 substantive meetings, including 4 capacity-building workshops and 2 sessions of THE PEP Steering Committee</w:t>
            </w:r>
          </w:p>
          <w:p w:rsidR="00821733" w:rsidRDefault="00B551AF" w:rsidP="006B7033">
            <w:pPr>
              <w:widowControl w:val="0"/>
              <w:suppressAutoHyphens w:val="0"/>
              <w:spacing w:before="40" w:after="120"/>
              <w:ind w:left="142"/>
              <w:rPr>
                <w:spacing w:val="-4"/>
              </w:rPr>
            </w:pPr>
            <w:r w:rsidRPr="00B551AF">
              <w:t>Actual 2014–2</w:t>
            </w:r>
            <w:r w:rsidRPr="00BC21A9">
              <w:t>015</w:t>
            </w:r>
            <w:r w:rsidR="00496AAE" w:rsidRPr="00AB7B14">
              <w:t xml:space="preserve"> (as of 31 July 2015)</w:t>
            </w:r>
            <w:r w:rsidRPr="00B551AF">
              <w:t>:</w:t>
            </w:r>
            <w:r w:rsidR="00BF7693" w:rsidRPr="00BF7693">
              <w:rPr>
                <w:i/>
                <w:vertAlign w:val="superscript"/>
              </w:rPr>
              <w:t>b</w:t>
            </w:r>
            <w:r w:rsidRPr="00B551AF">
              <w:t xml:space="preserve"> Participation of 58 countries and 23 IGOs and NGOs in </w:t>
            </w:r>
            <w:r w:rsidR="000B356F">
              <w:t>3</w:t>
            </w:r>
            <w:r w:rsidR="000B356F" w:rsidRPr="00B551AF">
              <w:t xml:space="preserve"> </w:t>
            </w:r>
            <w:r w:rsidRPr="00B551AF">
              <w:t xml:space="preserve">substantive meetings, including </w:t>
            </w:r>
            <w:r w:rsidR="000B356F">
              <w:t>1</w:t>
            </w:r>
            <w:r w:rsidR="000B356F" w:rsidRPr="00B551AF">
              <w:t xml:space="preserve"> </w:t>
            </w:r>
            <w:r w:rsidRPr="00B551AF">
              <w:t xml:space="preserve">capacity-building workshop, </w:t>
            </w:r>
            <w:r w:rsidR="000B356F">
              <w:t>1</w:t>
            </w:r>
            <w:r w:rsidR="000B356F" w:rsidRPr="00B551AF">
              <w:t xml:space="preserve"> </w:t>
            </w:r>
            <w:r w:rsidRPr="00B551AF">
              <w:t xml:space="preserve">high-level meeting and </w:t>
            </w:r>
            <w:r w:rsidR="000B356F">
              <w:t>1</w:t>
            </w:r>
            <w:r w:rsidR="000B356F" w:rsidRPr="00B551AF">
              <w:t xml:space="preserve"> </w:t>
            </w:r>
            <w:r w:rsidRPr="00B551AF">
              <w:t>session of THE PEP Steering Committee</w:t>
            </w:r>
          </w:p>
          <w:p w:rsidR="00D2745F" w:rsidRPr="00713689" w:rsidRDefault="00D2745F" w:rsidP="000B356F">
            <w:pPr>
              <w:widowControl w:val="0"/>
              <w:suppressAutoHyphens w:val="0"/>
              <w:spacing w:before="40" w:after="120"/>
              <w:ind w:left="142"/>
            </w:pPr>
            <w:r w:rsidRPr="00713689">
              <w:rPr>
                <w:spacing w:val="-4"/>
              </w:rPr>
              <w:t>Target 201</w:t>
            </w:r>
            <w:r>
              <w:rPr>
                <w:spacing w:val="-4"/>
              </w:rPr>
              <w:t>6</w:t>
            </w:r>
            <w:r w:rsidRPr="00713689">
              <w:rPr>
                <w:spacing w:val="-4"/>
              </w:rPr>
              <w:t>–201</w:t>
            </w:r>
            <w:r>
              <w:rPr>
                <w:spacing w:val="-4"/>
              </w:rPr>
              <w:t>7</w:t>
            </w:r>
            <w:r w:rsidRPr="00713689">
              <w:rPr>
                <w:spacing w:val="-4"/>
              </w:rPr>
              <w:t>:</w:t>
            </w:r>
            <w:r w:rsidRPr="00713689">
              <w:t xml:space="preserve"> </w:t>
            </w:r>
            <w:r w:rsidR="00B551AF">
              <w:t xml:space="preserve">Participation of 60 countries and 20 IGOs and NGOs in 6 substantive meetings, including </w:t>
            </w:r>
            <w:r w:rsidR="000B356F">
              <w:t xml:space="preserve">4 </w:t>
            </w:r>
            <w:r w:rsidR="00B551AF">
              <w:t>capacity</w:t>
            </w:r>
            <w:r w:rsidR="000B356F">
              <w:t>-</w:t>
            </w:r>
            <w:r w:rsidR="00B551AF">
              <w:t>building workshops and 2 sessions of THE PEP Steering Committee</w:t>
            </w:r>
          </w:p>
        </w:tc>
      </w:tr>
      <w:tr w:rsidR="00D2745F" w:rsidRPr="00713689" w:rsidTr="009711C7">
        <w:trPr>
          <w:trHeight w:val="394"/>
        </w:trPr>
        <w:tc>
          <w:tcPr>
            <w:tcW w:w="3486" w:type="dxa"/>
            <w:vMerge/>
            <w:shd w:val="clear" w:color="auto" w:fill="auto"/>
          </w:tcPr>
          <w:p w:rsidR="00D2745F" w:rsidRPr="00713689" w:rsidRDefault="00D2745F" w:rsidP="006B7033">
            <w:pPr>
              <w:widowControl w:val="0"/>
              <w:tabs>
                <w:tab w:val="left" w:pos="576"/>
              </w:tabs>
              <w:suppressAutoHyphens w:val="0"/>
              <w:spacing w:before="40" w:after="120"/>
              <w:ind w:left="142"/>
            </w:pPr>
          </w:p>
        </w:tc>
        <w:tc>
          <w:tcPr>
            <w:tcW w:w="2337" w:type="dxa"/>
            <w:shd w:val="clear" w:color="auto" w:fill="auto"/>
          </w:tcPr>
          <w:p w:rsidR="00D2745F" w:rsidRPr="00713689" w:rsidRDefault="007B35AE" w:rsidP="006B7033">
            <w:pPr>
              <w:widowControl w:val="0"/>
              <w:suppressAutoHyphens w:val="0"/>
              <w:autoSpaceDE w:val="0"/>
              <w:autoSpaceDN w:val="0"/>
              <w:adjustRightInd w:val="0"/>
              <w:spacing w:before="40" w:after="120"/>
              <w:ind w:left="113"/>
            </w:pPr>
            <w:r>
              <w:t>5</w:t>
            </w:r>
            <w:r w:rsidR="00D2745F" w:rsidRPr="00713689">
              <w:t xml:space="preserve">. Convention on Long-range Transboundary </w:t>
            </w:r>
            <w:r w:rsidR="00D2745F" w:rsidRPr="00713689">
              <w:br/>
              <w:t>Air Pollution (Air Convention)</w:t>
            </w:r>
          </w:p>
        </w:tc>
        <w:tc>
          <w:tcPr>
            <w:tcW w:w="3816" w:type="dxa"/>
            <w:shd w:val="clear" w:color="auto" w:fill="auto"/>
          </w:tcPr>
          <w:p w:rsidR="00D2745F" w:rsidRPr="00713689" w:rsidRDefault="00D2745F" w:rsidP="006B7033">
            <w:pPr>
              <w:widowControl w:val="0"/>
              <w:suppressAutoHyphens w:val="0"/>
              <w:spacing w:before="40" w:after="120"/>
              <w:ind w:left="142"/>
              <w:rPr>
                <w:bCs/>
              </w:rPr>
            </w:pPr>
            <w:r w:rsidRPr="00713689">
              <w:t>EA 6</w:t>
            </w:r>
            <w:r w:rsidRPr="00713689">
              <w:br/>
              <w:t xml:space="preserve">Increased ratification and strengthened implementation of the Air Convention </w:t>
            </w:r>
            <w:r w:rsidRPr="00713689">
              <w:rPr>
                <w:bCs/>
              </w:rPr>
              <w:t xml:space="preserve">and its </w:t>
            </w:r>
            <w:r w:rsidRPr="00713689">
              <w:t>three most recent protocols (Protocol on Heavy Metals, Protocol on Persistent Organic Pollutants and the Protocol to Abate Acidification, Eutrophication and Ground-level Ozone (Gothenburg Protocol)) by ECE members States, in particular countries</w:t>
            </w:r>
            <w:r w:rsidRPr="00713689">
              <w:rPr>
                <w:bCs/>
              </w:rPr>
              <w:t xml:space="preserve"> of Eastern and South-Eastern Europe, the Caucasus and Central Asia </w:t>
            </w:r>
          </w:p>
          <w:p w:rsidR="00D2745F" w:rsidRPr="00713689" w:rsidRDefault="00D2745F" w:rsidP="006B7033">
            <w:pPr>
              <w:widowControl w:val="0"/>
              <w:suppressAutoHyphens w:val="0"/>
              <w:spacing w:before="40" w:after="120"/>
              <w:ind w:left="142"/>
            </w:pPr>
            <w:r w:rsidRPr="00713689">
              <w:t>IA 6</w:t>
            </w:r>
            <w:r w:rsidRPr="00713689">
              <w:br/>
              <w:t xml:space="preserve">Indicators of progress in implementing the Convention </w:t>
            </w:r>
            <w:r w:rsidRPr="00713689">
              <w:rPr>
                <w:bCs/>
              </w:rPr>
              <w:t xml:space="preserve">and its three most recent Protocols </w:t>
            </w:r>
            <w:r w:rsidRPr="00713689">
              <w:t>through:</w:t>
            </w:r>
          </w:p>
          <w:p w:rsidR="00D2745F" w:rsidRPr="00713689" w:rsidRDefault="00D2745F" w:rsidP="006B7033">
            <w:pPr>
              <w:widowControl w:val="0"/>
              <w:suppressAutoHyphens w:val="0"/>
              <w:spacing w:before="40" w:after="120"/>
              <w:ind w:left="142"/>
            </w:pPr>
            <w:r w:rsidRPr="00713689">
              <w:lastRenderedPageBreak/>
              <w:t>(a) Number of reports on emission reduction commitments;</w:t>
            </w:r>
          </w:p>
          <w:p w:rsidR="00D2745F" w:rsidRPr="00713689" w:rsidRDefault="00D2745F" w:rsidP="006B7033">
            <w:pPr>
              <w:widowControl w:val="0"/>
              <w:suppressAutoHyphens w:val="0"/>
              <w:spacing w:before="40" w:after="120"/>
              <w:ind w:left="142"/>
            </w:pPr>
            <w:r w:rsidRPr="00713689">
              <w:t xml:space="preserve">(b) </w:t>
            </w:r>
            <w:r w:rsidRPr="00713689">
              <w:rPr>
                <w:bCs/>
              </w:rPr>
              <w:t xml:space="preserve">Intensity of capacity development in non-Parties to the Air Convention </w:t>
            </w:r>
            <w:r w:rsidRPr="00713689">
              <w:t>(average participant-days per non-Party);</w:t>
            </w:r>
          </w:p>
          <w:p w:rsidR="00D2745F" w:rsidRPr="00713689" w:rsidRDefault="00D2745F" w:rsidP="006B7033">
            <w:pPr>
              <w:widowControl w:val="0"/>
              <w:suppressAutoHyphens w:val="0"/>
              <w:spacing w:before="40" w:after="120"/>
              <w:ind w:left="142"/>
            </w:pPr>
            <w:r w:rsidRPr="00713689">
              <w:t xml:space="preserve">(c) Number of ratifications of the </w:t>
            </w:r>
            <w:r w:rsidRPr="00713689">
              <w:rPr>
                <w:bCs/>
              </w:rPr>
              <w:t>three most recent Protocols to the Convention;</w:t>
            </w:r>
          </w:p>
          <w:p w:rsidR="00D2745F" w:rsidRPr="00713689" w:rsidRDefault="00D2745F" w:rsidP="006B7033">
            <w:pPr>
              <w:widowControl w:val="0"/>
              <w:suppressAutoHyphens w:val="0"/>
              <w:spacing w:before="40" w:after="120"/>
              <w:ind w:left="142"/>
            </w:pPr>
            <w:r w:rsidRPr="00713689">
              <w:t>(d) Number of training sessions targeting implementation of the Convention and its protocols in the countries of Eastern and South-Eastern Europe, the Caucasus, and Central Asia</w:t>
            </w:r>
          </w:p>
          <w:p w:rsidR="00D2745F" w:rsidRPr="00713689" w:rsidRDefault="00D2745F" w:rsidP="006B7033">
            <w:pPr>
              <w:widowControl w:val="0"/>
              <w:suppressAutoHyphens w:val="0"/>
              <w:spacing w:before="40" w:after="120"/>
              <w:ind w:left="142"/>
              <w:rPr>
                <w:i/>
              </w:rPr>
            </w:pPr>
            <w:r w:rsidRPr="00713689">
              <w:rPr>
                <w:i/>
              </w:rPr>
              <w:t>Performance measures:</w:t>
            </w:r>
          </w:p>
          <w:p w:rsidR="00D2745F" w:rsidRPr="00713689" w:rsidRDefault="00D2745F" w:rsidP="006B7033">
            <w:pPr>
              <w:widowControl w:val="0"/>
              <w:suppressAutoHyphens w:val="0"/>
              <w:spacing w:before="40" w:after="120"/>
              <w:ind w:left="142"/>
            </w:pPr>
            <w:r w:rsidRPr="00713689">
              <w:t>201</w:t>
            </w:r>
            <w:r>
              <w:t>2</w:t>
            </w:r>
            <w:r w:rsidRPr="00713689">
              <w:t>–201</w:t>
            </w:r>
            <w:r>
              <w:t>3</w:t>
            </w:r>
            <w:r w:rsidRPr="00713689">
              <w:t xml:space="preserve">: </w:t>
            </w:r>
            <w:r w:rsidRPr="00176D6F">
              <w:t xml:space="preserve">(a) 37; (b) </w:t>
            </w:r>
            <w:r w:rsidR="00EC4909">
              <w:t>27</w:t>
            </w:r>
            <w:r>
              <w:t>;</w:t>
            </w:r>
            <w:r w:rsidRPr="00176D6F">
              <w:t xml:space="preserve"> (c) 91; (d) 6</w:t>
            </w:r>
          </w:p>
          <w:p w:rsidR="00D2745F" w:rsidRPr="00713689" w:rsidRDefault="00D2745F" w:rsidP="006B7033">
            <w:pPr>
              <w:widowControl w:val="0"/>
              <w:suppressAutoHyphens w:val="0"/>
              <w:spacing w:before="40" w:after="120"/>
              <w:ind w:left="142"/>
            </w:pPr>
            <w:r w:rsidRPr="00713689">
              <w:t>Estimate 201</w:t>
            </w:r>
            <w:r>
              <w:t>4</w:t>
            </w:r>
            <w:r w:rsidRPr="00713689">
              <w:t>–201</w:t>
            </w:r>
            <w:r>
              <w:t>5</w:t>
            </w:r>
            <w:r w:rsidRPr="00713689">
              <w:t xml:space="preserve">: (a) 45; (b) </w:t>
            </w:r>
            <w:r w:rsidR="00EC4909">
              <w:t>28</w:t>
            </w:r>
            <w:r w:rsidRPr="00713689">
              <w:t xml:space="preserve">; (c) </w:t>
            </w:r>
            <w:r w:rsidR="00EC4909" w:rsidRPr="00713689">
              <w:t>9</w:t>
            </w:r>
            <w:r w:rsidR="00AB61DD">
              <w:t>3</w:t>
            </w:r>
            <w:r w:rsidRPr="00713689">
              <w:t>; (d) 6</w:t>
            </w:r>
          </w:p>
          <w:p w:rsidR="00821733" w:rsidRDefault="00840B07" w:rsidP="006B7033">
            <w:pPr>
              <w:widowControl w:val="0"/>
              <w:suppressAutoHyphens w:val="0"/>
              <w:spacing w:before="40" w:after="120"/>
              <w:ind w:left="142"/>
            </w:pPr>
            <w:r w:rsidRPr="00840B07">
              <w:t>Actual 2014–2015</w:t>
            </w:r>
            <w:r w:rsidR="00496AAE" w:rsidRPr="00AB7B14">
              <w:t xml:space="preserve"> (as of 31 July 2015)</w:t>
            </w:r>
            <w:r w:rsidRPr="00840B07">
              <w:t>: (a) 45; (b) 28; (c) 92; (d) 6</w:t>
            </w:r>
          </w:p>
          <w:p w:rsidR="00D2745F" w:rsidRPr="00713689" w:rsidRDefault="00D2745F" w:rsidP="006B7033">
            <w:pPr>
              <w:widowControl w:val="0"/>
              <w:suppressAutoHyphens w:val="0"/>
              <w:spacing w:before="40" w:after="120"/>
              <w:ind w:left="142"/>
            </w:pPr>
            <w:r w:rsidRPr="00713689">
              <w:t>Target 201</w:t>
            </w:r>
            <w:r>
              <w:t>6</w:t>
            </w:r>
            <w:r w:rsidRPr="00713689">
              <w:t>–201</w:t>
            </w:r>
            <w:r>
              <w:t>7</w:t>
            </w:r>
            <w:r w:rsidRPr="00713689">
              <w:t>:</w:t>
            </w:r>
            <w:r>
              <w:t xml:space="preserve"> </w:t>
            </w:r>
            <w:r w:rsidRPr="000763C1">
              <w:t xml:space="preserve">(a) </w:t>
            </w:r>
            <w:r w:rsidR="00840B07" w:rsidRPr="000763C1">
              <w:t>45</w:t>
            </w:r>
            <w:r w:rsidRPr="000763C1">
              <w:t xml:space="preserve"> (b) </w:t>
            </w:r>
            <w:r w:rsidR="00840B07" w:rsidRPr="000763C1">
              <w:t>28</w:t>
            </w:r>
            <w:r w:rsidRPr="000763C1">
              <w:t xml:space="preserve">; (c) </w:t>
            </w:r>
            <w:r w:rsidR="00840B07" w:rsidRPr="000763C1">
              <w:t>93</w:t>
            </w:r>
            <w:r w:rsidRPr="000763C1">
              <w:t xml:space="preserve"> (d) </w:t>
            </w:r>
            <w:r w:rsidR="00840B07">
              <w:t>6</w:t>
            </w:r>
          </w:p>
        </w:tc>
      </w:tr>
      <w:tr w:rsidR="00D2745F" w:rsidRPr="00713689" w:rsidTr="006B7033">
        <w:trPr>
          <w:trHeight w:val="2129"/>
        </w:trPr>
        <w:tc>
          <w:tcPr>
            <w:tcW w:w="3486" w:type="dxa"/>
            <w:vMerge/>
            <w:shd w:val="clear" w:color="auto" w:fill="auto"/>
          </w:tcPr>
          <w:p w:rsidR="00D2745F" w:rsidRPr="00713689" w:rsidRDefault="00D2745F" w:rsidP="006B7033">
            <w:pPr>
              <w:widowControl w:val="0"/>
              <w:tabs>
                <w:tab w:val="left" w:pos="576"/>
              </w:tabs>
              <w:suppressAutoHyphens w:val="0"/>
              <w:spacing w:before="40" w:after="120"/>
              <w:ind w:left="142"/>
            </w:pPr>
          </w:p>
        </w:tc>
        <w:tc>
          <w:tcPr>
            <w:tcW w:w="2337" w:type="dxa"/>
            <w:shd w:val="clear" w:color="auto" w:fill="auto"/>
          </w:tcPr>
          <w:p w:rsidR="00D2745F" w:rsidRPr="00713689" w:rsidRDefault="007B35AE" w:rsidP="006B7033">
            <w:pPr>
              <w:widowControl w:val="0"/>
              <w:suppressAutoHyphens w:val="0"/>
              <w:autoSpaceDE w:val="0"/>
              <w:autoSpaceDN w:val="0"/>
              <w:adjustRightInd w:val="0"/>
              <w:spacing w:before="40" w:after="120"/>
              <w:ind w:left="113"/>
            </w:pPr>
            <w:r>
              <w:t>6</w:t>
            </w:r>
            <w:r w:rsidR="00D2745F" w:rsidRPr="00713689">
              <w:t>. Convention on Access to Information, Public Participation in Decision-making and Access to Justice in Environmental Matters (Aarhus Convention)</w:t>
            </w:r>
          </w:p>
        </w:tc>
        <w:tc>
          <w:tcPr>
            <w:tcW w:w="3816" w:type="dxa"/>
            <w:shd w:val="clear" w:color="auto" w:fill="auto"/>
          </w:tcPr>
          <w:p w:rsidR="00D2745F" w:rsidRPr="00713689" w:rsidRDefault="00D2745F" w:rsidP="006B7033">
            <w:pPr>
              <w:pStyle w:val="Default"/>
              <w:widowControl w:val="0"/>
              <w:spacing w:before="40" w:after="120" w:line="240" w:lineRule="atLeast"/>
              <w:ind w:left="142"/>
              <w:rPr>
                <w:color w:val="auto"/>
                <w:sz w:val="20"/>
                <w:szCs w:val="20"/>
                <w:lang w:val="en-GB"/>
              </w:rPr>
            </w:pPr>
            <w:r w:rsidRPr="00713689">
              <w:rPr>
                <w:color w:val="auto"/>
                <w:sz w:val="20"/>
                <w:szCs w:val="20"/>
                <w:lang w:val="en-GB"/>
              </w:rPr>
              <w:t>EA 7</w:t>
            </w:r>
            <w:r w:rsidRPr="00713689">
              <w:rPr>
                <w:color w:val="auto"/>
                <w:sz w:val="20"/>
                <w:szCs w:val="20"/>
                <w:lang w:val="en-GB"/>
              </w:rPr>
              <w:br/>
              <w:t>Increased ratification and strengthened implementation of the Aarhus Convention and its Protocol on Pollutant Release and Transfer Registers (Protocol on PRTRs)</w:t>
            </w:r>
          </w:p>
          <w:p w:rsidR="00D2745F" w:rsidRPr="00713689" w:rsidRDefault="00D2745F" w:rsidP="006B7033">
            <w:pPr>
              <w:pStyle w:val="Default"/>
              <w:widowControl w:val="0"/>
              <w:spacing w:before="40" w:after="120" w:line="240" w:lineRule="atLeast"/>
              <w:ind w:left="142"/>
              <w:rPr>
                <w:color w:val="auto"/>
                <w:sz w:val="20"/>
                <w:szCs w:val="20"/>
                <w:lang w:val="en-GB"/>
              </w:rPr>
            </w:pPr>
            <w:r w:rsidRPr="00713689">
              <w:rPr>
                <w:color w:val="auto"/>
                <w:sz w:val="20"/>
                <w:szCs w:val="20"/>
                <w:lang w:val="en-GB"/>
              </w:rPr>
              <w:t>IA 7</w:t>
            </w:r>
            <w:r w:rsidRPr="00713689">
              <w:rPr>
                <w:color w:val="auto"/>
                <w:sz w:val="20"/>
                <w:szCs w:val="20"/>
                <w:lang w:val="en-GB"/>
              </w:rPr>
              <w:br/>
              <w:t>Increased number of countries working to improve implementation of the Convention and its Protocol on PRTRs through:</w:t>
            </w:r>
          </w:p>
          <w:p w:rsidR="00D2745F" w:rsidRPr="00713689" w:rsidRDefault="00D2745F" w:rsidP="006B7033">
            <w:pPr>
              <w:pStyle w:val="Default"/>
              <w:widowControl w:val="0"/>
              <w:spacing w:before="40" w:after="120" w:line="240" w:lineRule="atLeast"/>
              <w:ind w:left="142"/>
              <w:rPr>
                <w:bCs/>
                <w:color w:val="auto"/>
                <w:sz w:val="20"/>
                <w:szCs w:val="20"/>
                <w:lang w:val="en-GB"/>
              </w:rPr>
            </w:pPr>
            <w:r w:rsidRPr="00713689">
              <w:rPr>
                <w:color w:val="auto"/>
                <w:sz w:val="20"/>
                <w:szCs w:val="20"/>
                <w:lang w:val="en-GB"/>
              </w:rPr>
              <w:t xml:space="preserve">(a) </w:t>
            </w:r>
            <w:r w:rsidRPr="00713689">
              <w:rPr>
                <w:bCs/>
                <w:color w:val="auto"/>
                <w:sz w:val="20"/>
                <w:szCs w:val="20"/>
                <w:lang w:val="en-GB"/>
              </w:rPr>
              <w:t>Intensity of capacity development for non-Parties to the Aarhus Convention (average participant-days per non-Party);</w:t>
            </w:r>
          </w:p>
          <w:p w:rsidR="00D2745F" w:rsidRPr="00713689" w:rsidRDefault="00D2745F" w:rsidP="006B7033">
            <w:pPr>
              <w:pStyle w:val="Default"/>
              <w:widowControl w:val="0"/>
              <w:spacing w:before="40" w:after="120" w:line="240" w:lineRule="atLeast"/>
              <w:ind w:left="142"/>
              <w:rPr>
                <w:bCs/>
                <w:color w:val="auto"/>
                <w:sz w:val="20"/>
                <w:szCs w:val="20"/>
                <w:lang w:val="en-GB"/>
              </w:rPr>
            </w:pPr>
            <w:r w:rsidRPr="00713689">
              <w:rPr>
                <w:bCs/>
                <w:color w:val="auto"/>
                <w:sz w:val="20"/>
                <w:szCs w:val="20"/>
                <w:lang w:val="en-GB"/>
              </w:rPr>
              <w:t>(b) Intensity of capacity development for non-Parties to the Protocol on PRTRs (average participant-days per non-Party);</w:t>
            </w:r>
          </w:p>
          <w:p w:rsidR="00D2745F" w:rsidRPr="00713689" w:rsidRDefault="00D2745F" w:rsidP="006B7033">
            <w:pPr>
              <w:pStyle w:val="Default"/>
              <w:widowControl w:val="0"/>
              <w:spacing w:before="40" w:after="120" w:line="240" w:lineRule="atLeast"/>
              <w:ind w:left="142"/>
              <w:rPr>
                <w:bCs/>
                <w:color w:val="auto"/>
                <w:sz w:val="20"/>
                <w:szCs w:val="20"/>
                <w:lang w:val="en-GB"/>
              </w:rPr>
            </w:pPr>
            <w:r w:rsidRPr="00713689">
              <w:rPr>
                <w:bCs/>
                <w:color w:val="auto"/>
                <w:sz w:val="20"/>
                <w:szCs w:val="20"/>
                <w:lang w:val="en-GB"/>
              </w:rPr>
              <w:t xml:space="preserve">(c) Number of ratifications of the Aarhus Convention; </w:t>
            </w:r>
          </w:p>
          <w:p w:rsidR="00D2745F" w:rsidRPr="00713689" w:rsidRDefault="00D2745F" w:rsidP="006B7033">
            <w:pPr>
              <w:pStyle w:val="Default"/>
              <w:widowControl w:val="0"/>
              <w:tabs>
                <w:tab w:val="left" w:pos="252"/>
              </w:tabs>
              <w:spacing w:before="40" w:after="120" w:line="240" w:lineRule="atLeast"/>
              <w:ind w:left="142"/>
              <w:rPr>
                <w:bCs/>
                <w:color w:val="auto"/>
                <w:sz w:val="20"/>
                <w:szCs w:val="20"/>
                <w:lang w:val="en-GB"/>
              </w:rPr>
            </w:pPr>
            <w:r w:rsidRPr="00713689">
              <w:rPr>
                <w:bCs/>
                <w:color w:val="auto"/>
                <w:sz w:val="20"/>
                <w:szCs w:val="20"/>
                <w:lang w:val="en-GB"/>
              </w:rPr>
              <w:t>(d) Number of ratifications of the Protocol on PRTRs;</w:t>
            </w:r>
          </w:p>
          <w:p w:rsidR="00D2745F" w:rsidRPr="00713689" w:rsidRDefault="00D2745F" w:rsidP="006B7033">
            <w:pPr>
              <w:widowControl w:val="0"/>
              <w:suppressAutoHyphens w:val="0"/>
              <w:spacing w:before="40" w:after="120"/>
              <w:ind w:left="142"/>
            </w:pPr>
            <w:r w:rsidRPr="00713689">
              <w:rPr>
                <w:bCs/>
              </w:rPr>
              <w:t>(e) Number of countries submitting national implementation reports to the Meeting of the Parties to the Convention, indicating</w:t>
            </w:r>
            <w:r w:rsidRPr="00713689">
              <w:t xml:space="preserve"> progress </w:t>
            </w:r>
            <w:r w:rsidRPr="00713689">
              <w:lastRenderedPageBreak/>
              <w:t>in implementing key obligations;</w:t>
            </w:r>
          </w:p>
          <w:p w:rsidR="00D2745F" w:rsidRPr="00713689" w:rsidRDefault="00D2745F" w:rsidP="006B7033">
            <w:pPr>
              <w:widowControl w:val="0"/>
              <w:suppressAutoHyphens w:val="0"/>
              <w:spacing w:before="40" w:after="120"/>
              <w:ind w:left="142"/>
            </w:pPr>
            <w:r w:rsidRPr="00713689">
              <w:t>(f) Number of countries submitting national implementation reports to the Meeting of the Parties to the Protocol on PRTRs, indicating progress in implementing key obligations</w:t>
            </w:r>
          </w:p>
          <w:p w:rsidR="00D2745F" w:rsidRPr="00713689" w:rsidRDefault="00D2745F" w:rsidP="006B7033">
            <w:pPr>
              <w:widowControl w:val="0"/>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spacing w:before="40" w:after="120"/>
              <w:ind w:left="142"/>
              <w:rPr>
                <w:i/>
              </w:rPr>
            </w:pPr>
            <w:r w:rsidRPr="00713689">
              <w:rPr>
                <w:i/>
              </w:rPr>
              <w:t>Performance measures:</w:t>
            </w:r>
          </w:p>
          <w:p w:rsidR="00D2745F" w:rsidRPr="00713689" w:rsidRDefault="00D2745F" w:rsidP="006B7033">
            <w:pPr>
              <w:widowControl w:val="0"/>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spacing w:before="40" w:after="120"/>
              <w:ind w:left="142"/>
            </w:pPr>
            <w:r w:rsidRPr="00713689">
              <w:t>201</w:t>
            </w:r>
            <w:r>
              <w:t>2</w:t>
            </w:r>
            <w:r w:rsidRPr="00713689">
              <w:t>–201</w:t>
            </w:r>
            <w:r>
              <w:t>3</w:t>
            </w:r>
            <w:r w:rsidRPr="00713689">
              <w:t xml:space="preserve">: </w:t>
            </w:r>
            <w:r w:rsidRPr="00176D6F">
              <w:t>(a) 4; (b) 3; (c) 46; (d) 3</w:t>
            </w:r>
            <w:r w:rsidR="00C37AA6">
              <w:t>3</w:t>
            </w:r>
            <w:r w:rsidRPr="00176D6F">
              <w:t xml:space="preserve">; (e) </w:t>
            </w:r>
            <w:r w:rsidRPr="00BF7693">
              <w:t>N/</w:t>
            </w:r>
            <w:proofErr w:type="spellStart"/>
            <w:r w:rsidRPr="00BF7693">
              <w:t>A</w:t>
            </w:r>
            <w:r>
              <w:t>;</w:t>
            </w:r>
            <w:r w:rsidR="00BF7693" w:rsidRPr="008510BC">
              <w:rPr>
                <w:i/>
                <w:vertAlign w:val="superscript"/>
              </w:rPr>
              <w:t>c</w:t>
            </w:r>
            <w:proofErr w:type="spellEnd"/>
            <w:r w:rsidRPr="00176D6F">
              <w:t xml:space="preserve"> (f) N/A</w:t>
            </w:r>
          </w:p>
          <w:p w:rsidR="00D2745F" w:rsidRPr="006B1CB1" w:rsidRDefault="00D2745F" w:rsidP="006B7033">
            <w:pPr>
              <w:widowControl w:val="0"/>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spacing w:before="40" w:after="120"/>
              <w:ind w:left="142"/>
              <w:rPr>
                <w:lang w:val="es-ES"/>
              </w:rPr>
            </w:pPr>
            <w:proofErr w:type="spellStart"/>
            <w:r w:rsidRPr="006B1CB1">
              <w:rPr>
                <w:lang w:val="es-ES"/>
              </w:rPr>
              <w:t>Estimate</w:t>
            </w:r>
            <w:proofErr w:type="spellEnd"/>
            <w:r w:rsidRPr="006B1CB1">
              <w:rPr>
                <w:lang w:val="es-ES"/>
              </w:rPr>
              <w:t xml:space="preserve"> 2014–2015: (a) 4; (b) 3; (c) 47; (d) 34; (e) 46; (f) 32</w:t>
            </w:r>
          </w:p>
          <w:p w:rsidR="00821733" w:rsidRDefault="009370AE" w:rsidP="006B7033">
            <w:pPr>
              <w:widowControl w:val="0"/>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spacing w:before="40" w:after="120"/>
              <w:ind w:left="142"/>
            </w:pPr>
            <w:r w:rsidRPr="009370AE">
              <w:t>Actual 2014–2015</w:t>
            </w:r>
            <w:r w:rsidR="00496AAE" w:rsidRPr="00AB7B14">
              <w:t xml:space="preserve"> (as of 31 July 2015)</w:t>
            </w:r>
            <w:r w:rsidRPr="009370AE">
              <w:t>: (a) 6</w:t>
            </w:r>
            <w:r w:rsidR="00FC7841">
              <w:t>;</w:t>
            </w:r>
            <w:r w:rsidR="00BF7693" w:rsidRPr="008510BC">
              <w:rPr>
                <w:i/>
                <w:vertAlign w:val="superscript"/>
              </w:rPr>
              <w:t>d</w:t>
            </w:r>
            <w:r w:rsidRPr="009370AE">
              <w:t xml:space="preserve"> (b) 2</w:t>
            </w:r>
            <w:r w:rsidR="00FC7841">
              <w:t>;</w:t>
            </w:r>
            <w:r w:rsidR="00BF7693" w:rsidRPr="008510BC">
              <w:rPr>
                <w:i/>
                <w:vertAlign w:val="superscript"/>
              </w:rPr>
              <w:t>e</w:t>
            </w:r>
            <w:r w:rsidRPr="009370AE">
              <w:t xml:space="preserve"> (c) 47; (d) 33; (e) 46; (f) 32</w:t>
            </w:r>
          </w:p>
          <w:p w:rsidR="00D2745F" w:rsidRPr="00713689" w:rsidRDefault="00D2745F" w:rsidP="006B7033">
            <w:pPr>
              <w:widowControl w:val="0"/>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spacing w:before="40" w:after="120"/>
              <w:ind w:left="142"/>
              <w:rPr>
                <w:spacing w:val="-8"/>
              </w:rPr>
            </w:pPr>
            <w:r w:rsidRPr="00713689">
              <w:t>Target 201</w:t>
            </w:r>
            <w:r>
              <w:t>6</w:t>
            </w:r>
            <w:r w:rsidRPr="00713689">
              <w:t>–201</w:t>
            </w:r>
            <w:r>
              <w:t>7</w:t>
            </w:r>
            <w:r w:rsidRPr="00713689">
              <w:t xml:space="preserve">: </w:t>
            </w:r>
            <w:r w:rsidRPr="0028149D">
              <w:t xml:space="preserve">(a) </w:t>
            </w:r>
            <w:r w:rsidR="00BF2D47" w:rsidRPr="0028149D">
              <w:t>2</w:t>
            </w:r>
            <w:r w:rsidRPr="0028149D">
              <w:t>; (b) 3; (c) 47; (d) 34; (e) 46; (f) 32</w:t>
            </w:r>
          </w:p>
        </w:tc>
      </w:tr>
      <w:tr w:rsidR="00D2745F" w:rsidRPr="00713689" w:rsidTr="009711C7">
        <w:trPr>
          <w:trHeight w:val="651"/>
        </w:trPr>
        <w:tc>
          <w:tcPr>
            <w:tcW w:w="3486" w:type="dxa"/>
            <w:vMerge/>
            <w:shd w:val="clear" w:color="auto" w:fill="auto"/>
          </w:tcPr>
          <w:p w:rsidR="00D2745F" w:rsidRPr="00713689" w:rsidRDefault="00D2745F" w:rsidP="006B7033">
            <w:pPr>
              <w:widowControl w:val="0"/>
              <w:tabs>
                <w:tab w:val="left" w:pos="576"/>
              </w:tabs>
              <w:suppressAutoHyphens w:val="0"/>
              <w:spacing w:before="40" w:after="120"/>
              <w:ind w:left="142"/>
            </w:pPr>
          </w:p>
        </w:tc>
        <w:tc>
          <w:tcPr>
            <w:tcW w:w="2337" w:type="dxa"/>
            <w:shd w:val="clear" w:color="auto" w:fill="auto"/>
          </w:tcPr>
          <w:p w:rsidR="00D2745F" w:rsidRPr="00713689" w:rsidRDefault="007B35AE" w:rsidP="006B7033">
            <w:pPr>
              <w:widowControl w:val="0"/>
              <w:suppressAutoHyphens w:val="0"/>
              <w:autoSpaceDE w:val="0"/>
              <w:autoSpaceDN w:val="0"/>
              <w:adjustRightInd w:val="0"/>
              <w:spacing w:before="40" w:after="120"/>
              <w:ind w:left="113"/>
            </w:pPr>
            <w:r>
              <w:t>7</w:t>
            </w:r>
            <w:r w:rsidR="00D2745F" w:rsidRPr="00713689">
              <w:t>. Convention on Environmental Impact Assessment in a Transboundary Context (Espoo Convention)</w:t>
            </w:r>
          </w:p>
        </w:tc>
        <w:tc>
          <w:tcPr>
            <w:tcW w:w="3816" w:type="dxa"/>
            <w:shd w:val="clear" w:color="auto" w:fill="auto"/>
          </w:tcPr>
          <w:p w:rsidR="00D2745F" w:rsidRPr="00713689" w:rsidRDefault="00D2745F" w:rsidP="006B7033">
            <w:pPr>
              <w:widowControl w:val="0"/>
              <w:suppressAutoHyphens w:val="0"/>
              <w:spacing w:before="40" w:after="120"/>
              <w:ind w:left="142"/>
            </w:pPr>
            <w:r w:rsidRPr="00713689">
              <w:t>EA 8</w:t>
            </w:r>
            <w:r w:rsidRPr="00713689">
              <w:br/>
              <w:t>Increased ratification and strengthened implementation of the Espoo Convention and its Protocol on Strategic Environmental Assessment (Protocol on SEA)</w:t>
            </w:r>
          </w:p>
          <w:p w:rsidR="00D2745F" w:rsidRPr="00713689" w:rsidRDefault="00D2745F" w:rsidP="006B7033">
            <w:pPr>
              <w:widowControl w:val="0"/>
              <w:suppressAutoHyphens w:val="0"/>
              <w:spacing w:before="40" w:after="120"/>
              <w:ind w:left="142"/>
            </w:pPr>
            <w:r w:rsidRPr="00713689">
              <w:t>IA 8</w:t>
            </w:r>
            <w:r w:rsidRPr="00713689">
              <w:br/>
              <w:t>Increased number of countries working to improve implementation of the Convention and its Protocol on SEA through:</w:t>
            </w:r>
          </w:p>
          <w:p w:rsidR="00D2745F" w:rsidRPr="00713689" w:rsidRDefault="00D2745F" w:rsidP="006B7033">
            <w:pPr>
              <w:widowControl w:val="0"/>
              <w:tabs>
                <w:tab w:val="left" w:pos="-1080"/>
              </w:tabs>
              <w:suppressAutoHyphens w:val="0"/>
              <w:autoSpaceDE w:val="0"/>
              <w:autoSpaceDN w:val="0"/>
              <w:adjustRightInd w:val="0"/>
              <w:spacing w:before="40" w:after="120"/>
              <w:ind w:left="142"/>
            </w:pPr>
            <w:r w:rsidRPr="00713689">
              <w:t>(a) Number of countries contributing to subregional cooperation under the Convention;</w:t>
            </w:r>
          </w:p>
          <w:p w:rsidR="00D2745F" w:rsidRPr="00713689" w:rsidRDefault="00D2745F" w:rsidP="006B7033">
            <w:pPr>
              <w:widowControl w:val="0"/>
              <w:tabs>
                <w:tab w:val="left" w:pos="-1080"/>
              </w:tabs>
              <w:suppressAutoHyphens w:val="0"/>
              <w:autoSpaceDE w:val="0"/>
              <w:autoSpaceDN w:val="0"/>
              <w:adjustRightInd w:val="0"/>
              <w:spacing w:before="40" w:after="120"/>
              <w:ind w:left="142"/>
            </w:pPr>
            <w:r w:rsidRPr="00713689">
              <w:t xml:space="preserve">(b) Number of Parties reporting on their implementation of the Convention; </w:t>
            </w:r>
          </w:p>
          <w:p w:rsidR="00D2745F" w:rsidRPr="00713689" w:rsidRDefault="00D2745F" w:rsidP="006B7033">
            <w:pPr>
              <w:widowControl w:val="0"/>
              <w:tabs>
                <w:tab w:val="left" w:pos="-1080"/>
              </w:tabs>
              <w:suppressAutoHyphens w:val="0"/>
              <w:autoSpaceDE w:val="0"/>
              <w:autoSpaceDN w:val="0"/>
              <w:adjustRightInd w:val="0"/>
              <w:spacing w:before="40" w:after="120"/>
              <w:ind w:left="142"/>
            </w:pPr>
            <w:r w:rsidRPr="00713689">
              <w:t>(c) Intensity of capacity development in non-Parties to the Espoo Convention (average participant-days per non-Party);</w:t>
            </w:r>
          </w:p>
          <w:p w:rsidR="00D2745F" w:rsidRPr="00713689" w:rsidRDefault="00D2745F" w:rsidP="006B7033">
            <w:pPr>
              <w:widowControl w:val="0"/>
              <w:tabs>
                <w:tab w:val="left" w:pos="-1080"/>
              </w:tabs>
              <w:suppressAutoHyphens w:val="0"/>
              <w:autoSpaceDE w:val="0"/>
              <w:autoSpaceDN w:val="0"/>
              <w:adjustRightInd w:val="0"/>
              <w:spacing w:before="40" w:after="120"/>
              <w:ind w:left="142"/>
            </w:pPr>
            <w:r w:rsidRPr="00713689">
              <w:t>(d) Intensity of capacity development in non-Parties to the Convention’s Protocol on SEA (average participant-days per non-Party);</w:t>
            </w:r>
          </w:p>
          <w:p w:rsidR="00D2745F" w:rsidRPr="00713689" w:rsidRDefault="00D2745F" w:rsidP="006B7033">
            <w:pPr>
              <w:widowControl w:val="0"/>
              <w:tabs>
                <w:tab w:val="left" w:pos="252"/>
              </w:tabs>
              <w:suppressAutoHyphens w:val="0"/>
              <w:spacing w:before="40" w:after="120"/>
              <w:ind w:left="142"/>
            </w:pPr>
            <w:r w:rsidRPr="00713689">
              <w:t xml:space="preserve">(e) Number of </w:t>
            </w:r>
            <w:r w:rsidRPr="00713689">
              <w:rPr>
                <w:bCs/>
              </w:rPr>
              <w:t xml:space="preserve">ratifications </w:t>
            </w:r>
            <w:r w:rsidRPr="00713689">
              <w:t>of the Protocol on SEA</w:t>
            </w:r>
          </w:p>
          <w:p w:rsidR="00D2745F" w:rsidRPr="00713689" w:rsidRDefault="00D2745F" w:rsidP="006B7033">
            <w:pPr>
              <w:widowControl w:val="0"/>
              <w:tabs>
                <w:tab w:val="left" w:pos="252"/>
              </w:tabs>
              <w:suppressAutoHyphens w:val="0"/>
              <w:spacing w:before="40" w:after="120"/>
              <w:ind w:left="142"/>
            </w:pPr>
            <w:r w:rsidRPr="00713689">
              <w:t xml:space="preserve">(f) </w:t>
            </w:r>
            <w:r w:rsidRPr="00713689">
              <w:rPr>
                <w:bCs/>
              </w:rPr>
              <w:t xml:space="preserve">Number of ratifications, approvals or acceptances of </w:t>
            </w:r>
            <w:r w:rsidRPr="00713689">
              <w:t>the Espoo Convention</w:t>
            </w:r>
          </w:p>
          <w:p w:rsidR="00D2745F" w:rsidRDefault="00D2745F" w:rsidP="006B7033">
            <w:pPr>
              <w:widowControl w:val="0"/>
              <w:tabs>
                <w:tab w:val="left" w:pos="252"/>
              </w:tabs>
              <w:suppressAutoHyphens w:val="0"/>
              <w:spacing w:before="40" w:after="120"/>
              <w:ind w:left="142"/>
            </w:pPr>
            <w:r w:rsidRPr="00713689">
              <w:t xml:space="preserve">(g) </w:t>
            </w:r>
            <w:r w:rsidRPr="00713689">
              <w:rPr>
                <w:bCs/>
              </w:rPr>
              <w:t xml:space="preserve">Number of ratifications, approvals or acceptances of </w:t>
            </w:r>
            <w:r w:rsidRPr="00713689">
              <w:t>the two amendments to the Espoo Convention</w:t>
            </w:r>
          </w:p>
          <w:p w:rsidR="00302A03" w:rsidRPr="00713689" w:rsidRDefault="00302A03" w:rsidP="006B7033">
            <w:pPr>
              <w:widowControl w:val="0"/>
              <w:tabs>
                <w:tab w:val="left" w:pos="252"/>
              </w:tabs>
              <w:suppressAutoHyphens w:val="0"/>
              <w:spacing w:before="40" w:after="120"/>
              <w:ind w:left="142"/>
            </w:pPr>
            <w:r>
              <w:lastRenderedPageBreak/>
              <w:t>(h</w:t>
            </w:r>
            <w:r w:rsidRPr="00302A03">
              <w:t>) Number of Parties reporting on their implementation of the Protocol</w:t>
            </w:r>
            <w:r w:rsidR="00AA495E">
              <w:t xml:space="preserve"> </w:t>
            </w:r>
            <w:r w:rsidR="003D42C7">
              <w:rPr>
                <w:i/>
                <w:vertAlign w:val="superscript"/>
              </w:rPr>
              <w:t>f</w:t>
            </w:r>
          </w:p>
          <w:p w:rsidR="00D2745F" w:rsidRPr="00713689" w:rsidRDefault="00D2745F" w:rsidP="006B7033">
            <w:pPr>
              <w:widowControl w:val="0"/>
              <w:suppressAutoHyphens w:val="0"/>
              <w:autoSpaceDE w:val="0"/>
              <w:autoSpaceDN w:val="0"/>
              <w:adjustRightInd w:val="0"/>
              <w:spacing w:before="40" w:after="120"/>
              <w:ind w:left="142"/>
              <w:rPr>
                <w:i/>
              </w:rPr>
            </w:pPr>
            <w:r w:rsidRPr="00713689">
              <w:rPr>
                <w:i/>
              </w:rPr>
              <w:t>Performance measures:</w:t>
            </w:r>
          </w:p>
          <w:p w:rsidR="00D2745F" w:rsidRPr="00713689" w:rsidRDefault="00D2745F" w:rsidP="006B7033">
            <w:pPr>
              <w:widowControl w:val="0"/>
              <w:suppressAutoHyphens w:val="0"/>
              <w:spacing w:before="40" w:after="120"/>
              <w:ind w:left="142"/>
            </w:pPr>
            <w:r w:rsidRPr="00713689">
              <w:t>201</w:t>
            </w:r>
            <w:r>
              <w:t>2</w:t>
            </w:r>
            <w:r w:rsidRPr="00713689">
              <w:t>–201</w:t>
            </w:r>
            <w:r>
              <w:t>3</w:t>
            </w:r>
            <w:r w:rsidRPr="00713689">
              <w:t xml:space="preserve">: </w:t>
            </w:r>
            <w:r w:rsidRPr="00176D6F">
              <w:t>(a) 16</w:t>
            </w:r>
            <w:r>
              <w:t>;</w:t>
            </w:r>
            <w:r w:rsidRPr="00176D6F">
              <w:t xml:space="preserve"> (b) 38; (c) 11</w:t>
            </w:r>
            <w:r>
              <w:t>;</w:t>
            </w:r>
            <w:r w:rsidRPr="00176D6F">
              <w:t xml:space="preserve"> (d) 10</w:t>
            </w:r>
            <w:r>
              <w:t>;</w:t>
            </w:r>
            <w:r w:rsidRPr="00176D6F">
              <w:t xml:space="preserve"> (e) 25</w:t>
            </w:r>
            <w:r>
              <w:t>;</w:t>
            </w:r>
            <w:r w:rsidRPr="00713689">
              <w:t xml:space="preserve"> </w:t>
            </w:r>
            <w:r w:rsidRPr="000B67CD">
              <w:t>(f) 45; (g) first amendment 24, second amendment 24</w:t>
            </w:r>
          </w:p>
          <w:p w:rsidR="00D2745F" w:rsidRPr="00713689" w:rsidRDefault="00D2745F" w:rsidP="006B7033">
            <w:pPr>
              <w:widowControl w:val="0"/>
              <w:suppressAutoHyphens w:val="0"/>
              <w:spacing w:before="40" w:after="120"/>
              <w:ind w:left="142"/>
            </w:pPr>
            <w:r w:rsidRPr="00713689">
              <w:t>Estimate 201</w:t>
            </w:r>
            <w:r>
              <w:t>4</w:t>
            </w:r>
            <w:r w:rsidRPr="00713689">
              <w:t>–201</w:t>
            </w:r>
            <w:r>
              <w:t>5</w:t>
            </w:r>
            <w:r w:rsidRPr="00713689">
              <w:t>: (a) 30; (b) 44; (c) 33; (d) 12; (e) 29; (f) 46; (g) first amendment 26, second amendment 26</w:t>
            </w:r>
            <w:r w:rsidR="00BA73B5">
              <w:t xml:space="preserve"> </w:t>
            </w:r>
          </w:p>
          <w:p w:rsidR="004D7946" w:rsidRDefault="004D7946" w:rsidP="006B7033">
            <w:pPr>
              <w:widowControl w:val="0"/>
              <w:suppressAutoHyphens w:val="0"/>
              <w:spacing w:before="40" w:after="120"/>
              <w:ind w:left="142"/>
            </w:pPr>
            <w:r w:rsidRPr="004D7946">
              <w:t>Actual 2014–2015</w:t>
            </w:r>
            <w:r w:rsidR="00496AAE" w:rsidRPr="00AB7B14">
              <w:t xml:space="preserve"> (as of 31 July 2015)</w:t>
            </w:r>
            <w:r w:rsidRPr="004D7946">
              <w:t>: (a) 30;  (b) 41; (c) 37;  (d) 71; (e) 26; (f) 45; (g) first am</w:t>
            </w:r>
            <w:r>
              <w:t>endment 26</w:t>
            </w:r>
            <w:r w:rsidR="000B356F">
              <w:t>,</w:t>
            </w:r>
            <w:r>
              <w:t xml:space="preserve"> second amendment 26</w:t>
            </w:r>
          </w:p>
          <w:p w:rsidR="00D2745F" w:rsidRPr="00713689" w:rsidRDefault="00D2745F" w:rsidP="006B7033">
            <w:pPr>
              <w:widowControl w:val="0"/>
              <w:suppressAutoHyphens w:val="0"/>
              <w:spacing w:before="40" w:after="120"/>
              <w:ind w:left="142"/>
              <w:rPr>
                <w:spacing w:val="-2"/>
              </w:rPr>
            </w:pPr>
            <w:r w:rsidRPr="00713689">
              <w:t>Target 201</w:t>
            </w:r>
            <w:r>
              <w:t>6</w:t>
            </w:r>
            <w:r w:rsidRPr="00713689">
              <w:t>–201</w:t>
            </w:r>
            <w:r>
              <w:t>7</w:t>
            </w:r>
            <w:r w:rsidRPr="00713689">
              <w:t xml:space="preserve">: </w:t>
            </w:r>
            <w:r w:rsidR="00BA73B5" w:rsidRPr="00BA73B5">
              <w:t>(a) 35; (b) 45; (c) 18; (d) 35; (e) 31; (f) 47; (g) first amendment 32, second amendment 31</w:t>
            </w:r>
            <w:r w:rsidR="000B356F">
              <w:t>;</w:t>
            </w:r>
            <w:r w:rsidR="00BA73B5">
              <w:t xml:space="preserve"> (h) 26</w:t>
            </w:r>
          </w:p>
        </w:tc>
      </w:tr>
      <w:tr w:rsidR="00D2745F" w:rsidRPr="00713689" w:rsidTr="009711C7">
        <w:trPr>
          <w:cantSplit/>
          <w:trHeight w:val="244"/>
        </w:trPr>
        <w:tc>
          <w:tcPr>
            <w:tcW w:w="3486" w:type="dxa"/>
            <w:vMerge/>
            <w:shd w:val="clear" w:color="auto" w:fill="auto"/>
          </w:tcPr>
          <w:p w:rsidR="00D2745F" w:rsidRPr="00713689" w:rsidRDefault="00D2745F" w:rsidP="006B7033">
            <w:pPr>
              <w:widowControl w:val="0"/>
              <w:tabs>
                <w:tab w:val="left" w:pos="576"/>
              </w:tabs>
              <w:suppressAutoHyphens w:val="0"/>
              <w:spacing w:before="40" w:after="120"/>
              <w:ind w:left="142"/>
            </w:pPr>
          </w:p>
        </w:tc>
        <w:tc>
          <w:tcPr>
            <w:tcW w:w="2337" w:type="dxa"/>
            <w:shd w:val="clear" w:color="auto" w:fill="auto"/>
          </w:tcPr>
          <w:p w:rsidR="00D2745F" w:rsidRPr="00713689" w:rsidRDefault="007B35AE" w:rsidP="006B7033">
            <w:pPr>
              <w:widowControl w:val="0"/>
              <w:suppressAutoHyphens w:val="0"/>
              <w:spacing w:before="40" w:after="120"/>
              <w:ind w:left="113"/>
            </w:pPr>
            <w:r>
              <w:t>8</w:t>
            </w:r>
            <w:r w:rsidR="00D2745F" w:rsidRPr="00713689">
              <w:t xml:space="preserve">. Convention on the Protection and Use of Transboundary Watercourses and International Lakes </w:t>
            </w:r>
            <w:r w:rsidR="00D2745F" w:rsidRPr="00713689">
              <w:br/>
              <w:t>(Water Convention)</w:t>
            </w:r>
          </w:p>
        </w:tc>
        <w:tc>
          <w:tcPr>
            <w:tcW w:w="3816" w:type="dxa"/>
            <w:shd w:val="clear" w:color="auto" w:fill="auto"/>
          </w:tcPr>
          <w:p w:rsidR="00D2745F" w:rsidRPr="00713689" w:rsidRDefault="00D2745F" w:rsidP="006B7033">
            <w:pPr>
              <w:widowControl w:val="0"/>
              <w:suppressAutoHyphens w:val="0"/>
              <w:spacing w:before="40" w:after="120" w:line="240" w:lineRule="auto"/>
              <w:ind w:left="142"/>
              <w:rPr>
                <w:bCs/>
              </w:rPr>
            </w:pPr>
            <w:r w:rsidRPr="00713689">
              <w:t>EA 9</w:t>
            </w:r>
            <w:r w:rsidRPr="00713689">
              <w:br/>
              <w:t>Increased ratification and strengthened implementation of the Water Convention and the Protocol on Water and Health</w:t>
            </w:r>
          </w:p>
          <w:p w:rsidR="00D2745F" w:rsidRPr="00713689" w:rsidRDefault="00D2745F" w:rsidP="006B7033">
            <w:pPr>
              <w:widowControl w:val="0"/>
              <w:suppressAutoHyphens w:val="0"/>
              <w:autoSpaceDE w:val="0"/>
              <w:autoSpaceDN w:val="0"/>
              <w:adjustRightInd w:val="0"/>
              <w:spacing w:before="40" w:after="120" w:line="240" w:lineRule="auto"/>
              <w:ind w:left="142"/>
            </w:pPr>
            <w:r w:rsidRPr="00713689">
              <w:t>IA 9</w:t>
            </w:r>
            <w:r w:rsidRPr="00713689">
              <w:br/>
              <w:t>Increased number of countries indicating progress in implementing the Convention and the Protocol on Water and Health</w:t>
            </w:r>
            <w:r w:rsidRPr="00713689" w:rsidDel="00EA61D1">
              <w:t xml:space="preserve"> </w:t>
            </w:r>
            <w:r w:rsidRPr="00713689">
              <w:t>through:</w:t>
            </w:r>
          </w:p>
          <w:p w:rsidR="00D2745F" w:rsidRPr="00713689" w:rsidRDefault="00D2745F" w:rsidP="006B7033">
            <w:pPr>
              <w:widowControl w:val="0"/>
              <w:tabs>
                <w:tab w:val="left" w:pos="-1080"/>
              </w:tabs>
              <w:suppressAutoHyphens w:val="0"/>
              <w:autoSpaceDE w:val="0"/>
              <w:autoSpaceDN w:val="0"/>
              <w:adjustRightInd w:val="0"/>
              <w:spacing w:before="40" w:after="120" w:line="240" w:lineRule="auto"/>
              <w:ind w:left="142"/>
            </w:pPr>
            <w:r w:rsidRPr="00713689">
              <w:t>(a)</w:t>
            </w:r>
            <w:r w:rsidRPr="00713689">
              <w:rPr>
                <w:bCs/>
              </w:rPr>
              <w:t xml:space="preserve"> Intensity of capacity development </w:t>
            </w:r>
            <w:r w:rsidRPr="00713689">
              <w:t>in non-Parties to the</w:t>
            </w:r>
            <w:r w:rsidRPr="00713689">
              <w:rPr>
                <w:bCs/>
              </w:rPr>
              <w:t xml:space="preserve"> Water Convention </w:t>
            </w:r>
            <w:r w:rsidRPr="00713689">
              <w:t>(average participant-days per non-Party)</w:t>
            </w:r>
            <w:r w:rsidRPr="00713689">
              <w:rPr>
                <w:bCs/>
              </w:rPr>
              <w:t>;</w:t>
            </w:r>
          </w:p>
          <w:p w:rsidR="00D2745F" w:rsidRPr="00713689" w:rsidRDefault="00D2745F" w:rsidP="006B7033">
            <w:pPr>
              <w:widowControl w:val="0"/>
              <w:tabs>
                <w:tab w:val="left" w:pos="-1080"/>
              </w:tabs>
              <w:suppressAutoHyphens w:val="0"/>
              <w:autoSpaceDE w:val="0"/>
              <w:autoSpaceDN w:val="0"/>
              <w:adjustRightInd w:val="0"/>
              <w:spacing w:before="40" w:after="120" w:line="240" w:lineRule="auto"/>
              <w:ind w:left="142"/>
            </w:pPr>
            <w:r w:rsidRPr="00713689">
              <w:t>(b)</w:t>
            </w:r>
            <w:r w:rsidRPr="00713689">
              <w:rPr>
                <w:bCs/>
              </w:rPr>
              <w:t xml:space="preserve"> Intensity of capacity development </w:t>
            </w:r>
            <w:r w:rsidRPr="00713689">
              <w:t>in non-Parties to the</w:t>
            </w:r>
            <w:r w:rsidRPr="00713689">
              <w:rPr>
                <w:bCs/>
              </w:rPr>
              <w:t xml:space="preserve"> Protocol on Water and Health </w:t>
            </w:r>
            <w:r w:rsidRPr="00713689">
              <w:t>(average participant-days per non-Party)</w:t>
            </w:r>
            <w:r w:rsidRPr="00713689">
              <w:rPr>
                <w:bCs/>
              </w:rPr>
              <w:t>;</w:t>
            </w:r>
          </w:p>
          <w:p w:rsidR="00D2745F" w:rsidRPr="00713689" w:rsidRDefault="00D2745F" w:rsidP="006B7033">
            <w:pPr>
              <w:widowControl w:val="0"/>
              <w:tabs>
                <w:tab w:val="left" w:pos="-1080"/>
              </w:tabs>
              <w:suppressAutoHyphens w:val="0"/>
              <w:autoSpaceDE w:val="0"/>
              <w:autoSpaceDN w:val="0"/>
              <w:adjustRightInd w:val="0"/>
              <w:spacing w:before="40" w:after="120" w:line="240" w:lineRule="auto"/>
              <w:ind w:left="142"/>
            </w:pPr>
            <w:r w:rsidRPr="00713689">
              <w:t xml:space="preserve">(c) Number of </w:t>
            </w:r>
            <w:r w:rsidRPr="00713689">
              <w:rPr>
                <w:bCs/>
              </w:rPr>
              <w:t xml:space="preserve">ratifications </w:t>
            </w:r>
            <w:r w:rsidRPr="00713689">
              <w:t>of the Protocol on Water and Health;</w:t>
            </w:r>
          </w:p>
          <w:p w:rsidR="00D2745F" w:rsidRPr="00713689" w:rsidRDefault="00D2745F" w:rsidP="006B7033">
            <w:pPr>
              <w:widowControl w:val="0"/>
              <w:tabs>
                <w:tab w:val="left" w:pos="-1080"/>
              </w:tabs>
              <w:suppressAutoHyphens w:val="0"/>
              <w:autoSpaceDE w:val="0"/>
              <w:autoSpaceDN w:val="0"/>
              <w:adjustRightInd w:val="0"/>
              <w:spacing w:before="40" w:after="120" w:line="240" w:lineRule="auto"/>
              <w:ind w:left="142"/>
            </w:pPr>
            <w:r w:rsidRPr="00713689">
              <w:t>(d) Number of accessions to the Water Convention by non-ECE States</w:t>
            </w:r>
            <w:r w:rsidRPr="00713689">
              <w:rPr>
                <w:i/>
                <w:vertAlign w:val="superscript"/>
              </w:rPr>
              <w:t xml:space="preserve"> </w:t>
            </w:r>
            <w:r w:rsidR="003D42C7">
              <w:rPr>
                <w:i/>
                <w:vertAlign w:val="superscript"/>
              </w:rPr>
              <w:t>g</w:t>
            </w:r>
            <w:r w:rsidR="003D42C7" w:rsidRPr="00713689">
              <w:t xml:space="preserve"> </w:t>
            </w:r>
          </w:p>
          <w:p w:rsidR="00D2745F" w:rsidRPr="00713689" w:rsidRDefault="00D2745F" w:rsidP="006B7033">
            <w:pPr>
              <w:widowControl w:val="0"/>
              <w:suppressAutoHyphens w:val="0"/>
              <w:autoSpaceDE w:val="0"/>
              <w:autoSpaceDN w:val="0"/>
              <w:adjustRightInd w:val="0"/>
              <w:spacing w:before="40" w:after="120" w:line="240" w:lineRule="auto"/>
              <w:ind w:left="142"/>
              <w:rPr>
                <w:i/>
              </w:rPr>
            </w:pPr>
            <w:r w:rsidRPr="00713689">
              <w:rPr>
                <w:i/>
              </w:rPr>
              <w:t>Performance measures:</w:t>
            </w:r>
          </w:p>
          <w:p w:rsidR="00D2745F" w:rsidRPr="00713689" w:rsidRDefault="00D2745F" w:rsidP="006B7033">
            <w:pPr>
              <w:widowControl w:val="0"/>
              <w:suppressAutoHyphens w:val="0"/>
              <w:spacing w:before="40" w:after="120" w:line="240" w:lineRule="auto"/>
              <w:ind w:left="142"/>
            </w:pPr>
            <w:r w:rsidRPr="00713689">
              <w:t>201</w:t>
            </w:r>
            <w:r>
              <w:t>2</w:t>
            </w:r>
            <w:r w:rsidRPr="00713689">
              <w:t>–201</w:t>
            </w:r>
            <w:r>
              <w:t>3</w:t>
            </w:r>
            <w:r w:rsidRPr="00713689">
              <w:t xml:space="preserve">: (a) </w:t>
            </w:r>
            <w:r>
              <w:t>66</w:t>
            </w:r>
            <w:r w:rsidRPr="00713689">
              <w:t xml:space="preserve">; (b) </w:t>
            </w:r>
            <w:r>
              <w:t>25</w:t>
            </w:r>
            <w:r w:rsidRPr="00713689">
              <w:t xml:space="preserve">; (c) </w:t>
            </w:r>
            <w:r>
              <w:t>26</w:t>
            </w:r>
            <w:r w:rsidRPr="00713689">
              <w:t xml:space="preserve">; (d) N/A </w:t>
            </w:r>
          </w:p>
          <w:p w:rsidR="00D2745F" w:rsidRPr="00713689" w:rsidRDefault="00D2745F" w:rsidP="006B7033">
            <w:pPr>
              <w:widowControl w:val="0"/>
              <w:suppressAutoHyphens w:val="0"/>
              <w:spacing w:before="40" w:after="120" w:line="240" w:lineRule="auto"/>
              <w:ind w:left="142"/>
            </w:pPr>
            <w:r w:rsidRPr="00713689">
              <w:rPr>
                <w:spacing w:val="-4"/>
              </w:rPr>
              <w:t>Estimate 201</w:t>
            </w:r>
            <w:r>
              <w:rPr>
                <w:spacing w:val="-4"/>
              </w:rPr>
              <w:t>4</w:t>
            </w:r>
            <w:r w:rsidRPr="00713689">
              <w:rPr>
                <w:spacing w:val="-4"/>
              </w:rPr>
              <w:t>–201</w:t>
            </w:r>
            <w:r>
              <w:rPr>
                <w:spacing w:val="-4"/>
              </w:rPr>
              <w:t>5</w:t>
            </w:r>
            <w:r w:rsidRPr="00713689">
              <w:rPr>
                <w:spacing w:val="-4"/>
              </w:rPr>
              <w:t>:</w:t>
            </w:r>
            <w:r w:rsidRPr="00713689">
              <w:t xml:space="preserve"> (a) </w:t>
            </w:r>
            <w:r>
              <w:t>5</w:t>
            </w:r>
            <w:r w:rsidRPr="00713689">
              <w:t xml:space="preserve">5; (b) </w:t>
            </w:r>
            <w:r>
              <w:t>25</w:t>
            </w:r>
            <w:r w:rsidRPr="00713689">
              <w:t xml:space="preserve">; (c) </w:t>
            </w:r>
            <w:r>
              <w:t>27</w:t>
            </w:r>
            <w:r w:rsidRPr="00713689">
              <w:t xml:space="preserve">; (d) </w:t>
            </w:r>
            <w:r>
              <w:t>2</w:t>
            </w:r>
          </w:p>
          <w:p w:rsidR="00F411B9" w:rsidRDefault="00CA0D60" w:rsidP="006B7033">
            <w:pPr>
              <w:widowControl w:val="0"/>
              <w:suppressAutoHyphens w:val="0"/>
              <w:spacing w:before="40" w:after="120" w:line="240" w:lineRule="auto"/>
              <w:ind w:left="142"/>
            </w:pPr>
            <w:r w:rsidRPr="00CA0D60">
              <w:t>Actual 2014–2015</w:t>
            </w:r>
            <w:r w:rsidR="00496AAE" w:rsidRPr="00AB7B14">
              <w:t xml:space="preserve"> (as of 31 July 2015)</w:t>
            </w:r>
            <w:r w:rsidRPr="00CA0D60">
              <w:t>: (a) 55; (b) 44; (c) 26 (d) 0</w:t>
            </w:r>
            <w:r w:rsidR="003D42C7">
              <w:rPr>
                <w:i/>
                <w:vertAlign w:val="superscript"/>
              </w:rPr>
              <w:t>h</w:t>
            </w:r>
            <w:r w:rsidRPr="00CA0D60">
              <w:t xml:space="preserve"> </w:t>
            </w:r>
          </w:p>
          <w:p w:rsidR="00D2745F" w:rsidRPr="00713689" w:rsidRDefault="00D2745F" w:rsidP="006B7033">
            <w:pPr>
              <w:widowControl w:val="0"/>
              <w:suppressAutoHyphens w:val="0"/>
              <w:spacing w:before="40" w:after="120" w:line="240" w:lineRule="auto"/>
              <w:ind w:left="142"/>
            </w:pPr>
            <w:r w:rsidRPr="00713689">
              <w:t>Target 201</w:t>
            </w:r>
            <w:r>
              <w:t>6</w:t>
            </w:r>
            <w:r w:rsidRPr="00713689">
              <w:t>–201</w:t>
            </w:r>
            <w:r>
              <w:t>7</w:t>
            </w:r>
            <w:r w:rsidRPr="00713689">
              <w:t xml:space="preserve">: </w:t>
            </w:r>
            <w:r w:rsidRPr="00D02873">
              <w:t>(a) 5</w:t>
            </w:r>
            <w:r w:rsidR="00CA0D60" w:rsidRPr="00D02873">
              <w:t>0</w:t>
            </w:r>
            <w:r w:rsidRPr="00D02873">
              <w:t xml:space="preserve">; (b) </w:t>
            </w:r>
            <w:r w:rsidR="00CA0D60" w:rsidRPr="00D02873">
              <w:t>3</w:t>
            </w:r>
            <w:r w:rsidRPr="00D02873">
              <w:t>5; (c) 27; (d) </w:t>
            </w:r>
            <w:r w:rsidR="00CA0D60" w:rsidRPr="002A488A">
              <w:t>1</w:t>
            </w:r>
            <w:r w:rsidRPr="00713689">
              <w:t xml:space="preserve"> </w:t>
            </w:r>
          </w:p>
        </w:tc>
      </w:tr>
      <w:tr w:rsidR="00D2745F" w:rsidRPr="00713689" w:rsidTr="009711C7">
        <w:trPr>
          <w:cantSplit/>
          <w:trHeight w:val="145"/>
        </w:trPr>
        <w:tc>
          <w:tcPr>
            <w:tcW w:w="3486" w:type="dxa"/>
            <w:vMerge/>
            <w:shd w:val="clear" w:color="auto" w:fill="auto"/>
          </w:tcPr>
          <w:p w:rsidR="00D2745F" w:rsidRPr="00713689" w:rsidRDefault="00D2745F" w:rsidP="006B7033">
            <w:pPr>
              <w:widowControl w:val="0"/>
              <w:tabs>
                <w:tab w:val="left" w:pos="576"/>
              </w:tabs>
              <w:suppressAutoHyphens w:val="0"/>
              <w:spacing w:before="40" w:after="120"/>
              <w:ind w:left="142"/>
            </w:pPr>
          </w:p>
        </w:tc>
        <w:tc>
          <w:tcPr>
            <w:tcW w:w="2337" w:type="dxa"/>
            <w:shd w:val="clear" w:color="auto" w:fill="auto"/>
          </w:tcPr>
          <w:p w:rsidR="00D2745F" w:rsidRPr="00713689" w:rsidRDefault="007B35AE" w:rsidP="006B7033">
            <w:pPr>
              <w:widowControl w:val="0"/>
              <w:suppressAutoHyphens w:val="0"/>
              <w:autoSpaceDE w:val="0"/>
              <w:autoSpaceDN w:val="0"/>
              <w:adjustRightInd w:val="0"/>
              <w:spacing w:before="40" w:after="120"/>
              <w:ind w:left="113"/>
            </w:pPr>
            <w:r>
              <w:t>9</w:t>
            </w:r>
            <w:r w:rsidR="00D2745F" w:rsidRPr="00713689">
              <w:t xml:space="preserve">. Convention on the Transboundary Effects </w:t>
            </w:r>
            <w:r w:rsidR="00D2745F" w:rsidRPr="00713689">
              <w:br/>
              <w:t>of Industrial Accidents (Industrial Accidents Convention)</w:t>
            </w:r>
          </w:p>
        </w:tc>
        <w:tc>
          <w:tcPr>
            <w:tcW w:w="3816" w:type="dxa"/>
            <w:shd w:val="clear" w:color="auto" w:fill="auto"/>
          </w:tcPr>
          <w:p w:rsidR="00D2745F" w:rsidRPr="00713689" w:rsidRDefault="00D2745F" w:rsidP="006B7033">
            <w:pPr>
              <w:widowControl w:val="0"/>
              <w:suppressAutoHyphens w:val="0"/>
              <w:spacing w:before="40" w:after="120"/>
              <w:ind w:left="142"/>
            </w:pPr>
            <w:r w:rsidRPr="00713689">
              <w:t>EA 10</w:t>
            </w:r>
            <w:r w:rsidRPr="00713689">
              <w:br/>
              <w:t>Strengthened implementation of the Industrial Accidents Convention</w:t>
            </w:r>
          </w:p>
          <w:p w:rsidR="00D2745F" w:rsidRPr="00713689" w:rsidRDefault="00D2745F" w:rsidP="006B7033">
            <w:pPr>
              <w:widowControl w:val="0"/>
              <w:suppressAutoHyphens w:val="0"/>
              <w:spacing w:before="40" w:after="120"/>
              <w:ind w:left="142"/>
            </w:pPr>
            <w:r w:rsidRPr="00713689">
              <w:t>IA 10</w:t>
            </w:r>
            <w:r w:rsidRPr="00713689">
              <w:br/>
              <w:t>Increased number of reports from countries indicating progress in implementing the Convention in five key areas:</w:t>
            </w:r>
          </w:p>
          <w:p w:rsidR="00D2745F" w:rsidRPr="00713689" w:rsidRDefault="00D2745F" w:rsidP="006B7033">
            <w:pPr>
              <w:widowControl w:val="0"/>
              <w:tabs>
                <w:tab w:val="left" w:pos="252"/>
              </w:tabs>
              <w:suppressAutoHyphens w:val="0"/>
              <w:spacing w:before="40" w:after="120"/>
              <w:ind w:left="142"/>
              <w:rPr>
                <w:bCs/>
              </w:rPr>
            </w:pPr>
            <w:r w:rsidRPr="00713689">
              <w:t>(a)</w:t>
            </w:r>
            <w:r w:rsidRPr="00713689">
              <w:rPr>
                <w:bCs/>
              </w:rPr>
              <w:t xml:space="preserve"> Intensity of capacity development in non-Parties to the Industrial Accidents Convention </w:t>
            </w:r>
            <w:r w:rsidRPr="00713689">
              <w:t>(average participant-days per non-Party)</w:t>
            </w:r>
            <w:r w:rsidRPr="00713689">
              <w:rPr>
                <w:bCs/>
              </w:rPr>
              <w:t>;</w:t>
            </w:r>
          </w:p>
          <w:p w:rsidR="00D2745F" w:rsidRPr="00713689" w:rsidRDefault="00D2745F" w:rsidP="006B7033">
            <w:pPr>
              <w:widowControl w:val="0"/>
              <w:tabs>
                <w:tab w:val="left" w:pos="252"/>
              </w:tabs>
              <w:suppressAutoHyphens w:val="0"/>
              <w:spacing w:before="40" w:after="120"/>
              <w:ind w:left="142"/>
            </w:pPr>
            <w:r w:rsidRPr="00713689">
              <w:t>(b)</w:t>
            </w:r>
            <w:r w:rsidRPr="00713689">
              <w:rPr>
                <w:bCs/>
              </w:rPr>
              <w:t xml:space="preserve"> Intensity of capacity development in Parties to the Industrial Accidents Convention </w:t>
            </w:r>
            <w:r w:rsidRPr="00713689">
              <w:t>(average participant-days per Party)</w:t>
            </w:r>
            <w:r w:rsidRPr="00713689">
              <w:rPr>
                <w:bCs/>
              </w:rPr>
              <w:t>;</w:t>
            </w:r>
          </w:p>
          <w:p w:rsidR="00D2745F" w:rsidRPr="00713689" w:rsidRDefault="00D2745F" w:rsidP="006B7033">
            <w:pPr>
              <w:widowControl w:val="0"/>
              <w:tabs>
                <w:tab w:val="left" w:pos="252"/>
              </w:tabs>
              <w:suppressAutoHyphens w:val="0"/>
              <w:spacing w:before="40" w:after="120"/>
              <w:ind w:left="142"/>
            </w:pPr>
            <w:r w:rsidRPr="00713689">
              <w:t>(c) Identification of hazardous activities through training sessions;</w:t>
            </w:r>
          </w:p>
          <w:p w:rsidR="00D2745F" w:rsidRPr="00713689" w:rsidRDefault="00D2745F" w:rsidP="006B7033">
            <w:pPr>
              <w:widowControl w:val="0"/>
              <w:tabs>
                <w:tab w:val="left" w:pos="252"/>
              </w:tabs>
              <w:suppressAutoHyphens w:val="0"/>
              <w:spacing w:before="40" w:after="120"/>
              <w:ind w:left="142"/>
            </w:pPr>
            <w:r w:rsidRPr="00713689">
              <w:t xml:space="preserve">(d) Prevention — application and strengthening of preventive measures for hazardous activities through capacity-building sessions; </w:t>
            </w:r>
          </w:p>
          <w:p w:rsidR="00D2745F" w:rsidRPr="00713689" w:rsidRDefault="00D2745F" w:rsidP="006B7033">
            <w:pPr>
              <w:widowControl w:val="0"/>
              <w:tabs>
                <w:tab w:val="left" w:pos="252"/>
              </w:tabs>
              <w:suppressAutoHyphens w:val="0"/>
              <w:spacing w:before="40" w:after="120"/>
              <w:ind w:left="142"/>
            </w:pPr>
            <w:r w:rsidRPr="00713689">
              <w:t>(e) Notification of industrial accidents using the Industrial Accidents Notification System implemented through training sessions</w:t>
            </w:r>
          </w:p>
          <w:p w:rsidR="00D2745F" w:rsidRPr="00713689" w:rsidRDefault="00D2745F" w:rsidP="006B7033">
            <w:pPr>
              <w:widowControl w:val="0"/>
              <w:suppressAutoHyphens w:val="0"/>
              <w:spacing w:before="40" w:after="120"/>
              <w:ind w:left="142"/>
              <w:rPr>
                <w:i/>
              </w:rPr>
            </w:pPr>
            <w:r w:rsidRPr="00713689">
              <w:rPr>
                <w:i/>
              </w:rPr>
              <w:t>Performance measures:</w:t>
            </w:r>
          </w:p>
          <w:p w:rsidR="002A488A" w:rsidRDefault="00D2745F" w:rsidP="006B7033">
            <w:pPr>
              <w:widowControl w:val="0"/>
              <w:suppressAutoHyphens w:val="0"/>
              <w:spacing w:before="40" w:after="120"/>
              <w:ind w:left="142"/>
            </w:pPr>
            <w:r w:rsidRPr="00713689">
              <w:t>201</w:t>
            </w:r>
            <w:r>
              <w:t>2</w:t>
            </w:r>
            <w:r w:rsidRPr="00713689">
              <w:t>–201</w:t>
            </w:r>
            <w:r>
              <w:t>3</w:t>
            </w:r>
            <w:r w:rsidRPr="00713689">
              <w:t xml:space="preserve">: </w:t>
            </w:r>
            <w:r w:rsidR="002A488A" w:rsidRPr="00713689">
              <w:t xml:space="preserve">(a) </w:t>
            </w:r>
            <w:r w:rsidR="002A488A">
              <w:t>26</w:t>
            </w:r>
            <w:r w:rsidR="002A488A" w:rsidRPr="00713689">
              <w:t xml:space="preserve">; (b) </w:t>
            </w:r>
            <w:r w:rsidR="002A488A">
              <w:t>32</w:t>
            </w:r>
            <w:r w:rsidR="002A488A" w:rsidRPr="00713689">
              <w:t xml:space="preserve">; (c) </w:t>
            </w:r>
            <w:r w:rsidR="002A488A">
              <w:t>32</w:t>
            </w:r>
            <w:r w:rsidR="00FC7841">
              <w:t>;</w:t>
            </w:r>
            <w:r w:rsidR="003D42C7">
              <w:rPr>
                <w:i/>
                <w:vertAlign w:val="superscript"/>
              </w:rPr>
              <w:t>i</w:t>
            </w:r>
            <w:r w:rsidR="002A488A" w:rsidRPr="00713689">
              <w:t xml:space="preserve"> (d) </w:t>
            </w:r>
            <w:r w:rsidR="002A488A">
              <w:t>39</w:t>
            </w:r>
            <w:r w:rsidR="00FC7841">
              <w:t>;</w:t>
            </w:r>
            <w:r w:rsidR="003D42C7">
              <w:rPr>
                <w:i/>
                <w:vertAlign w:val="superscript"/>
              </w:rPr>
              <w:t>j</w:t>
            </w:r>
            <w:r w:rsidR="002A488A" w:rsidRPr="00713689">
              <w:t xml:space="preserve"> (e</w:t>
            </w:r>
            <w:r w:rsidR="002A488A" w:rsidRPr="00B630A5">
              <w:t>) </w:t>
            </w:r>
            <w:r w:rsidR="002A488A">
              <w:t>16</w:t>
            </w:r>
            <w:r w:rsidR="003D42C7">
              <w:rPr>
                <w:i/>
                <w:vertAlign w:val="superscript"/>
              </w:rPr>
              <w:t>k</w:t>
            </w:r>
          </w:p>
          <w:p w:rsidR="00D2745F" w:rsidRPr="006B1CB1" w:rsidRDefault="00D2745F" w:rsidP="006B7033">
            <w:pPr>
              <w:widowControl w:val="0"/>
              <w:suppressAutoHyphens w:val="0"/>
              <w:spacing w:before="40" w:after="120"/>
              <w:ind w:left="142"/>
              <w:rPr>
                <w:spacing w:val="-2"/>
                <w:lang w:val="es-ES"/>
              </w:rPr>
            </w:pPr>
            <w:proofErr w:type="spellStart"/>
            <w:r w:rsidRPr="006B1CB1">
              <w:rPr>
                <w:spacing w:val="-2"/>
                <w:lang w:val="es-ES"/>
              </w:rPr>
              <w:t>Estimate</w:t>
            </w:r>
            <w:proofErr w:type="spellEnd"/>
            <w:r w:rsidRPr="006B1CB1">
              <w:rPr>
                <w:spacing w:val="-2"/>
                <w:lang w:val="es-ES"/>
              </w:rPr>
              <w:t xml:space="preserve"> 2014–2015: (a) 37; (b) 20; (c) 43; (d) 40; (e) 40</w:t>
            </w:r>
          </w:p>
          <w:p w:rsidR="002A488A" w:rsidRPr="00713689" w:rsidRDefault="002A488A" w:rsidP="006B7033">
            <w:pPr>
              <w:widowControl w:val="0"/>
              <w:suppressAutoHyphens w:val="0"/>
              <w:spacing w:before="40" w:after="120"/>
              <w:ind w:left="142"/>
              <w:rPr>
                <w:spacing w:val="-2"/>
              </w:rPr>
            </w:pPr>
            <w:r w:rsidRPr="002A488A">
              <w:t>Actual 2014–2015</w:t>
            </w:r>
            <w:r w:rsidR="00496AAE" w:rsidRPr="00AB7B14">
              <w:t xml:space="preserve"> (as of 31 July 2015)</w:t>
            </w:r>
            <w:r w:rsidRPr="002A488A">
              <w:t>: (a) 18; (b) 20; (c) 33</w:t>
            </w:r>
            <w:r w:rsidR="00FC7841">
              <w:t>;</w:t>
            </w:r>
            <w:r w:rsidR="003D42C7">
              <w:rPr>
                <w:i/>
                <w:vertAlign w:val="superscript"/>
              </w:rPr>
              <w:t>l</w:t>
            </w:r>
            <w:r w:rsidRPr="002A488A">
              <w:t xml:space="preserve"> (d) 40</w:t>
            </w:r>
            <w:r w:rsidR="00FC7841">
              <w:t>;</w:t>
            </w:r>
            <w:r w:rsidR="003D42C7">
              <w:rPr>
                <w:i/>
                <w:vertAlign w:val="superscript"/>
              </w:rPr>
              <w:t>m</w:t>
            </w:r>
            <w:r w:rsidRPr="002A488A">
              <w:t xml:space="preserve"> (e) </w:t>
            </w:r>
            <w:r w:rsidR="003D42C7" w:rsidRPr="002A488A">
              <w:t>14</w:t>
            </w:r>
            <w:r w:rsidR="003D42C7">
              <w:rPr>
                <w:i/>
                <w:vertAlign w:val="superscript"/>
              </w:rPr>
              <w:t>n</w:t>
            </w:r>
          </w:p>
          <w:p w:rsidR="00D2745F" w:rsidRPr="00713689" w:rsidRDefault="00D2745F" w:rsidP="006B7033">
            <w:pPr>
              <w:widowControl w:val="0"/>
              <w:suppressAutoHyphens w:val="0"/>
              <w:spacing w:before="40" w:after="120"/>
              <w:ind w:left="142"/>
              <w:rPr>
                <w:spacing w:val="-2"/>
              </w:rPr>
            </w:pPr>
            <w:r w:rsidRPr="00713689">
              <w:rPr>
                <w:spacing w:val="-2"/>
              </w:rPr>
              <w:t>Target 201</w:t>
            </w:r>
            <w:r>
              <w:rPr>
                <w:spacing w:val="-2"/>
              </w:rPr>
              <w:t>6</w:t>
            </w:r>
            <w:r w:rsidRPr="00713689">
              <w:rPr>
                <w:spacing w:val="-2"/>
              </w:rPr>
              <w:t>–201</w:t>
            </w:r>
            <w:r>
              <w:rPr>
                <w:spacing w:val="-2"/>
              </w:rPr>
              <w:t>7</w:t>
            </w:r>
            <w:r w:rsidRPr="00713689">
              <w:rPr>
                <w:spacing w:val="-2"/>
              </w:rPr>
              <w:t xml:space="preserve">: </w:t>
            </w:r>
            <w:r w:rsidR="002A488A" w:rsidRPr="0014326F">
              <w:rPr>
                <w:spacing w:val="-2"/>
              </w:rPr>
              <w:t xml:space="preserve">(a) </w:t>
            </w:r>
            <w:r w:rsidR="002A488A">
              <w:rPr>
                <w:spacing w:val="-2"/>
              </w:rPr>
              <w:t>17</w:t>
            </w:r>
            <w:r w:rsidR="002A488A" w:rsidRPr="0014326F">
              <w:rPr>
                <w:spacing w:val="-2"/>
              </w:rPr>
              <w:t xml:space="preserve">; (b) </w:t>
            </w:r>
            <w:r w:rsidR="002A488A">
              <w:rPr>
                <w:spacing w:val="-2"/>
              </w:rPr>
              <w:t>15</w:t>
            </w:r>
            <w:r w:rsidR="002A488A" w:rsidRPr="0014326F">
              <w:rPr>
                <w:spacing w:val="-2"/>
              </w:rPr>
              <w:t>; (c) 3</w:t>
            </w:r>
            <w:r w:rsidR="002A488A">
              <w:rPr>
                <w:spacing w:val="-2"/>
              </w:rPr>
              <w:t>4</w:t>
            </w:r>
            <w:r w:rsidR="002A488A" w:rsidRPr="0014326F">
              <w:rPr>
                <w:spacing w:val="-2"/>
              </w:rPr>
              <w:t xml:space="preserve">; (d) 40; (e) </w:t>
            </w:r>
            <w:r w:rsidR="002A488A">
              <w:rPr>
                <w:spacing w:val="-2"/>
              </w:rPr>
              <w:t>15</w:t>
            </w:r>
          </w:p>
        </w:tc>
      </w:tr>
      <w:tr w:rsidR="007B459E" w:rsidRPr="00713689" w:rsidTr="00413243">
        <w:trPr>
          <w:cantSplit/>
          <w:trHeight w:val="1240"/>
        </w:trPr>
        <w:tc>
          <w:tcPr>
            <w:tcW w:w="3486" w:type="dxa"/>
            <w:shd w:val="clear" w:color="auto" w:fill="auto"/>
          </w:tcPr>
          <w:p w:rsidR="007B459E" w:rsidRPr="00713689" w:rsidRDefault="007B459E" w:rsidP="006B7033">
            <w:pPr>
              <w:widowControl w:val="0"/>
              <w:tabs>
                <w:tab w:val="left" w:pos="576"/>
              </w:tabs>
              <w:suppressAutoHyphens w:val="0"/>
              <w:spacing w:before="40" w:after="120" w:line="240" w:lineRule="auto"/>
              <w:ind w:left="142"/>
            </w:pPr>
            <w:r w:rsidRPr="00713689">
              <w:lastRenderedPageBreak/>
              <w:t>EA (c)</w:t>
            </w:r>
            <w:r w:rsidR="006263BD" w:rsidRPr="00713689">
              <w:br/>
            </w:r>
            <w:r w:rsidR="00313DEF" w:rsidRPr="00313DEF">
              <w:t>Strengthened national capacity for environmental monitoring and assessment systems in the countries of Eastern Europe, the Caucasus, Central Asia and South-Eastern Europe</w:t>
            </w:r>
          </w:p>
          <w:p w:rsidR="007B459E" w:rsidRPr="00713689" w:rsidRDefault="007B459E" w:rsidP="006B7033">
            <w:pPr>
              <w:widowControl w:val="0"/>
              <w:tabs>
                <w:tab w:val="left" w:pos="576"/>
              </w:tabs>
              <w:suppressAutoHyphens w:val="0"/>
              <w:spacing w:before="40" w:after="120" w:line="240" w:lineRule="auto"/>
              <w:ind w:left="142"/>
            </w:pPr>
            <w:r w:rsidRPr="00713689">
              <w:t>IA (c)</w:t>
            </w:r>
            <w:r w:rsidR="006263BD" w:rsidRPr="00713689">
              <w:br/>
            </w:r>
            <w:r w:rsidR="00313DEF" w:rsidRPr="00313DEF">
              <w:t>Increased percentage of implementation of ECE recommendations on environmental monitoring by member States</w:t>
            </w:r>
          </w:p>
          <w:p w:rsidR="00485B6E" w:rsidRDefault="00485B6E" w:rsidP="006B7033">
            <w:pPr>
              <w:widowControl w:val="0"/>
              <w:suppressAutoHyphens w:val="0"/>
              <w:autoSpaceDE w:val="0"/>
              <w:autoSpaceDN w:val="0"/>
              <w:adjustRightInd w:val="0"/>
              <w:spacing w:before="40" w:after="120"/>
              <w:ind w:left="142"/>
              <w:rPr>
                <w:i/>
              </w:rPr>
            </w:pPr>
          </w:p>
          <w:p w:rsidR="007B459E" w:rsidRPr="00713689" w:rsidRDefault="007B459E" w:rsidP="006B7033">
            <w:pPr>
              <w:widowControl w:val="0"/>
              <w:suppressAutoHyphens w:val="0"/>
              <w:autoSpaceDE w:val="0"/>
              <w:autoSpaceDN w:val="0"/>
              <w:adjustRightInd w:val="0"/>
              <w:spacing w:before="40" w:after="120"/>
              <w:ind w:left="142"/>
              <w:rPr>
                <w:i/>
              </w:rPr>
            </w:pPr>
            <w:r w:rsidRPr="00713689">
              <w:rPr>
                <w:i/>
              </w:rPr>
              <w:t>Performance measures:</w:t>
            </w:r>
          </w:p>
          <w:p w:rsidR="00F27B19" w:rsidRPr="00713689" w:rsidRDefault="00F27B19" w:rsidP="006B7033">
            <w:pPr>
              <w:widowControl w:val="0"/>
              <w:tabs>
                <w:tab w:val="left" w:pos="576"/>
              </w:tabs>
              <w:suppressAutoHyphens w:val="0"/>
              <w:spacing w:before="40" w:after="120"/>
              <w:ind w:left="142"/>
            </w:pPr>
            <w:r w:rsidRPr="00713689">
              <w:t>201</w:t>
            </w:r>
            <w:r>
              <w:t>2</w:t>
            </w:r>
            <w:r w:rsidRPr="00713689">
              <w:t>–201</w:t>
            </w:r>
            <w:r>
              <w:t>3</w:t>
            </w:r>
            <w:r w:rsidRPr="00713689">
              <w:t xml:space="preserve">: </w:t>
            </w:r>
            <w:r>
              <w:t>N/A</w:t>
            </w:r>
          </w:p>
          <w:p w:rsidR="00F27B19" w:rsidRDefault="00F27B19" w:rsidP="006B7033">
            <w:pPr>
              <w:widowControl w:val="0"/>
              <w:tabs>
                <w:tab w:val="left" w:pos="576"/>
              </w:tabs>
              <w:suppressAutoHyphens w:val="0"/>
              <w:spacing w:before="40" w:after="120"/>
              <w:ind w:left="142"/>
            </w:pPr>
            <w:r w:rsidRPr="00713689">
              <w:t>Estimate 201</w:t>
            </w:r>
            <w:r>
              <w:t>4</w:t>
            </w:r>
            <w:r w:rsidRPr="00713689">
              <w:t>–201</w:t>
            </w:r>
            <w:r>
              <w:t>5</w:t>
            </w:r>
            <w:r w:rsidRPr="00713689">
              <w:t xml:space="preserve">: </w:t>
            </w:r>
            <w:r>
              <w:t>N/A</w:t>
            </w:r>
          </w:p>
          <w:p w:rsidR="00624146" w:rsidRPr="00713689" w:rsidRDefault="00624146" w:rsidP="006B7033">
            <w:pPr>
              <w:widowControl w:val="0"/>
              <w:tabs>
                <w:tab w:val="left" w:pos="1200"/>
              </w:tabs>
              <w:suppressAutoHyphens w:val="0"/>
              <w:spacing w:before="40" w:after="120" w:line="240" w:lineRule="auto"/>
              <w:ind w:left="142"/>
            </w:pPr>
            <w:r w:rsidRPr="00AB7B14">
              <w:t>Actual  2014–2015</w:t>
            </w:r>
            <w:r w:rsidR="00F3232E">
              <w:t xml:space="preserve"> </w:t>
            </w:r>
            <w:r w:rsidR="00F3232E" w:rsidRPr="00AB7B14">
              <w:t>(as of 31 July 2015)</w:t>
            </w:r>
            <w:r w:rsidRPr="00AB7B14">
              <w:t>:</w:t>
            </w:r>
            <w:r>
              <w:t xml:space="preserve"> N/A</w:t>
            </w:r>
          </w:p>
          <w:p w:rsidR="007B459E" w:rsidRPr="00713689" w:rsidRDefault="00F27B19" w:rsidP="006B7033">
            <w:pPr>
              <w:widowControl w:val="0"/>
              <w:tabs>
                <w:tab w:val="left" w:pos="576"/>
              </w:tabs>
              <w:suppressAutoHyphens w:val="0"/>
              <w:spacing w:before="40" w:after="120"/>
              <w:ind w:left="142"/>
            </w:pPr>
            <w:r w:rsidRPr="00713689">
              <w:t>Target 201</w:t>
            </w:r>
            <w:r>
              <w:t>6</w:t>
            </w:r>
            <w:r w:rsidRPr="00713689">
              <w:t>–201</w:t>
            </w:r>
            <w:r>
              <w:t>7</w:t>
            </w:r>
            <w:r w:rsidRPr="00713689">
              <w:t xml:space="preserve">: </w:t>
            </w:r>
            <w:r>
              <w:t>50</w:t>
            </w:r>
            <w:r w:rsidR="003734CE" w:rsidRPr="00713689">
              <w:t xml:space="preserve"> </w:t>
            </w:r>
          </w:p>
        </w:tc>
        <w:tc>
          <w:tcPr>
            <w:tcW w:w="2337" w:type="dxa"/>
            <w:shd w:val="clear" w:color="auto" w:fill="auto"/>
          </w:tcPr>
          <w:p w:rsidR="007B459E" w:rsidRPr="00713689" w:rsidRDefault="00D67558" w:rsidP="006B7033">
            <w:pPr>
              <w:widowControl w:val="0"/>
              <w:suppressAutoHyphens w:val="0"/>
              <w:autoSpaceDE w:val="0"/>
              <w:autoSpaceDN w:val="0"/>
              <w:adjustRightInd w:val="0"/>
              <w:spacing w:before="40" w:after="120"/>
              <w:ind w:left="113"/>
            </w:pPr>
            <w:r w:rsidRPr="00713689">
              <w:t>1</w:t>
            </w:r>
            <w:r w:rsidR="007B35AE">
              <w:t>0</w:t>
            </w:r>
            <w:r w:rsidR="00EB592C" w:rsidRPr="00713689">
              <w:t>. Environmental monitoring and assessment</w:t>
            </w:r>
          </w:p>
        </w:tc>
        <w:tc>
          <w:tcPr>
            <w:tcW w:w="3816" w:type="dxa"/>
            <w:shd w:val="clear" w:color="auto" w:fill="auto"/>
          </w:tcPr>
          <w:p w:rsidR="007B459E" w:rsidRPr="00713689" w:rsidRDefault="008F56D2" w:rsidP="006B7033">
            <w:pPr>
              <w:widowControl w:val="0"/>
              <w:suppressAutoHyphens w:val="0"/>
              <w:spacing w:before="40" w:after="120"/>
              <w:ind w:left="142"/>
            </w:pPr>
            <w:r w:rsidRPr="00713689">
              <w:t xml:space="preserve">EA </w:t>
            </w:r>
            <w:r w:rsidR="00D67558" w:rsidRPr="00713689">
              <w:t>1</w:t>
            </w:r>
            <w:r w:rsidR="00407502" w:rsidRPr="00713689">
              <w:t>1</w:t>
            </w:r>
            <w:r w:rsidR="006263BD" w:rsidRPr="00713689">
              <w:br/>
            </w:r>
            <w:r w:rsidR="008C53ED" w:rsidRPr="008C53ED">
              <w:t>Strengthened national capacity for environmental monitoring and assessment systems in the countries of Eastern Europe, the Caucasus, Central Asia and South-Eastern Europe</w:t>
            </w:r>
            <w:r w:rsidRPr="00713689">
              <w:t xml:space="preserve"> </w:t>
            </w:r>
          </w:p>
          <w:p w:rsidR="008F56D2" w:rsidRPr="00713689" w:rsidRDefault="008F56D2" w:rsidP="006B7033">
            <w:pPr>
              <w:widowControl w:val="0"/>
              <w:suppressAutoHyphens w:val="0"/>
              <w:spacing w:before="40" w:after="120"/>
              <w:ind w:left="142"/>
            </w:pPr>
            <w:r w:rsidRPr="00713689">
              <w:t xml:space="preserve">IA </w:t>
            </w:r>
            <w:r w:rsidR="00D67558" w:rsidRPr="00713689">
              <w:t>1</w:t>
            </w:r>
            <w:r w:rsidR="00407502" w:rsidRPr="00713689">
              <w:t>1</w:t>
            </w:r>
            <w:r w:rsidR="006263BD" w:rsidRPr="00713689">
              <w:br/>
            </w:r>
            <w:r w:rsidR="008C53ED" w:rsidRPr="008C53ED">
              <w:t>Increased percentage of implementation of ECE recommendations on environmental monitoring by member States</w:t>
            </w:r>
          </w:p>
          <w:p w:rsidR="00485B6E" w:rsidRDefault="00485B6E" w:rsidP="006B7033">
            <w:pPr>
              <w:widowControl w:val="0"/>
              <w:suppressAutoHyphens w:val="0"/>
              <w:spacing w:before="40" w:after="120"/>
              <w:ind w:left="142"/>
              <w:rPr>
                <w:i/>
              </w:rPr>
            </w:pPr>
          </w:p>
          <w:p w:rsidR="008F56D2" w:rsidRPr="00713689" w:rsidRDefault="008F56D2" w:rsidP="006B7033">
            <w:pPr>
              <w:widowControl w:val="0"/>
              <w:suppressAutoHyphens w:val="0"/>
              <w:spacing w:before="40" w:after="120"/>
              <w:ind w:left="142"/>
              <w:rPr>
                <w:i/>
              </w:rPr>
            </w:pPr>
            <w:r w:rsidRPr="00713689">
              <w:rPr>
                <w:i/>
              </w:rPr>
              <w:t>Performance measures:</w:t>
            </w:r>
          </w:p>
          <w:p w:rsidR="00F27B19" w:rsidRPr="00713689" w:rsidRDefault="00F27B19" w:rsidP="006B7033">
            <w:pPr>
              <w:widowControl w:val="0"/>
              <w:tabs>
                <w:tab w:val="left" w:pos="576"/>
              </w:tabs>
              <w:suppressAutoHyphens w:val="0"/>
              <w:spacing w:before="40" w:after="120"/>
              <w:ind w:left="142"/>
            </w:pPr>
            <w:r w:rsidRPr="00713689">
              <w:t>201</w:t>
            </w:r>
            <w:r>
              <w:t>2</w:t>
            </w:r>
            <w:r w:rsidRPr="00713689">
              <w:t>–201</w:t>
            </w:r>
            <w:r>
              <w:t>3</w:t>
            </w:r>
            <w:r w:rsidRPr="00713689">
              <w:t xml:space="preserve">: </w:t>
            </w:r>
            <w:r>
              <w:t>N/A</w:t>
            </w:r>
          </w:p>
          <w:p w:rsidR="00F27B19" w:rsidRPr="00713689" w:rsidRDefault="00F27B19" w:rsidP="006B7033">
            <w:pPr>
              <w:widowControl w:val="0"/>
              <w:tabs>
                <w:tab w:val="left" w:pos="576"/>
              </w:tabs>
              <w:suppressAutoHyphens w:val="0"/>
              <w:spacing w:before="40" w:after="120"/>
              <w:ind w:left="142"/>
            </w:pPr>
            <w:r w:rsidRPr="00713689">
              <w:t>Estimate 201</w:t>
            </w:r>
            <w:r>
              <w:t>4</w:t>
            </w:r>
            <w:r w:rsidRPr="00713689">
              <w:t>–201</w:t>
            </w:r>
            <w:r>
              <w:t>5</w:t>
            </w:r>
            <w:r w:rsidRPr="00713689">
              <w:t xml:space="preserve">: </w:t>
            </w:r>
            <w:r>
              <w:t>N/A</w:t>
            </w:r>
          </w:p>
          <w:p w:rsidR="00821733" w:rsidRDefault="004900E3" w:rsidP="006B7033">
            <w:pPr>
              <w:widowControl w:val="0"/>
              <w:suppressAutoHyphens w:val="0"/>
              <w:spacing w:before="40" w:after="120"/>
              <w:ind w:left="142"/>
            </w:pPr>
            <w:r w:rsidRPr="004900E3">
              <w:t>Actual 2014–2015</w:t>
            </w:r>
            <w:r w:rsidR="00496AAE" w:rsidRPr="00AB7B14">
              <w:t xml:space="preserve"> (as of 31 July 2015)</w:t>
            </w:r>
            <w:r w:rsidRPr="004900E3">
              <w:t xml:space="preserve">: </w:t>
            </w:r>
            <w:r w:rsidR="007D02CA">
              <w:t>N/A</w:t>
            </w:r>
          </w:p>
          <w:p w:rsidR="008F56D2" w:rsidRPr="00713689" w:rsidRDefault="00F27B19" w:rsidP="006B7033">
            <w:pPr>
              <w:widowControl w:val="0"/>
              <w:suppressAutoHyphens w:val="0"/>
              <w:spacing w:before="40" w:after="120"/>
              <w:ind w:left="142"/>
            </w:pPr>
            <w:r w:rsidRPr="00713689">
              <w:t>Target 201</w:t>
            </w:r>
            <w:r>
              <w:t>6</w:t>
            </w:r>
            <w:r w:rsidRPr="00713689">
              <w:t>–201</w:t>
            </w:r>
            <w:r>
              <w:t>7</w:t>
            </w:r>
            <w:r w:rsidRPr="00713689">
              <w:t xml:space="preserve">: </w:t>
            </w:r>
            <w:r>
              <w:t>50</w:t>
            </w:r>
          </w:p>
        </w:tc>
      </w:tr>
      <w:tr w:rsidR="00AD12C6" w:rsidRPr="00713689" w:rsidTr="009711C7">
        <w:trPr>
          <w:trHeight w:val="707"/>
        </w:trPr>
        <w:tc>
          <w:tcPr>
            <w:tcW w:w="3486" w:type="dxa"/>
            <w:tcBorders>
              <w:bottom w:val="single" w:sz="12" w:space="0" w:color="auto"/>
            </w:tcBorders>
            <w:shd w:val="clear" w:color="auto" w:fill="auto"/>
          </w:tcPr>
          <w:p w:rsidR="00AD12C6" w:rsidRPr="00713689" w:rsidRDefault="00AD12C6" w:rsidP="006B7033">
            <w:pPr>
              <w:widowControl w:val="0"/>
              <w:tabs>
                <w:tab w:val="left" w:pos="576"/>
              </w:tabs>
              <w:suppressAutoHyphens w:val="0"/>
              <w:spacing w:before="40" w:after="120"/>
              <w:ind w:left="142"/>
            </w:pPr>
            <w:r w:rsidRPr="00713689">
              <w:t>EA (d)</w:t>
            </w:r>
            <w:r w:rsidRPr="00713689">
              <w:br/>
            </w:r>
            <w:r w:rsidR="00313DEF" w:rsidRPr="00313DEF">
              <w:t>Improved environmental performance of interested countries</w:t>
            </w:r>
          </w:p>
          <w:p w:rsidR="00AD12C6" w:rsidRPr="00713689" w:rsidRDefault="00AD12C6" w:rsidP="006B7033">
            <w:pPr>
              <w:widowControl w:val="0"/>
              <w:tabs>
                <w:tab w:val="left" w:pos="576"/>
              </w:tabs>
              <w:suppressAutoHyphens w:val="0"/>
              <w:spacing w:before="40" w:after="120"/>
              <w:ind w:left="142"/>
            </w:pPr>
            <w:r w:rsidRPr="00713689">
              <w:t>IA (d)</w:t>
            </w:r>
            <w:r w:rsidRPr="00713689">
              <w:br/>
            </w:r>
            <w:r w:rsidR="00313DEF" w:rsidRPr="00313DEF">
              <w:t>Percentage of environmental performance review recommendations implemented by countries reviewed during a biennium</w:t>
            </w:r>
          </w:p>
          <w:p w:rsidR="00AD12C6" w:rsidRPr="00713689" w:rsidRDefault="00AD12C6" w:rsidP="006B7033">
            <w:pPr>
              <w:widowControl w:val="0"/>
              <w:suppressAutoHyphens w:val="0"/>
              <w:autoSpaceDE w:val="0"/>
              <w:autoSpaceDN w:val="0"/>
              <w:adjustRightInd w:val="0"/>
              <w:spacing w:before="40" w:after="120"/>
              <w:ind w:left="142"/>
              <w:rPr>
                <w:i/>
              </w:rPr>
            </w:pPr>
            <w:r w:rsidRPr="00713689">
              <w:rPr>
                <w:i/>
              </w:rPr>
              <w:t>Performance measures:</w:t>
            </w:r>
          </w:p>
          <w:p w:rsidR="003C41D9" w:rsidRPr="00713689" w:rsidRDefault="003C41D9" w:rsidP="006B7033">
            <w:pPr>
              <w:widowControl w:val="0"/>
              <w:tabs>
                <w:tab w:val="left" w:pos="576"/>
              </w:tabs>
              <w:suppressAutoHyphens w:val="0"/>
              <w:spacing w:before="40" w:after="120"/>
              <w:ind w:left="142"/>
            </w:pPr>
            <w:r w:rsidRPr="00713689">
              <w:t>201</w:t>
            </w:r>
            <w:r>
              <w:t>2</w:t>
            </w:r>
            <w:r w:rsidRPr="00713689">
              <w:t>–201</w:t>
            </w:r>
            <w:r>
              <w:t>3</w:t>
            </w:r>
            <w:r w:rsidRPr="00713689">
              <w:t xml:space="preserve">: </w:t>
            </w:r>
            <w:r>
              <w:t>N/A</w:t>
            </w:r>
          </w:p>
          <w:p w:rsidR="003C41D9" w:rsidRDefault="003C41D9" w:rsidP="006B7033">
            <w:pPr>
              <w:widowControl w:val="0"/>
              <w:tabs>
                <w:tab w:val="left" w:pos="576"/>
              </w:tabs>
              <w:suppressAutoHyphens w:val="0"/>
              <w:spacing w:before="40" w:after="120"/>
              <w:ind w:left="142"/>
            </w:pPr>
            <w:r w:rsidRPr="00713689">
              <w:t>Estimate 201</w:t>
            </w:r>
            <w:r>
              <w:t>4</w:t>
            </w:r>
            <w:r w:rsidRPr="00713689">
              <w:t>–201</w:t>
            </w:r>
            <w:r>
              <w:t>5</w:t>
            </w:r>
            <w:r w:rsidRPr="00713689">
              <w:t xml:space="preserve">: </w:t>
            </w:r>
            <w:r>
              <w:t>N/A</w:t>
            </w:r>
          </w:p>
          <w:p w:rsidR="00624146" w:rsidRPr="00713689" w:rsidRDefault="00624146" w:rsidP="006B7033">
            <w:pPr>
              <w:widowControl w:val="0"/>
              <w:tabs>
                <w:tab w:val="left" w:pos="1200"/>
              </w:tabs>
              <w:suppressAutoHyphens w:val="0"/>
              <w:spacing w:before="40" w:after="120" w:line="240" w:lineRule="auto"/>
              <w:ind w:left="142"/>
            </w:pPr>
            <w:r w:rsidRPr="00AB7B14">
              <w:t>Actual 2014–2015</w:t>
            </w:r>
            <w:r w:rsidR="00F3232E" w:rsidRPr="00AB7B14">
              <w:t xml:space="preserve"> (as of 31 July 2015)</w:t>
            </w:r>
            <w:r w:rsidRPr="00AB7B14">
              <w:t>:</w:t>
            </w:r>
            <w:r>
              <w:t xml:space="preserve"> N/A</w:t>
            </w:r>
          </w:p>
          <w:p w:rsidR="00AD12C6" w:rsidRPr="00713689" w:rsidRDefault="003C41D9" w:rsidP="006B7033">
            <w:pPr>
              <w:widowControl w:val="0"/>
              <w:tabs>
                <w:tab w:val="left" w:pos="475"/>
                <w:tab w:val="left" w:pos="965"/>
                <w:tab w:val="left" w:pos="1440"/>
                <w:tab w:val="left" w:pos="1915"/>
                <w:tab w:val="left" w:pos="2405"/>
              </w:tabs>
              <w:suppressAutoHyphens w:val="0"/>
              <w:spacing w:before="40" w:after="120"/>
              <w:ind w:left="142"/>
            </w:pPr>
            <w:r w:rsidRPr="00713689">
              <w:t>Target 201</w:t>
            </w:r>
            <w:r>
              <w:t>6</w:t>
            </w:r>
            <w:r w:rsidRPr="00713689">
              <w:t>–201</w:t>
            </w:r>
            <w:r>
              <w:t>7</w:t>
            </w:r>
            <w:r w:rsidRPr="00713689">
              <w:t xml:space="preserve">: </w:t>
            </w:r>
            <w:r>
              <w:t>65</w:t>
            </w:r>
          </w:p>
        </w:tc>
        <w:tc>
          <w:tcPr>
            <w:tcW w:w="2337" w:type="dxa"/>
            <w:tcBorders>
              <w:bottom w:val="single" w:sz="12" w:space="0" w:color="auto"/>
            </w:tcBorders>
            <w:shd w:val="clear" w:color="auto" w:fill="auto"/>
          </w:tcPr>
          <w:p w:rsidR="00AD12C6" w:rsidRPr="00713689" w:rsidRDefault="00AD12C6" w:rsidP="006B7033">
            <w:pPr>
              <w:widowControl w:val="0"/>
              <w:suppressAutoHyphens w:val="0"/>
              <w:autoSpaceDE w:val="0"/>
              <w:autoSpaceDN w:val="0"/>
              <w:adjustRightInd w:val="0"/>
              <w:spacing w:before="40" w:after="120"/>
              <w:ind w:left="113"/>
            </w:pPr>
            <w:r w:rsidRPr="00713689">
              <w:t>1</w:t>
            </w:r>
            <w:r w:rsidR="007B35AE">
              <w:t>1</w:t>
            </w:r>
            <w:r w:rsidRPr="00713689">
              <w:t>. Environmental performance reviews</w:t>
            </w:r>
          </w:p>
        </w:tc>
        <w:tc>
          <w:tcPr>
            <w:tcW w:w="3816" w:type="dxa"/>
            <w:tcBorders>
              <w:bottom w:val="single" w:sz="12" w:space="0" w:color="auto"/>
            </w:tcBorders>
            <w:shd w:val="clear" w:color="auto" w:fill="auto"/>
          </w:tcPr>
          <w:p w:rsidR="00AD12C6" w:rsidRPr="00713689" w:rsidRDefault="00AD12C6" w:rsidP="006B7033">
            <w:pPr>
              <w:widowControl w:val="0"/>
              <w:suppressAutoHyphens w:val="0"/>
              <w:spacing w:before="40" w:after="120"/>
              <w:ind w:left="142"/>
            </w:pPr>
            <w:r w:rsidRPr="00713689">
              <w:t>EA 1</w:t>
            </w:r>
            <w:r w:rsidR="00407502" w:rsidRPr="00713689">
              <w:t>2</w:t>
            </w:r>
            <w:r w:rsidRPr="00713689">
              <w:br/>
            </w:r>
            <w:r w:rsidR="00313DEF" w:rsidRPr="00313DEF">
              <w:t>Improved environmental performance of interested countries</w:t>
            </w:r>
          </w:p>
          <w:p w:rsidR="00AD12C6" w:rsidRPr="00713689" w:rsidRDefault="00AD12C6" w:rsidP="006B7033">
            <w:pPr>
              <w:widowControl w:val="0"/>
              <w:suppressAutoHyphens w:val="0"/>
              <w:spacing w:before="40" w:after="120"/>
              <w:ind w:left="142"/>
            </w:pPr>
            <w:r w:rsidRPr="00713689">
              <w:t>IA 1</w:t>
            </w:r>
            <w:r w:rsidR="00407502" w:rsidRPr="00713689">
              <w:t>2</w:t>
            </w:r>
            <w:r w:rsidRPr="00713689">
              <w:t xml:space="preserve"> </w:t>
            </w:r>
            <w:r w:rsidRPr="00713689">
              <w:br/>
            </w:r>
            <w:r w:rsidR="00313DEF" w:rsidRPr="00313DEF">
              <w:t>Percentage of environmental performance review recommendations implemented by countries reviewed during a biennium</w:t>
            </w:r>
          </w:p>
          <w:p w:rsidR="00AD12C6" w:rsidRPr="00713689" w:rsidRDefault="00AD12C6" w:rsidP="006B7033">
            <w:pPr>
              <w:widowControl w:val="0"/>
              <w:suppressAutoHyphens w:val="0"/>
              <w:spacing w:before="40" w:after="120"/>
              <w:ind w:left="142"/>
              <w:rPr>
                <w:i/>
              </w:rPr>
            </w:pPr>
            <w:r w:rsidRPr="00713689">
              <w:rPr>
                <w:i/>
              </w:rPr>
              <w:t>Performance measures:</w:t>
            </w:r>
          </w:p>
          <w:p w:rsidR="003C41D9" w:rsidRPr="00713689" w:rsidRDefault="003C41D9" w:rsidP="006B7033">
            <w:pPr>
              <w:widowControl w:val="0"/>
              <w:tabs>
                <w:tab w:val="left" w:pos="576"/>
              </w:tabs>
              <w:suppressAutoHyphens w:val="0"/>
              <w:spacing w:before="40" w:after="120"/>
              <w:ind w:left="142"/>
            </w:pPr>
            <w:r w:rsidRPr="00713689">
              <w:t>201</w:t>
            </w:r>
            <w:r>
              <w:t>2</w:t>
            </w:r>
            <w:r w:rsidRPr="00713689">
              <w:t>–201</w:t>
            </w:r>
            <w:r>
              <w:t>3</w:t>
            </w:r>
            <w:r w:rsidRPr="00713689">
              <w:t xml:space="preserve">: </w:t>
            </w:r>
            <w:r>
              <w:t>N/A</w:t>
            </w:r>
          </w:p>
          <w:p w:rsidR="003C41D9" w:rsidRPr="00713689" w:rsidRDefault="003C41D9" w:rsidP="006B7033">
            <w:pPr>
              <w:widowControl w:val="0"/>
              <w:tabs>
                <w:tab w:val="left" w:pos="576"/>
              </w:tabs>
              <w:suppressAutoHyphens w:val="0"/>
              <w:spacing w:before="40" w:after="120"/>
              <w:ind w:left="142"/>
            </w:pPr>
            <w:r w:rsidRPr="00713689">
              <w:t>Estimate 201</w:t>
            </w:r>
            <w:r>
              <w:t>4</w:t>
            </w:r>
            <w:r w:rsidRPr="00713689">
              <w:t>–201</w:t>
            </w:r>
            <w:r>
              <w:t>5</w:t>
            </w:r>
            <w:r w:rsidRPr="00713689">
              <w:t xml:space="preserve">: </w:t>
            </w:r>
            <w:r>
              <w:t>N/A</w:t>
            </w:r>
          </w:p>
          <w:p w:rsidR="00821733" w:rsidRDefault="00821733" w:rsidP="006B7033">
            <w:pPr>
              <w:widowControl w:val="0"/>
              <w:suppressAutoHyphens w:val="0"/>
              <w:spacing w:before="40" w:after="120"/>
              <w:ind w:left="142"/>
            </w:pPr>
            <w:r w:rsidRPr="00ED3188">
              <w:t>Actual 2014–2015</w:t>
            </w:r>
            <w:r w:rsidR="00496AAE" w:rsidRPr="00AB7B14">
              <w:t xml:space="preserve"> (as of 31 July 2015)</w:t>
            </w:r>
            <w:r w:rsidRPr="00ED3188">
              <w:t xml:space="preserve">: </w:t>
            </w:r>
            <w:r w:rsidR="00CB2023">
              <w:t>N/A</w:t>
            </w:r>
          </w:p>
          <w:p w:rsidR="00AD12C6" w:rsidRPr="00713689" w:rsidRDefault="003C41D9" w:rsidP="006B7033">
            <w:pPr>
              <w:widowControl w:val="0"/>
              <w:suppressAutoHyphens w:val="0"/>
              <w:spacing w:before="40" w:after="120"/>
              <w:ind w:left="142"/>
            </w:pPr>
            <w:r w:rsidRPr="00713689">
              <w:t>Target 201</w:t>
            </w:r>
            <w:r>
              <w:t>6</w:t>
            </w:r>
            <w:r w:rsidRPr="00713689">
              <w:t>–201</w:t>
            </w:r>
            <w:r>
              <w:t>7</w:t>
            </w:r>
            <w:r w:rsidRPr="00713689">
              <w:t xml:space="preserve">: </w:t>
            </w:r>
            <w:r>
              <w:t>65</w:t>
            </w:r>
            <w:r w:rsidR="00AD12C6" w:rsidRPr="00713689">
              <w:t xml:space="preserve"> </w:t>
            </w:r>
          </w:p>
        </w:tc>
      </w:tr>
    </w:tbl>
    <w:p w:rsidR="00414CD3" w:rsidRDefault="00414CD3" w:rsidP="008439A5">
      <w:pPr>
        <w:pStyle w:val="SingleTxtG"/>
        <w:spacing w:before="120" w:after="0" w:line="220" w:lineRule="exact"/>
        <w:ind w:left="0" w:right="284" w:firstLine="210"/>
        <w:jc w:val="left"/>
        <w:rPr>
          <w:sz w:val="18"/>
          <w:szCs w:val="18"/>
          <w:lang w:val="en-US"/>
        </w:rPr>
      </w:pPr>
      <w:proofErr w:type="gramStart"/>
      <w:r>
        <w:rPr>
          <w:i/>
          <w:sz w:val="18"/>
          <w:szCs w:val="18"/>
          <w:vertAlign w:val="superscript"/>
        </w:rPr>
        <w:t xml:space="preserve">a  </w:t>
      </w:r>
      <w:r w:rsidRPr="00414CD3">
        <w:rPr>
          <w:sz w:val="18"/>
          <w:szCs w:val="18"/>
          <w:lang w:val="en-US"/>
        </w:rPr>
        <w:t>The</w:t>
      </w:r>
      <w:proofErr w:type="gramEnd"/>
      <w:r w:rsidRPr="00414CD3">
        <w:rPr>
          <w:sz w:val="18"/>
          <w:szCs w:val="18"/>
          <w:lang w:val="en-US"/>
        </w:rPr>
        <w:t xml:space="preserve"> number reflects only the formal national implementation reports submitted by the member </w:t>
      </w:r>
      <w:r w:rsidR="00496AAE">
        <w:rPr>
          <w:sz w:val="18"/>
          <w:szCs w:val="18"/>
          <w:lang w:val="en-US"/>
        </w:rPr>
        <w:t>S</w:t>
      </w:r>
      <w:r w:rsidRPr="00414CD3">
        <w:rPr>
          <w:sz w:val="18"/>
          <w:szCs w:val="18"/>
          <w:lang w:val="en-US"/>
        </w:rPr>
        <w:t>tates in the framework of the third national implementation reporting cycle. In addition, twenty countries submitted their reports for the ninth meeting of the Steering Committee on ESD in April 2014.</w:t>
      </w:r>
    </w:p>
    <w:p w:rsidR="00414CD3" w:rsidRDefault="00414CD3" w:rsidP="008439A5">
      <w:pPr>
        <w:pStyle w:val="SingleTxtG"/>
        <w:spacing w:after="0" w:line="220" w:lineRule="exact"/>
        <w:ind w:left="0" w:right="284" w:firstLine="170"/>
        <w:jc w:val="left"/>
        <w:rPr>
          <w:sz w:val="18"/>
          <w:szCs w:val="18"/>
        </w:rPr>
      </w:pPr>
      <w:proofErr w:type="gramStart"/>
      <w:r w:rsidRPr="00414CD3">
        <w:rPr>
          <w:i/>
          <w:sz w:val="18"/>
          <w:szCs w:val="18"/>
          <w:vertAlign w:val="superscript"/>
          <w:lang w:val="en-US"/>
        </w:rPr>
        <w:t>b</w:t>
      </w:r>
      <w:r w:rsidRPr="00414CD3">
        <w:rPr>
          <w:sz w:val="18"/>
          <w:szCs w:val="18"/>
          <w:lang w:val="en-US"/>
        </w:rPr>
        <w:t xml:space="preserve">  </w:t>
      </w:r>
      <w:r w:rsidRPr="00414CD3">
        <w:rPr>
          <w:sz w:val="18"/>
          <w:szCs w:val="18"/>
        </w:rPr>
        <w:t>The</w:t>
      </w:r>
      <w:proofErr w:type="gramEnd"/>
      <w:r w:rsidRPr="00414CD3">
        <w:rPr>
          <w:sz w:val="18"/>
          <w:szCs w:val="18"/>
        </w:rPr>
        <w:t xml:space="preserve"> figures include the Fourth High-level </w:t>
      </w:r>
      <w:r w:rsidR="00496AAE">
        <w:rPr>
          <w:sz w:val="18"/>
          <w:szCs w:val="18"/>
        </w:rPr>
        <w:t>M</w:t>
      </w:r>
      <w:r w:rsidRPr="00414CD3">
        <w:rPr>
          <w:sz w:val="18"/>
          <w:szCs w:val="18"/>
        </w:rPr>
        <w:t>eeting on Transport, Health and Environment in April 2014,</w:t>
      </w:r>
      <w:r w:rsidR="00496AAE">
        <w:rPr>
          <w:sz w:val="18"/>
          <w:szCs w:val="18"/>
        </w:rPr>
        <w:t xml:space="preserve"> the</w:t>
      </w:r>
      <w:r w:rsidRPr="00414CD3">
        <w:rPr>
          <w:sz w:val="18"/>
          <w:szCs w:val="18"/>
        </w:rPr>
        <w:t xml:space="preserve"> twelfth meeting of THE PEP Steering Committee in November 2014 and the Kaunas </w:t>
      </w:r>
      <w:r w:rsidR="00496AAE">
        <w:rPr>
          <w:sz w:val="18"/>
          <w:szCs w:val="18"/>
        </w:rPr>
        <w:t xml:space="preserve">(Lithuania) </w:t>
      </w:r>
      <w:r w:rsidRPr="00414CD3">
        <w:rPr>
          <w:sz w:val="18"/>
          <w:szCs w:val="18"/>
        </w:rPr>
        <w:t>workshop in September 2014. The figure for the participating countries is lower than the target for 2014–2015 because the thirteenth meeting of THE PEP Steering Committee has yet to take place (scheduled for November 2015). Also, more participants are expected to register for the Irkutsk workshop.</w:t>
      </w:r>
    </w:p>
    <w:p w:rsidR="00414CD3" w:rsidRPr="00414CD3" w:rsidRDefault="00414CD3" w:rsidP="008439A5">
      <w:pPr>
        <w:pStyle w:val="SingleTxtG"/>
        <w:spacing w:after="0" w:line="220" w:lineRule="atLeast"/>
        <w:ind w:left="0" w:right="284" w:firstLine="170"/>
        <w:rPr>
          <w:sz w:val="18"/>
          <w:szCs w:val="18"/>
        </w:rPr>
      </w:pPr>
      <w:proofErr w:type="gramStart"/>
      <w:r w:rsidRPr="00414CD3">
        <w:rPr>
          <w:i/>
          <w:sz w:val="18"/>
          <w:szCs w:val="18"/>
          <w:vertAlign w:val="superscript"/>
        </w:rPr>
        <w:t>c</w:t>
      </w:r>
      <w:r>
        <w:rPr>
          <w:sz w:val="18"/>
          <w:szCs w:val="18"/>
        </w:rPr>
        <w:t xml:space="preserve">  </w:t>
      </w:r>
      <w:r w:rsidRPr="00414CD3">
        <w:rPr>
          <w:sz w:val="18"/>
          <w:szCs w:val="18"/>
        </w:rPr>
        <w:t>In</w:t>
      </w:r>
      <w:proofErr w:type="gramEnd"/>
      <w:r w:rsidRPr="00414CD3">
        <w:rPr>
          <w:sz w:val="18"/>
          <w:szCs w:val="18"/>
        </w:rPr>
        <w:t xml:space="preserve"> 2012</w:t>
      </w:r>
      <w:r w:rsidR="00FC7841">
        <w:rPr>
          <w:sz w:val="18"/>
          <w:szCs w:val="18"/>
        </w:rPr>
        <w:t>–</w:t>
      </w:r>
      <w:r w:rsidRPr="00414CD3">
        <w:rPr>
          <w:sz w:val="18"/>
          <w:szCs w:val="18"/>
        </w:rPr>
        <w:t xml:space="preserve">2013 no national implementation reports were due. The next reporting cycle was in 2014 for </w:t>
      </w:r>
      <w:r w:rsidR="00FC7841" w:rsidRPr="00414CD3">
        <w:rPr>
          <w:sz w:val="18"/>
          <w:szCs w:val="18"/>
        </w:rPr>
        <w:t xml:space="preserve">both </w:t>
      </w:r>
      <w:r w:rsidRPr="00414CD3">
        <w:rPr>
          <w:sz w:val="18"/>
          <w:szCs w:val="18"/>
        </w:rPr>
        <w:t>the Convention and the Protocol.</w:t>
      </w:r>
    </w:p>
    <w:p w:rsidR="00414CD3" w:rsidRPr="00414CD3" w:rsidRDefault="00414CD3" w:rsidP="009E7203">
      <w:pPr>
        <w:pStyle w:val="SingleTxtG"/>
        <w:spacing w:after="0" w:line="220" w:lineRule="atLeast"/>
        <w:ind w:left="0" w:right="284" w:firstLine="170"/>
        <w:rPr>
          <w:sz w:val="18"/>
          <w:szCs w:val="18"/>
        </w:rPr>
      </w:pPr>
      <w:proofErr w:type="gramStart"/>
      <w:r w:rsidRPr="009E7203">
        <w:rPr>
          <w:i/>
          <w:sz w:val="18"/>
          <w:szCs w:val="18"/>
          <w:vertAlign w:val="superscript"/>
        </w:rPr>
        <w:t>d</w:t>
      </w:r>
      <w:r w:rsidR="009E7203">
        <w:rPr>
          <w:sz w:val="18"/>
          <w:szCs w:val="18"/>
        </w:rPr>
        <w:t xml:space="preserve">  </w:t>
      </w:r>
      <w:r w:rsidRPr="00414CD3">
        <w:rPr>
          <w:sz w:val="18"/>
          <w:szCs w:val="18"/>
        </w:rPr>
        <w:t>Major</w:t>
      </w:r>
      <w:proofErr w:type="gramEnd"/>
      <w:r w:rsidRPr="00414CD3">
        <w:rPr>
          <w:sz w:val="18"/>
          <w:szCs w:val="18"/>
        </w:rPr>
        <w:t xml:space="preserve"> capacity-building activities include the work of the task forces under the Convention. Many capacity-building activities are implemented by partners in the region. </w:t>
      </w:r>
    </w:p>
    <w:p w:rsidR="00414CD3" w:rsidRPr="00414CD3" w:rsidRDefault="00414CD3" w:rsidP="009E7203">
      <w:pPr>
        <w:pStyle w:val="SingleTxtG"/>
        <w:spacing w:after="0" w:line="220" w:lineRule="atLeast"/>
        <w:ind w:left="0" w:right="284" w:firstLine="170"/>
        <w:rPr>
          <w:sz w:val="18"/>
          <w:szCs w:val="18"/>
        </w:rPr>
      </w:pPr>
      <w:proofErr w:type="gramStart"/>
      <w:r w:rsidRPr="009E7203">
        <w:rPr>
          <w:i/>
          <w:sz w:val="18"/>
          <w:szCs w:val="18"/>
          <w:vertAlign w:val="superscript"/>
        </w:rPr>
        <w:lastRenderedPageBreak/>
        <w:t>e</w:t>
      </w:r>
      <w:r w:rsidR="009E7203">
        <w:rPr>
          <w:sz w:val="18"/>
          <w:szCs w:val="18"/>
        </w:rPr>
        <w:t xml:space="preserve">  </w:t>
      </w:r>
      <w:r w:rsidR="00FC7841">
        <w:rPr>
          <w:sz w:val="18"/>
          <w:szCs w:val="18"/>
        </w:rPr>
        <w:t>The</w:t>
      </w:r>
      <w:proofErr w:type="gramEnd"/>
      <w:r w:rsidR="00FC7841">
        <w:rPr>
          <w:sz w:val="18"/>
          <w:szCs w:val="18"/>
        </w:rPr>
        <w:t xml:space="preserve"> n</w:t>
      </w:r>
      <w:r w:rsidRPr="00414CD3">
        <w:rPr>
          <w:sz w:val="18"/>
          <w:szCs w:val="18"/>
        </w:rPr>
        <w:t xml:space="preserve">umber is lower than </w:t>
      </w:r>
      <w:r w:rsidR="00FC7841">
        <w:rPr>
          <w:sz w:val="18"/>
          <w:szCs w:val="18"/>
        </w:rPr>
        <w:t xml:space="preserve">the </w:t>
      </w:r>
      <w:r w:rsidRPr="00414CD3">
        <w:rPr>
          <w:sz w:val="18"/>
          <w:szCs w:val="18"/>
        </w:rPr>
        <w:t>target because the major capacity</w:t>
      </w:r>
      <w:r w:rsidR="00FC7841">
        <w:rPr>
          <w:sz w:val="18"/>
          <w:szCs w:val="18"/>
        </w:rPr>
        <w:t>-</w:t>
      </w:r>
      <w:r w:rsidRPr="00414CD3">
        <w:rPr>
          <w:sz w:val="18"/>
          <w:szCs w:val="18"/>
        </w:rPr>
        <w:t xml:space="preserve">building event, </w:t>
      </w:r>
      <w:r w:rsidR="00FC7841">
        <w:rPr>
          <w:sz w:val="18"/>
          <w:szCs w:val="18"/>
        </w:rPr>
        <w:t xml:space="preserve">the </w:t>
      </w:r>
      <w:r w:rsidRPr="00414CD3">
        <w:rPr>
          <w:sz w:val="18"/>
          <w:szCs w:val="18"/>
        </w:rPr>
        <w:t>Global Round Table on PRTRs, is yet to take place in November 2015. It is expected that participants from non-Parties will also attend this meeting.</w:t>
      </w:r>
    </w:p>
    <w:p w:rsidR="009E7203" w:rsidRDefault="003D42C7" w:rsidP="009E7203">
      <w:pPr>
        <w:pStyle w:val="SingleTxtG"/>
        <w:spacing w:after="0" w:line="220" w:lineRule="exact"/>
        <w:ind w:left="0" w:right="284" w:firstLine="170"/>
        <w:jc w:val="left"/>
        <w:rPr>
          <w:sz w:val="18"/>
          <w:szCs w:val="18"/>
          <w:lang w:val="en-US"/>
        </w:rPr>
      </w:pPr>
      <w:proofErr w:type="gramStart"/>
      <w:r>
        <w:rPr>
          <w:i/>
          <w:sz w:val="18"/>
          <w:szCs w:val="18"/>
          <w:vertAlign w:val="superscript"/>
        </w:rPr>
        <w:t>f</w:t>
      </w:r>
      <w:r w:rsidR="009E7203">
        <w:rPr>
          <w:sz w:val="18"/>
          <w:szCs w:val="18"/>
          <w:lang w:val="en-US"/>
        </w:rPr>
        <w:t xml:space="preserve">  </w:t>
      </w:r>
      <w:r w:rsidR="00414CD3" w:rsidRPr="00414CD3">
        <w:rPr>
          <w:sz w:val="18"/>
          <w:szCs w:val="18"/>
          <w:lang w:val="en-US"/>
        </w:rPr>
        <w:t>New</w:t>
      </w:r>
      <w:proofErr w:type="gramEnd"/>
      <w:r w:rsidR="00414CD3" w:rsidRPr="00414CD3">
        <w:rPr>
          <w:sz w:val="18"/>
          <w:szCs w:val="18"/>
          <w:lang w:val="en-US"/>
        </w:rPr>
        <w:t xml:space="preserve"> indicator proposed for 2016–17 onwards.</w:t>
      </w:r>
    </w:p>
    <w:p w:rsidR="00E2735B" w:rsidRDefault="003D42C7" w:rsidP="009E7203">
      <w:pPr>
        <w:pStyle w:val="SingleTxtG"/>
        <w:spacing w:after="0" w:line="220" w:lineRule="exact"/>
        <w:ind w:left="0" w:right="284" w:firstLine="170"/>
        <w:jc w:val="left"/>
        <w:rPr>
          <w:sz w:val="18"/>
          <w:szCs w:val="18"/>
        </w:rPr>
      </w:pPr>
      <w:proofErr w:type="gramStart"/>
      <w:r>
        <w:rPr>
          <w:i/>
          <w:sz w:val="18"/>
          <w:szCs w:val="18"/>
          <w:vertAlign w:val="superscript"/>
        </w:rPr>
        <w:t>g</w:t>
      </w:r>
      <w:r w:rsidRPr="00713689">
        <w:rPr>
          <w:sz w:val="18"/>
          <w:szCs w:val="18"/>
        </w:rPr>
        <w:t xml:space="preserve"> </w:t>
      </w:r>
      <w:r>
        <w:rPr>
          <w:sz w:val="18"/>
          <w:szCs w:val="18"/>
        </w:rPr>
        <w:t xml:space="preserve"> </w:t>
      </w:r>
      <w:r w:rsidR="00E2735B" w:rsidRPr="00713689">
        <w:rPr>
          <w:sz w:val="18"/>
          <w:szCs w:val="18"/>
        </w:rPr>
        <w:t>The</w:t>
      </w:r>
      <w:proofErr w:type="gramEnd"/>
      <w:r w:rsidR="00E2735B" w:rsidRPr="00713689">
        <w:rPr>
          <w:sz w:val="18"/>
          <w:szCs w:val="18"/>
        </w:rPr>
        <w:t xml:space="preserve"> amendments to the Water Convention opening it to accession by all United Nations Member States came into force in February 2013 and are expected to become effective operationally at the end of 201</w:t>
      </w:r>
      <w:r w:rsidR="00FC7841">
        <w:rPr>
          <w:sz w:val="18"/>
          <w:szCs w:val="18"/>
        </w:rPr>
        <w:t>5</w:t>
      </w:r>
      <w:r w:rsidR="00E2735B" w:rsidRPr="00713689">
        <w:rPr>
          <w:sz w:val="18"/>
          <w:szCs w:val="18"/>
        </w:rPr>
        <w:t>, once all Parties that were Parties to the Convention when the amendments were adopted have ratified the amendments.</w:t>
      </w:r>
    </w:p>
    <w:p w:rsidR="009E7203" w:rsidRPr="00BC21A9" w:rsidRDefault="003D42C7" w:rsidP="009E7203">
      <w:pPr>
        <w:pStyle w:val="SingleTxtG"/>
        <w:spacing w:after="0" w:line="220" w:lineRule="exact"/>
        <w:ind w:left="0" w:right="284" w:firstLine="170"/>
        <w:jc w:val="left"/>
        <w:rPr>
          <w:sz w:val="18"/>
          <w:szCs w:val="18"/>
        </w:rPr>
      </w:pPr>
      <w:proofErr w:type="gramStart"/>
      <w:r>
        <w:rPr>
          <w:i/>
          <w:sz w:val="18"/>
          <w:szCs w:val="18"/>
          <w:vertAlign w:val="superscript"/>
        </w:rPr>
        <w:t xml:space="preserve">h  </w:t>
      </w:r>
      <w:r w:rsidR="009E7203" w:rsidRPr="00BC21A9">
        <w:rPr>
          <w:sz w:val="18"/>
          <w:szCs w:val="18"/>
        </w:rPr>
        <w:t>Ukraine</w:t>
      </w:r>
      <w:proofErr w:type="gramEnd"/>
      <w:r w:rsidR="009E7203" w:rsidRPr="00BC21A9">
        <w:rPr>
          <w:sz w:val="18"/>
          <w:szCs w:val="18"/>
        </w:rPr>
        <w:t xml:space="preserve"> still needs to ratify the amendments to articles 25 and 26 of the Convention for the opening to be operational.</w:t>
      </w:r>
    </w:p>
    <w:p w:rsidR="009E7203" w:rsidRDefault="003D42C7" w:rsidP="009E7203">
      <w:pPr>
        <w:pStyle w:val="SingleTxtG"/>
        <w:spacing w:after="0" w:line="220" w:lineRule="exact"/>
        <w:ind w:left="0" w:right="284" w:firstLine="170"/>
        <w:jc w:val="left"/>
        <w:rPr>
          <w:sz w:val="18"/>
        </w:rPr>
      </w:pPr>
      <w:proofErr w:type="spellStart"/>
      <w:proofErr w:type="gramStart"/>
      <w:r>
        <w:rPr>
          <w:i/>
          <w:vertAlign w:val="superscript"/>
        </w:rPr>
        <w:t>i</w:t>
      </w:r>
      <w:proofErr w:type="spellEnd"/>
      <w:r>
        <w:rPr>
          <w:vertAlign w:val="superscript"/>
        </w:rPr>
        <w:t xml:space="preserve">  </w:t>
      </w:r>
      <w:r w:rsidR="009E7203" w:rsidRPr="0097371B">
        <w:rPr>
          <w:sz w:val="18"/>
        </w:rPr>
        <w:t>This</w:t>
      </w:r>
      <w:proofErr w:type="gramEnd"/>
      <w:r w:rsidR="009E7203" w:rsidRPr="0097371B">
        <w:rPr>
          <w:sz w:val="18"/>
        </w:rPr>
        <w:t xml:space="preserve"> is based on data from the national implementation reports for the reporting round 2010–2011</w:t>
      </w:r>
      <w:r w:rsidR="004E5DAB">
        <w:rPr>
          <w:sz w:val="18"/>
        </w:rPr>
        <w:t>.</w:t>
      </w:r>
    </w:p>
    <w:p w:rsidR="004E5DAB" w:rsidRDefault="003D42C7" w:rsidP="009E7203">
      <w:pPr>
        <w:pStyle w:val="SingleTxtG"/>
        <w:spacing w:after="0" w:line="220" w:lineRule="exact"/>
        <w:ind w:left="0" w:right="284" w:firstLine="170"/>
        <w:jc w:val="left"/>
        <w:rPr>
          <w:sz w:val="18"/>
          <w:szCs w:val="18"/>
        </w:rPr>
      </w:pPr>
      <w:proofErr w:type="gramStart"/>
      <w:r>
        <w:rPr>
          <w:i/>
          <w:vertAlign w:val="superscript"/>
        </w:rPr>
        <w:t>j</w:t>
      </w:r>
      <w:r>
        <w:rPr>
          <w:vertAlign w:val="superscript"/>
        </w:rPr>
        <w:t xml:space="preserve">  </w:t>
      </w:r>
      <w:r w:rsidR="004E5DAB" w:rsidRPr="004E5DAB">
        <w:rPr>
          <w:sz w:val="18"/>
          <w:szCs w:val="18"/>
        </w:rPr>
        <w:t>Idem</w:t>
      </w:r>
      <w:proofErr w:type="gramEnd"/>
    </w:p>
    <w:p w:rsidR="004E5DAB" w:rsidRDefault="003D42C7" w:rsidP="009E7203">
      <w:pPr>
        <w:pStyle w:val="SingleTxtG"/>
        <w:spacing w:after="0" w:line="220" w:lineRule="exact"/>
        <w:ind w:left="0" w:right="284" w:firstLine="170"/>
        <w:jc w:val="left"/>
        <w:rPr>
          <w:sz w:val="18"/>
        </w:rPr>
      </w:pPr>
      <w:proofErr w:type="gramStart"/>
      <w:r>
        <w:rPr>
          <w:i/>
          <w:sz w:val="18"/>
          <w:szCs w:val="18"/>
          <w:vertAlign w:val="superscript"/>
        </w:rPr>
        <w:t>k</w:t>
      </w:r>
      <w:r>
        <w:rPr>
          <w:sz w:val="18"/>
          <w:szCs w:val="18"/>
        </w:rPr>
        <w:t xml:space="preserve">  </w:t>
      </w:r>
      <w:r w:rsidR="004E5DAB" w:rsidRPr="0097371B">
        <w:rPr>
          <w:sz w:val="18"/>
        </w:rPr>
        <w:t>Training</w:t>
      </w:r>
      <w:proofErr w:type="gramEnd"/>
      <w:r w:rsidR="004E5DAB" w:rsidRPr="0097371B">
        <w:rPr>
          <w:sz w:val="18"/>
        </w:rPr>
        <w:t xml:space="preserve"> on the implementation of the Industrial Accidents Notification system was implemented through an online consultation.</w:t>
      </w:r>
    </w:p>
    <w:p w:rsidR="004E5DAB" w:rsidRDefault="003D42C7" w:rsidP="009E7203">
      <w:pPr>
        <w:pStyle w:val="SingleTxtG"/>
        <w:spacing w:after="0" w:line="220" w:lineRule="exact"/>
        <w:ind w:left="0" w:right="284" w:firstLine="170"/>
        <w:jc w:val="left"/>
        <w:rPr>
          <w:sz w:val="18"/>
        </w:rPr>
      </w:pPr>
      <w:proofErr w:type="gramStart"/>
      <w:r>
        <w:rPr>
          <w:i/>
          <w:sz w:val="18"/>
          <w:vertAlign w:val="superscript"/>
        </w:rPr>
        <w:t>l</w:t>
      </w:r>
      <w:r w:rsidRPr="004E5DAB">
        <w:rPr>
          <w:i/>
          <w:sz w:val="18"/>
          <w:vertAlign w:val="superscript"/>
        </w:rPr>
        <w:t xml:space="preserve">  </w:t>
      </w:r>
      <w:r w:rsidR="004E5DAB" w:rsidRPr="0097371B">
        <w:rPr>
          <w:sz w:val="18"/>
        </w:rPr>
        <w:t>This</w:t>
      </w:r>
      <w:proofErr w:type="gramEnd"/>
      <w:r w:rsidR="004E5DAB" w:rsidRPr="0097371B">
        <w:rPr>
          <w:sz w:val="18"/>
        </w:rPr>
        <w:t xml:space="preserve"> is based on data from the national implementation reports for the reporting round 2012</w:t>
      </w:r>
      <w:r w:rsidR="00FC7841">
        <w:rPr>
          <w:sz w:val="18"/>
        </w:rPr>
        <w:t>–</w:t>
      </w:r>
      <w:r w:rsidR="004E5DAB" w:rsidRPr="0097371B">
        <w:rPr>
          <w:sz w:val="18"/>
        </w:rPr>
        <w:t>2013 submitted in 2014.</w:t>
      </w:r>
    </w:p>
    <w:p w:rsidR="004E5DAB" w:rsidRDefault="003D42C7" w:rsidP="009E7203">
      <w:pPr>
        <w:pStyle w:val="SingleTxtG"/>
        <w:spacing w:after="0" w:line="220" w:lineRule="exact"/>
        <w:ind w:left="0" w:right="284" w:firstLine="170"/>
        <w:jc w:val="left"/>
        <w:rPr>
          <w:sz w:val="18"/>
          <w:szCs w:val="18"/>
        </w:rPr>
      </w:pPr>
      <w:proofErr w:type="gramStart"/>
      <w:r>
        <w:rPr>
          <w:i/>
          <w:sz w:val="18"/>
          <w:szCs w:val="18"/>
          <w:vertAlign w:val="superscript"/>
        </w:rPr>
        <w:t>m</w:t>
      </w:r>
      <w:r w:rsidRPr="004E5DAB">
        <w:rPr>
          <w:sz w:val="18"/>
          <w:szCs w:val="18"/>
        </w:rPr>
        <w:t xml:space="preserve">  </w:t>
      </w:r>
      <w:r w:rsidR="004E5DAB" w:rsidRPr="004E5DAB">
        <w:rPr>
          <w:sz w:val="18"/>
          <w:szCs w:val="18"/>
        </w:rPr>
        <w:t>Idem</w:t>
      </w:r>
      <w:proofErr w:type="gramEnd"/>
      <w:r w:rsidR="004E5DAB" w:rsidRPr="004E5DAB">
        <w:rPr>
          <w:sz w:val="18"/>
          <w:szCs w:val="18"/>
        </w:rPr>
        <w:t>.</w:t>
      </w:r>
    </w:p>
    <w:p w:rsidR="004E5DAB" w:rsidRPr="004E5DAB" w:rsidRDefault="003D42C7" w:rsidP="009E7203">
      <w:pPr>
        <w:pStyle w:val="SingleTxtG"/>
        <w:spacing w:after="0" w:line="220" w:lineRule="exact"/>
        <w:ind w:left="0" w:right="284" w:firstLine="170"/>
        <w:jc w:val="left"/>
        <w:rPr>
          <w:i/>
          <w:sz w:val="18"/>
          <w:szCs w:val="18"/>
          <w:vertAlign w:val="superscript"/>
        </w:rPr>
      </w:pPr>
      <w:proofErr w:type="gramStart"/>
      <w:r>
        <w:rPr>
          <w:i/>
          <w:sz w:val="18"/>
          <w:szCs w:val="18"/>
          <w:vertAlign w:val="superscript"/>
        </w:rPr>
        <w:t>n</w:t>
      </w:r>
      <w:r>
        <w:rPr>
          <w:sz w:val="18"/>
          <w:szCs w:val="18"/>
        </w:rPr>
        <w:t xml:space="preserve">  </w:t>
      </w:r>
      <w:r w:rsidR="004E5DAB" w:rsidRPr="004E5DAB">
        <w:rPr>
          <w:sz w:val="18"/>
          <w:szCs w:val="18"/>
        </w:rPr>
        <w:t>Training</w:t>
      </w:r>
      <w:proofErr w:type="gramEnd"/>
      <w:r w:rsidR="004E5DAB" w:rsidRPr="004E5DAB">
        <w:rPr>
          <w:sz w:val="18"/>
          <w:szCs w:val="18"/>
        </w:rPr>
        <w:t xml:space="preserve"> on the implementation of the Industrial Accidents Notification system was implemented through an online consultation</w:t>
      </w:r>
      <w:r w:rsidR="004E5DAB">
        <w:rPr>
          <w:sz w:val="18"/>
          <w:szCs w:val="18"/>
        </w:rPr>
        <w:t>.</w:t>
      </w:r>
    </w:p>
    <w:p w:rsidR="00204519" w:rsidRPr="00713689" w:rsidRDefault="00204519" w:rsidP="00306177">
      <w:pPr>
        <w:pStyle w:val="SingleTxtG"/>
        <w:spacing w:before="240" w:after="0" w:line="240" w:lineRule="auto"/>
        <w:ind w:right="1140"/>
        <w:jc w:val="center"/>
        <w:rPr>
          <w:u w:val="single"/>
        </w:rPr>
      </w:pPr>
      <w:r w:rsidRPr="00713689">
        <w:rPr>
          <w:u w:val="single"/>
        </w:rPr>
        <w:tab/>
      </w:r>
      <w:r w:rsidRPr="00713689">
        <w:rPr>
          <w:u w:val="single"/>
        </w:rPr>
        <w:tab/>
      </w:r>
      <w:r w:rsidRPr="00713689">
        <w:rPr>
          <w:u w:val="single"/>
        </w:rPr>
        <w:tab/>
      </w:r>
    </w:p>
    <w:sectPr w:rsidR="00204519" w:rsidRPr="00713689" w:rsidSect="006B1CB1">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4D8" w:rsidRDefault="00DB34D8"/>
  </w:endnote>
  <w:endnote w:type="continuationSeparator" w:id="0">
    <w:p w:rsidR="00DB34D8" w:rsidRDefault="00DB34D8"/>
  </w:endnote>
  <w:endnote w:type="continuationNotice" w:id="1">
    <w:p w:rsidR="00DB34D8" w:rsidRDefault="00DB34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6E" w:rsidRPr="009146C3" w:rsidRDefault="00485B6E" w:rsidP="009146C3">
    <w:pPr>
      <w:pStyle w:val="Footer"/>
      <w:tabs>
        <w:tab w:val="right" w:pos="9638"/>
      </w:tabs>
      <w:rPr>
        <w:sz w:val="18"/>
      </w:rPr>
    </w:pPr>
    <w:r w:rsidRPr="009146C3">
      <w:rPr>
        <w:b/>
        <w:sz w:val="18"/>
      </w:rPr>
      <w:fldChar w:fldCharType="begin"/>
    </w:r>
    <w:r w:rsidRPr="009146C3">
      <w:rPr>
        <w:b/>
        <w:sz w:val="18"/>
      </w:rPr>
      <w:instrText xml:space="preserve"> PAGE  \* MERGEFORMAT </w:instrText>
    </w:r>
    <w:r w:rsidRPr="009146C3">
      <w:rPr>
        <w:b/>
        <w:sz w:val="18"/>
      </w:rPr>
      <w:fldChar w:fldCharType="separate"/>
    </w:r>
    <w:r w:rsidR="00EA19EC">
      <w:rPr>
        <w:b/>
        <w:noProof/>
        <w:sz w:val="18"/>
      </w:rPr>
      <w:t>10</w:t>
    </w:r>
    <w:r w:rsidRPr="009146C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6E" w:rsidRPr="009146C3" w:rsidRDefault="00485B6E" w:rsidP="009146C3">
    <w:pPr>
      <w:pStyle w:val="Footer"/>
      <w:tabs>
        <w:tab w:val="right" w:pos="9638"/>
      </w:tabs>
      <w:rPr>
        <w:b/>
        <w:sz w:val="18"/>
      </w:rPr>
    </w:pPr>
    <w:r>
      <w:tab/>
    </w:r>
    <w:r w:rsidRPr="009146C3">
      <w:rPr>
        <w:b/>
        <w:sz w:val="18"/>
      </w:rPr>
      <w:fldChar w:fldCharType="begin"/>
    </w:r>
    <w:r w:rsidRPr="009146C3">
      <w:rPr>
        <w:b/>
        <w:sz w:val="18"/>
      </w:rPr>
      <w:instrText xml:space="preserve"> PAGE  \* MERGEFORMAT </w:instrText>
    </w:r>
    <w:r w:rsidRPr="009146C3">
      <w:rPr>
        <w:b/>
        <w:sz w:val="18"/>
      </w:rPr>
      <w:fldChar w:fldCharType="separate"/>
    </w:r>
    <w:r w:rsidR="00EA19EC">
      <w:rPr>
        <w:b/>
        <w:noProof/>
        <w:sz w:val="18"/>
      </w:rPr>
      <w:t>9</w:t>
    </w:r>
    <w:r w:rsidRPr="009146C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6B1CB1" w:rsidTr="006B1CB1">
      <w:tc>
        <w:tcPr>
          <w:tcW w:w="3614" w:type="dxa"/>
          <w:shd w:val="clear" w:color="auto" w:fill="auto"/>
        </w:tcPr>
        <w:p w:rsidR="006B1CB1" w:rsidRDefault="006B1CB1" w:rsidP="006B1CB1">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4" name="Picture 4" descr="http://undocs.org/m2/QRCode2.ashx?DS=ECE/CEP/2015/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CEP/2015/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GE.15-13999(E)</w:t>
          </w:r>
        </w:p>
        <w:p w:rsidR="006B1CB1" w:rsidRPr="006B1CB1" w:rsidRDefault="006B1CB1" w:rsidP="006B1CB1">
          <w:pPr>
            <w:pStyle w:val="Footer"/>
            <w:rPr>
              <w:rFonts w:ascii="Barcode 3 of 9 by request" w:hAnsi="Barcode 3 of 9 by request"/>
              <w:sz w:val="24"/>
            </w:rPr>
          </w:pPr>
          <w:r>
            <w:rPr>
              <w:rFonts w:ascii="Barcode 3 of 9 by request" w:hAnsi="Barcode 3 of 9 by request"/>
              <w:sz w:val="24"/>
            </w:rPr>
            <w:t>*1513999*</w:t>
          </w:r>
        </w:p>
      </w:tc>
      <w:tc>
        <w:tcPr>
          <w:tcW w:w="4752" w:type="dxa"/>
          <w:shd w:val="clear" w:color="auto" w:fill="auto"/>
        </w:tcPr>
        <w:p w:rsidR="006B1CB1" w:rsidRDefault="006B1CB1" w:rsidP="006B1CB1">
          <w:pPr>
            <w:pStyle w:val="Footer"/>
            <w:spacing w:line="240" w:lineRule="atLeast"/>
            <w:jc w:val="right"/>
            <w:rPr>
              <w:sz w:val="20"/>
            </w:rPr>
          </w:pPr>
          <w:r>
            <w:rPr>
              <w:noProof/>
              <w:sz w:val="20"/>
              <w:lang w:eastAsia="en-GB"/>
            </w:rPr>
            <w:drawing>
              <wp:inline distT="0" distB="0" distL="0" distR="0">
                <wp:extent cx="929642" cy="231648"/>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6B1CB1" w:rsidRPr="006B1CB1" w:rsidRDefault="006B1CB1" w:rsidP="006B1CB1">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4D8" w:rsidRPr="000B175B" w:rsidRDefault="00DB34D8" w:rsidP="000B175B">
      <w:pPr>
        <w:tabs>
          <w:tab w:val="right" w:pos="2155"/>
        </w:tabs>
        <w:spacing w:after="80"/>
        <w:ind w:left="680"/>
        <w:rPr>
          <w:u w:val="single"/>
        </w:rPr>
      </w:pPr>
      <w:r>
        <w:rPr>
          <w:u w:val="single"/>
        </w:rPr>
        <w:tab/>
      </w:r>
    </w:p>
  </w:footnote>
  <w:footnote w:type="continuationSeparator" w:id="0">
    <w:p w:rsidR="00DB34D8" w:rsidRPr="00FC68B7" w:rsidRDefault="00DB34D8" w:rsidP="00FC68B7">
      <w:pPr>
        <w:tabs>
          <w:tab w:val="left" w:pos="2155"/>
        </w:tabs>
        <w:spacing w:after="80"/>
        <w:ind w:left="680"/>
        <w:rPr>
          <w:u w:val="single"/>
        </w:rPr>
      </w:pPr>
      <w:r>
        <w:rPr>
          <w:u w:val="single"/>
        </w:rPr>
        <w:tab/>
      </w:r>
    </w:p>
  </w:footnote>
  <w:footnote w:type="continuationNotice" w:id="1">
    <w:p w:rsidR="00DB34D8" w:rsidRDefault="00DB34D8"/>
  </w:footnote>
  <w:footnote w:id="2">
    <w:p w:rsidR="00F61603" w:rsidRPr="00F61603" w:rsidRDefault="00F61603">
      <w:pPr>
        <w:pStyle w:val="FootnoteText"/>
      </w:pPr>
      <w:r>
        <w:rPr>
          <w:rStyle w:val="FootnoteReference"/>
        </w:rPr>
        <w:tab/>
      </w:r>
      <w:r w:rsidRPr="00F61603">
        <w:rPr>
          <w:rStyle w:val="FootnoteReference"/>
          <w:sz w:val="20"/>
          <w:vertAlign w:val="baseline"/>
        </w:rPr>
        <w:t>*</w:t>
      </w:r>
      <w:r>
        <w:rPr>
          <w:rStyle w:val="FootnoteReference"/>
          <w:sz w:val="20"/>
          <w:vertAlign w:val="baseline"/>
        </w:rPr>
        <w:tab/>
      </w:r>
      <w:r>
        <w:t>This document was not formally edited.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6E" w:rsidRPr="009146C3" w:rsidRDefault="00B712C4">
    <w:pPr>
      <w:pStyle w:val="Header"/>
    </w:pPr>
    <w:r>
      <w:t>ECE/CEP/2015</w:t>
    </w:r>
    <w:r w:rsidR="00485B6E">
      <w:t>/</w:t>
    </w:r>
    <w: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6E" w:rsidRPr="009146C3" w:rsidRDefault="00B712C4" w:rsidP="009146C3">
    <w:pPr>
      <w:pStyle w:val="Header"/>
      <w:jc w:val="right"/>
    </w:pPr>
    <w:r>
      <w:t>ECE/CEP/2015</w:t>
    </w:r>
    <w:r w:rsidR="00485B6E">
      <w:t>/</w:t>
    </w:r>
    <w: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A93681B"/>
    <w:multiLevelType w:val="hybridMultilevel"/>
    <w:tmpl w:val="6128D14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2">
    <w:nsid w:val="0D885E7B"/>
    <w:multiLevelType w:val="hybridMultilevel"/>
    <w:tmpl w:val="DBB07E76"/>
    <w:lvl w:ilvl="0" w:tplc="04090001">
      <w:start w:val="1"/>
      <w:numFmt w:val="bullet"/>
      <w:lvlText w:val=""/>
      <w:lvlJc w:val="left"/>
      <w:pPr>
        <w:tabs>
          <w:tab w:val="num" w:pos="2060"/>
        </w:tabs>
        <w:ind w:left="2060" w:hanging="360"/>
      </w:pPr>
      <w:rPr>
        <w:rFonts w:ascii="Symbol" w:hAnsi="Symbol" w:hint="default"/>
      </w:rPr>
    </w:lvl>
    <w:lvl w:ilvl="1" w:tplc="04090003" w:tentative="1">
      <w:start w:val="1"/>
      <w:numFmt w:val="bullet"/>
      <w:lvlText w:val="o"/>
      <w:lvlJc w:val="left"/>
      <w:pPr>
        <w:tabs>
          <w:tab w:val="num" w:pos="2780"/>
        </w:tabs>
        <w:ind w:left="2780" w:hanging="360"/>
      </w:pPr>
      <w:rPr>
        <w:rFonts w:ascii="Courier New" w:hAnsi="Courier New" w:cs="Courier New" w:hint="default"/>
      </w:rPr>
    </w:lvl>
    <w:lvl w:ilvl="2" w:tplc="04090005" w:tentative="1">
      <w:start w:val="1"/>
      <w:numFmt w:val="bullet"/>
      <w:lvlText w:val=""/>
      <w:lvlJc w:val="left"/>
      <w:pPr>
        <w:tabs>
          <w:tab w:val="num" w:pos="3500"/>
        </w:tabs>
        <w:ind w:left="3500" w:hanging="360"/>
      </w:pPr>
      <w:rPr>
        <w:rFonts w:ascii="Wingdings" w:hAnsi="Wingdings" w:hint="default"/>
      </w:rPr>
    </w:lvl>
    <w:lvl w:ilvl="3" w:tplc="04090001" w:tentative="1">
      <w:start w:val="1"/>
      <w:numFmt w:val="bullet"/>
      <w:lvlText w:val=""/>
      <w:lvlJc w:val="left"/>
      <w:pPr>
        <w:tabs>
          <w:tab w:val="num" w:pos="4220"/>
        </w:tabs>
        <w:ind w:left="4220" w:hanging="360"/>
      </w:pPr>
      <w:rPr>
        <w:rFonts w:ascii="Symbol" w:hAnsi="Symbol" w:hint="default"/>
      </w:rPr>
    </w:lvl>
    <w:lvl w:ilvl="4" w:tplc="04090003" w:tentative="1">
      <w:start w:val="1"/>
      <w:numFmt w:val="bullet"/>
      <w:lvlText w:val="o"/>
      <w:lvlJc w:val="left"/>
      <w:pPr>
        <w:tabs>
          <w:tab w:val="num" w:pos="4940"/>
        </w:tabs>
        <w:ind w:left="4940" w:hanging="360"/>
      </w:pPr>
      <w:rPr>
        <w:rFonts w:ascii="Courier New" w:hAnsi="Courier New" w:cs="Courier New" w:hint="default"/>
      </w:rPr>
    </w:lvl>
    <w:lvl w:ilvl="5" w:tplc="04090005" w:tentative="1">
      <w:start w:val="1"/>
      <w:numFmt w:val="bullet"/>
      <w:lvlText w:val=""/>
      <w:lvlJc w:val="left"/>
      <w:pPr>
        <w:tabs>
          <w:tab w:val="num" w:pos="5660"/>
        </w:tabs>
        <w:ind w:left="5660" w:hanging="360"/>
      </w:pPr>
      <w:rPr>
        <w:rFonts w:ascii="Wingdings" w:hAnsi="Wingdings" w:hint="default"/>
      </w:rPr>
    </w:lvl>
    <w:lvl w:ilvl="6" w:tplc="04090001" w:tentative="1">
      <w:start w:val="1"/>
      <w:numFmt w:val="bullet"/>
      <w:lvlText w:val=""/>
      <w:lvlJc w:val="left"/>
      <w:pPr>
        <w:tabs>
          <w:tab w:val="num" w:pos="6380"/>
        </w:tabs>
        <w:ind w:left="6380" w:hanging="360"/>
      </w:pPr>
      <w:rPr>
        <w:rFonts w:ascii="Symbol" w:hAnsi="Symbol" w:hint="default"/>
      </w:rPr>
    </w:lvl>
    <w:lvl w:ilvl="7" w:tplc="04090003" w:tentative="1">
      <w:start w:val="1"/>
      <w:numFmt w:val="bullet"/>
      <w:lvlText w:val="o"/>
      <w:lvlJc w:val="left"/>
      <w:pPr>
        <w:tabs>
          <w:tab w:val="num" w:pos="7100"/>
        </w:tabs>
        <w:ind w:left="7100" w:hanging="360"/>
      </w:pPr>
      <w:rPr>
        <w:rFonts w:ascii="Courier New" w:hAnsi="Courier New" w:cs="Courier New" w:hint="default"/>
      </w:rPr>
    </w:lvl>
    <w:lvl w:ilvl="8" w:tplc="04090005" w:tentative="1">
      <w:start w:val="1"/>
      <w:numFmt w:val="bullet"/>
      <w:lvlText w:val=""/>
      <w:lvlJc w:val="left"/>
      <w:pPr>
        <w:tabs>
          <w:tab w:val="num" w:pos="7820"/>
        </w:tabs>
        <w:ind w:left="7820" w:hanging="360"/>
      </w:pPr>
      <w:rPr>
        <w:rFonts w:ascii="Wingdings" w:hAnsi="Wingdings" w:hint="default"/>
      </w:rPr>
    </w:lvl>
  </w:abstractNum>
  <w:abstractNum w:abstractNumId="13">
    <w:nsid w:val="0D8B320B"/>
    <w:multiLevelType w:val="hybridMultilevel"/>
    <w:tmpl w:val="1A4650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12275DE"/>
    <w:multiLevelType w:val="hybridMultilevel"/>
    <w:tmpl w:val="52AE733C"/>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5">
    <w:nsid w:val="117C7D65"/>
    <w:multiLevelType w:val="hybridMultilevel"/>
    <w:tmpl w:val="D870DD06"/>
    <w:lvl w:ilvl="0" w:tplc="04090005">
      <w:start w:val="1"/>
      <w:numFmt w:val="bullet"/>
      <w:lvlText w:val=""/>
      <w:lvlJc w:val="left"/>
      <w:pPr>
        <w:tabs>
          <w:tab w:val="num" w:pos="2061"/>
        </w:tabs>
        <w:ind w:left="2061" w:hanging="360"/>
      </w:pPr>
      <w:rPr>
        <w:rFonts w:ascii="Wingdings" w:hAnsi="Wingdings"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6">
    <w:nsid w:val="1B943AD0"/>
    <w:multiLevelType w:val="hybridMultilevel"/>
    <w:tmpl w:val="D228E118"/>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7">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F330DF5"/>
    <w:multiLevelType w:val="multilevel"/>
    <w:tmpl w:val="52AE733C"/>
    <w:lvl w:ilvl="0">
      <w:start w:val="1"/>
      <w:numFmt w:val="bullet"/>
      <w:lvlText w:val=""/>
      <w:lvlJc w:val="left"/>
      <w:pPr>
        <w:tabs>
          <w:tab w:val="num" w:pos="1854"/>
        </w:tabs>
        <w:ind w:left="1854" w:hanging="360"/>
      </w:pPr>
      <w:rPr>
        <w:rFonts w:ascii="Symbol" w:hAnsi="Symbo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2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4EE5F61"/>
    <w:multiLevelType w:val="hybridMultilevel"/>
    <w:tmpl w:val="CCBAA88C"/>
    <w:lvl w:ilvl="0" w:tplc="04090005">
      <w:start w:val="1"/>
      <w:numFmt w:val="bullet"/>
      <w:lvlText w:val=""/>
      <w:lvlJc w:val="left"/>
      <w:pPr>
        <w:tabs>
          <w:tab w:val="num" w:pos="1854"/>
        </w:tabs>
        <w:ind w:left="1854" w:hanging="360"/>
      </w:pPr>
      <w:rPr>
        <w:rFonts w:ascii="Wingdings" w:hAnsi="Wingdings"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3">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CDD017A"/>
    <w:multiLevelType w:val="hybridMultilevel"/>
    <w:tmpl w:val="C7DE439E"/>
    <w:lvl w:ilvl="0" w:tplc="04090001">
      <w:start w:val="1"/>
      <w:numFmt w:val="bullet"/>
      <w:lvlText w:val=""/>
      <w:lvlJc w:val="left"/>
      <w:pPr>
        <w:tabs>
          <w:tab w:val="num" w:pos="2060"/>
        </w:tabs>
        <w:ind w:left="2060" w:hanging="360"/>
      </w:pPr>
      <w:rPr>
        <w:rFonts w:ascii="Symbol" w:hAnsi="Symbol" w:hint="default"/>
      </w:rPr>
    </w:lvl>
    <w:lvl w:ilvl="1" w:tplc="04090003" w:tentative="1">
      <w:start w:val="1"/>
      <w:numFmt w:val="bullet"/>
      <w:lvlText w:val="o"/>
      <w:lvlJc w:val="left"/>
      <w:pPr>
        <w:tabs>
          <w:tab w:val="num" w:pos="2780"/>
        </w:tabs>
        <w:ind w:left="2780" w:hanging="360"/>
      </w:pPr>
      <w:rPr>
        <w:rFonts w:ascii="Courier New" w:hAnsi="Courier New" w:cs="Courier New" w:hint="default"/>
      </w:rPr>
    </w:lvl>
    <w:lvl w:ilvl="2" w:tplc="04090005" w:tentative="1">
      <w:start w:val="1"/>
      <w:numFmt w:val="bullet"/>
      <w:lvlText w:val=""/>
      <w:lvlJc w:val="left"/>
      <w:pPr>
        <w:tabs>
          <w:tab w:val="num" w:pos="3500"/>
        </w:tabs>
        <w:ind w:left="3500" w:hanging="360"/>
      </w:pPr>
      <w:rPr>
        <w:rFonts w:ascii="Wingdings" w:hAnsi="Wingdings" w:hint="default"/>
      </w:rPr>
    </w:lvl>
    <w:lvl w:ilvl="3" w:tplc="04090001" w:tentative="1">
      <w:start w:val="1"/>
      <w:numFmt w:val="bullet"/>
      <w:lvlText w:val=""/>
      <w:lvlJc w:val="left"/>
      <w:pPr>
        <w:tabs>
          <w:tab w:val="num" w:pos="4220"/>
        </w:tabs>
        <w:ind w:left="4220" w:hanging="360"/>
      </w:pPr>
      <w:rPr>
        <w:rFonts w:ascii="Symbol" w:hAnsi="Symbol" w:hint="default"/>
      </w:rPr>
    </w:lvl>
    <w:lvl w:ilvl="4" w:tplc="04090003" w:tentative="1">
      <w:start w:val="1"/>
      <w:numFmt w:val="bullet"/>
      <w:lvlText w:val="o"/>
      <w:lvlJc w:val="left"/>
      <w:pPr>
        <w:tabs>
          <w:tab w:val="num" w:pos="4940"/>
        </w:tabs>
        <w:ind w:left="4940" w:hanging="360"/>
      </w:pPr>
      <w:rPr>
        <w:rFonts w:ascii="Courier New" w:hAnsi="Courier New" w:cs="Courier New" w:hint="default"/>
      </w:rPr>
    </w:lvl>
    <w:lvl w:ilvl="5" w:tplc="04090005" w:tentative="1">
      <w:start w:val="1"/>
      <w:numFmt w:val="bullet"/>
      <w:lvlText w:val=""/>
      <w:lvlJc w:val="left"/>
      <w:pPr>
        <w:tabs>
          <w:tab w:val="num" w:pos="5660"/>
        </w:tabs>
        <w:ind w:left="5660" w:hanging="360"/>
      </w:pPr>
      <w:rPr>
        <w:rFonts w:ascii="Wingdings" w:hAnsi="Wingdings" w:hint="default"/>
      </w:rPr>
    </w:lvl>
    <w:lvl w:ilvl="6" w:tplc="04090001" w:tentative="1">
      <w:start w:val="1"/>
      <w:numFmt w:val="bullet"/>
      <w:lvlText w:val=""/>
      <w:lvlJc w:val="left"/>
      <w:pPr>
        <w:tabs>
          <w:tab w:val="num" w:pos="6380"/>
        </w:tabs>
        <w:ind w:left="6380" w:hanging="360"/>
      </w:pPr>
      <w:rPr>
        <w:rFonts w:ascii="Symbol" w:hAnsi="Symbol" w:hint="default"/>
      </w:rPr>
    </w:lvl>
    <w:lvl w:ilvl="7" w:tplc="04090003" w:tentative="1">
      <w:start w:val="1"/>
      <w:numFmt w:val="bullet"/>
      <w:lvlText w:val="o"/>
      <w:lvlJc w:val="left"/>
      <w:pPr>
        <w:tabs>
          <w:tab w:val="num" w:pos="7100"/>
        </w:tabs>
        <w:ind w:left="7100" w:hanging="360"/>
      </w:pPr>
      <w:rPr>
        <w:rFonts w:ascii="Courier New" w:hAnsi="Courier New" w:cs="Courier New" w:hint="default"/>
      </w:rPr>
    </w:lvl>
    <w:lvl w:ilvl="8" w:tplc="04090005" w:tentative="1">
      <w:start w:val="1"/>
      <w:numFmt w:val="bullet"/>
      <w:lvlText w:val=""/>
      <w:lvlJc w:val="left"/>
      <w:pPr>
        <w:tabs>
          <w:tab w:val="num" w:pos="7820"/>
        </w:tabs>
        <w:ind w:left="7820" w:hanging="360"/>
      </w:pPr>
      <w:rPr>
        <w:rFonts w:ascii="Wingdings" w:hAnsi="Wingdings" w:hint="default"/>
      </w:rPr>
    </w:lvl>
  </w:abstractNum>
  <w:abstractNum w:abstractNumId="2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D1863AA"/>
    <w:multiLevelType w:val="hybridMultilevel"/>
    <w:tmpl w:val="FF4CCAA2"/>
    <w:lvl w:ilvl="0" w:tplc="3402AB6A">
      <w:start w:val="3"/>
      <w:numFmt w:val="decimal"/>
      <w:lvlText w:val="%1."/>
      <w:lvlJc w:val="left"/>
      <w:pPr>
        <w:tabs>
          <w:tab w:val="num" w:pos="1140"/>
        </w:tabs>
        <w:ind w:left="1140" w:hanging="435"/>
      </w:pPr>
      <w:rPr>
        <w:rFonts w:hint="default"/>
      </w:rPr>
    </w:lvl>
    <w:lvl w:ilvl="1" w:tplc="B6DE0140">
      <w:numFmt w:val="none"/>
      <w:lvlText w:val=""/>
      <w:lvlJc w:val="left"/>
      <w:pPr>
        <w:tabs>
          <w:tab w:val="num" w:pos="360"/>
        </w:tabs>
      </w:pPr>
    </w:lvl>
    <w:lvl w:ilvl="2" w:tplc="65C00BD8">
      <w:numFmt w:val="none"/>
      <w:lvlText w:val=""/>
      <w:lvlJc w:val="left"/>
      <w:pPr>
        <w:tabs>
          <w:tab w:val="num" w:pos="360"/>
        </w:tabs>
      </w:pPr>
    </w:lvl>
    <w:lvl w:ilvl="3" w:tplc="CBD684A6">
      <w:numFmt w:val="none"/>
      <w:lvlText w:val=""/>
      <w:lvlJc w:val="left"/>
      <w:pPr>
        <w:tabs>
          <w:tab w:val="num" w:pos="360"/>
        </w:tabs>
      </w:pPr>
    </w:lvl>
    <w:lvl w:ilvl="4" w:tplc="6888BDE0">
      <w:numFmt w:val="none"/>
      <w:lvlText w:val=""/>
      <w:lvlJc w:val="left"/>
      <w:pPr>
        <w:tabs>
          <w:tab w:val="num" w:pos="360"/>
        </w:tabs>
      </w:pPr>
    </w:lvl>
    <w:lvl w:ilvl="5" w:tplc="E92CEDD8">
      <w:numFmt w:val="none"/>
      <w:lvlText w:val=""/>
      <w:lvlJc w:val="left"/>
      <w:pPr>
        <w:tabs>
          <w:tab w:val="num" w:pos="360"/>
        </w:tabs>
      </w:pPr>
    </w:lvl>
    <w:lvl w:ilvl="6" w:tplc="265E6D34">
      <w:numFmt w:val="none"/>
      <w:lvlText w:val=""/>
      <w:lvlJc w:val="left"/>
      <w:pPr>
        <w:tabs>
          <w:tab w:val="num" w:pos="360"/>
        </w:tabs>
      </w:pPr>
    </w:lvl>
    <w:lvl w:ilvl="7" w:tplc="CC6CFCD8">
      <w:numFmt w:val="none"/>
      <w:lvlText w:val=""/>
      <w:lvlJc w:val="left"/>
      <w:pPr>
        <w:tabs>
          <w:tab w:val="num" w:pos="360"/>
        </w:tabs>
      </w:pPr>
    </w:lvl>
    <w:lvl w:ilvl="8" w:tplc="B3101A64">
      <w:numFmt w:val="none"/>
      <w:lvlText w:val=""/>
      <w:lvlJc w:val="left"/>
      <w:pPr>
        <w:tabs>
          <w:tab w:val="num" w:pos="360"/>
        </w:tabs>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9"/>
  </w:num>
  <w:num w:numId="13">
    <w:abstractNumId w:val="10"/>
  </w:num>
  <w:num w:numId="14">
    <w:abstractNumId w:val="17"/>
  </w:num>
  <w:num w:numId="15">
    <w:abstractNumId w:val="23"/>
  </w:num>
  <w:num w:numId="16">
    <w:abstractNumId w:val="18"/>
  </w:num>
  <w:num w:numId="17">
    <w:abstractNumId w:val="25"/>
  </w:num>
  <w:num w:numId="18">
    <w:abstractNumId w:val="26"/>
  </w:num>
  <w:num w:numId="19">
    <w:abstractNumId w:val="15"/>
  </w:num>
  <w:num w:numId="20">
    <w:abstractNumId w:val="27"/>
  </w:num>
  <w:num w:numId="21">
    <w:abstractNumId w:val="12"/>
  </w:num>
  <w:num w:numId="22">
    <w:abstractNumId w:val="24"/>
  </w:num>
  <w:num w:numId="23">
    <w:abstractNumId w:val="13"/>
  </w:num>
  <w:num w:numId="24">
    <w:abstractNumId w:val="16"/>
  </w:num>
  <w:num w:numId="25">
    <w:abstractNumId w:val="11"/>
  </w:num>
  <w:num w:numId="26">
    <w:abstractNumId w:val="14"/>
  </w:num>
  <w:num w:numId="27">
    <w:abstractNumId w:val="2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6C3"/>
    <w:rsid w:val="00001C0A"/>
    <w:rsid w:val="000022E7"/>
    <w:rsid w:val="000025C8"/>
    <w:rsid w:val="00002999"/>
    <w:rsid w:val="00002A7D"/>
    <w:rsid w:val="000038A8"/>
    <w:rsid w:val="00003DF4"/>
    <w:rsid w:val="0000435C"/>
    <w:rsid w:val="000057F3"/>
    <w:rsid w:val="00006790"/>
    <w:rsid w:val="00006A13"/>
    <w:rsid w:val="00006C42"/>
    <w:rsid w:val="00006F66"/>
    <w:rsid w:val="00007DBE"/>
    <w:rsid w:val="00010E91"/>
    <w:rsid w:val="00011A85"/>
    <w:rsid w:val="00011D5E"/>
    <w:rsid w:val="000137EC"/>
    <w:rsid w:val="000152EE"/>
    <w:rsid w:val="0001775F"/>
    <w:rsid w:val="00017EF5"/>
    <w:rsid w:val="000205A7"/>
    <w:rsid w:val="000209D2"/>
    <w:rsid w:val="00022270"/>
    <w:rsid w:val="00023F64"/>
    <w:rsid w:val="00024803"/>
    <w:rsid w:val="000261DF"/>
    <w:rsid w:val="00027624"/>
    <w:rsid w:val="00027BF6"/>
    <w:rsid w:val="00031D8A"/>
    <w:rsid w:val="00032E52"/>
    <w:rsid w:val="00034D9B"/>
    <w:rsid w:val="0004223A"/>
    <w:rsid w:val="0004274C"/>
    <w:rsid w:val="0004366F"/>
    <w:rsid w:val="00044CBF"/>
    <w:rsid w:val="0004524E"/>
    <w:rsid w:val="000459B1"/>
    <w:rsid w:val="0005013A"/>
    <w:rsid w:val="00050F6B"/>
    <w:rsid w:val="00052686"/>
    <w:rsid w:val="00053495"/>
    <w:rsid w:val="00053C14"/>
    <w:rsid w:val="00055932"/>
    <w:rsid w:val="000630D7"/>
    <w:rsid w:val="00063863"/>
    <w:rsid w:val="00066138"/>
    <w:rsid w:val="00066491"/>
    <w:rsid w:val="00067046"/>
    <w:rsid w:val="000678CD"/>
    <w:rsid w:val="00067964"/>
    <w:rsid w:val="00067E5B"/>
    <w:rsid w:val="00070F13"/>
    <w:rsid w:val="00071999"/>
    <w:rsid w:val="0007225D"/>
    <w:rsid w:val="00072C8C"/>
    <w:rsid w:val="0007390A"/>
    <w:rsid w:val="00074BE9"/>
    <w:rsid w:val="000763C1"/>
    <w:rsid w:val="0007644C"/>
    <w:rsid w:val="00076B25"/>
    <w:rsid w:val="000813C0"/>
    <w:rsid w:val="00081CE0"/>
    <w:rsid w:val="0008273F"/>
    <w:rsid w:val="0008325C"/>
    <w:rsid w:val="0008339B"/>
    <w:rsid w:val="00084D30"/>
    <w:rsid w:val="000859B1"/>
    <w:rsid w:val="00086F21"/>
    <w:rsid w:val="000879BB"/>
    <w:rsid w:val="00090320"/>
    <w:rsid w:val="00091F5B"/>
    <w:rsid w:val="000931C0"/>
    <w:rsid w:val="00094F52"/>
    <w:rsid w:val="00095380"/>
    <w:rsid w:val="000A2E09"/>
    <w:rsid w:val="000A5E46"/>
    <w:rsid w:val="000A5EE9"/>
    <w:rsid w:val="000B09D1"/>
    <w:rsid w:val="000B1130"/>
    <w:rsid w:val="000B16A8"/>
    <w:rsid w:val="000B175B"/>
    <w:rsid w:val="000B356F"/>
    <w:rsid w:val="000B35EE"/>
    <w:rsid w:val="000B3A0F"/>
    <w:rsid w:val="000B3D10"/>
    <w:rsid w:val="000B5367"/>
    <w:rsid w:val="000B57B1"/>
    <w:rsid w:val="000B60FC"/>
    <w:rsid w:val="000B67CD"/>
    <w:rsid w:val="000B7E61"/>
    <w:rsid w:val="000B7F31"/>
    <w:rsid w:val="000C0133"/>
    <w:rsid w:val="000C0A52"/>
    <w:rsid w:val="000C0CC5"/>
    <w:rsid w:val="000C1B51"/>
    <w:rsid w:val="000C1EA3"/>
    <w:rsid w:val="000C22B1"/>
    <w:rsid w:val="000C3A2B"/>
    <w:rsid w:val="000C467E"/>
    <w:rsid w:val="000C6BAD"/>
    <w:rsid w:val="000C777C"/>
    <w:rsid w:val="000D0217"/>
    <w:rsid w:val="000D0A85"/>
    <w:rsid w:val="000D17DE"/>
    <w:rsid w:val="000D1E9D"/>
    <w:rsid w:val="000D702F"/>
    <w:rsid w:val="000D7CA9"/>
    <w:rsid w:val="000E034E"/>
    <w:rsid w:val="000E0415"/>
    <w:rsid w:val="000E0ABF"/>
    <w:rsid w:val="000E12CB"/>
    <w:rsid w:val="000E291C"/>
    <w:rsid w:val="000E64FD"/>
    <w:rsid w:val="000E6BD7"/>
    <w:rsid w:val="000E71D4"/>
    <w:rsid w:val="000F0414"/>
    <w:rsid w:val="000F3BCE"/>
    <w:rsid w:val="000F4542"/>
    <w:rsid w:val="000F49D9"/>
    <w:rsid w:val="000F5921"/>
    <w:rsid w:val="000F5B73"/>
    <w:rsid w:val="000F6C30"/>
    <w:rsid w:val="000F7715"/>
    <w:rsid w:val="00100B36"/>
    <w:rsid w:val="00101EE1"/>
    <w:rsid w:val="001053DA"/>
    <w:rsid w:val="001064E8"/>
    <w:rsid w:val="001066B1"/>
    <w:rsid w:val="001075CF"/>
    <w:rsid w:val="001119FB"/>
    <w:rsid w:val="00112D81"/>
    <w:rsid w:val="00113539"/>
    <w:rsid w:val="001142A7"/>
    <w:rsid w:val="001156D1"/>
    <w:rsid w:val="00115779"/>
    <w:rsid w:val="001157DB"/>
    <w:rsid w:val="00115F52"/>
    <w:rsid w:val="0011634F"/>
    <w:rsid w:val="001176C9"/>
    <w:rsid w:val="00120D53"/>
    <w:rsid w:val="00121A6F"/>
    <w:rsid w:val="00122332"/>
    <w:rsid w:val="00122424"/>
    <w:rsid w:val="00122DFA"/>
    <w:rsid w:val="00122FE4"/>
    <w:rsid w:val="00123B07"/>
    <w:rsid w:val="00124640"/>
    <w:rsid w:val="001247E0"/>
    <w:rsid w:val="0012521F"/>
    <w:rsid w:val="001276DC"/>
    <w:rsid w:val="00127A2C"/>
    <w:rsid w:val="00130516"/>
    <w:rsid w:val="00132C7E"/>
    <w:rsid w:val="00134319"/>
    <w:rsid w:val="0013588F"/>
    <w:rsid w:val="00137B06"/>
    <w:rsid w:val="00137D97"/>
    <w:rsid w:val="001419AA"/>
    <w:rsid w:val="00142C9F"/>
    <w:rsid w:val="001456DE"/>
    <w:rsid w:val="00150758"/>
    <w:rsid w:val="001510FE"/>
    <w:rsid w:val="00151301"/>
    <w:rsid w:val="00151D61"/>
    <w:rsid w:val="00151EB4"/>
    <w:rsid w:val="00152A26"/>
    <w:rsid w:val="00154970"/>
    <w:rsid w:val="00155005"/>
    <w:rsid w:val="0015544E"/>
    <w:rsid w:val="001563A4"/>
    <w:rsid w:val="00156B99"/>
    <w:rsid w:val="00166124"/>
    <w:rsid w:val="00166213"/>
    <w:rsid w:val="00166BF6"/>
    <w:rsid w:val="00166BF7"/>
    <w:rsid w:val="00166DCC"/>
    <w:rsid w:val="00171EB7"/>
    <w:rsid w:val="00172119"/>
    <w:rsid w:val="0017251B"/>
    <w:rsid w:val="0017255A"/>
    <w:rsid w:val="001749D3"/>
    <w:rsid w:val="00174D56"/>
    <w:rsid w:val="00176D6D"/>
    <w:rsid w:val="00181601"/>
    <w:rsid w:val="00181685"/>
    <w:rsid w:val="001820EE"/>
    <w:rsid w:val="00182963"/>
    <w:rsid w:val="00184DDA"/>
    <w:rsid w:val="0018517E"/>
    <w:rsid w:val="0018651A"/>
    <w:rsid w:val="00186A38"/>
    <w:rsid w:val="00187CB3"/>
    <w:rsid w:val="00187D97"/>
    <w:rsid w:val="001900CD"/>
    <w:rsid w:val="0019109E"/>
    <w:rsid w:val="00191237"/>
    <w:rsid w:val="001914F5"/>
    <w:rsid w:val="001918AD"/>
    <w:rsid w:val="00193312"/>
    <w:rsid w:val="001937C6"/>
    <w:rsid w:val="00196625"/>
    <w:rsid w:val="00196666"/>
    <w:rsid w:val="00196A61"/>
    <w:rsid w:val="00196C4E"/>
    <w:rsid w:val="00197589"/>
    <w:rsid w:val="00197A94"/>
    <w:rsid w:val="001A0452"/>
    <w:rsid w:val="001A2E26"/>
    <w:rsid w:val="001A46E0"/>
    <w:rsid w:val="001A4842"/>
    <w:rsid w:val="001A4AC2"/>
    <w:rsid w:val="001A537D"/>
    <w:rsid w:val="001A5731"/>
    <w:rsid w:val="001A6D39"/>
    <w:rsid w:val="001A6DEB"/>
    <w:rsid w:val="001A7167"/>
    <w:rsid w:val="001A75F5"/>
    <w:rsid w:val="001A7A58"/>
    <w:rsid w:val="001B0BF4"/>
    <w:rsid w:val="001B32C8"/>
    <w:rsid w:val="001B3306"/>
    <w:rsid w:val="001B3F27"/>
    <w:rsid w:val="001B4B04"/>
    <w:rsid w:val="001B547E"/>
    <w:rsid w:val="001B5875"/>
    <w:rsid w:val="001B5F4E"/>
    <w:rsid w:val="001B7B24"/>
    <w:rsid w:val="001C007B"/>
    <w:rsid w:val="001C10BC"/>
    <w:rsid w:val="001C17E0"/>
    <w:rsid w:val="001C23CB"/>
    <w:rsid w:val="001C3DE5"/>
    <w:rsid w:val="001C4B9C"/>
    <w:rsid w:val="001C5085"/>
    <w:rsid w:val="001C554A"/>
    <w:rsid w:val="001C5872"/>
    <w:rsid w:val="001C5BB4"/>
    <w:rsid w:val="001C6663"/>
    <w:rsid w:val="001C7895"/>
    <w:rsid w:val="001D0D5F"/>
    <w:rsid w:val="001D1539"/>
    <w:rsid w:val="001D26DF"/>
    <w:rsid w:val="001D47AD"/>
    <w:rsid w:val="001E09C8"/>
    <w:rsid w:val="001E1306"/>
    <w:rsid w:val="001E1A59"/>
    <w:rsid w:val="001E2531"/>
    <w:rsid w:val="001E79CD"/>
    <w:rsid w:val="001F000B"/>
    <w:rsid w:val="001F0CF0"/>
    <w:rsid w:val="001F0E28"/>
    <w:rsid w:val="001F1599"/>
    <w:rsid w:val="001F1784"/>
    <w:rsid w:val="001F19C4"/>
    <w:rsid w:val="001F1D98"/>
    <w:rsid w:val="001F2065"/>
    <w:rsid w:val="001F270A"/>
    <w:rsid w:val="001F2ED6"/>
    <w:rsid w:val="001F34BC"/>
    <w:rsid w:val="001F3C53"/>
    <w:rsid w:val="001F4506"/>
    <w:rsid w:val="001F58E0"/>
    <w:rsid w:val="001F6FB8"/>
    <w:rsid w:val="001F7501"/>
    <w:rsid w:val="0020011D"/>
    <w:rsid w:val="00201A54"/>
    <w:rsid w:val="0020228D"/>
    <w:rsid w:val="002043F0"/>
    <w:rsid w:val="00204519"/>
    <w:rsid w:val="00204568"/>
    <w:rsid w:val="00205CFF"/>
    <w:rsid w:val="00205DE5"/>
    <w:rsid w:val="00206593"/>
    <w:rsid w:val="00206908"/>
    <w:rsid w:val="00207568"/>
    <w:rsid w:val="00210481"/>
    <w:rsid w:val="00210ECF"/>
    <w:rsid w:val="0021113C"/>
    <w:rsid w:val="00211E0B"/>
    <w:rsid w:val="00214378"/>
    <w:rsid w:val="0021487B"/>
    <w:rsid w:val="002148B2"/>
    <w:rsid w:val="00214B35"/>
    <w:rsid w:val="00215001"/>
    <w:rsid w:val="00215106"/>
    <w:rsid w:val="002160EF"/>
    <w:rsid w:val="00216D08"/>
    <w:rsid w:val="0021716C"/>
    <w:rsid w:val="00221897"/>
    <w:rsid w:val="00222271"/>
    <w:rsid w:val="00222765"/>
    <w:rsid w:val="002252F4"/>
    <w:rsid w:val="0022738B"/>
    <w:rsid w:val="00227522"/>
    <w:rsid w:val="0023170D"/>
    <w:rsid w:val="00231FE2"/>
    <w:rsid w:val="00232575"/>
    <w:rsid w:val="00232B0F"/>
    <w:rsid w:val="002343D4"/>
    <w:rsid w:val="00235A1A"/>
    <w:rsid w:val="00235C0E"/>
    <w:rsid w:val="00237D0E"/>
    <w:rsid w:val="0024013B"/>
    <w:rsid w:val="002402B5"/>
    <w:rsid w:val="00240F7F"/>
    <w:rsid w:val="00242800"/>
    <w:rsid w:val="002434A2"/>
    <w:rsid w:val="00245107"/>
    <w:rsid w:val="00245299"/>
    <w:rsid w:val="00247258"/>
    <w:rsid w:val="00247754"/>
    <w:rsid w:val="00250B54"/>
    <w:rsid w:val="00253808"/>
    <w:rsid w:val="00253A5F"/>
    <w:rsid w:val="002548AF"/>
    <w:rsid w:val="00255DCC"/>
    <w:rsid w:val="00255E0A"/>
    <w:rsid w:val="00257CAC"/>
    <w:rsid w:val="00261039"/>
    <w:rsid w:val="002612B9"/>
    <w:rsid w:val="002618A1"/>
    <w:rsid w:val="00263236"/>
    <w:rsid w:val="002638F3"/>
    <w:rsid w:val="00263DED"/>
    <w:rsid w:val="00263EE8"/>
    <w:rsid w:val="0026725D"/>
    <w:rsid w:val="002704C8"/>
    <w:rsid w:val="00270C48"/>
    <w:rsid w:val="0027237A"/>
    <w:rsid w:val="00272F01"/>
    <w:rsid w:val="00274FCF"/>
    <w:rsid w:val="00275CC2"/>
    <w:rsid w:val="002762D9"/>
    <w:rsid w:val="002767E8"/>
    <w:rsid w:val="00277CE8"/>
    <w:rsid w:val="00280164"/>
    <w:rsid w:val="002805F6"/>
    <w:rsid w:val="0028149D"/>
    <w:rsid w:val="00282261"/>
    <w:rsid w:val="002838D4"/>
    <w:rsid w:val="00285262"/>
    <w:rsid w:val="00285C19"/>
    <w:rsid w:val="0028743F"/>
    <w:rsid w:val="00291385"/>
    <w:rsid w:val="002913CD"/>
    <w:rsid w:val="00291DE4"/>
    <w:rsid w:val="00291FB9"/>
    <w:rsid w:val="00292167"/>
    <w:rsid w:val="00292266"/>
    <w:rsid w:val="002922C5"/>
    <w:rsid w:val="00292FC4"/>
    <w:rsid w:val="00293590"/>
    <w:rsid w:val="00295D2D"/>
    <w:rsid w:val="00296694"/>
    <w:rsid w:val="00296707"/>
    <w:rsid w:val="00296A51"/>
    <w:rsid w:val="002974E9"/>
    <w:rsid w:val="002A0AA1"/>
    <w:rsid w:val="002A0BFC"/>
    <w:rsid w:val="002A1BE3"/>
    <w:rsid w:val="002A2676"/>
    <w:rsid w:val="002A37B9"/>
    <w:rsid w:val="002A3BF7"/>
    <w:rsid w:val="002A4599"/>
    <w:rsid w:val="002A488A"/>
    <w:rsid w:val="002A6659"/>
    <w:rsid w:val="002A73F9"/>
    <w:rsid w:val="002A7F94"/>
    <w:rsid w:val="002B109A"/>
    <w:rsid w:val="002B2D60"/>
    <w:rsid w:val="002B34E9"/>
    <w:rsid w:val="002B52E7"/>
    <w:rsid w:val="002B5DEC"/>
    <w:rsid w:val="002C086D"/>
    <w:rsid w:val="002C39E1"/>
    <w:rsid w:val="002C4548"/>
    <w:rsid w:val="002C4A25"/>
    <w:rsid w:val="002C61D9"/>
    <w:rsid w:val="002C6D45"/>
    <w:rsid w:val="002C7AB2"/>
    <w:rsid w:val="002C7CF9"/>
    <w:rsid w:val="002D124D"/>
    <w:rsid w:val="002D1E70"/>
    <w:rsid w:val="002D2CAD"/>
    <w:rsid w:val="002D34EE"/>
    <w:rsid w:val="002D39E5"/>
    <w:rsid w:val="002D4533"/>
    <w:rsid w:val="002D4923"/>
    <w:rsid w:val="002D520A"/>
    <w:rsid w:val="002D6304"/>
    <w:rsid w:val="002D6BED"/>
    <w:rsid w:val="002D6E53"/>
    <w:rsid w:val="002D6F83"/>
    <w:rsid w:val="002D7740"/>
    <w:rsid w:val="002D7DAF"/>
    <w:rsid w:val="002E1BB5"/>
    <w:rsid w:val="002E2F57"/>
    <w:rsid w:val="002E4432"/>
    <w:rsid w:val="002E57DA"/>
    <w:rsid w:val="002E6BDB"/>
    <w:rsid w:val="002E6E90"/>
    <w:rsid w:val="002E6ED9"/>
    <w:rsid w:val="002F046D"/>
    <w:rsid w:val="002F0705"/>
    <w:rsid w:val="002F0E82"/>
    <w:rsid w:val="002F22DD"/>
    <w:rsid w:val="002F3253"/>
    <w:rsid w:val="002F350F"/>
    <w:rsid w:val="002F3EC2"/>
    <w:rsid w:val="002F49FE"/>
    <w:rsid w:val="002F62E9"/>
    <w:rsid w:val="00300C32"/>
    <w:rsid w:val="00301451"/>
    <w:rsid w:val="00301764"/>
    <w:rsid w:val="00302A03"/>
    <w:rsid w:val="00304811"/>
    <w:rsid w:val="00306177"/>
    <w:rsid w:val="00310902"/>
    <w:rsid w:val="00311236"/>
    <w:rsid w:val="003119F4"/>
    <w:rsid w:val="00311EEA"/>
    <w:rsid w:val="00312EEC"/>
    <w:rsid w:val="00312F3A"/>
    <w:rsid w:val="003130C7"/>
    <w:rsid w:val="00313DEF"/>
    <w:rsid w:val="00314DA1"/>
    <w:rsid w:val="00320009"/>
    <w:rsid w:val="00320338"/>
    <w:rsid w:val="00321353"/>
    <w:rsid w:val="003229D8"/>
    <w:rsid w:val="00322FC4"/>
    <w:rsid w:val="00323EAB"/>
    <w:rsid w:val="00324166"/>
    <w:rsid w:val="003242AF"/>
    <w:rsid w:val="00324A25"/>
    <w:rsid w:val="00325BAF"/>
    <w:rsid w:val="003275C8"/>
    <w:rsid w:val="00327CCE"/>
    <w:rsid w:val="00331476"/>
    <w:rsid w:val="00332E7A"/>
    <w:rsid w:val="00334812"/>
    <w:rsid w:val="003348F5"/>
    <w:rsid w:val="00334A78"/>
    <w:rsid w:val="00334B15"/>
    <w:rsid w:val="00334E71"/>
    <w:rsid w:val="00335FE5"/>
    <w:rsid w:val="003365B9"/>
    <w:rsid w:val="00336C15"/>
    <w:rsid w:val="00336C97"/>
    <w:rsid w:val="003375C7"/>
    <w:rsid w:val="00337B5A"/>
    <w:rsid w:val="00337F88"/>
    <w:rsid w:val="00340620"/>
    <w:rsid w:val="00341270"/>
    <w:rsid w:val="00342093"/>
    <w:rsid w:val="00342432"/>
    <w:rsid w:val="0034484E"/>
    <w:rsid w:val="0034490C"/>
    <w:rsid w:val="00344FB6"/>
    <w:rsid w:val="003501EF"/>
    <w:rsid w:val="0035223F"/>
    <w:rsid w:val="00352D4B"/>
    <w:rsid w:val="00353332"/>
    <w:rsid w:val="003537D9"/>
    <w:rsid w:val="003539ED"/>
    <w:rsid w:val="00354516"/>
    <w:rsid w:val="00355A9A"/>
    <w:rsid w:val="00355AB4"/>
    <w:rsid w:val="0035600C"/>
    <w:rsid w:val="0035638C"/>
    <w:rsid w:val="003571BA"/>
    <w:rsid w:val="00357C43"/>
    <w:rsid w:val="00357DA6"/>
    <w:rsid w:val="003608C1"/>
    <w:rsid w:val="00361093"/>
    <w:rsid w:val="0036237A"/>
    <w:rsid w:val="0036336B"/>
    <w:rsid w:val="00367F61"/>
    <w:rsid w:val="00370C0B"/>
    <w:rsid w:val="00372EC4"/>
    <w:rsid w:val="003734CE"/>
    <w:rsid w:val="00376E40"/>
    <w:rsid w:val="00377199"/>
    <w:rsid w:val="00377A9B"/>
    <w:rsid w:val="00377D8E"/>
    <w:rsid w:val="00380237"/>
    <w:rsid w:val="0038350B"/>
    <w:rsid w:val="003836D5"/>
    <w:rsid w:val="00383D19"/>
    <w:rsid w:val="0038406B"/>
    <w:rsid w:val="0038498A"/>
    <w:rsid w:val="003871AE"/>
    <w:rsid w:val="00387A1F"/>
    <w:rsid w:val="003921AA"/>
    <w:rsid w:val="003964BC"/>
    <w:rsid w:val="003965AD"/>
    <w:rsid w:val="003A078B"/>
    <w:rsid w:val="003A293D"/>
    <w:rsid w:val="003A3272"/>
    <w:rsid w:val="003A4286"/>
    <w:rsid w:val="003A46BB"/>
    <w:rsid w:val="003A4EC7"/>
    <w:rsid w:val="003A584C"/>
    <w:rsid w:val="003A5D60"/>
    <w:rsid w:val="003A61FC"/>
    <w:rsid w:val="003A6F94"/>
    <w:rsid w:val="003A727A"/>
    <w:rsid w:val="003A7295"/>
    <w:rsid w:val="003A7317"/>
    <w:rsid w:val="003A76A0"/>
    <w:rsid w:val="003B0780"/>
    <w:rsid w:val="003B1F60"/>
    <w:rsid w:val="003B4F37"/>
    <w:rsid w:val="003B4FE5"/>
    <w:rsid w:val="003B6300"/>
    <w:rsid w:val="003B6EF8"/>
    <w:rsid w:val="003C132A"/>
    <w:rsid w:val="003C1EDA"/>
    <w:rsid w:val="003C2CC4"/>
    <w:rsid w:val="003C364A"/>
    <w:rsid w:val="003C41D9"/>
    <w:rsid w:val="003C43BC"/>
    <w:rsid w:val="003C464C"/>
    <w:rsid w:val="003D0B7C"/>
    <w:rsid w:val="003D0C73"/>
    <w:rsid w:val="003D0D97"/>
    <w:rsid w:val="003D0FD8"/>
    <w:rsid w:val="003D33AF"/>
    <w:rsid w:val="003D42C7"/>
    <w:rsid w:val="003D4B23"/>
    <w:rsid w:val="003D4E66"/>
    <w:rsid w:val="003D59E9"/>
    <w:rsid w:val="003D5A47"/>
    <w:rsid w:val="003D67F1"/>
    <w:rsid w:val="003E0459"/>
    <w:rsid w:val="003E10AE"/>
    <w:rsid w:val="003E26D1"/>
    <w:rsid w:val="003E278A"/>
    <w:rsid w:val="003E5BA5"/>
    <w:rsid w:val="003E5D73"/>
    <w:rsid w:val="003E616B"/>
    <w:rsid w:val="003E6A3A"/>
    <w:rsid w:val="003F0505"/>
    <w:rsid w:val="003F068A"/>
    <w:rsid w:val="003F0C88"/>
    <w:rsid w:val="003F0CF1"/>
    <w:rsid w:val="003F0EE9"/>
    <w:rsid w:val="003F2892"/>
    <w:rsid w:val="003F336D"/>
    <w:rsid w:val="003F3BDF"/>
    <w:rsid w:val="003F4622"/>
    <w:rsid w:val="003F6E7A"/>
    <w:rsid w:val="003F7551"/>
    <w:rsid w:val="003F7E0D"/>
    <w:rsid w:val="004009A7"/>
    <w:rsid w:val="00401E43"/>
    <w:rsid w:val="00402034"/>
    <w:rsid w:val="00402491"/>
    <w:rsid w:val="004026AD"/>
    <w:rsid w:val="004026F7"/>
    <w:rsid w:val="00406D02"/>
    <w:rsid w:val="00406E1E"/>
    <w:rsid w:val="00407502"/>
    <w:rsid w:val="00407719"/>
    <w:rsid w:val="00411F85"/>
    <w:rsid w:val="00413243"/>
    <w:rsid w:val="00413520"/>
    <w:rsid w:val="00414847"/>
    <w:rsid w:val="00414CD3"/>
    <w:rsid w:val="0041584C"/>
    <w:rsid w:val="00415A63"/>
    <w:rsid w:val="00416A11"/>
    <w:rsid w:val="004170D0"/>
    <w:rsid w:val="00420D73"/>
    <w:rsid w:val="00422097"/>
    <w:rsid w:val="00422738"/>
    <w:rsid w:val="00422A0D"/>
    <w:rsid w:val="00422BF0"/>
    <w:rsid w:val="004241D3"/>
    <w:rsid w:val="0042448C"/>
    <w:rsid w:val="00424914"/>
    <w:rsid w:val="004251FF"/>
    <w:rsid w:val="00425BE9"/>
    <w:rsid w:val="004264EA"/>
    <w:rsid w:val="0042723A"/>
    <w:rsid w:val="004325CB"/>
    <w:rsid w:val="00432B6D"/>
    <w:rsid w:val="004354F0"/>
    <w:rsid w:val="00435633"/>
    <w:rsid w:val="0043659A"/>
    <w:rsid w:val="00440A07"/>
    <w:rsid w:val="00441E9C"/>
    <w:rsid w:val="00442D5E"/>
    <w:rsid w:val="00443954"/>
    <w:rsid w:val="00444687"/>
    <w:rsid w:val="00445B5F"/>
    <w:rsid w:val="00445F80"/>
    <w:rsid w:val="0044610A"/>
    <w:rsid w:val="00446802"/>
    <w:rsid w:val="00450934"/>
    <w:rsid w:val="00450A0A"/>
    <w:rsid w:val="00450F6A"/>
    <w:rsid w:val="00451969"/>
    <w:rsid w:val="004519DB"/>
    <w:rsid w:val="004523BB"/>
    <w:rsid w:val="00455FD9"/>
    <w:rsid w:val="004567CA"/>
    <w:rsid w:val="0046057B"/>
    <w:rsid w:val="00462880"/>
    <w:rsid w:val="004646D6"/>
    <w:rsid w:val="0046595E"/>
    <w:rsid w:val="004672C0"/>
    <w:rsid w:val="0047131B"/>
    <w:rsid w:val="0047164C"/>
    <w:rsid w:val="00471675"/>
    <w:rsid w:val="00472921"/>
    <w:rsid w:val="004733E4"/>
    <w:rsid w:val="00473E0F"/>
    <w:rsid w:val="00475989"/>
    <w:rsid w:val="00475D49"/>
    <w:rsid w:val="00476F24"/>
    <w:rsid w:val="00477FF1"/>
    <w:rsid w:val="004801BE"/>
    <w:rsid w:val="0048180C"/>
    <w:rsid w:val="00481A73"/>
    <w:rsid w:val="00482EB3"/>
    <w:rsid w:val="00483527"/>
    <w:rsid w:val="00485765"/>
    <w:rsid w:val="00485B6E"/>
    <w:rsid w:val="004862B7"/>
    <w:rsid w:val="004873AD"/>
    <w:rsid w:val="004900E3"/>
    <w:rsid w:val="004923FE"/>
    <w:rsid w:val="00496524"/>
    <w:rsid w:val="0049671B"/>
    <w:rsid w:val="00496AAE"/>
    <w:rsid w:val="004978DE"/>
    <w:rsid w:val="004A0369"/>
    <w:rsid w:val="004A2674"/>
    <w:rsid w:val="004A37BA"/>
    <w:rsid w:val="004A39A2"/>
    <w:rsid w:val="004A4DE7"/>
    <w:rsid w:val="004A53A7"/>
    <w:rsid w:val="004A68E8"/>
    <w:rsid w:val="004A6FE6"/>
    <w:rsid w:val="004A788C"/>
    <w:rsid w:val="004B01F9"/>
    <w:rsid w:val="004B0755"/>
    <w:rsid w:val="004B13E5"/>
    <w:rsid w:val="004B174C"/>
    <w:rsid w:val="004B284C"/>
    <w:rsid w:val="004B39F8"/>
    <w:rsid w:val="004B6D3C"/>
    <w:rsid w:val="004B7397"/>
    <w:rsid w:val="004B7A62"/>
    <w:rsid w:val="004C01B2"/>
    <w:rsid w:val="004C0224"/>
    <w:rsid w:val="004C0E11"/>
    <w:rsid w:val="004C38FE"/>
    <w:rsid w:val="004C53B8"/>
    <w:rsid w:val="004C55B0"/>
    <w:rsid w:val="004C673A"/>
    <w:rsid w:val="004D6AC5"/>
    <w:rsid w:val="004D6B54"/>
    <w:rsid w:val="004D6EDB"/>
    <w:rsid w:val="004D7946"/>
    <w:rsid w:val="004D7EBC"/>
    <w:rsid w:val="004E0456"/>
    <w:rsid w:val="004E1463"/>
    <w:rsid w:val="004E1F87"/>
    <w:rsid w:val="004E2E08"/>
    <w:rsid w:val="004E3BA2"/>
    <w:rsid w:val="004E5B3C"/>
    <w:rsid w:val="004E5DAB"/>
    <w:rsid w:val="004E73D8"/>
    <w:rsid w:val="004F042B"/>
    <w:rsid w:val="004F1184"/>
    <w:rsid w:val="004F1443"/>
    <w:rsid w:val="004F1936"/>
    <w:rsid w:val="004F2480"/>
    <w:rsid w:val="004F2FF8"/>
    <w:rsid w:val="004F31CB"/>
    <w:rsid w:val="004F3C12"/>
    <w:rsid w:val="004F4153"/>
    <w:rsid w:val="004F56AD"/>
    <w:rsid w:val="004F6A93"/>
    <w:rsid w:val="004F6BA0"/>
    <w:rsid w:val="004F79CB"/>
    <w:rsid w:val="005010BD"/>
    <w:rsid w:val="005019B5"/>
    <w:rsid w:val="00501A47"/>
    <w:rsid w:val="00501D86"/>
    <w:rsid w:val="00503BEA"/>
    <w:rsid w:val="00504CBA"/>
    <w:rsid w:val="00505284"/>
    <w:rsid w:val="00505AEF"/>
    <w:rsid w:val="0051057E"/>
    <w:rsid w:val="0051079D"/>
    <w:rsid w:val="005114B1"/>
    <w:rsid w:val="00511975"/>
    <w:rsid w:val="00512226"/>
    <w:rsid w:val="00512C6E"/>
    <w:rsid w:val="00513D47"/>
    <w:rsid w:val="0051419F"/>
    <w:rsid w:val="00516832"/>
    <w:rsid w:val="00516C7A"/>
    <w:rsid w:val="005178B8"/>
    <w:rsid w:val="00520CBE"/>
    <w:rsid w:val="00523D2F"/>
    <w:rsid w:val="005247C9"/>
    <w:rsid w:val="00524EB3"/>
    <w:rsid w:val="005258CE"/>
    <w:rsid w:val="00525903"/>
    <w:rsid w:val="00525BF2"/>
    <w:rsid w:val="00530C04"/>
    <w:rsid w:val="005312A5"/>
    <w:rsid w:val="00531694"/>
    <w:rsid w:val="00532CBA"/>
    <w:rsid w:val="00533616"/>
    <w:rsid w:val="00534A95"/>
    <w:rsid w:val="00534E89"/>
    <w:rsid w:val="005351F1"/>
    <w:rsid w:val="00535232"/>
    <w:rsid w:val="00535ABA"/>
    <w:rsid w:val="00535DF8"/>
    <w:rsid w:val="005369E2"/>
    <w:rsid w:val="0053768B"/>
    <w:rsid w:val="00537DA1"/>
    <w:rsid w:val="00540164"/>
    <w:rsid w:val="005420F2"/>
    <w:rsid w:val="005427EC"/>
    <w:rsid w:val="0054285C"/>
    <w:rsid w:val="00542BC9"/>
    <w:rsid w:val="005473A9"/>
    <w:rsid w:val="00551364"/>
    <w:rsid w:val="005518E8"/>
    <w:rsid w:val="00551EF7"/>
    <w:rsid w:val="0055250D"/>
    <w:rsid w:val="00552ABD"/>
    <w:rsid w:val="00554343"/>
    <w:rsid w:val="005559B1"/>
    <w:rsid w:val="005560F6"/>
    <w:rsid w:val="00556A8A"/>
    <w:rsid w:val="0055732A"/>
    <w:rsid w:val="00557EA9"/>
    <w:rsid w:val="00561C70"/>
    <w:rsid w:val="00562419"/>
    <w:rsid w:val="00563B64"/>
    <w:rsid w:val="00564491"/>
    <w:rsid w:val="00564C8B"/>
    <w:rsid w:val="00565C2A"/>
    <w:rsid w:val="00566279"/>
    <w:rsid w:val="0056682A"/>
    <w:rsid w:val="0056699F"/>
    <w:rsid w:val="00566C55"/>
    <w:rsid w:val="0056710A"/>
    <w:rsid w:val="0056731C"/>
    <w:rsid w:val="00567624"/>
    <w:rsid w:val="005676BB"/>
    <w:rsid w:val="0057119E"/>
    <w:rsid w:val="00573C05"/>
    <w:rsid w:val="00574159"/>
    <w:rsid w:val="0057417C"/>
    <w:rsid w:val="005753CD"/>
    <w:rsid w:val="00575E3A"/>
    <w:rsid w:val="0057719F"/>
    <w:rsid w:val="00581635"/>
    <w:rsid w:val="00581666"/>
    <w:rsid w:val="00584173"/>
    <w:rsid w:val="00584BF3"/>
    <w:rsid w:val="00584FBC"/>
    <w:rsid w:val="00587F1A"/>
    <w:rsid w:val="00595520"/>
    <w:rsid w:val="005A0BB2"/>
    <w:rsid w:val="005A17FB"/>
    <w:rsid w:val="005A2617"/>
    <w:rsid w:val="005A44B9"/>
    <w:rsid w:val="005A5389"/>
    <w:rsid w:val="005A681A"/>
    <w:rsid w:val="005B051D"/>
    <w:rsid w:val="005B0B4B"/>
    <w:rsid w:val="005B11AE"/>
    <w:rsid w:val="005B1967"/>
    <w:rsid w:val="005B19B6"/>
    <w:rsid w:val="005B1BA0"/>
    <w:rsid w:val="005B29AA"/>
    <w:rsid w:val="005B2A34"/>
    <w:rsid w:val="005B2A70"/>
    <w:rsid w:val="005B3B16"/>
    <w:rsid w:val="005B3DB3"/>
    <w:rsid w:val="005B413A"/>
    <w:rsid w:val="005B4DDC"/>
    <w:rsid w:val="005B5166"/>
    <w:rsid w:val="005B6486"/>
    <w:rsid w:val="005B76BD"/>
    <w:rsid w:val="005B77A1"/>
    <w:rsid w:val="005C2276"/>
    <w:rsid w:val="005C25AF"/>
    <w:rsid w:val="005C2CB4"/>
    <w:rsid w:val="005C3C67"/>
    <w:rsid w:val="005C47F3"/>
    <w:rsid w:val="005C4C47"/>
    <w:rsid w:val="005C4E1D"/>
    <w:rsid w:val="005C5033"/>
    <w:rsid w:val="005D1511"/>
    <w:rsid w:val="005D15CA"/>
    <w:rsid w:val="005D1EF4"/>
    <w:rsid w:val="005D3B8A"/>
    <w:rsid w:val="005D4FFC"/>
    <w:rsid w:val="005D5A05"/>
    <w:rsid w:val="005D5F74"/>
    <w:rsid w:val="005D60EE"/>
    <w:rsid w:val="005D6D5B"/>
    <w:rsid w:val="005D7A80"/>
    <w:rsid w:val="005E2C60"/>
    <w:rsid w:val="005E30FF"/>
    <w:rsid w:val="005E341E"/>
    <w:rsid w:val="005E53AE"/>
    <w:rsid w:val="005F03D7"/>
    <w:rsid w:val="005F055B"/>
    <w:rsid w:val="005F08C5"/>
    <w:rsid w:val="005F21B3"/>
    <w:rsid w:val="005F2B31"/>
    <w:rsid w:val="005F3066"/>
    <w:rsid w:val="005F344A"/>
    <w:rsid w:val="005F3E61"/>
    <w:rsid w:val="005F4B51"/>
    <w:rsid w:val="005F4D5B"/>
    <w:rsid w:val="005F4F5B"/>
    <w:rsid w:val="005F5988"/>
    <w:rsid w:val="005F6327"/>
    <w:rsid w:val="005F7412"/>
    <w:rsid w:val="006023BA"/>
    <w:rsid w:val="00604DDD"/>
    <w:rsid w:val="0060587C"/>
    <w:rsid w:val="006061CE"/>
    <w:rsid w:val="0060632E"/>
    <w:rsid w:val="006064DC"/>
    <w:rsid w:val="006068E4"/>
    <w:rsid w:val="00606BB2"/>
    <w:rsid w:val="006107C7"/>
    <w:rsid w:val="006115CC"/>
    <w:rsid w:val="00611FC4"/>
    <w:rsid w:val="0061374B"/>
    <w:rsid w:val="006148A9"/>
    <w:rsid w:val="00614C6E"/>
    <w:rsid w:val="00616441"/>
    <w:rsid w:val="00616DF8"/>
    <w:rsid w:val="006176FB"/>
    <w:rsid w:val="00620064"/>
    <w:rsid w:val="006206CD"/>
    <w:rsid w:val="00620C9D"/>
    <w:rsid w:val="00620E0C"/>
    <w:rsid w:val="00623FC9"/>
    <w:rsid w:val="00624146"/>
    <w:rsid w:val="006249CF"/>
    <w:rsid w:val="00625A5E"/>
    <w:rsid w:val="006263BD"/>
    <w:rsid w:val="00630CA5"/>
    <w:rsid w:val="00630FCB"/>
    <w:rsid w:val="00631452"/>
    <w:rsid w:val="00632298"/>
    <w:rsid w:val="00633574"/>
    <w:rsid w:val="00634315"/>
    <w:rsid w:val="0063744A"/>
    <w:rsid w:val="00637EF6"/>
    <w:rsid w:val="00640684"/>
    <w:rsid w:val="00640B0F"/>
    <w:rsid w:val="00640B26"/>
    <w:rsid w:val="006432EB"/>
    <w:rsid w:val="0064442C"/>
    <w:rsid w:val="00644CC2"/>
    <w:rsid w:val="0064539F"/>
    <w:rsid w:val="00647047"/>
    <w:rsid w:val="006475D6"/>
    <w:rsid w:val="006518B1"/>
    <w:rsid w:val="00651F0C"/>
    <w:rsid w:val="006520CA"/>
    <w:rsid w:val="00652AB5"/>
    <w:rsid w:val="00653CD7"/>
    <w:rsid w:val="0065438F"/>
    <w:rsid w:val="00654D1D"/>
    <w:rsid w:val="0065578D"/>
    <w:rsid w:val="00655D52"/>
    <w:rsid w:val="00656308"/>
    <w:rsid w:val="00656928"/>
    <w:rsid w:val="00656E35"/>
    <w:rsid w:val="006609D4"/>
    <w:rsid w:val="00661429"/>
    <w:rsid w:val="0066182A"/>
    <w:rsid w:val="00661A55"/>
    <w:rsid w:val="0066366F"/>
    <w:rsid w:val="006642F7"/>
    <w:rsid w:val="00664C79"/>
    <w:rsid w:val="00665384"/>
    <w:rsid w:val="00665F1E"/>
    <w:rsid w:val="00666A2D"/>
    <w:rsid w:val="006671EC"/>
    <w:rsid w:val="00667F0C"/>
    <w:rsid w:val="006703D3"/>
    <w:rsid w:val="00670592"/>
    <w:rsid w:val="00670B18"/>
    <w:rsid w:val="00670F7F"/>
    <w:rsid w:val="00672219"/>
    <w:rsid w:val="00672379"/>
    <w:rsid w:val="00673174"/>
    <w:rsid w:val="006734BE"/>
    <w:rsid w:val="0067357E"/>
    <w:rsid w:val="006760DD"/>
    <w:rsid w:val="00676EAC"/>
    <w:rsid w:val="006770B2"/>
    <w:rsid w:val="0068403C"/>
    <w:rsid w:val="00684E2D"/>
    <w:rsid w:val="00685AE4"/>
    <w:rsid w:val="0068634A"/>
    <w:rsid w:val="00687DB0"/>
    <w:rsid w:val="006940E1"/>
    <w:rsid w:val="0069539B"/>
    <w:rsid w:val="00695A83"/>
    <w:rsid w:val="0069633C"/>
    <w:rsid w:val="0069739F"/>
    <w:rsid w:val="006A0F61"/>
    <w:rsid w:val="006A2A76"/>
    <w:rsid w:val="006A30A2"/>
    <w:rsid w:val="006A3B98"/>
    <w:rsid w:val="006A3C72"/>
    <w:rsid w:val="006A3EF4"/>
    <w:rsid w:val="006A637E"/>
    <w:rsid w:val="006A638A"/>
    <w:rsid w:val="006A6E81"/>
    <w:rsid w:val="006A72BE"/>
    <w:rsid w:val="006A7392"/>
    <w:rsid w:val="006B0070"/>
    <w:rsid w:val="006B021B"/>
    <w:rsid w:val="006B03A1"/>
    <w:rsid w:val="006B1CB1"/>
    <w:rsid w:val="006B3868"/>
    <w:rsid w:val="006B5DAF"/>
    <w:rsid w:val="006B67D9"/>
    <w:rsid w:val="006B7033"/>
    <w:rsid w:val="006B76AA"/>
    <w:rsid w:val="006B7FD2"/>
    <w:rsid w:val="006C1B25"/>
    <w:rsid w:val="006C32ED"/>
    <w:rsid w:val="006C3CA3"/>
    <w:rsid w:val="006C462B"/>
    <w:rsid w:val="006C4BCA"/>
    <w:rsid w:val="006C4F12"/>
    <w:rsid w:val="006C5535"/>
    <w:rsid w:val="006C711A"/>
    <w:rsid w:val="006C7F8C"/>
    <w:rsid w:val="006D0589"/>
    <w:rsid w:val="006D0CDC"/>
    <w:rsid w:val="006D0D53"/>
    <w:rsid w:val="006D10DF"/>
    <w:rsid w:val="006D1877"/>
    <w:rsid w:val="006D2642"/>
    <w:rsid w:val="006D2762"/>
    <w:rsid w:val="006D304F"/>
    <w:rsid w:val="006D3521"/>
    <w:rsid w:val="006D5D0C"/>
    <w:rsid w:val="006D6A08"/>
    <w:rsid w:val="006D7DC5"/>
    <w:rsid w:val="006E3432"/>
    <w:rsid w:val="006E41CF"/>
    <w:rsid w:val="006E4B7D"/>
    <w:rsid w:val="006E564B"/>
    <w:rsid w:val="006E7154"/>
    <w:rsid w:val="006E74A6"/>
    <w:rsid w:val="006F06A5"/>
    <w:rsid w:val="006F1060"/>
    <w:rsid w:val="006F19C9"/>
    <w:rsid w:val="006F1A28"/>
    <w:rsid w:val="006F1B9B"/>
    <w:rsid w:val="006F3EC3"/>
    <w:rsid w:val="006F413B"/>
    <w:rsid w:val="006F531A"/>
    <w:rsid w:val="006F5A5A"/>
    <w:rsid w:val="006F71E5"/>
    <w:rsid w:val="006F7433"/>
    <w:rsid w:val="007003CD"/>
    <w:rsid w:val="0070078B"/>
    <w:rsid w:val="00701A92"/>
    <w:rsid w:val="0070701E"/>
    <w:rsid w:val="00707C40"/>
    <w:rsid w:val="00710488"/>
    <w:rsid w:val="00713689"/>
    <w:rsid w:val="007160DA"/>
    <w:rsid w:val="0072044C"/>
    <w:rsid w:val="007204AD"/>
    <w:rsid w:val="00721F9C"/>
    <w:rsid w:val="007221FC"/>
    <w:rsid w:val="00722889"/>
    <w:rsid w:val="007247F3"/>
    <w:rsid w:val="00726309"/>
    <w:rsid w:val="0072632A"/>
    <w:rsid w:val="00727360"/>
    <w:rsid w:val="0073188F"/>
    <w:rsid w:val="00732728"/>
    <w:rsid w:val="00733D57"/>
    <w:rsid w:val="00734051"/>
    <w:rsid w:val="007358E8"/>
    <w:rsid w:val="00735A75"/>
    <w:rsid w:val="00736ECE"/>
    <w:rsid w:val="00737034"/>
    <w:rsid w:val="00740279"/>
    <w:rsid w:val="00742D13"/>
    <w:rsid w:val="00743CCD"/>
    <w:rsid w:val="00744B90"/>
    <w:rsid w:val="0074533B"/>
    <w:rsid w:val="00747BA7"/>
    <w:rsid w:val="0075055B"/>
    <w:rsid w:val="00756D39"/>
    <w:rsid w:val="00757298"/>
    <w:rsid w:val="007604F0"/>
    <w:rsid w:val="00760689"/>
    <w:rsid w:val="00762203"/>
    <w:rsid w:val="00763513"/>
    <w:rsid w:val="007643BC"/>
    <w:rsid w:val="00765426"/>
    <w:rsid w:val="00771A53"/>
    <w:rsid w:val="00771C33"/>
    <w:rsid w:val="00773489"/>
    <w:rsid w:val="007736C2"/>
    <w:rsid w:val="007741DE"/>
    <w:rsid w:val="00774488"/>
    <w:rsid w:val="00774D3E"/>
    <w:rsid w:val="00775259"/>
    <w:rsid w:val="00777F1A"/>
    <w:rsid w:val="00780B32"/>
    <w:rsid w:val="00782B33"/>
    <w:rsid w:val="007834AB"/>
    <w:rsid w:val="0078688E"/>
    <w:rsid w:val="007876A2"/>
    <w:rsid w:val="00787760"/>
    <w:rsid w:val="00791E05"/>
    <w:rsid w:val="00794F8D"/>
    <w:rsid w:val="0079524B"/>
    <w:rsid w:val="007959FE"/>
    <w:rsid w:val="007963F2"/>
    <w:rsid w:val="007A0CF1"/>
    <w:rsid w:val="007A12C7"/>
    <w:rsid w:val="007A1FD1"/>
    <w:rsid w:val="007A2771"/>
    <w:rsid w:val="007A28BB"/>
    <w:rsid w:val="007A2B1D"/>
    <w:rsid w:val="007A3793"/>
    <w:rsid w:val="007A3A77"/>
    <w:rsid w:val="007A42DD"/>
    <w:rsid w:val="007B0EB0"/>
    <w:rsid w:val="007B13A0"/>
    <w:rsid w:val="007B15DB"/>
    <w:rsid w:val="007B2A27"/>
    <w:rsid w:val="007B2C73"/>
    <w:rsid w:val="007B2E80"/>
    <w:rsid w:val="007B2EA3"/>
    <w:rsid w:val="007B3007"/>
    <w:rsid w:val="007B35AE"/>
    <w:rsid w:val="007B3D86"/>
    <w:rsid w:val="007B3FE1"/>
    <w:rsid w:val="007B459E"/>
    <w:rsid w:val="007B5413"/>
    <w:rsid w:val="007B547C"/>
    <w:rsid w:val="007B5B44"/>
    <w:rsid w:val="007B6BA5"/>
    <w:rsid w:val="007B7297"/>
    <w:rsid w:val="007C08D6"/>
    <w:rsid w:val="007C160A"/>
    <w:rsid w:val="007C24B9"/>
    <w:rsid w:val="007C2F74"/>
    <w:rsid w:val="007C3384"/>
    <w:rsid w:val="007C3390"/>
    <w:rsid w:val="007C40BA"/>
    <w:rsid w:val="007C42D8"/>
    <w:rsid w:val="007C4F4B"/>
    <w:rsid w:val="007C5704"/>
    <w:rsid w:val="007D0005"/>
    <w:rsid w:val="007D02CA"/>
    <w:rsid w:val="007D16B8"/>
    <w:rsid w:val="007D1D83"/>
    <w:rsid w:val="007D1F06"/>
    <w:rsid w:val="007D2A58"/>
    <w:rsid w:val="007D3B49"/>
    <w:rsid w:val="007D44CB"/>
    <w:rsid w:val="007D6B6F"/>
    <w:rsid w:val="007D7309"/>
    <w:rsid w:val="007D7362"/>
    <w:rsid w:val="007D78BB"/>
    <w:rsid w:val="007D7F57"/>
    <w:rsid w:val="007E0402"/>
    <w:rsid w:val="007E0F09"/>
    <w:rsid w:val="007E0F0A"/>
    <w:rsid w:val="007E2DE4"/>
    <w:rsid w:val="007E2F6C"/>
    <w:rsid w:val="007E3A88"/>
    <w:rsid w:val="007E3E3E"/>
    <w:rsid w:val="007E4AA8"/>
    <w:rsid w:val="007E6C3B"/>
    <w:rsid w:val="007F2491"/>
    <w:rsid w:val="007F3114"/>
    <w:rsid w:val="007F463F"/>
    <w:rsid w:val="007F5AB1"/>
    <w:rsid w:val="007F5CE2"/>
    <w:rsid w:val="007F6611"/>
    <w:rsid w:val="007F755B"/>
    <w:rsid w:val="00801559"/>
    <w:rsid w:val="00801E98"/>
    <w:rsid w:val="0080212D"/>
    <w:rsid w:val="0080234A"/>
    <w:rsid w:val="00802F19"/>
    <w:rsid w:val="0080305F"/>
    <w:rsid w:val="00804562"/>
    <w:rsid w:val="008056EF"/>
    <w:rsid w:val="00805DAF"/>
    <w:rsid w:val="008068C3"/>
    <w:rsid w:val="00807165"/>
    <w:rsid w:val="008074AA"/>
    <w:rsid w:val="00807845"/>
    <w:rsid w:val="0080794A"/>
    <w:rsid w:val="00810068"/>
    <w:rsid w:val="00810364"/>
    <w:rsid w:val="00810BAC"/>
    <w:rsid w:val="00812E43"/>
    <w:rsid w:val="00815799"/>
    <w:rsid w:val="00815939"/>
    <w:rsid w:val="00815A73"/>
    <w:rsid w:val="008166ED"/>
    <w:rsid w:val="008175E9"/>
    <w:rsid w:val="00820962"/>
    <w:rsid w:val="00821733"/>
    <w:rsid w:val="0082325E"/>
    <w:rsid w:val="008242D7"/>
    <w:rsid w:val="008243F2"/>
    <w:rsid w:val="0082577B"/>
    <w:rsid w:val="008278C0"/>
    <w:rsid w:val="00830599"/>
    <w:rsid w:val="0083082A"/>
    <w:rsid w:val="00831F4D"/>
    <w:rsid w:val="008321D7"/>
    <w:rsid w:val="00834074"/>
    <w:rsid w:val="00836218"/>
    <w:rsid w:val="00840B07"/>
    <w:rsid w:val="00843187"/>
    <w:rsid w:val="008439A5"/>
    <w:rsid w:val="00843CF8"/>
    <w:rsid w:val="008440B0"/>
    <w:rsid w:val="00844DA1"/>
    <w:rsid w:val="00844F1F"/>
    <w:rsid w:val="0084740A"/>
    <w:rsid w:val="008510BC"/>
    <w:rsid w:val="00851505"/>
    <w:rsid w:val="00853735"/>
    <w:rsid w:val="00853B66"/>
    <w:rsid w:val="00854DB7"/>
    <w:rsid w:val="00856BC4"/>
    <w:rsid w:val="00856FFE"/>
    <w:rsid w:val="0085759E"/>
    <w:rsid w:val="008606D7"/>
    <w:rsid w:val="008632DF"/>
    <w:rsid w:val="00865E2D"/>
    <w:rsid w:val="00865F14"/>
    <w:rsid w:val="00866893"/>
    <w:rsid w:val="00866E4C"/>
    <w:rsid w:val="00866F02"/>
    <w:rsid w:val="00867B9F"/>
    <w:rsid w:val="00867D18"/>
    <w:rsid w:val="00871443"/>
    <w:rsid w:val="00871F9A"/>
    <w:rsid w:val="00871FD5"/>
    <w:rsid w:val="00873CD7"/>
    <w:rsid w:val="00873D31"/>
    <w:rsid w:val="00875708"/>
    <w:rsid w:val="008764FD"/>
    <w:rsid w:val="00876E84"/>
    <w:rsid w:val="00880334"/>
    <w:rsid w:val="0088172E"/>
    <w:rsid w:val="00881EFA"/>
    <w:rsid w:val="00882B34"/>
    <w:rsid w:val="00884F54"/>
    <w:rsid w:val="00885F46"/>
    <w:rsid w:val="00886592"/>
    <w:rsid w:val="00887096"/>
    <w:rsid w:val="0088746C"/>
    <w:rsid w:val="008879CB"/>
    <w:rsid w:val="00890106"/>
    <w:rsid w:val="008904C5"/>
    <w:rsid w:val="00890584"/>
    <w:rsid w:val="00890834"/>
    <w:rsid w:val="00892C1B"/>
    <w:rsid w:val="00893C17"/>
    <w:rsid w:val="00896D1D"/>
    <w:rsid w:val="008979B1"/>
    <w:rsid w:val="008A2ED8"/>
    <w:rsid w:val="008A3F3E"/>
    <w:rsid w:val="008A4ECB"/>
    <w:rsid w:val="008A59C3"/>
    <w:rsid w:val="008A6B25"/>
    <w:rsid w:val="008A6C4F"/>
    <w:rsid w:val="008A7474"/>
    <w:rsid w:val="008B12B0"/>
    <w:rsid w:val="008B19DC"/>
    <w:rsid w:val="008B264B"/>
    <w:rsid w:val="008B2B95"/>
    <w:rsid w:val="008B2E0C"/>
    <w:rsid w:val="008B2E4A"/>
    <w:rsid w:val="008B2FDE"/>
    <w:rsid w:val="008B389E"/>
    <w:rsid w:val="008B55C3"/>
    <w:rsid w:val="008B69A2"/>
    <w:rsid w:val="008C01DA"/>
    <w:rsid w:val="008C075E"/>
    <w:rsid w:val="008C0CD6"/>
    <w:rsid w:val="008C1D02"/>
    <w:rsid w:val="008C207B"/>
    <w:rsid w:val="008C2321"/>
    <w:rsid w:val="008C34D0"/>
    <w:rsid w:val="008C53ED"/>
    <w:rsid w:val="008C6E05"/>
    <w:rsid w:val="008C7771"/>
    <w:rsid w:val="008D045E"/>
    <w:rsid w:val="008D0DCA"/>
    <w:rsid w:val="008D0E31"/>
    <w:rsid w:val="008D2CD1"/>
    <w:rsid w:val="008D3F25"/>
    <w:rsid w:val="008D4D82"/>
    <w:rsid w:val="008D6C07"/>
    <w:rsid w:val="008D71A1"/>
    <w:rsid w:val="008D73F2"/>
    <w:rsid w:val="008E00C5"/>
    <w:rsid w:val="008E0E46"/>
    <w:rsid w:val="008E166F"/>
    <w:rsid w:val="008E1C2A"/>
    <w:rsid w:val="008E2A4A"/>
    <w:rsid w:val="008E2C70"/>
    <w:rsid w:val="008E34DE"/>
    <w:rsid w:val="008E351B"/>
    <w:rsid w:val="008E3894"/>
    <w:rsid w:val="008E43BC"/>
    <w:rsid w:val="008E51B3"/>
    <w:rsid w:val="008E55A2"/>
    <w:rsid w:val="008E663D"/>
    <w:rsid w:val="008E6C92"/>
    <w:rsid w:val="008E7116"/>
    <w:rsid w:val="008E7C6E"/>
    <w:rsid w:val="008F143B"/>
    <w:rsid w:val="008F333E"/>
    <w:rsid w:val="008F351A"/>
    <w:rsid w:val="008F3882"/>
    <w:rsid w:val="008F4489"/>
    <w:rsid w:val="008F4B7C"/>
    <w:rsid w:val="008F56D2"/>
    <w:rsid w:val="008F5B97"/>
    <w:rsid w:val="008F7921"/>
    <w:rsid w:val="008F7F16"/>
    <w:rsid w:val="009005AF"/>
    <w:rsid w:val="009011D2"/>
    <w:rsid w:val="009016EB"/>
    <w:rsid w:val="009027D0"/>
    <w:rsid w:val="00904376"/>
    <w:rsid w:val="009043E1"/>
    <w:rsid w:val="00910034"/>
    <w:rsid w:val="009103F5"/>
    <w:rsid w:val="00910682"/>
    <w:rsid w:val="00911FC1"/>
    <w:rsid w:val="009146C3"/>
    <w:rsid w:val="00915E45"/>
    <w:rsid w:val="0091640F"/>
    <w:rsid w:val="00916CF3"/>
    <w:rsid w:val="00917BBF"/>
    <w:rsid w:val="00920035"/>
    <w:rsid w:val="0092043B"/>
    <w:rsid w:val="00920EBE"/>
    <w:rsid w:val="009223EE"/>
    <w:rsid w:val="00922BD1"/>
    <w:rsid w:val="0092351D"/>
    <w:rsid w:val="00926675"/>
    <w:rsid w:val="00926E47"/>
    <w:rsid w:val="00926EA8"/>
    <w:rsid w:val="00930507"/>
    <w:rsid w:val="00931EB5"/>
    <w:rsid w:val="00936D56"/>
    <w:rsid w:val="009370AE"/>
    <w:rsid w:val="00937468"/>
    <w:rsid w:val="00941377"/>
    <w:rsid w:val="0094156C"/>
    <w:rsid w:val="00941AAA"/>
    <w:rsid w:val="00942201"/>
    <w:rsid w:val="00943B62"/>
    <w:rsid w:val="00943C2B"/>
    <w:rsid w:val="00944E7E"/>
    <w:rsid w:val="0094596D"/>
    <w:rsid w:val="00947162"/>
    <w:rsid w:val="00947495"/>
    <w:rsid w:val="009478FC"/>
    <w:rsid w:val="00950383"/>
    <w:rsid w:val="00950A9A"/>
    <w:rsid w:val="00952E9B"/>
    <w:rsid w:val="0095325B"/>
    <w:rsid w:val="00954B2C"/>
    <w:rsid w:val="00954B82"/>
    <w:rsid w:val="00954DF0"/>
    <w:rsid w:val="00955921"/>
    <w:rsid w:val="009562A7"/>
    <w:rsid w:val="0096090A"/>
    <w:rsid w:val="009610D0"/>
    <w:rsid w:val="0096284D"/>
    <w:rsid w:val="0096375C"/>
    <w:rsid w:val="0096376E"/>
    <w:rsid w:val="00965374"/>
    <w:rsid w:val="009653EA"/>
    <w:rsid w:val="00965400"/>
    <w:rsid w:val="009662E6"/>
    <w:rsid w:val="00966EFF"/>
    <w:rsid w:val="009676F3"/>
    <w:rsid w:val="0097007A"/>
    <w:rsid w:val="00970887"/>
    <w:rsid w:val="0097095E"/>
    <w:rsid w:val="009711C7"/>
    <w:rsid w:val="00973AFB"/>
    <w:rsid w:val="00975104"/>
    <w:rsid w:val="00980600"/>
    <w:rsid w:val="00980C4A"/>
    <w:rsid w:val="00980D41"/>
    <w:rsid w:val="00981BAC"/>
    <w:rsid w:val="0098352F"/>
    <w:rsid w:val="00983C86"/>
    <w:rsid w:val="0098592B"/>
    <w:rsid w:val="00985FC4"/>
    <w:rsid w:val="0098647C"/>
    <w:rsid w:val="009869D7"/>
    <w:rsid w:val="00987BB4"/>
    <w:rsid w:val="00990766"/>
    <w:rsid w:val="00990FEA"/>
    <w:rsid w:val="00991261"/>
    <w:rsid w:val="00992407"/>
    <w:rsid w:val="00994189"/>
    <w:rsid w:val="0099466C"/>
    <w:rsid w:val="009958E7"/>
    <w:rsid w:val="009964C4"/>
    <w:rsid w:val="00996CB6"/>
    <w:rsid w:val="00997297"/>
    <w:rsid w:val="00997BF7"/>
    <w:rsid w:val="009A0BD8"/>
    <w:rsid w:val="009A4157"/>
    <w:rsid w:val="009A510B"/>
    <w:rsid w:val="009A5A3B"/>
    <w:rsid w:val="009A77E8"/>
    <w:rsid w:val="009A7A96"/>
    <w:rsid w:val="009A7B63"/>
    <w:rsid w:val="009A7B81"/>
    <w:rsid w:val="009A7E21"/>
    <w:rsid w:val="009B06C7"/>
    <w:rsid w:val="009B07CC"/>
    <w:rsid w:val="009B4F40"/>
    <w:rsid w:val="009B6287"/>
    <w:rsid w:val="009B7824"/>
    <w:rsid w:val="009C0131"/>
    <w:rsid w:val="009C0C70"/>
    <w:rsid w:val="009C1091"/>
    <w:rsid w:val="009C34D8"/>
    <w:rsid w:val="009C46AA"/>
    <w:rsid w:val="009C5985"/>
    <w:rsid w:val="009C6130"/>
    <w:rsid w:val="009C6635"/>
    <w:rsid w:val="009C68D1"/>
    <w:rsid w:val="009C7FA7"/>
    <w:rsid w:val="009D01C0"/>
    <w:rsid w:val="009D053C"/>
    <w:rsid w:val="009D0DF6"/>
    <w:rsid w:val="009D3715"/>
    <w:rsid w:val="009D59C3"/>
    <w:rsid w:val="009D60E9"/>
    <w:rsid w:val="009D6A08"/>
    <w:rsid w:val="009D75F8"/>
    <w:rsid w:val="009E0A16"/>
    <w:rsid w:val="009E0CA9"/>
    <w:rsid w:val="009E0F77"/>
    <w:rsid w:val="009E1B35"/>
    <w:rsid w:val="009E47AA"/>
    <w:rsid w:val="009E6CB7"/>
    <w:rsid w:val="009E7203"/>
    <w:rsid w:val="009E7970"/>
    <w:rsid w:val="009F142B"/>
    <w:rsid w:val="009F284C"/>
    <w:rsid w:val="009F2EAC"/>
    <w:rsid w:val="009F388A"/>
    <w:rsid w:val="009F3918"/>
    <w:rsid w:val="009F3F88"/>
    <w:rsid w:val="009F57E3"/>
    <w:rsid w:val="009F5B27"/>
    <w:rsid w:val="009F64E5"/>
    <w:rsid w:val="00A018B0"/>
    <w:rsid w:val="00A0206F"/>
    <w:rsid w:val="00A0211E"/>
    <w:rsid w:val="00A02E3F"/>
    <w:rsid w:val="00A04980"/>
    <w:rsid w:val="00A04DA2"/>
    <w:rsid w:val="00A05831"/>
    <w:rsid w:val="00A074A0"/>
    <w:rsid w:val="00A07F15"/>
    <w:rsid w:val="00A102F1"/>
    <w:rsid w:val="00A10F4F"/>
    <w:rsid w:val="00A11067"/>
    <w:rsid w:val="00A113CB"/>
    <w:rsid w:val="00A12B61"/>
    <w:rsid w:val="00A13865"/>
    <w:rsid w:val="00A144EF"/>
    <w:rsid w:val="00A14CCB"/>
    <w:rsid w:val="00A1704A"/>
    <w:rsid w:val="00A208A3"/>
    <w:rsid w:val="00A20A27"/>
    <w:rsid w:val="00A230E8"/>
    <w:rsid w:val="00A24440"/>
    <w:rsid w:val="00A24953"/>
    <w:rsid w:val="00A24A80"/>
    <w:rsid w:val="00A24C58"/>
    <w:rsid w:val="00A25C4F"/>
    <w:rsid w:val="00A26F45"/>
    <w:rsid w:val="00A26F86"/>
    <w:rsid w:val="00A27289"/>
    <w:rsid w:val="00A274FB"/>
    <w:rsid w:val="00A308B6"/>
    <w:rsid w:val="00A30DEC"/>
    <w:rsid w:val="00A3115D"/>
    <w:rsid w:val="00A31379"/>
    <w:rsid w:val="00A32BCA"/>
    <w:rsid w:val="00A33418"/>
    <w:rsid w:val="00A34864"/>
    <w:rsid w:val="00A35482"/>
    <w:rsid w:val="00A37415"/>
    <w:rsid w:val="00A376B7"/>
    <w:rsid w:val="00A401FD"/>
    <w:rsid w:val="00A4056A"/>
    <w:rsid w:val="00A40B23"/>
    <w:rsid w:val="00A40BFE"/>
    <w:rsid w:val="00A41667"/>
    <w:rsid w:val="00A420AC"/>
    <w:rsid w:val="00A425EB"/>
    <w:rsid w:val="00A429CE"/>
    <w:rsid w:val="00A46644"/>
    <w:rsid w:val="00A472DC"/>
    <w:rsid w:val="00A52647"/>
    <w:rsid w:val="00A526F0"/>
    <w:rsid w:val="00A533B1"/>
    <w:rsid w:val="00A5462D"/>
    <w:rsid w:val="00A55E9E"/>
    <w:rsid w:val="00A56AC4"/>
    <w:rsid w:val="00A5715A"/>
    <w:rsid w:val="00A57538"/>
    <w:rsid w:val="00A61ABE"/>
    <w:rsid w:val="00A61C76"/>
    <w:rsid w:val="00A62734"/>
    <w:rsid w:val="00A62FE7"/>
    <w:rsid w:val="00A665E3"/>
    <w:rsid w:val="00A705C8"/>
    <w:rsid w:val="00A70FEB"/>
    <w:rsid w:val="00A71BAF"/>
    <w:rsid w:val="00A72F22"/>
    <w:rsid w:val="00A733BC"/>
    <w:rsid w:val="00A748A6"/>
    <w:rsid w:val="00A74D6C"/>
    <w:rsid w:val="00A755D7"/>
    <w:rsid w:val="00A7567E"/>
    <w:rsid w:val="00A76A69"/>
    <w:rsid w:val="00A77280"/>
    <w:rsid w:val="00A805A7"/>
    <w:rsid w:val="00A807DC"/>
    <w:rsid w:val="00A808D6"/>
    <w:rsid w:val="00A82E88"/>
    <w:rsid w:val="00A835EF"/>
    <w:rsid w:val="00A83CEF"/>
    <w:rsid w:val="00A843ED"/>
    <w:rsid w:val="00A85142"/>
    <w:rsid w:val="00A85A88"/>
    <w:rsid w:val="00A86116"/>
    <w:rsid w:val="00A862E8"/>
    <w:rsid w:val="00A869BD"/>
    <w:rsid w:val="00A86BD0"/>
    <w:rsid w:val="00A879A4"/>
    <w:rsid w:val="00A91739"/>
    <w:rsid w:val="00A92F3E"/>
    <w:rsid w:val="00A93AD8"/>
    <w:rsid w:val="00A940C1"/>
    <w:rsid w:val="00A94276"/>
    <w:rsid w:val="00A95007"/>
    <w:rsid w:val="00A95B78"/>
    <w:rsid w:val="00A96351"/>
    <w:rsid w:val="00A96469"/>
    <w:rsid w:val="00A96C2C"/>
    <w:rsid w:val="00A97CA5"/>
    <w:rsid w:val="00A97F8E"/>
    <w:rsid w:val="00AA0FF8"/>
    <w:rsid w:val="00AA325C"/>
    <w:rsid w:val="00AA33A2"/>
    <w:rsid w:val="00AA3F1D"/>
    <w:rsid w:val="00AA4456"/>
    <w:rsid w:val="00AA495E"/>
    <w:rsid w:val="00AA7413"/>
    <w:rsid w:val="00AA7DDA"/>
    <w:rsid w:val="00AB0386"/>
    <w:rsid w:val="00AB05FF"/>
    <w:rsid w:val="00AB266D"/>
    <w:rsid w:val="00AB2AA0"/>
    <w:rsid w:val="00AB33E7"/>
    <w:rsid w:val="00AB42D5"/>
    <w:rsid w:val="00AB44CD"/>
    <w:rsid w:val="00AB5DB3"/>
    <w:rsid w:val="00AB5F7E"/>
    <w:rsid w:val="00AB61A8"/>
    <w:rsid w:val="00AB61DD"/>
    <w:rsid w:val="00AB690F"/>
    <w:rsid w:val="00AB6C77"/>
    <w:rsid w:val="00AB7B14"/>
    <w:rsid w:val="00AC0F2C"/>
    <w:rsid w:val="00AC110E"/>
    <w:rsid w:val="00AC11A8"/>
    <w:rsid w:val="00AC18A5"/>
    <w:rsid w:val="00AC27C2"/>
    <w:rsid w:val="00AC3E50"/>
    <w:rsid w:val="00AC502A"/>
    <w:rsid w:val="00AD12C6"/>
    <w:rsid w:val="00AD1B6B"/>
    <w:rsid w:val="00AD4D72"/>
    <w:rsid w:val="00AD5427"/>
    <w:rsid w:val="00AD5B7D"/>
    <w:rsid w:val="00AE1229"/>
    <w:rsid w:val="00AE1A33"/>
    <w:rsid w:val="00AE1A8E"/>
    <w:rsid w:val="00AE1B5F"/>
    <w:rsid w:val="00AE38DB"/>
    <w:rsid w:val="00AE3AAC"/>
    <w:rsid w:val="00AE40D9"/>
    <w:rsid w:val="00AE73D1"/>
    <w:rsid w:val="00AE796A"/>
    <w:rsid w:val="00AF0E54"/>
    <w:rsid w:val="00AF1F2B"/>
    <w:rsid w:val="00AF3CA4"/>
    <w:rsid w:val="00AF3F9A"/>
    <w:rsid w:val="00AF4DF0"/>
    <w:rsid w:val="00AF58C1"/>
    <w:rsid w:val="00B02A05"/>
    <w:rsid w:val="00B0369C"/>
    <w:rsid w:val="00B037F4"/>
    <w:rsid w:val="00B044EB"/>
    <w:rsid w:val="00B0450D"/>
    <w:rsid w:val="00B04A3F"/>
    <w:rsid w:val="00B04BB9"/>
    <w:rsid w:val="00B06243"/>
    <w:rsid w:val="00B06643"/>
    <w:rsid w:val="00B06973"/>
    <w:rsid w:val="00B1122A"/>
    <w:rsid w:val="00B11B56"/>
    <w:rsid w:val="00B12949"/>
    <w:rsid w:val="00B12BAF"/>
    <w:rsid w:val="00B12FB7"/>
    <w:rsid w:val="00B13238"/>
    <w:rsid w:val="00B1374F"/>
    <w:rsid w:val="00B1446B"/>
    <w:rsid w:val="00B1472E"/>
    <w:rsid w:val="00B14834"/>
    <w:rsid w:val="00B15055"/>
    <w:rsid w:val="00B150CC"/>
    <w:rsid w:val="00B1707E"/>
    <w:rsid w:val="00B176AE"/>
    <w:rsid w:val="00B203D9"/>
    <w:rsid w:val="00B222D6"/>
    <w:rsid w:val="00B22685"/>
    <w:rsid w:val="00B22A6C"/>
    <w:rsid w:val="00B24F7A"/>
    <w:rsid w:val="00B27077"/>
    <w:rsid w:val="00B2723D"/>
    <w:rsid w:val="00B27249"/>
    <w:rsid w:val="00B30179"/>
    <w:rsid w:val="00B3131C"/>
    <w:rsid w:val="00B32039"/>
    <w:rsid w:val="00B32CB0"/>
    <w:rsid w:val="00B34C9E"/>
    <w:rsid w:val="00B351A5"/>
    <w:rsid w:val="00B355B9"/>
    <w:rsid w:val="00B35A23"/>
    <w:rsid w:val="00B362AC"/>
    <w:rsid w:val="00B36850"/>
    <w:rsid w:val="00B37B15"/>
    <w:rsid w:val="00B4019D"/>
    <w:rsid w:val="00B40974"/>
    <w:rsid w:val="00B416B0"/>
    <w:rsid w:val="00B43511"/>
    <w:rsid w:val="00B4434E"/>
    <w:rsid w:val="00B44607"/>
    <w:rsid w:val="00B44FF0"/>
    <w:rsid w:val="00B45C02"/>
    <w:rsid w:val="00B45C74"/>
    <w:rsid w:val="00B4788C"/>
    <w:rsid w:val="00B5120A"/>
    <w:rsid w:val="00B516BF"/>
    <w:rsid w:val="00B51E49"/>
    <w:rsid w:val="00B54D7C"/>
    <w:rsid w:val="00B551AF"/>
    <w:rsid w:val="00B57E0E"/>
    <w:rsid w:val="00B623EA"/>
    <w:rsid w:val="00B63470"/>
    <w:rsid w:val="00B636B2"/>
    <w:rsid w:val="00B63701"/>
    <w:rsid w:val="00B64A62"/>
    <w:rsid w:val="00B65176"/>
    <w:rsid w:val="00B65861"/>
    <w:rsid w:val="00B712C4"/>
    <w:rsid w:val="00B72953"/>
    <w:rsid w:val="00B72A1E"/>
    <w:rsid w:val="00B72D5E"/>
    <w:rsid w:val="00B75A77"/>
    <w:rsid w:val="00B76D0F"/>
    <w:rsid w:val="00B774A0"/>
    <w:rsid w:val="00B81E12"/>
    <w:rsid w:val="00B81F7A"/>
    <w:rsid w:val="00B82832"/>
    <w:rsid w:val="00B8604F"/>
    <w:rsid w:val="00B932CB"/>
    <w:rsid w:val="00B941FE"/>
    <w:rsid w:val="00B95B34"/>
    <w:rsid w:val="00B96AE8"/>
    <w:rsid w:val="00BA0762"/>
    <w:rsid w:val="00BA0888"/>
    <w:rsid w:val="00BA153D"/>
    <w:rsid w:val="00BA339B"/>
    <w:rsid w:val="00BA34B4"/>
    <w:rsid w:val="00BA4E33"/>
    <w:rsid w:val="00BA70B1"/>
    <w:rsid w:val="00BA73B5"/>
    <w:rsid w:val="00BA76AC"/>
    <w:rsid w:val="00BB17FD"/>
    <w:rsid w:val="00BB242A"/>
    <w:rsid w:val="00BB2E89"/>
    <w:rsid w:val="00BB5B10"/>
    <w:rsid w:val="00BB6621"/>
    <w:rsid w:val="00BC0245"/>
    <w:rsid w:val="00BC0A4E"/>
    <w:rsid w:val="00BC1CD2"/>
    <w:rsid w:val="00BC1E7E"/>
    <w:rsid w:val="00BC1F91"/>
    <w:rsid w:val="00BC21A9"/>
    <w:rsid w:val="00BC2260"/>
    <w:rsid w:val="00BC2E91"/>
    <w:rsid w:val="00BC35D6"/>
    <w:rsid w:val="00BC48FD"/>
    <w:rsid w:val="00BC708B"/>
    <w:rsid w:val="00BC74E9"/>
    <w:rsid w:val="00BD01FF"/>
    <w:rsid w:val="00BD0290"/>
    <w:rsid w:val="00BD080D"/>
    <w:rsid w:val="00BD2A7D"/>
    <w:rsid w:val="00BD2BDC"/>
    <w:rsid w:val="00BD71E6"/>
    <w:rsid w:val="00BE0255"/>
    <w:rsid w:val="00BE1D86"/>
    <w:rsid w:val="00BE36A9"/>
    <w:rsid w:val="00BE5529"/>
    <w:rsid w:val="00BE5B2B"/>
    <w:rsid w:val="00BE5E50"/>
    <w:rsid w:val="00BE5EA6"/>
    <w:rsid w:val="00BE618E"/>
    <w:rsid w:val="00BE6C95"/>
    <w:rsid w:val="00BE7BEC"/>
    <w:rsid w:val="00BF0A5A"/>
    <w:rsid w:val="00BF0E63"/>
    <w:rsid w:val="00BF0E8A"/>
    <w:rsid w:val="00BF11A5"/>
    <w:rsid w:val="00BF12A3"/>
    <w:rsid w:val="00BF16D7"/>
    <w:rsid w:val="00BF2373"/>
    <w:rsid w:val="00BF24D5"/>
    <w:rsid w:val="00BF2918"/>
    <w:rsid w:val="00BF2A5A"/>
    <w:rsid w:val="00BF2D47"/>
    <w:rsid w:val="00BF3F83"/>
    <w:rsid w:val="00BF40E3"/>
    <w:rsid w:val="00BF48A2"/>
    <w:rsid w:val="00BF607E"/>
    <w:rsid w:val="00BF6133"/>
    <w:rsid w:val="00BF6FB5"/>
    <w:rsid w:val="00BF74EF"/>
    <w:rsid w:val="00BF7693"/>
    <w:rsid w:val="00BF7FF3"/>
    <w:rsid w:val="00C00F3A"/>
    <w:rsid w:val="00C016AA"/>
    <w:rsid w:val="00C01EB6"/>
    <w:rsid w:val="00C044E2"/>
    <w:rsid w:val="00C048CB"/>
    <w:rsid w:val="00C052D8"/>
    <w:rsid w:val="00C05F75"/>
    <w:rsid w:val="00C066F3"/>
    <w:rsid w:val="00C0766E"/>
    <w:rsid w:val="00C11114"/>
    <w:rsid w:val="00C12DFF"/>
    <w:rsid w:val="00C1303E"/>
    <w:rsid w:val="00C136EC"/>
    <w:rsid w:val="00C14AD1"/>
    <w:rsid w:val="00C14AEA"/>
    <w:rsid w:val="00C155E5"/>
    <w:rsid w:val="00C15EE8"/>
    <w:rsid w:val="00C16BB4"/>
    <w:rsid w:val="00C17EFC"/>
    <w:rsid w:val="00C2336D"/>
    <w:rsid w:val="00C23EB4"/>
    <w:rsid w:val="00C268F7"/>
    <w:rsid w:val="00C27A95"/>
    <w:rsid w:val="00C27B61"/>
    <w:rsid w:val="00C27FA7"/>
    <w:rsid w:val="00C3437E"/>
    <w:rsid w:val="00C34CAB"/>
    <w:rsid w:val="00C359F8"/>
    <w:rsid w:val="00C363D0"/>
    <w:rsid w:val="00C36AFB"/>
    <w:rsid w:val="00C37AA6"/>
    <w:rsid w:val="00C37D60"/>
    <w:rsid w:val="00C40A42"/>
    <w:rsid w:val="00C410F8"/>
    <w:rsid w:val="00C4408D"/>
    <w:rsid w:val="00C44B68"/>
    <w:rsid w:val="00C463DD"/>
    <w:rsid w:val="00C46B07"/>
    <w:rsid w:val="00C475EA"/>
    <w:rsid w:val="00C50C3D"/>
    <w:rsid w:val="00C56EB6"/>
    <w:rsid w:val="00C64302"/>
    <w:rsid w:val="00C65E14"/>
    <w:rsid w:val="00C67BDC"/>
    <w:rsid w:val="00C70050"/>
    <w:rsid w:val="00C70202"/>
    <w:rsid w:val="00C716C8"/>
    <w:rsid w:val="00C71E3A"/>
    <w:rsid w:val="00C72C3F"/>
    <w:rsid w:val="00C72FDF"/>
    <w:rsid w:val="00C730E6"/>
    <w:rsid w:val="00C738E9"/>
    <w:rsid w:val="00C745C3"/>
    <w:rsid w:val="00C74793"/>
    <w:rsid w:val="00C769B6"/>
    <w:rsid w:val="00C80409"/>
    <w:rsid w:val="00C80C86"/>
    <w:rsid w:val="00C811D9"/>
    <w:rsid w:val="00C81BB0"/>
    <w:rsid w:val="00C821CE"/>
    <w:rsid w:val="00C847CD"/>
    <w:rsid w:val="00C853B7"/>
    <w:rsid w:val="00C855C5"/>
    <w:rsid w:val="00C85909"/>
    <w:rsid w:val="00C91674"/>
    <w:rsid w:val="00C93984"/>
    <w:rsid w:val="00C93ADA"/>
    <w:rsid w:val="00C94553"/>
    <w:rsid w:val="00C95DCF"/>
    <w:rsid w:val="00C96A65"/>
    <w:rsid w:val="00C97A51"/>
    <w:rsid w:val="00C97CF4"/>
    <w:rsid w:val="00CA0D60"/>
    <w:rsid w:val="00CA19C3"/>
    <w:rsid w:val="00CA1A2C"/>
    <w:rsid w:val="00CA24A4"/>
    <w:rsid w:val="00CA2DCA"/>
    <w:rsid w:val="00CA519D"/>
    <w:rsid w:val="00CA5F8D"/>
    <w:rsid w:val="00CA6EC7"/>
    <w:rsid w:val="00CA7EE1"/>
    <w:rsid w:val="00CB1384"/>
    <w:rsid w:val="00CB2023"/>
    <w:rsid w:val="00CB2D0B"/>
    <w:rsid w:val="00CB348D"/>
    <w:rsid w:val="00CB3E3F"/>
    <w:rsid w:val="00CB47F7"/>
    <w:rsid w:val="00CB4B47"/>
    <w:rsid w:val="00CB7E63"/>
    <w:rsid w:val="00CC2C0B"/>
    <w:rsid w:val="00CC3C29"/>
    <w:rsid w:val="00CC478F"/>
    <w:rsid w:val="00CC4E67"/>
    <w:rsid w:val="00CC5B03"/>
    <w:rsid w:val="00CC6DCC"/>
    <w:rsid w:val="00CC7EC1"/>
    <w:rsid w:val="00CD3618"/>
    <w:rsid w:val="00CD46F5"/>
    <w:rsid w:val="00CD4B85"/>
    <w:rsid w:val="00CD4E12"/>
    <w:rsid w:val="00CD6E7B"/>
    <w:rsid w:val="00CE1050"/>
    <w:rsid w:val="00CE2F4F"/>
    <w:rsid w:val="00CE4A8F"/>
    <w:rsid w:val="00CE5722"/>
    <w:rsid w:val="00CE5A18"/>
    <w:rsid w:val="00CE6697"/>
    <w:rsid w:val="00CE6946"/>
    <w:rsid w:val="00CF0422"/>
    <w:rsid w:val="00CF071D"/>
    <w:rsid w:val="00CF261A"/>
    <w:rsid w:val="00CF29EA"/>
    <w:rsid w:val="00CF4545"/>
    <w:rsid w:val="00CF504B"/>
    <w:rsid w:val="00CF5C24"/>
    <w:rsid w:val="00CF5C7B"/>
    <w:rsid w:val="00D00254"/>
    <w:rsid w:val="00D00F9E"/>
    <w:rsid w:val="00D01C2C"/>
    <w:rsid w:val="00D02873"/>
    <w:rsid w:val="00D031D7"/>
    <w:rsid w:val="00D04467"/>
    <w:rsid w:val="00D05C3A"/>
    <w:rsid w:val="00D05D84"/>
    <w:rsid w:val="00D05EFB"/>
    <w:rsid w:val="00D0701A"/>
    <w:rsid w:val="00D118D8"/>
    <w:rsid w:val="00D121C0"/>
    <w:rsid w:val="00D154F3"/>
    <w:rsid w:val="00D15777"/>
    <w:rsid w:val="00D15B04"/>
    <w:rsid w:val="00D15F0F"/>
    <w:rsid w:val="00D15F14"/>
    <w:rsid w:val="00D167A3"/>
    <w:rsid w:val="00D2031B"/>
    <w:rsid w:val="00D20F23"/>
    <w:rsid w:val="00D2195C"/>
    <w:rsid w:val="00D22DDD"/>
    <w:rsid w:val="00D25B2E"/>
    <w:rsid w:val="00D25FE2"/>
    <w:rsid w:val="00D2745F"/>
    <w:rsid w:val="00D2750D"/>
    <w:rsid w:val="00D27A81"/>
    <w:rsid w:val="00D31A9B"/>
    <w:rsid w:val="00D32E50"/>
    <w:rsid w:val="00D33286"/>
    <w:rsid w:val="00D33DEE"/>
    <w:rsid w:val="00D3418C"/>
    <w:rsid w:val="00D354EB"/>
    <w:rsid w:val="00D35641"/>
    <w:rsid w:val="00D3599B"/>
    <w:rsid w:val="00D36493"/>
    <w:rsid w:val="00D36D67"/>
    <w:rsid w:val="00D37DA9"/>
    <w:rsid w:val="00D406A7"/>
    <w:rsid w:val="00D4240C"/>
    <w:rsid w:val="00D42C6A"/>
    <w:rsid w:val="00D43252"/>
    <w:rsid w:val="00D44D86"/>
    <w:rsid w:val="00D44F92"/>
    <w:rsid w:val="00D50B7D"/>
    <w:rsid w:val="00D51F3C"/>
    <w:rsid w:val="00D52012"/>
    <w:rsid w:val="00D52575"/>
    <w:rsid w:val="00D528C2"/>
    <w:rsid w:val="00D53475"/>
    <w:rsid w:val="00D54674"/>
    <w:rsid w:val="00D54FF9"/>
    <w:rsid w:val="00D55E89"/>
    <w:rsid w:val="00D565C8"/>
    <w:rsid w:val="00D6141E"/>
    <w:rsid w:val="00D62A54"/>
    <w:rsid w:val="00D65020"/>
    <w:rsid w:val="00D6518D"/>
    <w:rsid w:val="00D6528A"/>
    <w:rsid w:val="00D653AA"/>
    <w:rsid w:val="00D67558"/>
    <w:rsid w:val="00D7044E"/>
    <w:rsid w:val="00D704E5"/>
    <w:rsid w:val="00D72577"/>
    <w:rsid w:val="00D72727"/>
    <w:rsid w:val="00D74091"/>
    <w:rsid w:val="00D755B2"/>
    <w:rsid w:val="00D75EFE"/>
    <w:rsid w:val="00D76015"/>
    <w:rsid w:val="00D8168E"/>
    <w:rsid w:val="00D84E87"/>
    <w:rsid w:val="00D851D5"/>
    <w:rsid w:val="00D8555B"/>
    <w:rsid w:val="00D85C00"/>
    <w:rsid w:val="00D86BD9"/>
    <w:rsid w:val="00D87A3A"/>
    <w:rsid w:val="00D901BE"/>
    <w:rsid w:val="00D92C71"/>
    <w:rsid w:val="00D92FA5"/>
    <w:rsid w:val="00D942D5"/>
    <w:rsid w:val="00D9436B"/>
    <w:rsid w:val="00D95ED3"/>
    <w:rsid w:val="00D978C6"/>
    <w:rsid w:val="00DA0956"/>
    <w:rsid w:val="00DA0A28"/>
    <w:rsid w:val="00DA108D"/>
    <w:rsid w:val="00DA1F2A"/>
    <w:rsid w:val="00DA28BE"/>
    <w:rsid w:val="00DA2BDA"/>
    <w:rsid w:val="00DA2D5E"/>
    <w:rsid w:val="00DA357F"/>
    <w:rsid w:val="00DA3E12"/>
    <w:rsid w:val="00DB2DBE"/>
    <w:rsid w:val="00DB34D8"/>
    <w:rsid w:val="00DB3EFB"/>
    <w:rsid w:val="00DB5106"/>
    <w:rsid w:val="00DB6FDB"/>
    <w:rsid w:val="00DB7EA1"/>
    <w:rsid w:val="00DC1224"/>
    <w:rsid w:val="00DC13CB"/>
    <w:rsid w:val="00DC18AD"/>
    <w:rsid w:val="00DC29BA"/>
    <w:rsid w:val="00DC2F48"/>
    <w:rsid w:val="00DC3398"/>
    <w:rsid w:val="00DC60EB"/>
    <w:rsid w:val="00DC6892"/>
    <w:rsid w:val="00DC6CAE"/>
    <w:rsid w:val="00DD0DFB"/>
    <w:rsid w:val="00DD131D"/>
    <w:rsid w:val="00DD26ED"/>
    <w:rsid w:val="00DD2DCF"/>
    <w:rsid w:val="00DD3315"/>
    <w:rsid w:val="00DD493A"/>
    <w:rsid w:val="00DD56B3"/>
    <w:rsid w:val="00DD5E63"/>
    <w:rsid w:val="00DD6FD0"/>
    <w:rsid w:val="00DD73D0"/>
    <w:rsid w:val="00DD76C8"/>
    <w:rsid w:val="00DD7CF8"/>
    <w:rsid w:val="00DD7F43"/>
    <w:rsid w:val="00DE0879"/>
    <w:rsid w:val="00DE094C"/>
    <w:rsid w:val="00DE0DF8"/>
    <w:rsid w:val="00DE1A59"/>
    <w:rsid w:val="00DE3CC9"/>
    <w:rsid w:val="00DE6D16"/>
    <w:rsid w:val="00DE6F92"/>
    <w:rsid w:val="00DF00F3"/>
    <w:rsid w:val="00DF0799"/>
    <w:rsid w:val="00DF1700"/>
    <w:rsid w:val="00DF29F7"/>
    <w:rsid w:val="00DF4950"/>
    <w:rsid w:val="00DF71CD"/>
    <w:rsid w:val="00DF7CAE"/>
    <w:rsid w:val="00E00FCF"/>
    <w:rsid w:val="00E018A8"/>
    <w:rsid w:val="00E037E4"/>
    <w:rsid w:val="00E038EB"/>
    <w:rsid w:val="00E03A4D"/>
    <w:rsid w:val="00E0414C"/>
    <w:rsid w:val="00E0452B"/>
    <w:rsid w:val="00E06E4A"/>
    <w:rsid w:val="00E11290"/>
    <w:rsid w:val="00E12BA0"/>
    <w:rsid w:val="00E148D5"/>
    <w:rsid w:val="00E149A8"/>
    <w:rsid w:val="00E16195"/>
    <w:rsid w:val="00E16C9F"/>
    <w:rsid w:val="00E17B55"/>
    <w:rsid w:val="00E2042E"/>
    <w:rsid w:val="00E24CCA"/>
    <w:rsid w:val="00E25C79"/>
    <w:rsid w:val="00E2735B"/>
    <w:rsid w:val="00E300CF"/>
    <w:rsid w:val="00E320B0"/>
    <w:rsid w:val="00E32219"/>
    <w:rsid w:val="00E33897"/>
    <w:rsid w:val="00E3603C"/>
    <w:rsid w:val="00E37B28"/>
    <w:rsid w:val="00E403E5"/>
    <w:rsid w:val="00E404DD"/>
    <w:rsid w:val="00E407A6"/>
    <w:rsid w:val="00E4111C"/>
    <w:rsid w:val="00E41E10"/>
    <w:rsid w:val="00E423C0"/>
    <w:rsid w:val="00E429DB"/>
    <w:rsid w:val="00E42CBD"/>
    <w:rsid w:val="00E4358C"/>
    <w:rsid w:val="00E43B98"/>
    <w:rsid w:val="00E43FDB"/>
    <w:rsid w:val="00E449F2"/>
    <w:rsid w:val="00E45B6A"/>
    <w:rsid w:val="00E46DB8"/>
    <w:rsid w:val="00E50013"/>
    <w:rsid w:val="00E52AF5"/>
    <w:rsid w:val="00E54302"/>
    <w:rsid w:val="00E55EDC"/>
    <w:rsid w:val="00E56D64"/>
    <w:rsid w:val="00E6054E"/>
    <w:rsid w:val="00E61929"/>
    <w:rsid w:val="00E61D76"/>
    <w:rsid w:val="00E623F4"/>
    <w:rsid w:val="00E634B9"/>
    <w:rsid w:val="00E6414C"/>
    <w:rsid w:val="00E6497A"/>
    <w:rsid w:val="00E702AA"/>
    <w:rsid w:val="00E71699"/>
    <w:rsid w:val="00E71983"/>
    <w:rsid w:val="00E7260F"/>
    <w:rsid w:val="00E73977"/>
    <w:rsid w:val="00E74516"/>
    <w:rsid w:val="00E745B0"/>
    <w:rsid w:val="00E7670C"/>
    <w:rsid w:val="00E76A7C"/>
    <w:rsid w:val="00E7728D"/>
    <w:rsid w:val="00E77295"/>
    <w:rsid w:val="00E77ACD"/>
    <w:rsid w:val="00E80D80"/>
    <w:rsid w:val="00E82788"/>
    <w:rsid w:val="00E82A2E"/>
    <w:rsid w:val="00E83967"/>
    <w:rsid w:val="00E850EB"/>
    <w:rsid w:val="00E86FA3"/>
    <w:rsid w:val="00E8702D"/>
    <w:rsid w:val="00E9055C"/>
    <w:rsid w:val="00E916A9"/>
    <w:rsid w:val="00E916DE"/>
    <w:rsid w:val="00E925AD"/>
    <w:rsid w:val="00E93BA9"/>
    <w:rsid w:val="00E947A8"/>
    <w:rsid w:val="00E94EA0"/>
    <w:rsid w:val="00E96630"/>
    <w:rsid w:val="00E967F2"/>
    <w:rsid w:val="00E96CCE"/>
    <w:rsid w:val="00EA0D52"/>
    <w:rsid w:val="00EA19EC"/>
    <w:rsid w:val="00EA4CED"/>
    <w:rsid w:val="00EA5ED1"/>
    <w:rsid w:val="00EA6AA4"/>
    <w:rsid w:val="00EA734D"/>
    <w:rsid w:val="00EB0709"/>
    <w:rsid w:val="00EB2243"/>
    <w:rsid w:val="00EB27B4"/>
    <w:rsid w:val="00EB3BDB"/>
    <w:rsid w:val="00EB4379"/>
    <w:rsid w:val="00EB592C"/>
    <w:rsid w:val="00EB6D69"/>
    <w:rsid w:val="00EB7F26"/>
    <w:rsid w:val="00EB7F3F"/>
    <w:rsid w:val="00EC23E5"/>
    <w:rsid w:val="00EC2D1C"/>
    <w:rsid w:val="00EC3708"/>
    <w:rsid w:val="00EC3C96"/>
    <w:rsid w:val="00EC44E3"/>
    <w:rsid w:val="00EC4909"/>
    <w:rsid w:val="00EC5874"/>
    <w:rsid w:val="00EC7098"/>
    <w:rsid w:val="00EC7777"/>
    <w:rsid w:val="00EC7AD2"/>
    <w:rsid w:val="00ED13EB"/>
    <w:rsid w:val="00ED18DC"/>
    <w:rsid w:val="00ED3188"/>
    <w:rsid w:val="00ED31D5"/>
    <w:rsid w:val="00ED6201"/>
    <w:rsid w:val="00ED6A34"/>
    <w:rsid w:val="00ED6D7C"/>
    <w:rsid w:val="00ED6F59"/>
    <w:rsid w:val="00ED7A2A"/>
    <w:rsid w:val="00EE105B"/>
    <w:rsid w:val="00EE2293"/>
    <w:rsid w:val="00EE3197"/>
    <w:rsid w:val="00EE5065"/>
    <w:rsid w:val="00EE6004"/>
    <w:rsid w:val="00EF0410"/>
    <w:rsid w:val="00EF1A4A"/>
    <w:rsid w:val="00EF1D7F"/>
    <w:rsid w:val="00EF2257"/>
    <w:rsid w:val="00EF38E3"/>
    <w:rsid w:val="00EF3D89"/>
    <w:rsid w:val="00EF439F"/>
    <w:rsid w:val="00EF532C"/>
    <w:rsid w:val="00EF7C97"/>
    <w:rsid w:val="00F0001F"/>
    <w:rsid w:val="00F0112B"/>
    <w:rsid w:val="00F0137E"/>
    <w:rsid w:val="00F01ECE"/>
    <w:rsid w:val="00F022A2"/>
    <w:rsid w:val="00F02A07"/>
    <w:rsid w:val="00F07810"/>
    <w:rsid w:val="00F10A57"/>
    <w:rsid w:val="00F124B3"/>
    <w:rsid w:val="00F129D4"/>
    <w:rsid w:val="00F14946"/>
    <w:rsid w:val="00F1541E"/>
    <w:rsid w:val="00F16E82"/>
    <w:rsid w:val="00F1794D"/>
    <w:rsid w:val="00F20EF4"/>
    <w:rsid w:val="00F21786"/>
    <w:rsid w:val="00F2224A"/>
    <w:rsid w:val="00F222E9"/>
    <w:rsid w:val="00F23235"/>
    <w:rsid w:val="00F2441A"/>
    <w:rsid w:val="00F24EA6"/>
    <w:rsid w:val="00F25E9D"/>
    <w:rsid w:val="00F26B14"/>
    <w:rsid w:val="00F27B19"/>
    <w:rsid w:val="00F30A32"/>
    <w:rsid w:val="00F30AC6"/>
    <w:rsid w:val="00F3232E"/>
    <w:rsid w:val="00F33D38"/>
    <w:rsid w:val="00F34016"/>
    <w:rsid w:val="00F348FD"/>
    <w:rsid w:val="00F34F7C"/>
    <w:rsid w:val="00F3609C"/>
    <w:rsid w:val="00F3626C"/>
    <w:rsid w:val="00F36700"/>
    <w:rsid w:val="00F36C7A"/>
    <w:rsid w:val="00F3742B"/>
    <w:rsid w:val="00F4018F"/>
    <w:rsid w:val="00F40245"/>
    <w:rsid w:val="00F409D4"/>
    <w:rsid w:val="00F411B9"/>
    <w:rsid w:val="00F41D12"/>
    <w:rsid w:val="00F41FDB"/>
    <w:rsid w:val="00F427F5"/>
    <w:rsid w:val="00F44308"/>
    <w:rsid w:val="00F44821"/>
    <w:rsid w:val="00F46244"/>
    <w:rsid w:val="00F507EC"/>
    <w:rsid w:val="00F50AD2"/>
    <w:rsid w:val="00F54FF2"/>
    <w:rsid w:val="00F55046"/>
    <w:rsid w:val="00F55F30"/>
    <w:rsid w:val="00F56296"/>
    <w:rsid w:val="00F56759"/>
    <w:rsid w:val="00F56D63"/>
    <w:rsid w:val="00F609A9"/>
    <w:rsid w:val="00F60B63"/>
    <w:rsid w:val="00F61603"/>
    <w:rsid w:val="00F61B46"/>
    <w:rsid w:val="00F61E97"/>
    <w:rsid w:val="00F6204A"/>
    <w:rsid w:val="00F626CC"/>
    <w:rsid w:val="00F62C62"/>
    <w:rsid w:val="00F63BDC"/>
    <w:rsid w:val="00F63CC5"/>
    <w:rsid w:val="00F66B0B"/>
    <w:rsid w:val="00F66C93"/>
    <w:rsid w:val="00F6707B"/>
    <w:rsid w:val="00F67457"/>
    <w:rsid w:val="00F6766C"/>
    <w:rsid w:val="00F70AD3"/>
    <w:rsid w:val="00F728B5"/>
    <w:rsid w:val="00F73888"/>
    <w:rsid w:val="00F74710"/>
    <w:rsid w:val="00F74BCB"/>
    <w:rsid w:val="00F763B9"/>
    <w:rsid w:val="00F77A47"/>
    <w:rsid w:val="00F80382"/>
    <w:rsid w:val="00F80C99"/>
    <w:rsid w:val="00F81428"/>
    <w:rsid w:val="00F81A1E"/>
    <w:rsid w:val="00F8280A"/>
    <w:rsid w:val="00F82E9D"/>
    <w:rsid w:val="00F8511B"/>
    <w:rsid w:val="00F861A9"/>
    <w:rsid w:val="00F867EC"/>
    <w:rsid w:val="00F903CA"/>
    <w:rsid w:val="00F91B2B"/>
    <w:rsid w:val="00F932E6"/>
    <w:rsid w:val="00F93DEC"/>
    <w:rsid w:val="00F94402"/>
    <w:rsid w:val="00F94528"/>
    <w:rsid w:val="00F947FC"/>
    <w:rsid w:val="00F9675E"/>
    <w:rsid w:val="00FA1631"/>
    <w:rsid w:val="00FA374E"/>
    <w:rsid w:val="00FA4307"/>
    <w:rsid w:val="00FA4858"/>
    <w:rsid w:val="00FA656A"/>
    <w:rsid w:val="00FA6CFC"/>
    <w:rsid w:val="00FA731E"/>
    <w:rsid w:val="00FA7C9D"/>
    <w:rsid w:val="00FB0EAE"/>
    <w:rsid w:val="00FB300B"/>
    <w:rsid w:val="00FB35B6"/>
    <w:rsid w:val="00FB3F1C"/>
    <w:rsid w:val="00FB68C9"/>
    <w:rsid w:val="00FB7023"/>
    <w:rsid w:val="00FB72B9"/>
    <w:rsid w:val="00FC0035"/>
    <w:rsid w:val="00FC03CD"/>
    <w:rsid w:val="00FC0646"/>
    <w:rsid w:val="00FC14A1"/>
    <w:rsid w:val="00FC1770"/>
    <w:rsid w:val="00FC1BFE"/>
    <w:rsid w:val="00FC21E4"/>
    <w:rsid w:val="00FC2F02"/>
    <w:rsid w:val="00FC31A8"/>
    <w:rsid w:val="00FC3446"/>
    <w:rsid w:val="00FC4FA9"/>
    <w:rsid w:val="00FC6246"/>
    <w:rsid w:val="00FC68B7"/>
    <w:rsid w:val="00FC7841"/>
    <w:rsid w:val="00FC7F4E"/>
    <w:rsid w:val="00FD1F5B"/>
    <w:rsid w:val="00FD24E0"/>
    <w:rsid w:val="00FD2F36"/>
    <w:rsid w:val="00FD3A19"/>
    <w:rsid w:val="00FD58D0"/>
    <w:rsid w:val="00FD6556"/>
    <w:rsid w:val="00FE074F"/>
    <w:rsid w:val="00FE397D"/>
    <w:rsid w:val="00FE4633"/>
    <w:rsid w:val="00FE617F"/>
    <w:rsid w:val="00FE6985"/>
    <w:rsid w:val="00FE7017"/>
    <w:rsid w:val="00FE71D4"/>
    <w:rsid w:val="00FF0C2B"/>
    <w:rsid w:val="00FF0EC6"/>
    <w:rsid w:val="00FF106E"/>
    <w:rsid w:val="00FF1B99"/>
    <w:rsid w:val="00FF268E"/>
    <w:rsid w:val="00FF361B"/>
    <w:rsid w:val="00FF7B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character" w:styleId="CommentReference">
    <w:name w:val="annotation reference"/>
    <w:semiHidden/>
    <w:rsid w:val="00C16BB4"/>
    <w:rPr>
      <w:sz w:val="16"/>
      <w:szCs w:val="16"/>
    </w:rPr>
  </w:style>
  <w:style w:type="paragraph" w:styleId="CommentText">
    <w:name w:val="annotation text"/>
    <w:basedOn w:val="Normal"/>
    <w:semiHidden/>
    <w:rsid w:val="00C16BB4"/>
  </w:style>
  <w:style w:type="paragraph" w:styleId="CommentSubject">
    <w:name w:val="annotation subject"/>
    <w:basedOn w:val="CommentText"/>
    <w:next w:val="CommentText"/>
    <w:semiHidden/>
    <w:rsid w:val="00C16BB4"/>
    <w:rPr>
      <w:b/>
      <w:bCs/>
    </w:rPr>
  </w:style>
  <w:style w:type="paragraph" w:styleId="BalloonText">
    <w:name w:val="Balloon Text"/>
    <w:basedOn w:val="Normal"/>
    <w:semiHidden/>
    <w:rsid w:val="00C16BB4"/>
    <w:rPr>
      <w:rFonts w:ascii="Tahoma" w:hAnsi="Tahoma" w:cs="Tahoma"/>
      <w:sz w:val="16"/>
      <w:szCs w:val="16"/>
    </w:rPr>
  </w:style>
  <w:style w:type="paragraph" w:customStyle="1" w:styleId="Default">
    <w:name w:val="Default"/>
    <w:rsid w:val="0021487B"/>
    <w:pPr>
      <w:autoSpaceDE w:val="0"/>
      <w:autoSpaceDN w:val="0"/>
      <w:adjustRightInd w:val="0"/>
    </w:pPr>
    <w:rPr>
      <w:color w:val="000000"/>
      <w:sz w:val="24"/>
      <w:szCs w:val="24"/>
      <w:lang w:val="en-US" w:eastAsia="en-US"/>
    </w:rPr>
  </w:style>
  <w:style w:type="character" w:customStyle="1" w:styleId="HChGChar">
    <w:name w:val="_ H _Ch_G Char"/>
    <w:link w:val="HChG"/>
    <w:rsid w:val="003571BA"/>
    <w:rPr>
      <w:b/>
      <w:sz w:val="28"/>
      <w:lang w:val="en-GB" w:eastAsia="en-US" w:bidi="ar-SA"/>
    </w:rPr>
  </w:style>
  <w:style w:type="character" w:customStyle="1" w:styleId="H1GChar">
    <w:name w:val="_ H_1_G Char"/>
    <w:link w:val="H1G"/>
    <w:rsid w:val="006148A9"/>
    <w:rPr>
      <w:b/>
      <w:sz w:val="24"/>
      <w:lang w:val="en-GB" w:eastAsia="en-US" w:bidi="ar-SA"/>
    </w:rPr>
  </w:style>
  <w:style w:type="paragraph" w:customStyle="1" w:styleId="SingleTxt">
    <w:name w:val="__Single Txt"/>
    <w:basedOn w:val="Normal"/>
    <w:rsid w:val="006148A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customStyle="1" w:styleId="H23">
    <w:name w:val="_ H_2/3"/>
    <w:basedOn w:val="Normal"/>
    <w:next w:val="SingleTxt"/>
    <w:link w:val="H23Char"/>
    <w:rsid w:val="00A805A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b/>
      <w:spacing w:val="2"/>
      <w:w w:val="103"/>
      <w:kern w:val="14"/>
    </w:rPr>
  </w:style>
  <w:style w:type="character" w:customStyle="1" w:styleId="H23Char">
    <w:name w:val="_ H_2/3 Char"/>
    <w:link w:val="H23"/>
    <w:rsid w:val="00A805A7"/>
    <w:rPr>
      <w:b/>
      <w:spacing w:val="2"/>
      <w:w w:val="103"/>
      <w:kern w:val="14"/>
      <w:lang w:val="en-GB" w:eastAsia="en-US" w:bidi="ar-SA"/>
    </w:rPr>
  </w:style>
  <w:style w:type="character" w:styleId="Strong">
    <w:name w:val="Strong"/>
    <w:qFormat/>
    <w:rsid w:val="00F23235"/>
    <w:rPr>
      <w:b/>
      <w:bCs/>
    </w:rPr>
  </w:style>
  <w:style w:type="paragraph" w:customStyle="1" w:styleId="H4">
    <w:name w:val="_ H_4"/>
    <w:basedOn w:val="Normal"/>
    <w:next w:val="Normal"/>
    <w:rsid w:val="008100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i/>
      <w:spacing w:val="3"/>
      <w:w w:val="103"/>
      <w:kern w:val="14"/>
    </w:rPr>
  </w:style>
  <w:style w:type="character" w:customStyle="1" w:styleId="FootnoteTextChar">
    <w:name w:val="Footnote Text Char"/>
    <w:aliases w:val="5_G Char,Fußnote Char,Footnote Text Char Char Char,single space Char,footnote text Char"/>
    <w:link w:val="FootnoteText"/>
    <w:uiPriority w:val="99"/>
    <w:rsid w:val="00A807DC"/>
    <w:rPr>
      <w:sz w:val="18"/>
      <w:lang w:val="en-GB" w:eastAsia="en-US" w:bidi="ar-SA"/>
    </w:rPr>
  </w:style>
  <w:style w:type="character" w:customStyle="1" w:styleId="SingleTxtGChar">
    <w:name w:val="_ Single Txt_G Char"/>
    <w:link w:val="SingleTxtG"/>
    <w:rsid w:val="0080305F"/>
    <w:rPr>
      <w:lang w:val="en-GB" w:eastAsia="en-US" w:bidi="ar-SA"/>
    </w:rPr>
  </w:style>
  <w:style w:type="paragraph" w:styleId="Revision">
    <w:name w:val="Revision"/>
    <w:hidden/>
    <w:uiPriority w:val="99"/>
    <w:semiHidden/>
    <w:rsid w:val="002A1BE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character" w:styleId="CommentReference">
    <w:name w:val="annotation reference"/>
    <w:semiHidden/>
    <w:rsid w:val="00C16BB4"/>
    <w:rPr>
      <w:sz w:val="16"/>
      <w:szCs w:val="16"/>
    </w:rPr>
  </w:style>
  <w:style w:type="paragraph" w:styleId="CommentText">
    <w:name w:val="annotation text"/>
    <w:basedOn w:val="Normal"/>
    <w:semiHidden/>
    <w:rsid w:val="00C16BB4"/>
  </w:style>
  <w:style w:type="paragraph" w:styleId="CommentSubject">
    <w:name w:val="annotation subject"/>
    <w:basedOn w:val="CommentText"/>
    <w:next w:val="CommentText"/>
    <w:semiHidden/>
    <w:rsid w:val="00C16BB4"/>
    <w:rPr>
      <w:b/>
      <w:bCs/>
    </w:rPr>
  </w:style>
  <w:style w:type="paragraph" w:styleId="BalloonText">
    <w:name w:val="Balloon Text"/>
    <w:basedOn w:val="Normal"/>
    <w:semiHidden/>
    <w:rsid w:val="00C16BB4"/>
    <w:rPr>
      <w:rFonts w:ascii="Tahoma" w:hAnsi="Tahoma" w:cs="Tahoma"/>
      <w:sz w:val="16"/>
      <w:szCs w:val="16"/>
    </w:rPr>
  </w:style>
  <w:style w:type="paragraph" w:customStyle="1" w:styleId="Default">
    <w:name w:val="Default"/>
    <w:rsid w:val="0021487B"/>
    <w:pPr>
      <w:autoSpaceDE w:val="0"/>
      <w:autoSpaceDN w:val="0"/>
      <w:adjustRightInd w:val="0"/>
    </w:pPr>
    <w:rPr>
      <w:color w:val="000000"/>
      <w:sz w:val="24"/>
      <w:szCs w:val="24"/>
      <w:lang w:val="en-US" w:eastAsia="en-US"/>
    </w:rPr>
  </w:style>
  <w:style w:type="character" w:customStyle="1" w:styleId="HChGChar">
    <w:name w:val="_ H _Ch_G Char"/>
    <w:link w:val="HChG"/>
    <w:rsid w:val="003571BA"/>
    <w:rPr>
      <w:b/>
      <w:sz w:val="28"/>
      <w:lang w:val="en-GB" w:eastAsia="en-US" w:bidi="ar-SA"/>
    </w:rPr>
  </w:style>
  <w:style w:type="character" w:customStyle="1" w:styleId="H1GChar">
    <w:name w:val="_ H_1_G Char"/>
    <w:link w:val="H1G"/>
    <w:rsid w:val="006148A9"/>
    <w:rPr>
      <w:b/>
      <w:sz w:val="24"/>
      <w:lang w:val="en-GB" w:eastAsia="en-US" w:bidi="ar-SA"/>
    </w:rPr>
  </w:style>
  <w:style w:type="paragraph" w:customStyle="1" w:styleId="SingleTxt">
    <w:name w:val="__Single Txt"/>
    <w:basedOn w:val="Normal"/>
    <w:rsid w:val="006148A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customStyle="1" w:styleId="H23">
    <w:name w:val="_ H_2/3"/>
    <w:basedOn w:val="Normal"/>
    <w:next w:val="SingleTxt"/>
    <w:link w:val="H23Char"/>
    <w:rsid w:val="00A805A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b/>
      <w:spacing w:val="2"/>
      <w:w w:val="103"/>
      <w:kern w:val="14"/>
    </w:rPr>
  </w:style>
  <w:style w:type="character" w:customStyle="1" w:styleId="H23Char">
    <w:name w:val="_ H_2/3 Char"/>
    <w:link w:val="H23"/>
    <w:rsid w:val="00A805A7"/>
    <w:rPr>
      <w:b/>
      <w:spacing w:val="2"/>
      <w:w w:val="103"/>
      <w:kern w:val="14"/>
      <w:lang w:val="en-GB" w:eastAsia="en-US" w:bidi="ar-SA"/>
    </w:rPr>
  </w:style>
  <w:style w:type="character" w:styleId="Strong">
    <w:name w:val="Strong"/>
    <w:qFormat/>
    <w:rsid w:val="00F23235"/>
    <w:rPr>
      <w:b/>
      <w:bCs/>
    </w:rPr>
  </w:style>
  <w:style w:type="paragraph" w:customStyle="1" w:styleId="H4">
    <w:name w:val="_ H_4"/>
    <w:basedOn w:val="Normal"/>
    <w:next w:val="Normal"/>
    <w:rsid w:val="008100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i/>
      <w:spacing w:val="3"/>
      <w:w w:val="103"/>
      <w:kern w:val="14"/>
    </w:rPr>
  </w:style>
  <w:style w:type="character" w:customStyle="1" w:styleId="FootnoteTextChar">
    <w:name w:val="Footnote Text Char"/>
    <w:aliases w:val="5_G Char,Fußnote Char,Footnote Text Char Char Char,single space Char,footnote text Char"/>
    <w:link w:val="FootnoteText"/>
    <w:uiPriority w:val="99"/>
    <w:rsid w:val="00A807DC"/>
    <w:rPr>
      <w:sz w:val="18"/>
      <w:lang w:val="en-GB" w:eastAsia="en-US" w:bidi="ar-SA"/>
    </w:rPr>
  </w:style>
  <w:style w:type="character" w:customStyle="1" w:styleId="SingleTxtGChar">
    <w:name w:val="_ Single Txt_G Char"/>
    <w:link w:val="SingleTxtG"/>
    <w:rsid w:val="0080305F"/>
    <w:rPr>
      <w:lang w:val="en-GB" w:eastAsia="en-US" w:bidi="ar-SA"/>
    </w:rPr>
  </w:style>
  <w:style w:type="paragraph" w:styleId="Revision">
    <w:name w:val="Revision"/>
    <w:hidden/>
    <w:uiPriority w:val="99"/>
    <w:semiHidden/>
    <w:rsid w:val="002A1BE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34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_La_Cruz\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2</TotalTime>
  <Pages>10</Pages>
  <Words>2529</Words>
  <Characters>14419</Characters>
  <Application>Microsoft Office Word</Application>
  <DocSecurity>0</DocSecurity>
  <Lines>120</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De_La_Cruz</dc:creator>
  <cp:lastModifiedBy>sochirca</cp:lastModifiedBy>
  <cp:revision>4</cp:revision>
  <cp:lastPrinted>2015-08-19T12:44:00Z</cp:lastPrinted>
  <dcterms:created xsi:type="dcterms:W3CDTF">2015-08-19T12:44:00Z</dcterms:created>
  <dcterms:modified xsi:type="dcterms:W3CDTF">2015-10-12T13:56:00Z</dcterms:modified>
</cp:coreProperties>
</file>