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4" w:rsidRDefault="00FF19F4" w:rsidP="00FF19F4">
      <w:pPr>
        <w:spacing w:line="240" w:lineRule="auto"/>
        <w:rPr>
          <w:sz w:val="2"/>
        </w:rPr>
        <w:sectPr w:rsidR="00FF19F4" w:rsidSect="00FF19F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F19F4" w:rsidRDefault="00FF19F4" w:rsidP="00FF19F4">
      <w:pPr>
        <w:pStyle w:val="H1"/>
        <w:spacing w:after="120"/>
        <w:rPr>
          <w:sz w:val="28"/>
        </w:rPr>
      </w:pPr>
      <w:r>
        <w:rPr>
          <w:sz w:val="28"/>
        </w:rPr>
        <w:lastRenderedPageBreak/>
        <w:t>Commission économique pour l</w:t>
      </w:r>
      <w:r w:rsidR="00D26761">
        <w:rPr>
          <w:sz w:val="28"/>
        </w:rPr>
        <w:t>’</w:t>
      </w:r>
      <w:r>
        <w:rPr>
          <w:sz w:val="28"/>
        </w:rPr>
        <w:t>Europe</w:t>
      </w:r>
    </w:p>
    <w:p w:rsidR="00F568C2" w:rsidRPr="00F51920" w:rsidRDefault="00FF19F4" w:rsidP="00F51920">
      <w:pPr>
        <w:pStyle w:val="H1"/>
        <w:spacing w:after="120"/>
        <w:rPr>
          <w:b w:val="0"/>
          <w:sz w:val="28"/>
        </w:rPr>
      </w:pPr>
      <w:r>
        <w:rPr>
          <w:b w:val="0"/>
          <w:sz w:val="28"/>
        </w:rPr>
        <w:t>Comité des politiques de l</w:t>
      </w:r>
      <w:r w:rsidR="00D26761">
        <w:rPr>
          <w:b w:val="0"/>
          <w:sz w:val="28"/>
        </w:rPr>
        <w:t>’</w:t>
      </w:r>
      <w:r>
        <w:rPr>
          <w:b w:val="0"/>
          <w:sz w:val="28"/>
        </w:rPr>
        <w:t>environnement</w:t>
      </w:r>
    </w:p>
    <w:p w:rsidR="00F568C2" w:rsidRPr="00F568C2" w:rsidRDefault="00F51920" w:rsidP="00F519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568C2" w:rsidRPr="00F568C2">
        <w:rPr>
          <w:lang w:bidi="fr-CH"/>
        </w:rPr>
        <w:t>Vingt et unième session</w:t>
      </w:r>
    </w:p>
    <w:p w:rsidR="00F568C2" w:rsidRPr="00F568C2" w:rsidRDefault="00F568C2" w:rsidP="00F519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F568C2">
        <w:rPr>
          <w:lang w:bidi="fr-CH"/>
        </w:rPr>
        <w:t>Genève, 27-30 octobre 2015</w:t>
      </w:r>
    </w:p>
    <w:p w:rsidR="00F568C2" w:rsidRPr="00F568C2" w:rsidRDefault="00F568C2" w:rsidP="00F5192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F568C2">
        <w:rPr>
          <w:lang w:bidi="fr-CH"/>
        </w:rPr>
        <w:t>Point 8 d) de l</w:t>
      </w:r>
      <w:r w:rsidR="00D26761">
        <w:rPr>
          <w:lang w:bidi="fr-CH"/>
        </w:rPr>
        <w:t>’</w:t>
      </w:r>
      <w:r w:rsidRPr="00F568C2">
        <w:rPr>
          <w:lang w:bidi="fr-CH"/>
        </w:rPr>
        <w:t>ordre du jour provisoire</w:t>
      </w:r>
    </w:p>
    <w:p w:rsidR="00F568C2" w:rsidRDefault="00F568C2" w:rsidP="00F519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bidi="fr-CH"/>
        </w:rPr>
      </w:pPr>
      <w:r w:rsidRPr="00F568C2">
        <w:rPr>
          <w:lang w:bidi="fr-CH"/>
        </w:rPr>
        <w:t>Programme de travail relatif au sous-programme Environnement</w:t>
      </w:r>
      <w:r w:rsidR="00376373">
        <w:rPr>
          <w:lang w:bidi="fr-CH"/>
        </w:rPr>
        <w:t> </w:t>
      </w:r>
      <w:proofErr w:type="gramStart"/>
      <w:r w:rsidR="00376373">
        <w:rPr>
          <w:lang w:bidi="fr-CH"/>
        </w:rPr>
        <w:t>:</w:t>
      </w:r>
      <w:proofErr w:type="gramEnd"/>
      <w:r w:rsidR="00F51920">
        <w:rPr>
          <w:lang w:bidi="fr-CH"/>
        </w:rPr>
        <w:br/>
      </w:r>
      <w:r w:rsidRPr="00F568C2">
        <w:rPr>
          <w:lang w:bidi="fr-CH"/>
        </w:rPr>
        <w:t xml:space="preserve">programme de travail et liste des publications relatifs </w:t>
      </w:r>
      <w:r w:rsidR="00F51920">
        <w:rPr>
          <w:lang w:bidi="fr-CH"/>
        </w:rPr>
        <w:br/>
      </w:r>
      <w:r w:rsidRPr="00F568C2">
        <w:rPr>
          <w:lang w:bidi="fr-CH"/>
        </w:rPr>
        <w:t>au</w:t>
      </w:r>
      <w:r w:rsidR="00F51920">
        <w:rPr>
          <w:lang w:bidi="fr-CH"/>
        </w:rPr>
        <w:t xml:space="preserve"> </w:t>
      </w:r>
      <w:r w:rsidRPr="00F568C2">
        <w:rPr>
          <w:lang w:bidi="fr-CH"/>
        </w:rPr>
        <w:t>sous-programme Environnement pour 2016-2017</w:t>
      </w:r>
    </w:p>
    <w:p w:rsidR="00F51920" w:rsidRPr="00F51920" w:rsidRDefault="00F51920" w:rsidP="00F51920">
      <w:pPr>
        <w:pStyle w:val="SingleTxt"/>
        <w:spacing w:after="0" w:line="120" w:lineRule="exact"/>
        <w:rPr>
          <w:sz w:val="10"/>
          <w:lang w:bidi="fr-CH"/>
        </w:rPr>
      </w:pPr>
    </w:p>
    <w:p w:rsidR="00F51920" w:rsidRPr="00F51920" w:rsidRDefault="00F51920" w:rsidP="00F51920">
      <w:pPr>
        <w:pStyle w:val="SingleTxt"/>
        <w:spacing w:after="0" w:line="120" w:lineRule="exact"/>
        <w:rPr>
          <w:sz w:val="10"/>
          <w:lang w:bidi="fr-CH"/>
        </w:rPr>
      </w:pPr>
    </w:p>
    <w:p w:rsidR="00F51920" w:rsidRPr="00F51920" w:rsidRDefault="00F51920" w:rsidP="00F51920">
      <w:pPr>
        <w:pStyle w:val="SingleTxt"/>
        <w:spacing w:after="0" w:line="120" w:lineRule="exact"/>
        <w:rPr>
          <w:sz w:val="10"/>
          <w:lang w:bidi="fr-CH"/>
        </w:rPr>
      </w:pPr>
    </w:p>
    <w:p w:rsidR="00F568C2" w:rsidRDefault="00F568C2" w:rsidP="00F519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 xml:space="preserve">Programme de travail relatif au sous-programme </w:t>
      </w:r>
      <w:r w:rsidR="00F51920">
        <w:rPr>
          <w:lang w:bidi="fr-CH"/>
        </w:rPr>
        <w:t>Environnement pour 2016-</w:t>
      </w:r>
      <w:r w:rsidRPr="00F568C2">
        <w:rPr>
          <w:lang w:bidi="fr-CH"/>
        </w:rPr>
        <w:t>2017</w:t>
      </w:r>
    </w:p>
    <w:p w:rsidR="00F51920" w:rsidRPr="00F51920" w:rsidRDefault="00F51920" w:rsidP="00F51920">
      <w:pPr>
        <w:pStyle w:val="SingleTxt"/>
        <w:spacing w:after="0" w:line="120" w:lineRule="exact"/>
        <w:rPr>
          <w:b/>
          <w:sz w:val="10"/>
          <w:lang w:bidi="fr-CH"/>
        </w:rPr>
      </w:pPr>
    </w:p>
    <w:p w:rsidR="00F51920" w:rsidRPr="00F51920" w:rsidRDefault="00F51920" w:rsidP="00F51920">
      <w:pPr>
        <w:pStyle w:val="SingleTxt"/>
        <w:spacing w:after="0" w:line="120" w:lineRule="exact"/>
        <w:rPr>
          <w:b/>
          <w:sz w:val="10"/>
          <w:lang w:bidi="fr-CH"/>
        </w:rPr>
      </w:pPr>
    </w:p>
    <w:p w:rsidR="00F568C2" w:rsidRPr="00F568C2" w:rsidRDefault="00F568C2" w:rsidP="00F519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F568C2">
        <w:rPr>
          <w:lang w:bidi="fr-CH"/>
        </w:rPr>
        <w:tab/>
      </w:r>
      <w:r w:rsidRPr="00F568C2">
        <w:rPr>
          <w:lang w:bidi="fr-CH"/>
        </w:rPr>
        <w:tab/>
        <w:t>Note du secrétariat</w:t>
      </w:r>
      <w:r w:rsidRPr="000A34CE">
        <w:rPr>
          <w:b w:val="0"/>
          <w:sz w:val="20"/>
          <w:szCs w:val="20"/>
          <w:lang w:bidi="fr-CH"/>
        </w:rPr>
        <w:footnoteReference w:customMarkFollows="1" w:id="1"/>
        <w:t>*</w:t>
      </w:r>
    </w:p>
    <w:p w:rsidR="00FF19F4" w:rsidRPr="00F51920" w:rsidRDefault="00FF19F4" w:rsidP="00F51920">
      <w:pPr>
        <w:pStyle w:val="SingleTxt"/>
        <w:spacing w:after="0" w:line="120" w:lineRule="exact"/>
        <w:rPr>
          <w:sz w:val="10"/>
        </w:rPr>
      </w:pPr>
    </w:p>
    <w:p w:rsidR="00F51920" w:rsidRPr="00F51920" w:rsidRDefault="00F51920" w:rsidP="00F51920">
      <w:pPr>
        <w:pStyle w:val="SingleTxt"/>
        <w:spacing w:after="0" w:line="120" w:lineRule="exact"/>
        <w:rPr>
          <w:sz w:val="10"/>
        </w:rPr>
      </w:pPr>
    </w:p>
    <w:p w:rsidR="00F51920" w:rsidRPr="00F51920" w:rsidRDefault="00F51920" w:rsidP="00F51920">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568C2" w:rsidTr="00F568C2">
        <w:tc>
          <w:tcPr>
            <w:tcW w:w="10051" w:type="dxa"/>
            <w:tcBorders>
              <w:top w:val="single" w:sz="2" w:space="0" w:color="auto"/>
            </w:tcBorders>
            <w:shd w:val="clear" w:color="auto" w:fill="auto"/>
          </w:tcPr>
          <w:p w:rsidR="00F568C2" w:rsidRPr="00F568C2" w:rsidRDefault="00F568C2" w:rsidP="00F51920">
            <w:pPr>
              <w:tabs>
                <w:tab w:val="left" w:pos="240"/>
              </w:tabs>
              <w:spacing w:before="240" w:after="120" w:line="220" w:lineRule="exact"/>
              <w:rPr>
                <w:i/>
                <w:sz w:val="24"/>
              </w:rPr>
            </w:pPr>
            <w:r>
              <w:rPr>
                <w:i/>
                <w:sz w:val="24"/>
              </w:rPr>
              <w:tab/>
              <w:t>Résumé</w:t>
            </w:r>
          </w:p>
        </w:tc>
      </w:tr>
      <w:tr w:rsidR="00F568C2" w:rsidTr="00F568C2">
        <w:tc>
          <w:tcPr>
            <w:tcW w:w="10051" w:type="dxa"/>
            <w:shd w:val="clear" w:color="auto" w:fill="auto"/>
          </w:tcPr>
          <w:p w:rsidR="00F568C2" w:rsidRPr="00F51920" w:rsidRDefault="00F568C2" w:rsidP="000A34CE">
            <w:pPr>
              <w:pStyle w:val="SingleTxt"/>
              <w:spacing w:line="220" w:lineRule="exact"/>
              <w:rPr>
                <w:spacing w:val="0"/>
              </w:rPr>
            </w:pPr>
            <w:r w:rsidRPr="00F51920">
              <w:rPr>
                <w:spacing w:val="0"/>
              </w:rPr>
              <w:tab/>
              <w:t>L</w:t>
            </w:r>
            <w:r w:rsidR="00D26761">
              <w:rPr>
                <w:spacing w:val="0"/>
              </w:rPr>
              <w:t>’</w:t>
            </w:r>
            <w:r w:rsidRPr="00F51920">
              <w:rPr>
                <w:spacing w:val="0"/>
              </w:rPr>
              <w:t>activité du Comité des politiques de l</w:t>
            </w:r>
            <w:r w:rsidR="00D26761">
              <w:rPr>
                <w:spacing w:val="0"/>
              </w:rPr>
              <w:t>’</w:t>
            </w:r>
            <w:r w:rsidRPr="00F51920">
              <w:rPr>
                <w:spacing w:val="0"/>
              </w:rPr>
              <w:t xml:space="preserve">environnement </w:t>
            </w:r>
            <w:r w:rsidR="000A34CE">
              <w:rPr>
                <w:spacing w:val="0"/>
              </w:rPr>
              <w:t xml:space="preserve">(le Comité) </w:t>
            </w:r>
            <w:r w:rsidRPr="00F51920">
              <w:rPr>
                <w:spacing w:val="0"/>
              </w:rPr>
              <w:t>est guidée par les objectifs définis dans le document relatif aux futures orientations stratégiques concernant l</w:t>
            </w:r>
            <w:r w:rsidR="00D26761">
              <w:rPr>
                <w:spacing w:val="0"/>
              </w:rPr>
              <w:t>’</w:t>
            </w:r>
            <w:r w:rsidRPr="00F51920">
              <w:rPr>
                <w:spacing w:val="0"/>
              </w:rPr>
              <w:t>e</w:t>
            </w:r>
            <w:r w:rsidR="000A34CE">
              <w:rPr>
                <w:spacing w:val="0"/>
              </w:rPr>
              <w:t>nvironnement (CEP/2004/2, sect. </w:t>
            </w:r>
            <w:r w:rsidRPr="00F51920">
              <w:rPr>
                <w:spacing w:val="0"/>
              </w:rPr>
              <w:t>IV) adopté en 2003 et par le plan de travail pour la réforme de la Commission économique pour l</w:t>
            </w:r>
            <w:r w:rsidR="00D26761">
              <w:rPr>
                <w:spacing w:val="0"/>
              </w:rPr>
              <w:t>’</w:t>
            </w:r>
            <w:r w:rsidRPr="00F51920">
              <w:rPr>
                <w:spacing w:val="0"/>
              </w:rPr>
              <w:t>Europe (CEE) que celle-ci a adopté en 2005 (E/ECE/1434/Rev.1)</w:t>
            </w:r>
            <w:r w:rsidR="000A34CE">
              <w:rPr>
                <w:spacing w:val="0"/>
              </w:rPr>
              <w:t>,</w:t>
            </w:r>
            <w:r w:rsidRPr="00F51920">
              <w:rPr>
                <w:spacing w:val="0"/>
              </w:rPr>
              <w:t xml:space="preserve"> </w:t>
            </w:r>
            <w:r w:rsidR="000A34CE">
              <w:rPr>
                <w:spacing w:val="0"/>
              </w:rPr>
              <w:t>ainsi que par le résultat</w:t>
            </w:r>
            <w:r w:rsidRPr="00F51920">
              <w:rPr>
                <w:spacing w:val="0"/>
              </w:rPr>
              <w:t xml:space="preserve"> de l</w:t>
            </w:r>
            <w:r w:rsidR="00D26761">
              <w:rPr>
                <w:spacing w:val="0"/>
              </w:rPr>
              <w:t>’</w:t>
            </w:r>
            <w:r w:rsidRPr="00F51920">
              <w:rPr>
                <w:spacing w:val="0"/>
              </w:rPr>
              <w:t xml:space="preserve">examen de la </w:t>
            </w:r>
            <w:r w:rsidR="000A34CE">
              <w:rPr>
                <w:spacing w:val="0"/>
              </w:rPr>
              <w:t>r</w:t>
            </w:r>
            <w:r w:rsidRPr="00F51920">
              <w:rPr>
                <w:spacing w:val="0"/>
              </w:rPr>
              <w:t xml:space="preserve">éforme </w:t>
            </w:r>
            <w:r w:rsidR="000A34CE">
              <w:rPr>
                <w:spacing w:val="0"/>
              </w:rPr>
              <w:t xml:space="preserve">de 2005 </w:t>
            </w:r>
            <w:r w:rsidRPr="00F51920">
              <w:rPr>
                <w:spacing w:val="0"/>
              </w:rPr>
              <w:t>de la CEE (E/ECE/1464, annexe III), achevé en 2013. En 2007, à la suite du processus de réforme, la CEE a adopté le mandat révisé du Comité (E/ECE/1447/Add.1).</w:t>
            </w:r>
          </w:p>
        </w:tc>
      </w:tr>
      <w:tr w:rsidR="00F568C2" w:rsidTr="00F568C2">
        <w:tc>
          <w:tcPr>
            <w:tcW w:w="10051" w:type="dxa"/>
            <w:shd w:val="clear" w:color="auto" w:fill="auto"/>
          </w:tcPr>
          <w:p w:rsidR="00F568C2" w:rsidRPr="00F568C2" w:rsidRDefault="00F568C2" w:rsidP="00F51920">
            <w:pPr>
              <w:pStyle w:val="SingleTxt"/>
              <w:spacing w:line="220" w:lineRule="exact"/>
            </w:pPr>
            <w:r>
              <w:tab/>
              <w:t>De plus, en vertu du plan de réforme du processus «</w:t>
            </w:r>
            <w:r w:rsidR="00F51920">
              <w:t> </w:t>
            </w:r>
            <w:r>
              <w:t>Un environnement pour l</w:t>
            </w:r>
            <w:r w:rsidR="00D26761">
              <w:t>’</w:t>
            </w:r>
            <w:r>
              <w:t>Europe</w:t>
            </w:r>
            <w:r w:rsidR="00F51920">
              <w:t> </w:t>
            </w:r>
            <w:r>
              <w:t>» (ECE/CEP/S/152 et Corr.1, annexe I), adopté par le Comité en 2009 puis entériné par la CEE, le Comité est chargé d</w:t>
            </w:r>
            <w:r w:rsidR="00D26761">
              <w:t>’</w:t>
            </w:r>
            <w:r>
              <w:t>organiser les préparatifs des conférences ministérielles «</w:t>
            </w:r>
            <w:r w:rsidR="00F51920">
              <w:t> </w:t>
            </w:r>
            <w:r>
              <w:t>Un environnement pour l</w:t>
            </w:r>
            <w:r w:rsidR="00D26761">
              <w:t>’</w:t>
            </w:r>
            <w:r>
              <w:t>Europe</w:t>
            </w:r>
            <w:r w:rsidR="00F51920">
              <w:t> </w:t>
            </w:r>
            <w:r>
              <w:t>».</w:t>
            </w:r>
          </w:p>
        </w:tc>
      </w:tr>
      <w:tr w:rsidR="00F568C2" w:rsidTr="00F568C2">
        <w:tc>
          <w:tcPr>
            <w:tcW w:w="10051" w:type="dxa"/>
            <w:tcBorders>
              <w:bottom w:val="nil"/>
            </w:tcBorders>
            <w:shd w:val="clear" w:color="auto" w:fill="auto"/>
          </w:tcPr>
          <w:p w:rsidR="00F568C2" w:rsidRPr="00F51920" w:rsidRDefault="00F568C2" w:rsidP="000A34CE">
            <w:pPr>
              <w:pStyle w:val="SingleTxt"/>
              <w:spacing w:line="220" w:lineRule="exact"/>
              <w:rPr>
                <w:spacing w:val="0"/>
              </w:rPr>
            </w:pPr>
            <w:r w:rsidRPr="00F51920">
              <w:rPr>
                <w:spacing w:val="0"/>
              </w:rPr>
              <w:tab/>
              <w:t xml:space="preserve">Le présent document établit le programme de travail correspondant au sous-programme </w:t>
            </w:r>
            <w:r w:rsidR="000A34CE">
              <w:rPr>
                <w:spacing w:val="0"/>
              </w:rPr>
              <w:t>E</w:t>
            </w:r>
            <w:r w:rsidRPr="00F51920">
              <w:rPr>
                <w:spacing w:val="0"/>
              </w:rPr>
              <w:t xml:space="preserve">nvironnement pour </w:t>
            </w:r>
            <w:r w:rsidR="000A34CE">
              <w:rPr>
                <w:spacing w:val="0"/>
              </w:rPr>
              <w:t xml:space="preserve">la période </w:t>
            </w:r>
            <w:r w:rsidRPr="00F51920">
              <w:rPr>
                <w:spacing w:val="0"/>
              </w:rPr>
              <w:t>biennal</w:t>
            </w:r>
            <w:r w:rsidR="000A34CE">
              <w:rPr>
                <w:spacing w:val="0"/>
              </w:rPr>
              <w:t>e</w:t>
            </w:r>
            <w:r w:rsidRPr="00F51920">
              <w:rPr>
                <w:spacing w:val="0"/>
              </w:rPr>
              <w:t xml:space="preserve"> 2016-2017. Il a été élaboré sur la base du cadre stratégique pour l</w:t>
            </w:r>
            <w:r w:rsidR="00376373">
              <w:rPr>
                <w:spacing w:val="0"/>
              </w:rPr>
              <w:t>a période 2016-2017 [</w:t>
            </w:r>
            <w:r w:rsidRPr="00F51920">
              <w:rPr>
                <w:spacing w:val="0"/>
              </w:rPr>
              <w:t>A/69/6 (</w:t>
            </w:r>
            <w:proofErr w:type="spellStart"/>
            <w:r w:rsidR="000A34CE">
              <w:rPr>
                <w:spacing w:val="0"/>
              </w:rPr>
              <w:t>P</w:t>
            </w:r>
            <w:r w:rsidR="00376373">
              <w:rPr>
                <w:spacing w:val="0"/>
              </w:rPr>
              <w:t>rog</w:t>
            </w:r>
            <w:proofErr w:type="spellEnd"/>
            <w:r w:rsidR="00376373">
              <w:rPr>
                <w:spacing w:val="0"/>
              </w:rPr>
              <w:t>. 17)]</w:t>
            </w:r>
            <w:r w:rsidRPr="00F51920">
              <w:rPr>
                <w:spacing w:val="0"/>
              </w:rPr>
              <w:t xml:space="preserve"> et du projet de budget-programme pour</w:t>
            </w:r>
            <w:r w:rsidR="00F51920" w:rsidRPr="00F51920">
              <w:rPr>
                <w:spacing w:val="0"/>
              </w:rPr>
              <w:t xml:space="preserve"> la période biennale 2016-2017 [</w:t>
            </w:r>
            <w:r w:rsidRPr="00F51920">
              <w:rPr>
                <w:spacing w:val="0"/>
              </w:rPr>
              <w:t>A/70/6 (</w:t>
            </w:r>
            <w:r w:rsidR="00F51920" w:rsidRPr="00F51920">
              <w:rPr>
                <w:spacing w:val="0"/>
              </w:rPr>
              <w:t>sect. </w:t>
            </w:r>
            <w:r w:rsidRPr="00F51920">
              <w:rPr>
                <w:spacing w:val="0"/>
              </w:rPr>
              <w:t>20)</w:t>
            </w:r>
            <w:r w:rsidR="00F51920" w:rsidRPr="00F51920">
              <w:rPr>
                <w:spacing w:val="0"/>
              </w:rPr>
              <w:t>]</w:t>
            </w:r>
            <w:r w:rsidRPr="00F51920">
              <w:rPr>
                <w:spacing w:val="0"/>
              </w:rPr>
              <w:t>. Le présent document a été établi par le secrétariat, sur la base du nouveau modèle de présentation des programmes de travail approuvé par le Comité exécutif de la CEE.</w:t>
            </w:r>
          </w:p>
        </w:tc>
      </w:tr>
      <w:tr w:rsidR="00F568C2" w:rsidTr="00F568C2">
        <w:tc>
          <w:tcPr>
            <w:tcW w:w="10051" w:type="dxa"/>
            <w:shd w:val="clear" w:color="auto" w:fill="auto"/>
          </w:tcPr>
          <w:p w:rsidR="00F568C2" w:rsidRPr="00F568C2" w:rsidRDefault="00F568C2" w:rsidP="000A34CE">
            <w:pPr>
              <w:pStyle w:val="SingleTxt"/>
              <w:spacing w:line="220" w:lineRule="exact"/>
            </w:pPr>
            <w:r>
              <w:tab/>
              <w:t>Le Comité sera invité à examiner le présent document en vue de l</w:t>
            </w:r>
            <w:r w:rsidR="00D26761">
              <w:t>’</w:t>
            </w:r>
            <w:r>
              <w:t>adopter à sa vingt et unième session. Le programme de travail sera ensuite soumis au Comité exécutif de la CEE pour être approuvé.</w:t>
            </w:r>
          </w:p>
        </w:tc>
      </w:tr>
      <w:tr w:rsidR="00F568C2" w:rsidTr="00F568C2">
        <w:tc>
          <w:tcPr>
            <w:tcW w:w="10051" w:type="dxa"/>
            <w:tcBorders>
              <w:bottom w:val="single" w:sz="2" w:space="0" w:color="auto"/>
            </w:tcBorders>
            <w:shd w:val="clear" w:color="auto" w:fill="auto"/>
          </w:tcPr>
          <w:p w:rsidR="00F568C2" w:rsidRDefault="00F568C2" w:rsidP="00F51920">
            <w:pPr>
              <w:pStyle w:val="SingleTxt"/>
              <w:spacing w:line="220" w:lineRule="exact"/>
            </w:pPr>
          </w:p>
        </w:tc>
      </w:tr>
    </w:tbl>
    <w:p w:rsidR="00F568C2" w:rsidRDefault="00F568C2" w:rsidP="00F65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lastRenderedPageBreak/>
        <w:tab/>
      </w:r>
      <w:r w:rsidRPr="00F568C2">
        <w:rPr>
          <w:lang w:bidi="fr-CH"/>
        </w:rPr>
        <w:tab/>
        <w:t>Introduction</w:t>
      </w:r>
    </w:p>
    <w:p w:rsidR="00F65F65" w:rsidRPr="00F65F65" w:rsidRDefault="00F65F65" w:rsidP="00F65F65">
      <w:pPr>
        <w:pStyle w:val="SingleTxt"/>
        <w:spacing w:after="0" w:line="120" w:lineRule="exact"/>
        <w:rPr>
          <w:b/>
          <w:sz w:val="10"/>
          <w:lang w:bidi="fr-CH"/>
        </w:rPr>
      </w:pPr>
    </w:p>
    <w:p w:rsidR="00F65F65" w:rsidRPr="00F65F65" w:rsidRDefault="00F65F65" w:rsidP="00F65F65">
      <w:pPr>
        <w:pStyle w:val="SingleTxt"/>
        <w:spacing w:after="0" w:line="120" w:lineRule="exact"/>
        <w:rPr>
          <w:b/>
          <w:sz w:val="10"/>
          <w:lang w:bidi="fr-CH"/>
        </w:rPr>
      </w:pP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On trouvera ci-après le </w:t>
      </w:r>
      <w:r w:rsidR="000A34CE">
        <w:rPr>
          <w:lang w:bidi="fr-CH"/>
        </w:rPr>
        <w:t xml:space="preserve">projet de </w:t>
      </w:r>
      <w:r w:rsidRPr="00F568C2">
        <w:rPr>
          <w:lang w:bidi="fr-CH"/>
        </w:rPr>
        <w:t xml:space="preserve">programme de travail correspondant au sous-programme </w:t>
      </w:r>
      <w:r w:rsidR="000A34CE">
        <w:rPr>
          <w:lang w:bidi="fr-CH"/>
        </w:rPr>
        <w:t>E</w:t>
      </w:r>
      <w:r w:rsidRPr="00F568C2">
        <w:rPr>
          <w:lang w:bidi="fr-CH"/>
        </w:rPr>
        <w:t>nvironnement (ci-après le sous-programme) pour 2016-2017. Le Comité des politiques de l</w:t>
      </w:r>
      <w:r w:rsidR="00D26761">
        <w:rPr>
          <w:lang w:bidi="fr-CH"/>
        </w:rPr>
        <w:t>’</w:t>
      </w:r>
      <w:r w:rsidRPr="00F568C2">
        <w:rPr>
          <w:lang w:bidi="fr-CH"/>
        </w:rPr>
        <w:t>environnement (ci-après le Comité) est invité à l</w:t>
      </w:r>
      <w:r w:rsidR="00D26761">
        <w:rPr>
          <w:lang w:bidi="fr-CH"/>
        </w:rPr>
        <w:t>’</w:t>
      </w:r>
      <w:r w:rsidRPr="00F568C2">
        <w:rPr>
          <w:lang w:bidi="fr-CH"/>
        </w:rPr>
        <w:t>adopter et à recommander au Comité exécutif de la Commission économique pour l</w:t>
      </w:r>
      <w:r w:rsidR="00D26761">
        <w:rPr>
          <w:lang w:bidi="fr-CH"/>
        </w:rPr>
        <w:t>’</w:t>
      </w:r>
      <w:r w:rsidRPr="00F568C2">
        <w:rPr>
          <w:lang w:bidi="fr-CH"/>
        </w:rPr>
        <w:t xml:space="preserve">Europe (CEE) </w:t>
      </w:r>
      <w:r w:rsidR="000A34CE">
        <w:rPr>
          <w:lang w:bidi="fr-CH"/>
        </w:rPr>
        <w:t>de l’approuver</w:t>
      </w:r>
      <w:r w:rsidRPr="00F568C2">
        <w:rPr>
          <w:lang w:bidi="fr-CH"/>
        </w:rPr>
        <w:t xml:space="preserve">. Tout produit </w:t>
      </w:r>
      <w:r w:rsidR="000A34CE">
        <w:rPr>
          <w:lang w:bidi="fr-CH"/>
        </w:rPr>
        <w:t>ajouté</w:t>
      </w:r>
      <w:r w:rsidRPr="00F568C2">
        <w:rPr>
          <w:lang w:bidi="fr-CH"/>
        </w:rPr>
        <w:t xml:space="preserve">, arrêté ou reporté </w:t>
      </w:r>
      <w:r w:rsidR="000A34CE">
        <w:rPr>
          <w:lang w:bidi="fr-CH"/>
        </w:rPr>
        <w:t xml:space="preserve">par la suite </w:t>
      </w:r>
      <w:r w:rsidRPr="00F568C2">
        <w:rPr>
          <w:lang w:bidi="fr-CH"/>
        </w:rPr>
        <w:t xml:space="preserve">sera pris en compte dans le cadre du Système intégré de suivi (SIS) que le </w:t>
      </w:r>
      <w:r w:rsidR="000A34CE">
        <w:rPr>
          <w:lang w:bidi="fr-CH"/>
        </w:rPr>
        <w:t>s</w:t>
      </w:r>
      <w:r w:rsidRPr="00F568C2">
        <w:rPr>
          <w:lang w:bidi="fr-CH"/>
        </w:rPr>
        <w:t>ecrétariat utilise à des fins de planification, de suivi et de communication de rapports sur la mise en œuvre du programme. Les résultats de la mise en œuvre du programme de travail seront communiqués au Comité dans le rapport sur l</w:t>
      </w:r>
      <w:r w:rsidR="00D26761">
        <w:rPr>
          <w:lang w:bidi="fr-CH"/>
        </w:rPr>
        <w:t>’</w:t>
      </w:r>
      <w:r w:rsidRPr="00F568C2">
        <w:rPr>
          <w:lang w:bidi="fr-CH"/>
        </w:rPr>
        <w:t xml:space="preserve">exécution des programmes pour </w:t>
      </w:r>
      <w:r w:rsidR="000A34CE">
        <w:rPr>
          <w:lang w:bidi="fr-CH"/>
        </w:rPr>
        <w:t xml:space="preserve">la période </w:t>
      </w:r>
      <w:r w:rsidRPr="00F568C2">
        <w:rPr>
          <w:lang w:bidi="fr-CH"/>
        </w:rPr>
        <w:t>biennal</w:t>
      </w:r>
      <w:r w:rsidR="000A34CE">
        <w:rPr>
          <w:lang w:bidi="fr-CH"/>
        </w:rPr>
        <w:t>e</w:t>
      </w:r>
      <w:r w:rsidRPr="00F568C2">
        <w:rPr>
          <w:lang w:bidi="fr-CH"/>
        </w:rPr>
        <w:t xml:space="preserve"> 2016-2017</w:t>
      </w:r>
      <w:r w:rsidR="000A34CE">
        <w:rPr>
          <w:rStyle w:val="FootnoteReference"/>
          <w:lang w:bidi="fr-CH"/>
        </w:rPr>
        <w:footnoteReference w:id="2"/>
      </w:r>
      <w:r w:rsidRPr="00F568C2">
        <w:rPr>
          <w:lang w:bidi="fr-CH"/>
        </w:rPr>
        <w:t>.</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Le projet de programme de travail repose sur une approche de la gestion fondée sur les résultats, qui établit un rapport logique entre </w:t>
      </w:r>
      <w:r w:rsidR="007A2E4F">
        <w:rPr>
          <w:lang w:bidi="fr-CH"/>
        </w:rPr>
        <w:t xml:space="preserve">les </w:t>
      </w:r>
      <w:r w:rsidRPr="00F568C2">
        <w:rPr>
          <w:lang w:bidi="fr-CH"/>
        </w:rPr>
        <w:t>résultats hiéra</w:t>
      </w:r>
      <w:r w:rsidR="007A2E4F">
        <w:rPr>
          <w:lang w:bidi="fr-CH"/>
        </w:rPr>
        <w:t>rchiques (produits – résultats –</w:t>
      </w:r>
      <w:r w:rsidRPr="00F568C2">
        <w:rPr>
          <w:lang w:bidi="fr-CH"/>
        </w:rPr>
        <w:t xml:space="preserve"> effets), qualifiés de «</w:t>
      </w:r>
      <w:r w:rsidR="007A2E4F">
        <w:rPr>
          <w:lang w:bidi="fr-CH"/>
        </w:rPr>
        <w:t> </w:t>
      </w:r>
      <w:r w:rsidRPr="00F568C2">
        <w:rPr>
          <w:lang w:bidi="fr-CH"/>
        </w:rPr>
        <w:t>chaîne des résultats</w:t>
      </w:r>
      <w:r w:rsidR="007A2E4F">
        <w:rPr>
          <w:lang w:bidi="fr-CH"/>
        </w:rPr>
        <w:t> </w:t>
      </w:r>
      <w:r w:rsidRPr="00F568C2">
        <w:rPr>
          <w:lang w:bidi="fr-CH"/>
        </w:rPr>
        <w:t xml:space="preserve">», </w:t>
      </w:r>
      <w:r w:rsidR="007A2E4F">
        <w:rPr>
          <w:lang w:bidi="fr-CH"/>
        </w:rPr>
        <w:t xml:space="preserve">les </w:t>
      </w:r>
      <w:r w:rsidRPr="00F568C2">
        <w:rPr>
          <w:lang w:bidi="fr-CH"/>
        </w:rPr>
        <w:t>ressources (humaines et financières), qualifiées d</w:t>
      </w:r>
      <w:r w:rsidR="00D26761">
        <w:rPr>
          <w:lang w:bidi="fr-CH"/>
        </w:rPr>
        <w:t>’</w:t>
      </w:r>
      <w:r w:rsidRPr="00F568C2">
        <w:rPr>
          <w:lang w:bidi="fr-CH"/>
        </w:rPr>
        <w:t>«</w:t>
      </w:r>
      <w:r w:rsidR="007A2E4F">
        <w:rPr>
          <w:lang w:bidi="fr-CH"/>
        </w:rPr>
        <w:t> </w:t>
      </w:r>
      <w:r w:rsidRPr="00F568C2">
        <w:rPr>
          <w:lang w:bidi="fr-CH"/>
        </w:rPr>
        <w:t>intrants</w:t>
      </w:r>
      <w:r w:rsidR="007A2E4F">
        <w:rPr>
          <w:lang w:bidi="fr-CH"/>
        </w:rPr>
        <w:t> </w:t>
      </w:r>
      <w:r w:rsidRPr="00F568C2">
        <w:rPr>
          <w:lang w:bidi="fr-CH"/>
        </w:rPr>
        <w:t xml:space="preserve">» et </w:t>
      </w:r>
      <w:r w:rsidR="007A2E4F">
        <w:rPr>
          <w:lang w:bidi="fr-CH"/>
        </w:rPr>
        <w:t xml:space="preserve">les </w:t>
      </w:r>
      <w:r w:rsidRPr="00F568C2">
        <w:rPr>
          <w:lang w:bidi="fr-CH"/>
        </w:rPr>
        <w:t>facteurs extérieurs (stratégiques, administratifs, opérationnels, financiers) susceptibles d</w:t>
      </w:r>
      <w:r w:rsidR="00D26761">
        <w:rPr>
          <w:lang w:bidi="fr-CH"/>
        </w:rPr>
        <w:t>’</w:t>
      </w:r>
      <w:r w:rsidRPr="00F568C2">
        <w:rPr>
          <w:lang w:bidi="fr-CH"/>
        </w:rPr>
        <w:t>empêcher que l</w:t>
      </w:r>
      <w:r w:rsidR="00D26761">
        <w:rPr>
          <w:lang w:bidi="fr-CH"/>
        </w:rPr>
        <w:t>’</w:t>
      </w:r>
      <w:r w:rsidRPr="00F568C2">
        <w:rPr>
          <w:lang w:bidi="fr-CH"/>
        </w:rPr>
        <w:t>objectif ne se réalise.</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Les produits/activités dans le projet de programme de travail correspondent à ceux qui figurent dans la proposition de budget-programme de la CEE pour l</w:t>
      </w:r>
      <w:r w:rsidR="00D26761">
        <w:rPr>
          <w:lang w:bidi="fr-CH"/>
        </w:rPr>
        <w:t>’</w:t>
      </w:r>
      <w:r w:rsidRPr="00F568C2">
        <w:rPr>
          <w:lang w:bidi="fr-CH"/>
        </w:rPr>
        <w:t>exercice 2016-2017. Ils relèvent des principales catégories suivantes</w:t>
      </w:r>
      <w:r w:rsidR="00376373">
        <w:rPr>
          <w:lang w:bidi="fr-CH"/>
        </w:rPr>
        <w:t> :</w:t>
      </w:r>
      <w:r w:rsidRPr="00F568C2">
        <w:rPr>
          <w:lang w:bidi="fr-CH"/>
        </w:rPr>
        <w:t xml:space="preserve"> a) réunions et documents </w:t>
      </w:r>
      <w:r w:rsidR="007A2E4F">
        <w:rPr>
          <w:lang w:bidi="fr-CH"/>
        </w:rPr>
        <w:t>correspondants</w:t>
      </w:r>
      <w:r w:rsidRPr="00F568C2">
        <w:rPr>
          <w:lang w:bidi="fr-CH"/>
        </w:rPr>
        <w:t>; b) autr</w:t>
      </w:r>
      <w:r w:rsidR="007A2E4F">
        <w:rPr>
          <w:lang w:bidi="fr-CH"/>
        </w:rPr>
        <w:t>es activités importantes; et c) </w:t>
      </w:r>
      <w:r w:rsidRPr="00F568C2">
        <w:rPr>
          <w:lang w:bidi="fr-CH"/>
        </w:rPr>
        <w:t>coopération technique, y compris services consultatifs, stages, séminaires, ateliers et projets opérationnels</w:t>
      </w:r>
      <w:r w:rsidR="007A2E4F">
        <w:rPr>
          <w:rStyle w:val="FootnoteReference"/>
          <w:lang w:bidi="fr-CH"/>
        </w:rPr>
        <w:footnoteReference w:id="3"/>
      </w:r>
      <w:r w:rsidRPr="00F568C2">
        <w:rPr>
          <w:lang w:bidi="fr-CH"/>
        </w:rPr>
        <w:t>.</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Les résultats/réalisations escompté</w:t>
      </w:r>
      <w:r w:rsidR="007A2E4F">
        <w:rPr>
          <w:lang w:bidi="fr-CH"/>
        </w:rPr>
        <w:t>e</w:t>
      </w:r>
      <w:r w:rsidRPr="00F568C2">
        <w:rPr>
          <w:lang w:bidi="fr-CH"/>
        </w:rPr>
        <w:t xml:space="preserve">s, assortis des indicateurs de succès et </w:t>
      </w:r>
      <w:r w:rsidR="007A2E4F">
        <w:rPr>
          <w:lang w:bidi="fr-CH"/>
        </w:rPr>
        <w:t xml:space="preserve">de la </w:t>
      </w:r>
      <w:r w:rsidRPr="00F568C2">
        <w:rPr>
          <w:lang w:bidi="fr-CH"/>
        </w:rPr>
        <w:t>mesure des résultats correspondants, sont présentés dans l</w:t>
      </w:r>
      <w:r w:rsidR="00D26761">
        <w:rPr>
          <w:lang w:bidi="fr-CH"/>
        </w:rPr>
        <w:t>’</w:t>
      </w:r>
      <w:r w:rsidRPr="00F568C2">
        <w:rPr>
          <w:lang w:bidi="fr-CH"/>
        </w:rPr>
        <w:t>annexe I sous la forme d</w:t>
      </w:r>
      <w:r w:rsidR="00D26761">
        <w:rPr>
          <w:lang w:bidi="fr-CH"/>
        </w:rPr>
        <w:t>’</w:t>
      </w:r>
      <w:r w:rsidRPr="00F568C2">
        <w:rPr>
          <w:lang w:bidi="fr-CH"/>
        </w:rPr>
        <w:t>un cadre logique.</w:t>
      </w:r>
    </w:p>
    <w:p w:rsid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Les publications </w:t>
      </w:r>
      <w:r w:rsidR="007A2E4F">
        <w:rPr>
          <w:lang w:bidi="fr-CH"/>
        </w:rPr>
        <w:t>proposées</w:t>
      </w:r>
      <w:r w:rsidRPr="00F568C2">
        <w:rPr>
          <w:lang w:bidi="fr-CH"/>
        </w:rPr>
        <w:t xml:space="preserve"> sont énumérées en détail dans l</w:t>
      </w:r>
      <w:r w:rsidR="00D26761">
        <w:rPr>
          <w:lang w:bidi="fr-CH"/>
        </w:rPr>
        <w:t>’</w:t>
      </w:r>
      <w:r w:rsidR="007A2E4F">
        <w:rPr>
          <w:lang w:bidi="fr-CH"/>
        </w:rPr>
        <w:t>annexe </w:t>
      </w:r>
      <w:r w:rsidRPr="00F568C2">
        <w:rPr>
          <w:lang w:bidi="fr-CH"/>
        </w:rPr>
        <w:t>II. L</w:t>
      </w:r>
      <w:r w:rsidR="00D26761">
        <w:rPr>
          <w:lang w:bidi="fr-CH"/>
        </w:rPr>
        <w:t>’</w:t>
      </w:r>
      <w:r w:rsidR="007A2E4F">
        <w:rPr>
          <w:lang w:bidi="fr-CH"/>
        </w:rPr>
        <w:t>annexe </w:t>
      </w:r>
      <w:r w:rsidRPr="00F568C2">
        <w:rPr>
          <w:lang w:bidi="fr-CH"/>
        </w:rPr>
        <w:t xml:space="preserve">III indique les textes généraux portant autorisation et les textes </w:t>
      </w:r>
      <w:r w:rsidR="007A2E4F">
        <w:rPr>
          <w:lang w:bidi="fr-CH"/>
        </w:rPr>
        <w:t>relatifs</w:t>
      </w:r>
      <w:r w:rsidRPr="00F568C2">
        <w:rPr>
          <w:lang w:bidi="fr-CH"/>
        </w:rPr>
        <w:t xml:space="preserve"> au sous-programme.</w:t>
      </w:r>
    </w:p>
    <w:p w:rsidR="00F65F65" w:rsidRPr="00F65F65" w:rsidRDefault="00F65F65" w:rsidP="00F65F65">
      <w:pPr>
        <w:pStyle w:val="SingleTxt"/>
        <w:spacing w:after="0" w:line="120" w:lineRule="exact"/>
        <w:rPr>
          <w:sz w:val="10"/>
          <w:lang w:bidi="fr-CH"/>
        </w:rPr>
      </w:pPr>
    </w:p>
    <w:p w:rsidR="00F65F65" w:rsidRPr="00F65F65" w:rsidRDefault="00F65F65" w:rsidP="00F65F65">
      <w:pPr>
        <w:pStyle w:val="SingleTxt"/>
        <w:spacing w:after="0" w:line="120" w:lineRule="exact"/>
        <w:rPr>
          <w:sz w:val="10"/>
          <w:lang w:bidi="fr-CH"/>
        </w:rPr>
      </w:pPr>
    </w:p>
    <w:p w:rsid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w:t>
      </w:r>
      <w:r w:rsidRPr="00F568C2">
        <w:rPr>
          <w:lang w:bidi="fr-CH"/>
        </w:rPr>
        <w:tab/>
        <w:t>Objectif, stratégie et facteurs extérieurs</w:t>
      </w:r>
    </w:p>
    <w:p w:rsidR="00F65F65" w:rsidRPr="00F65F65" w:rsidRDefault="00F65F65" w:rsidP="00F65F65">
      <w:pPr>
        <w:pStyle w:val="SingleTxt"/>
        <w:spacing w:after="0" w:line="120" w:lineRule="exact"/>
        <w:rPr>
          <w:b/>
          <w:sz w:val="10"/>
          <w:lang w:bidi="fr-CH"/>
        </w:rPr>
      </w:pPr>
    </w:p>
    <w:p w:rsidR="00F65F65" w:rsidRPr="00F65F65" w:rsidRDefault="00F65F65" w:rsidP="00F65F65">
      <w:pPr>
        <w:pStyle w:val="SingleTxt"/>
        <w:spacing w:after="0" w:line="120" w:lineRule="exact"/>
        <w:rPr>
          <w:b/>
          <w:sz w:val="10"/>
          <w:lang w:bidi="fr-CH"/>
        </w:rPr>
      </w:pP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Le sous-programme a pour objectif d</w:t>
      </w:r>
      <w:r w:rsidR="00D26761">
        <w:rPr>
          <w:lang w:bidi="fr-CH"/>
        </w:rPr>
        <w:t>’</w:t>
      </w:r>
      <w:r w:rsidRPr="00F568C2">
        <w:rPr>
          <w:lang w:bidi="fr-CH"/>
        </w:rPr>
        <w:t>améliorer la gouvernance et la performance environnementales dans toute la région afin de préserver l</w:t>
      </w:r>
      <w:r w:rsidR="00D26761">
        <w:rPr>
          <w:lang w:bidi="fr-CH"/>
        </w:rPr>
        <w:t>’</w:t>
      </w:r>
      <w:r w:rsidRPr="00F568C2">
        <w:rPr>
          <w:lang w:bidi="fr-CH"/>
        </w:rPr>
        <w:t>environnement et la santé.</w:t>
      </w:r>
    </w:p>
    <w:p w:rsidR="00F568C2" w:rsidRPr="001137D3" w:rsidRDefault="00F568C2" w:rsidP="003962ED">
      <w:pPr>
        <w:pStyle w:val="SingleTxt"/>
        <w:numPr>
          <w:ilvl w:val="0"/>
          <w:numId w:val="8"/>
        </w:numPr>
        <w:tabs>
          <w:tab w:val="clear" w:pos="475"/>
          <w:tab w:val="num" w:pos="1742"/>
        </w:tabs>
        <w:ind w:left="1267"/>
        <w:rPr>
          <w:spacing w:val="0"/>
          <w:lang w:bidi="fr-CH"/>
        </w:rPr>
      </w:pPr>
      <w:r w:rsidRPr="001137D3">
        <w:rPr>
          <w:spacing w:val="0"/>
          <w:lang w:bidi="fr-CH"/>
        </w:rPr>
        <w:t>La Division de l</w:t>
      </w:r>
      <w:r w:rsidR="00D26761" w:rsidRPr="001137D3">
        <w:rPr>
          <w:spacing w:val="0"/>
          <w:lang w:bidi="fr-CH"/>
        </w:rPr>
        <w:t>’</w:t>
      </w:r>
      <w:r w:rsidRPr="001137D3">
        <w:rPr>
          <w:spacing w:val="0"/>
          <w:lang w:bidi="fr-CH"/>
        </w:rPr>
        <w:t>environnement est chargée d</w:t>
      </w:r>
      <w:r w:rsidR="00D26761" w:rsidRPr="001137D3">
        <w:rPr>
          <w:spacing w:val="0"/>
          <w:lang w:bidi="fr-CH"/>
        </w:rPr>
        <w:t>’</w:t>
      </w:r>
      <w:r w:rsidRPr="001137D3">
        <w:rPr>
          <w:spacing w:val="0"/>
          <w:lang w:bidi="fr-CH"/>
        </w:rPr>
        <w:t>exécuter ce sous-programme et, en prenant en compte leurs besoins dans ses activités, elle s</w:t>
      </w:r>
      <w:r w:rsidR="00D26761" w:rsidRPr="001137D3">
        <w:rPr>
          <w:spacing w:val="0"/>
          <w:lang w:bidi="fr-CH"/>
        </w:rPr>
        <w:t>’</w:t>
      </w:r>
      <w:r w:rsidRPr="001137D3">
        <w:rPr>
          <w:spacing w:val="0"/>
          <w:lang w:bidi="fr-CH"/>
        </w:rPr>
        <w:t>emploiera à renforcer les moy</w:t>
      </w:r>
      <w:r w:rsidR="007A2E4F" w:rsidRPr="001137D3">
        <w:rPr>
          <w:spacing w:val="0"/>
          <w:lang w:bidi="fr-CH"/>
        </w:rPr>
        <w:t>ens dont disposent les pays d</w:t>
      </w:r>
      <w:r w:rsidR="00D26761" w:rsidRPr="001137D3">
        <w:rPr>
          <w:spacing w:val="0"/>
          <w:lang w:bidi="fr-CH"/>
        </w:rPr>
        <w:t>’</w:t>
      </w:r>
      <w:r w:rsidRPr="001137D3">
        <w:rPr>
          <w:spacing w:val="0"/>
          <w:lang w:bidi="fr-CH"/>
        </w:rPr>
        <w:t>Eu</w:t>
      </w:r>
      <w:r w:rsidR="007A2E4F" w:rsidRPr="001137D3">
        <w:rPr>
          <w:spacing w:val="0"/>
          <w:lang w:bidi="fr-CH"/>
        </w:rPr>
        <w:t>rope orientale, du Caucase, d</w:t>
      </w:r>
      <w:r w:rsidR="00D26761" w:rsidRPr="001137D3">
        <w:rPr>
          <w:spacing w:val="0"/>
          <w:lang w:bidi="fr-CH"/>
        </w:rPr>
        <w:t>’</w:t>
      </w:r>
      <w:r w:rsidRPr="001137D3">
        <w:rPr>
          <w:spacing w:val="0"/>
          <w:lang w:bidi="fr-CH"/>
        </w:rPr>
        <w:t>Asie centrale et d</w:t>
      </w:r>
      <w:r w:rsidR="00D26761" w:rsidRPr="001137D3">
        <w:rPr>
          <w:spacing w:val="0"/>
          <w:lang w:bidi="fr-CH"/>
        </w:rPr>
        <w:t>’</w:t>
      </w:r>
      <w:r w:rsidRPr="001137D3">
        <w:rPr>
          <w:spacing w:val="0"/>
          <w:lang w:bidi="fr-CH"/>
        </w:rPr>
        <w:t xml:space="preserve">Europe du </w:t>
      </w:r>
      <w:r w:rsidRPr="001137D3">
        <w:rPr>
          <w:spacing w:val="0"/>
          <w:lang w:bidi="fr-CH"/>
        </w:rPr>
        <w:lastRenderedPageBreak/>
        <w:t>Sud-Est pour é</w:t>
      </w:r>
      <w:r w:rsidR="00816959" w:rsidRPr="001137D3">
        <w:rPr>
          <w:spacing w:val="0"/>
          <w:lang w:bidi="fr-CH"/>
        </w:rPr>
        <w:t>laborer</w:t>
      </w:r>
      <w:r w:rsidRPr="001137D3">
        <w:rPr>
          <w:spacing w:val="0"/>
          <w:lang w:bidi="fr-CH"/>
        </w:rPr>
        <w:t xml:space="preserve"> les politiques </w:t>
      </w:r>
      <w:r w:rsidR="00816959" w:rsidRPr="001137D3">
        <w:rPr>
          <w:spacing w:val="0"/>
          <w:lang w:bidi="fr-CH"/>
        </w:rPr>
        <w:t xml:space="preserve">environnementales </w:t>
      </w:r>
      <w:r w:rsidRPr="001137D3">
        <w:rPr>
          <w:spacing w:val="0"/>
          <w:lang w:bidi="fr-CH"/>
        </w:rPr>
        <w:t xml:space="preserve">et </w:t>
      </w:r>
      <w:r w:rsidR="00816959" w:rsidRPr="001137D3">
        <w:rPr>
          <w:spacing w:val="0"/>
          <w:lang w:bidi="fr-CH"/>
        </w:rPr>
        <w:t xml:space="preserve">assurer la gestion de </w:t>
      </w:r>
      <w:r w:rsidRPr="001137D3">
        <w:rPr>
          <w:spacing w:val="0"/>
          <w:lang w:bidi="fr-CH"/>
        </w:rPr>
        <w:t>l</w:t>
      </w:r>
      <w:r w:rsidR="00D26761" w:rsidRPr="001137D3">
        <w:rPr>
          <w:spacing w:val="0"/>
          <w:lang w:bidi="fr-CH"/>
        </w:rPr>
        <w:t>’</w:t>
      </w:r>
      <w:r w:rsidRPr="001137D3">
        <w:rPr>
          <w:spacing w:val="0"/>
          <w:lang w:bidi="fr-CH"/>
        </w:rPr>
        <w:t xml:space="preserve">environnement, </w:t>
      </w:r>
      <w:r w:rsidR="00816959" w:rsidRPr="001137D3">
        <w:rPr>
          <w:spacing w:val="0"/>
          <w:lang w:bidi="fr-CH"/>
        </w:rPr>
        <w:t xml:space="preserve">s’agissant </w:t>
      </w:r>
      <w:r w:rsidRPr="001137D3">
        <w:rPr>
          <w:spacing w:val="0"/>
          <w:lang w:bidi="fr-CH"/>
        </w:rPr>
        <w:t xml:space="preserve">notamment </w:t>
      </w:r>
      <w:r w:rsidR="00816959" w:rsidRPr="001137D3">
        <w:rPr>
          <w:spacing w:val="0"/>
          <w:lang w:bidi="fr-CH"/>
        </w:rPr>
        <w:t>de</w:t>
      </w:r>
      <w:r w:rsidRPr="001137D3">
        <w:rPr>
          <w:spacing w:val="0"/>
          <w:lang w:bidi="fr-CH"/>
        </w:rPr>
        <w:t xml:space="preserve"> faire respecter la législation en la matière.</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Dans le cadre du sous-programme, </w:t>
      </w:r>
      <w:r w:rsidR="00816959">
        <w:rPr>
          <w:lang w:bidi="fr-CH"/>
        </w:rPr>
        <w:t xml:space="preserve">la Division </w:t>
      </w:r>
      <w:r w:rsidRPr="00F568C2">
        <w:rPr>
          <w:lang w:bidi="fr-CH"/>
        </w:rPr>
        <w:t>encourager</w:t>
      </w:r>
      <w:r w:rsidR="00816959">
        <w:rPr>
          <w:lang w:bidi="fr-CH"/>
        </w:rPr>
        <w:t>a</w:t>
      </w:r>
      <w:r w:rsidRPr="00F568C2">
        <w:rPr>
          <w:lang w:bidi="fr-CH"/>
        </w:rPr>
        <w:t xml:space="preserve"> la gouvernance environnementale dans la région et la coopération </w:t>
      </w:r>
      <w:r w:rsidR="00816959">
        <w:rPr>
          <w:lang w:bidi="fr-CH"/>
        </w:rPr>
        <w:t xml:space="preserve">transfrontière </w:t>
      </w:r>
      <w:r w:rsidRPr="00F568C2">
        <w:rPr>
          <w:lang w:bidi="fr-CH"/>
        </w:rPr>
        <w:t>entre pays et</w:t>
      </w:r>
      <w:r w:rsidR="00816959">
        <w:rPr>
          <w:lang w:bidi="fr-CH"/>
        </w:rPr>
        <w:t>,</w:t>
      </w:r>
      <w:r w:rsidRPr="00F568C2">
        <w:rPr>
          <w:lang w:bidi="fr-CH"/>
        </w:rPr>
        <w:t xml:space="preserve"> </w:t>
      </w:r>
      <w:r w:rsidR="00816959" w:rsidRPr="00F568C2">
        <w:rPr>
          <w:lang w:bidi="fr-CH"/>
        </w:rPr>
        <w:t>grâce à la mise en œuvre des moyens d</w:t>
      </w:r>
      <w:r w:rsidR="00816959">
        <w:rPr>
          <w:lang w:bidi="fr-CH"/>
        </w:rPr>
        <w:t>’</w:t>
      </w:r>
      <w:r w:rsidR="00816959" w:rsidRPr="00F568C2">
        <w:rPr>
          <w:lang w:bidi="fr-CH"/>
        </w:rPr>
        <w:t xml:space="preserve">intervention de la CEE, </w:t>
      </w:r>
      <w:r w:rsidRPr="00F568C2">
        <w:rPr>
          <w:lang w:bidi="fr-CH"/>
        </w:rPr>
        <w:t>intégrer</w:t>
      </w:r>
      <w:r w:rsidR="00816959">
        <w:rPr>
          <w:lang w:bidi="fr-CH"/>
        </w:rPr>
        <w:t>a</w:t>
      </w:r>
      <w:r w:rsidRPr="00F568C2">
        <w:rPr>
          <w:lang w:bidi="fr-CH"/>
        </w:rPr>
        <w:t xml:space="preserve"> davantage </w:t>
      </w:r>
      <w:r w:rsidR="00816959">
        <w:rPr>
          <w:lang w:bidi="fr-CH"/>
        </w:rPr>
        <w:t xml:space="preserve">les préoccupations </w:t>
      </w:r>
      <w:r w:rsidRPr="00F568C2">
        <w:rPr>
          <w:lang w:bidi="fr-CH"/>
        </w:rPr>
        <w:t>environnement</w:t>
      </w:r>
      <w:r w:rsidR="00816959">
        <w:rPr>
          <w:lang w:bidi="fr-CH"/>
        </w:rPr>
        <w:t>ales</w:t>
      </w:r>
      <w:r w:rsidRPr="00F568C2">
        <w:rPr>
          <w:lang w:bidi="fr-CH"/>
        </w:rPr>
        <w:t xml:space="preserve"> aux politiques sectorielles </w:t>
      </w:r>
      <w:r w:rsidR="00816959">
        <w:rPr>
          <w:lang w:bidi="fr-CH"/>
        </w:rPr>
        <w:t>–</w:t>
      </w:r>
      <w:r w:rsidRPr="00F568C2">
        <w:rPr>
          <w:lang w:bidi="fr-CH"/>
        </w:rPr>
        <w:t xml:space="preserve"> éducation </w:t>
      </w:r>
      <w:r w:rsidR="00816959">
        <w:rPr>
          <w:lang w:bidi="fr-CH"/>
        </w:rPr>
        <w:t xml:space="preserve">au </w:t>
      </w:r>
      <w:r w:rsidRPr="00F568C2">
        <w:rPr>
          <w:lang w:bidi="fr-CH"/>
        </w:rPr>
        <w:t>développement durable, transport</w:t>
      </w:r>
      <w:r w:rsidR="00816959">
        <w:rPr>
          <w:lang w:bidi="fr-CH"/>
        </w:rPr>
        <w:t>s</w:t>
      </w:r>
      <w:r w:rsidRPr="00F568C2">
        <w:rPr>
          <w:lang w:bidi="fr-CH"/>
        </w:rPr>
        <w:t xml:space="preserve">, santé et environnement, accords multilatéraux de la CEE </w:t>
      </w:r>
      <w:r w:rsidR="00816959">
        <w:rPr>
          <w:lang w:bidi="fr-CH"/>
        </w:rPr>
        <w:t xml:space="preserve">relatifs à </w:t>
      </w:r>
      <w:r w:rsidRPr="00F568C2">
        <w:rPr>
          <w:lang w:bidi="fr-CH"/>
        </w:rPr>
        <w:t>l</w:t>
      </w:r>
      <w:r w:rsidR="00D26761">
        <w:rPr>
          <w:lang w:bidi="fr-CH"/>
        </w:rPr>
        <w:t>’</w:t>
      </w:r>
      <w:r w:rsidRPr="00F568C2">
        <w:rPr>
          <w:lang w:bidi="fr-CH"/>
        </w:rPr>
        <w:t>environnement, partage des informations (</w:t>
      </w:r>
      <w:r w:rsidR="00816959">
        <w:rPr>
          <w:lang w:bidi="fr-CH"/>
        </w:rPr>
        <w:t xml:space="preserve">dans le cadre par exemple </w:t>
      </w:r>
      <w:r w:rsidRPr="00F568C2">
        <w:rPr>
          <w:lang w:bidi="fr-CH"/>
        </w:rPr>
        <w:t>du Système de partage d</w:t>
      </w:r>
      <w:r w:rsidR="00D26761">
        <w:rPr>
          <w:lang w:bidi="fr-CH"/>
        </w:rPr>
        <w:t>’</w:t>
      </w:r>
      <w:r w:rsidRPr="00F568C2">
        <w:rPr>
          <w:lang w:bidi="fr-CH"/>
        </w:rPr>
        <w:t>informations sur l</w:t>
      </w:r>
      <w:r w:rsidR="00D26761">
        <w:rPr>
          <w:lang w:bidi="fr-CH"/>
        </w:rPr>
        <w:t>’</w:t>
      </w:r>
      <w:r w:rsidRPr="00F568C2">
        <w:rPr>
          <w:lang w:bidi="fr-CH"/>
        </w:rPr>
        <w:t>environnement)</w:t>
      </w:r>
      <w:r w:rsidR="00816959">
        <w:rPr>
          <w:lang w:bidi="fr-CH"/>
        </w:rPr>
        <w:t>,</w:t>
      </w:r>
      <w:r w:rsidRPr="00F568C2">
        <w:rPr>
          <w:lang w:bidi="fr-CH"/>
        </w:rPr>
        <w:t xml:space="preserve"> mise en commun des données d</w:t>
      </w:r>
      <w:r w:rsidR="00D26761">
        <w:rPr>
          <w:lang w:bidi="fr-CH"/>
        </w:rPr>
        <w:t>’</w:t>
      </w:r>
      <w:r w:rsidRPr="00F568C2">
        <w:rPr>
          <w:lang w:bidi="fr-CH"/>
        </w:rPr>
        <w:t xml:space="preserve">expérience et des bonnes pratiques dans la région de la CEE. Les activités intersectorielles </w:t>
      </w:r>
      <w:r w:rsidR="00857403">
        <w:rPr>
          <w:lang w:bidi="fr-CH"/>
        </w:rPr>
        <w:t>cons</w:t>
      </w:r>
      <w:r w:rsidR="00816959">
        <w:rPr>
          <w:lang w:bidi="fr-CH"/>
        </w:rPr>
        <w:t>i</w:t>
      </w:r>
      <w:r w:rsidR="00857403">
        <w:rPr>
          <w:lang w:bidi="fr-CH"/>
        </w:rPr>
        <w:t>st</w:t>
      </w:r>
      <w:r w:rsidR="00816959">
        <w:rPr>
          <w:lang w:bidi="fr-CH"/>
        </w:rPr>
        <w:t xml:space="preserve">eront </w:t>
      </w:r>
      <w:r w:rsidRPr="00F568C2">
        <w:rPr>
          <w:lang w:bidi="fr-CH"/>
        </w:rPr>
        <w:t xml:space="preserve">également </w:t>
      </w:r>
      <w:r w:rsidR="00816959">
        <w:rPr>
          <w:lang w:bidi="fr-CH"/>
        </w:rPr>
        <w:t>à favoriser l</w:t>
      </w:r>
      <w:r w:rsidRPr="00F568C2">
        <w:rPr>
          <w:lang w:bidi="fr-CH"/>
        </w:rPr>
        <w:t>es synergies entre les instruments juridiques de la CEE. La Division collaborera, en outre, avec les pays non membres de la C</w:t>
      </w:r>
      <w:r w:rsidR="00816959">
        <w:rPr>
          <w:lang w:bidi="fr-CH"/>
        </w:rPr>
        <w:t xml:space="preserve">EE </w:t>
      </w:r>
      <w:r w:rsidRPr="00F568C2">
        <w:rPr>
          <w:lang w:bidi="fr-CH"/>
        </w:rPr>
        <w:t xml:space="preserve">intéressés, </w:t>
      </w:r>
      <w:r w:rsidR="00816959">
        <w:rPr>
          <w:lang w:bidi="fr-CH"/>
        </w:rPr>
        <w:t>en particulier</w:t>
      </w:r>
      <w:r w:rsidRPr="00F568C2">
        <w:rPr>
          <w:lang w:bidi="fr-CH"/>
        </w:rPr>
        <w:t xml:space="preserve"> ceux qui souhaitent se joindre aux accords multilatéraux </w:t>
      </w:r>
      <w:r w:rsidR="00816959">
        <w:rPr>
          <w:lang w:bidi="fr-CH"/>
        </w:rPr>
        <w:t>relatifs à</w:t>
      </w:r>
      <w:r w:rsidRPr="00F568C2">
        <w:rPr>
          <w:lang w:bidi="fr-CH"/>
        </w:rPr>
        <w:t xml:space="preserve"> l</w:t>
      </w:r>
      <w:r w:rsidR="00D26761">
        <w:rPr>
          <w:lang w:bidi="fr-CH"/>
        </w:rPr>
        <w:t>’</w:t>
      </w:r>
      <w:r w:rsidRPr="00F568C2">
        <w:rPr>
          <w:lang w:bidi="fr-CH"/>
        </w:rPr>
        <w:t>environnement</w:t>
      </w:r>
      <w:r w:rsidR="00816959">
        <w:rPr>
          <w:lang w:bidi="fr-CH"/>
        </w:rPr>
        <w:t>,</w:t>
      </w:r>
      <w:r w:rsidRPr="00F568C2">
        <w:rPr>
          <w:lang w:bidi="fr-CH"/>
        </w:rPr>
        <w:t xml:space="preserve"> </w:t>
      </w:r>
      <w:r w:rsidR="00816959">
        <w:rPr>
          <w:lang w:bidi="fr-CH"/>
        </w:rPr>
        <w:t>l’adhésion à ces accords ayant récemment été ouverte</w:t>
      </w:r>
      <w:r w:rsidRPr="00F568C2">
        <w:rPr>
          <w:lang w:bidi="fr-CH"/>
        </w:rPr>
        <w:t xml:space="preserve"> à </w:t>
      </w:r>
      <w:r w:rsidR="00816959">
        <w:rPr>
          <w:lang w:bidi="fr-CH"/>
        </w:rPr>
        <w:t>tous les pays</w:t>
      </w:r>
      <w:r w:rsidRPr="00F568C2">
        <w:rPr>
          <w:lang w:bidi="fr-CH"/>
        </w:rPr>
        <w:t>.</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Dans le cadre du sous-programme, la Division continuera de mener des études de performance environnementale, aidera les pays à appliquer les recommandations formulées </w:t>
      </w:r>
      <w:r w:rsidR="00B65E91">
        <w:rPr>
          <w:lang w:bidi="fr-CH"/>
        </w:rPr>
        <w:t>à l’issue</w:t>
      </w:r>
      <w:r w:rsidRPr="00F568C2">
        <w:rPr>
          <w:lang w:bidi="fr-CH"/>
        </w:rPr>
        <w:t xml:space="preserve"> des examens nationaux et exercera un suivi des effets de ces recommandations sur l</w:t>
      </w:r>
      <w:r w:rsidR="00D26761">
        <w:rPr>
          <w:lang w:bidi="fr-CH"/>
        </w:rPr>
        <w:t>’</w:t>
      </w:r>
      <w:r w:rsidRPr="00F568C2">
        <w:rPr>
          <w:lang w:bidi="fr-CH"/>
        </w:rPr>
        <w:t>élaboration et l</w:t>
      </w:r>
      <w:r w:rsidR="00D26761">
        <w:rPr>
          <w:lang w:bidi="fr-CH"/>
        </w:rPr>
        <w:t>’</w:t>
      </w:r>
      <w:r w:rsidRPr="00F568C2">
        <w:rPr>
          <w:lang w:bidi="fr-CH"/>
        </w:rPr>
        <w:t xml:space="preserve">application des politiques. Elle renforcera par ailleurs la capacité des pays de fournir des données environnementales exactes et actualisées, ce qui </w:t>
      </w:r>
      <w:r w:rsidR="00B65E91">
        <w:rPr>
          <w:lang w:bidi="fr-CH"/>
        </w:rPr>
        <w:t xml:space="preserve">contribuera à </w:t>
      </w:r>
      <w:r w:rsidRPr="00F568C2">
        <w:rPr>
          <w:lang w:bidi="fr-CH"/>
        </w:rPr>
        <w:t>améliore</w:t>
      </w:r>
      <w:r w:rsidR="00B65E91">
        <w:rPr>
          <w:lang w:bidi="fr-CH"/>
        </w:rPr>
        <w:t>r</w:t>
      </w:r>
      <w:r w:rsidRPr="00F568C2">
        <w:rPr>
          <w:lang w:bidi="fr-CH"/>
        </w:rPr>
        <w:t xml:space="preserve"> la surveillance environnementale et la communication des données. Elle encouragera en outre l</w:t>
      </w:r>
      <w:r w:rsidR="00D26761">
        <w:rPr>
          <w:lang w:bidi="fr-CH"/>
        </w:rPr>
        <w:t>’</w:t>
      </w:r>
      <w:r w:rsidRPr="00F568C2">
        <w:rPr>
          <w:lang w:bidi="fr-CH"/>
        </w:rPr>
        <w:t>utilisation</w:t>
      </w:r>
      <w:r w:rsidR="00B65E91">
        <w:rPr>
          <w:lang w:bidi="fr-CH"/>
        </w:rPr>
        <w:t>,</w:t>
      </w:r>
      <w:r w:rsidRPr="00F568C2">
        <w:rPr>
          <w:lang w:bidi="fr-CH"/>
        </w:rPr>
        <w:t xml:space="preserve"> </w:t>
      </w:r>
      <w:r w:rsidR="00B65E91">
        <w:rPr>
          <w:lang w:bidi="fr-CH"/>
        </w:rPr>
        <w:t xml:space="preserve">par les États membres, </w:t>
      </w:r>
      <w:r w:rsidRPr="00F568C2">
        <w:rPr>
          <w:lang w:bidi="fr-CH"/>
        </w:rPr>
        <w:t>des directives de la CEE pour la surveillance et l</w:t>
      </w:r>
      <w:r w:rsidR="00D26761">
        <w:rPr>
          <w:lang w:bidi="fr-CH"/>
        </w:rPr>
        <w:t>’</w:t>
      </w:r>
      <w:r w:rsidRPr="00F568C2">
        <w:rPr>
          <w:lang w:bidi="fr-CH"/>
        </w:rPr>
        <w:t xml:space="preserve">évaluation </w:t>
      </w:r>
      <w:r w:rsidR="00B65E91">
        <w:rPr>
          <w:lang w:bidi="fr-CH"/>
        </w:rPr>
        <w:t>de l’environnement</w:t>
      </w:r>
      <w:r w:rsidRPr="00F568C2">
        <w:rPr>
          <w:lang w:bidi="fr-CH"/>
        </w:rPr>
        <w:t>.</w:t>
      </w:r>
    </w:p>
    <w:p w:rsidR="00F568C2" w:rsidRPr="00F568C2" w:rsidRDefault="00F568C2" w:rsidP="003962ED">
      <w:pPr>
        <w:pStyle w:val="SingleTxt"/>
        <w:numPr>
          <w:ilvl w:val="0"/>
          <w:numId w:val="8"/>
        </w:numPr>
        <w:tabs>
          <w:tab w:val="clear" w:pos="475"/>
          <w:tab w:val="num" w:pos="1742"/>
        </w:tabs>
        <w:ind w:left="1267"/>
        <w:rPr>
          <w:lang w:bidi="fr-CH"/>
        </w:rPr>
      </w:pPr>
      <w:r w:rsidRPr="00F568C2">
        <w:rPr>
          <w:lang w:bidi="fr-CH"/>
        </w:rPr>
        <w:t>Ses activités comprendront également la promotion du développement durable dans la région, ainsi que la mise en œuvre des textes issus des conférences et réunions au sommet régionales et mondiales sur l</w:t>
      </w:r>
      <w:r w:rsidR="00D26761">
        <w:rPr>
          <w:lang w:bidi="fr-CH"/>
        </w:rPr>
        <w:t>’</w:t>
      </w:r>
      <w:r w:rsidRPr="00F568C2">
        <w:rPr>
          <w:lang w:bidi="fr-CH"/>
        </w:rPr>
        <w:t xml:space="preserve">environnement et le développement durable, </w:t>
      </w:r>
      <w:r w:rsidR="00B65E91">
        <w:rPr>
          <w:lang w:bidi="fr-CH"/>
        </w:rPr>
        <w:t xml:space="preserve">en particulier </w:t>
      </w:r>
      <w:r w:rsidRPr="00F568C2">
        <w:rPr>
          <w:lang w:bidi="fr-CH"/>
        </w:rPr>
        <w:t>la Conférence des Nations Unies sur le développement durable</w:t>
      </w:r>
      <w:r w:rsidR="00B65E91">
        <w:rPr>
          <w:lang w:bidi="fr-CH"/>
        </w:rPr>
        <w:t>,</w:t>
      </w:r>
      <w:r w:rsidRPr="00F568C2">
        <w:rPr>
          <w:lang w:bidi="fr-CH"/>
        </w:rPr>
        <w:t xml:space="preserve"> et </w:t>
      </w:r>
      <w:r w:rsidR="00B65E91">
        <w:rPr>
          <w:lang w:bidi="fr-CH"/>
        </w:rPr>
        <w:t xml:space="preserve">du </w:t>
      </w:r>
      <w:r w:rsidRPr="00F568C2">
        <w:rPr>
          <w:lang w:bidi="fr-CH"/>
        </w:rPr>
        <w:t>programme de développement pour l</w:t>
      </w:r>
      <w:r w:rsidR="00D26761">
        <w:rPr>
          <w:lang w:bidi="fr-CH"/>
        </w:rPr>
        <w:t>’</w:t>
      </w:r>
      <w:r w:rsidRPr="00F568C2">
        <w:rPr>
          <w:lang w:bidi="fr-CH"/>
        </w:rPr>
        <w:t>après-2015.</w:t>
      </w:r>
    </w:p>
    <w:p w:rsid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Au nombre des facteurs extérieurs </w:t>
      </w:r>
      <w:r w:rsidR="00B65E91">
        <w:rPr>
          <w:lang w:bidi="fr-CH"/>
        </w:rPr>
        <w:t>au sous-programme figure</w:t>
      </w:r>
      <w:r w:rsidRPr="00F568C2">
        <w:rPr>
          <w:lang w:bidi="fr-CH"/>
        </w:rPr>
        <w:t xml:space="preserve"> </w:t>
      </w:r>
      <w:r w:rsidR="00B65E91">
        <w:rPr>
          <w:lang w:bidi="fr-CH"/>
        </w:rPr>
        <w:t>l’hypothèse qu’au niveau des pays </w:t>
      </w:r>
      <w:r w:rsidRPr="00F568C2">
        <w:rPr>
          <w:lang w:bidi="fr-CH"/>
        </w:rPr>
        <w:t xml:space="preserve">: a) il existe une volonté politique et suffisamment de moyens pour intégrer les questions environnementales dans les politiques et appliquer la législation nationale </w:t>
      </w:r>
      <w:r w:rsidR="00B65E91">
        <w:rPr>
          <w:lang w:bidi="fr-CH"/>
        </w:rPr>
        <w:t xml:space="preserve">en tenant </w:t>
      </w:r>
      <w:r w:rsidRPr="00F568C2">
        <w:rPr>
          <w:lang w:bidi="fr-CH"/>
        </w:rPr>
        <w:t xml:space="preserve">compte des accords multilatéraux </w:t>
      </w:r>
      <w:r w:rsidR="00B65E91" w:rsidRPr="00F568C2">
        <w:rPr>
          <w:lang w:bidi="fr-CH"/>
        </w:rPr>
        <w:t>de la CEE</w:t>
      </w:r>
      <w:r w:rsidR="00B65E91">
        <w:rPr>
          <w:lang w:bidi="fr-CH"/>
        </w:rPr>
        <w:t xml:space="preserve"> relatifs à </w:t>
      </w:r>
      <w:r w:rsidRPr="00F568C2">
        <w:rPr>
          <w:lang w:bidi="fr-CH"/>
        </w:rPr>
        <w:t>l</w:t>
      </w:r>
      <w:r w:rsidR="00D26761">
        <w:rPr>
          <w:lang w:bidi="fr-CH"/>
        </w:rPr>
        <w:t>’</w:t>
      </w:r>
      <w:r w:rsidRPr="00F568C2">
        <w:rPr>
          <w:lang w:bidi="fr-CH"/>
        </w:rPr>
        <w:t xml:space="preserve">environnement; b) il existe une prise de conscience </w:t>
      </w:r>
      <w:r w:rsidR="00B65E91">
        <w:rPr>
          <w:lang w:bidi="fr-CH"/>
        </w:rPr>
        <w:t xml:space="preserve">suffisante des questions environnementales </w:t>
      </w:r>
      <w:r w:rsidRPr="00F568C2">
        <w:rPr>
          <w:lang w:bidi="fr-CH"/>
        </w:rPr>
        <w:t xml:space="preserve">et une </w:t>
      </w:r>
      <w:r w:rsidR="00B65E91">
        <w:rPr>
          <w:lang w:bidi="fr-CH"/>
        </w:rPr>
        <w:t xml:space="preserve">adhésion active </w:t>
      </w:r>
      <w:r w:rsidRPr="00F568C2">
        <w:rPr>
          <w:lang w:bidi="fr-CH"/>
        </w:rPr>
        <w:t xml:space="preserve">du public </w:t>
      </w:r>
      <w:r w:rsidR="00B65E91">
        <w:rPr>
          <w:lang w:bidi="fr-CH"/>
        </w:rPr>
        <w:t xml:space="preserve">à </w:t>
      </w:r>
      <w:r w:rsidRPr="00F568C2">
        <w:rPr>
          <w:lang w:bidi="fr-CH"/>
        </w:rPr>
        <w:t xml:space="preserve">la mise en œuvre des politiques nationales et régionales; c) aucun bouleversement économique sur le plan mondial, régional </w:t>
      </w:r>
      <w:r w:rsidR="00B65E91">
        <w:rPr>
          <w:lang w:bidi="fr-CH"/>
        </w:rPr>
        <w:t xml:space="preserve">ou </w:t>
      </w:r>
      <w:r w:rsidRPr="00F568C2">
        <w:rPr>
          <w:lang w:bidi="fr-CH"/>
        </w:rPr>
        <w:t xml:space="preserve">national ne </w:t>
      </w:r>
      <w:r w:rsidR="00B65E91">
        <w:rPr>
          <w:lang w:bidi="fr-CH"/>
        </w:rPr>
        <w:t xml:space="preserve">peut </w:t>
      </w:r>
      <w:r w:rsidRPr="00F568C2">
        <w:rPr>
          <w:lang w:bidi="fr-CH"/>
        </w:rPr>
        <w:t xml:space="preserve">perturber </w:t>
      </w:r>
      <w:r w:rsidR="00B65E91">
        <w:rPr>
          <w:lang w:bidi="fr-CH"/>
        </w:rPr>
        <w:t xml:space="preserve">de manière décisive </w:t>
      </w:r>
      <w:r w:rsidRPr="00F568C2">
        <w:rPr>
          <w:lang w:bidi="fr-CH"/>
        </w:rPr>
        <w:t>la disponibilité des ressources.</w:t>
      </w:r>
    </w:p>
    <w:p w:rsidR="00F65F65" w:rsidRPr="00F65F65" w:rsidRDefault="00F65F65" w:rsidP="00F65F65">
      <w:pPr>
        <w:pStyle w:val="SingleTxt"/>
        <w:spacing w:after="0" w:line="120" w:lineRule="exact"/>
        <w:rPr>
          <w:sz w:val="10"/>
          <w:lang w:bidi="fr-CH"/>
        </w:rPr>
      </w:pPr>
    </w:p>
    <w:p w:rsidR="00F65F65" w:rsidRPr="00F65F65" w:rsidRDefault="00F65F65" w:rsidP="00F65F65">
      <w:pPr>
        <w:pStyle w:val="SingleTxt"/>
        <w:spacing w:after="0" w:line="120" w:lineRule="exact"/>
        <w:rPr>
          <w:sz w:val="10"/>
          <w:lang w:bidi="fr-CH"/>
        </w:rPr>
      </w:pPr>
    </w:p>
    <w:p w:rsidR="00F568C2" w:rsidRP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w:t>
      </w:r>
      <w:r w:rsidRPr="00F568C2">
        <w:rPr>
          <w:lang w:bidi="fr-CH"/>
        </w:rPr>
        <w:tab/>
        <w:t xml:space="preserve">Produits/activités </w:t>
      </w:r>
      <w:r w:rsidR="00B65E91">
        <w:rPr>
          <w:lang w:bidi="fr-CH"/>
        </w:rPr>
        <w:t>à réaliser pendant la période</w:t>
      </w:r>
      <w:r w:rsidRPr="00F568C2">
        <w:rPr>
          <w:lang w:bidi="fr-CH"/>
        </w:rPr>
        <w:t xml:space="preserve"> </w:t>
      </w:r>
      <w:r w:rsidR="00B65E91">
        <w:rPr>
          <w:lang w:bidi="fr-CH"/>
        </w:rPr>
        <w:br/>
      </w:r>
      <w:r w:rsidRPr="00F568C2">
        <w:rPr>
          <w:lang w:bidi="fr-CH"/>
        </w:rPr>
        <w:t>biennal</w:t>
      </w:r>
      <w:r w:rsidR="00B65E91">
        <w:rPr>
          <w:lang w:bidi="fr-CH"/>
        </w:rPr>
        <w:t>e</w:t>
      </w:r>
      <w:r w:rsidRPr="00F568C2">
        <w:rPr>
          <w:lang w:bidi="fr-CH"/>
        </w:rPr>
        <w:t xml:space="preserve"> 2016-2017</w:t>
      </w:r>
    </w:p>
    <w:p w:rsidR="00F65F65" w:rsidRPr="00F65F65" w:rsidRDefault="00F65F65" w:rsidP="00F65F65">
      <w:pPr>
        <w:pStyle w:val="SingleTxt"/>
        <w:spacing w:after="0" w:line="120" w:lineRule="exact"/>
        <w:rPr>
          <w:sz w:val="10"/>
          <w:lang w:bidi="fr-CH"/>
        </w:rPr>
      </w:pPr>
    </w:p>
    <w:p w:rsidR="00F65F65" w:rsidRPr="00F65F65" w:rsidRDefault="00F65F65" w:rsidP="00F65F65">
      <w:pPr>
        <w:pStyle w:val="SingleTxt"/>
        <w:spacing w:after="0" w:line="120" w:lineRule="exact"/>
        <w:rPr>
          <w:sz w:val="10"/>
          <w:lang w:bidi="fr-CH"/>
        </w:rPr>
      </w:pPr>
    </w:p>
    <w:p w:rsidR="00F568C2" w:rsidRDefault="00F568C2" w:rsidP="003962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A.</w:t>
      </w:r>
      <w:r w:rsidRPr="00F568C2">
        <w:rPr>
          <w:lang w:bidi="fr-CH"/>
        </w:rPr>
        <w:tab/>
        <w:t>Service d</w:t>
      </w:r>
      <w:r w:rsidR="00D26761">
        <w:rPr>
          <w:lang w:bidi="fr-CH"/>
        </w:rPr>
        <w:t>’</w:t>
      </w:r>
      <w:r w:rsidRPr="00F568C2">
        <w:rPr>
          <w:lang w:bidi="fr-CH"/>
        </w:rPr>
        <w:t>organes intergouvernementaux et d</w:t>
      </w:r>
      <w:r w:rsidR="00D26761">
        <w:rPr>
          <w:lang w:bidi="fr-CH"/>
        </w:rPr>
        <w:t>’</w:t>
      </w:r>
      <w:r w:rsidRPr="00F568C2">
        <w:rPr>
          <w:lang w:bidi="fr-CH"/>
        </w:rPr>
        <w:t>organes d</w:t>
      </w:r>
      <w:r w:rsidR="00D26761">
        <w:rPr>
          <w:lang w:bidi="fr-CH"/>
        </w:rPr>
        <w:t>’</w:t>
      </w:r>
      <w:r w:rsidRPr="00F568C2">
        <w:rPr>
          <w:lang w:bidi="fr-CH"/>
        </w:rPr>
        <w:t>experts</w:t>
      </w:r>
    </w:p>
    <w:p w:rsidR="00F65F65" w:rsidRPr="00F65F65" w:rsidRDefault="00F65F65" w:rsidP="00F65F65">
      <w:pPr>
        <w:pStyle w:val="SingleTxt"/>
        <w:spacing w:after="0" w:line="120" w:lineRule="exact"/>
        <w:rPr>
          <w:b/>
          <w:sz w:val="10"/>
          <w:lang w:bidi="fr-CH"/>
        </w:rPr>
      </w:pPr>
    </w:p>
    <w:p w:rsidR="00F65F65" w:rsidRPr="00F65F65" w:rsidRDefault="00F65F65" w:rsidP="00F65F65">
      <w:pPr>
        <w:pStyle w:val="SingleTxt"/>
        <w:spacing w:after="0" w:line="120" w:lineRule="exact"/>
        <w:rPr>
          <w:b/>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w:t>
      </w:r>
      <w:r w:rsidRPr="00F568C2">
        <w:rPr>
          <w:lang w:bidi="fr-CH"/>
        </w:rPr>
        <w:tab/>
        <w:t>Comité des politiques de l</w:t>
      </w:r>
      <w:r w:rsidR="00D26761">
        <w:rPr>
          <w:lang w:bidi="fr-CH"/>
        </w:rPr>
        <w:t>’</w:t>
      </w:r>
      <w:r w:rsidRPr="00F568C2">
        <w:rPr>
          <w:lang w:bidi="fr-CH"/>
        </w:rPr>
        <w:t>environnement</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Sessions annuelles du Comité des politiques de l</w:t>
      </w:r>
      <w:r w:rsidR="00D26761">
        <w:rPr>
          <w:lang w:bidi="fr-CH"/>
        </w:rPr>
        <w:t>’</w:t>
      </w:r>
      <w:r w:rsidRPr="00F568C2">
        <w:rPr>
          <w:lang w:bidi="fr-CH"/>
        </w:rPr>
        <w:t>environnement (14); sessions extraordinaires du Comité (6); réunions du Bureau du Comité (3); réunions du Comité directeur chargé de l</w:t>
      </w:r>
      <w:r w:rsidR="00D26761">
        <w:rPr>
          <w:lang w:bidi="fr-CH"/>
        </w:rPr>
        <w:t>’</w:t>
      </w:r>
      <w:r w:rsidRPr="00F568C2">
        <w:rPr>
          <w:lang w:bidi="fr-CH"/>
        </w:rPr>
        <w:t>éducation au service du développement durable (8); réunions du Bureau du Comité directeur (4); réunions du Groupe de travail de la surveillance et de l</w:t>
      </w:r>
      <w:r w:rsidR="00D26761">
        <w:rPr>
          <w:lang w:bidi="fr-CH"/>
        </w:rPr>
        <w:t>’</w:t>
      </w:r>
      <w:r w:rsidRPr="00F568C2">
        <w:rPr>
          <w:lang w:bidi="fr-CH"/>
        </w:rPr>
        <w:t>évaluation de l</w:t>
      </w:r>
      <w:r w:rsidR="00D26761">
        <w:rPr>
          <w:lang w:bidi="fr-CH"/>
        </w:rPr>
        <w:t>’</w:t>
      </w:r>
      <w:r w:rsidRPr="00F568C2">
        <w:rPr>
          <w:lang w:bidi="fr-CH"/>
        </w:rPr>
        <w:t>environnement (8); réunions du Groupe spécial d</w:t>
      </w:r>
      <w:r w:rsidR="00D26761">
        <w:rPr>
          <w:lang w:bidi="fr-CH"/>
        </w:rPr>
        <w:t>’</w:t>
      </w:r>
      <w:r w:rsidRPr="00F568C2">
        <w:rPr>
          <w:lang w:bidi="fr-CH"/>
        </w:rPr>
        <w:t>experts des études de performance environnementale (12); réunions de l</w:t>
      </w:r>
      <w:r w:rsidR="00D26761">
        <w:rPr>
          <w:lang w:bidi="fr-CH"/>
        </w:rPr>
        <w:t>’</w:t>
      </w:r>
      <w:r w:rsidRPr="00F568C2">
        <w:rPr>
          <w:lang w:bidi="fr-CH"/>
        </w:rPr>
        <w:t>Équipe spéciale conjointe sur les indicateurs de l</w:t>
      </w:r>
      <w:r w:rsidR="00D26761">
        <w:rPr>
          <w:lang w:bidi="fr-CH"/>
        </w:rPr>
        <w:t>’</w:t>
      </w:r>
      <w:r w:rsidRPr="00F568C2">
        <w:rPr>
          <w:lang w:bidi="fr-CH"/>
        </w:rPr>
        <w:t>état de l</w:t>
      </w:r>
      <w:r w:rsidR="00D26761">
        <w:rPr>
          <w:lang w:bidi="fr-CH"/>
        </w:rPr>
        <w:t>’</w:t>
      </w:r>
      <w:r w:rsidRPr="00F568C2">
        <w:rPr>
          <w:lang w:bidi="fr-CH"/>
        </w:rPr>
        <w:t>environnement (10); huitième Conférence min</w:t>
      </w:r>
      <w:r w:rsidR="00376373">
        <w:rPr>
          <w:lang w:bidi="fr-CH"/>
        </w:rPr>
        <w:t>istérielle « </w:t>
      </w:r>
      <w:r w:rsidRPr="00F568C2">
        <w:rPr>
          <w:lang w:bidi="fr-CH"/>
        </w:rPr>
        <w:t>Un environnement pour l</w:t>
      </w:r>
      <w:r w:rsidR="00D26761">
        <w:rPr>
          <w:lang w:bidi="fr-CH"/>
        </w:rPr>
        <w:t>’</w:t>
      </w:r>
      <w:r w:rsidR="00376373">
        <w:rPr>
          <w:lang w:bidi="fr-CH"/>
        </w:rPr>
        <w:t>Europe </w:t>
      </w:r>
      <w:r w:rsidRPr="00F568C2">
        <w:rPr>
          <w:lang w:bidi="fr-CH"/>
        </w:rPr>
        <w:t>» (5).</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Documentation d</w:t>
      </w:r>
      <w:r w:rsidR="00376373">
        <w:rPr>
          <w:lang w:bidi="fr-CH"/>
        </w:rPr>
        <w:t>estinée aux organes délibérants </w:t>
      </w:r>
      <w:r w:rsidRPr="00F568C2">
        <w:rPr>
          <w:lang w:bidi="fr-CH"/>
        </w:rPr>
        <w:t>: rapports du Comité des politiques de l</w:t>
      </w:r>
      <w:r w:rsidR="00D26761">
        <w:rPr>
          <w:lang w:bidi="fr-CH"/>
        </w:rPr>
        <w:t>’</w:t>
      </w:r>
      <w:r w:rsidRPr="00F568C2">
        <w:rPr>
          <w:lang w:bidi="fr-CH"/>
        </w:rPr>
        <w:t xml:space="preserve">environnement (4); série de documents (20 environ) pour le Comité (1); série de documents (10 environ) </w:t>
      </w:r>
      <w:r w:rsidR="00376373">
        <w:rPr>
          <w:lang w:bidi="fr-CH"/>
        </w:rPr>
        <w:t>établis au titre du processus « </w:t>
      </w:r>
      <w:r w:rsidRPr="00F568C2">
        <w:rPr>
          <w:lang w:bidi="fr-CH"/>
        </w:rPr>
        <w:t>Un environnement pour l</w:t>
      </w:r>
      <w:r w:rsidR="00D26761">
        <w:rPr>
          <w:lang w:bidi="fr-CH"/>
        </w:rPr>
        <w:t>’</w:t>
      </w:r>
      <w:r w:rsidR="00376373">
        <w:rPr>
          <w:lang w:bidi="fr-CH"/>
        </w:rPr>
        <w:t>Europe </w:t>
      </w:r>
      <w:r w:rsidRPr="00F568C2">
        <w:rPr>
          <w:lang w:bidi="fr-CH"/>
        </w:rPr>
        <w:t>» (1); rapport de la huit</w:t>
      </w:r>
      <w:r w:rsidR="00376373">
        <w:rPr>
          <w:lang w:bidi="fr-CH"/>
        </w:rPr>
        <w:t>ième Conférence ministérielle « </w:t>
      </w:r>
      <w:r w:rsidRPr="00F568C2">
        <w:rPr>
          <w:lang w:bidi="fr-CH"/>
        </w:rPr>
        <w:t>Un environnement pour l</w:t>
      </w:r>
      <w:r w:rsidR="00D26761">
        <w:rPr>
          <w:lang w:bidi="fr-CH"/>
        </w:rPr>
        <w:t>’</w:t>
      </w:r>
      <w:r w:rsidR="00376373">
        <w:rPr>
          <w:lang w:bidi="fr-CH"/>
        </w:rPr>
        <w:t>Europe </w:t>
      </w:r>
      <w:r w:rsidRPr="00F568C2">
        <w:rPr>
          <w:lang w:bidi="fr-CH"/>
        </w:rPr>
        <w:t>» (y compris additifs) (1); série d</w:t>
      </w:r>
      <w:r w:rsidR="00680C47">
        <w:rPr>
          <w:lang w:bidi="fr-CH"/>
        </w:rPr>
        <w:t>e documents (10 </w:t>
      </w:r>
      <w:r w:rsidRPr="00F568C2">
        <w:rPr>
          <w:lang w:bidi="fr-CH"/>
        </w:rPr>
        <w:t>environ) pour la huitième Conférence ministérielle «</w:t>
      </w:r>
      <w:r w:rsidR="00376373">
        <w:rPr>
          <w:lang w:bidi="fr-CH"/>
        </w:rPr>
        <w:t> </w:t>
      </w:r>
      <w:r w:rsidR="003962ED">
        <w:rPr>
          <w:lang w:bidi="fr-CH"/>
        </w:rPr>
        <w:t>Un environnement pour l</w:t>
      </w:r>
      <w:r w:rsidR="00D26761">
        <w:rPr>
          <w:lang w:bidi="fr-CH"/>
        </w:rPr>
        <w:t>’</w:t>
      </w:r>
      <w:r w:rsidR="003962ED">
        <w:rPr>
          <w:lang w:bidi="fr-CH"/>
        </w:rPr>
        <w:t>Europe </w:t>
      </w:r>
      <w:r w:rsidRPr="00F568C2">
        <w:rPr>
          <w:lang w:bidi="fr-CH"/>
        </w:rPr>
        <w:t>» (1); rapports du Comité directeur chargé de l</w:t>
      </w:r>
      <w:r w:rsidR="00D26761">
        <w:rPr>
          <w:lang w:bidi="fr-CH"/>
        </w:rPr>
        <w:t>’</w:t>
      </w:r>
      <w:r w:rsidRPr="00F568C2">
        <w:rPr>
          <w:lang w:bidi="fr-CH"/>
        </w:rPr>
        <w:t>éducation au service du développement durable (2); série de documents (10 environ) pour le Comité directeur chargé de l</w:t>
      </w:r>
      <w:r w:rsidR="00D26761">
        <w:rPr>
          <w:lang w:bidi="fr-CH"/>
        </w:rPr>
        <w:t>’</w:t>
      </w:r>
      <w:r w:rsidRPr="00F568C2">
        <w:rPr>
          <w:lang w:bidi="fr-CH"/>
        </w:rPr>
        <w:t>éducation au service du développement durable (1); rapports du Groupe de travail de la surveillance et de l</w:t>
      </w:r>
      <w:r w:rsidR="00D26761">
        <w:rPr>
          <w:lang w:bidi="fr-CH"/>
        </w:rPr>
        <w:t>’</w:t>
      </w:r>
      <w:r w:rsidRPr="00F568C2">
        <w:rPr>
          <w:lang w:bidi="fr-CH"/>
        </w:rPr>
        <w:t>évaluation de l</w:t>
      </w:r>
      <w:r w:rsidR="00D26761">
        <w:rPr>
          <w:lang w:bidi="fr-CH"/>
        </w:rPr>
        <w:t>’</w:t>
      </w:r>
      <w:r w:rsidRPr="00F568C2">
        <w:rPr>
          <w:lang w:bidi="fr-CH"/>
        </w:rPr>
        <w:t>environnement (2); documents pour le Groupe de travail de la surveillance et de l</w:t>
      </w:r>
      <w:r w:rsidR="00D26761">
        <w:rPr>
          <w:lang w:bidi="fr-CH"/>
        </w:rPr>
        <w:t>’</w:t>
      </w:r>
      <w:r w:rsidRPr="00F568C2">
        <w:rPr>
          <w:lang w:bidi="fr-CH"/>
        </w:rPr>
        <w:t>évaluation de l</w:t>
      </w:r>
      <w:r w:rsidR="00D26761">
        <w:rPr>
          <w:lang w:bidi="fr-CH"/>
        </w:rPr>
        <w:t>’</w:t>
      </w:r>
      <w:r w:rsidRPr="00F568C2">
        <w:rPr>
          <w:lang w:bidi="fr-CH"/>
        </w:rPr>
        <w:t>environnement (4); rapports de l</w:t>
      </w:r>
      <w:r w:rsidR="00D26761">
        <w:rPr>
          <w:lang w:bidi="fr-CH"/>
        </w:rPr>
        <w:t>’</w:t>
      </w:r>
      <w:r w:rsidRPr="00F568C2">
        <w:rPr>
          <w:lang w:bidi="fr-CH"/>
        </w:rPr>
        <w:t>Équipe spéciale conjointe sur les indicateurs de l</w:t>
      </w:r>
      <w:r w:rsidR="00D26761">
        <w:rPr>
          <w:lang w:bidi="fr-CH"/>
        </w:rPr>
        <w:t>’</w:t>
      </w:r>
      <w:r w:rsidRPr="00F568C2">
        <w:rPr>
          <w:lang w:bidi="fr-CH"/>
        </w:rPr>
        <w:t>état de l</w:t>
      </w:r>
      <w:r w:rsidR="00D26761">
        <w:rPr>
          <w:lang w:bidi="fr-CH"/>
        </w:rPr>
        <w:t>’</w:t>
      </w:r>
      <w:r w:rsidRPr="00F568C2">
        <w:rPr>
          <w:lang w:bidi="fr-CH"/>
        </w:rPr>
        <w:t>environnement (4); documents pour l</w:t>
      </w:r>
      <w:r w:rsidR="00D26761">
        <w:rPr>
          <w:lang w:bidi="fr-CH"/>
        </w:rPr>
        <w:t>’</w:t>
      </w:r>
      <w:r w:rsidRPr="00F568C2">
        <w:rPr>
          <w:lang w:bidi="fr-CH"/>
        </w:rPr>
        <w:t>Équipe spéciale conjointe sur les indicateurs de l</w:t>
      </w:r>
      <w:r w:rsidR="00D26761">
        <w:rPr>
          <w:lang w:bidi="fr-CH"/>
        </w:rPr>
        <w:t>’</w:t>
      </w:r>
      <w:r w:rsidRPr="00F568C2">
        <w:rPr>
          <w:lang w:bidi="fr-CH"/>
        </w:rPr>
        <w:t>état de l</w:t>
      </w:r>
      <w:r w:rsidR="00D26761">
        <w:rPr>
          <w:lang w:bidi="fr-CH"/>
        </w:rPr>
        <w:t>’</w:t>
      </w:r>
      <w:r w:rsidRPr="00F568C2">
        <w:rPr>
          <w:lang w:bidi="fr-CH"/>
        </w:rPr>
        <w:t>environnement (6).</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w:t>
      </w:r>
      <w:r w:rsidRPr="00F568C2">
        <w:rPr>
          <w:lang w:bidi="fr-CH"/>
        </w:rPr>
        <w:tab/>
        <w:t>Réunion des Parties à la Convention sur la protection et l</w:t>
      </w:r>
      <w:r w:rsidR="00D26761">
        <w:rPr>
          <w:lang w:bidi="fr-CH"/>
        </w:rPr>
        <w:t>’</w:t>
      </w:r>
      <w:r w:rsidRPr="00F568C2">
        <w:rPr>
          <w:lang w:bidi="fr-CH"/>
        </w:rPr>
        <w:t xml:space="preserve">utilisation </w:t>
      </w:r>
      <w:r w:rsidR="00680C47">
        <w:rPr>
          <w:lang w:bidi="fr-CH"/>
        </w:rPr>
        <w:br/>
      </w:r>
      <w:r w:rsidRPr="00F568C2">
        <w:rPr>
          <w:lang w:bidi="fr-CH"/>
        </w:rPr>
        <w:t>des cours d</w:t>
      </w:r>
      <w:r w:rsidR="00D26761">
        <w:rPr>
          <w:lang w:bidi="fr-CH"/>
        </w:rPr>
        <w:t>’</w:t>
      </w:r>
      <w:r w:rsidRPr="00F568C2">
        <w:rPr>
          <w:lang w:bidi="fr-CH"/>
        </w:rPr>
        <w:t xml:space="preserve">eau transfrontières et des lacs internationaux (Convention </w:t>
      </w:r>
      <w:r w:rsidR="00680C47">
        <w:rPr>
          <w:lang w:bidi="fr-CH"/>
        </w:rPr>
        <w:br/>
      </w:r>
      <w:r w:rsidRPr="00F568C2">
        <w:rPr>
          <w:lang w:bidi="fr-CH"/>
        </w:rPr>
        <w:t>sur l</w:t>
      </w:r>
      <w:r w:rsidR="00D26761">
        <w:rPr>
          <w:lang w:bidi="fr-CH"/>
        </w:rPr>
        <w:t>’</w:t>
      </w:r>
      <w:r w:rsidRPr="00F568C2">
        <w:rPr>
          <w:lang w:bidi="fr-CH"/>
        </w:rPr>
        <w:t>eau) et Réunion des Parties au Protocole sur l</w:t>
      </w:r>
      <w:r w:rsidR="00D26761">
        <w:rPr>
          <w:lang w:bidi="fr-CH"/>
        </w:rPr>
        <w:t>’</w:t>
      </w:r>
      <w:r w:rsidRPr="00F568C2">
        <w:rPr>
          <w:lang w:bidi="fr-CH"/>
        </w:rPr>
        <w:t>eau et la santé</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Comité juridique prévu par la Convention sur l</w:t>
      </w:r>
      <w:r w:rsidR="00D26761">
        <w:rPr>
          <w:lang w:bidi="fr-CH"/>
        </w:rPr>
        <w:t>’</w:t>
      </w:r>
      <w:r w:rsidRPr="00F568C2">
        <w:rPr>
          <w:lang w:bidi="fr-CH"/>
        </w:rPr>
        <w:t>eau (6); Groupe de travail de la gestion intégrée des ressources en eau (8); Groupe de travail sur la surveillance et l</w:t>
      </w:r>
      <w:r w:rsidR="00D26761">
        <w:rPr>
          <w:lang w:bidi="fr-CH"/>
        </w:rPr>
        <w:t>’</w:t>
      </w:r>
      <w:r w:rsidRPr="00F568C2">
        <w:rPr>
          <w:lang w:bidi="fr-CH"/>
        </w:rPr>
        <w:t>évaluation des cours d</w:t>
      </w:r>
      <w:r w:rsidR="00D26761">
        <w:rPr>
          <w:lang w:bidi="fr-CH"/>
        </w:rPr>
        <w:t>’</w:t>
      </w:r>
      <w:r w:rsidRPr="00F568C2">
        <w:rPr>
          <w:lang w:bidi="fr-CH"/>
        </w:rPr>
        <w:t>eau transfrontières (8); Comité d</w:t>
      </w:r>
      <w:r w:rsidR="00D26761">
        <w:rPr>
          <w:lang w:bidi="fr-CH"/>
        </w:rPr>
        <w:t>’</w:t>
      </w:r>
      <w:r w:rsidRPr="00F568C2">
        <w:rPr>
          <w:lang w:bidi="fr-CH"/>
        </w:rPr>
        <w:t>application de la Convention sur l</w:t>
      </w:r>
      <w:r w:rsidR="00D26761">
        <w:rPr>
          <w:lang w:bidi="fr-CH"/>
        </w:rPr>
        <w:t>’</w:t>
      </w:r>
      <w:r w:rsidRPr="00F568C2">
        <w:rPr>
          <w:lang w:bidi="fr-CH"/>
        </w:rPr>
        <w:t>eau (16); Bureau de la Convention sur l</w:t>
      </w:r>
      <w:r w:rsidR="00D26761">
        <w:rPr>
          <w:lang w:bidi="fr-CH"/>
        </w:rPr>
        <w:t>’</w:t>
      </w:r>
      <w:r w:rsidRPr="00F568C2">
        <w:rPr>
          <w:lang w:bidi="fr-CH"/>
        </w:rPr>
        <w:t>eau (6); Équipe spéciale prévue par la Convention sur l</w:t>
      </w:r>
      <w:r w:rsidR="00D26761">
        <w:rPr>
          <w:lang w:bidi="fr-CH"/>
        </w:rPr>
        <w:t>’</w:t>
      </w:r>
      <w:r w:rsidRPr="00F568C2">
        <w:rPr>
          <w:lang w:bidi="fr-CH"/>
        </w:rPr>
        <w:t>eau (6)</w:t>
      </w:r>
      <w:r w:rsidR="007A2E4F">
        <w:rPr>
          <w:rStyle w:val="FootnoteReference"/>
          <w:lang w:bidi="fr-CH"/>
        </w:rPr>
        <w:footnoteReference w:id="4"/>
      </w:r>
      <w:r w:rsidRPr="00F568C2">
        <w:rPr>
          <w:lang w:bidi="fr-CH"/>
        </w:rPr>
        <w:t>; Réunion des Parties au Protocole sur l</w:t>
      </w:r>
      <w:r w:rsidR="00D26761">
        <w:rPr>
          <w:lang w:bidi="fr-CH"/>
        </w:rPr>
        <w:t>’</w:t>
      </w:r>
      <w:r w:rsidRPr="00F568C2">
        <w:rPr>
          <w:lang w:bidi="fr-CH"/>
        </w:rPr>
        <w:t>eau et la santé (6); Groupe de travail de l</w:t>
      </w:r>
      <w:r w:rsidR="00D26761">
        <w:rPr>
          <w:lang w:bidi="fr-CH"/>
        </w:rPr>
        <w:t>’</w:t>
      </w:r>
      <w:r w:rsidRPr="00F568C2">
        <w:rPr>
          <w:lang w:bidi="fr-CH"/>
        </w:rPr>
        <w:t>eau et de la santé (8); Comité de contrôle du respect des dispositions du Protocole sur l</w:t>
      </w:r>
      <w:r w:rsidR="00D26761">
        <w:rPr>
          <w:lang w:bidi="fr-CH"/>
        </w:rPr>
        <w:t>’</w:t>
      </w:r>
      <w:r w:rsidRPr="00F568C2">
        <w:rPr>
          <w:lang w:bidi="fr-CH"/>
        </w:rPr>
        <w:t>eau et la santé (12); Bureau du Protocole sur l</w:t>
      </w:r>
      <w:r w:rsidR="00D26761">
        <w:rPr>
          <w:lang w:bidi="fr-CH"/>
        </w:rPr>
        <w:t>’</w:t>
      </w:r>
      <w:r w:rsidRPr="00F568C2">
        <w:rPr>
          <w:lang w:bidi="fr-CH"/>
        </w:rPr>
        <w:t>eau et la santé (6); Équipe spéciale prévue par le Protocole sur l</w:t>
      </w:r>
      <w:r w:rsidR="00D26761">
        <w:rPr>
          <w:lang w:bidi="fr-CH"/>
        </w:rPr>
        <w:t>’</w:t>
      </w:r>
      <w:r w:rsidRPr="00F568C2">
        <w:rPr>
          <w:lang w:bidi="fr-CH"/>
        </w:rPr>
        <w:t>eau et la santé (4)</w:t>
      </w:r>
      <w:r w:rsidR="007A2E4F">
        <w:rPr>
          <w:rStyle w:val="FootnoteReference"/>
          <w:lang w:bidi="fr-CH"/>
        </w:rPr>
        <w:footnoteReference w:id="5"/>
      </w:r>
      <w:r w:rsidRPr="00F568C2">
        <w:rPr>
          <w:lang w:bidi="fr-CH"/>
        </w:rPr>
        <w:t>.</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Rapports du Groupe de travail de la gestion intégrée des ressources en eau (2); série de documents (24 environ) établis au titre de la Convention sur l</w:t>
      </w:r>
      <w:r w:rsidR="00D26761">
        <w:rPr>
          <w:lang w:bidi="fr-CH"/>
        </w:rPr>
        <w:t>’</w:t>
      </w:r>
      <w:r w:rsidRPr="00F568C2">
        <w:rPr>
          <w:lang w:bidi="fr-CH"/>
        </w:rPr>
        <w:t>eau (1); rapports du Groupe de travail sur la surveillance et l</w:t>
      </w:r>
      <w:r w:rsidR="00D26761">
        <w:rPr>
          <w:lang w:bidi="fr-CH"/>
        </w:rPr>
        <w:t>’</w:t>
      </w:r>
      <w:r w:rsidRPr="00F568C2">
        <w:rPr>
          <w:lang w:bidi="fr-CH"/>
        </w:rPr>
        <w:t>évaluation des cours d</w:t>
      </w:r>
      <w:r w:rsidR="00D26761">
        <w:rPr>
          <w:lang w:bidi="fr-CH"/>
        </w:rPr>
        <w:t>’</w:t>
      </w:r>
      <w:r w:rsidRPr="00F568C2">
        <w:rPr>
          <w:lang w:bidi="fr-CH"/>
        </w:rPr>
        <w:t>eau transfrontières (2); rapport de la Réunion des Parties au Protocole sur l</w:t>
      </w:r>
      <w:r w:rsidR="00D26761">
        <w:rPr>
          <w:lang w:bidi="fr-CH"/>
        </w:rPr>
        <w:t>’</w:t>
      </w:r>
      <w:r w:rsidRPr="00F568C2">
        <w:rPr>
          <w:lang w:bidi="fr-CH"/>
        </w:rPr>
        <w:t>eau et la santé (y compris additifs) (1); rapports du Groupe de travail de l</w:t>
      </w:r>
      <w:r w:rsidR="00D26761">
        <w:rPr>
          <w:lang w:bidi="fr-CH"/>
        </w:rPr>
        <w:t>’</w:t>
      </w:r>
      <w:r w:rsidRPr="00F568C2">
        <w:rPr>
          <w:lang w:bidi="fr-CH"/>
        </w:rPr>
        <w:t>eau et de la santé (2); rapports du Comité d</w:t>
      </w:r>
      <w:r w:rsidR="00D26761">
        <w:rPr>
          <w:lang w:bidi="fr-CH"/>
        </w:rPr>
        <w:t>’</w:t>
      </w:r>
      <w:r w:rsidRPr="00F568C2">
        <w:rPr>
          <w:lang w:bidi="fr-CH"/>
        </w:rPr>
        <w:t>application de la Convention sur l</w:t>
      </w:r>
      <w:r w:rsidR="00D26761">
        <w:rPr>
          <w:lang w:bidi="fr-CH"/>
        </w:rPr>
        <w:t>’</w:t>
      </w:r>
      <w:r w:rsidRPr="00F568C2">
        <w:rPr>
          <w:lang w:bidi="fr-CH"/>
        </w:rPr>
        <w:t>eau (4); rapports du Comité juridique prévu par la Convention sur l</w:t>
      </w:r>
      <w:r w:rsidR="00D26761">
        <w:rPr>
          <w:lang w:bidi="fr-CH"/>
        </w:rPr>
        <w:t>’</w:t>
      </w:r>
      <w:r w:rsidRPr="00F568C2">
        <w:rPr>
          <w:lang w:bidi="fr-CH"/>
        </w:rPr>
        <w:t>eau (2); série de documents (24 environ) établis au titre du Protocole sur l</w:t>
      </w:r>
      <w:r w:rsidR="00D26761">
        <w:rPr>
          <w:lang w:bidi="fr-CH"/>
        </w:rPr>
        <w:t>’</w:t>
      </w:r>
      <w:r w:rsidRPr="00F568C2">
        <w:rPr>
          <w:lang w:bidi="fr-CH"/>
        </w:rPr>
        <w:t>eau et la santé (1); rapports du Comité de contrôle du respect des dispositions du Protocole sur l</w:t>
      </w:r>
      <w:r w:rsidR="00D26761">
        <w:rPr>
          <w:lang w:bidi="fr-CH"/>
        </w:rPr>
        <w:t>’</w:t>
      </w:r>
      <w:r w:rsidRPr="00F568C2">
        <w:rPr>
          <w:lang w:bidi="fr-CH"/>
        </w:rPr>
        <w:t>eau et la santé (4).</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iii)</w:t>
      </w:r>
      <w:r w:rsidRPr="00F568C2">
        <w:rPr>
          <w:lang w:bidi="fr-CH"/>
        </w:rPr>
        <w:tab/>
        <w:t xml:space="preserve">Conférence des Parties à la Convention sur les effets transfrontières </w:t>
      </w:r>
      <w:r w:rsidR="00680C47">
        <w:rPr>
          <w:lang w:bidi="fr-CH"/>
        </w:rPr>
        <w:br/>
      </w:r>
      <w:r w:rsidRPr="00F568C2">
        <w:rPr>
          <w:lang w:bidi="fr-CH"/>
        </w:rPr>
        <w:t>des accidents industriels</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Conférence des États parties à la Convention sur les effets transfrontières des accidents industriels (5); Groupe de travail sur la mise en œuvre (10); Groupe de travail chargé de l</w:t>
      </w:r>
      <w:r w:rsidR="00D26761">
        <w:rPr>
          <w:lang w:bidi="fr-CH"/>
        </w:rPr>
        <w:t>’</w:t>
      </w:r>
      <w:r w:rsidRPr="00F568C2">
        <w:rPr>
          <w:lang w:bidi="fr-CH"/>
        </w:rPr>
        <w:t>élaboration de la Convention (8)</w:t>
      </w:r>
      <w:r w:rsidR="007A2E4F">
        <w:rPr>
          <w:rStyle w:val="FootnoteReference"/>
          <w:lang w:bidi="fr-CH"/>
        </w:rPr>
        <w:footnoteReference w:id="6"/>
      </w:r>
      <w:r w:rsidRPr="00F568C2">
        <w:rPr>
          <w:lang w:bidi="fr-CH"/>
        </w:rPr>
        <w:t>; consultations des coordonnateurs de l</w:t>
      </w:r>
      <w:r w:rsidR="00D26761">
        <w:rPr>
          <w:lang w:bidi="fr-CH"/>
        </w:rPr>
        <w:t>’</w:t>
      </w:r>
      <w:r w:rsidRPr="00F568C2">
        <w:rPr>
          <w:lang w:bidi="fr-CH"/>
        </w:rPr>
        <w:t>application de la Convention sur les effets transfrontières des accidents industriels (3)</w:t>
      </w:r>
      <w:r w:rsidR="007A2E4F">
        <w:rPr>
          <w:rStyle w:val="FootnoteReference"/>
          <w:lang w:bidi="fr-CH"/>
        </w:rPr>
        <w:footnoteReference w:id="7"/>
      </w:r>
      <w:r w:rsidRPr="00F568C2">
        <w:rPr>
          <w:lang w:bidi="fr-CH"/>
        </w:rPr>
        <w:t>; groupe commun d</w:t>
      </w:r>
      <w:r w:rsidR="00D26761">
        <w:rPr>
          <w:lang w:bidi="fr-CH"/>
        </w:rPr>
        <w:t>’</w:t>
      </w:r>
      <w:r w:rsidRPr="00F568C2">
        <w:rPr>
          <w:lang w:bidi="fr-CH"/>
        </w:rPr>
        <w:t>experts de l</w:t>
      </w:r>
      <w:r w:rsidR="00D26761">
        <w:rPr>
          <w:lang w:bidi="fr-CH"/>
        </w:rPr>
        <w:t>’</w:t>
      </w:r>
      <w:r w:rsidRPr="00F568C2">
        <w:rPr>
          <w:lang w:bidi="fr-CH"/>
        </w:rPr>
        <w:t>eau et des accidents industriels (4); Bureau de la Convention sur les effets transfrontières des accidents industriels (8).</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Documentation d</w:t>
      </w:r>
      <w:r w:rsidR="00376373">
        <w:rPr>
          <w:lang w:bidi="fr-CH"/>
        </w:rPr>
        <w:t>estinée aux organes délibérants </w:t>
      </w:r>
      <w:r w:rsidRPr="00F568C2">
        <w:rPr>
          <w:lang w:bidi="fr-CH"/>
        </w:rPr>
        <w:t>: rapport sur les travaux de la Conférence des Parties à la Convention sur les effets transfrontières des accidents industriels (y compris additifs) (1); série de documents (13 environ) établis au titre de la Convention sur les effets transfrontières des accidents industriels (1); rapport sur l</w:t>
      </w:r>
      <w:r w:rsidR="00D26761">
        <w:rPr>
          <w:lang w:bidi="fr-CH"/>
        </w:rPr>
        <w:t>’</w:t>
      </w:r>
      <w:r w:rsidRPr="00F568C2">
        <w:rPr>
          <w:lang w:bidi="fr-CH"/>
        </w:rPr>
        <w:t>application de la Convention (1); rapports du Groupe de travail chargé de l</w:t>
      </w:r>
      <w:r w:rsidR="00D26761">
        <w:rPr>
          <w:lang w:bidi="fr-CH"/>
        </w:rPr>
        <w:t>’</w:t>
      </w:r>
      <w:r w:rsidRPr="00F568C2">
        <w:rPr>
          <w:lang w:bidi="fr-CH"/>
        </w:rPr>
        <w:t>élaboration de la Convention (2); série de documents (10 environ) pour le Groupe de travail chargé de l</w:t>
      </w:r>
      <w:r w:rsidR="00D26761">
        <w:rPr>
          <w:lang w:bidi="fr-CH"/>
        </w:rPr>
        <w:t>’</w:t>
      </w:r>
      <w:r w:rsidRPr="00F568C2">
        <w:rPr>
          <w:lang w:bidi="fr-CH"/>
        </w:rPr>
        <w:t>élaboration de la Convention (1).</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iv)</w:t>
      </w:r>
      <w:r w:rsidRPr="00F568C2">
        <w:rPr>
          <w:lang w:bidi="fr-CH"/>
        </w:rPr>
        <w:tab/>
        <w:t xml:space="preserve">Organe exécutif de la Convention sur la pollution atmosphérique </w:t>
      </w:r>
      <w:r w:rsidR="00680C47">
        <w:rPr>
          <w:lang w:bidi="fr-CH"/>
        </w:rPr>
        <w:br/>
      </w:r>
      <w:r w:rsidRPr="00F568C2">
        <w:rPr>
          <w:lang w:bidi="fr-CH"/>
        </w:rPr>
        <w:t>transfrontière à longue distance (Convention sur l</w:t>
      </w:r>
      <w:r w:rsidR="00D26761">
        <w:rPr>
          <w:lang w:bidi="fr-CH"/>
        </w:rPr>
        <w:t>’</w:t>
      </w:r>
      <w:r w:rsidRPr="00F568C2">
        <w:rPr>
          <w:lang w:bidi="fr-CH"/>
        </w:rPr>
        <w:t>air)</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Organe exécutif de la Convention sur l</w:t>
      </w:r>
      <w:r w:rsidR="00D26761">
        <w:rPr>
          <w:lang w:bidi="fr-CH"/>
        </w:rPr>
        <w:t>’</w:t>
      </w:r>
      <w:r w:rsidRPr="00F568C2">
        <w:rPr>
          <w:lang w:bidi="fr-CH"/>
        </w:rPr>
        <w:t>air (14); réunion conjointe de l</w:t>
      </w:r>
      <w:r w:rsidR="00D26761">
        <w:rPr>
          <w:lang w:bidi="fr-CH"/>
        </w:rPr>
        <w:t>’</w:t>
      </w:r>
      <w:r w:rsidRPr="00F568C2">
        <w:rPr>
          <w:lang w:bidi="fr-CH"/>
        </w:rPr>
        <w:t>Organe directeur du Programme concerté de surveillance continue et d</w:t>
      </w:r>
      <w:r w:rsidR="00D26761">
        <w:rPr>
          <w:lang w:bidi="fr-CH"/>
        </w:rPr>
        <w:t>’</w:t>
      </w:r>
      <w:r w:rsidRPr="00F568C2">
        <w:rPr>
          <w:lang w:bidi="fr-CH"/>
        </w:rPr>
        <w:t>évaluation du transport à longue distance des polluants atmosphériques en Europe et du Groupe de travail sur les effets (16); Groupe de travail des stratégies et de l</w:t>
      </w:r>
      <w:r w:rsidR="00D26761">
        <w:rPr>
          <w:lang w:bidi="fr-CH"/>
        </w:rPr>
        <w:t>’</w:t>
      </w:r>
      <w:r w:rsidRPr="00F568C2">
        <w:rPr>
          <w:lang w:bidi="fr-CH"/>
        </w:rPr>
        <w:t>examen (12); Comité d</w:t>
      </w:r>
      <w:r w:rsidR="00D26761">
        <w:rPr>
          <w:lang w:bidi="fr-CH"/>
        </w:rPr>
        <w:t>’</w:t>
      </w:r>
      <w:r w:rsidRPr="00F568C2">
        <w:rPr>
          <w:lang w:bidi="fr-CH"/>
        </w:rPr>
        <w:t>application (24).</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Rapports de l</w:t>
      </w:r>
      <w:r w:rsidR="00D26761">
        <w:rPr>
          <w:lang w:bidi="fr-CH"/>
        </w:rPr>
        <w:t>’</w:t>
      </w:r>
      <w:r w:rsidRPr="00F568C2">
        <w:rPr>
          <w:lang w:bidi="fr-CH"/>
        </w:rPr>
        <w:t>Organe exécutif de la Convention sur l</w:t>
      </w:r>
      <w:r w:rsidR="00D26761">
        <w:rPr>
          <w:lang w:bidi="fr-CH"/>
        </w:rPr>
        <w:t>’</w:t>
      </w:r>
      <w:r w:rsidRPr="00F568C2">
        <w:rPr>
          <w:lang w:bidi="fr-CH"/>
        </w:rPr>
        <w:t>air (y compris additifs) (2); série de documents (40 environ) établis au titre de la Convention sur l</w:t>
      </w:r>
      <w:r w:rsidR="00D26761">
        <w:rPr>
          <w:lang w:bidi="fr-CH"/>
        </w:rPr>
        <w:t>’</w:t>
      </w:r>
      <w:r w:rsidRPr="00F568C2">
        <w:rPr>
          <w:lang w:bidi="fr-CH"/>
        </w:rPr>
        <w:t>air (1); rapports sur les travaux de la réunion conjointe de l</w:t>
      </w:r>
      <w:r w:rsidR="00D26761">
        <w:rPr>
          <w:lang w:bidi="fr-CH"/>
        </w:rPr>
        <w:t>’</w:t>
      </w:r>
      <w:r w:rsidRPr="00F568C2">
        <w:rPr>
          <w:lang w:bidi="fr-CH"/>
        </w:rPr>
        <w:t>Organe directeur du Programme concerté de surveillance continue et d</w:t>
      </w:r>
      <w:r w:rsidR="00D26761">
        <w:rPr>
          <w:lang w:bidi="fr-CH"/>
        </w:rPr>
        <w:t>’</w:t>
      </w:r>
      <w:r w:rsidRPr="00F568C2">
        <w:rPr>
          <w:lang w:bidi="fr-CH"/>
        </w:rPr>
        <w:t>évaluation du transport à longue distance des polluants atmosphériques en Europe et du Groupe de travail sur les effets (2); rapports du Groupe de travail des stratégies et de l</w:t>
      </w:r>
      <w:r w:rsidR="00D26761">
        <w:rPr>
          <w:lang w:bidi="fr-CH"/>
        </w:rPr>
        <w:t>’</w:t>
      </w:r>
      <w:r w:rsidRPr="00F568C2">
        <w:rPr>
          <w:lang w:bidi="fr-CH"/>
        </w:rPr>
        <w:t>examen (2).</w:t>
      </w:r>
    </w:p>
    <w:p w:rsidR="00F65F65" w:rsidRPr="00F65F65" w:rsidRDefault="00F65F65" w:rsidP="00F65F65">
      <w:pPr>
        <w:pStyle w:val="SingleTxt"/>
        <w:spacing w:after="0" w:line="120" w:lineRule="exact"/>
        <w:rPr>
          <w:sz w:val="10"/>
          <w:lang w:bidi="fr-CH"/>
        </w:rPr>
      </w:pPr>
    </w:p>
    <w:p w:rsidR="00F568C2" w:rsidRDefault="00F568C2" w:rsidP="00680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v)</w:t>
      </w:r>
      <w:r w:rsidRPr="00F568C2">
        <w:rPr>
          <w:lang w:bidi="fr-CH"/>
        </w:rPr>
        <w:tab/>
        <w:t>Réunion des Parties à la Convention sur l</w:t>
      </w:r>
      <w:r w:rsidR="00D26761">
        <w:rPr>
          <w:lang w:bidi="fr-CH"/>
        </w:rPr>
        <w:t>’</w:t>
      </w:r>
      <w:r w:rsidRPr="00F568C2">
        <w:rPr>
          <w:lang w:bidi="fr-CH"/>
        </w:rPr>
        <w:t>évaluation de l</w:t>
      </w:r>
      <w:r w:rsidR="00D26761">
        <w:rPr>
          <w:lang w:bidi="fr-CH"/>
        </w:rPr>
        <w:t>’</w:t>
      </w:r>
      <w:r w:rsidRPr="00F568C2">
        <w:rPr>
          <w:lang w:bidi="fr-CH"/>
        </w:rPr>
        <w:t xml:space="preserve">impact </w:t>
      </w:r>
      <w:r w:rsidR="00680C47">
        <w:rPr>
          <w:lang w:bidi="fr-CH"/>
        </w:rPr>
        <w:br/>
      </w:r>
      <w:r w:rsidRPr="00F568C2">
        <w:rPr>
          <w:lang w:bidi="fr-CH"/>
        </w:rPr>
        <w:t>sur l</w:t>
      </w:r>
      <w:r w:rsidR="00D26761">
        <w:rPr>
          <w:lang w:bidi="fr-CH"/>
        </w:rPr>
        <w:t>’</w:t>
      </w:r>
      <w:r w:rsidRPr="00F568C2">
        <w:rPr>
          <w:lang w:bidi="fr-CH"/>
        </w:rPr>
        <w:t>environnement dans un contexte transfrontière (Convention d</w:t>
      </w:r>
      <w:r w:rsidR="00D26761">
        <w:rPr>
          <w:lang w:bidi="fr-CH"/>
        </w:rPr>
        <w:t>’</w:t>
      </w:r>
      <w:r w:rsidRPr="00F568C2">
        <w:rPr>
          <w:lang w:bidi="fr-CH"/>
        </w:rPr>
        <w:t xml:space="preserve">Espoo) </w:t>
      </w:r>
      <w:r w:rsidR="00680C47">
        <w:rPr>
          <w:lang w:bidi="fr-CH"/>
        </w:rPr>
        <w:br/>
      </w:r>
      <w:r w:rsidRPr="00F568C2">
        <w:rPr>
          <w:lang w:bidi="fr-CH"/>
        </w:rPr>
        <w:t>et Réunion des Parties à la Convention d</w:t>
      </w:r>
      <w:r w:rsidR="00D26761">
        <w:rPr>
          <w:lang w:bidi="fr-CH"/>
        </w:rPr>
        <w:t>’</w:t>
      </w:r>
      <w:r w:rsidRPr="00F568C2">
        <w:rPr>
          <w:lang w:bidi="fr-CH"/>
        </w:rPr>
        <w:t xml:space="preserve">Espoo agissant comme Réunion </w:t>
      </w:r>
      <w:r w:rsidR="00680C47">
        <w:rPr>
          <w:lang w:bidi="fr-CH"/>
        </w:rPr>
        <w:br/>
      </w:r>
      <w:r w:rsidRPr="00F568C2">
        <w:rPr>
          <w:lang w:bidi="fr-CH"/>
        </w:rPr>
        <w:t>des Parties au Protocole relatif à l</w:t>
      </w:r>
      <w:r w:rsidR="00D26761">
        <w:rPr>
          <w:lang w:bidi="fr-CH"/>
        </w:rPr>
        <w:t>’</w:t>
      </w:r>
      <w:r w:rsidRPr="00F568C2">
        <w:rPr>
          <w:lang w:bidi="fr-CH"/>
        </w:rPr>
        <w:t>évaluation stratégique environnementale</w:t>
      </w:r>
    </w:p>
    <w:p w:rsidR="00F65F65" w:rsidRPr="00F65F65" w:rsidRDefault="00F65F65" w:rsidP="00680C47">
      <w:pPr>
        <w:pStyle w:val="SingleTxt"/>
        <w:keepNext/>
        <w:keepLines/>
        <w:spacing w:after="0" w:line="120" w:lineRule="exact"/>
        <w:rPr>
          <w:i/>
          <w:sz w:val="10"/>
          <w:lang w:bidi="fr-CH"/>
        </w:rPr>
      </w:pPr>
    </w:p>
    <w:p w:rsidR="00F568C2" w:rsidRDefault="00F568C2" w:rsidP="009B186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9B1863">
      <w:pPr>
        <w:pStyle w:val="SingleTxt"/>
        <w:keepNext/>
        <w:keepLines/>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Réunion des Parties à la Convention d</w:t>
      </w:r>
      <w:r w:rsidR="00D26761">
        <w:rPr>
          <w:lang w:bidi="fr-CH"/>
        </w:rPr>
        <w:t>’</w:t>
      </w:r>
      <w:r w:rsidRPr="00F568C2">
        <w:rPr>
          <w:lang w:bidi="fr-CH"/>
        </w:rPr>
        <w:t>Espoo (4); Réunion des Parties à la Convention d</w:t>
      </w:r>
      <w:r w:rsidR="00D26761">
        <w:rPr>
          <w:lang w:bidi="fr-CH"/>
        </w:rPr>
        <w:t>’</w:t>
      </w:r>
      <w:r w:rsidRPr="00F568C2">
        <w:rPr>
          <w:lang w:bidi="fr-CH"/>
        </w:rPr>
        <w:t>Espoo agissant comme Réunion des Parties au protocole relatif à l</w:t>
      </w:r>
      <w:r w:rsidR="00D26761">
        <w:rPr>
          <w:lang w:bidi="fr-CH"/>
        </w:rPr>
        <w:t>’</w:t>
      </w:r>
      <w:r w:rsidRPr="00F568C2">
        <w:rPr>
          <w:lang w:bidi="fr-CH"/>
        </w:rPr>
        <w:t>évaluation stratégique environnementale (4); Comité d</w:t>
      </w:r>
      <w:r w:rsidR="00D26761">
        <w:rPr>
          <w:lang w:bidi="fr-CH"/>
        </w:rPr>
        <w:t>’</w:t>
      </w:r>
      <w:r w:rsidRPr="00F568C2">
        <w:rPr>
          <w:lang w:bidi="fr-CH"/>
        </w:rPr>
        <w:t>application de la Convention d</w:t>
      </w:r>
      <w:r w:rsidR="00D26761">
        <w:rPr>
          <w:lang w:bidi="fr-CH"/>
        </w:rPr>
        <w:t>’</w:t>
      </w:r>
      <w:r w:rsidRPr="00F568C2">
        <w:rPr>
          <w:lang w:bidi="fr-CH"/>
        </w:rPr>
        <w:t>Espoo et du Protocole relatif à l</w:t>
      </w:r>
      <w:r w:rsidR="00D26761">
        <w:rPr>
          <w:lang w:bidi="fr-CH"/>
        </w:rPr>
        <w:t>’</w:t>
      </w:r>
      <w:r w:rsidRPr="00F568C2">
        <w:rPr>
          <w:lang w:bidi="fr-CH"/>
        </w:rPr>
        <w:t>évaluation stratégique environnementale (36); Groupe de travail de l</w:t>
      </w:r>
      <w:r w:rsidR="00D26761">
        <w:rPr>
          <w:lang w:bidi="fr-CH"/>
        </w:rPr>
        <w:t>’</w:t>
      </w:r>
      <w:r w:rsidRPr="00F568C2">
        <w:rPr>
          <w:lang w:bidi="fr-CH"/>
        </w:rPr>
        <w:t>évaluation de l</w:t>
      </w:r>
      <w:r w:rsidR="00D26761">
        <w:rPr>
          <w:lang w:bidi="fr-CH"/>
        </w:rPr>
        <w:t>’</w:t>
      </w:r>
      <w:r w:rsidRPr="00F568C2">
        <w:rPr>
          <w:lang w:bidi="fr-CH"/>
        </w:rPr>
        <w:t>impact sur l</w:t>
      </w:r>
      <w:r w:rsidR="00D26761">
        <w:rPr>
          <w:lang w:bidi="fr-CH"/>
        </w:rPr>
        <w:t>’</w:t>
      </w:r>
      <w:r w:rsidRPr="00F568C2">
        <w:rPr>
          <w:lang w:bidi="fr-CH"/>
        </w:rPr>
        <w:t>environnement et de l</w:t>
      </w:r>
      <w:r w:rsidR="00D26761">
        <w:rPr>
          <w:lang w:bidi="fr-CH"/>
        </w:rPr>
        <w:t>’</w:t>
      </w:r>
      <w:r w:rsidRPr="00F568C2">
        <w:rPr>
          <w:lang w:bidi="fr-CH"/>
        </w:rPr>
        <w:t>évaluation stratégique environnementale (12)</w:t>
      </w:r>
      <w:r w:rsidR="007A2E4F">
        <w:rPr>
          <w:rStyle w:val="FootnoteReference"/>
          <w:lang w:bidi="fr-CH"/>
        </w:rPr>
        <w:footnoteReference w:id="8"/>
      </w:r>
      <w:r w:rsidRPr="00F568C2">
        <w:rPr>
          <w:lang w:bidi="fr-CH"/>
        </w:rPr>
        <w:t>; Bureau de la Convention d</w:t>
      </w:r>
      <w:r w:rsidR="00D26761">
        <w:rPr>
          <w:lang w:bidi="fr-CH"/>
        </w:rPr>
        <w:t>’</w:t>
      </w:r>
      <w:r w:rsidRPr="00F568C2">
        <w:rPr>
          <w:lang w:bidi="fr-CH"/>
        </w:rPr>
        <w:t>Espoo et du Protocole relatif à l</w:t>
      </w:r>
      <w:r w:rsidR="00D26761">
        <w:rPr>
          <w:lang w:bidi="fr-CH"/>
        </w:rPr>
        <w:t>’</w:t>
      </w:r>
      <w:r w:rsidRPr="00F568C2">
        <w:rPr>
          <w:lang w:bidi="fr-CH"/>
        </w:rPr>
        <w:t>évaluation stratégique environnementale (6).</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Rapport de la Réunion des Parties à la Convention d</w:t>
      </w:r>
      <w:r w:rsidR="00D26761">
        <w:rPr>
          <w:lang w:bidi="fr-CH"/>
        </w:rPr>
        <w:t>’</w:t>
      </w:r>
      <w:r w:rsidRPr="00F568C2">
        <w:rPr>
          <w:lang w:bidi="fr-CH"/>
        </w:rPr>
        <w:t>Espoo et rapport de la Réunion des Parties à la Convention d</w:t>
      </w:r>
      <w:r w:rsidR="00D26761">
        <w:rPr>
          <w:lang w:bidi="fr-CH"/>
        </w:rPr>
        <w:t>’</w:t>
      </w:r>
      <w:r w:rsidRPr="00F568C2">
        <w:rPr>
          <w:lang w:bidi="fr-CH"/>
        </w:rPr>
        <w:t>Espoo agissant comme Réunion des Parties au Protocole relatif à l</w:t>
      </w:r>
      <w:r w:rsidR="00D26761">
        <w:rPr>
          <w:lang w:bidi="fr-CH"/>
        </w:rPr>
        <w:t>’</w:t>
      </w:r>
      <w:r w:rsidRPr="00F568C2">
        <w:rPr>
          <w:lang w:bidi="fr-CH"/>
        </w:rPr>
        <w:t>évaluation stratégique environnementale (y compris additifs) (1); série de documents (32 environ) établis au titre de la Convention d</w:t>
      </w:r>
      <w:r w:rsidR="00D26761">
        <w:rPr>
          <w:lang w:bidi="fr-CH"/>
        </w:rPr>
        <w:t>’</w:t>
      </w:r>
      <w:r w:rsidRPr="00F568C2">
        <w:rPr>
          <w:lang w:bidi="fr-CH"/>
        </w:rPr>
        <w:t>Espoo et du Protocole relatif à l</w:t>
      </w:r>
      <w:r w:rsidR="00D26761">
        <w:rPr>
          <w:lang w:bidi="fr-CH"/>
        </w:rPr>
        <w:t>’</w:t>
      </w:r>
      <w:r w:rsidRPr="00F568C2">
        <w:rPr>
          <w:lang w:bidi="fr-CH"/>
        </w:rPr>
        <w:t>évaluation stratégique environnementale (1); rapports du Comité d</w:t>
      </w:r>
      <w:r w:rsidR="00D26761">
        <w:rPr>
          <w:lang w:bidi="fr-CH"/>
        </w:rPr>
        <w:t>’</w:t>
      </w:r>
      <w:r w:rsidRPr="00F568C2">
        <w:rPr>
          <w:lang w:bidi="fr-CH"/>
        </w:rPr>
        <w:t>application de la Convention d</w:t>
      </w:r>
      <w:r w:rsidR="00D26761">
        <w:rPr>
          <w:lang w:bidi="fr-CH"/>
        </w:rPr>
        <w:t>’</w:t>
      </w:r>
      <w:r w:rsidRPr="00F568C2">
        <w:rPr>
          <w:lang w:bidi="fr-CH"/>
        </w:rPr>
        <w:t>Espoo et du Protocole relatif à l</w:t>
      </w:r>
      <w:r w:rsidR="00D26761">
        <w:rPr>
          <w:lang w:bidi="fr-CH"/>
        </w:rPr>
        <w:t>’</w:t>
      </w:r>
      <w:r w:rsidRPr="00F568C2">
        <w:rPr>
          <w:lang w:bidi="fr-CH"/>
        </w:rPr>
        <w:t>évaluation stratégique environnementale (6); rapports du Groupe de travail de l</w:t>
      </w:r>
      <w:r w:rsidR="00D26761">
        <w:rPr>
          <w:lang w:bidi="fr-CH"/>
        </w:rPr>
        <w:t>’</w:t>
      </w:r>
      <w:r w:rsidRPr="00F568C2">
        <w:rPr>
          <w:lang w:bidi="fr-CH"/>
        </w:rPr>
        <w:t>évaluation de l</w:t>
      </w:r>
      <w:r w:rsidR="00D26761">
        <w:rPr>
          <w:lang w:bidi="fr-CH"/>
        </w:rPr>
        <w:t>’</w:t>
      </w:r>
      <w:r w:rsidRPr="00F568C2">
        <w:rPr>
          <w:lang w:bidi="fr-CH"/>
        </w:rPr>
        <w:t>impact sur l</w:t>
      </w:r>
      <w:r w:rsidR="00D26761">
        <w:rPr>
          <w:lang w:bidi="fr-CH"/>
        </w:rPr>
        <w:t>’</w:t>
      </w:r>
      <w:r w:rsidRPr="00F568C2">
        <w:rPr>
          <w:lang w:bidi="fr-CH"/>
        </w:rPr>
        <w:t>environnement et de l</w:t>
      </w:r>
      <w:r w:rsidR="00D26761">
        <w:rPr>
          <w:lang w:bidi="fr-CH"/>
        </w:rPr>
        <w:t>’</w:t>
      </w:r>
      <w:r w:rsidRPr="00F568C2">
        <w:rPr>
          <w:lang w:bidi="fr-CH"/>
        </w:rPr>
        <w:t>évaluation stratégique environnementale (2).</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vi)</w:t>
      </w:r>
      <w:r w:rsidRPr="00F568C2">
        <w:rPr>
          <w:lang w:bidi="fr-CH"/>
        </w:rPr>
        <w:tab/>
        <w:t>Réunion des Parties à la Convention sur l</w:t>
      </w:r>
      <w:r w:rsidR="00D26761">
        <w:rPr>
          <w:lang w:bidi="fr-CH"/>
        </w:rPr>
        <w:t>’</w:t>
      </w:r>
      <w:r w:rsidRPr="00F568C2">
        <w:rPr>
          <w:lang w:bidi="fr-CH"/>
        </w:rPr>
        <w:t>accès à l</w:t>
      </w:r>
      <w:r w:rsidR="00D26761">
        <w:rPr>
          <w:lang w:bidi="fr-CH"/>
        </w:rPr>
        <w:t>’</w:t>
      </w:r>
      <w:r w:rsidRPr="00F568C2">
        <w:rPr>
          <w:lang w:bidi="fr-CH"/>
        </w:rPr>
        <w:t xml:space="preserve">information, </w:t>
      </w:r>
      <w:r w:rsidR="00680C47">
        <w:rPr>
          <w:lang w:bidi="fr-CH"/>
        </w:rPr>
        <w:br/>
      </w:r>
      <w:r w:rsidRPr="00F568C2">
        <w:rPr>
          <w:lang w:bidi="fr-CH"/>
        </w:rPr>
        <w:t>la participation du public au processus décisionnel et l</w:t>
      </w:r>
      <w:r w:rsidR="00D26761">
        <w:rPr>
          <w:lang w:bidi="fr-CH"/>
        </w:rPr>
        <w:t>’</w:t>
      </w:r>
      <w:r w:rsidRPr="00F568C2">
        <w:rPr>
          <w:lang w:bidi="fr-CH"/>
        </w:rPr>
        <w:t xml:space="preserve">accès </w:t>
      </w:r>
      <w:r w:rsidR="00680C47">
        <w:rPr>
          <w:lang w:bidi="fr-CH"/>
        </w:rPr>
        <w:br/>
      </w:r>
      <w:r w:rsidRPr="00F568C2">
        <w:rPr>
          <w:lang w:bidi="fr-CH"/>
        </w:rPr>
        <w:t>à la justice en matière d</w:t>
      </w:r>
      <w:r w:rsidR="00D26761">
        <w:rPr>
          <w:lang w:bidi="fr-CH"/>
        </w:rPr>
        <w:t>’</w:t>
      </w:r>
      <w:r w:rsidRPr="00F568C2">
        <w:rPr>
          <w:lang w:bidi="fr-CH"/>
        </w:rPr>
        <w:t>environnement (Convention d</w:t>
      </w:r>
      <w:r w:rsidR="00D26761">
        <w:rPr>
          <w:lang w:bidi="fr-CH"/>
        </w:rPr>
        <w:t>’</w:t>
      </w:r>
      <w:r w:rsidRPr="00F568C2">
        <w:rPr>
          <w:lang w:bidi="fr-CH"/>
        </w:rPr>
        <w:t xml:space="preserve">Aarhus) </w:t>
      </w:r>
      <w:r w:rsidR="00680C47">
        <w:rPr>
          <w:lang w:bidi="fr-CH"/>
        </w:rPr>
        <w:br/>
      </w:r>
      <w:r w:rsidRPr="00F568C2">
        <w:rPr>
          <w:lang w:bidi="fr-CH"/>
        </w:rPr>
        <w:t xml:space="preserve">et Réunion des Parties au Protocole sur les registres des rejets </w:t>
      </w:r>
      <w:r w:rsidR="00680C47">
        <w:rPr>
          <w:lang w:bidi="fr-CH"/>
        </w:rPr>
        <w:br/>
      </w:r>
      <w:r w:rsidRPr="00F568C2">
        <w:rPr>
          <w:lang w:bidi="fr-CH"/>
        </w:rPr>
        <w:t>et transferts de polluants</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Réunion des Parties à la Convention d</w:t>
      </w:r>
      <w:r w:rsidR="00D26761">
        <w:rPr>
          <w:lang w:bidi="fr-CH"/>
        </w:rPr>
        <w:t>’</w:t>
      </w:r>
      <w:r w:rsidRPr="00F568C2">
        <w:rPr>
          <w:lang w:bidi="fr-CH"/>
        </w:rPr>
        <w:t>Aarhus (6); Réunion des Parties au Protocole sur les registres des rejets et transferts de polluants (6); Groupe de travail des Parties à la Convention d</w:t>
      </w:r>
      <w:r w:rsidR="00D26761">
        <w:rPr>
          <w:lang w:bidi="fr-CH"/>
        </w:rPr>
        <w:t>’</w:t>
      </w:r>
      <w:r w:rsidRPr="00F568C2">
        <w:rPr>
          <w:lang w:bidi="fr-CH"/>
        </w:rPr>
        <w:t>Aarhus (12); Groupe de travail des Parties au Protocole sur les registres des rejets et transferts de polluants (12); Comité de contrôle du respect des dispositions de la Convention d</w:t>
      </w:r>
      <w:r w:rsidR="00D26761">
        <w:rPr>
          <w:lang w:bidi="fr-CH"/>
        </w:rPr>
        <w:t>’</w:t>
      </w:r>
      <w:r w:rsidRPr="00F568C2">
        <w:rPr>
          <w:lang w:bidi="fr-CH"/>
        </w:rPr>
        <w:t>Aarhus (70); Comité de contrôle du respect des dispositions du Protocole sur les registres des rejets et transferts de polluants (8); Équipe spéciale sur l</w:t>
      </w:r>
      <w:r w:rsidR="00D26761">
        <w:rPr>
          <w:lang w:bidi="fr-CH"/>
        </w:rPr>
        <w:t>’</w:t>
      </w:r>
      <w:r w:rsidRPr="00F568C2">
        <w:rPr>
          <w:lang w:bidi="fr-CH"/>
        </w:rPr>
        <w:t>accès à l</w:t>
      </w:r>
      <w:r w:rsidR="00D26761">
        <w:rPr>
          <w:lang w:bidi="fr-CH"/>
        </w:rPr>
        <w:t>’</w:t>
      </w:r>
      <w:r w:rsidRPr="00F568C2">
        <w:rPr>
          <w:lang w:bidi="fr-CH"/>
        </w:rPr>
        <w:t>information prévue par la Convention d</w:t>
      </w:r>
      <w:r w:rsidR="00D26761">
        <w:rPr>
          <w:lang w:bidi="fr-CH"/>
        </w:rPr>
        <w:t>’</w:t>
      </w:r>
      <w:r w:rsidRPr="00F568C2">
        <w:rPr>
          <w:lang w:bidi="fr-CH"/>
        </w:rPr>
        <w:t>Aarhus (12); Équipe spéciale sur la participation du public au processus décisionnel prévue dans la Convention d</w:t>
      </w:r>
      <w:r w:rsidR="00D26761">
        <w:rPr>
          <w:lang w:bidi="fr-CH"/>
        </w:rPr>
        <w:t>’</w:t>
      </w:r>
      <w:r w:rsidRPr="00F568C2">
        <w:rPr>
          <w:lang w:bidi="fr-CH"/>
        </w:rPr>
        <w:t>Aarhus (12); Équipe spéciale sur l</w:t>
      </w:r>
      <w:r w:rsidR="00D26761">
        <w:rPr>
          <w:lang w:bidi="fr-CH"/>
        </w:rPr>
        <w:t>’</w:t>
      </w:r>
      <w:r w:rsidRPr="00F568C2">
        <w:rPr>
          <w:lang w:bidi="fr-CH"/>
        </w:rPr>
        <w:t>accès à la justice prévue dans la Convention d</w:t>
      </w:r>
      <w:r w:rsidR="00D26761">
        <w:rPr>
          <w:lang w:bidi="fr-CH"/>
        </w:rPr>
        <w:t>’</w:t>
      </w:r>
      <w:r w:rsidRPr="00F568C2">
        <w:rPr>
          <w:lang w:bidi="fr-CH"/>
        </w:rPr>
        <w:t>Aarhus (12); Bureau de la Réunion des Parties à la Convention d</w:t>
      </w:r>
      <w:r w:rsidR="00D26761">
        <w:rPr>
          <w:lang w:bidi="fr-CH"/>
        </w:rPr>
        <w:t>’</w:t>
      </w:r>
      <w:r w:rsidRPr="00F568C2">
        <w:rPr>
          <w:lang w:bidi="fr-CH"/>
        </w:rPr>
        <w:t>Aarhus (8); Bureau de la Réunion des Parties au Protocole sur les registres des rejets et transferts de polluants (8).</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Rapport de la Réunion des Parties à la Convention d</w:t>
      </w:r>
      <w:r w:rsidR="00D26761">
        <w:rPr>
          <w:lang w:bidi="fr-CH"/>
        </w:rPr>
        <w:t>’</w:t>
      </w:r>
      <w:r w:rsidRPr="00F568C2">
        <w:rPr>
          <w:lang w:bidi="fr-CH"/>
        </w:rPr>
        <w:t>Aarhus (y compris additifs) (1); série de documents (45 environ) établis au titre de la Convention d</w:t>
      </w:r>
      <w:r w:rsidR="00D26761">
        <w:rPr>
          <w:lang w:bidi="fr-CH"/>
        </w:rPr>
        <w:t>’</w:t>
      </w:r>
      <w:r w:rsidRPr="00F568C2">
        <w:rPr>
          <w:lang w:bidi="fr-CH"/>
        </w:rPr>
        <w:t>Aarhus (1); série de documents (20 environ) sur les questions relatives au respect des dispositions de la Convention d</w:t>
      </w:r>
      <w:r w:rsidR="00D26761">
        <w:rPr>
          <w:lang w:bidi="fr-CH"/>
        </w:rPr>
        <w:t>’</w:t>
      </w:r>
      <w:r w:rsidRPr="00F568C2">
        <w:rPr>
          <w:lang w:bidi="fr-CH"/>
        </w:rPr>
        <w:t>Aarhus (1); rapport de la Réunion des Parties au Protocole sur les registres des rejets et transferts de polluants (y compris additifs) (1); série de documents (20 environ) établis au titre du Protocole sur les registres des rejets et transferts de polluants (1); série de documents (5 environ) sur les questions relatives au respect des dispositions du Protocole sur les registres des rejets et transferts de polluants (1); rapports du Groupe de travail des Parties à la Convention d</w:t>
      </w:r>
      <w:r w:rsidR="00D26761">
        <w:rPr>
          <w:lang w:bidi="fr-CH"/>
        </w:rPr>
        <w:t>’</w:t>
      </w:r>
      <w:r w:rsidRPr="00F568C2">
        <w:rPr>
          <w:lang w:bidi="fr-CH"/>
        </w:rPr>
        <w:t>Aarhus (2); rapports du Groupe de travail des Parties au Protocole sur les registres des rejets et transferts de polluants (2); série de rapports (70 environ) du Comité de contrôle du respect des dispositions de la Convention d</w:t>
      </w:r>
      <w:r w:rsidR="00D26761">
        <w:rPr>
          <w:lang w:bidi="fr-CH"/>
        </w:rPr>
        <w:t>’</w:t>
      </w:r>
      <w:r w:rsidRPr="00F568C2">
        <w:rPr>
          <w:lang w:bidi="fr-CH"/>
        </w:rPr>
        <w:t>Aarhus (1); série de rapports (15 environ) du Comité de contrôle du respect des dispositions du Protocole sur les registres des rejets et transferts de polluants (1).</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vii)</w:t>
      </w:r>
      <w:r w:rsidRPr="00F568C2">
        <w:rPr>
          <w:lang w:bidi="fr-CH"/>
        </w:rPr>
        <w:tab/>
        <w:t xml:space="preserve">Comité directeur du Programme paneuropéen sur les transports, </w:t>
      </w:r>
      <w:r w:rsidR="00680C47">
        <w:rPr>
          <w:lang w:bidi="fr-CH"/>
        </w:rPr>
        <w:br/>
      </w:r>
      <w:r w:rsidRPr="00F568C2">
        <w:rPr>
          <w:lang w:bidi="fr-CH"/>
        </w:rPr>
        <w:t>la santé et l</w:t>
      </w:r>
      <w:r w:rsidR="00D26761">
        <w:rPr>
          <w:lang w:bidi="fr-CH"/>
        </w:rPr>
        <w:t>’</w:t>
      </w:r>
      <w:r w:rsidRPr="00F568C2">
        <w:rPr>
          <w:lang w:bidi="fr-CH"/>
        </w:rPr>
        <w:t>environnement</w:t>
      </w:r>
    </w:p>
    <w:p w:rsidR="00F65F65" w:rsidRPr="00F65F65" w:rsidRDefault="00F65F65" w:rsidP="00F65F65">
      <w:pPr>
        <w:pStyle w:val="SingleTxt"/>
        <w:spacing w:after="0" w:line="120" w:lineRule="exact"/>
        <w:rPr>
          <w:i/>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a.</w:t>
      </w:r>
      <w:r w:rsidRPr="00F568C2">
        <w:rPr>
          <w:lang w:bidi="fr-CH"/>
        </w:rPr>
        <w:tab/>
        <w:t>Services fonctionnels pour les réunions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Comité directeur du Programme paneuropéen sur les transports, la santé et l</w:t>
      </w:r>
      <w:r w:rsidR="00D26761">
        <w:rPr>
          <w:lang w:bidi="fr-CH"/>
        </w:rPr>
        <w:t>’</w:t>
      </w:r>
      <w:r w:rsidRPr="00F568C2">
        <w:rPr>
          <w:lang w:bidi="fr-CH"/>
        </w:rPr>
        <w:t>environnement (3).</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b.</w:t>
      </w:r>
      <w:r w:rsidRPr="00F568C2">
        <w:rPr>
          <w:lang w:bidi="fr-CH"/>
        </w:rPr>
        <w:tab/>
        <w:t>Documentation destinée aux organes délibérants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Rapport du Comité directeur du Programme paneuropéen sur les transports, la santé et l</w:t>
      </w:r>
      <w:r w:rsidR="00D26761">
        <w:rPr>
          <w:lang w:bidi="fr-CH"/>
        </w:rPr>
        <w:t>’</w:t>
      </w:r>
      <w:r w:rsidRPr="00F568C2">
        <w:rPr>
          <w:lang w:bidi="fr-CH"/>
        </w:rPr>
        <w:t>environnement (1); documents pour le Comité directeur du Programme (6).</w:t>
      </w:r>
    </w:p>
    <w:p w:rsidR="00F65F65" w:rsidRPr="00F65F65" w:rsidRDefault="00F65F65" w:rsidP="00F65F65">
      <w:pPr>
        <w:pStyle w:val="SingleTxt"/>
        <w:spacing w:after="0" w:line="120" w:lineRule="exact"/>
        <w:rPr>
          <w:sz w:val="10"/>
          <w:lang w:bidi="fr-CH"/>
        </w:rPr>
      </w:pPr>
    </w:p>
    <w:p w:rsidR="00F65F65" w:rsidRPr="00F65F65" w:rsidRDefault="00F65F65" w:rsidP="00F65F65">
      <w:pPr>
        <w:pStyle w:val="SingleTxt"/>
        <w:spacing w:after="0" w:line="120" w:lineRule="exact"/>
        <w:rPr>
          <w:sz w:val="10"/>
          <w:lang w:bidi="fr-CH"/>
        </w:rPr>
      </w:pPr>
    </w:p>
    <w:p w:rsidR="00F568C2" w:rsidRDefault="00F568C2" w:rsidP="003962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B.</w:t>
      </w:r>
      <w:r w:rsidRPr="00F568C2">
        <w:rPr>
          <w:lang w:bidi="fr-CH"/>
        </w:rPr>
        <w:tab/>
        <w:t>Autres activités de fond</w:t>
      </w:r>
    </w:p>
    <w:p w:rsidR="00F65F65" w:rsidRPr="00F65F65" w:rsidRDefault="00F65F65" w:rsidP="00F65F65">
      <w:pPr>
        <w:pStyle w:val="SingleTxt"/>
        <w:spacing w:after="0" w:line="120" w:lineRule="exact"/>
        <w:rPr>
          <w:b/>
          <w:sz w:val="10"/>
          <w:lang w:bidi="fr-CH"/>
        </w:rPr>
      </w:pPr>
    </w:p>
    <w:p w:rsidR="00F65F65" w:rsidRPr="00F65F65" w:rsidRDefault="00F65F65" w:rsidP="00F65F65">
      <w:pPr>
        <w:pStyle w:val="SingleTxt"/>
        <w:spacing w:after="0" w:line="120" w:lineRule="exact"/>
        <w:rPr>
          <w:b/>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w:t>
      </w:r>
      <w:r w:rsidRPr="00F568C2">
        <w:rPr>
          <w:lang w:bidi="fr-CH"/>
        </w:rPr>
        <w:tab/>
        <w:t>Publications en série</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Gestion intégrée des ressources en eau en Europe orientale, dans</w:t>
      </w:r>
      <w:r w:rsidR="00376373">
        <w:rPr>
          <w:lang w:bidi="fr-CH"/>
        </w:rPr>
        <w:t xml:space="preserve"> le Caucase et en Asie centrale </w:t>
      </w:r>
      <w:r w:rsidRPr="00F568C2">
        <w:rPr>
          <w:lang w:bidi="fr-CH"/>
        </w:rPr>
        <w:t>: rapport sur l</w:t>
      </w:r>
      <w:r w:rsidR="00D26761">
        <w:rPr>
          <w:lang w:bidi="fr-CH"/>
        </w:rPr>
        <w:t>’</w:t>
      </w:r>
      <w:r w:rsidRPr="00F568C2">
        <w:rPr>
          <w:lang w:bidi="fr-CH"/>
        </w:rPr>
        <w:t>état d</w:t>
      </w:r>
      <w:r w:rsidR="00D26761">
        <w:rPr>
          <w:lang w:bidi="fr-CH"/>
        </w:rPr>
        <w:t>’</w:t>
      </w:r>
      <w:r w:rsidRPr="00F568C2">
        <w:rPr>
          <w:lang w:bidi="fr-CH"/>
        </w:rPr>
        <w:t>avancement du dialogue engagé au niveau national dans le cadre de l</w:t>
      </w:r>
      <w:r w:rsidR="00D26761">
        <w:rPr>
          <w:lang w:bidi="fr-CH"/>
        </w:rPr>
        <w:t>’</w:t>
      </w:r>
      <w:r w:rsidRPr="00F568C2">
        <w:rPr>
          <w:lang w:bidi="fr-CH"/>
        </w:rPr>
        <w:t>Initiative de l</w:t>
      </w:r>
      <w:r w:rsidR="00D26761">
        <w:rPr>
          <w:lang w:bidi="fr-CH"/>
        </w:rPr>
        <w:t>’</w:t>
      </w:r>
      <w:r w:rsidRPr="00F568C2">
        <w:rPr>
          <w:lang w:bidi="fr-CH"/>
        </w:rPr>
        <w:t>Union européenne en faveur de l</w:t>
      </w:r>
      <w:r w:rsidR="00D26761">
        <w:rPr>
          <w:lang w:bidi="fr-CH"/>
        </w:rPr>
        <w:t>’</w:t>
      </w:r>
      <w:r w:rsidRPr="00F568C2">
        <w:rPr>
          <w:lang w:bidi="fr-CH"/>
        </w:rPr>
        <w:t xml:space="preserve">eau (série Eau) (1); </w:t>
      </w:r>
      <w:r w:rsidR="00376373">
        <w:rPr>
          <w:lang w:bidi="fr-CH"/>
        </w:rPr>
        <w:t>vingt</w:t>
      </w:r>
      <w:r w:rsidRPr="00F568C2">
        <w:rPr>
          <w:lang w:bidi="fr-CH"/>
        </w:rPr>
        <w:t xml:space="preserve"> ans de réalisations au titre de la Convention sur l</w:t>
      </w:r>
      <w:r w:rsidR="00D26761">
        <w:rPr>
          <w:lang w:bidi="fr-CH"/>
        </w:rPr>
        <w:t>’</w:t>
      </w:r>
      <w:r w:rsidRPr="00F568C2">
        <w:rPr>
          <w:lang w:bidi="fr-CH"/>
        </w:rPr>
        <w:t>eau (série Eau) (1).</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w:t>
      </w:r>
      <w:r w:rsidRPr="00F568C2">
        <w:rPr>
          <w:lang w:bidi="fr-CH"/>
        </w:rPr>
        <w:tab/>
        <w:t>Publications isolées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Études de la performance environnementale de pays (4); principaux résultats obtenus et problèmes rencontrés dans l</w:t>
      </w:r>
      <w:r w:rsidR="00D26761">
        <w:rPr>
          <w:lang w:bidi="fr-CH"/>
        </w:rPr>
        <w:t>’</w:t>
      </w:r>
      <w:r w:rsidRPr="00F568C2">
        <w:rPr>
          <w:lang w:bidi="fr-CH"/>
        </w:rPr>
        <w:t>ouverture de l</w:t>
      </w:r>
      <w:r w:rsidR="00D26761">
        <w:rPr>
          <w:lang w:bidi="fr-CH"/>
        </w:rPr>
        <w:t>’</w:t>
      </w:r>
      <w:r w:rsidRPr="00F568C2">
        <w:rPr>
          <w:lang w:bidi="fr-CH"/>
        </w:rPr>
        <w:t>accès à l</w:t>
      </w:r>
      <w:r w:rsidR="00D26761">
        <w:rPr>
          <w:lang w:bidi="fr-CH"/>
        </w:rPr>
        <w:t>’</w:t>
      </w:r>
      <w:r w:rsidRPr="00F568C2">
        <w:rPr>
          <w:lang w:bidi="fr-CH"/>
        </w:rPr>
        <w:t>information en application de la Convention d</w:t>
      </w:r>
      <w:r w:rsidR="00D26761">
        <w:rPr>
          <w:lang w:bidi="fr-CH"/>
        </w:rPr>
        <w:t>’</w:t>
      </w:r>
      <w:r w:rsidRPr="00F568C2">
        <w:rPr>
          <w:lang w:bidi="fr-CH"/>
        </w:rPr>
        <w:t>Aarhus (1); évaluation des dispositions techniques du Protocole sur les registres des rejets et transferts de polluants (1); nouveau tirage de la Convention d</w:t>
      </w:r>
      <w:r w:rsidR="00D26761">
        <w:rPr>
          <w:lang w:bidi="fr-CH"/>
        </w:rPr>
        <w:t>’</w:t>
      </w:r>
      <w:r w:rsidRPr="00F568C2">
        <w:rPr>
          <w:lang w:bidi="fr-CH"/>
        </w:rPr>
        <w:t>Aarhus (1); études de cas sur le recensement et l</w:t>
      </w:r>
      <w:r w:rsidR="00D26761">
        <w:rPr>
          <w:lang w:bidi="fr-CH"/>
        </w:rPr>
        <w:t>’</w:t>
      </w:r>
      <w:r w:rsidRPr="00F568C2">
        <w:rPr>
          <w:lang w:bidi="fr-CH"/>
        </w:rPr>
        <w:t>évaluation des avantages de la coopération transfrontière dans le domaine de l</w:t>
      </w:r>
      <w:r w:rsidR="00D26761">
        <w:rPr>
          <w:lang w:bidi="fr-CH"/>
        </w:rPr>
        <w:t>’</w:t>
      </w:r>
      <w:r w:rsidRPr="00F568C2">
        <w:rPr>
          <w:lang w:bidi="fr-CH"/>
        </w:rPr>
        <w:t>eau et les activités de communication connexes (1); guide sur les mesures à prendre pour réduire l</w:t>
      </w:r>
      <w:r w:rsidR="00D26761">
        <w:rPr>
          <w:lang w:bidi="fr-CH"/>
        </w:rPr>
        <w:t>’</w:t>
      </w:r>
      <w:r w:rsidRPr="00F568C2">
        <w:rPr>
          <w:lang w:bidi="fr-CH"/>
        </w:rPr>
        <w:t>inégalité d</w:t>
      </w:r>
      <w:r w:rsidR="00D26761">
        <w:rPr>
          <w:lang w:bidi="fr-CH"/>
        </w:rPr>
        <w:t>’</w:t>
      </w:r>
      <w:r w:rsidRPr="00F568C2">
        <w:rPr>
          <w:lang w:bidi="fr-CH"/>
        </w:rPr>
        <w:t>accès à l</w:t>
      </w:r>
      <w:r w:rsidR="00D26761">
        <w:rPr>
          <w:lang w:bidi="fr-CH"/>
        </w:rPr>
        <w:t>’</w:t>
      </w:r>
      <w:r w:rsidRPr="00F568C2">
        <w:rPr>
          <w:lang w:bidi="fr-CH"/>
        </w:rPr>
        <w:t>eau et à l</w:t>
      </w:r>
      <w:r w:rsidR="00D26761">
        <w:rPr>
          <w:lang w:bidi="fr-CH"/>
        </w:rPr>
        <w:t>’</w:t>
      </w:r>
      <w:r w:rsidRPr="00F568C2">
        <w:rPr>
          <w:lang w:bidi="fr-CH"/>
        </w:rPr>
        <w:t>assainissement (1); directives sur la définition d</w:t>
      </w:r>
      <w:r w:rsidR="00D26761">
        <w:rPr>
          <w:lang w:bidi="fr-CH"/>
        </w:rPr>
        <w:t>’</w:t>
      </w:r>
      <w:r w:rsidRPr="00F568C2">
        <w:rPr>
          <w:lang w:bidi="fr-CH"/>
        </w:rPr>
        <w:t>objectifs et l</w:t>
      </w:r>
      <w:r w:rsidR="00D26761">
        <w:rPr>
          <w:lang w:bidi="fr-CH"/>
        </w:rPr>
        <w:t>’</w:t>
      </w:r>
      <w:r w:rsidRPr="00F568C2">
        <w:rPr>
          <w:lang w:bidi="fr-CH"/>
        </w:rPr>
        <w:t>évaluation et la présentatio</w:t>
      </w:r>
      <w:r w:rsidR="00680C47">
        <w:rPr>
          <w:lang w:bidi="fr-CH"/>
        </w:rPr>
        <w:t>n des résultats obtenus (2</w:t>
      </w:r>
      <w:r w:rsidR="00680C47" w:rsidRPr="00680C47">
        <w:rPr>
          <w:vertAlign w:val="superscript"/>
          <w:lang w:bidi="fr-CH"/>
        </w:rPr>
        <w:t>e</w:t>
      </w:r>
      <w:r w:rsidR="00680C47">
        <w:rPr>
          <w:lang w:bidi="fr-CH"/>
        </w:rPr>
        <w:t xml:space="preserve"> éd.</w:t>
      </w:r>
      <w:r w:rsidRPr="00F568C2">
        <w:rPr>
          <w:lang w:bidi="fr-CH"/>
        </w:rPr>
        <w:t>) (1); indicateurs d</w:t>
      </w:r>
      <w:r w:rsidR="00D26761">
        <w:rPr>
          <w:lang w:bidi="fr-CH"/>
        </w:rPr>
        <w:t>’</w:t>
      </w:r>
      <w:r w:rsidRPr="00F568C2">
        <w:rPr>
          <w:lang w:bidi="fr-CH"/>
        </w:rPr>
        <w:t>environnement de la CEE (1); Système de partage d</w:t>
      </w:r>
      <w:r w:rsidR="00D26761">
        <w:rPr>
          <w:lang w:bidi="fr-CH"/>
        </w:rPr>
        <w:t>’</w:t>
      </w:r>
      <w:r w:rsidRPr="00F568C2">
        <w:rPr>
          <w:lang w:bidi="fr-CH"/>
        </w:rPr>
        <w:t>informations sur l</w:t>
      </w:r>
      <w:r w:rsidR="00D26761">
        <w:rPr>
          <w:lang w:bidi="fr-CH"/>
        </w:rPr>
        <w:t>’</w:t>
      </w:r>
      <w:r w:rsidRPr="00F568C2">
        <w:rPr>
          <w:lang w:bidi="fr-CH"/>
        </w:rPr>
        <w:t>environnement dans la région paneuropéenne (1); guide sur l</w:t>
      </w:r>
      <w:r w:rsidR="00D26761">
        <w:rPr>
          <w:lang w:bidi="fr-CH"/>
        </w:rPr>
        <w:t>’</w:t>
      </w:r>
      <w:r w:rsidRPr="00F568C2">
        <w:rPr>
          <w:lang w:bidi="fr-CH"/>
        </w:rPr>
        <w:t>application de la Convention d</w:t>
      </w:r>
      <w:r w:rsidR="00D26761">
        <w:rPr>
          <w:lang w:bidi="fr-CH"/>
        </w:rPr>
        <w:t>’</w:t>
      </w:r>
      <w:r w:rsidRPr="00F568C2">
        <w:rPr>
          <w:lang w:bidi="fr-CH"/>
        </w:rPr>
        <w:t>Espoo (1); directives sur l</w:t>
      </w:r>
      <w:r w:rsidR="00D26761">
        <w:rPr>
          <w:lang w:bidi="fr-CH"/>
        </w:rPr>
        <w:t>’</w:t>
      </w:r>
      <w:r w:rsidRPr="00F568C2">
        <w:rPr>
          <w:lang w:bidi="fr-CH"/>
        </w:rPr>
        <w:t>évaluation de l</w:t>
      </w:r>
      <w:r w:rsidR="00D26761">
        <w:rPr>
          <w:lang w:bidi="fr-CH"/>
        </w:rPr>
        <w:t>’</w:t>
      </w:r>
      <w:r w:rsidRPr="00F568C2">
        <w:rPr>
          <w:lang w:bidi="fr-CH"/>
        </w:rPr>
        <w:t>impact sur l</w:t>
      </w:r>
      <w:r w:rsidR="00D26761">
        <w:rPr>
          <w:lang w:bidi="fr-CH"/>
        </w:rPr>
        <w:t>’</w:t>
      </w:r>
      <w:r w:rsidRPr="00F568C2">
        <w:rPr>
          <w:lang w:bidi="fr-CH"/>
        </w:rPr>
        <w:t>environnement dans un contexte transfrontière destinées aux pays d</w:t>
      </w:r>
      <w:r w:rsidR="00D26761">
        <w:rPr>
          <w:lang w:bidi="fr-CH"/>
        </w:rPr>
        <w:t>’</w:t>
      </w:r>
      <w:r w:rsidRPr="00F568C2">
        <w:rPr>
          <w:lang w:bidi="fr-CH"/>
        </w:rPr>
        <w:t>Asie centrale (1); examen de l</w:t>
      </w:r>
      <w:r w:rsidR="00D26761">
        <w:rPr>
          <w:lang w:bidi="fr-CH"/>
        </w:rPr>
        <w:t>’</w:t>
      </w:r>
      <w:r w:rsidRPr="00F568C2">
        <w:rPr>
          <w:lang w:bidi="fr-CH"/>
        </w:rPr>
        <w:t>application de la Convention d</w:t>
      </w:r>
      <w:r w:rsidR="00D26761">
        <w:rPr>
          <w:lang w:bidi="fr-CH"/>
        </w:rPr>
        <w:t>’</w:t>
      </w:r>
      <w:r w:rsidRPr="00F568C2">
        <w:rPr>
          <w:lang w:bidi="fr-CH"/>
        </w:rPr>
        <w:t>Espoo (2013-2015) (1); application de la Déclaration de Paris adoptée à l</w:t>
      </w:r>
      <w:r w:rsidR="00D26761">
        <w:rPr>
          <w:lang w:bidi="fr-CH"/>
        </w:rPr>
        <w:t>’</w:t>
      </w:r>
      <w:r w:rsidRPr="00F568C2">
        <w:rPr>
          <w:lang w:bidi="fr-CH"/>
        </w:rPr>
        <w:t>issue de la quatrième Réunion de haut niveau sur les transports, la santé et l</w:t>
      </w:r>
      <w:r w:rsidR="00D26761">
        <w:rPr>
          <w:lang w:bidi="fr-CH"/>
        </w:rPr>
        <w:t>’</w:t>
      </w:r>
      <w:r w:rsidRPr="00F568C2">
        <w:rPr>
          <w:lang w:bidi="fr-CH"/>
        </w:rPr>
        <w:t>environnement (1); Programme paneuropéen sur les transports, la santé et l</w:t>
      </w:r>
      <w:r w:rsidR="00D26761">
        <w:rPr>
          <w:lang w:bidi="fr-CH"/>
        </w:rPr>
        <w:t>’</w:t>
      </w:r>
      <w:r w:rsidRPr="00F568C2">
        <w:rPr>
          <w:lang w:bidi="fr-CH"/>
        </w:rPr>
        <w:t>environnement (1); examen de l</w:t>
      </w:r>
      <w:r w:rsidR="00D26761">
        <w:rPr>
          <w:lang w:bidi="fr-CH"/>
        </w:rPr>
        <w:t>’</w:t>
      </w:r>
      <w:r w:rsidRPr="00F568C2">
        <w:rPr>
          <w:lang w:bidi="fr-CH"/>
        </w:rPr>
        <w:t>application du Protocole à la Convention d</w:t>
      </w:r>
      <w:r w:rsidR="00D26761">
        <w:rPr>
          <w:lang w:bidi="fr-CH"/>
        </w:rPr>
        <w:t>’</w:t>
      </w:r>
      <w:r w:rsidRPr="00F568C2">
        <w:rPr>
          <w:lang w:bidi="fr-CH"/>
        </w:rPr>
        <w:t>Espoo, relatif à l</w:t>
      </w:r>
      <w:r w:rsidR="00D26761">
        <w:rPr>
          <w:lang w:bidi="fr-CH"/>
        </w:rPr>
        <w:t>’</w:t>
      </w:r>
      <w:r w:rsidRPr="00F568C2">
        <w:rPr>
          <w:lang w:bidi="fr-CH"/>
        </w:rPr>
        <w:t>évaluation stratégique environnementale (2013-2015) (1); nouveau tirage de la Convention sur les effets transfrontières des accidents industriels (1); guide sur l</w:t>
      </w:r>
      <w:r w:rsidR="00D26761">
        <w:rPr>
          <w:lang w:bidi="fr-CH"/>
        </w:rPr>
        <w:t>’</w:t>
      </w:r>
      <w:r w:rsidRPr="00F568C2">
        <w:rPr>
          <w:lang w:bidi="fr-CH"/>
        </w:rPr>
        <w:t>application de la Convention sur les effets transfrontières des accidents industriels (1); guide sur l</w:t>
      </w:r>
      <w:r w:rsidR="00D26761">
        <w:rPr>
          <w:lang w:bidi="fr-CH"/>
        </w:rPr>
        <w:t>’</w:t>
      </w:r>
      <w:r w:rsidRPr="00F568C2">
        <w:rPr>
          <w:lang w:bidi="fr-CH"/>
        </w:rPr>
        <w:t>aménagement du territoire et l</w:t>
      </w:r>
      <w:r w:rsidR="00D26761">
        <w:rPr>
          <w:lang w:bidi="fr-CH"/>
        </w:rPr>
        <w:t>’</w:t>
      </w:r>
      <w:r w:rsidRPr="00F568C2">
        <w:rPr>
          <w:lang w:bidi="fr-CH"/>
        </w:rPr>
        <w:t>implantation d</w:t>
      </w:r>
      <w:r w:rsidR="00D26761">
        <w:rPr>
          <w:lang w:bidi="fr-CH"/>
        </w:rPr>
        <w:t>’</w:t>
      </w:r>
      <w:r w:rsidRPr="00F568C2">
        <w:rPr>
          <w:lang w:bidi="fr-CH"/>
        </w:rPr>
        <w:t>installations dangereuses compte tenu de l</w:t>
      </w:r>
      <w:r w:rsidR="00D26761">
        <w:rPr>
          <w:lang w:bidi="fr-CH"/>
        </w:rPr>
        <w:t>’</w:t>
      </w:r>
      <w:r w:rsidRPr="00F568C2">
        <w:rPr>
          <w:lang w:bidi="fr-CH"/>
        </w:rPr>
        <w:t>impact environnemental (1).</w:t>
      </w: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iii)</w:t>
      </w:r>
      <w:r w:rsidRPr="00F568C2">
        <w:rPr>
          <w:lang w:bidi="fr-CH"/>
        </w:rPr>
        <w:tab/>
        <w:t>Communiqués et conférences de presse</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Catalogues annuels de communiqués de presse publiés à l</w:t>
      </w:r>
      <w:r w:rsidR="00D26761">
        <w:rPr>
          <w:lang w:bidi="fr-CH"/>
        </w:rPr>
        <w:t>’</w:t>
      </w:r>
      <w:r w:rsidRPr="00F568C2">
        <w:rPr>
          <w:lang w:bidi="fr-CH"/>
        </w:rPr>
        <w:t>occasion de manifestations importantes et de la parution de publications (2).</w:t>
      </w:r>
    </w:p>
    <w:p w:rsidR="00F65F65" w:rsidRPr="00F65F65" w:rsidRDefault="00F65F65" w:rsidP="00F65F65">
      <w:pPr>
        <w:pStyle w:val="SingleTxt"/>
        <w:spacing w:after="0" w:line="120" w:lineRule="exact"/>
        <w:rPr>
          <w:sz w:val="10"/>
          <w:lang w:bidi="fr-CH"/>
        </w:rPr>
      </w:pPr>
    </w:p>
    <w:p w:rsidR="00F568C2" w:rsidRDefault="003962ED"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Pr>
          <w:lang w:bidi="fr-CH"/>
        </w:rPr>
        <w:tab/>
      </w:r>
      <w:r w:rsidR="00F568C2" w:rsidRPr="00F568C2">
        <w:rPr>
          <w:lang w:bidi="fr-CH"/>
        </w:rPr>
        <w:t>iv)</w:t>
      </w:r>
      <w:r w:rsidR="00F568C2" w:rsidRPr="00F568C2">
        <w:rPr>
          <w:lang w:bidi="fr-CH"/>
        </w:rPr>
        <w:tab/>
        <w:t>Activités ou documentation techniques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Tenue à jour d</w:t>
      </w:r>
      <w:r w:rsidR="00D26761">
        <w:rPr>
          <w:lang w:bidi="fr-CH"/>
        </w:rPr>
        <w:t>’</w:t>
      </w:r>
      <w:r w:rsidRPr="00F568C2">
        <w:rPr>
          <w:lang w:bidi="fr-CH"/>
        </w:rPr>
        <w:t>un site Web sur lequel sont publiés les documents de séance, des extraits de publications et des informations sur les activités relatives à ce sous-programme (2).</w:t>
      </w:r>
    </w:p>
    <w:p w:rsidR="00F65F65" w:rsidRPr="00F65F65" w:rsidRDefault="00F65F65" w:rsidP="00F65F65">
      <w:pPr>
        <w:pStyle w:val="SingleTxt"/>
        <w:spacing w:after="0" w:line="120" w:lineRule="exact"/>
        <w:rPr>
          <w:sz w:val="10"/>
          <w:lang w:bidi="fr-CH"/>
        </w:rPr>
      </w:pPr>
    </w:p>
    <w:p w:rsidR="00F65F65" w:rsidRPr="00F65F65" w:rsidRDefault="00F65F65" w:rsidP="00F65F65">
      <w:pPr>
        <w:pStyle w:val="SingleTxt"/>
        <w:spacing w:after="0" w:line="120" w:lineRule="exact"/>
        <w:rPr>
          <w:sz w:val="10"/>
          <w:lang w:bidi="fr-CH"/>
        </w:rPr>
      </w:pPr>
    </w:p>
    <w:p w:rsidR="00F568C2" w:rsidRDefault="00F568C2" w:rsidP="003962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003A75C2">
        <w:rPr>
          <w:lang w:bidi="fr-CH"/>
        </w:rPr>
        <w:t>C.</w:t>
      </w:r>
      <w:r w:rsidRPr="00F568C2">
        <w:rPr>
          <w:lang w:bidi="fr-CH"/>
        </w:rPr>
        <w:tab/>
        <w:t>Coopération technique</w:t>
      </w:r>
    </w:p>
    <w:p w:rsidR="00F65F65" w:rsidRPr="00F65F65" w:rsidRDefault="00F65F65" w:rsidP="00F65F65">
      <w:pPr>
        <w:pStyle w:val="SingleTxt"/>
        <w:spacing w:after="0" w:line="120" w:lineRule="exact"/>
        <w:rPr>
          <w:b/>
          <w:sz w:val="10"/>
          <w:lang w:bidi="fr-CH"/>
        </w:rPr>
      </w:pPr>
    </w:p>
    <w:p w:rsidR="00F65F65" w:rsidRPr="00F65F65" w:rsidRDefault="00F65F65" w:rsidP="00F65F65">
      <w:pPr>
        <w:pStyle w:val="SingleTxt"/>
        <w:spacing w:after="0" w:line="120" w:lineRule="exact"/>
        <w:rPr>
          <w:b/>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w:t>
      </w:r>
      <w:r w:rsidRPr="00F568C2">
        <w:rPr>
          <w:lang w:bidi="fr-CH"/>
        </w:rPr>
        <w:tab/>
        <w:t>Stages, séminaires et ateliers</w:t>
      </w:r>
    </w:p>
    <w:p w:rsidR="00F65F65" w:rsidRPr="00F65F65" w:rsidRDefault="00F65F65" w:rsidP="00F65F65">
      <w:pPr>
        <w:pStyle w:val="SingleTxt"/>
        <w:spacing w:after="0" w:line="120" w:lineRule="exact"/>
        <w:rPr>
          <w:i/>
          <w:sz w:val="10"/>
          <w:lang w:bidi="fr-CH"/>
        </w:rPr>
      </w:pPr>
    </w:p>
    <w:p w:rsidR="00F568C2" w:rsidRDefault="00F568C2" w:rsidP="003962ED">
      <w:pPr>
        <w:pStyle w:val="SingleTxt"/>
        <w:numPr>
          <w:ilvl w:val="0"/>
          <w:numId w:val="8"/>
        </w:numPr>
        <w:tabs>
          <w:tab w:val="clear" w:pos="475"/>
          <w:tab w:val="num" w:pos="1742"/>
        </w:tabs>
        <w:ind w:left="1267"/>
        <w:rPr>
          <w:lang w:bidi="fr-CH"/>
        </w:rPr>
      </w:pPr>
      <w:r w:rsidRPr="00F568C2">
        <w:rPr>
          <w:lang w:bidi="fr-CH"/>
        </w:rPr>
        <w:t xml:space="preserve">Ateliers </w:t>
      </w:r>
      <w:proofErr w:type="spellStart"/>
      <w:r w:rsidRPr="00F568C2">
        <w:rPr>
          <w:lang w:bidi="fr-CH"/>
        </w:rPr>
        <w:t>sous-régionaux</w:t>
      </w:r>
      <w:proofErr w:type="spellEnd"/>
      <w:r w:rsidRPr="00F568C2">
        <w:rPr>
          <w:lang w:bidi="fr-CH"/>
        </w:rPr>
        <w:t xml:space="preserve"> portant sur l</w:t>
      </w:r>
      <w:r w:rsidR="00D26761">
        <w:rPr>
          <w:lang w:bidi="fr-CH"/>
        </w:rPr>
        <w:t>’</w:t>
      </w:r>
      <w:r w:rsidRPr="00F568C2">
        <w:rPr>
          <w:lang w:bidi="fr-CH"/>
        </w:rPr>
        <w:t>application de la Convention d</w:t>
      </w:r>
      <w:r w:rsidR="00D26761">
        <w:rPr>
          <w:lang w:bidi="fr-CH"/>
        </w:rPr>
        <w:t>’</w:t>
      </w:r>
      <w:r w:rsidRPr="00F568C2">
        <w:rPr>
          <w:lang w:bidi="fr-CH"/>
        </w:rPr>
        <w:t>Espoo et du Protocole relatif à l</w:t>
      </w:r>
      <w:r w:rsidR="00D26761">
        <w:rPr>
          <w:lang w:bidi="fr-CH"/>
        </w:rPr>
        <w:t>’</w:t>
      </w:r>
      <w:r w:rsidRPr="00F568C2">
        <w:rPr>
          <w:lang w:bidi="fr-CH"/>
        </w:rPr>
        <w:t>évaluation stratégique environnementale (3); ateliers sur l</w:t>
      </w:r>
      <w:r w:rsidR="00D26761">
        <w:rPr>
          <w:lang w:bidi="fr-CH"/>
        </w:rPr>
        <w:t>’</w:t>
      </w:r>
      <w:r w:rsidRPr="00F568C2">
        <w:rPr>
          <w:lang w:bidi="fr-CH"/>
        </w:rPr>
        <w:t>application de la Convention d</w:t>
      </w:r>
      <w:r w:rsidR="00D26761">
        <w:rPr>
          <w:lang w:bidi="fr-CH"/>
        </w:rPr>
        <w:t>’</w:t>
      </w:r>
      <w:r w:rsidRPr="00F568C2">
        <w:rPr>
          <w:lang w:bidi="fr-CH"/>
        </w:rPr>
        <w:t>Aarhus et du Protocole sur les registres des rejets et transferts de polluants (2); ateliers sur la gestion des eaux transfrontières (12); ateliers sur l</w:t>
      </w:r>
      <w:r w:rsidR="00D26761">
        <w:rPr>
          <w:lang w:bidi="fr-CH"/>
        </w:rPr>
        <w:t>’</w:t>
      </w:r>
      <w:r w:rsidRPr="00F568C2">
        <w:rPr>
          <w:lang w:bidi="fr-CH"/>
        </w:rPr>
        <w:t>eau et la santé (6); ateliers sur l</w:t>
      </w:r>
      <w:r w:rsidR="00D26761">
        <w:rPr>
          <w:lang w:bidi="fr-CH"/>
        </w:rPr>
        <w:t>’</w:t>
      </w:r>
      <w:r w:rsidRPr="00F568C2">
        <w:rPr>
          <w:lang w:bidi="fr-CH"/>
        </w:rPr>
        <w:t>application de la Convention sur les effets transfrontières des accidents industriels (7); ateliers sur l</w:t>
      </w:r>
      <w:r w:rsidR="00D26761">
        <w:rPr>
          <w:lang w:bidi="fr-CH"/>
        </w:rPr>
        <w:t>’</w:t>
      </w:r>
      <w:r w:rsidRPr="00F568C2">
        <w:rPr>
          <w:lang w:bidi="fr-CH"/>
        </w:rPr>
        <w:t>application de la Convention sur l</w:t>
      </w:r>
      <w:r w:rsidR="00D26761">
        <w:rPr>
          <w:lang w:bidi="fr-CH"/>
        </w:rPr>
        <w:t>’</w:t>
      </w:r>
      <w:r w:rsidRPr="00F568C2">
        <w:rPr>
          <w:lang w:bidi="fr-CH"/>
        </w:rPr>
        <w:t>air (3); ateliers sur les stratégies intégrées concernant des modes de transport viables dans le cadre du Programme paneuropéen pour les transports, la santé et l</w:t>
      </w:r>
      <w:r w:rsidR="00D26761">
        <w:rPr>
          <w:lang w:bidi="fr-CH"/>
        </w:rPr>
        <w:t>’</w:t>
      </w:r>
      <w:r w:rsidRPr="00F568C2">
        <w:rPr>
          <w:lang w:bidi="fr-CH"/>
        </w:rPr>
        <w:t>environnement (4); ateliers sur la surveillance de l</w:t>
      </w:r>
      <w:r w:rsidR="00D26761">
        <w:rPr>
          <w:lang w:bidi="fr-CH"/>
        </w:rPr>
        <w:t>’</w:t>
      </w:r>
      <w:r w:rsidRPr="00F568C2">
        <w:rPr>
          <w:lang w:bidi="fr-CH"/>
        </w:rPr>
        <w:t>environnement et les indicateurs d</w:t>
      </w:r>
      <w:r w:rsidR="00D26761">
        <w:rPr>
          <w:lang w:bidi="fr-CH"/>
        </w:rPr>
        <w:t>’</w:t>
      </w:r>
      <w:r w:rsidRPr="00F568C2">
        <w:rPr>
          <w:lang w:bidi="fr-CH"/>
        </w:rPr>
        <w:t>environnement (4); ateliers sur l</w:t>
      </w:r>
      <w:r w:rsidR="00D26761">
        <w:rPr>
          <w:lang w:bidi="fr-CH"/>
        </w:rPr>
        <w:t>’</w:t>
      </w:r>
      <w:r w:rsidRPr="00F568C2">
        <w:rPr>
          <w:lang w:bidi="fr-CH"/>
        </w:rPr>
        <w:t>application de la Stratégie pour l</w:t>
      </w:r>
      <w:r w:rsidR="00D26761">
        <w:rPr>
          <w:lang w:bidi="fr-CH"/>
        </w:rPr>
        <w:t>’</w:t>
      </w:r>
      <w:r w:rsidRPr="00F568C2">
        <w:rPr>
          <w:lang w:bidi="fr-CH"/>
        </w:rPr>
        <w:t>éducation en vue du développement durable (4).</w:t>
      </w:r>
    </w:p>
    <w:p w:rsidR="00F65F65" w:rsidRPr="00F65F65" w:rsidRDefault="00F65F65" w:rsidP="00F65F65">
      <w:pPr>
        <w:pStyle w:val="SingleTxt"/>
        <w:spacing w:after="0" w:line="120" w:lineRule="exact"/>
        <w:rPr>
          <w:sz w:val="10"/>
          <w:lang w:bidi="fr-CH"/>
        </w:rPr>
      </w:pPr>
    </w:p>
    <w:p w:rsidR="00F568C2" w:rsidRDefault="00F568C2" w:rsidP="003962E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ii)</w:t>
      </w:r>
      <w:r w:rsidRPr="00F568C2">
        <w:rPr>
          <w:lang w:bidi="fr-CH"/>
        </w:rPr>
        <w:tab/>
        <w:t>Projets opérationnels</w:t>
      </w:r>
    </w:p>
    <w:p w:rsidR="00F65F65" w:rsidRPr="00F65F65" w:rsidRDefault="00F65F65" w:rsidP="00F65F65">
      <w:pPr>
        <w:pStyle w:val="SingleTxt"/>
        <w:spacing w:after="0" w:line="120" w:lineRule="exact"/>
        <w:rPr>
          <w:i/>
          <w:sz w:val="10"/>
          <w:lang w:bidi="fr-CH"/>
        </w:rPr>
      </w:pPr>
    </w:p>
    <w:p w:rsidR="00F568C2" w:rsidRPr="00533484" w:rsidRDefault="00F568C2" w:rsidP="003962ED">
      <w:pPr>
        <w:pStyle w:val="SingleTxt"/>
        <w:numPr>
          <w:ilvl w:val="0"/>
          <w:numId w:val="8"/>
        </w:numPr>
        <w:tabs>
          <w:tab w:val="clear" w:pos="475"/>
          <w:tab w:val="num" w:pos="1742"/>
        </w:tabs>
        <w:ind w:left="1267"/>
        <w:rPr>
          <w:lang w:val="fr-CH"/>
        </w:rPr>
      </w:pPr>
      <w:r w:rsidRPr="00F568C2">
        <w:rPr>
          <w:lang w:bidi="fr-CH"/>
        </w:rPr>
        <w:t>Renforcement des capacités concernant les politiques et mesures visant à promouvoir la sécurité et la salubrité de la marche et du vélo, préconisées dans la Stratégie environnementale pour les pays d</w:t>
      </w:r>
      <w:r w:rsidR="00D26761">
        <w:rPr>
          <w:lang w:bidi="fr-CH"/>
        </w:rPr>
        <w:t>’</w:t>
      </w:r>
      <w:r w:rsidRPr="00F568C2">
        <w:rPr>
          <w:lang w:bidi="fr-CH"/>
        </w:rPr>
        <w:t>Europe orientale, du Caucase</w:t>
      </w:r>
      <w:r w:rsidR="000A7FB3">
        <w:rPr>
          <w:lang w:bidi="fr-CH"/>
        </w:rPr>
        <w:t>,</w:t>
      </w:r>
      <w:r w:rsidRPr="00F568C2">
        <w:rPr>
          <w:lang w:bidi="fr-CH"/>
        </w:rPr>
        <w:t xml:space="preserve"> d</w:t>
      </w:r>
      <w:r w:rsidR="00D26761">
        <w:rPr>
          <w:lang w:bidi="fr-CH"/>
        </w:rPr>
        <w:t>’</w:t>
      </w:r>
      <w:r w:rsidRPr="00F568C2">
        <w:rPr>
          <w:lang w:bidi="fr-CH"/>
        </w:rPr>
        <w:t>Asie centrale et d</w:t>
      </w:r>
      <w:r w:rsidR="00D26761">
        <w:rPr>
          <w:lang w:bidi="fr-CH"/>
        </w:rPr>
        <w:t>’</w:t>
      </w:r>
      <w:r w:rsidRPr="00F568C2">
        <w:rPr>
          <w:lang w:bidi="fr-CH"/>
        </w:rPr>
        <w:t>Europe du Sud-Est (1).</w:t>
      </w:r>
      <w:r w:rsidRPr="00533484">
        <w:rPr>
          <w:lang w:val="fr-CH"/>
        </w:rPr>
        <w:t xml:space="preserve"> </w:t>
      </w:r>
    </w:p>
    <w:p w:rsidR="00F568C2" w:rsidRDefault="00F568C2">
      <w:pPr>
        <w:spacing w:line="240" w:lineRule="auto"/>
      </w:pPr>
      <w:r>
        <w:br w:type="page"/>
      </w:r>
    </w:p>
    <w:p w:rsid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Annexe I</w:t>
      </w:r>
    </w:p>
    <w:p w:rsidR="00F65F65" w:rsidRPr="00F65F65" w:rsidRDefault="00F65F65" w:rsidP="00F65F65">
      <w:pPr>
        <w:pStyle w:val="SingleTxt"/>
        <w:spacing w:after="0" w:line="120" w:lineRule="exact"/>
        <w:rPr>
          <w:b/>
          <w:sz w:val="10"/>
          <w:lang w:bidi="fr-CH"/>
        </w:rPr>
      </w:pPr>
    </w:p>
    <w:p w:rsid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 xml:space="preserve">Réalisations escomptées, indicateurs de succès </w:t>
      </w:r>
      <w:r w:rsidR="003962ED">
        <w:rPr>
          <w:lang w:bidi="fr-CH"/>
        </w:rPr>
        <w:br/>
      </w:r>
      <w:r w:rsidRPr="00F568C2">
        <w:rPr>
          <w:lang w:bidi="fr-CH"/>
        </w:rPr>
        <w:t>et mesure des résultats pour 2016-2017</w:t>
      </w:r>
    </w:p>
    <w:p w:rsidR="00F65F65" w:rsidRPr="00F65F65" w:rsidRDefault="00F65F65" w:rsidP="00F65F65">
      <w:pPr>
        <w:pStyle w:val="SingleTxt"/>
        <w:spacing w:after="0" w:line="120" w:lineRule="exact"/>
        <w:rPr>
          <w:b/>
          <w:sz w:val="10"/>
          <w:lang w:bidi="fr-CH"/>
        </w:rPr>
      </w:pPr>
    </w:p>
    <w:p w:rsidR="00F65F65" w:rsidRDefault="00F65F65" w:rsidP="00F65F65">
      <w:pPr>
        <w:pStyle w:val="SingleTxt"/>
        <w:spacing w:after="0" w:line="120" w:lineRule="exact"/>
        <w:rPr>
          <w:b/>
          <w:sz w:val="10"/>
          <w:lang w:bidi="fr-CH"/>
        </w:rPr>
      </w:pPr>
    </w:p>
    <w:tbl>
      <w:tblPr>
        <w:tblW w:w="8775" w:type="dxa"/>
        <w:tblInd w:w="1260" w:type="dxa"/>
        <w:tblLayout w:type="fixed"/>
        <w:tblCellMar>
          <w:left w:w="0" w:type="dxa"/>
          <w:right w:w="0" w:type="dxa"/>
        </w:tblCellMar>
        <w:tblLook w:val="0000" w:firstRow="0" w:lastRow="0" w:firstColumn="0" w:lastColumn="0" w:noHBand="0" w:noVBand="0"/>
      </w:tblPr>
      <w:tblGrid>
        <w:gridCol w:w="3600"/>
        <w:gridCol w:w="5175"/>
      </w:tblGrid>
      <w:tr w:rsidR="003962ED" w:rsidRPr="003962ED" w:rsidTr="00680C47">
        <w:trPr>
          <w:tblHeader/>
        </w:trPr>
        <w:tc>
          <w:tcPr>
            <w:tcW w:w="3600" w:type="dxa"/>
            <w:tcBorders>
              <w:top w:val="single" w:sz="4" w:space="0" w:color="auto"/>
              <w:bottom w:val="single" w:sz="12" w:space="0" w:color="auto"/>
            </w:tcBorders>
            <w:shd w:val="clear" w:color="auto" w:fill="auto"/>
            <w:vAlign w:val="bottom"/>
          </w:tcPr>
          <w:p w:rsidR="003962ED" w:rsidRPr="003962ED" w:rsidRDefault="003962ED" w:rsidP="00680C47">
            <w:pPr>
              <w:tabs>
                <w:tab w:val="left" w:pos="288"/>
                <w:tab w:val="left" w:pos="576"/>
                <w:tab w:val="left" w:pos="864"/>
                <w:tab w:val="left" w:pos="1152"/>
              </w:tabs>
              <w:suppressAutoHyphens/>
              <w:spacing w:before="80" w:after="80" w:line="160" w:lineRule="exact"/>
              <w:ind w:right="115"/>
              <w:rPr>
                <w:i/>
                <w:sz w:val="14"/>
                <w:lang w:bidi="fr-CH"/>
              </w:rPr>
            </w:pPr>
            <w:r w:rsidRPr="00F65F65">
              <w:rPr>
                <w:i/>
                <w:sz w:val="14"/>
                <w:szCs w:val="14"/>
              </w:rPr>
              <w:t>Réalisations escomptées du secrétariat</w:t>
            </w:r>
          </w:p>
        </w:tc>
        <w:tc>
          <w:tcPr>
            <w:tcW w:w="5175" w:type="dxa"/>
            <w:tcBorders>
              <w:top w:val="single" w:sz="4" w:space="0" w:color="auto"/>
              <w:bottom w:val="single" w:sz="12" w:space="0" w:color="auto"/>
            </w:tcBorders>
            <w:shd w:val="clear" w:color="auto" w:fill="auto"/>
            <w:vAlign w:val="bottom"/>
          </w:tcPr>
          <w:p w:rsidR="003962ED" w:rsidRPr="003962ED" w:rsidRDefault="003962ED" w:rsidP="00680C47">
            <w:pPr>
              <w:tabs>
                <w:tab w:val="left" w:pos="288"/>
                <w:tab w:val="left" w:pos="576"/>
                <w:tab w:val="left" w:pos="864"/>
                <w:tab w:val="left" w:pos="1152"/>
              </w:tabs>
              <w:suppressAutoHyphens/>
              <w:spacing w:before="80" w:after="80" w:line="160" w:lineRule="exact"/>
              <w:ind w:right="115"/>
              <w:rPr>
                <w:i/>
                <w:sz w:val="14"/>
                <w:lang w:bidi="fr-CH"/>
              </w:rPr>
            </w:pPr>
            <w:r w:rsidRPr="00F65F65">
              <w:rPr>
                <w:i/>
                <w:sz w:val="14"/>
                <w:szCs w:val="14"/>
              </w:rPr>
              <w:t>Indicateurs de succès</w:t>
            </w:r>
          </w:p>
        </w:tc>
      </w:tr>
      <w:tr w:rsidR="003962ED" w:rsidRPr="003962ED" w:rsidTr="00680C47">
        <w:trPr>
          <w:trHeight w:hRule="exact" w:val="115"/>
          <w:tblHeader/>
        </w:trPr>
        <w:tc>
          <w:tcPr>
            <w:tcW w:w="3600" w:type="dxa"/>
            <w:tcBorders>
              <w:top w:val="single" w:sz="12" w:space="0" w:color="auto"/>
            </w:tcBorders>
            <w:shd w:val="clear" w:color="auto" w:fill="auto"/>
            <w:vAlign w:val="bottom"/>
          </w:tcPr>
          <w:p w:rsidR="003962ED" w:rsidRPr="003962ED" w:rsidRDefault="003962ED" w:rsidP="003962ED">
            <w:pPr>
              <w:tabs>
                <w:tab w:val="left" w:pos="288"/>
                <w:tab w:val="left" w:pos="576"/>
                <w:tab w:val="left" w:pos="864"/>
                <w:tab w:val="left" w:pos="1152"/>
              </w:tabs>
              <w:suppressAutoHyphens/>
              <w:spacing w:before="40" w:after="80"/>
              <w:ind w:right="40"/>
              <w:rPr>
                <w:lang w:bidi="fr-CH"/>
              </w:rPr>
            </w:pPr>
          </w:p>
        </w:tc>
        <w:tc>
          <w:tcPr>
            <w:tcW w:w="5175" w:type="dxa"/>
            <w:tcBorders>
              <w:top w:val="single" w:sz="12" w:space="0" w:color="auto"/>
            </w:tcBorders>
            <w:shd w:val="clear" w:color="auto" w:fill="auto"/>
            <w:vAlign w:val="bottom"/>
          </w:tcPr>
          <w:p w:rsidR="003962ED" w:rsidRPr="003962ED" w:rsidRDefault="003962ED" w:rsidP="003962ED">
            <w:pPr>
              <w:tabs>
                <w:tab w:val="left" w:pos="288"/>
                <w:tab w:val="left" w:pos="576"/>
                <w:tab w:val="left" w:pos="864"/>
                <w:tab w:val="left" w:pos="1152"/>
              </w:tabs>
              <w:suppressAutoHyphens/>
              <w:spacing w:before="40" w:after="80"/>
              <w:ind w:right="397"/>
              <w:rPr>
                <w:lang w:bidi="fr-CH"/>
              </w:rPr>
            </w:pP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r w:rsidRPr="000A7FB3">
              <w:rPr>
                <w:i/>
                <w:szCs w:val="20"/>
              </w:rPr>
              <w:t>a)</w:t>
            </w:r>
            <w:r w:rsidRPr="000A7FB3">
              <w:rPr>
                <w:szCs w:val="20"/>
              </w:rPr>
              <w:tab/>
            </w:r>
            <w:r w:rsidRPr="000A7FB3">
              <w:rPr>
                <w:i/>
                <w:szCs w:val="20"/>
              </w:rPr>
              <w:t>Meilleure réponse des pays dont s</w:t>
            </w:r>
            <w:r w:rsidR="00D26761" w:rsidRPr="000A7FB3">
              <w:rPr>
                <w:i/>
                <w:szCs w:val="20"/>
              </w:rPr>
              <w:t>’</w:t>
            </w:r>
            <w:r w:rsidRPr="000A7FB3">
              <w:rPr>
                <w:i/>
                <w:szCs w:val="20"/>
              </w:rPr>
              <w:t>occupe la CEE face aux problèmes environnementaux</w:t>
            </w: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left="288" w:right="115" w:hanging="288"/>
              <w:rPr>
                <w:szCs w:val="20"/>
                <w:lang w:bidi="fr-CH"/>
              </w:rPr>
            </w:pPr>
            <w:r>
              <w:rPr>
                <w:i/>
                <w:szCs w:val="20"/>
              </w:rPr>
              <w:t>a)</w:t>
            </w:r>
            <w:r>
              <w:rPr>
                <w:i/>
                <w:szCs w:val="20"/>
              </w:rPr>
              <w:tab/>
            </w:r>
            <w:r w:rsidR="003962ED" w:rsidRPr="000A7FB3">
              <w:rPr>
                <w:i/>
                <w:szCs w:val="20"/>
              </w:rPr>
              <w:t xml:space="preserve">Nombre de nouvelles mesures prises par les pays </w:t>
            </w:r>
            <w:r>
              <w:rPr>
                <w:i/>
                <w:szCs w:val="20"/>
              </w:rPr>
              <w:br/>
            </w:r>
            <w:r w:rsidR="003962ED" w:rsidRPr="000A7FB3">
              <w:rPr>
                <w:i/>
                <w:szCs w:val="20"/>
              </w:rPr>
              <w:t>dont s</w:t>
            </w:r>
            <w:r w:rsidR="00D26761" w:rsidRPr="000A7FB3">
              <w:rPr>
                <w:i/>
                <w:szCs w:val="20"/>
              </w:rPr>
              <w:t>’</w:t>
            </w:r>
            <w:r w:rsidR="003962ED" w:rsidRPr="000A7FB3">
              <w:rPr>
                <w:i/>
                <w:szCs w:val="20"/>
              </w:rPr>
              <w:t>occupe la CEE pour faire face à des problèmes environnementaux existants ou naissants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i/>
                <w:szCs w:val="20"/>
              </w:rPr>
              <w:tab/>
            </w:r>
            <w:r w:rsidR="003962ED" w:rsidRPr="000A7FB3">
              <w:rPr>
                <w:i/>
                <w:szCs w:val="20"/>
              </w:rPr>
              <w:t>Mesure des résultats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2012-2013</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Estimation 2014-2015</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Objectif 2016-2017</w:t>
            </w:r>
            <w:r w:rsidR="00376373">
              <w:rPr>
                <w:szCs w:val="20"/>
              </w:rPr>
              <w:t> :</w:t>
            </w:r>
            <w:r w:rsidR="003962ED" w:rsidRPr="000A7FB3">
              <w:rPr>
                <w:szCs w:val="20"/>
              </w:rPr>
              <w:t xml:space="preserve"> 2</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r w:rsidRPr="000A7FB3">
              <w:rPr>
                <w:i/>
                <w:szCs w:val="20"/>
              </w:rPr>
              <w:t>b)</w:t>
            </w:r>
            <w:r w:rsidRPr="000A7FB3">
              <w:rPr>
                <w:szCs w:val="20"/>
              </w:rPr>
              <w:tab/>
            </w:r>
            <w:r w:rsidRPr="000A7FB3">
              <w:rPr>
                <w:i/>
                <w:szCs w:val="20"/>
              </w:rPr>
              <w:t xml:space="preserve">Meilleure exécution des </w:t>
            </w:r>
            <w:r w:rsidR="000A7FB3" w:rsidRPr="000A7FB3">
              <w:rPr>
                <w:i/>
                <w:szCs w:val="20"/>
              </w:rPr>
              <w:t xml:space="preserve">engagements </w:t>
            </w:r>
            <w:r w:rsidRPr="000A7FB3">
              <w:rPr>
                <w:i/>
                <w:szCs w:val="20"/>
              </w:rPr>
              <w:t xml:space="preserve">multilatéraux de la CEE </w:t>
            </w:r>
            <w:r w:rsidR="000A7FB3" w:rsidRPr="000A7FB3">
              <w:rPr>
                <w:i/>
                <w:szCs w:val="20"/>
              </w:rPr>
              <w:t xml:space="preserve">relatifs à l’environnement </w:t>
            </w:r>
            <w:r w:rsidRPr="000A7FB3">
              <w:rPr>
                <w:i/>
                <w:szCs w:val="20"/>
              </w:rPr>
              <w:t>et élargissement de leur portée géographique</w:t>
            </w: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left="288" w:right="115" w:hanging="288"/>
              <w:rPr>
                <w:szCs w:val="20"/>
                <w:lang w:bidi="fr-CH"/>
              </w:rPr>
            </w:pPr>
            <w:r>
              <w:rPr>
                <w:i/>
                <w:szCs w:val="20"/>
              </w:rPr>
              <w:t>b)</w:t>
            </w:r>
            <w:r>
              <w:rPr>
                <w:i/>
                <w:szCs w:val="20"/>
              </w:rPr>
              <w:tab/>
            </w:r>
            <w:r w:rsidR="003962ED" w:rsidRPr="000A7FB3">
              <w:rPr>
                <w:i/>
                <w:szCs w:val="20"/>
              </w:rPr>
              <w:t>i)</w:t>
            </w:r>
            <w:r w:rsidR="003962ED" w:rsidRPr="000A7FB3">
              <w:rPr>
                <w:szCs w:val="20"/>
              </w:rPr>
              <w:tab/>
            </w:r>
            <w:r w:rsidR="000A7FB3" w:rsidRPr="000A7FB3">
              <w:rPr>
                <w:i/>
                <w:szCs w:val="20"/>
              </w:rPr>
              <w:t>Augmentation du pourcentage</w:t>
            </w:r>
            <w:r w:rsidR="003962ED" w:rsidRPr="000A7FB3">
              <w:rPr>
                <w:i/>
                <w:szCs w:val="20"/>
              </w:rPr>
              <w:t xml:space="preserve"> de </w:t>
            </w:r>
            <w:r w:rsidR="000A7FB3" w:rsidRPr="000A7FB3">
              <w:rPr>
                <w:i/>
                <w:szCs w:val="20"/>
              </w:rPr>
              <w:t>P</w:t>
            </w:r>
            <w:r w:rsidR="003962ED" w:rsidRPr="000A7FB3">
              <w:rPr>
                <w:i/>
                <w:szCs w:val="20"/>
              </w:rPr>
              <w:t xml:space="preserve">arties contractantes </w:t>
            </w:r>
            <w:r w:rsidR="000A7FB3" w:rsidRPr="000A7FB3">
              <w:rPr>
                <w:i/>
                <w:szCs w:val="20"/>
              </w:rPr>
              <w:t xml:space="preserve">faisant rapport sur la mise en œuvre </w:t>
            </w:r>
            <w:r>
              <w:rPr>
                <w:i/>
                <w:szCs w:val="20"/>
              </w:rPr>
              <w:br/>
            </w:r>
            <w:r w:rsidR="003962ED" w:rsidRPr="000A7FB3">
              <w:rPr>
                <w:i/>
                <w:szCs w:val="20"/>
              </w:rPr>
              <w:t>des accords multilatéraux</w:t>
            </w:r>
            <w:r w:rsidR="000A7FB3" w:rsidRPr="000A7FB3">
              <w:rPr>
                <w:i/>
                <w:szCs w:val="20"/>
              </w:rPr>
              <w:t xml:space="preserve"> de la CEE relatifs </w:t>
            </w:r>
            <w:r>
              <w:rPr>
                <w:i/>
                <w:szCs w:val="20"/>
              </w:rPr>
              <w:br/>
            </w:r>
            <w:r w:rsidR="000A7FB3" w:rsidRPr="000A7FB3">
              <w:rPr>
                <w:i/>
                <w:szCs w:val="20"/>
              </w:rPr>
              <w:t>à l’environnement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i/>
                <w:szCs w:val="20"/>
              </w:rPr>
              <w:tab/>
            </w:r>
            <w:r w:rsidR="003962ED" w:rsidRPr="000A7FB3">
              <w:rPr>
                <w:i/>
                <w:szCs w:val="20"/>
              </w:rPr>
              <w:t>Mesure des résultats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2012-2013</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Estimation 2014-2015</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Objectif 2016-2017</w:t>
            </w:r>
            <w:r w:rsidR="00376373">
              <w:rPr>
                <w:szCs w:val="20"/>
              </w:rPr>
              <w:t> :</w:t>
            </w:r>
            <w:r w:rsidR="003962ED" w:rsidRPr="000A7FB3">
              <w:rPr>
                <w:szCs w:val="20"/>
              </w:rPr>
              <w:t xml:space="preserve"> 85</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left="288" w:right="115" w:hanging="288"/>
              <w:rPr>
                <w:szCs w:val="20"/>
                <w:lang w:bidi="fr-CH"/>
              </w:rPr>
            </w:pPr>
            <w:r w:rsidRPr="000A7FB3">
              <w:rPr>
                <w:i/>
                <w:szCs w:val="20"/>
              </w:rPr>
              <w:t>b)</w:t>
            </w:r>
            <w:r w:rsidRPr="000A7FB3">
              <w:rPr>
                <w:szCs w:val="20"/>
              </w:rPr>
              <w:tab/>
            </w:r>
            <w:r w:rsidR="000A7FB3" w:rsidRPr="000A7FB3">
              <w:rPr>
                <w:i/>
                <w:szCs w:val="20"/>
              </w:rPr>
              <w:t>i</w:t>
            </w:r>
            <w:r w:rsidRPr="000A7FB3">
              <w:rPr>
                <w:i/>
                <w:szCs w:val="20"/>
              </w:rPr>
              <w:t>i)</w:t>
            </w:r>
            <w:r w:rsidRPr="000A7FB3">
              <w:rPr>
                <w:szCs w:val="20"/>
              </w:rPr>
              <w:tab/>
            </w:r>
            <w:r w:rsidR="000A7FB3">
              <w:rPr>
                <w:i/>
                <w:szCs w:val="20"/>
              </w:rPr>
              <w:t>Augmentation du nombre de P</w:t>
            </w:r>
            <w:r w:rsidRPr="000A7FB3">
              <w:rPr>
                <w:i/>
                <w:szCs w:val="20"/>
              </w:rPr>
              <w:t>arties contractantes aux accords multilatéraux de la CEE</w:t>
            </w:r>
            <w:r w:rsidR="00F12F32">
              <w:rPr>
                <w:i/>
                <w:szCs w:val="20"/>
              </w:rPr>
              <w:t xml:space="preserve"> relatifs </w:t>
            </w:r>
            <w:r w:rsidR="00680C47">
              <w:rPr>
                <w:i/>
                <w:szCs w:val="20"/>
              </w:rPr>
              <w:br/>
            </w:r>
            <w:r w:rsidR="00F12F32">
              <w:rPr>
                <w:i/>
                <w:szCs w:val="20"/>
              </w:rPr>
              <w:t>à l’environnement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i/>
                <w:szCs w:val="20"/>
              </w:rPr>
              <w:tab/>
            </w:r>
            <w:r w:rsidR="003962ED" w:rsidRPr="000A7FB3">
              <w:rPr>
                <w:i/>
                <w:szCs w:val="20"/>
              </w:rPr>
              <w:t>Mesure des résultats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2012-2013</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Estimation 2014-2015</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Objectif 2016-2017</w:t>
            </w:r>
            <w:r w:rsidR="00376373">
              <w:rPr>
                <w:szCs w:val="20"/>
              </w:rPr>
              <w:t> :</w:t>
            </w:r>
            <w:r w:rsidR="003962ED" w:rsidRPr="000A7FB3">
              <w:rPr>
                <w:szCs w:val="20"/>
              </w:rPr>
              <w:t xml:space="preserve"> 310</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r w:rsidRPr="000A7FB3">
              <w:rPr>
                <w:i/>
                <w:szCs w:val="20"/>
              </w:rPr>
              <w:t>c)</w:t>
            </w:r>
            <w:r w:rsidRPr="000A7FB3">
              <w:rPr>
                <w:szCs w:val="20"/>
              </w:rPr>
              <w:tab/>
            </w:r>
            <w:r w:rsidRPr="000A7FB3">
              <w:rPr>
                <w:i/>
                <w:szCs w:val="20"/>
              </w:rPr>
              <w:t>Renforcement des capacités nationales en matière de systèmes de surveillance et d</w:t>
            </w:r>
            <w:r w:rsidR="00D26761" w:rsidRPr="000A7FB3">
              <w:rPr>
                <w:i/>
                <w:szCs w:val="20"/>
              </w:rPr>
              <w:t>’</w:t>
            </w:r>
            <w:r w:rsidRPr="000A7FB3">
              <w:rPr>
                <w:i/>
                <w:szCs w:val="20"/>
              </w:rPr>
              <w:t xml:space="preserve">évaluation </w:t>
            </w:r>
            <w:r w:rsidR="00F12F32">
              <w:rPr>
                <w:i/>
                <w:szCs w:val="20"/>
              </w:rPr>
              <w:t>de l’environnement</w:t>
            </w:r>
            <w:r w:rsidRPr="000A7FB3">
              <w:rPr>
                <w:i/>
                <w:szCs w:val="20"/>
              </w:rPr>
              <w:t xml:space="preserve"> dans les pays </w:t>
            </w:r>
            <w:r w:rsidR="00F12F32">
              <w:rPr>
                <w:i/>
                <w:szCs w:val="20"/>
              </w:rPr>
              <w:t>d</w:t>
            </w:r>
            <w:r w:rsidR="00D26761" w:rsidRPr="000A7FB3">
              <w:rPr>
                <w:i/>
                <w:szCs w:val="20"/>
              </w:rPr>
              <w:t>’</w:t>
            </w:r>
            <w:r w:rsidRPr="000A7FB3">
              <w:rPr>
                <w:i/>
                <w:szCs w:val="20"/>
              </w:rPr>
              <w:t>Europe orientale et d</w:t>
            </w:r>
            <w:r w:rsidR="00D26761" w:rsidRPr="000A7FB3">
              <w:rPr>
                <w:i/>
                <w:szCs w:val="20"/>
              </w:rPr>
              <w:t>’</w:t>
            </w:r>
            <w:r w:rsidRPr="000A7FB3">
              <w:rPr>
                <w:i/>
                <w:szCs w:val="20"/>
              </w:rPr>
              <w:t>Europe du Sud-Est, du Caucase et d</w:t>
            </w:r>
            <w:r w:rsidR="00D26761" w:rsidRPr="000A7FB3">
              <w:rPr>
                <w:i/>
                <w:szCs w:val="20"/>
              </w:rPr>
              <w:t>’</w:t>
            </w:r>
            <w:r w:rsidRPr="000A7FB3">
              <w:rPr>
                <w:i/>
                <w:szCs w:val="20"/>
              </w:rPr>
              <w:t>Asie centrale</w:t>
            </w:r>
          </w:p>
        </w:tc>
        <w:tc>
          <w:tcPr>
            <w:tcW w:w="5175" w:type="dxa"/>
            <w:shd w:val="clear" w:color="auto" w:fill="auto"/>
          </w:tcPr>
          <w:p w:rsidR="003962ED" w:rsidRPr="000A7FB3" w:rsidRDefault="00F12F32" w:rsidP="00680C47">
            <w:pPr>
              <w:tabs>
                <w:tab w:val="left" w:pos="288"/>
                <w:tab w:val="left" w:pos="576"/>
                <w:tab w:val="left" w:pos="864"/>
                <w:tab w:val="left" w:pos="1152"/>
              </w:tabs>
              <w:suppressAutoHyphens/>
              <w:spacing w:before="40" w:after="80"/>
              <w:ind w:left="288" w:right="115" w:hanging="288"/>
              <w:rPr>
                <w:szCs w:val="20"/>
                <w:lang w:bidi="fr-CH"/>
              </w:rPr>
            </w:pPr>
            <w:r>
              <w:rPr>
                <w:i/>
                <w:szCs w:val="20"/>
              </w:rPr>
              <w:t>c)</w:t>
            </w:r>
            <w:r>
              <w:rPr>
                <w:i/>
                <w:szCs w:val="20"/>
              </w:rPr>
              <w:tab/>
              <w:t>Augmentation du pourcentage de</w:t>
            </w:r>
            <w:r w:rsidR="003962ED" w:rsidRPr="000A7FB3">
              <w:rPr>
                <w:i/>
                <w:szCs w:val="20"/>
              </w:rPr>
              <w:t xml:space="preserve"> recommandations </w:t>
            </w:r>
            <w:r w:rsidR="00680C47">
              <w:rPr>
                <w:i/>
                <w:szCs w:val="20"/>
              </w:rPr>
              <w:br/>
            </w:r>
            <w:r w:rsidR="003962ED" w:rsidRPr="000A7FB3">
              <w:rPr>
                <w:i/>
                <w:szCs w:val="20"/>
              </w:rPr>
              <w:t>de la CEE sur la surveillance environnementale appliquées par les États membres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i/>
                <w:szCs w:val="20"/>
              </w:rPr>
              <w:tab/>
            </w:r>
            <w:r w:rsidR="003962ED" w:rsidRPr="000A7FB3">
              <w:rPr>
                <w:i/>
                <w:szCs w:val="20"/>
              </w:rPr>
              <w:t>Mesure des résultats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2012-2013</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Estimation 2014-2015</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Objectif 2016-2017</w:t>
            </w:r>
            <w:r w:rsidR="00376373">
              <w:rPr>
                <w:szCs w:val="20"/>
              </w:rPr>
              <w:t> :</w:t>
            </w:r>
            <w:r w:rsidR="003962ED" w:rsidRPr="000A7FB3">
              <w:rPr>
                <w:szCs w:val="20"/>
              </w:rPr>
              <w:t xml:space="preserve"> 50</w:t>
            </w:r>
          </w:p>
        </w:tc>
      </w:tr>
      <w:tr w:rsidR="003962ED" w:rsidRPr="003962ED" w:rsidTr="00680C47">
        <w:tc>
          <w:tcPr>
            <w:tcW w:w="3600" w:type="dxa"/>
            <w:shd w:val="clear" w:color="auto" w:fill="auto"/>
          </w:tcPr>
          <w:p w:rsidR="003962ED" w:rsidRPr="000A7FB3" w:rsidRDefault="003962ED" w:rsidP="00680C47">
            <w:pPr>
              <w:keepNext/>
              <w:keepLines/>
              <w:tabs>
                <w:tab w:val="left" w:pos="288"/>
                <w:tab w:val="left" w:pos="576"/>
                <w:tab w:val="left" w:pos="864"/>
                <w:tab w:val="left" w:pos="1152"/>
              </w:tabs>
              <w:suppressAutoHyphens/>
              <w:spacing w:before="40" w:after="80"/>
              <w:ind w:right="115"/>
              <w:rPr>
                <w:szCs w:val="20"/>
                <w:lang w:bidi="fr-CH"/>
              </w:rPr>
            </w:pPr>
            <w:r w:rsidRPr="000A7FB3">
              <w:rPr>
                <w:i/>
                <w:szCs w:val="20"/>
              </w:rPr>
              <w:t>d)</w:t>
            </w:r>
            <w:r w:rsidRPr="000A7FB3">
              <w:rPr>
                <w:szCs w:val="20"/>
              </w:rPr>
              <w:tab/>
            </w:r>
            <w:r w:rsidRPr="000A7FB3">
              <w:rPr>
                <w:i/>
                <w:szCs w:val="20"/>
              </w:rPr>
              <w:t>Amélioration de la performance environnementale dans les pays intéressés</w:t>
            </w:r>
          </w:p>
        </w:tc>
        <w:tc>
          <w:tcPr>
            <w:tcW w:w="5175" w:type="dxa"/>
            <w:shd w:val="clear" w:color="auto" w:fill="auto"/>
          </w:tcPr>
          <w:p w:rsidR="003962ED" w:rsidRPr="000A7FB3" w:rsidRDefault="003962ED" w:rsidP="00857403">
            <w:pPr>
              <w:keepNext/>
              <w:keepLines/>
              <w:tabs>
                <w:tab w:val="left" w:pos="288"/>
                <w:tab w:val="left" w:pos="576"/>
                <w:tab w:val="left" w:pos="864"/>
                <w:tab w:val="left" w:pos="1152"/>
              </w:tabs>
              <w:suppressAutoHyphens/>
              <w:spacing w:before="40" w:after="80"/>
              <w:ind w:left="288" w:right="115" w:hanging="288"/>
              <w:rPr>
                <w:szCs w:val="20"/>
                <w:lang w:bidi="fr-CH"/>
              </w:rPr>
            </w:pPr>
            <w:r w:rsidRPr="000A7FB3">
              <w:rPr>
                <w:i/>
                <w:szCs w:val="20"/>
              </w:rPr>
              <w:t>d)</w:t>
            </w:r>
            <w:r w:rsidRPr="000A7FB3">
              <w:rPr>
                <w:szCs w:val="20"/>
              </w:rPr>
              <w:tab/>
            </w:r>
            <w:r w:rsidR="00857403">
              <w:rPr>
                <w:i/>
                <w:szCs w:val="20"/>
              </w:rPr>
              <w:t>Pourcentage</w:t>
            </w:r>
            <w:r w:rsidR="00F12F32">
              <w:rPr>
                <w:i/>
                <w:szCs w:val="20"/>
              </w:rPr>
              <w:t xml:space="preserve"> de</w:t>
            </w:r>
            <w:r w:rsidRPr="000A7FB3">
              <w:rPr>
                <w:i/>
                <w:szCs w:val="20"/>
              </w:rPr>
              <w:t xml:space="preserve"> recommandations issues de l</w:t>
            </w:r>
            <w:r w:rsidR="00D26761" w:rsidRPr="000A7FB3">
              <w:rPr>
                <w:i/>
                <w:szCs w:val="20"/>
              </w:rPr>
              <w:t>’</w:t>
            </w:r>
            <w:r w:rsidRPr="000A7FB3">
              <w:rPr>
                <w:i/>
                <w:szCs w:val="20"/>
              </w:rPr>
              <w:t>examen de la performance environnementale appliquées par les pays</w:t>
            </w:r>
            <w:r w:rsidR="00F12F32">
              <w:rPr>
                <w:i/>
                <w:szCs w:val="20"/>
              </w:rPr>
              <w:t xml:space="preserve"> étudiés au cours d’une période biennale</w:t>
            </w:r>
          </w:p>
        </w:tc>
      </w:tr>
      <w:tr w:rsidR="003962ED" w:rsidRPr="003962ED" w:rsidTr="00680C47">
        <w:tc>
          <w:tcPr>
            <w:tcW w:w="3600" w:type="dxa"/>
            <w:shd w:val="clear" w:color="auto" w:fill="auto"/>
          </w:tcPr>
          <w:p w:rsidR="003962ED" w:rsidRPr="000A7FB3" w:rsidRDefault="003962ED" w:rsidP="00680C47">
            <w:pPr>
              <w:keepNext/>
              <w:keepLines/>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keepNext/>
              <w:keepLines/>
              <w:tabs>
                <w:tab w:val="left" w:pos="288"/>
                <w:tab w:val="left" w:pos="576"/>
                <w:tab w:val="left" w:pos="864"/>
                <w:tab w:val="left" w:pos="1152"/>
              </w:tabs>
              <w:suppressAutoHyphens/>
              <w:spacing w:before="40" w:after="80"/>
              <w:ind w:right="115"/>
              <w:rPr>
                <w:szCs w:val="20"/>
                <w:lang w:bidi="fr-CH"/>
              </w:rPr>
            </w:pPr>
            <w:r>
              <w:rPr>
                <w:i/>
                <w:szCs w:val="20"/>
              </w:rPr>
              <w:tab/>
            </w:r>
            <w:r w:rsidR="003962ED" w:rsidRPr="000A7FB3">
              <w:rPr>
                <w:i/>
                <w:szCs w:val="20"/>
              </w:rPr>
              <w:t>Mesure des résultats</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i/>
                <w:szCs w:val="20"/>
              </w:rPr>
            </w:pPr>
            <w:r>
              <w:rPr>
                <w:szCs w:val="20"/>
              </w:rPr>
              <w:tab/>
            </w:r>
            <w:r w:rsidR="003962ED" w:rsidRPr="000A7FB3">
              <w:rPr>
                <w:szCs w:val="20"/>
              </w:rPr>
              <w:t>2012-2013</w:t>
            </w:r>
            <w:r w:rsidR="00376373">
              <w:rPr>
                <w:szCs w:val="20"/>
              </w:rPr>
              <w:t> :</w:t>
            </w:r>
            <w:r w:rsidR="003962ED" w:rsidRPr="000A7FB3">
              <w:rPr>
                <w:szCs w:val="20"/>
              </w:rPr>
              <w:t xml:space="preserve"> sans objet</w:t>
            </w:r>
          </w:p>
        </w:tc>
      </w:tr>
      <w:tr w:rsidR="003962ED" w:rsidRPr="003962ED" w:rsidTr="00680C47">
        <w:tc>
          <w:tcPr>
            <w:tcW w:w="3600" w:type="dxa"/>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Estimation 2014-2015</w:t>
            </w:r>
            <w:r w:rsidR="00376373">
              <w:rPr>
                <w:szCs w:val="20"/>
              </w:rPr>
              <w:t> :</w:t>
            </w:r>
            <w:r w:rsidR="003962ED" w:rsidRPr="000A7FB3">
              <w:rPr>
                <w:szCs w:val="20"/>
              </w:rPr>
              <w:t xml:space="preserve"> sans objet</w:t>
            </w:r>
          </w:p>
        </w:tc>
      </w:tr>
      <w:tr w:rsidR="003962ED" w:rsidRPr="003962ED" w:rsidTr="00680C47">
        <w:tc>
          <w:tcPr>
            <w:tcW w:w="3600" w:type="dxa"/>
            <w:tcBorders>
              <w:bottom w:val="single" w:sz="12" w:space="0" w:color="auto"/>
            </w:tcBorders>
            <w:shd w:val="clear" w:color="auto" w:fill="auto"/>
          </w:tcPr>
          <w:p w:rsidR="003962ED" w:rsidRPr="000A7FB3" w:rsidRDefault="003962ED" w:rsidP="00680C47">
            <w:pPr>
              <w:tabs>
                <w:tab w:val="left" w:pos="288"/>
                <w:tab w:val="left" w:pos="576"/>
                <w:tab w:val="left" w:pos="864"/>
                <w:tab w:val="left" w:pos="1152"/>
              </w:tabs>
              <w:suppressAutoHyphens/>
              <w:spacing w:before="40" w:after="80"/>
              <w:ind w:right="115"/>
              <w:rPr>
                <w:szCs w:val="20"/>
                <w:lang w:bidi="fr-CH"/>
              </w:rPr>
            </w:pPr>
          </w:p>
        </w:tc>
        <w:tc>
          <w:tcPr>
            <w:tcW w:w="5175" w:type="dxa"/>
            <w:tcBorders>
              <w:bottom w:val="single" w:sz="12" w:space="0" w:color="auto"/>
            </w:tcBorders>
            <w:shd w:val="clear" w:color="auto" w:fill="auto"/>
          </w:tcPr>
          <w:p w:rsidR="003962ED" w:rsidRPr="000A7FB3" w:rsidRDefault="00680C47" w:rsidP="00680C47">
            <w:pPr>
              <w:tabs>
                <w:tab w:val="left" w:pos="288"/>
                <w:tab w:val="left" w:pos="576"/>
                <w:tab w:val="left" w:pos="864"/>
                <w:tab w:val="left" w:pos="1152"/>
              </w:tabs>
              <w:suppressAutoHyphens/>
              <w:spacing w:before="40" w:after="80"/>
              <w:ind w:right="115"/>
              <w:rPr>
                <w:szCs w:val="20"/>
                <w:lang w:bidi="fr-CH"/>
              </w:rPr>
            </w:pPr>
            <w:r>
              <w:rPr>
                <w:szCs w:val="20"/>
              </w:rPr>
              <w:tab/>
            </w:r>
            <w:r w:rsidR="003962ED" w:rsidRPr="000A7FB3">
              <w:rPr>
                <w:szCs w:val="20"/>
              </w:rPr>
              <w:t>Objectif 2016-2017</w:t>
            </w:r>
            <w:r w:rsidR="00376373">
              <w:rPr>
                <w:szCs w:val="20"/>
              </w:rPr>
              <w:t> :</w:t>
            </w:r>
            <w:r w:rsidR="003962ED" w:rsidRPr="000A7FB3">
              <w:rPr>
                <w:szCs w:val="20"/>
              </w:rPr>
              <w:t xml:space="preserve"> 65</w:t>
            </w:r>
          </w:p>
        </w:tc>
      </w:tr>
    </w:tbl>
    <w:p w:rsidR="00F568C2" w:rsidRDefault="00F568C2" w:rsidP="003962ED">
      <w:pPr>
        <w:pStyle w:val="SingleTxt"/>
      </w:pPr>
      <w:r>
        <w:br w:type="page"/>
      </w:r>
    </w:p>
    <w:p w:rsid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Annexe II</w:t>
      </w:r>
    </w:p>
    <w:p w:rsidR="003962ED" w:rsidRPr="003962ED" w:rsidRDefault="003962ED" w:rsidP="003962ED">
      <w:pPr>
        <w:pStyle w:val="SingleTxt"/>
        <w:spacing w:after="0" w:line="120" w:lineRule="exact"/>
        <w:rPr>
          <w:b/>
          <w:sz w:val="10"/>
          <w:lang w:bidi="fr-CH"/>
        </w:rPr>
      </w:pPr>
    </w:p>
    <w:p w:rsidR="00F568C2" w:rsidRDefault="00F568C2" w:rsidP="003962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r>
      <w:r w:rsidRPr="00F568C2">
        <w:rPr>
          <w:lang w:bidi="fr-CH"/>
        </w:rPr>
        <w:tab/>
        <w:t>Détail des publications proposées pour 2016-2017</w:t>
      </w:r>
    </w:p>
    <w:p w:rsidR="003962ED" w:rsidRPr="003962ED" w:rsidRDefault="003962ED" w:rsidP="003962ED">
      <w:pPr>
        <w:pStyle w:val="SingleTxt"/>
        <w:spacing w:after="0" w:line="120" w:lineRule="exact"/>
        <w:rPr>
          <w:b/>
          <w:sz w:val="10"/>
          <w:lang w:bidi="fr-CH"/>
        </w:rPr>
      </w:pPr>
    </w:p>
    <w:p w:rsidR="003962ED" w:rsidRPr="003962ED" w:rsidRDefault="003962ED" w:rsidP="003962ED">
      <w:pPr>
        <w:pStyle w:val="SingleTxt"/>
        <w:spacing w:after="0" w:line="120" w:lineRule="exact"/>
        <w:rPr>
          <w:b/>
          <w:sz w:val="10"/>
          <w:lang w:bidi="fr-CH"/>
        </w:rPr>
      </w:pPr>
    </w:p>
    <w:p w:rsidR="00F568C2" w:rsidRDefault="00F568C2" w:rsidP="003962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F568C2">
        <w:rPr>
          <w:lang w:bidi="fr-CH"/>
        </w:rPr>
        <w:tab/>
        <w:t>A.</w:t>
      </w:r>
      <w:r w:rsidRPr="00F568C2">
        <w:rPr>
          <w:lang w:bidi="fr-CH"/>
        </w:rPr>
        <w:tab/>
        <w:t>Publications en série</w:t>
      </w:r>
    </w:p>
    <w:p w:rsidR="003962ED" w:rsidRPr="003962ED" w:rsidRDefault="003962ED" w:rsidP="003962ED">
      <w:pPr>
        <w:pStyle w:val="SingleTxt"/>
        <w:spacing w:after="0" w:line="120" w:lineRule="exact"/>
        <w:rPr>
          <w:b/>
          <w:sz w:val="10"/>
          <w:lang w:bidi="fr-CH"/>
        </w:rPr>
      </w:pPr>
    </w:p>
    <w:p w:rsidR="003962ED" w:rsidRDefault="003962ED" w:rsidP="003962ED">
      <w:pPr>
        <w:pStyle w:val="SingleTxt"/>
        <w:spacing w:after="0" w:line="120" w:lineRule="exact"/>
        <w:rPr>
          <w:b/>
          <w:sz w:val="10"/>
          <w:lang w:bidi="fr-CH"/>
        </w:rPr>
      </w:pPr>
    </w:p>
    <w:p w:rsidR="00E77980" w:rsidRDefault="00E77980" w:rsidP="00E77980">
      <w:pPr>
        <w:pStyle w:val="SingleTxt"/>
        <w:rPr>
          <w:lang w:bidi="fr-CH"/>
        </w:rPr>
      </w:pPr>
    </w:p>
    <w:tbl>
      <w:tblPr>
        <w:tblW w:w="10026" w:type="dxa"/>
        <w:tblLayout w:type="fixed"/>
        <w:tblCellMar>
          <w:left w:w="0" w:type="dxa"/>
          <w:right w:w="0" w:type="dxa"/>
        </w:tblCellMar>
        <w:tblLook w:val="0000" w:firstRow="0" w:lastRow="0" w:firstColumn="0" w:lastColumn="0" w:noHBand="0" w:noVBand="0"/>
      </w:tblPr>
      <w:tblGrid>
        <w:gridCol w:w="279"/>
        <w:gridCol w:w="1584"/>
        <w:gridCol w:w="2466"/>
        <w:gridCol w:w="1197"/>
        <w:gridCol w:w="459"/>
        <w:gridCol w:w="675"/>
        <w:gridCol w:w="729"/>
        <w:gridCol w:w="1224"/>
        <w:gridCol w:w="1413"/>
      </w:tblGrid>
      <w:tr w:rsidR="009836B6" w:rsidRPr="00E77980" w:rsidTr="009836B6">
        <w:trPr>
          <w:tblHeader/>
        </w:trPr>
        <w:tc>
          <w:tcPr>
            <w:tcW w:w="279"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N</w:t>
            </w:r>
            <w:r w:rsidR="00680C47" w:rsidRPr="00680C47">
              <w:rPr>
                <w:i/>
                <w:w w:val="100"/>
                <w:sz w:val="14"/>
                <w:vertAlign w:val="superscript"/>
              </w:rPr>
              <w:t>o</w:t>
            </w:r>
          </w:p>
        </w:tc>
        <w:tc>
          <w:tcPr>
            <w:tcW w:w="1584"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Titre</w:t>
            </w:r>
          </w:p>
        </w:tc>
        <w:tc>
          <w:tcPr>
            <w:tcW w:w="2466"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Mandat</w:t>
            </w:r>
          </w:p>
        </w:tc>
        <w:tc>
          <w:tcPr>
            <w:tcW w:w="1197"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 xml:space="preserve">Version papier </w:t>
            </w:r>
            <w:r w:rsidRPr="009836B6">
              <w:rPr>
                <w:i/>
                <w:w w:val="100"/>
                <w:sz w:val="14"/>
              </w:rPr>
              <w:br/>
              <w:t>et/ou électronique</w:t>
            </w:r>
          </w:p>
        </w:tc>
        <w:tc>
          <w:tcPr>
            <w:tcW w:w="459"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Taille</w:t>
            </w:r>
          </w:p>
        </w:tc>
        <w:tc>
          <w:tcPr>
            <w:tcW w:w="675"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 xml:space="preserve">Nombre </w:t>
            </w:r>
            <w:r w:rsidRPr="009836B6">
              <w:rPr>
                <w:i/>
                <w:w w:val="100"/>
                <w:sz w:val="14"/>
              </w:rPr>
              <w:br/>
              <w:t>de pages</w:t>
            </w:r>
          </w:p>
        </w:tc>
        <w:tc>
          <w:tcPr>
            <w:tcW w:w="729" w:type="dxa"/>
            <w:tcBorders>
              <w:top w:val="single" w:sz="4" w:space="0" w:color="auto"/>
              <w:bottom w:val="single" w:sz="12" w:space="0" w:color="auto"/>
            </w:tcBorders>
            <w:shd w:val="clear" w:color="auto" w:fill="auto"/>
            <w:vAlign w:val="bottom"/>
          </w:tcPr>
          <w:p w:rsidR="00E77980" w:rsidRPr="009836B6" w:rsidRDefault="00E77980" w:rsidP="007B14F3">
            <w:pPr>
              <w:suppressAutoHyphens/>
              <w:spacing w:before="80" w:after="80" w:line="160" w:lineRule="exact"/>
              <w:ind w:right="115"/>
              <w:rPr>
                <w:i/>
                <w:w w:val="100"/>
                <w:sz w:val="14"/>
                <w:lang w:bidi="fr-CH"/>
              </w:rPr>
            </w:pPr>
            <w:r w:rsidRPr="009836B6">
              <w:rPr>
                <w:i/>
                <w:w w:val="100"/>
                <w:sz w:val="14"/>
              </w:rPr>
              <w:t xml:space="preserve">Langue(s) </w:t>
            </w:r>
            <w:r w:rsidR="007B14F3" w:rsidRPr="009836B6">
              <w:rPr>
                <w:i/>
                <w:w w:val="100"/>
                <w:sz w:val="14"/>
              </w:rPr>
              <w:t>d’origine</w:t>
            </w:r>
          </w:p>
        </w:tc>
        <w:tc>
          <w:tcPr>
            <w:tcW w:w="1224" w:type="dxa"/>
            <w:tcBorders>
              <w:top w:val="single" w:sz="4" w:space="0" w:color="auto"/>
              <w:bottom w:val="single" w:sz="12" w:space="0" w:color="auto"/>
            </w:tcBorders>
            <w:shd w:val="clear" w:color="auto" w:fill="auto"/>
            <w:vAlign w:val="bottom"/>
          </w:tcPr>
          <w:p w:rsidR="00E77980" w:rsidRPr="009836B6" w:rsidRDefault="00E77980" w:rsidP="005B7F33">
            <w:pPr>
              <w:suppressAutoHyphens/>
              <w:spacing w:before="80" w:after="80" w:line="160" w:lineRule="exact"/>
              <w:ind w:right="115"/>
              <w:rPr>
                <w:i/>
                <w:w w:val="100"/>
                <w:sz w:val="14"/>
                <w:lang w:bidi="fr-CH"/>
              </w:rPr>
            </w:pPr>
            <w:r w:rsidRPr="009836B6">
              <w:rPr>
                <w:i/>
                <w:w w:val="100"/>
                <w:sz w:val="14"/>
                <w:lang w:bidi="fr-CH"/>
              </w:rPr>
              <w:t>Langue(s) cible(s) de la traduction</w:t>
            </w:r>
          </w:p>
        </w:tc>
        <w:tc>
          <w:tcPr>
            <w:tcW w:w="1413" w:type="dxa"/>
            <w:tcBorders>
              <w:top w:val="single" w:sz="4" w:space="0" w:color="auto"/>
              <w:bottom w:val="single" w:sz="12" w:space="0" w:color="auto"/>
            </w:tcBorders>
            <w:shd w:val="clear" w:color="auto" w:fill="auto"/>
            <w:vAlign w:val="bottom"/>
          </w:tcPr>
          <w:p w:rsidR="00E77980" w:rsidRPr="009836B6" w:rsidRDefault="00E77980" w:rsidP="00E77980">
            <w:pPr>
              <w:suppressAutoHyphens/>
              <w:spacing w:before="80" w:after="80" w:line="160" w:lineRule="exact"/>
              <w:ind w:right="115"/>
              <w:rPr>
                <w:i/>
                <w:w w:val="100"/>
                <w:sz w:val="14"/>
                <w:lang w:bidi="fr-CH"/>
              </w:rPr>
            </w:pPr>
            <w:r w:rsidRPr="009836B6">
              <w:rPr>
                <w:i/>
                <w:w w:val="100"/>
                <w:sz w:val="14"/>
              </w:rPr>
              <w:t xml:space="preserve">Nombre d’exemplaires </w:t>
            </w:r>
            <w:r w:rsidRPr="009836B6">
              <w:rPr>
                <w:i/>
                <w:w w:val="100"/>
                <w:sz w:val="14"/>
              </w:rPr>
              <w:br/>
              <w:t>et langue(s)</w:t>
            </w:r>
          </w:p>
        </w:tc>
      </w:tr>
      <w:tr w:rsidR="009836B6" w:rsidRPr="00E77980" w:rsidTr="009836B6">
        <w:trPr>
          <w:trHeight w:hRule="exact" w:val="115"/>
          <w:tblHeader/>
        </w:trPr>
        <w:tc>
          <w:tcPr>
            <w:tcW w:w="279"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1584"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2466"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1197"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459"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675"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729"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1224"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c>
          <w:tcPr>
            <w:tcW w:w="1413" w:type="dxa"/>
            <w:tcBorders>
              <w:top w:val="single" w:sz="12" w:space="0" w:color="auto"/>
            </w:tcBorders>
            <w:shd w:val="clear" w:color="auto" w:fill="auto"/>
            <w:vAlign w:val="bottom"/>
          </w:tcPr>
          <w:p w:rsidR="00E77980" w:rsidRPr="00E77980" w:rsidRDefault="00E77980" w:rsidP="00E77980">
            <w:pPr>
              <w:suppressAutoHyphens/>
              <w:spacing w:before="40" w:after="80"/>
              <w:ind w:right="115"/>
              <w:rPr>
                <w:lang w:bidi="fr-CH"/>
              </w:rPr>
            </w:pPr>
          </w:p>
        </w:tc>
      </w:tr>
      <w:tr w:rsidR="009836B6" w:rsidRPr="005B7F33" w:rsidTr="009836B6">
        <w:tc>
          <w:tcPr>
            <w:tcW w:w="279"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1</w:t>
            </w:r>
          </w:p>
        </w:tc>
        <w:tc>
          <w:tcPr>
            <w:tcW w:w="1584" w:type="dxa"/>
            <w:shd w:val="clear" w:color="auto" w:fill="auto"/>
          </w:tcPr>
          <w:p w:rsidR="00E77980" w:rsidRPr="005B7F33" w:rsidRDefault="00E77980" w:rsidP="0037637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Gestion intégrée des ressources en eau en Europe orientale, dans le Caucase et en Asie centrale</w:t>
            </w:r>
            <w:r w:rsidR="00376373">
              <w:rPr>
                <w:sz w:val="18"/>
                <w:szCs w:val="18"/>
              </w:rPr>
              <w:t> </w:t>
            </w:r>
            <w:r w:rsidRPr="005B7F33">
              <w:rPr>
                <w:sz w:val="18"/>
                <w:szCs w:val="18"/>
              </w:rPr>
              <w:t>: rapport sur l’état d’avancement du dialogue engagé au niveau national dans le cadre de l’Initiative de l’Union européenne en faveur de l’eau</w:t>
            </w:r>
          </w:p>
        </w:tc>
        <w:tc>
          <w:tcPr>
            <w:tcW w:w="2466"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 xml:space="preserve">Rapport de la réunion par téléconférence du Bureau </w:t>
            </w:r>
            <w:r w:rsidRPr="005B7F33">
              <w:rPr>
                <w:sz w:val="18"/>
                <w:szCs w:val="18"/>
              </w:rPr>
              <w:br/>
              <w:t xml:space="preserve">de la Réunion des Parties </w:t>
            </w:r>
            <w:r w:rsidRPr="005B7F33">
              <w:rPr>
                <w:sz w:val="18"/>
                <w:szCs w:val="18"/>
              </w:rPr>
              <w:br/>
              <w:t xml:space="preserve">à la Convention sur l’eau, tenue le 21 novembre 2014 (BUREAU/2014/11, par 8, </w:t>
            </w:r>
            <w:r w:rsidRPr="005B7F33">
              <w:rPr>
                <w:sz w:val="18"/>
                <w:szCs w:val="18"/>
              </w:rPr>
              <w:br/>
              <w:t xml:space="preserve">à consulter à l’adresse : </w:t>
            </w:r>
            <w:r w:rsidR="00680C47" w:rsidRPr="00680C47">
              <w:rPr>
                <w:sz w:val="18"/>
                <w:szCs w:val="18"/>
              </w:rPr>
              <w:t>www.unece.org/fileadmin/</w:t>
            </w:r>
            <w:r w:rsidR="00680C47">
              <w:rPr>
                <w:sz w:val="18"/>
                <w:szCs w:val="18"/>
              </w:rPr>
              <w:t xml:space="preserve"> </w:t>
            </w:r>
            <w:r w:rsidRPr="005B7F33">
              <w:rPr>
                <w:sz w:val="18"/>
                <w:szCs w:val="18"/>
              </w:rPr>
              <w:t>DAM/</w:t>
            </w:r>
            <w:proofErr w:type="spellStart"/>
            <w:r w:rsidRPr="005B7F33">
              <w:rPr>
                <w:sz w:val="18"/>
                <w:szCs w:val="18"/>
              </w:rPr>
              <w:t>env</w:t>
            </w:r>
            <w:proofErr w:type="spellEnd"/>
            <w:r w:rsidRPr="005B7F33">
              <w:rPr>
                <w:sz w:val="18"/>
                <w:szCs w:val="18"/>
              </w:rPr>
              <w:t>/documents/2014/</w:t>
            </w:r>
            <w:r w:rsidR="00680C47">
              <w:rPr>
                <w:sz w:val="18"/>
                <w:szCs w:val="18"/>
              </w:rPr>
              <w:t xml:space="preserve"> </w:t>
            </w:r>
            <w:r w:rsidRPr="005B7F33">
              <w:rPr>
                <w:sz w:val="18"/>
                <w:szCs w:val="18"/>
              </w:rPr>
              <w:t>WAT/11Nov_21_Geneva_</w:t>
            </w:r>
            <w:r w:rsidR="00680C47">
              <w:rPr>
                <w:sz w:val="18"/>
                <w:szCs w:val="18"/>
              </w:rPr>
              <w:t xml:space="preserve"> </w:t>
            </w:r>
            <w:proofErr w:type="spellStart"/>
            <w:r w:rsidRPr="005B7F33">
              <w:rPr>
                <w:sz w:val="18"/>
                <w:szCs w:val="18"/>
              </w:rPr>
              <w:t>Teleconference</w:t>
            </w:r>
            <w:proofErr w:type="spellEnd"/>
            <w:r w:rsidRPr="005B7F33">
              <w:rPr>
                <w:sz w:val="18"/>
                <w:szCs w:val="18"/>
              </w:rPr>
              <w:t>/report_bureau_</w:t>
            </w:r>
            <w:proofErr w:type="gramStart"/>
            <w:r w:rsidRPr="005B7F33">
              <w:rPr>
                <w:sz w:val="18"/>
                <w:szCs w:val="18"/>
              </w:rPr>
              <w:t>Nov2014.pdf )</w:t>
            </w:r>
            <w:proofErr w:type="gramEnd"/>
          </w:p>
        </w:tc>
        <w:tc>
          <w:tcPr>
            <w:tcW w:w="1197"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Versions papier et électronique</w:t>
            </w:r>
          </w:p>
        </w:tc>
        <w:tc>
          <w:tcPr>
            <w:tcW w:w="459"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p>
        </w:tc>
        <w:tc>
          <w:tcPr>
            <w:tcW w:w="675"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33</w:t>
            </w:r>
          </w:p>
        </w:tc>
        <w:tc>
          <w:tcPr>
            <w:tcW w:w="729"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E</w:t>
            </w:r>
          </w:p>
        </w:tc>
        <w:tc>
          <w:tcPr>
            <w:tcW w:w="1224"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p>
        </w:tc>
        <w:tc>
          <w:tcPr>
            <w:tcW w:w="1413" w:type="dxa"/>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200E, 400R</w:t>
            </w:r>
          </w:p>
        </w:tc>
      </w:tr>
      <w:tr w:rsidR="009836B6" w:rsidRPr="005B7F33" w:rsidTr="009836B6">
        <w:tc>
          <w:tcPr>
            <w:tcW w:w="279"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2</w:t>
            </w:r>
          </w:p>
        </w:tc>
        <w:tc>
          <w:tcPr>
            <w:tcW w:w="1584"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 xml:space="preserve">20 ans de réalisations </w:t>
            </w:r>
            <w:r w:rsidR="00680C47">
              <w:rPr>
                <w:sz w:val="18"/>
                <w:szCs w:val="18"/>
              </w:rPr>
              <w:br/>
            </w:r>
            <w:r w:rsidRPr="005B7F33">
              <w:rPr>
                <w:sz w:val="18"/>
                <w:szCs w:val="18"/>
              </w:rPr>
              <w:t xml:space="preserve">au titre de la Convention </w:t>
            </w:r>
            <w:r w:rsidR="00680C47">
              <w:rPr>
                <w:sz w:val="18"/>
                <w:szCs w:val="18"/>
              </w:rPr>
              <w:br/>
            </w:r>
            <w:r w:rsidRPr="005B7F33">
              <w:rPr>
                <w:sz w:val="18"/>
                <w:szCs w:val="18"/>
              </w:rPr>
              <w:t>sur l’eau</w:t>
            </w:r>
          </w:p>
        </w:tc>
        <w:tc>
          <w:tcPr>
            <w:tcW w:w="2466"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 xml:space="preserve">Rapport de la réunion par téléconférence du Bureau </w:t>
            </w:r>
            <w:r w:rsidRPr="005B7F33">
              <w:rPr>
                <w:sz w:val="18"/>
                <w:szCs w:val="18"/>
              </w:rPr>
              <w:br/>
              <w:t xml:space="preserve">de la Réunion des Parties </w:t>
            </w:r>
            <w:r w:rsidRPr="005B7F33">
              <w:rPr>
                <w:sz w:val="18"/>
                <w:szCs w:val="18"/>
              </w:rPr>
              <w:br/>
              <w:t xml:space="preserve">à la Convention sur l’eau, tenue le 21 novembre 2014 (BUREAU/2014/11, par. 8, à consulter à l’adresse : </w:t>
            </w:r>
            <w:r w:rsidR="00680C47" w:rsidRPr="00680C47">
              <w:rPr>
                <w:sz w:val="18"/>
                <w:szCs w:val="18"/>
              </w:rPr>
              <w:t>www.unece.org/fileadmin/</w:t>
            </w:r>
            <w:r w:rsidR="00680C47">
              <w:rPr>
                <w:sz w:val="18"/>
                <w:szCs w:val="18"/>
              </w:rPr>
              <w:t xml:space="preserve"> </w:t>
            </w:r>
            <w:r w:rsidRPr="005B7F33">
              <w:rPr>
                <w:sz w:val="18"/>
                <w:szCs w:val="18"/>
              </w:rPr>
              <w:t>DAM/</w:t>
            </w:r>
            <w:proofErr w:type="spellStart"/>
            <w:r w:rsidRPr="005B7F33">
              <w:rPr>
                <w:sz w:val="18"/>
                <w:szCs w:val="18"/>
              </w:rPr>
              <w:t>env</w:t>
            </w:r>
            <w:proofErr w:type="spellEnd"/>
            <w:r w:rsidRPr="005B7F33">
              <w:rPr>
                <w:sz w:val="18"/>
                <w:szCs w:val="18"/>
              </w:rPr>
              <w:t>/documents/2014/</w:t>
            </w:r>
            <w:r w:rsidR="00680C47">
              <w:rPr>
                <w:sz w:val="18"/>
                <w:szCs w:val="18"/>
              </w:rPr>
              <w:t xml:space="preserve"> </w:t>
            </w:r>
            <w:r w:rsidRPr="005B7F33">
              <w:rPr>
                <w:sz w:val="18"/>
                <w:szCs w:val="18"/>
              </w:rPr>
              <w:t>WAT/11Nov_21_Geneva_</w:t>
            </w:r>
            <w:r w:rsidR="00680C47">
              <w:rPr>
                <w:sz w:val="18"/>
                <w:szCs w:val="18"/>
              </w:rPr>
              <w:t xml:space="preserve"> </w:t>
            </w:r>
            <w:proofErr w:type="spellStart"/>
            <w:r w:rsidRPr="005B7F33">
              <w:rPr>
                <w:sz w:val="18"/>
                <w:szCs w:val="18"/>
              </w:rPr>
              <w:t>Teleconference</w:t>
            </w:r>
            <w:proofErr w:type="spellEnd"/>
            <w:r w:rsidRPr="005B7F33">
              <w:rPr>
                <w:sz w:val="18"/>
                <w:szCs w:val="18"/>
              </w:rPr>
              <w:t>/report_bureau_</w:t>
            </w:r>
            <w:proofErr w:type="gramStart"/>
            <w:r w:rsidRPr="005B7F33">
              <w:rPr>
                <w:sz w:val="18"/>
                <w:szCs w:val="18"/>
              </w:rPr>
              <w:t>Nov2014.pdf )</w:t>
            </w:r>
            <w:proofErr w:type="gramEnd"/>
          </w:p>
        </w:tc>
        <w:tc>
          <w:tcPr>
            <w:tcW w:w="1197"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rPr>
              <w:t>Versions papier et électronique</w:t>
            </w:r>
          </w:p>
        </w:tc>
        <w:tc>
          <w:tcPr>
            <w:tcW w:w="459"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p>
        </w:tc>
        <w:tc>
          <w:tcPr>
            <w:tcW w:w="675"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30</w:t>
            </w:r>
          </w:p>
        </w:tc>
        <w:tc>
          <w:tcPr>
            <w:tcW w:w="729"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r w:rsidRPr="005B7F33">
              <w:rPr>
                <w:sz w:val="18"/>
                <w:szCs w:val="18"/>
                <w:lang w:bidi="fr-CH"/>
              </w:rPr>
              <w:t>E</w:t>
            </w:r>
          </w:p>
        </w:tc>
        <w:tc>
          <w:tcPr>
            <w:tcW w:w="1224"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uppressAutoHyphens/>
              <w:spacing w:before="40" w:after="80" w:line="220" w:lineRule="exact"/>
              <w:ind w:right="115"/>
              <w:rPr>
                <w:sz w:val="18"/>
                <w:szCs w:val="18"/>
                <w:lang w:bidi="fr-CH"/>
              </w:rPr>
            </w:pPr>
          </w:p>
        </w:tc>
        <w:tc>
          <w:tcPr>
            <w:tcW w:w="1413" w:type="dxa"/>
            <w:tcBorders>
              <w:bottom w:val="single" w:sz="12" w:space="0" w:color="auto"/>
            </w:tcBorders>
            <w:shd w:val="clear" w:color="auto" w:fill="auto"/>
          </w:tcPr>
          <w:p w:rsidR="00E77980" w:rsidRPr="005B7F33" w:rsidRDefault="00E77980" w:rsidP="005B7F33">
            <w:pPr>
              <w:tabs>
                <w:tab w:val="left" w:pos="288"/>
                <w:tab w:val="left" w:pos="576"/>
                <w:tab w:val="left" w:pos="864"/>
                <w:tab w:val="left" w:pos="1152"/>
              </w:tabs>
              <w:spacing w:before="40" w:after="80" w:line="220" w:lineRule="exact"/>
              <w:ind w:right="397"/>
              <w:rPr>
                <w:rFonts w:eastAsia="Times New Roman"/>
                <w:sz w:val="18"/>
                <w:szCs w:val="18"/>
              </w:rPr>
            </w:pPr>
            <w:r w:rsidRPr="005B7F33">
              <w:rPr>
                <w:sz w:val="18"/>
                <w:szCs w:val="18"/>
              </w:rPr>
              <w:t>500E, 200F, 200R, 200S, 200A</w:t>
            </w:r>
          </w:p>
          <w:p w:rsidR="00E77980" w:rsidRPr="005B7F33" w:rsidRDefault="00E77980" w:rsidP="007B14F3">
            <w:pPr>
              <w:tabs>
                <w:tab w:val="left" w:pos="288"/>
                <w:tab w:val="left" w:pos="576"/>
                <w:tab w:val="left" w:pos="864"/>
                <w:tab w:val="left" w:pos="1152"/>
              </w:tabs>
              <w:suppressAutoHyphens/>
              <w:spacing w:before="40" w:after="80" w:line="220" w:lineRule="exact"/>
              <w:ind w:right="115"/>
              <w:rPr>
                <w:spacing w:val="-8"/>
                <w:w w:val="100"/>
                <w:sz w:val="18"/>
                <w:szCs w:val="18"/>
                <w:lang w:bidi="fr-CH"/>
              </w:rPr>
            </w:pPr>
            <w:r w:rsidRPr="005B7F33">
              <w:rPr>
                <w:spacing w:val="-8"/>
                <w:w w:val="100"/>
                <w:sz w:val="18"/>
                <w:szCs w:val="18"/>
              </w:rPr>
              <w:t>(</w:t>
            </w:r>
            <w:r w:rsidRPr="005B7F33">
              <w:rPr>
                <w:sz w:val="18"/>
                <w:szCs w:val="18"/>
              </w:rPr>
              <w:t xml:space="preserve">A et S seront </w:t>
            </w:r>
            <w:proofErr w:type="gramStart"/>
            <w:r w:rsidRPr="005B7F33">
              <w:rPr>
                <w:sz w:val="18"/>
                <w:szCs w:val="18"/>
              </w:rPr>
              <w:t>traitées</w:t>
            </w:r>
            <w:proofErr w:type="gramEnd"/>
            <w:r w:rsidRPr="005B7F33">
              <w:rPr>
                <w:sz w:val="18"/>
                <w:szCs w:val="18"/>
              </w:rPr>
              <w:t xml:space="preserve"> par la Section de la gestion des documents </w:t>
            </w:r>
            <w:r w:rsidR="009836B6">
              <w:rPr>
                <w:sz w:val="18"/>
                <w:szCs w:val="18"/>
              </w:rPr>
              <w:br/>
            </w:r>
            <w:r w:rsidRPr="005B7F33">
              <w:rPr>
                <w:sz w:val="18"/>
                <w:szCs w:val="18"/>
              </w:rPr>
              <w:t xml:space="preserve">sur des fonds </w:t>
            </w:r>
            <w:r w:rsidRPr="007B14F3">
              <w:rPr>
                <w:spacing w:val="-2"/>
                <w:sz w:val="18"/>
                <w:szCs w:val="18"/>
              </w:rPr>
              <w:t>extrabudgétaires)</w:t>
            </w:r>
          </w:p>
        </w:tc>
      </w:tr>
    </w:tbl>
    <w:p w:rsidR="003962ED" w:rsidRPr="00D26761" w:rsidRDefault="003962ED" w:rsidP="00D26761">
      <w:pPr>
        <w:pStyle w:val="SingleTxt"/>
        <w:spacing w:after="0" w:line="120" w:lineRule="exact"/>
        <w:rPr>
          <w:b/>
          <w:sz w:val="10"/>
          <w:lang w:bidi="fr-CH"/>
        </w:rPr>
      </w:pP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b/>
          <w:sz w:val="10"/>
          <w:lang w:bidi="fr-CH"/>
        </w:rPr>
      </w:pPr>
    </w:p>
    <w:p w:rsidR="00D26761" w:rsidRDefault="00D26761" w:rsidP="00F12F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B.</w:t>
      </w:r>
      <w:r w:rsidRPr="00D26761">
        <w:rPr>
          <w:lang w:bidi="fr-CH"/>
        </w:rPr>
        <w:tab/>
        <w:t>Publications isolées</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b/>
          <w:sz w:val="10"/>
          <w:lang w:bidi="fr-CH"/>
        </w:rPr>
      </w:pPr>
    </w:p>
    <w:tbl>
      <w:tblPr>
        <w:tblW w:w="10026" w:type="dxa"/>
        <w:tblLayout w:type="fixed"/>
        <w:tblCellMar>
          <w:left w:w="0" w:type="dxa"/>
          <w:right w:w="0" w:type="dxa"/>
        </w:tblCellMar>
        <w:tblLook w:val="0000" w:firstRow="0" w:lastRow="0" w:firstColumn="0" w:lastColumn="0" w:noHBand="0" w:noVBand="0"/>
      </w:tblPr>
      <w:tblGrid>
        <w:gridCol w:w="315"/>
        <w:gridCol w:w="1548"/>
        <w:gridCol w:w="2466"/>
        <w:gridCol w:w="1197"/>
        <w:gridCol w:w="459"/>
        <w:gridCol w:w="675"/>
        <w:gridCol w:w="729"/>
        <w:gridCol w:w="1224"/>
        <w:gridCol w:w="1413"/>
      </w:tblGrid>
      <w:tr w:rsidR="00A17A96" w:rsidRPr="00E77980" w:rsidTr="00380EB0">
        <w:trPr>
          <w:tblHeader/>
        </w:trPr>
        <w:tc>
          <w:tcPr>
            <w:tcW w:w="315"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N</w:t>
            </w:r>
            <w:r w:rsidRPr="00680C47">
              <w:rPr>
                <w:i/>
                <w:w w:val="100"/>
                <w:sz w:val="14"/>
                <w:vertAlign w:val="superscript"/>
              </w:rPr>
              <w:t>o</w:t>
            </w:r>
          </w:p>
        </w:tc>
        <w:tc>
          <w:tcPr>
            <w:tcW w:w="1548"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Titre</w:t>
            </w:r>
          </w:p>
        </w:tc>
        <w:tc>
          <w:tcPr>
            <w:tcW w:w="2466"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Mandat</w:t>
            </w:r>
          </w:p>
        </w:tc>
        <w:tc>
          <w:tcPr>
            <w:tcW w:w="1197"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 xml:space="preserve">Version papier </w:t>
            </w:r>
            <w:r w:rsidRPr="009836B6">
              <w:rPr>
                <w:i/>
                <w:w w:val="100"/>
                <w:sz w:val="14"/>
              </w:rPr>
              <w:br/>
              <w:t>et/ou électronique</w:t>
            </w:r>
          </w:p>
        </w:tc>
        <w:tc>
          <w:tcPr>
            <w:tcW w:w="459"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Taille</w:t>
            </w:r>
          </w:p>
        </w:tc>
        <w:tc>
          <w:tcPr>
            <w:tcW w:w="675"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 xml:space="preserve">Nombre </w:t>
            </w:r>
            <w:r w:rsidRPr="009836B6">
              <w:rPr>
                <w:i/>
                <w:w w:val="100"/>
                <w:sz w:val="14"/>
              </w:rPr>
              <w:br/>
              <w:t>de pages</w:t>
            </w:r>
          </w:p>
        </w:tc>
        <w:tc>
          <w:tcPr>
            <w:tcW w:w="729"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Langue(s) d’</w:t>
            </w:r>
            <w:proofErr w:type="spellStart"/>
            <w:r w:rsidRPr="009836B6">
              <w:rPr>
                <w:i/>
                <w:w w:val="100"/>
                <w:sz w:val="14"/>
              </w:rPr>
              <w:t>origine</w:t>
            </w:r>
            <w:r w:rsidRPr="005B7F33">
              <w:rPr>
                <w:sz w:val="14"/>
                <w:vertAlign w:val="superscript"/>
              </w:rPr>
              <w:t>a</w:t>
            </w:r>
            <w:proofErr w:type="spellEnd"/>
          </w:p>
        </w:tc>
        <w:tc>
          <w:tcPr>
            <w:tcW w:w="1224"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lang w:bidi="fr-CH"/>
              </w:rPr>
              <w:t xml:space="preserve">Langue(s) cible(s) de la </w:t>
            </w:r>
            <w:proofErr w:type="spellStart"/>
            <w:r w:rsidRPr="009836B6">
              <w:rPr>
                <w:i/>
                <w:w w:val="100"/>
                <w:sz w:val="14"/>
                <w:lang w:bidi="fr-CH"/>
              </w:rPr>
              <w:t>traduction</w:t>
            </w:r>
            <w:r w:rsidRPr="005B7F33">
              <w:rPr>
                <w:sz w:val="14"/>
                <w:vertAlign w:val="superscript"/>
              </w:rPr>
              <w:t>a</w:t>
            </w:r>
            <w:proofErr w:type="spellEnd"/>
          </w:p>
        </w:tc>
        <w:tc>
          <w:tcPr>
            <w:tcW w:w="1413" w:type="dxa"/>
            <w:tcBorders>
              <w:top w:val="single" w:sz="4" w:space="0" w:color="auto"/>
              <w:bottom w:val="single" w:sz="12" w:space="0" w:color="auto"/>
            </w:tcBorders>
            <w:shd w:val="clear" w:color="auto" w:fill="auto"/>
            <w:vAlign w:val="bottom"/>
          </w:tcPr>
          <w:p w:rsidR="00A17A96" w:rsidRPr="009836B6" w:rsidRDefault="00A17A96" w:rsidP="00380EB0">
            <w:pPr>
              <w:suppressAutoHyphens/>
              <w:spacing w:before="80" w:after="80" w:line="160" w:lineRule="exact"/>
              <w:ind w:right="115"/>
              <w:rPr>
                <w:i/>
                <w:w w:val="100"/>
                <w:sz w:val="14"/>
                <w:lang w:bidi="fr-CH"/>
              </w:rPr>
            </w:pPr>
            <w:r w:rsidRPr="009836B6">
              <w:rPr>
                <w:i/>
                <w:w w:val="100"/>
                <w:sz w:val="14"/>
              </w:rPr>
              <w:t xml:space="preserve">Nombre d’exemplaires </w:t>
            </w:r>
            <w:r w:rsidRPr="009836B6">
              <w:rPr>
                <w:i/>
                <w:w w:val="100"/>
                <w:sz w:val="14"/>
              </w:rPr>
              <w:br/>
              <w:t>et langue(s)</w:t>
            </w:r>
            <w:r w:rsidRPr="005B7F33">
              <w:rPr>
                <w:sz w:val="14"/>
                <w:vertAlign w:val="superscript"/>
              </w:rPr>
              <w:t>a</w:t>
            </w:r>
          </w:p>
        </w:tc>
      </w:tr>
      <w:tr w:rsidR="00A17A96" w:rsidRPr="00E77980" w:rsidTr="00380EB0">
        <w:trPr>
          <w:trHeight w:hRule="exact" w:val="115"/>
          <w:tblHeader/>
        </w:trPr>
        <w:tc>
          <w:tcPr>
            <w:tcW w:w="315"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1548"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2466"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1197"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459"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675"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729"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1224"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c>
          <w:tcPr>
            <w:tcW w:w="1413" w:type="dxa"/>
            <w:tcBorders>
              <w:top w:val="single" w:sz="12" w:space="0" w:color="auto"/>
            </w:tcBorders>
            <w:shd w:val="clear" w:color="auto" w:fill="auto"/>
            <w:vAlign w:val="bottom"/>
          </w:tcPr>
          <w:p w:rsidR="00A17A96" w:rsidRPr="00E77980" w:rsidRDefault="00A17A96" w:rsidP="00380EB0">
            <w:pPr>
              <w:suppressAutoHyphens/>
              <w:spacing w:before="40" w:after="80"/>
              <w:ind w:right="115"/>
              <w:rPr>
                <w:lang w:bidi="fr-CH"/>
              </w:rPr>
            </w:pPr>
          </w:p>
        </w:tc>
      </w:tr>
      <w:tr w:rsidR="00A17A96" w:rsidRPr="005B7F33" w:rsidTr="00380EB0">
        <w:tc>
          <w:tcPr>
            <w:tcW w:w="315" w:type="dxa"/>
            <w:shd w:val="clear" w:color="auto" w:fill="auto"/>
          </w:tcPr>
          <w:p w:rsidR="00A17A96" w:rsidRPr="005B7F33" w:rsidRDefault="00A17A96" w:rsidP="00737E7D">
            <w:pPr>
              <w:tabs>
                <w:tab w:val="left" w:pos="288"/>
                <w:tab w:val="left" w:pos="576"/>
                <w:tab w:val="left" w:pos="864"/>
                <w:tab w:val="left" w:pos="1152"/>
              </w:tabs>
              <w:suppressAutoHyphens/>
              <w:spacing w:before="40" w:after="80" w:line="200" w:lineRule="exact"/>
              <w:ind w:right="115"/>
              <w:rPr>
                <w:sz w:val="18"/>
                <w:szCs w:val="18"/>
                <w:lang w:bidi="fr-CH"/>
              </w:rPr>
            </w:pPr>
            <w:r w:rsidRPr="005B7F33">
              <w:rPr>
                <w:sz w:val="18"/>
                <w:szCs w:val="18"/>
                <w:lang w:bidi="fr-CH"/>
              </w:rPr>
              <w:t>1</w:t>
            </w:r>
          </w:p>
        </w:tc>
        <w:tc>
          <w:tcPr>
            <w:tcW w:w="1548"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 xml:space="preserve">Étude de la performance environnementale de certains pays membres </w:t>
            </w:r>
          </w:p>
        </w:tc>
        <w:tc>
          <w:tcPr>
            <w:tcW w:w="2466"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ECE/ASTANA.CONF/2011/2/Add.1 (par. </w:t>
            </w:r>
            <w:r>
              <w:rPr>
                <w:sz w:val="18"/>
                <w:szCs w:val="18"/>
              </w:rPr>
              <w:t>13); ECE/CEP/S/2011/2 (par. 72 et 73 et 84 v))</w:t>
            </w:r>
            <w:r w:rsidRPr="005B7F33">
              <w:rPr>
                <w:sz w:val="18"/>
                <w:szCs w:val="18"/>
              </w:rPr>
              <w:t>.</w:t>
            </w:r>
          </w:p>
        </w:tc>
        <w:tc>
          <w:tcPr>
            <w:tcW w:w="1197"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737E7D">
            <w:pPr>
              <w:spacing w:before="40" w:after="80" w:line="200" w:lineRule="exact"/>
              <w:ind w:right="115"/>
              <w:rPr>
                <w:sz w:val="18"/>
                <w:szCs w:val="18"/>
                <w:lang w:val="fr-CH" w:eastAsia="fr-CH" w:bidi="fr-CH"/>
              </w:rPr>
            </w:pPr>
          </w:p>
        </w:tc>
        <w:tc>
          <w:tcPr>
            <w:tcW w:w="675"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393</w:t>
            </w:r>
          </w:p>
        </w:tc>
        <w:tc>
          <w:tcPr>
            <w:tcW w:w="729"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R</w:t>
            </w:r>
          </w:p>
        </w:tc>
        <w:tc>
          <w:tcPr>
            <w:tcW w:w="1413" w:type="dxa"/>
            <w:shd w:val="clear" w:color="auto" w:fill="auto"/>
          </w:tcPr>
          <w:p w:rsidR="00A17A96" w:rsidRPr="00737E7D" w:rsidRDefault="00A17A96" w:rsidP="00737E7D">
            <w:pPr>
              <w:tabs>
                <w:tab w:val="left" w:pos="288"/>
                <w:tab w:val="left" w:pos="576"/>
                <w:tab w:val="left" w:pos="864"/>
                <w:tab w:val="left" w:pos="1152"/>
              </w:tabs>
              <w:spacing w:before="40" w:after="80" w:line="200" w:lineRule="exact"/>
              <w:ind w:right="115"/>
              <w:rPr>
                <w:rFonts w:eastAsia="Times New Roman"/>
                <w:spacing w:val="0"/>
                <w:w w:val="100"/>
                <w:sz w:val="18"/>
                <w:szCs w:val="18"/>
                <w:lang w:val="fr-CH" w:eastAsia="fr-CH" w:bidi="fr-CH"/>
              </w:rPr>
            </w:pPr>
            <w:r w:rsidRPr="00737E7D">
              <w:rPr>
                <w:spacing w:val="0"/>
                <w:w w:val="100"/>
                <w:sz w:val="18"/>
                <w:szCs w:val="18"/>
              </w:rPr>
              <w:t xml:space="preserve">800E, </w:t>
            </w:r>
            <w:proofErr w:type="gramStart"/>
            <w:r w:rsidRPr="00737E7D">
              <w:rPr>
                <w:spacing w:val="0"/>
                <w:w w:val="100"/>
                <w:sz w:val="18"/>
                <w:szCs w:val="18"/>
              </w:rPr>
              <w:t>500R</w:t>
            </w:r>
            <w:proofErr w:type="gramEnd"/>
            <w:r w:rsidRPr="00737E7D">
              <w:rPr>
                <w:spacing w:val="0"/>
                <w:w w:val="100"/>
                <w:sz w:val="18"/>
                <w:szCs w:val="18"/>
              </w:rPr>
              <w:br/>
              <w:t>(Traduction en russe uniquement s’il s’agit d’une langue officielle du pays examiné)</w:t>
            </w:r>
          </w:p>
        </w:tc>
      </w:tr>
      <w:tr w:rsidR="00A17A96" w:rsidRPr="005B7F33" w:rsidTr="00380EB0">
        <w:tc>
          <w:tcPr>
            <w:tcW w:w="315" w:type="dxa"/>
            <w:shd w:val="clear" w:color="auto" w:fill="auto"/>
          </w:tcPr>
          <w:p w:rsidR="00A17A96" w:rsidRPr="005B7F33" w:rsidRDefault="00A17A96" w:rsidP="00737E7D">
            <w:pPr>
              <w:tabs>
                <w:tab w:val="left" w:pos="288"/>
                <w:tab w:val="left" w:pos="576"/>
                <w:tab w:val="left" w:pos="864"/>
                <w:tab w:val="left" w:pos="1152"/>
              </w:tabs>
              <w:suppressAutoHyphens/>
              <w:spacing w:before="40" w:after="80" w:line="200" w:lineRule="exact"/>
              <w:ind w:right="115"/>
              <w:rPr>
                <w:sz w:val="18"/>
                <w:szCs w:val="18"/>
                <w:lang w:bidi="fr-CH"/>
              </w:rPr>
            </w:pPr>
            <w:r w:rsidRPr="005B7F33">
              <w:rPr>
                <w:sz w:val="18"/>
                <w:szCs w:val="18"/>
                <w:lang w:bidi="fr-CH"/>
              </w:rPr>
              <w:t>2</w:t>
            </w:r>
          </w:p>
        </w:tc>
        <w:tc>
          <w:tcPr>
            <w:tcW w:w="1548"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 xml:space="preserve">Étude de la performance environnementale de certains pays membres </w:t>
            </w:r>
          </w:p>
        </w:tc>
        <w:tc>
          <w:tcPr>
            <w:tcW w:w="2466"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ECE/ASTANA.CONF/2011/</w:t>
            </w:r>
            <w:r w:rsidR="00D84F56">
              <w:rPr>
                <w:sz w:val="18"/>
                <w:szCs w:val="18"/>
              </w:rPr>
              <w:t xml:space="preserve"> </w:t>
            </w:r>
            <w:r w:rsidRPr="005B7F33">
              <w:rPr>
                <w:sz w:val="18"/>
                <w:szCs w:val="18"/>
              </w:rPr>
              <w:t>2/Add.1 (par. 13); ECE/CEP/S/2011/2 (par.</w:t>
            </w:r>
            <w:r>
              <w:rPr>
                <w:sz w:val="18"/>
                <w:szCs w:val="18"/>
              </w:rPr>
              <w:t> </w:t>
            </w:r>
            <w:r w:rsidRPr="005B7F33">
              <w:rPr>
                <w:sz w:val="18"/>
                <w:szCs w:val="18"/>
              </w:rPr>
              <w:t>72 et 73 et 84 v)).</w:t>
            </w:r>
          </w:p>
        </w:tc>
        <w:tc>
          <w:tcPr>
            <w:tcW w:w="1197"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737E7D">
            <w:pPr>
              <w:spacing w:before="40" w:after="80" w:line="200" w:lineRule="exact"/>
              <w:ind w:right="115"/>
              <w:rPr>
                <w:sz w:val="18"/>
                <w:szCs w:val="18"/>
                <w:lang w:val="fr-CH" w:eastAsia="fr-CH" w:bidi="fr-CH"/>
              </w:rPr>
            </w:pPr>
          </w:p>
        </w:tc>
        <w:tc>
          <w:tcPr>
            <w:tcW w:w="675"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393</w:t>
            </w:r>
          </w:p>
        </w:tc>
        <w:tc>
          <w:tcPr>
            <w:tcW w:w="729"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00" w:lineRule="exact"/>
              <w:ind w:right="115"/>
              <w:rPr>
                <w:rFonts w:eastAsia="Times New Roman"/>
                <w:sz w:val="18"/>
                <w:szCs w:val="18"/>
                <w:lang w:val="fr-CH" w:eastAsia="fr-CH" w:bidi="fr-CH"/>
              </w:rPr>
            </w:pPr>
            <w:r w:rsidRPr="005B7F33">
              <w:rPr>
                <w:sz w:val="18"/>
                <w:szCs w:val="18"/>
              </w:rPr>
              <w:t>R</w:t>
            </w:r>
          </w:p>
        </w:tc>
        <w:tc>
          <w:tcPr>
            <w:tcW w:w="1413" w:type="dxa"/>
            <w:shd w:val="clear" w:color="auto" w:fill="auto"/>
          </w:tcPr>
          <w:p w:rsidR="00A17A96" w:rsidRPr="00737E7D" w:rsidRDefault="00A17A96" w:rsidP="00737E7D">
            <w:pPr>
              <w:tabs>
                <w:tab w:val="left" w:pos="288"/>
                <w:tab w:val="left" w:pos="576"/>
                <w:tab w:val="left" w:pos="864"/>
                <w:tab w:val="left" w:pos="1152"/>
              </w:tabs>
              <w:spacing w:before="40" w:after="80" w:line="200" w:lineRule="exact"/>
              <w:ind w:right="115"/>
              <w:rPr>
                <w:spacing w:val="0"/>
                <w:w w:val="100"/>
                <w:sz w:val="18"/>
                <w:szCs w:val="18"/>
              </w:rPr>
            </w:pPr>
            <w:r w:rsidRPr="00737E7D">
              <w:rPr>
                <w:spacing w:val="0"/>
                <w:w w:val="100"/>
                <w:sz w:val="18"/>
                <w:szCs w:val="18"/>
              </w:rPr>
              <w:t xml:space="preserve">800E, </w:t>
            </w:r>
            <w:proofErr w:type="gramStart"/>
            <w:r w:rsidRPr="00737E7D">
              <w:rPr>
                <w:spacing w:val="0"/>
                <w:w w:val="100"/>
                <w:sz w:val="18"/>
                <w:szCs w:val="18"/>
              </w:rPr>
              <w:t>500R</w:t>
            </w:r>
            <w:proofErr w:type="gramEnd"/>
            <w:r w:rsidRPr="00737E7D">
              <w:rPr>
                <w:spacing w:val="0"/>
                <w:w w:val="100"/>
                <w:sz w:val="18"/>
                <w:szCs w:val="18"/>
              </w:rPr>
              <w:br/>
              <w:t>(Traduction en russe uniquement s’il s’agit d’une langue officielle du pays examiné)</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3</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Étude de la performance environnementale de certains pays membres </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ECE/ASTANA.CONF/2011/2/Add.1 (p</w:t>
            </w:r>
            <w:r>
              <w:rPr>
                <w:sz w:val="18"/>
                <w:szCs w:val="18"/>
              </w:rPr>
              <w:t>ar. 13); ECE/CEP/S/2011/2 (par. </w:t>
            </w:r>
            <w:r w:rsidRPr="005B7F33">
              <w:rPr>
                <w:sz w:val="18"/>
                <w:szCs w:val="18"/>
              </w:rPr>
              <w:t>72 et 73 et 84 v)).</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393</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R</w:t>
            </w:r>
          </w:p>
        </w:tc>
        <w:tc>
          <w:tcPr>
            <w:tcW w:w="1224"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1413" w:type="dxa"/>
            <w:shd w:val="clear" w:color="auto" w:fill="auto"/>
          </w:tcPr>
          <w:p w:rsidR="00A17A96" w:rsidRPr="00737E7D" w:rsidRDefault="00A17A96" w:rsidP="00737E7D">
            <w:pPr>
              <w:tabs>
                <w:tab w:val="left" w:pos="288"/>
                <w:tab w:val="left" w:pos="576"/>
                <w:tab w:val="left" w:pos="864"/>
                <w:tab w:val="left" w:pos="1152"/>
              </w:tabs>
              <w:spacing w:before="40" w:after="80" w:line="220" w:lineRule="exact"/>
              <w:ind w:right="115"/>
              <w:rPr>
                <w:rFonts w:eastAsia="Times New Roman"/>
                <w:spacing w:val="0"/>
                <w:w w:val="100"/>
                <w:sz w:val="18"/>
                <w:szCs w:val="18"/>
                <w:lang w:val="fr-CH" w:eastAsia="fr-CH" w:bidi="fr-CH"/>
              </w:rPr>
            </w:pPr>
            <w:r w:rsidRPr="00737E7D">
              <w:rPr>
                <w:spacing w:val="0"/>
                <w:w w:val="100"/>
                <w:sz w:val="18"/>
                <w:szCs w:val="18"/>
              </w:rPr>
              <w:t xml:space="preserve">800E, </w:t>
            </w:r>
            <w:proofErr w:type="gramStart"/>
            <w:r w:rsidRPr="00737E7D">
              <w:rPr>
                <w:spacing w:val="0"/>
                <w:w w:val="100"/>
                <w:sz w:val="18"/>
                <w:szCs w:val="18"/>
              </w:rPr>
              <w:t>500R</w:t>
            </w:r>
            <w:proofErr w:type="gramEnd"/>
            <w:r w:rsidRPr="00737E7D">
              <w:rPr>
                <w:spacing w:val="0"/>
                <w:w w:val="100"/>
                <w:sz w:val="18"/>
                <w:szCs w:val="18"/>
              </w:rPr>
              <w:br/>
              <w:t>(Traduction en russe uniquement s’il s’agit d’une langue officielle du pays examiné)</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4</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Étude de la performance environnementale de certains pays membres </w:t>
            </w:r>
          </w:p>
        </w:tc>
        <w:tc>
          <w:tcPr>
            <w:tcW w:w="2466" w:type="dxa"/>
            <w:shd w:val="clear" w:color="auto" w:fill="auto"/>
          </w:tcPr>
          <w:p w:rsidR="00A17A96" w:rsidRPr="005B7F33" w:rsidRDefault="00A17A96" w:rsidP="00D84F56">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ECE</w:t>
            </w:r>
            <w:r>
              <w:rPr>
                <w:sz w:val="18"/>
                <w:szCs w:val="18"/>
              </w:rPr>
              <w:t>/ASTANA.CONF/2011/</w:t>
            </w:r>
            <w:r w:rsidR="00D84F56">
              <w:rPr>
                <w:sz w:val="18"/>
                <w:szCs w:val="18"/>
              </w:rPr>
              <w:t xml:space="preserve"> </w:t>
            </w:r>
            <w:r>
              <w:rPr>
                <w:sz w:val="18"/>
                <w:szCs w:val="18"/>
              </w:rPr>
              <w:t>2/Add.1 (par. </w:t>
            </w:r>
            <w:r w:rsidRPr="005B7F33">
              <w:rPr>
                <w:sz w:val="18"/>
                <w:szCs w:val="18"/>
              </w:rPr>
              <w:t xml:space="preserve">13); ECE/CEP/S/2011/2 </w:t>
            </w:r>
            <w:r>
              <w:rPr>
                <w:sz w:val="18"/>
                <w:szCs w:val="18"/>
              </w:rPr>
              <w:t>(par. </w:t>
            </w:r>
            <w:r w:rsidRPr="005B7F33">
              <w:rPr>
                <w:sz w:val="18"/>
                <w:szCs w:val="18"/>
              </w:rPr>
              <w:t>72 et 73</w:t>
            </w:r>
            <w:r>
              <w:rPr>
                <w:sz w:val="18"/>
                <w:szCs w:val="18"/>
              </w:rPr>
              <w:t xml:space="preserve"> et 84 v))</w:t>
            </w:r>
            <w:r w:rsidRPr="005B7F33">
              <w:rPr>
                <w:sz w:val="18"/>
                <w:szCs w:val="18"/>
              </w:rPr>
              <w:t>.</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393</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R</w:t>
            </w:r>
          </w:p>
        </w:tc>
        <w:tc>
          <w:tcPr>
            <w:tcW w:w="1224"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1413" w:type="dxa"/>
            <w:shd w:val="clear" w:color="auto" w:fill="auto"/>
          </w:tcPr>
          <w:p w:rsidR="00A17A96" w:rsidRPr="00737E7D" w:rsidRDefault="00A17A96" w:rsidP="00737E7D">
            <w:pPr>
              <w:tabs>
                <w:tab w:val="left" w:pos="288"/>
                <w:tab w:val="left" w:pos="576"/>
                <w:tab w:val="left" w:pos="864"/>
                <w:tab w:val="left" w:pos="1152"/>
              </w:tabs>
              <w:spacing w:before="40" w:after="80" w:line="220" w:lineRule="exact"/>
              <w:ind w:right="115"/>
              <w:rPr>
                <w:rFonts w:eastAsia="Times New Roman"/>
                <w:spacing w:val="0"/>
                <w:w w:val="100"/>
                <w:sz w:val="18"/>
                <w:szCs w:val="18"/>
                <w:lang w:val="fr-CH" w:eastAsia="fr-CH" w:bidi="fr-CH"/>
              </w:rPr>
            </w:pPr>
            <w:r w:rsidRPr="00737E7D">
              <w:rPr>
                <w:spacing w:val="0"/>
                <w:w w:val="100"/>
                <w:sz w:val="18"/>
                <w:szCs w:val="18"/>
              </w:rPr>
              <w:t xml:space="preserve">800E, </w:t>
            </w:r>
            <w:proofErr w:type="gramStart"/>
            <w:r w:rsidRPr="00737E7D">
              <w:rPr>
                <w:spacing w:val="0"/>
                <w:w w:val="100"/>
                <w:sz w:val="18"/>
                <w:szCs w:val="18"/>
              </w:rPr>
              <w:t>500R</w:t>
            </w:r>
            <w:proofErr w:type="gramEnd"/>
            <w:r w:rsidRPr="00737E7D">
              <w:rPr>
                <w:spacing w:val="0"/>
                <w:w w:val="100"/>
                <w:sz w:val="18"/>
                <w:szCs w:val="18"/>
              </w:rPr>
              <w:br/>
              <w:t>(Traduction en russe uniquement s’il s’agit d’une langue officielle du pays examiné)</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5</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Principaux résultats obtenus et problèmes rencontrés dans l’ouverture de l’accès à l’information </w:t>
            </w:r>
            <w:r w:rsidR="00737E7D">
              <w:rPr>
                <w:sz w:val="18"/>
                <w:szCs w:val="18"/>
              </w:rPr>
              <w:br/>
            </w:r>
            <w:r w:rsidRPr="005B7F33">
              <w:rPr>
                <w:sz w:val="18"/>
                <w:szCs w:val="18"/>
              </w:rPr>
              <w:t xml:space="preserve">en application </w:t>
            </w:r>
            <w:r w:rsidR="00737E7D">
              <w:rPr>
                <w:sz w:val="18"/>
                <w:szCs w:val="18"/>
              </w:rPr>
              <w:br/>
            </w:r>
            <w:r w:rsidRPr="005B7F33">
              <w:rPr>
                <w:sz w:val="18"/>
                <w:szCs w:val="18"/>
              </w:rPr>
              <w:t xml:space="preserve">de la Convention d’Aarhus </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z w:val="18"/>
                <w:szCs w:val="18"/>
              </w:rPr>
              <w:t>ECE/MP.PP/2014/2, par. </w:t>
            </w:r>
            <w:r w:rsidRPr="005B7F33">
              <w:rPr>
                <w:sz w:val="18"/>
                <w:szCs w:val="18"/>
              </w:rPr>
              <w:t>38</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60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F, R </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w:t>
            </w:r>
            <w:r>
              <w:rPr>
                <w:sz w:val="18"/>
                <w:szCs w:val="18"/>
              </w:rPr>
              <w:t xml:space="preserve"> </w:t>
            </w:r>
            <w:r w:rsidRPr="005B7F33">
              <w:rPr>
                <w:sz w:val="18"/>
                <w:szCs w:val="18"/>
              </w:rPr>
              <w:t xml:space="preserve">000E, </w:t>
            </w:r>
            <w:r>
              <w:rPr>
                <w:sz w:val="18"/>
                <w:szCs w:val="18"/>
              </w:rPr>
              <w:br/>
            </w:r>
            <w:r w:rsidRPr="005B7F33">
              <w:rPr>
                <w:sz w:val="18"/>
                <w:szCs w:val="18"/>
              </w:rPr>
              <w:t>1</w:t>
            </w:r>
            <w:r>
              <w:rPr>
                <w:sz w:val="18"/>
                <w:szCs w:val="18"/>
              </w:rPr>
              <w:t xml:space="preserve"> </w:t>
            </w:r>
            <w:r w:rsidRPr="005B7F33">
              <w:rPr>
                <w:sz w:val="18"/>
                <w:szCs w:val="18"/>
              </w:rPr>
              <w:t xml:space="preserve">500F, </w:t>
            </w:r>
            <w:r>
              <w:rPr>
                <w:sz w:val="18"/>
                <w:szCs w:val="18"/>
              </w:rPr>
              <w:br/>
            </w:r>
            <w:r w:rsidRPr="005B7F33">
              <w:rPr>
                <w:sz w:val="18"/>
                <w:szCs w:val="18"/>
              </w:rPr>
              <w:t>2</w:t>
            </w:r>
            <w:r>
              <w:rPr>
                <w:sz w:val="18"/>
                <w:szCs w:val="18"/>
              </w:rPr>
              <w:t> </w:t>
            </w:r>
            <w:r w:rsidRPr="005B7F33">
              <w:rPr>
                <w:sz w:val="18"/>
                <w:szCs w:val="18"/>
              </w:rPr>
              <w:t>000R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6</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Évaluation des dispositions techniques du Protocole sur les registres des rejets et transferts de polluants </w:t>
            </w:r>
          </w:p>
        </w:tc>
        <w:tc>
          <w:tcPr>
            <w:tcW w:w="2466" w:type="dxa"/>
            <w:shd w:val="clear" w:color="auto" w:fill="auto"/>
          </w:tcPr>
          <w:p w:rsidR="00A17A96" w:rsidRPr="005B7F33" w:rsidRDefault="00D84F5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z w:val="18"/>
                <w:szCs w:val="18"/>
              </w:rPr>
              <w:t>ECE/MP.PRTR/2014/4, par. </w:t>
            </w:r>
            <w:r w:rsidR="00A17A96" w:rsidRPr="005B7F33">
              <w:rPr>
                <w:sz w:val="18"/>
                <w:szCs w:val="18"/>
              </w:rPr>
              <w:t xml:space="preserve">18 h) et </w:t>
            </w:r>
            <w:r w:rsidR="00A17A96" w:rsidRPr="00D84F56">
              <w:rPr>
                <w:w w:val="100"/>
                <w:sz w:val="18"/>
                <w:szCs w:val="18"/>
              </w:rPr>
              <w:t>ECE/MP.PRTR/2014/4/Add.1,</w:t>
            </w:r>
            <w:r w:rsidR="00A17A96" w:rsidRPr="005B7F33">
              <w:rPr>
                <w:sz w:val="18"/>
                <w:szCs w:val="18"/>
              </w:rPr>
              <w:t xml:space="preserve"> annexe «</w:t>
            </w:r>
            <w:r w:rsidR="00A17A96">
              <w:rPr>
                <w:sz w:val="18"/>
                <w:szCs w:val="18"/>
              </w:rPr>
              <w:t> </w:t>
            </w:r>
            <w:r w:rsidR="00A17A96" w:rsidRPr="005B7F33">
              <w:rPr>
                <w:sz w:val="18"/>
                <w:szCs w:val="18"/>
              </w:rPr>
              <w:t xml:space="preserve">Programme de travail pour la période </w:t>
            </w:r>
            <w:r w:rsidR="00737E7D">
              <w:rPr>
                <w:sz w:val="18"/>
                <w:szCs w:val="18"/>
              </w:rPr>
              <w:br/>
            </w:r>
            <w:r w:rsidR="00A17A96" w:rsidRPr="005B7F33">
              <w:rPr>
                <w:sz w:val="18"/>
                <w:szCs w:val="18"/>
              </w:rPr>
              <w:t>2015-2017</w:t>
            </w:r>
            <w:r w:rsidR="00A17A96">
              <w:rPr>
                <w:sz w:val="18"/>
                <w:szCs w:val="18"/>
              </w:rPr>
              <w:t> </w:t>
            </w:r>
            <w:r w:rsidR="00A17A96" w:rsidRPr="005B7F33">
              <w:rPr>
                <w:sz w:val="18"/>
                <w:szCs w:val="18"/>
              </w:rPr>
              <w:t>», Activité G</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50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E, F, R </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Seules quelques </w:t>
            </w:r>
            <w:proofErr w:type="gramStart"/>
            <w:r w:rsidRPr="005B7F33">
              <w:rPr>
                <w:sz w:val="18"/>
                <w:szCs w:val="18"/>
              </w:rPr>
              <w:t xml:space="preserve">partie du </w:t>
            </w:r>
            <w:r>
              <w:rPr>
                <w:sz w:val="18"/>
                <w:szCs w:val="18"/>
              </w:rPr>
              <w:br/>
            </w:r>
            <w:r w:rsidRPr="005B7F33">
              <w:rPr>
                <w:sz w:val="18"/>
                <w:szCs w:val="18"/>
              </w:rPr>
              <w:t>texte</w:t>
            </w:r>
            <w:proofErr w:type="gramEnd"/>
            <w:r w:rsidRPr="005B7F33">
              <w:rPr>
                <w:sz w:val="18"/>
                <w:szCs w:val="18"/>
              </w:rPr>
              <w:t xml:space="preserve"> (avant-propos et avertissement, par exemple) devront être traduites de </w:t>
            </w:r>
            <w:r>
              <w:rPr>
                <w:sz w:val="18"/>
                <w:szCs w:val="18"/>
              </w:rPr>
              <w:br/>
            </w:r>
            <w:r w:rsidRPr="005B7F33">
              <w:rPr>
                <w:sz w:val="18"/>
                <w:szCs w:val="18"/>
              </w:rPr>
              <w:t>E vers F et 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w:t>
            </w:r>
            <w:r>
              <w:rPr>
                <w:sz w:val="18"/>
                <w:szCs w:val="18"/>
              </w:rPr>
              <w:t xml:space="preserve"> </w:t>
            </w:r>
            <w:r w:rsidRPr="005B7F33">
              <w:rPr>
                <w:sz w:val="18"/>
                <w:szCs w:val="18"/>
              </w:rPr>
              <w:t xml:space="preserve">000E, </w:t>
            </w:r>
            <w:r>
              <w:rPr>
                <w:sz w:val="18"/>
                <w:szCs w:val="18"/>
              </w:rPr>
              <w:br/>
            </w:r>
            <w:r w:rsidRPr="005B7F33">
              <w:rPr>
                <w:sz w:val="18"/>
                <w:szCs w:val="18"/>
              </w:rPr>
              <w:t>1</w:t>
            </w:r>
            <w:r>
              <w:rPr>
                <w:sz w:val="18"/>
                <w:szCs w:val="18"/>
              </w:rPr>
              <w:t xml:space="preserve"> </w:t>
            </w:r>
            <w:r w:rsidRPr="005B7F33">
              <w:rPr>
                <w:sz w:val="18"/>
                <w:szCs w:val="18"/>
              </w:rPr>
              <w:t xml:space="preserve">500F, </w:t>
            </w:r>
            <w:r>
              <w:rPr>
                <w:sz w:val="18"/>
                <w:szCs w:val="18"/>
              </w:rPr>
              <w:br/>
            </w:r>
            <w:r w:rsidRPr="005B7F33">
              <w:rPr>
                <w:sz w:val="18"/>
                <w:szCs w:val="18"/>
              </w:rPr>
              <w:t>2</w:t>
            </w:r>
            <w:r>
              <w:rPr>
                <w:sz w:val="18"/>
                <w:szCs w:val="18"/>
              </w:rPr>
              <w:t> 000R</w:t>
            </w:r>
            <w:r w:rsidRPr="005B7F33">
              <w:rPr>
                <w:sz w:val="18"/>
                <w:szCs w:val="18"/>
              </w:rPr>
              <w:t xml:space="preserve"> </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7</w:t>
            </w:r>
          </w:p>
        </w:tc>
        <w:tc>
          <w:tcPr>
            <w:tcW w:w="1548"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Nouveau tirage de la Convention d’Aarhus </w:t>
            </w:r>
            <w:r w:rsidR="00737E7D">
              <w:rPr>
                <w:sz w:val="18"/>
                <w:szCs w:val="18"/>
              </w:rPr>
              <w:br/>
            </w:r>
            <w:r w:rsidRPr="005B7F33">
              <w:rPr>
                <w:sz w:val="18"/>
                <w:szCs w:val="18"/>
              </w:rPr>
              <w:t>(une fois l’amendement relatif aux OGM</w:t>
            </w:r>
            <w:r>
              <w:rPr>
                <w:sz w:val="18"/>
                <w:szCs w:val="18"/>
              </w:rPr>
              <w:t xml:space="preserve"> </w:t>
            </w:r>
            <w:r w:rsidRPr="005B7F33">
              <w:rPr>
                <w:sz w:val="18"/>
                <w:szCs w:val="18"/>
              </w:rPr>
              <w:t>entré en vigueur)</w:t>
            </w:r>
          </w:p>
        </w:tc>
        <w:tc>
          <w:tcPr>
            <w:tcW w:w="2466"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z w:val="18"/>
                <w:szCs w:val="18"/>
              </w:rPr>
              <w:t>ECE/MP.PP/2014/2, par. </w:t>
            </w:r>
            <w:r w:rsidRPr="005B7F33">
              <w:rPr>
                <w:sz w:val="18"/>
                <w:szCs w:val="18"/>
              </w:rPr>
              <w:t>22</w:t>
            </w:r>
          </w:p>
        </w:tc>
        <w:tc>
          <w:tcPr>
            <w:tcW w:w="1197"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keepNext/>
              <w:keepLines/>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33</w:t>
            </w:r>
          </w:p>
        </w:tc>
        <w:tc>
          <w:tcPr>
            <w:tcW w:w="729"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F, R</w:t>
            </w:r>
          </w:p>
        </w:tc>
        <w:tc>
          <w:tcPr>
            <w:tcW w:w="1224"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C, S, A</w:t>
            </w:r>
          </w:p>
        </w:tc>
        <w:tc>
          <w:tcPr>
            <w:tcW w:w="1413"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5</w:t>
            </w:r>
            <w:r>
              <w:rPr>
                <w:sz w:val="18"/>
                <w:szCs w:val="18"/>
              </w:rPr>
              <w:t xml:space="preserve"> 000E/F/</w:t>
            </w:r>
            <w:r w:rsidRPr="005B7F33">
              <w:rPr>
                <w:sz w:val="18"/>
                <w:szCs w:val="18"/>
              </w:rPr>
              <w:t>R, 1</w:t>
            </w:r>
            <w:r>
              <w:rPr>
                <w:sz w:val="18"/>
                <w:szCs w:val="18"/>
              </w:rPr>
              <w:t> </w:t>
            </w:r>
            <w:r w:rsidRPr="005B7F33">
              <w:rPr>
                <w:sz w:val="18"/>
                <w:szCs w:val="18"/>
              </w:rPr>
              <w:t xml:space="preserve">500C, </w:t>
            </w:r>
            <w:r>
              <w:rPr>
                <w:sz w:val="18"/>
                <w:szCs w:val="18"/>
              </w:rPr>
              <w:br/>
            </w:r>
            <w:r w:rsidRPr="005B7F33">
              <w:rPr>
                <w:sz w:val="18"/>
                <w:szCs w:val="18"/>
              </w:rPr>
              <w:t>1</w:t>
            </w:r>
            <w:r>
              <w:rPr>
                <w:sz w:val="18"/>
                <w:szCs w:val="18"/>
              </w:rPr>
              <w:t xml:space="preserve"> </w:t>
            </w:r>
            <w:r w:rsidRPr="005B7F33">
              <w:rPr>
                <w:sz w:val="18"/>
                <w:szCs w:val="18"/>
              </w:rPr>
              <w:t xml:space="preserve">500S, </w:t>
            </w:r>
            <w:r>
              <w:rPr>
                <w:sz w:val="18"/>
                <w:szCs w:val="18"/>
              </w:rPr>
              <w:br/>
            </w:r>
            <w:r w:rsidRPr="005B7F33">
              <w:rPr>
                <w:sz w:val="18"/>
                <w:szCs w:val="18"/>
              </w:rPr>
              <w:t>2</w:t>
            </w:r>
            <w:r>
              <w:rPr>
                <w:sz w:val="18"/>
                <w:szCs w:val="18"/>
              </w:rPr>
              <w:t xml:space="preserve"> </w:t>
            </w:r>
            <w:r w:rsidRPr="005B7F33">
              <w:rPr>
                <w:sz w:val="18"/>
                <w:szCs w:val="18"/>
              </w:rPr>
              <w:t>000A</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8</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Études de cas sur le recensement et l’évaluation des avantages de la coopération transfrontière dans le domaine de l’eau et les activités de communication connexes</w:t>
            </w:r>
          </w:p>
        </w:tc>
        <w:tc>
          <w:tcPr>
            <w:tcW w:w="2466"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Rapport de la réunion par téléconférence du Bureau de la Réunion des Parties à la Convention sur l’eau, tenue </w:t>
            </w:r>
            <w:r w:rsidR="00737E7D">
              <w:rPr>
                <w:sz w:val="18"/>
                <w:szCs w:val="18"/>
              </w:rPr>
              <w:br/>
            </w:r>
            <w:r w:rsidRPr="005B7F33">
              <w:rPr>
                <w:sz w:val="18"/>
                <w:szCs w:val="18"/>
              </w:rPr>
              <w:t>le 21 nov</w:t>
            </w:r>
            <w:r>
              <w:rPr>
                <w:sz w:val="18"/>
                <w:szCs w:val="18"/>
              </w:rPr>
              <w:t>embre 2014 (BUREAU/2014/11, par. </w:t>
            </w:r>
            <w:r w:rsidRPr="005B7F33">
              <w:rPr>
                <w:sz w:val="18"/>
                <w:szCs w:val="18"/>
              </w:rPr>
              <w:t xml:space="preserve">8, </w:t>
            </w:r>
            <w:r w:rsidR="00737E7D">
              <w:rPr>
                <w:sz w:val="18"/>
                <w:szCs w:val="18"/>
              </w:rPr>
              <w:br/>
            </w:r>
            <w:r w:rsidRPr="005B7F33">
              <w:rPr>
                <w:sz w:val="18"/>
                <w:szCs w:val="18"/>
              </w:rPr>
              <w:t>à consulter à l’adresse</w:t>
            </w:r>
            <w:r>
              <w:rPr>
                <w:sz w:val="18"/>
                <w:szCs w:val="18"/>
              </w:rPr>
              <w:t> :</w:t>
            </w:r>
            <w:r w:rsidRPr="005B7F33">
              <w:rPr>
                <w:sz w:val="18"/>
                <w:szCs w:val="18"/>
              </w:rPr>
              <w:t xml:space="preserve"> </w:t>
            </w:r>
            <w:r w:rsidR="00737E7D" w:rsidRPr="00737E7D">
              <w:rPr>
                <w:sz w:val="18"/>
                <w:szCs w:val="18"/>
              </w:rPr>
              <w:t>www.unece.org/fileadmin/</w:t>
            </w:r>
            <w:r w:rsidR="00737E7D">
              <w:rPr>
                <w:sz w:val="18"/>
                <w:szCs w:val="18"/>
              </w:rPr>
              <w:t xml:space="preserve"> </w:t>
            </w:r>
            <w:r w:rsidRPr="005B7F33">
              <w:rPr>
                <w:sz w:val="18"/>
                <w:szCs w:val="18"/>
              </w:rPr>
              <w:t>DAM/</w:t>
            </w:r>
            <w:proofErr w:type="spellStart"/>
            <w:r w:rsidRPr="005B7F33">
              <w:rPr>
                <w:sz w:val="18"/>
                <w:szCs w:val="18"/>
              </w:rPr>
              <w:t>env</w:t>
            </w:r>
            <w:proofErr w:type="spellEnd"/>
            <w:r w:rsidRPr="005B7F33">
              <w:rPr>
                <w:sz w:val="18"/>
                <w:szCs w:val="18"/>
              </w:rPr>
              <w:t>/documents/2014/</w:t>
            </w:r>
            <w:r w:rsidR="00737E7D">
              <w:rPr>
                <w:sz w:val="18"/>
                <w:szCs w:val="18"/>
              </w:rPr>
              <w:t xml:space="preserve"> </w:t>
            </w:r>
            <w:r w:rsidRPr="005B7F33">
              <w:rPr>
                <w:sz w:val="18"/>
                <w:szCs w:val="18"/>
              </w:rPr>
              <w:t>WAT/11Nov_21_Geneva_</w:t>
            </w:r>
            <w:r w:rsidR="00737E7D">
              <w:rPr>
                <w:sz w:val="18"/>
                <w:szCs w:val="18"/>
              </w:rPr>
              <w:t xml:space="preserve"> </w:t>
            </w:r>
            <w:proofErr w:type="spellStart"/>
            <w:r w:rsidRPr="005B7F33">
              <w:rPr>
                <w:sz w:val="18"/>
                <w:szCs w:val="18"/>
              </w:rPr>
              <w:t>Teleconference</w:t>
            </w:r>
            <w:proofErr w:type="spellEnd"/>
            <w:r w:rsidRPr="005B7F33">
              <w:rPr>
                <w:sz w:val="18"/>
                <w:szCs w:val="18"/>
              </w:rPr>
              <w:t>/</w:t>
            </w:r>
            <w:r w:rsidRPr="00C171BA">
              <w:rPr>
                <w:w w:val="100"/>
                <w:sz w:val="18"/>
                <w:szCs w:val="18"/>
              </w:rPr>
              <w:t>report_bureau_Nov2014.pdf)</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50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 S, A</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200E, </w:t>
            </w:r>
            <w:r>
              <w:rPr>
                <w:sz w:val="18"/>
                <w:szCs w:val="18"/>
              </w:rPr>
              <w:br/>
            </w:r>
            <w:r w:rsidRPr="005B7F33">
              <w:rPr>
                <w:sz w:val="18"/>
                <w:szCs w:val="18"/>
              </w:rPr>
              <w:t xml:space="preserve">400F, </w:t>
            </w:r>
            <w:r>
              <w:rPr>
                <w:sz w:val="18"/>
                <w:szCs w:val="18"/>
              </w:rPr>
              <w:br/>
            </w:r>
            <w:r w:rsidRPr="005B7F33">
              <w:rPr>
                <w:sz w:val="18"/>
                <w:szCs w:val="18"/>
              </w:rPr>
              <w:t xml:space="preserve">200R, </w:t>
            </w:r>
            <w:r>
              <w:rPr>
                <w:sz w:val="18"/>
                <w:szCs w:val="18"/>
              </w:rPr>
              <w:br/>
            </w:r>
            <w:r w:rsidRPr="005B7F33">
              <w:rPr>
                <w:sz w:val="18"/>
                <w:szCs w:val="18"/>
              </w:rPr>
              <w:t xml:space="preserve">400S, </w:t>
            </w:r>
            <w:r>
              <w:rPr>
                <w:sz w:val="18"/>
                <w:szCs w:val="18"/>
              </w:rPr>
              <w:br/>
            </w:r>
            <w:r w:rsidRPr="005B7F33">
              <w:rPr>
                <w:sz w:val="18"/>
                <w:szCs w:val="18"/>
              </w:rPr>
              <w:t>400A</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9</w:t>
            </w:r>
          </w:p>
        </w:tc>
        <w:tc>
          <w:tcPr>
            <w:tcW w:w="1548"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Guide sur les mesures à prendre pour réduire l’inégalité d’accès à l’eau et à l’assainissement</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C171BA">
              <w:rPr>
                <w:spacing w:val="-4"/>
                <w:w w:val="100"/>
                <w:sz w:val="18"/>
                <w:szCs w:val="18"/>
              </w:rPr>
              <w:t>ECE/MP.WH/WG.1/2014/2-</w:t>
            </w:r>
            <w:r w:rsidRPr="005B7F33">
              <w:rPr>
                <w:sz w:val="18"/>
                <w:szCs w:val="18"/>
              </w:rPr>
              <w:t xml:space="preserve">EUDCE/1408105/1.10/2014/WGWH/06, décision à l’ordre du jour au titre </w:t>
            </w:r>
            <w:r w:rsidR="00737E7D">
              <w:rPr>
                <w:sz w:val="18"/>
                <w:szCs w:val="18"/>
              </w:rPr>
              <w:br/>
            </w:r>
            <w:r w:rsidRPr="005B7F33">
              <w:rPr>
                <w:sz w:val="18"/>
                <w:szCs w:val="18"/>
              </w:rPr>
              <w:t>du point 13</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60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000E, </w:t>
            </w:r>
            <w:r>
              <w:rPr>
                <w:sz w:val="18"/>
                <w:szCs w:val="18"/>
              </w:rPr>
              <w:br/>
            </w:r>
            <w:r w:rsidRPr="005B7F33">
              <w:rPr>
                <w:sz w:val="18"/>
                <w:szCs w:val="18"/>
              </w:rPr>
              <w:t xml:space="preserve">300F, </w:t>
            </w:r>
            <w:r>
              <w:rPr>
                <w:sz w:val="18"/>
                <w:szCs w:val="18"/>
              </w:rPr>
              <w:br/>
            </w:r>
            <w:r w:rsidRPr="005B7F33">
              <w:rPr>
                <w:sz w:val="18"/>
                <w:szCs w:val="18"/>
              </w:rPr>
              <w:t xml:space="preserve">800R </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10</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Directives sur </w:t>
            </w:r>
            <w:r>
              <w:rPr>
                <w:sz w:val="18"/>
                <w:szCs w:val="18"/>
              </w:rPr>
              <w:br/>
            </w:r>
            <w:r w:rsidRPr="005B7F33">
              <w:rPr>
                <w:sz w:val="18"/>
                <w:szCs w:val="18"/>
              </w:rPr>
              <w:t>la définition d’objectifs et l’évaluation et la présentation des résultats obtenus (2</w:t>
            </w:r>
            <w:r w:rsidRPr="00376373">
              <w:rPr>
                <w:sz w:val="18"/>
                <w:szCs w:val="18"/>
                <w:vertAlign w:val="superscript"/>
              </w:rPr>
              <w:t>e</w:t>
            </w:r>
            <w:r w:rsidRPr="005B7F33">
              <w:rPr>
                <w:sz w:val="18"/>
                <w:szCs w:val="18"/>
              </w:rPr>
              <w:t xml:space="preserve"> éd.)</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pacing w:val="-4"/>
                <w:w w:val="100"/>
                <w:sz w:val="18"/>
                <w:szCs w:val="18"/>
              </w:rPr>
              <w:t>ECE/MP.WH/WG.1/</w:t>
            </w:r>
            <w:r w:rsidRPr="00C171BA">
              <w:rPr>
                <w:spacing w:val="-4"/>
                <w:w w:val="100"/>
                <w:sz w:val="18"/>
                <w:szCs w:val="18"/>
              </w:rPr>
              <w:t>2014/2-</w:t>
            </w:r>
            <w:r w:rsidRPr="005B7F33">
              <w:rPr>
                <w:sz w:val="18"/>
                <w:szCs w:val="18"/>
              </w:rPr>
              <w:t xml:space="preserve">EUDCE/1408105/1.10/2014/WGWH/06, décision à l’ordre du jour au titre </w:t>
            </w:r>
            <w:r w:rsidR="00737E7D">
              <w:rPr>
                <w:sz w:val="18"/>
                <w:szCs w:val="18"/>
              </w:rPr>
              <w:br/>
            </w:r>
            <w:r w:rsidRPr="005B7F33">
              <w:rPr>
                <w:sz w:val="18"/>
                <w:szCs w:val="18"/>
              </w:rPr>
              <w:t>du point 13</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70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000E, </w:t>
            </w:r>
            <w:r>
              <w:rPr>
                <w:sz w:val="18"/>
                <w:szCs w:val="18"/>
              </w:rPr>
              <w:br/>
            </w:r>
            <w:r w:rsidRPr="005B7F33">
              <w:rPr>
                <w:sz w:val="18"/>
                <w:szCs w:val="18"/>
              </w:rPr>
              <w:t xml:space="preserve">300F, </w:t>
            </w:r>
            <w:r>
              <w:rPr>
                <w:sz w:val="18"/>
                <w:szCs w:val="18"/>
              </w:rPr>
              <w:br/>
            </w:r>
            <w:r w:rsidRPr="005B7F33">
              <w:rPr>
                <w:sz w:val="18"/>
                <w:szCs w:val="18"/>
              </w:rPr>
              <w:t xml:space="preserve">800R </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11</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Indicateurs d’environnement de la CEE </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ECE/ASTANA.CONF/2011/</w:t>
            </w:r>
            <w:r w:rsidR="00737E7D">
              <w:rPr>
                <w:sz w:val="18"/>
                <w:szCs w:val="18"/>
              </w:rPr>
              <w:t xml:space="preserve"> </w:t>
            </w:r>
            <w:r w:rsidRPr="005B7F33">
              <w:rPr>
                <w:sz w:val="18"/>
                <w:szCs w:val="18"/>
              </w:rPr>
              <w:t xml:space="preserve">2/Add.1 (par. 14); ECE/CEP/2012/2 (par. 48 </w:t>
            </w:r>
            <w:r w:rsidR="00737E7D">
              <w:rPr>
                <w:sz w:val="18"/>
                <w:szCs w:val="18"/>
              </w:rPr>
              <w:br/>
            </w:r>
            <w:r w:rsidRPr="005B7F33">
              <w:rPr>
                <w:sz w:val="18"/>
                <w:szCs w:val="18"/>
              </w:rPr>
              <w:t xml:space="preserve">et 49 et 92 m) à n) </w:t>
            </w:r>
            <w:r w:rsidR="00737E7D">
              <w:rPr>
                <w:sz w:val="18"/>
                <w:szCs w:val="18"/>
              </w:rPr>
              <w:br/>
            </w:r>
            <w:r w:rsidRPr="005B7F33">
              <w:rPr>
                <w:sz w:val="18"/>
                <w:szCs w:val="18"/>
              </w:rPr>
              <w:t>et annexe IV)</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120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R</w:t>
            </w:r>
          </w:p>
        </w:tc>
        <w:tc>
          <w:tcPr>
            <w:tcW w:w="1224"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500E, </w:t>
            </w:r>
            <w:r>
              <w:rPr>
                <w:sz w:val="18"/>
                <w:szCs w:val="18"/>
              </w:rPr>
              <w:br/>
            </w:r>
            <w:r w:rsidRPr="005B7F33">
              <w:rPr>
                <w:sz w:val="18"/>
                <w:szCs w:val="18"/>
              </w:rPr>
              <w:t>300R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12</w:t>
            </w:r>
          </w:p>
        </w:tc>
        <w:tc>
          <w:tcPr>
            <w:tcW w:w="1548"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Système </w:t>
            </w:r>
            <w:r>
              <w:rPr>
                <w:sz w:val="18"/>
                <w:szCs w:val="18"/>
              </w:rPr>
              <w:br/>
            </w:r>
            <w:r w:rsidRPr="005B7F33">
              <w:rPr>
                <w:sz w:val="18"/>
                <w:szCs w:val="18"/>
              </w:rPr>
              <w:t>de partage d’informations sur l’environnement dans la région paneuropéenne</w:t>
            </w:r>
          </w:p>
        </w:tc>
        <w:tc>
          <w:tcPr>
            <w:tcW w:w="2466"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C171BA">
              <w:rPr>
                <w:spacing w:val="-4"/>
                <w:w w:val="100"/>
                <w:sz w:val="18"/>
                <w:szCs w:val="18"/>
              </w:rPr>
              <w:t>ECE/ASTANA.CONF/2011/2/</w:t>
            </w:r>
            <w:r w:rsidR="00737E7D">
              <w:rPr>
                <w:spacing w:val="-4"/>
                <w:w w:val="100"/>
                <w:sz w:val="18"/>
                <w:szCs w:val="18"/>
              </w:rPr>
              <w:t xml:space="preserve"> </w:t>
            </w:r>
            <w:r w:rsidRPr="00C171BA">
              <w:rPr>
                <w:spacing w:val="-4"/>
                <w:w w:val="100"/>
                <w:sz w:val="18"/>
                <w:szCs w:val="18"/>
              </w:rPr>
              <w:t>Add.1</w:t>
            </w:r>
            <w:r w:rsidRPr="005B7F33">
              <w:rPr>
                <w:sz w:val="18"/>
                <w:szCs w:val="18"/>
              </w:rPr>
              <w:t xml:space="preserve"> (par. 14); ECE/CEP/2012/2 (par. 48 </w:t>
            </w:r>
            <w:r w:rsidR="00737E7D">
              <w:rPr>
                <w:sz w:val="18"/>
                <w:szCs w:val="18"/>
              </w:rPr>
              <w:br/>
            </w:r>
            <w:r w:rsidRPr="005B7F33">
              <w:rPr>
                <w:sz w:val="18"/>
                <w:szCs w:val="18"/>
              </w:rPr>
              <w:t>et 49 et 92 m) à n) et annexe IV); ECE/CEP/2013/2 (par. 38 et 39 et 116 g) v))</w:t>
            </w:r>
          </w:p>
        </w:tc>
        <w:tc>
          <w:tcPr>
            <w:tcW w:w="1197"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keepNext/>
              <w:keepLines/>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100</w:t>
            </w:r>
          </w:p>
        </w:tc>
        <w:tc>
          <w:tcPr>
            <w:tcW w:w="729"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R</w:t>
            </w:r>
          </w:p>
        </w:tc>
        <w:tc>
          <w:tcPr>
            <w:tcW w:w="1224" w:type="dxa"/>
            <w:shd w:val="clear" w:color="auto" w:fill="auto"/>
          </w:tcPr>
          <w:p w:rsidR="00A17A96" w:rsidRPr="005B7F33" w:rsidRDefault="00A17A96" w:rsidP="00380EB0">
            <w:pPr>
              <w:keepNext/>
              <w:keepLines/>
              <w:spacing w:before="40" w:after="80" w:line="220" w:lineRule="exact"/>
              <w:ind w:right="115"/>
              <w:rPr>
                <w:sz w:val="18"/>
                <w:szCs w:val="18"/>
                <w:lang w:val="fr-CH" w:eastAsia="fr-CH" w:bidi="fr-CH"/>
              </w:rPr>
            </w:pPr>
          </w:p>
        </w:tc>
        <w:tc>
          <w:tcPr>
            <w:tcW w:w="1413" w:type="dxa"/>
            <w:shd w:val="clear" w:color="auto" w:fill="auto"/>
          </w:tcPr>
          <w:p w:rsidR="00A17A96" w:rsidRPr="005B7F33" w:rsidRDefault="00A17A96" w:rsidP="00380EB0">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500E, </w:t>
            </w:r>
            <w:r>
              <w:rPr>
                <w:sz w:val="18"/>
                <w:szCs w:val="18"/>
              </w:rPr>
              <w:br/>
            </w:r>
            <w:r w:rsidRPr="005B7F33">
              <w:rPr>
                <w:sz w:val="18"/>
                <w:szCs w:val="18"/>
              </w:rPr>
              <w:t>300R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13</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Guide sur l’application </w:t>
            </w:r>
            <w:r>
              <w:rPr>
                <w:sz w:val="18"/>
                <w:szCs w:val="18"/>
              </w:rPr>
              <w:br/>
            </w:r>
            <w:r w:rsidRPr="005B7F33">
              <w:rPr>
                <w:sz w:val="18"/>
                <w:szCs w:val="18"/>
              </w:rPr>
              <w:t xml:space="preserve">de la Convention d’Espoo </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ECE/MP.EIA/20/Add.3-</w:t>
            </w:r>
            <w:r w:rsidRPr="00C171BA">
              <w:rPr>
                <w:spacing w:val="-4"/>
                <w:w w:val="100"/>
                <w:sz w:val="18"/>
                <w:szCs w:val="18"/>
              </w:rPr>
              <w:t>ECE/MP.EIA/SEA/4/Add.3,</w:t>
            </w:r>
            <w:r w:rsidRPr="005B7F33">
              <w:rPr>
                <w:sz w:val="18"/>
                <w:szCs w:val="18"/>
              </w:rPr>
              <w:t xml:space="preserve"> par. 6, en conjonction avec l’annexe I à la décision</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50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F, R</w:t>
            </w:r>
          </w:p>
        </w:tc>
        <w:tc>
          <w:tcPr>
            <w:tcW w:w="1224"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500E, </w:t>
            </w:r>
            <w:r>
              <w:rPr>
                <w:sz w:val="18"/>
                <w:szCs w:val="18"/>
              </w:rPr>
              <w:br/>
            </w:r>
            <w:r w:rsidRPr="005B7F33">
              <w:rPr>
                <w:sz w:val="18"/>
                <w:szCs w:val="18"/>
              </w:rPr>
              <w:t xml:space="preserve">500F, </w:t>
            </w:r>
            <w:r>
              <w:rPr>
                <w:sz w:val="18"/>
                <w:szCs w:val="18"/>
              </w:rPr>
              <w:br/>
            </w:r>
            <w:r w:rsidRPr="005B7F33">
              <w:rPr>
                <w:sz w:val="18"/>
                <w:szCs w:val="18"/>
              </w:rPr>
              <w:t>1</w:t>
            </w:r>
            <w:r>
              <w:rPr>
                <w:sz w:val="18"/>
                <w:szCs w:val="18"/>
              </w:rPr>
              <w:t> </w:t>
            </w:r>
            <w:r w:rsidRPr="005B7F33">
              <w:rPr>
                <w:sz w:val="18"/>
                <w:szCs w:val="18"/>
              </w:rPr>
              <w:t>000R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14</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Directives sur l’évaluation de l’impact sur l’environnement dans un contexte transfrontière </w:t>
            </w:r>
            <w:proofErr w:type="gramStart"/>
            <w:r w:rsidRPr="005B7F33">
              <w:rPr>
                <w:sz w:val="18"/>
                <w:szCs w:val="18"/>
              </w:rPr>
              <w:t>destinées</w:t>
            </w:r>
            <w:proofErr w:type="gramEnd"/>
            <w:r w:rsidRPr="005B7F33">
              <w:rPr>
                <w:sz w:val="18"/>
                <w:szCs w:val="18"/>
              </w:rPr>
              <w:t xml:space="preserve"> aux pays d’Asie centrale </w:t>
            </w:r>
          </w:p>
        </w:tc>
        <w:tc>
          <w:tcPr>
            <w:tcW w:w="2466" w:type="dxa"/>
            <w:shd w:val="clear" w:color="auto" w:fill="auto"/>
          </w:tcPr>
          <w:p w:rsidR="00A17A96" w:rsidRPr="00533484" w:rsidRDefault="00737E7D"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en-GB" w:eastAsia="fr-CH" w:bidi="fr-CH"/>
              </w:rPr>
            </w:pPr>
            <w:r w:rsidRPr="00533484">
              <w:rPr>
                <w:sz w:val="18"/>
                <w:szCs w:val="18"/>
                <w:lang w:val="en-GB"/>
              </w:rPr>
              <w:t>ECE/MP.EIA/20/Add.3-</w:t>
            </w:r>
            <w:r w:rsidR="00A17A96" w:rsidRPr="00533484">
              <w:rPr>
                <w:sz w:val="18"/>
                <w:szCs w:val="18"/>
                <w:lang w:val="en-GB"/>
              </w:rPr>
              <w:t xml:space="preserve"> </w:t>
            </w:r>
            <w:r w:rsidR="00A17A96" w:rsidRPr="00533484">
              <w:rPr>
                <w:spacing w:val="-4"/>
                <w:w w:val="100"/>
                <w:sz w:val="18"/>
                <w:szCs w:val="18"/>
                <w:lang w:val="en-GB"/>
              </w:rPr>
              <w:t>ECE/MP.EIA/SEA/4/Add.3,</w:t>
            </w:r>
            <w:r w:rsidR="00A17A96" w:rsidRPr="00533484">
              <w:rPr>
                <w:sz w:val="18"/>
                <w:szCs w:val="18"/>
                <w:lang w:val="en-GB"/>
              </w:rPr>
              <w:t xml:space="preserve"> par. 6 </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50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200E, </w:t>
            </w:r>
            <w:r>
              <w:rPr>
                <w:sz w:val="18"/>
                <w:szCs w:val="18"/>
              </w:rPr>
              <w:br/>
            </w:r>
            <w:r w:rsidRPr="005B7F33">
              <w:rPr>
                <w:sz w:val="18"/>
                <w:szCs w:val="18"/>
              </w:rPr>
              <w:t>500R</w:t>
            </w:r>
          </w:p>
        </w:tc>
      </w:tr>
      <w:tr w:rsidR="00A17A96" w:rsidRPr="005B7F33" w:rsidTr="00380EB0">
        <w:tc>
          <w:tcPr>
            <w:tcW w:w="315" w:type="dxa"/>
            <w:shd w:val="clear" w:color="auto" w:fill="auto"/>
          </w:tcPr>
          <w:p w:rsidR="00A17A96" w:rsidRPr="005B7F33" w:rsidRDefault="00A17A96" w:rsidP="00746332">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15</w:t>
            </w:r>
          </w:p>
        </w:tc>
        <w:tc>
          <w:tcPr>
            <w:tcW w:w="1548" w:type="dxa"/>
            <w:shd w:val="clear" w:color="auto" w:fill="auto"/>
          </w:tcPr>
          <w:p w:rsidR="00A17A96" w:rsidRPr="005B7F33"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Examen de l’application de </w:t>
            </w:r>
            <w:r>
              <w:rPr>
                <w:sz w:val="18"/>
                <w:szCs w:val="18"/>
              </w:rPr>
              <w:br/>
            </w:r>
            <w:r w:rsidRPr="005B7F33">
              <w:rPr>
                <w:sz w:val="18"/>
                <w:szCs w:val="18"/>
              </w:rPr>
              <w:t xml:space="preserve">la Convention </w:t>
            </w:r>
            <w:r>
              <w:rPr>
                <w:sz w:val="18"/>
                <w:szCs w:val="18"/>
              </w:rPr>
              <w:br/>
            </w:r>
            <w:r w:rsidRPr="005B7F33">
              <w:rPr>
                <w:sz w:val="18"/>
                <w:szCs w:val="18"/>
              </w:rPr>
              <w:t xml:space="preserve">sur l’évaluation de l’impact sur l’environnement dans un contexte transfrontière (2013-2015) </w:t>
            </w:r>
          </w:p>
        </w:tc>
        <w:tc>
          <w:tcPr>
            <w:tcW w:w="2466" w:type="dxa"/>
            <w:shd w:val="clear" w:color="auto" w:fill="auto"/>
          </w:tcPr>
          <w:p w:rsidR="00A17A96" w:rsidRPr="00533484"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en-GB" w:eastAsia="fr-CH" w:bidi="fr-CH"/>
              </w:rPr>
            </w:pPr>
            <w:r w:rsidRPr="00533484">
              <w:rPr>
                <w:sz w:val="18"/>
                <w:szCs w:val="18"/>
                <w:lang w:val="en-GB"/>
              </w:rPr>
              <w:t>ECE/MP.EIA/20/Add.1</w:t>
            </w:r>
            <w:r w:rsidR="00737E7D" w:rsidRPr="00533484">
              <w:rPr>
                <w:sz w:val="18"/>
                <w:szCs w:val="18"/>
                <w:lang w:val="en-GB"/>
              </w:rPr>
              <w:t>-</w:t>
            </w:r>
            <w:r w:rsidRPr="00533484">
              <w:rPr>
                <w:sz w:val="18"/>
                <w:szCs w:val="18"/>
                <w:lang w:val="en-GB"/>
              </w:rPr>
              <w:t xml:space="preserve"> </w:t>
            </w:r>
            <w:r w:rsidRPr="00533484">
              <w:rPr>
                <w:spacing w:val="-6"/>
                <w:w w:val="100"/>
                <w:sz w:val="18"/>
                <w:szCs w:val="18"/>
                <w:lang w:val="en-GB"/>
              </w:rPr>
              <w:t>ECE/MP.EIA/SEA/4/ Add.1,</w:t>
            </w:r>
            <w:r w:rsidRPr="00533484">
              <w:rPr>
                <w:sz w:val="18"/>
                <w:szCs w:val="18"/>
                <w:lang w:val="en-GB"/>
              </w:rPr>
              <w:t xml:space="preserve"> par. 2</w:t>
            </w:r>
          </w:p>
        </w:tc>
        <w:tc>
          <w:tcPr>
            <w:tcW w:w="1197" w:type="dxa"/>
            <w:shd w:val="clear" w:color="auto" w:fill="auto"/>
          </w:tcPr>
          <w:p w:rsidR="00A17A96" w:rsidRPr="005B7F33"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z w:val="18"/>
                <w:szCs w:val="18"/>
              </w:rPr>
              <w:t>Version é</w:t>
            </w:r>
            <w:r w:rsidRPr="005B7F33">
              <w:rPr>
                <w:sz w:val="18"/>
                <w:szCs w:val="18"/>
              </w:rPr>
              <w:t>lectronique</w:t>
            </w:r>
          </w:p>
        </w:tc>
        <w:tc>
          <w:tcPr>
            <w:tcW w:w="459" w:type="dxa"/>
            <w:shd w:val="clear" w:color="auto" w:fill="auto"/>
          </w:tcPr>
          <w:p w:rsidR="00A17A96" w:rsidRPr="005B7F33" w:rsidRDefault="00A17A96" w:rsidP="00746332">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25</w:t>
            </w:r>
          </w:p>
        </w:tc>
        <w:tc>
          <w:tcPr>
            <w:tcW w:w="729" w:type="dxa"/>
            <w:shd w:val="clear" w:color="auto" w:fill="auto"/>
          </w:tcPr>
          <w:p w:rsidR="00A17A96" w:rsidRPr="005B7F33"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F, R</w:t>
            </w:r>
          </w:p>
        </w:tc>
        <w:tc>
          <w:tcPr>
            <w:tcW w:w="1224" w:type="dxa"/>
            <w:shd w:val="clear" w:color="auto" w:fill="auto"/>
          </w:tcPr>
          <w:p w:rsidR="00A17A96" w:rsidRPr="005B7F33" w:rsidRDefault="00A17A96" w:rsidP="00746332">
            <w:pPr>
              <w:spacing w:before="40" w:after="80" w:line="220" w:lineRule="exact"/>
              <w:ind w:right="115"/>
              <w:rPr>
                <w:sz w:val="18"/>
                <w:szCs w:val="18"/>
                <w:lang w:val="fr-CH" w:eastAsia="fr-CH" w:bidi="fr-CH"/>
              </w:rPr>
            </w:pPr>
          </w:p>
        </w:tc>
        <w:tc>
          <w:tcPr>
            <w:tcW w:w="1413" w:type="dxa"/>
            <w:shd w:val="clear" w:color="auto" w:fill="auto"/>
          </w:tcPr>
          <w:p w:rsidR="00A17A96" w:rsidRPr="005B7F33" w:rsidRDefault="00A17A96" w:rsidP="00746332">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 </w:t>
            </w:r>
          </w:p>
        </w:tc>
      </w:tr>
      <w:tr w:rsidR="00A17A96" w:rsidRPr="005B7F33" w:rsidTr="00380EB0">
        <w:tc>
          <w:tcPr>
            <w:tcW w:w="315" w:type="dxa"/>
            <w:shd w:val="clear" w:color="auto" w:fill="auto"/>
          </w:tcPr>
          <w:p w:rsidR="00A17A96" w:rsidRPr="005B7F33" w:rsidRDefault="00A17A96" w:rsidP="00737E7D">
            <w:pPr>
              <w:keepNext/>
              <w:keepLines/>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16</w:t>
            </w:r>
          </w:p>
        </w:tc>
        <w:tc>
          <w:tcPr>
            <w:tcW w:w="1548"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Examen de l’application du Protocole à la Convention sur l’évaluation de l’impact sur l’environnement dans un contexte transfrontière, relatif à l’évaluation stratégique environnementale (2013-2015) </w:t>
            </w:r>
          </w:p>
        </w:tc>
        <w:tc>
          <w:tcPr>
            <w:tcW w:w="2466" w:type="dxa"/>
            <w:shd w:val="clear" w:color="auto" w:fill="auto"/>
          </w:tcPr>
          <w:p w:rsidR="00A17A96" w:rsidRPr="00533484"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en-GB" w:eastAsia="fr-CH" w:bidi="fr-CH"/>
              </w:rPr>
            </w:pPr>
            <w:r w:rsidRPr="00533484">
              <w:rPr>
                <w:sz w:val="18"/>
                <w:szCs w:val="18"/>
                <w:lang w:val="en-GB"/>
              </w:rPr>
              <w:t>ECE/MP.EIA/20/Add.2</w:t>
            </w:r>
            <w:r w:rsidR="00737E7D" w:rsidRPr="00533484">
              <w:rPr>
                <w:sz w:val="18"/>
                <w:szCs w:val="18"/>
                <w:lang w:val="en-GB"/>
              </w:rPr>
              <w:t>-</w:t>
            </w:r>
            <w:r w:rsidRPr="00533484">
              <w:rPr>
                <w:spacing w:val="-6"/>
                <w:w w:val="100"/>
                <w:sz w:val="18"/>
                <w:szCs w:val="18"/>
                <w:lang w:val="en-GB"/>
              </w:rPr>
              <w:t>ECE/MP.EIA/SEA/4/Add.2,</w:t>
            </w:r>
            <w:r w:rsidRPr="00533484">
              <w:rPr>
                <w:sz w:val="18"/>
                <w:szCs w:val="18"/>
                <w:lang w:val="en-GB"/>
              </w:rPr>
              <w:t xml:space="preserve"> par. 2</w:t>
            </w:r>
          </w:p>
        </w:tc>
        <w:tc>
          <w:tcPr>
            <w:tcW w:w="1197"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Pr>
                <w:sz w:val="18"/>
                <w:szCs w:val="18"/>
              </w:rPr>
              <w:t>Version é</w:t>
            </w:r>
            <w:r w:rsidRPr="005B7F33">
              <w:rPr>
                <w:sz w:val="18"/>
                <w:szCs w:val="18"/>
              </w:rPr>
              <w:t>lectronique</w:t>
            </w:r>
          </w:p>
        </w:tc>
        <w:tc>
          <w:tcPr>
            <w:tcW w:w="459"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p>
        </w:tc>
        <w:tc>
          <w:tcPr>
            <w:tcW w:w="675"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30</w:t>
            </w:r>
          </w:p>
        </w:tc>
        <w:tc>
          <w:tcPr>
            <w:tcW w:w="729"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F, R</w:t>
            </w:r>
          </w:p>
        </w:tc>
        <w:tc>
          <w:tcPr>
            <w:tcW w:w="1224"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p>
        </w:tc>
        <w:tc>
          <w:tcPr>
            <w:tcW w:w="1413" w:type="dxa"/>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17</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Application de </w:t>
            </w:r>
            <w:r>
              <w:rPr>
                <w:sz w:val="18"/>
                <w:szCs w:val="18"/>
              </w:rPr>
              <w:br/>
            </w:r>
            <w:r w:rsidRPr="005B7F33">
              <w:rPr>
                <w:sz w:val="18"/>
                <w:szCs w:val="18"/>
              </w:rPr>
              <w:t xml:space="preserve">la Déclaration </w:t>
            </w:r>
            <w:r>
              <w:rPr>
                <w:sz w:val="18"/>
                <w:szCs w:val="18"/>
              </w:rPr>
              <w:br/>
            </w:r>
            <w:r w:rsidRPr="005B7F33">
              <w:rPr>
                <w:sz w:val="18"/>
                <w:szCs w:val="18"/>
              </w:rPr>
              <w:t xml:space="preserve">de Paris adoptée à l’issue de la quatrième Réunion de haut niveau sur les transports, la santé et l’environnement </w:t>
            </w:r>
          </w:p>
        </w:tc>
        <w:tc>
          <w:tcPr>
            <w:tcW w:w="2466" w:type="dxa"/>
            <w:shd w:val="clear" w:color="auto" w:fill="auto"/>
          </w:tcPr>
          <w:p w:rsidR="00A17A96" w:rsidRPr="00533484"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en-GB" w:eastAsia="fr-CH" w:bidi="fr-CH"/>
              </w:rPr>
            </w:pPr>
            <w:r w:rsidRPr="00533484">
              <w:rPr>
                <w:sz w:val="18"/>
                <w:szCs w:val="18"/>
                <w:lang w:val="en-GB"/>
              </w:rPr>
              <w:t>ECE/AC.21/SC/2014/7-</w:t>
            </w:r>
            <w:r w:rsidRPr="00533484">
              <w:rPr>
                <w:spacing w:val="-6"/>
                <w:w w:val="100"/>
                <w:sz w:val="18"/>
                <w:szCs w:val="18"/>
                <w:lang w:val="en-GB"/>
              </w:rPr>
              <w:t>EUDCE</w:t>
            </w:r>
            <w:r w:rsidR="00737E7D" w:rsidRPr="00533484">
              <w:rPr>
                <w:spacing w:val="-6"/>
                <w:w w:val="100"/>
                <w:sz w:val="18"/>
                <w:szCs w:val="18"/>
                <w:lang w:val="en-GB"/>
              </w:rPr>
              <w:t>/</w:t>
            </w:r>
            <w:r w:rsidRPr="00533484">
              <w:rPr>
                <w:spacing w:val="-6"/>
                <w:w w:val="100"/>
                <w:sz w:val="18"/>
                <w:szCs w:val="18"/>
                <w:lang w:val="en-GB"/>
              </w:rPr>
              <w:t>1408105/1.6/SC12/7</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25</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shd w:val="clear" w:color="auto" w:fill="auto"/>
          </w:tcPr>
          <w:p w:rsidR="00A17A96" w:rsidRPr="005B7F33" w:rsidRDefault="00A17A96" w:rsidP="00A17A96">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500E, </w:t>
            </w:r>
            <w:r>
              <w:rPr>
                <w:sz w:val="18"/>
                <w:szCs w:val="18"/>
              </w:rPr>
              <w:br/>
            </w:r>
            <w:r w:rsidRPr="005B7F33">
              <w:rPr>
                <w:sz w:val="18"/>
                <w:szCs w:val="18"/>
              </w:rPr>
              <w:t xml:space="preserve">500F, </w:t>
            </w:r>
            <w:r>
              <w:rPr>
                <w:sz w:val="18"/>
                <w:szCs w:val="18"/>
              </w:rPr>
              <w:br/>
            </w:r>
            <w:r w:rsidRPr="005B7F33">
              <w:rPr>
                <w:sz w:val="18"/>
                <w:szCs w:val="18"/>
              </w:rPr>
              <w:t>500R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18</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Partenariats </w:t>
            </w:r>
            <w:r>
              <w:rPr>
                <w:sz w:val="18"/>
                <w:szCs w:val="18"/>
              </w:rPr>
              <w:br/>
            </w:r>
            <w:r w:rsidRPr="005B7F33">
              <w:rPr>
                <w:sz w:val="18"/>
                <w:szCs w:val="18"/>
              </w:rPr>
              <w:t>du PPE-TSE</w:t>
            </w:r>
          </w:p>
        </w:tc>
        <w:tc>
          <w:tcPr>
            <w:tcW w:w="2466" w:type="dxa"/>
            <w:shd w:val="clear" w:color="auto" w:fill="auto"/>
          </w:tcPr>
          <w:p w:rsidR="00A17A96" w:rsidRPr="00533484"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en-GB" w:eastAsia="fr-CH" w:bidi="fr-CH"/>
              </w:rPr>
            </w:pPr>
            <w:r w:rsidRPr="00533484">
              <w:rPr>
                <w:sz w:val="18"/>
                <w:szCs w:val="18"/>
                <w:lang w:val="en-GB"/>
              </w:rPr>
              <w:t>ECE/AC.21/SC/2014/7-EUDCE</w:t>
            </w:r>
            <w:r w:rsidR="00737E7D" w:rsidRPr="00533484">
              <w:rPr>
                <w:sz w:val="18"/>
                <w:szCs w:val="18"/>
                <w:lang w:val="en-GB"/>
              </w:rPr>
              <w:t>/</w:t>
            </w:r>
            <w:r w:rsidRPr="00533484">
              <w:rPr>
                <w:sz w:val="18"/>
                <w:szCs w:val="18"/>
                <w:lang w:val="en-GB"/>
              </w:rPr>
              <w:t>1408105/1.6/SC12/7</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30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500E, </w:t>
            </w:r>
            <w:r>
              <w:rPr>
                <w:sz w:val="18"/>
                <w:szCs w:val="18"/>
              </w:rPr>
              <w:br/>
            </w:r>
            <w:r w:rsidRPr="005B7F33">
              <w:rPr>
                <w:sz w:val="18"/>
                <w:szCs w:val="18"/>
              </w:rPr>
              <w:t xml:space="preserve">500F, </w:t>
            </w:r>
            <w:r>
              <w:rPr>
                <w:sz w:val="18"/>
                <w:szCs w:val="18"/>
              </w:rPr>
              <w:br/>
            </w:r>
            <w:r w:rsidRPr="005B7F33">
              <w:rPr>
                <w:sz w:val="18"/>
                <w:szCs w:val="18"/>
              </w:rPr>
              <w:t>500R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19</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Nouveau tirage de la Convention sur les effets transfrontières des accidents industriels </w:t>
            </w:r>
          </w:p>
        </w:tc>
        <w:tc>
          <w:tcPr>
            <w:tcW w:w="2466"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Mandat issu de la huitième Réunion de la Conférence des Parties à la Convention sur les effets transfrontières des accidents in</w:t>
            </w:r>
            <w:r>
              <w:rPr>
                <w:sz w:val="18"/>
                <w:szCs w:val="18"/>
              </w:rPr>
              <w:t>dustriels (ECE/CP.TEIA/30, par. </w:t>
            </w:r>
            <w:r w:rsidRPr="005B7F33">
              <w:rPr>
                <w:sz w:val="18"/>
                <w:szCs w:val="18"/>
              </w:rPr>
              <w:t xml:space="preserve">38, </w:t>
            </w:r>
            <w:r w:rsidR="00737E7D">
              <w:rPr>
                <w:sz w:val="18"/>
                <w:szCs w:val="18"/>
              </w:rPr>
              <w:br/>
            </w:r>
            <w:r w:rsidRPr="00A74DB0">
              <w:rPr>
                <w:spacing w:val="-2"/>
                <w:sz w:val="18"/>
                <w:szCs w:val="18"/>
              </w:rPr>
              <w:t>3</w:t>
            </w:r>
            <w:r>
              <w:rPr>
                <w:spacing w:val="-2"/>
                <w:w w:val="100"/>
                <w:sz w:val="18"/>
                <w:szCs w:val="18"/>
              </w:rPr>
              <w:t xml:space="preserve">-5 décembre </w:t>
            </w:r>
            <w:r w:rsidRPr="00A74DB0">
              <w:rPr>
                <w:spacing w:val="-2"/>
                <w:w w:val="100"/>
                <w:sz w:val="18"/>
                <w:szCs w:val="18"/>
              </w:rPr>
              <w:t>2014)</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130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 F, R</w:t>
            </w:r>
          </w:p>
        </w:tc>
        <w:tc>
          <w:tcPr>
            <w:tcW w:w="1224"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1</w:t>
            </w:r>
            <w:r>
              <w:rPr>
                <w:sz w:val="18"/>
                <w:szCs w:val="18"/>
              </w:rPr>
              <w:t xml:space="preserve"> </w:t>
            </w:r>
            <w:r w:rsidRPr="005B7F33">
              <w:rPr>
                <w:sz w:val="18"/>
                <w:szCs w:val="18"/>
              </w:rPr>
              <w:t xml:space="preserve">000E, </w:t>
            </w:r>
            <w:r>
              <w:rPr>
                <w:sz w:val="18"/>
                <w:szCs w:val="18"/>
              </w:rPr>
              <w:br/>
            </w:r>
            <w:r w:rsidRPr="005B7F33">
              <w:rPr>
                <w:sz w:val="18"/>
                <w:szCs w:val="18"/>
              </w:rPr>
              <w:t xml:space="preserve">200F, </w:t>
            </w:r>
            <w:r>
              <w:rPr>
                <w:sz w:val="18"/>
                <w:szCs w:val="18"/>
              </w:rPr>
              <w:br/>
            </w:r>
            <w:r w:rsidRPr="005B7F33">
              <w:rPr>
                <w:sz w:val="18"/>
                <w:szCs w:val="18"/>
              </w:rPr>
              <w:t>500R</w:t>
            </w:r>
          </w:p>
        </w:tc>
      </w:tr>
      <w:tr w:rsidR="00A17A96" w:rsidRPr="005B7F33" w:rsidTr="00380EB0">
        <w:tc>
          <w:tcPr>
            <w:tcW w:w="315" w:type="dxa"/>
            <w:shd w:val="clear" w:color="auto" w:fill="auto"/>
          </w:tcPr>
          <w:p w:rsidR="00A17A96" w:rsidRPr="005B7F33" w:rsidRDefault="00A17A96" w:rsidP="00380EB0">
            <w:pPr>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20</w:t>
            </w:r>
          </w:p>
        </w:tc>
        <w:tc>
          <w:tcPr>
            <w:tcW w:w="1548"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Guide relatif à l’application </w:t>
            </w:r>
            <w:r>
              <w:rPr>
                <w:sz w:val="18"/>
                <w:szCs w:val="18"/>
              </w:rPr>
              <w:br/>
            </w:r>
            <w:r w:rsidRPr="005B7F33">
              <w:rPr>
                <w:sz w:val="18"/>
                <w:szCs w:val="18"/>
              </w:rPr>
              <w:t xml:space="preserve">de la Convention sur les effets transfrontières des accidents industriels </w:t>
            </w:r>
          </w:p>
        </w:tc>
        <w:tc>
          <w:tcPr>
            <w:tcW w:w="2466" w:type="dxa"/>
            <w:shd w:val="clear" w:color="auto" w:fill="auto"/>
          </w:tcPr>
          <w:p w:rsidR="00A17A96" w:rsidRPr="005B7F33" w:rsidRDefault="00A17A96" w:rsidP="00737E7D">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Le mandat sera émis à la neuvième Réunion de la Conférence des Parties à la Convention sur les effets transfrontières des accident</w:t>
            </w:r>
            <w:r>
              <w:rPr>
                <w:sz w:val="18"/>
                <w:szCs w:val="18"/>
              </w:rPr>
              <w:t>s industriels (novembre 2016, à </w:t>
            </w:r>
            <w:r w:rsidRPr="005B7F33">
              <w:rPr>
                <w:sz w:val="18"/>
                <w:szCs w:val="18"/>
              </w:rPr>
              <w:t>confirmer)</w:t>
            </w:r>
          </w:p>
        </w:tc>
        <w:tc>
          <w:tcPr>
            <w:tcW w:w="1197"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shd w:val="clear" w:color="auto" w:fill="auto"/>
          </w:tcPr>
          <w:p w:rsidR="00A17A96" w:rsidRPr="005B7F33" w:rsidRDefault="00A17A96" w:rsidP="00380EB0">
            <w:pPr>
              <w:spacing w:before="40" w:after="80" w:line="220" w:lineRule="exact"/>
              <w:ind w:right="115"/>
              <w:rPr>
                <w:sz w:val="18"/>
                <w:szCs w:val="18"/>
                <w:lang w:val="fr-CH" w:eastAsia="fr-CH" w:bidi="fr-CH"/>
              </w:rPr>
            </w:pPr>
          </w:p>
        </w:tc>
        <w:tc>
          <w:tcPr>
            <w:tcW w:w="675"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200</w:t>
            </w:r>
          </w:p>
        </w:tc>
        <w:tc>
          <w:tcPr>
            <w:tcW w:w="729"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shd w:val="clear" w:color="auto" w:fill="auto"/>
          </w:tcPr>
          <w:p w:rsidR="00A17A96" w:rsidRPr="005B7F33" w:rsidRDefault="00A17A96" w:rsidP="00380EB0">
            <w:pPr>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500E, </w:t>
            </w:r>
            <w:r>
              <w:rPr>
                <w:sz w:val="18"/>
                <w:szCs w:val="18"/>
              </w:rPr>
              <w:br/>
            </w:r>
            <w:r w:rsidRPr="005B7F33">
              <w:rPr>
                <w:sz w:val="18"/>
                <w:szCs w:val="18"/>
              </w:rPr>
              <w:t xml:space="preserve">100F, </w:t>
            </w:r>
            <w:r>
              <w:rPr>
                <w:sz w:val="18"/>
                <w:szCs w:val="18"/>
              </w:rPr>
              <w:br/>
            </w:r>
            <w:r w:rsidRPr="005B7F33">
              <w:rPr>
                <w:sz w:val="18"/>
                <w:szCs w:val="18"/>
              </w:rPr>
              <w:t>300R</w:t>
            </w:r>
          </w:p>
        </w:tc>
      </w:tr>
      <w:tr w:rsidR="00A17A96" w:rsidRPr="005B7F33" w:rsidTr="00380EB0">
        <w:tc>
          <w:tcPr>
            <w:tcW w:w="315" w:type="dxa"/>
            <w:tcBorders>
              <w:bottom w:val="single" w:sz="12" w:space="0" w:color="auto"/>
            </w:tcBorders>
            <w:shd w:val="clear" w:color="auto" w:fill="auto"/>
          </w:tcPr>
          <w:p w:rsidR="00A17A96" w:rsidRDefault="00A17A96" w:rsidP="00737E7D">
            <w:pPr>
              <w:keepNext/>
              <w:keepLines/>
              <w:tabs>
                <w:tab w:val="left" w:pos="288"/>
                <w:tab w:val="left" w:pos="576"/>
                <w:tab w:val="left" w:pos="864"/>
                <w:tab w:val="left" w:pos="1152"/>
              </w:tabs>
              <w:suppressAutoHyphens/>
              <w:spacing w:before="40" w:after="80" w:line="220" w:lineRule="exact"/>
              <w:ind w:right="115"/>
              <w:rPr>
                <w:sz w:val="18"/>
                <w:szCs w:val="18"/>
                <w:lang w:bidi="fr-CH"/>
              </w:rPr>
            </w:pPr>
            <w:r>
              <w:rPr>
                <w:sz w:val="18"/>
                <w:szCs w:val="18"/>
                <w:lang w:bidi="fr-CH"/>
              </w:rPr>
              <w:t>21</w:t>
            </w:r>
          </w:p>
        </w:tc>
        <w:tc>
          <w:tcPr>
            <w:tcW w:w="1548"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Guide sur l’aménagement du territoire et l’implantation d’installations dangereuses compte tenu </w:t>
            </w:r>
            <w:r>
              <w:rPr>
                <w:sz w:val="18"/>
                <w:szCs w:val="18"/>
              </w:rPr>
              <w:br/>
            </w:r>
            <w:r w:rsidRPr="005B7F33">
              <w:rPr>
                <w:sz w:val="18"/>
                <w:szCs w:val="18"/>
              </w:rPr>
              <w:t xml:space="preserve">de l’impact environnemental </w:t>
            </w:r>
          </w:p>
        </w:tc>
        <w:tc>
          <w:tcPr>
            <w:tcW w:w="2466"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Mandat issu de la huitième Réunion de la Conférence des Parties à la Convention sur les effets transfrontières des accidents industriels (ECE/CP.TEIA/30, par</w:t>
            </w:r>
            <w:r>
              <w:rPr>
                <w:sz w:val="18"/>
                <w:szCs w:val="18"/>
              </w:rPr>
              <w:t>. </w:t>
            </w:r>
            <w:r w:rsidRPr="005B7F33">
              <w:rPr>
                <w:sz w:val="18"/>
                <w:szCs w:val="18"/>
              </w:rPr>
              <w:t xml:space="preserve">45 </w:t>
            </w:r>
            <w:r w:rsidR="00737E7D">
              <w:rPr>
                <w:sz w:val="18"/>
                <w:szCs w:val="18"/>
              </w:rPr>
              <w:br/>
            </w:r>
            <w:r w:rsidRPr="005B7F33">
              <w:rPr>
                <w:sz w:val="18"/>
                <w:szCs w:val="18"/>
              </w:rPr>
              <w:t xml:space="preserve">et 88, </w:t>
            </w:r>
            <w:r>
              <w:rPr>
                <w:sz w:val="18"/>
                <w:szCs w:val="18"/>
              </w:rPr>
              <w:t xml:space="preserve">3-5 décembre </w:t>
            </w:r>
            <w:r w:rsidRPr="005B7F33">
              <w:rPr>
                <w:sz w:val="18"/>
                <w:szCs w:val="18"/>
              </w:rPr>
              <w:t>2014)</w:t>
            </w:r>
          </w:p>
        </w:tc>
        <w:tc>
          <w:tcPr>
            <w:tcW w:w="1197"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Versions papier et électronique</w:t>
            </w:r>
          </w:p>
        </w:tc>
        <w:tc>
          <w:tcPr>
            <w:tcW w:w="459" w:type="dxa"/>
            <w:tcBorders>
              <w:bottom w:val="single" w:sz="12" w:space="0" w:color="auto"/>
            </w:tcBorders>
            <w:shd w:val="clear" w:color="auto" w:fill="auto"/>
          </w:tcPr>
          <w:p w:rsidR="00A17A96" w:rsidRPr="005B7F33" w:rsidRDefault="00A17A96" w:rsidP="00737E7D">
            <w:pPr>
              <w:keepNext/>
              <w:keepLines/>
              <w:spacing w:before="40" w:after="80" w:line="220" w:lineRule="exact"/>
              <w:ind w:right="115"/>
              <w:rPr>
                <w:sz w:val="18"/>
                <w:szCs w:val="18"/>
                <w:lang w:val="fr-CH" w:eastAsia="fr-CH" w:bidi="fr-CH"/>
              </w:rPr>
            </w:pPr>
          </w:p>
        </w:tc>
        <w:tc>
          <w:tcPr>
            <w:tcW w:w="675"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200</w:t>
            </w:r>
          </w:p>
        </w:tc>
        <w:tc>
          <w:tcPr>
            <w:tcW w:w="729"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E</w:t>
            </w:r>
          </w:p>
        </w:tc>
        <w:tc>
          <w:tcPr>
            <w:tcW w:w="1224"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F, R</w:t>
            </w:r>
          </w:p>
        </w:tc>
        <w:tc>
          <w:tcPr>
            <w:tcW w:w="1413" w:type="dxa"/>
            <w:tcBorders>
              <w:bottom w:val="single" w:sz="12" w:space="0" w:color="auto"/>
            </w:tcBorders>
            <w:shd w:val="clear" w:color="auto" w:fill="auto"/>
          </w:tcPr>
          <w:p w:rsidR="00A17A96" w:rsidRPr="005B7F33" w:rsidRDefault="00A17A96" w:rsidP="00737E7D">
            <w:pPr>
              <w:keepNext/>
              <w:keepLines/>
              <w:tabs>
                <w:tab w:val="left" w:pos="288"/>
                <w:tab w:val="left" w:pos="576"/>
                <w:tab w:val="left" w:pos="864"/>
                <w:tab w:val="left" w:pos="1152"/>
              </w:tabs>
              <w:suppressAutoHyphens/>
              <w:autoSpaceDN w:val="0"/>
              <w:spacing w:before="40" w:after="80" w:line="220" w:lineRule="exact"/>
              <w:ind w:right="115"/>
              <w:rPr>
                <w:rFonts w:eastAsia="Times New Roman"/>
                <w:sz w:val="18"/>
                <w:szCs w:val="18"/>
                <w:lang w:val="fr-CH" w:eastAsia="fr-CH" w:bidi="fr-CH"/>
              </w:rPr>
            </w:pPr>
            <w:r w:rsidRPr="005B7F33">
              <w:rPr>
                <w:sz w:val="18"/>
                <w:szCs w:val="18"/>
              </w:rPr>
              <w:t xml:space="preserve">500E, </w:t>
            </w:r>
            <w:r>
              <w:rPr>
                <w:sz w:val="18"/>
                <w:szCs w:val="18"/>
              </w:rPr>
              <w:br/>
            </w:r>
            <w:r w:rsidRPr="005B7F33">
              <w:rPr>
                <w:sz w:val="18"/>
                <w:szCs w:val="18"/>
              </w:rPr>
              <w:t xml:space="preserve">100F, </w:t>
            </w:r>
            <w:r>
              <w:rPr>
                <w:sz w:val="18"/>
                <w:szCs w:val="18"/>
              </w:rPr>
              <w:br/>
            </w:r>
            <w:r w:rsidRPr="005B7F33">
              <w:rPr>
                <w:sz w:val="18"/>
                <w:szCs w:val="18"/>
              </w:rPr>
              <w:t>300R</w:t>
            </w:r>
          </w:p>
        </w:tc>
      </w:tr>
    </w:tbl>
    <w:p w:rsidR="00D26761" w:rsidRPr="00A17A96" w:rsidRDefault="00D26761" w:rsidP="00A17A96">
      <w:pPr>
        <w:pStyle w:val="SingleTxt"/>
        <w:spacing w:after="0" w:line="120" w:lineRule="exact"/>
        <w:rPr>
          <w:sz w:val="10"/>
          <w:lang w:bidi="fr-CH"/>
        </w:rPr>
      </w:pPr>
    </w:p>
    <w:p w:rsidR="00D26761" w:rsidRPr="00D26761" w:rsidRDefault="00A17A96" w:rsidP="00A17A96">
      <w:pPr>
        <w:pStyle w:val="FootnoteText"/>
        <w:tabs>
          <w:tab w:val="right" w:pos="216"/>
          <w:tab w:val="left" w:pos="288"/>
          <w:tab w:val="right" w:pos="576"/>
          <w:tab w:val="left" w:pos="648"/>
        </w:tabs>
        <w:ind w:left="288" w:hanging="288"/>
        <w:rPr>
          <w:lang w:bidi="fr-CH"/>
        </w:rPr>
      </w:pPr>
      <w:r>
        <w:rPr>
          <w:lang w:bidi="fr-CH"/>
        </w:rPr>
        <w:tab/>
      </w:r>
      <w:proofErr w:type="gramStart"/>
      <w:r w:rsidRPr="00A17A96">
        <w:rPr>
          <w:vertAlign w:val="superscript"/>
          <w:lang w:bidi="fr-CH"/>
        </w:rPr>
        <w:t>a</w:t>
      </w:r>
      <w:proofErr w:type="gramEnd"/>
      <w:r>
        <w:rPr>
          <w:lang w:bidi="fr-CH"/>
        </w:rPr>
        <w:tab/>
      </w:r>
      <w:proofErr w:type="spellStart"/>
      <w:r w:rsidR="00D26761" w:rsidRPr="00D26761">
        <w:rPr>
          <w:lang w:bidi="fr-CH"/>
        </w:rPr>
        <w:t>A</w:t>
      </w:r>
      <w:proofErr w:type="spellEnd"/>
      <w:r>
        <w:rPr>
          <w:lang w:bidi="fr-CH"/>
        </w:rPr>
        <w:t xml:space="preserve"> </w:t>
      </w:r>
      <w:r w:rsidR="00D26761" w:rsidRPr="00D26761">
        <w:rPr>
          <w:lang w:bidi="fr-CH"/>
        </w:rPr>
        <w:t>=</w:t>
      </w:r>
      <w:r>
        <w:rPr>
          <w:lang w:bidi="fr-CH"/>
        </w:rPr>
        <w:t xml:space="preserve"> </w:t>
      </w:r>
      <w:r w:rsidR="00D26761" w:rsidRPr="00D26761">
        <w:rPr>
          <w:lang w:bidi="fr-CH"/>
        </w:rPr>
        <w:t>arabe, C</w:t>
      </w:r>
      <w:r>
        <w:rPr>
          <w:lang w:bidi="fr-CH"/>
        </w:rPr>
        <w:t xml:space="preserve"> </w:t>
      </w:r>
      <w:r w:rsidR="00D26761" w:rsidRPr="00D26761">
        <w:rPr>
          <w:lang w:bidi="fr-CH"/>
        </w:rPr>
        <w:t>=</w:t>
      </w:r>
      <w:r>
        <w:rPr>
          <w:lang w:bidi="fr-CH"/>
        </w:rPr>
        <w:t xml:space="preserve"> </w:t>
      </w:r>
      <w:r w:rsidR="00D26761" w:rsidRPr="00D26761">
        <w:rPr>
          <w:lang w:bidi="fr-CH"/>
        </w:rPr>
        <w:t>chinois, E</w:t>
      </w:r>
      <w:r>
        <w:rPr>
          <w:lang w:bidi="fr-CH"/>
        </w:rPr>
        <w:t xml:space="preserve"> </w:t>
      </w:r>
      <w:r w:rsidR="00D26761" w:rsidRPr="00D26761">
        <w:rPr>
          <w:lang w:bidi="fr-CH"/>
        </w:rPr>
        <w:t>=</w:t>
      </w:r>
      <w:r>
        <w:rPr>
          <w:lang w:bidi="fr-CH"/>
        </w:rPr>
        <w:t xml:space="preserve"> </w:t>
      </w:r>
      <w:r w:rsidR="00D26761" w:rsidRPr="00D26761">
        <w:rPr>
          <w:lang w:bidi="fr-CH"/>
        </w:rPr>
        <w:t>anglais, F</w:t>
      </w:r>
      <w:r>
        <w:rPr>
          <w:lang w:bidi="fr-CH"/>
        </w:rPr>
        <w:t xml:space="preserve"> </w:t>
      </w:r>
      <w:r w:rsidR="00D26761" w:rsidRPr="00D26761">
        <w:rPr>
          <w:lang w:bidi="fr-CH"/>
        </w:rPr>
        <w:t>=</w:t>
      </w:r>
      <w:r>
        <w:rPr>
          <w:lang w:bidi="fr-CH"/>
        </w:rPr>
        <w:t xml:space="preserve"> </w:t>
      </w:r>
      <w:r w:rsidR="00D26761" w:rsidRPr="00D26761">
        <w:rPr>
          <w:lang w:bidi="fr-CH"/>
        </w:rPr>
        <w:t>français, R</w:t>
      </w:r>
      <w:r>
        <w:rPr>
          <w:lang w:bidi="fr-CH"/>
        </w:rPr>
        <w:t xml:space="preserve"> </w:t>
      </w:r>
      <w:r w:rsidR="00D26761" w:rsidRPr="00D26761">
        <w:rPr>
          <w:lang w:bidi="fr-CH"/>
        </w:rPr>
        <w:t>=</w:t>
      </w:r>
      <w:r>
        <w:rPr>
          <w:lang w:bidi="fr-CH"/>
        </w:rPr>
        <w:t xml:space="preserve"> </w:t>
      </w:r>
      <w:r w:rsidR="00D26761" w:rsidRPr="00D26761">
        <w:rPr>
          <w:lang w:bidi="fr-CH"/>
        </w:rPr>
        <w:t>russe et S</w:t>
      </w:r>
      <w:r>
        <w:rPr>
          <w:lang w:bidi="fr-CH"/>
        </w:rPr>
        <w:t xml:space="preserve"> </w:t>
      </w:r>
      <w:r w:rsidR="00D26761" w:rsidRPr="00D26761">
        <w:rPr>
          <w:lang w:bidi="fr-CH"/>
        </w:rPr>
        <w:t>=espagnol.</w:t>
      </w:r>
    </w:p>
    <w:p w:rsidR="00F568C2" w:rsidRDefault="00F568C2" w:rsidP="00F568C2">
      <w:pPr>
        <w:pStyle w:val="SingleTxt"/>
        <w:rPr>
          <w:b/>
          <w:lang w:bidi="fr-CH"/>
        </w:rPr>
      </w:pPr>
    </w:p>
    <w:p w:rsidR="00D26761" w:rsidRDefault="00D26761" w:rsidP="00D267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Annexe III</w:t>
      </w:r>
    </w:p>
    <w:p w:rsidR="00D26761" w:rsidRPr="00D26761" w:rsidRDefault="00D26761" w:rsidP="00D26761">
      <w:pPr>
        <w:pStyle w:val="SingleTxt"/>
        <w:spacing w:after="0" w:line="120" w:lineRule="exact"/>
        <w:rPr>
          <w:b/>
          <w:sz w:val="10"/>
          <w:lang w:bidi="fr-CH"/>
        </w:rPr>
      </w:pPr>
    </w:p>
    <w:p w:rsidR="00D26761" w:rsidRDefault="00D26761" w:rsidP="00D267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r>
      <w:r w:rsidRPr="00D26761">
        <w:rPr>
          <w:lang w:bidi="fr-CH"/>
        </w:rPr>
        <w:tab/>
        <w:t>Textes portant autorisation</w:t>
      </w:r>
    </w:p>
    <w:p w:rsidR="00D26761" w:rsidRPr="00D26761" w:rsidRDefault="00D26761" w:rsidP="00D26761">
      <w:pPr>
        <w:pStyle w:val="SingleTxt"/>
        <w:spacing w:after="0" w:line="120" w:lineRule="exact"/>
        <w:rPr>
          <w:sz w:val="10"/>
          <w:lang w:bidi="fr-CH"/>
        </w:rPr>
      </w:pPr>
    </w:p>
    <w:p w:rsidR="00D26761" w:rsidRPr="00D26761" w:rsidRDefault="00D26761" w:rsidP="00D26761">
      <w:pPr>
        <w:pStyle w:val="SingleTxt"/>
        <w:spacing w:after="0" w:line="120" w:lineRule="exact"/>
        <w:rPr>
          <w:sz w:val="10"/>
          <w:lang w:bidi="fr-CH"/>
        </w:rPr>
      </w:pPr>
    </w:p>
    <w:p w:rsidR="00D26761" w:rsidRDefault="00D26761" w:rsidP="00D267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A.</w:t>
      </w:r>
      <w:r w:rsidRPr="00D26761">
        <w:rPr>
          <w:lang w:bidi="fr-CH"/>
        </w:rPr>
        <w:tab/>
        <w:t>Textes généraux émanant des organes d</w:t>
      </w:r>
      <w:r>
        <w:rPr>
          <w:lang w:bidi="fr-CH"/>
        </w:rPr>
        <w:t xml:space="preserve">élibérants </w:t>
      </w:r>
      <w:r>
        <w:rPr>
          <w:lang w:bidi="fr-CH"/>
        </w:rPr>
        <w:br/>
        <w:t>et concernant la CEE</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b/>
          <w:sz w:val="10"/>
          <w:lang w:bidi="fr-CH"/>
        </w:rPr>
      </w:pPr>
    </w:p>
    <w:p w:rsidR="00F568C2"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1.</w:t>
      </w:r>
      <w:r w:rsidRPr="00D26761">
        <w:rPr>
          <w:lang w:bidi="fr-CH"/>
        </w:rPr>
        <w:tab/>
        <w:t>Résolutions de l</w:t>
      </w:r>
      <w:r>
        <w:rPr>
          <w:lang w:bidi="fr-CH"/>
        </w:rPr>
        <w:t>’</w:t>
      </w:r>
      <w:r w:rsidRPr="00D26761">
        <w:rPr>
          <w:lang w:bidi="fr-CH"/>
        </w:rPr>
        <w:t>Assemblée générale</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2063"/>
        <w:gridCol w:w="6714"/>
      </w:tblGrid>
      <w:tr w:rsidR="00D26761" w:rsidTr="00376373">
        <w:trPr>
          <w:tblHeader/>
        </w:trPr>
        <w:tc>
          <w:tcPr>
            <w:tcW w:w="206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sz w:val="14"/>
                <w:lang w:val="fr-CH" w:eastAsia="fr-CH" w:bidi="fr-CH"/>
              </w:rPr>
            </w:pPr>
            <w:r>
              <w:rPr>
                <w:i/>
                <w:sz w:val="14"/>
              </w:rPr>
              <w:t>Résolution n°</w:t>
            </w:r>
          </w:p>
        </w:tc>
        <w:tc>
          <w:tcPr>
            <w:tcW w:w="6714"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376373">
        <w:trPr>
          <w:trHeight w:hRule="exact" w:val="115"/>
          <w:tblHeader/>
        </w:trPr>
        <w:tc>
          <w:tcPr>
            <w:tcW w:w="2063" w:type="dxa"/>
            <w:tcBorders>
              <w:top w:val="single" w:sz="12" w:space="0" w:color="auto"/>
              <w:left w:val="nil"/>
              <w:bottom w:val="nil"/>
              <w:right w:val="nil"/>
            </w:tcBorders>
            <w:vAlign w:val="bottom"/>
          </w:tcPr>
          <w:p w:rsidR="00D26761" w:rsidRDefault="00D26761">
            <w:pPr>
              <w:keepNext/>
              <w:keepLines/>
              <w:tabs>
                <w:tab w:val="left" w:pos="288"/>
                <w:tab w:val="left" w:pos="576"/>
                <w:tab w:val="left" w:pos="864"/>
                <w:tab w:val="left" w:pos="1152"/>
              </w:tabs>
              <w:suppressAutoHyphens/>
              <w:autoSpaceDN w:val="0"/>
              <w:spacing w:before="40" w:after="80"/>
              <w:ind w:right="40"/>
              <w:rPr>
                <w:lang w:val="fr-CH" w:eastAsia="fr-CH" w:bidi="fr-CH"/>
              </w:rPr>
            </w:pPr>
          </w:p>
        </w:tc>
        <w:tc>
          <w:tcPr>
            <w:tcW w:w="6714" w:type="dxa"/>
            <w:tcBorders>
              <w:top w:val="single" w:sz="12" w:space="0" w:color="auto"/>
              <w:left w:val="nil"/>
              <w:bottom w:val="nil"/>
              <w:right w:val="nil"/>
            </w:tcBorders>
            <w:vAlign w:val="bottom"/>
          </w:tcPr>
          <w:p w:rsidR="00D26761" w:rsidRDefault="00D26761">
            <w:pPr>
              <w:keepNext/>
              <w:keepLines/>
              <w:tabs>
                <w:tab w:val="left" w:pos="288"/>
                <w:tab w:val="left" w:pos="576"/>
                <w:tab w:val="left" w:pos="864"/>
                <w:tab w:val="left" w:pos="1152"/>
              </w:tabs>
              <w:suppressAutoHyphens/>
              <w:autoSpaceDN w:val="0"/>
              <w:spacing w:before="40" w:after="80"/>
              <w:ind w:right="397"/>
              <w:rPr>
                <w:lang w:val="fr-CH" w:eastAsia="fr-CH" w:bidi="fr-CH"/>
              </w:rPr>
            </w:pP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55/2</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Déclaration du Millénaire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57/144</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Suite à donner aux textes issus du Sommet du Millénaire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57/253</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Sommet mondial pour le développement durable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57/270</w:t>
            </w:r>
            <w:r>
              <w:t xml:space="preserve"> B</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Application et suivi intégrés et coordonnés des textes issus des grandes conférences et réunions au sommet organisées sous l’égide de l’Organisation des Nations Unies dans les domaines économique et social</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60/248</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Questions spéciales touchant le projet de budget-programme pour l’exercice biennal 2006-2007</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65/185</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 xml:space="preserve">Suite donnée au Sommet mondial pour le développement social et à la vingt-quatrième session extraordinaire de l’Assemblée générale </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68/222</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pour le développement des pays à revenu intermédiaire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66/288</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L’avenir que nous voulons</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67/10</w:t>
            </w:r>
          </w:p>
        </w:tc>
        <w:tc>
          <w:tcPr>
            <w:tcW w:w="6714" w:type="dxa"/>
            <w:hideMark/>
          </w:tcPr>
          <w:p w:rsidR="00D26761" w:rsidRDefault="00D26761" w:rsidP="00376373">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before="40" w:after="80"/>
              <w:ind w:right="115"/>
              <w:rPr>
                <w:rFonts w:eastAsia="Times New Roman"/>
                <w:lang w:val="fr-CH" w:eastAsia="fr-CH" w:bidi="fr-CH"/>
              </w:rPr>
            </w:pPr>
            <w:r>
              <w:t>Coopération entre l’Organisation des Nations Unies et la Communauté économique eurasienne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D26761">
              <w:t>67/13</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entre l’Organisation des Nations Unies et l’Organisation de coopération économique de la mer Noire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67/14</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entre l’Organisation des Nations Unies et l’Organisation de coopération économique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67/15</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entre l’Organisation des Nations Unies et l’Organisation de Shanghai pour la coopération</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67/83</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entre l’Organisation des Nations Unies et le Conseil de l’Europe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67/148</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Suite donnée à la quatrième Conférence mondiale sur les femmes et application intégrale de la Déclaration et du Programme d’action de Beijing et des textes issus de la vingt-troisième session extraordinaire de l’Assemblée générale</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68/204</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Suivi de la Conférence internationale sur le financement du développement</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68/212</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 xml:space="preserve">Sauvegarde du climat mondial pour les générations présentes et futures </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68/225</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Mesures spécifiques répondant aux besoins et problèmes particuliers des pays en développement sans littoral</w:t>
            </w:r>
            <w:r w:rsidR="00376373">
              <w:t> :</w:t>
            </w:r>
            <w:r>
              <w:t xml:space="preserve"> résultats de la Conférence ministérielle internationale des pays en développement sans littoral et de transit, des pays donateurs et des organismes internationaux de financement et de développement sur la coopération en matière de transport en transit</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67/226</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Examen quadriennal complet des activités opérationnelles de développement du système des Nations Unies</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68/230</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Coopération Sud-Sud</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67/264</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 xml:space="preserve">Coopération entre l’Organisation des Nations Unies et l’Organisation de la coopération islamique </w:t>
            </w:r>
          </w:p>
        </w:tc>
      </w:tr>
      <w:tr w:rsidR="00D26761" w:rsidTr="00376373">
        <w:tc>
          <w:tcPr>
            <w:tcW w:w="2063"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67/290</w:t>
            </w:r>
          </w:p>
        </w:tc>
        <w:tc>
          <w:tcPr>
            <w:tcW w:w="6714" w:type="dxa"/>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 xml:space="preserve">Structure et modalités de fonctionnement du forum politique de haut niveau pour le développement durable </w:t>
            </w:r>
          </w:p>
        </w:tc>
      </w:tr>
      <w:tr w:rsidR="00D26761" w:rsidTr="00376373">
        <w:tc>
          <w:tcPr>
            <w:tcW w:w="2063" w:type="dxa"/>
            <w:tcBorders>
              <w:top w:val="nil"/>
              <w:left w:val="nil"/>
              <w:bottom w:val="single" w:sz="12" w:space="0" w:color="auto"/>
              <w:right w:val="nil"/>
            </w:tcBorders>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sidRPr="000A34CE">
              <w:t>68/6</w:t>
            </w:r>
          </w:p>
        </w:tc>
        <w:tc>
          <w:tcPr>
            <w:tcW w:w="6714" w:type="dxa"/>
            <w:tcBorders>
              <w:top w:val="nil"/>
              <w:left w:val="nil"/>
              <w:bottom w:val="single" w:sz="12" w:space="0" w:color="auto"/>
              <w:right w:val="nil"/>
            </w:tcBorders>
            <w:hideMark/>
          </w:tcPr>
          <w:p w:rsidR="00D26761" w:rsidRDefault="00D26761" w:rsidP="00376373">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Document final de la manifestation spéciale consacrée au bilan de l’action entreprise pour atteindre les objectifs du Millénaire pour le développement</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761">
        <w:tab/>
        <w:t>2.</w:t>
      </w:r>
      <w:r w:rsidRPr="00D26761">
        <w:tab/>
        <w:t>Résolutions du Conseil économique et social</w:t>
      </w:r>
    </w:p>
    <w:p w:rsidR="00D26761" w:rsidRPr="00D26761" w:rsidRDefault="00D26761" w:rsidP="00D26761">
      <w:pPr>
        <w:pStyle w:val="SingleTxt"/>
        <w:spacing w:after="0" w:line="120" w:lineRule="exact"/>
        <w:rPr>
          <w:b/>
          <w:sz w:val="10"/>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2063"/>
        <w:gridCol w:w="6714"/>
      </w:tblGrid>
      <w:tr w:rsidR="00D26761" w:rsidTr="00376373">
        <w:trPr>
          <w:tblHeader/>
        </w:trPr>
        <w:tc>
          <w:tcPr>
            <w:tcW w:w="206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sz w:val="14"/>
                <w:lang w:val="fr-CH" w:eastAsia="fr-CH" w:bidi="fr-CH"/>
              </w:rPr>
            </w:pPr>
            <w:r>
              <w:rPr>
                <w:i/>
                <w:sz w:val="14"/>
              </w:rPr>
              <w:t>Résolution n°</w:t>
            </w:r>
          </w:p>
        </w:tc>
        <w:tc>
          <w:tcPr>
            <w:tcW w:w="6714"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376373">
        <w:trPr>
          <w:trHeight w:hRule="exact" w:val="115"/>
          <w:tblHeader/>
        </w:trPr>
        <w:tc>
          <w:tcPr>
            <w:tcW w:w="2063" w:type="dxa"/>
            <w:tcBorders>
              <w:top w:val="single" w:sz="12" w:space="0" w:color="auto"/>
              <w:left w:val="nil"/>
              <w:bottom w:val="nil"/>
              <w:right w:val="nil"/>
            </w:tcBorders>
            <w:vAlign w:val="bottom"/>
          </w:tcPr>
          <w:p w:rsidR="00D26761" w:rsidRDefault="00D26761">
            <w:pPr>
              <w:tabs>
                <w:tab w:val="left" w:pos="288"/>
                <w:tab w:val="left" w:pos="576"/>
                <w:tab w:val="left" w:pos="864"/>
                <w:tab w:val="left" w:pos="1152"/>
              </w:tabs>
              <w:suppressAutoHyphens/>
              <w:autoSpaceDN w:val="0"/>
              <w:spacing w:before="40" w:after="80"/>
              <w:ind w:right="40"/>
              <w:jc w:val="both"/>
              <w:rPr>
                <w:lang w:val="fr-CH" w:eastAsia="fr-CH" w:bidi="fr-CH"/>
              </w:rPr>
            </w:pPr>
          </w:p>
        </w:tc>
        <w:tc>
          <w:tcPr>
            <w:tcW w:w="6714" w:type="dxa"/>
            <w:tcBorders>
              <w:top w:val="single" w:sz="12" w:space="0" w:color="auto"/>
              <w:left w:val="nil"/>
              <w:bottom w:val="nil"/>
              <w:right w:val="nil"/>
            </w:tcBorders>
            <w:vAlign w:val="bottom"/>
          </w:tcPr>
          <w:p w:rsidR="00D26761" w:rsidRDefault="00D26761">
            <w:pPr>
              <w:tabs>
                <w:tab w:val="left" w:pos="288"/>
                <w:tab w:val="left" w:pos="576"/>
                <w:tab w:val="left" w:pos="864"/>
                <w:tab w:val="left" w:pos="1152"/>
              </w:tabs>
              <w:suppressAutoHyphens/>
              <w:autoSpaceDN w:val="0"/>
              <w:spacing w:before="40" w:after="80"/>
              <w:ind w:right="397"/>
              <w:rPr>
                <w:lang w:val="fr-CH" w:eastAsia="fr-CH" w:bidi="fr-CH"/>
              </w:rPr>
            </w:pPr>
          </w:p>
        </w:tc>
      </w:tr>
      <w:tr w:rsidR="00D26761" w:rsidTr="00376373">
        <w:tc>
          <w:tcPr>
            <w:tcW w:w="2063"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2006/38</w:t>
            </w:r>
          </w:p>
        </w:tc>
        <w:tc>
          <w:tcPr>
            <w:tcW w:w="6714"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Plan de travail pour la réforme de la Commission économique pour l’Europe et mandat révisé de la Commission</w:t>
            </w:r>
          </w:p>
        </w:tc>
      </w:tr>
      <w:tr w:rsidR="00D26761" w:rsidTr="00376373">
        <w:tc>
          <w:tcPr>
            <w:tcW w:w="2063"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2012/30</w:t>
            </w:r>
          </w:p>
        </w:tc>
        <w:tc>
          <w:tcPr>
            <w:tcW w:w="6714"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 xml:space="preserve">Le rôle du Conseil économique et social dans l’application et le suivi intégrés et coordonnés des textes issus des grandes conférences et réunions au sommet organisées sous l’égide des Nations Unies, compte tenu des dispositions des résolutions pertinentes de l’Assemblée générale, notamment la résolution </w:t>
            </w:r>
            <w:r w:rsidRPr="00910949">
              <w:t>61/16</w:t>
            </w:r>
          </w:p>
        </w:tc>
      </w:tr>
      <w:tr w:rsidR="00D26761" w:rsidTr="00376373">
        <w:tc>
          <w:tcPr>
            <w:tcW w:w="2063"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2013/1</w:t>
            </w:r>
          </w:p>
        </w:tc>
        <w:tc>
          <w:tcPr>
            <w:tcW w:w="6714" w:type="dxa"/>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Résultat de l’examen de la réforme de 2005 de la Commission économique pour l’Europe</w:t>
            </w:r>
          </w:p>
        </w:tc>
      </w:tr>
      <w:tr w:rsidR="00D26761" w:rsidTr="00376373">
        <w:tc>
          <w:tcPr>
            <w:tcW w:w="2063" w:type="dxa"/>
            <w:tcBorders>
              <w:top w:val="nil"/>
              <w:left w:val="nil"/>
              <w:bottom w:val="single" w:sz="12" w:space="0" w:color="auto"/>
              <w:right w:val="nil"/>
            </w:tcBorders>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2013/16</w:t>
            </w:r>
          </w:p>
        </w:tc>
        <w:tc>
          <w:tcPr>
            <w:tcW w:w="6714" w:type="dxa"/>
            <w:tcBorders>
              <w:top w:val="nil"/>
              <w:left w:val="nil"/>
              <w:bottom w:val="single" w:sz="12" w:space="0" w:color="auto"/>
              <w:right w:val="nil"/>
            </w:tcBorders>
            <w:hideMark/>
          </w:tcPr>
          <w:p w:rsidR="00D26761" w:rsidRDefault="00D26761" w:rsidP="00910949">
            <w:pPr>
              <w:keepNext/>
              <w:keepLines/>
              <w:tabs>
                <w:tab w:val="left" w:pos="288"/>
                <w:tab w:val="left" w:pos="576"/>
                <w:tab w:val="left" w:pos="864"/>
                <w:tab w:val="left" w:pos="1152"/>
              </w:tabs>
              <w:suppressAutoHyphens/>
              <w:autoSpaceDN w:val="0"/>
              <w:spacing w:before="40" w:after="80"/>
              <w:ind w:right="115"/>
              <w:rPr>
                <w:rFonts w:eastAsia="Times New Roman"/>
                <w:lang w:val="fr-CH" w:eastAsia="fr-CH" w:bidi="fr-CH"/>
              </w:rPr>
            </w:pPr>
            <w:r>
              <w:t>Intégration du principe de l’égalité des sexes dans toutes les politiques et tous les programmes du système des Nations Unies</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3.</w:t>
      </w:r>
      <w:r w:rsidRPr="00D26761">
        <w:rPr>
          <w:lang w:bidi="fr-CH"/>
        </w:rPr>
        <w:tab/>
        <w:t>Autres</w:t>
      </w:r>
    </w:p>
    <w:p w:rsidR="00D26761" w:rsidRPr="00D26761" w:rsidRDefault="00D26761" w:rsidP="00D26761">
      <w:pPr>
        <w:pStyle w:val="SingleTxt"/>
        <w:spacing w:after="0" w:line="120" w:lineRule="exact"/>
        <w:rPr>
          <w:sz w:val="10"/>
          <w:lang w:bidi="fr-CH"/>
        </w:rPr>
      </w:pPr>
    </w:p>
    <w:p w:rsidR="00D26761" w:rsidRPr="00D26761" w:rsidRDefault="00D26761" w:rsidP="00D26761">
      <w:pPr>
        <w:pStyle w:val="SingleTxt"/>
        <w:spacing w:after="0" w:line="120" w:lineRule="exact"/>
        <w:rPr>
          <w:sz w:val="10"/>
          <w:lang w:bidi="fr-CH"/>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r>
      <w:r w:rsidRPr="00D26761">
        <w:rPr>
          <w:lang w:bidi="fr-CH"/>
        </w:rPr>
        <w:tab/>
        <w:t>Décision du Conseil économique et social</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2063"/>
        <w:gridCol w:w="6714"/>
      </w:tblGrid>
      <w:tr w:rsidR="00D26761" w:rsidTr="00910949">
        <w:trPr>
          <w:tblHeader/>
        </w:trPr>
        <w:tc>
          <w:tcPr>
            <w:tcW w:w="206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sz w:val="14"/>
                <w:lang w:val="fr-CH" w:eastAsia="fr-CH" w:bidi="fr-CH"/>
              </w:rPr>
            </w:pPr>
            <w:r>
              <w:rPr>
                <w:i/>
                <w:sz w:val="14"/>
              </w:rPr>
              <w:t>Résolution n°</w:t>
            </w:r>
          </w:p>
        </w:tc>
        <w:tc>
          <w:tcPr>
            <w:tcW w:w="6714"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910949">
        <w:trPr>
          <w:trHeight w:hRule="exact" w:val="115"/>
          <w:tblHeader/>
        </w:trPr>
        <w:tc>
          <w:tcPr>
            <w:tcW w:w="2063" w:type="dxa"/>
            <w:tcBorders>
              <w:top w:val="single" w:sz="12" w:space="0" w:color="auto"/>
              <w:left w:val="nil"/>
              <w:bottom w:val="nil"/>
              <w:right w:val="nil"/>
            </w:tcBorders>
            <w:vAlign w:val="bottom"/>
          </w:tcPr>
          <w:p w:rsidR="00D26761" w:rsidRDefault="00D26761">
            <w:pPr>
              <w:tabs>
                <w:tab w:val="left" w:pos="288"/>
                <w:tab w:val="left" w:pos="576"/>
                <w:tab w:val="left" w:pos="864"/>
                <w:tab w:val="left" w:pos="1152"/>
              </w:tabs>
              <w:suppressAutoHyphens/>
              <w:autoSpaceDN w:val="0"/>
              <w:spacing w:before="40" w:after="80"/>
              <w:ind w:right="40"/>
              <w:jc w:val="both"/>
              <w:rPr>
                <w:lang w:val="fr-CH" w:eastAsia="fr-CH" w:bidi="fr-CH"/>
              </w:rPr>
            </w:pPr>
          </w:p>
        </w:tc>
        <w:tc>
          <w:tcPr>
            <w:tcW w:w="6714" w:type="dxa"/>
            <w:tcBorders>
              <w:top w:val="single" w:sz="12" w:space="0" w:color="auto"/>
              <w:left w:val="nil"/>
              <w:bottom w:val="nil"/>
              <w:right w:val="nil"/>
            </w:tcBorders>
            <w:vAlign w:val="bottom"/>
          </w:tcPr>
          <w:p w:rsidR="00D26761" w:rsidRDefault="00D26761">
            <w:pPr>
              <w:tabs>
                <w:tab w:val="left" w:pos="288"/>
                <w:tab w:val="left" w:pos="576"/>
                <w:tab w:val="left" w:pos="864"/>
                <w:tab w:val="left" w:pos="1152"/>
              </w:tabs>
              <w:suppressAutoHyphens/>
              <w:autoSpaceDN w:val="0"/>
              <w:spacing w:before="40" w:after="80"/>
              <w:ind w:right="397"/>
              <w:rPr>
                <w:lang w:val="fr-CH" w:eastAsia="fr-CH" w:bidi="fr-CH"/>
              </w:rPr>
            </w:pPr>
          </w:p>
        </w:tc>
      </w:tr>
      <w:tr w:rsidR="00D26761" w:rsidTr="00910949">
        <w:tc>
          <w:tcPr>
            <w:tcW w:w="206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jc w:val="both"/>
              <w:rPr>
                <w:rFonts w:eastAsia="Times New Roman"/>
                <w:lang w:val="fr-CH" w:eastAsia="fr-CH" w:bidi="fr-CH"/>
              </w:rPr>
            </w:pPr>
            <w:r>
              <w:t>2011/247</w:t>
            </w:r>
          </w:p>
        </w:tc>
        <w:tc>
          <w:tcPr>
            <w:tcW w:w="6714"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Rapport de la Commission de la population et du développement sur les travaux de sa quarante-quatrième session et ordre du jour provisoire et documentation de sa quarante-cinquième session</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761">
        <w:tab/>
      </w:r>
      <w:r w:rsidRPr="00D26761">
        <w:tab/>
        <w:t>Décisions de la Commission économique pour l</w:t>
      </w:r>
      <w:r>
        <w:t>’</w:t>
      </w:r>
      <w:r w:rsidRPr="00D26761">
        <w:t>Europe</w:t>
      </w:r>
    </w:p>
    <w:p w:rsidR="00D26761" w:rsidRPr="00D26761" w:rsidRDefault="00D26761" w:rsidP="00D26761">
      <w:pPr>
        <w:pStyle w:val="SingleTxt"/>
        <w:spacing w:after="0" w:line="120" w:lineRule="exact"/>
        <w:rPr>
          <w:b/>
          <w:sz w:val="10"/>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2063"/>
        <w:gridCol w:w="6714"/>
      </w:tblGrid>
      <w:tr w:rsidR="00D26761" w:rsidTr="00910949">
        <w:trPr>
          <w:tblHeader/>
        </w:trPr>
        <w:tc>
          <w:tcPr>
            <w:tcW w:w="2063" w:type="dxa"/>
            <w:tcBorders>
              <w:top w:val="single" w:sz="4" w:space="0" w:color="auto"/>
              <w:left w:val="nil"/>
              <w:bottom w:val="single" w:sz="12" w:space="0" w:color="auto"/>
              <w:right w:val="nil"/>
            </w:tcBorders>
            <w:vAlign w:val="bottom"/>
            <w:hideMark/>
          </w:tcPr>
          <w:p w:rsidR="00D26761" w:rsidRDefault="00D26761">
            <w:pPr>
              <w:keepNext/>
              <w:suppressAutoHyphens/>
              <w:autoSpaceDN w:val="0"/>
              <w:spacing w:before="80" w:after="80" w:line="160" w:lineRule="exact"/>
              <w:ind w:right="40"/>
              <w:rPr>
                <w:rFonts w:eastAsia="Times New Roman"/>
                <w:i/>
                <w:sz w:val="14"/>
                <w:lang w:val="fr-CH" w:eastAsia="fr-CH" w:bidi="fr-CH"/>
              </w:rPr>
            </w:pPr>
            <w:r>
              <w:rPr>
                <w:i/>
                <w:sz w:val="14"/>
              </w:rPr>
              <w:t>Cote du document</w:t>
            </w:r>
          </w:p>
        </w:tc>
        <w:tc>
          <w:tcPr>
            <w:tcW w:w="6714" w:type="dxa"/>
            <w:tcBorders>
              <w:top w:val="single" w:sz="4" w:space="0" w:color="auto"/>
              <w:left w:val="nil"/>
              <w:bottom w:val="single" w:sz="12" w:space="0" w:color="auto"/>
              <w:right w:val="nil"/>
            </w:tcBorders>
            <w:vAlign w:val="bottom"/>
            <w:hideMark/>
          </w:tcPr>
          <w:p w:rsidR="00D26761" w:rsidRDefault="00D26761">
            <w:pPr>
              <w:keepNext/>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910949">
        <w:trPr>
          <w:trHeight w:hRule="exact" w:val="115"/>
          <w:tblHeader/>
        </w:trPr>
        <w:tc>
          <w:tcPr>
            <w:tcW w:w="2063" w:type="dxa"/>
            <w:tcBorders>
              <w:top w:val="single" w:sz="12" w:space="0" w:color="auto"/>
              <w:left w:val="nil"/>
              <w:bottom w:val="nil"/>
              <w:right w:val="nil"/>
            </w:tcBorders>
            <w:vAlign w:val="bottom"/>
          </w:tcPr>
          <w:p w:rsidR="00D26761" w:rsidRDefault="00D26761">
            <w:pPr>
              <w:keepNext/>
              <w:tabs>
                <w:tab w:val="left" w:pos="288"/>
                <w:tab w:val="left" w:pos="576"/>
                <w:tab w:val="left" w:pos="864"/>
                <w:tab w:val="left" w:pos="1152"/>
              </w:tabs>
              <w:suppressAutoHyphens/>
              <w:autoSpaceDN w:val="0"/>
              <w:spacing w:before="40" w:after="80"/>
              <w:ind w:right="40"/>
              <w:jc w:val="both"/>
              <w:rPr>
                <w:lang w:val="fr-CH" w:eastAsia="fr-CH" w:bidi="fr-CH"/>
              </w:rPr>
            </w:pPr>
          </w:p>
        </w:tc>
        <w:tc>
          <w:tcPr>
            <w:tcW w:w="6714" w:type="dxa"/>
            <w:tcBorders>
              <w:top w:val="single" w:sz="12" w:space="0" w:color="auto"/>
              <w:left w:val="nil"/>
              <w:bottom w:val="nil"/>
              <w:right w:val="nil"/>
            </w:tcBorders>
            <w:vAlign w:val="bottom"/>
          </w:tcPr>
          <w:p w:rsidR="00D26761" w:rsidRDefault="00D26761">
            <w:pPr>
              <w:keepNext/>
              <w:tabs>
                <w:tab w:val="left" w:pos="288"/>
                <w:tab w:val="left" w:pos="576"/>
                <w:tab w:val="left" w:pos="864"/>
                <w:tab w:val="left" w:pos="1152"/>
              </w:tabs>
              <w:suppressAutoHyphens/>
              <w:autoSpaceDN w:val="0"/>
              <w:spacing w:before="40" w:after="80"/>
              <w:ind w:right="397"/>
              <w:rPr>
                <w:lang w:val="fr-CH" w:eastAsia="fr-CH" w:bidi="fr-CH"/>
              </w:rPr>
            </w:pPr>
          </w:p>
        </w:tc>
      </w:tr>
      <w:tr w:rsidR="00D26761" w:rsidTr="00910949">
        <w:trPr>
          <w:trHeight w:val="892"/>
        </w:trPr>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115"/>
              <w:jc w:val="both"/>
              <w:rPr>
                <w:rFonts w:eastAsia="Times New Roman"/>
                <w:lang w:val="fr-CH" w:eastAsia="fr-CH" w:bidi="fr-CH"/>
              </w:rPr>
            </w:pPr>
            <w:r>
              <w:t>ECE/AC.21/2002/8</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Déclaration relative au lancement du Programme paneuropéen sur les transports, la santé et l’environnement (PPE-TSE), adoptée à la deuxième réunion de haut niveau sur les transports, l’environnement et la santé</w:t>
            </w:r>
          </w:p>
        </w:tc>
      </w:tr>
      <w:tr w:rsidR="00D26761" w:rsidTr="00910949">
        <w:trPr>
          <w:trHeight w:val="406"/>
        </w:trPr>
        <w:tc>
          <w:tcPr>
            <w:tcW w:w="206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jc w:val="both"/>
              <w:rPr>
                <w:rFonts w:eastAsia="Times New Roman"/>
                <w:lang w:val="fr-CH" w:eastAsia="fr-CH" w:bidi="fr-CH"/>
              </w:rPr>
            </w:pPr>
            <w:r>
              <w:t>A (64)</w:t>
            </w:r>
          </w:p>
        </w:tc>
        <w:tc>
          <w:tcPr>
            <w:tcW w:w="6714"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before="40" w:after="80"/>
              <w:ind w:right="115"/>
              <w:rPr>
                <w:rFonts w:eastAsia="Times New Roman"/>
                <w:lang w:val="fr-CH" w:eastAsia="fr-CH" w:bidi="fr-CH"/>
              </w:rPr>
            </w:pPr>
            <w:r>
              <w:t>Les travaux de la Commission économique pour l’Europe</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37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B.</w:t>
      </w:r>
      <w:r w:rsidRPr="00D26761">
        <w:rPr>
          <w:lang w:bidi="fr-CH"/>
        </w:rPr>
        <w:tab/>
        <w:t xml:space="preserve">Textes portant autorisation </w:t>
      </w:r>
      <w:r w:rsidR="007B14F3">
        <w:rPr>
          <w:lang w:bidi="fr-CH"/>
        </w:rPr>
        <w:t>relatifs</w:t>
      </w:r>
      <w:r w:rsidRPr="00D26761">
        <w:rPr>
          <w:lang w:bidi="fr-CH"/>
        </w:rPr>
        <w:t xml:space="preserve"> au sous-programme</w:t>
      </w:r>
    </w:p>
    <w:p w:rsidR="00D26761" w:rsidRPr="00D26761" w:rsidRDefault="00D26761" w:rsidP="00376373">
      <w:pPr>
        <w:pStyle w:val="SingleTxt"/>
        <w:keepNext/>
        <w:keepLines/>
        <w:spacing w:after="0" w:line="120" w:lineRule="exact"/>
        <w:rPr>
          <w:b/>
          <w:sz w:val="10"/>
          <w:lang w:bidi="fr-CH"/>
        </w:rPr>
      </w:pPr>
    </w:p>
    <w:p w:rsidR="00D26761" w:rsidRPr="00D26761" w:rsidRDefault="00D26761" w:rsidP="00376373">
      <w:pPr>
        <w:pStyle w:val="SingleTxt"/>
        <w:keepNext/>
        <w:keepLines/>
        <w:spacing w:after="0" w:line="120" w:lineRule="exact"/>
        <w:rPr>
          <w:b/>
          <w:sz w:val="10"/>
          <w:lang w:bidi="fr-CH"/>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1.</w:t>
      </w:r>
      <w:r w:rsidRPr="00D26761">
        <w:rPr>
          <w:lang w:bidi="fr-CH"/>
        </w:rPr>
        <w:tab/>
        <w:t>Résolutions de l</w:t>
      </w:r>
      <w:r>
        <w:rPr>
          <w:lang w:bidi="fr-CH"/>
        </w:rPr>
        <w:t>’</w:t>
      </w:r>
      <w:r w:rsidRPr="00D26761">
        <w:rPr>
          <w:lang w:bidi="fr-CH"/>
        </w:rPr>
        <w:t>Assemblée générale</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2063"/>
        <w:gridCol w:w="6714"/>
      </w:tblGrid>
      <w:tr w:rsidR="00D26761" w:rsidTr="00376373">
        <w:trPr>
          <w:tblHeader/>
        </w:trPr>
        <w:tc>
          <w:tcPr>
            <w:tcW w:w="206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sz w:val="14"/>
                <w:lang w:val="fr-CH" w:eastAsia="fr-CH" w:bidi="fr-CH"/>
              </w:rPr>
            </w:pPr>
            <w:r>
              <w:rPr>
                <w:i/>
                <w:sz w:val="14"/>
              </w:rPr>
              <w:t>Résolution n°</w:t>
            </w:r>
          </w:p>
        </w:tc>
        <w:tc>
          <w:tcPr>
            <w:tcW w:w="6714"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376373">
        <w:trPr>
          <w:trHeight w:hRule="exact" w:val="115"/>
          <w:tblHeader/>
        </w:trPr>
        <w:tc>
          <w:tcPr>
            <w:tcW w:w="2063" w:type="dxa"/>
            <w:tcBorders>
              <w:top w:val="single" w:sz="12" w:space="0" w:color="auto"/>
              <w:left w:val="nil"/>
              <w:bottom w:val="nil"/>
              <w:right w:val="nil"/>
            </w:tcBorders>
            <w:vAlign w:val="bottom"/>
          </w:tcPr>
          <w:p w:rsidR="00D26761" w:rsidRDefault="00D26761">
            <w:pPr>
              <w:suppressAutoHyphens/>
              <w:autoSpaceDN w:val="0"/>
              <w:spacing w:before="40" w:after="80"/>
              <w:ind w:right="40"/>
              <w:rPr>
                <w:rFonts w:eastAsia="Times New Roman"/>
                <w:lang w:val="fr-CH" w:eastAsia="fr-CH" w:bidi="fr-CH"/>
              </w:rPr>
            </w:pPr>
          </w:p>
        </w:tc>
        <w:tc>
          <w:tcPr>
            <w:tcW w:w="6714" w:type="dxa"/>
            <w:tcBorders>
              <w:top w:val="single" w:sz="12" w:space="0" w:color="auto"/>
              <w:left w:val="nil"/>
              <w:bottom w:val="nil"/>
              <w:right w:val="nil"/>
            </w:tcBorders>
            <w:vAlign w:val="bottom"/>
          </w:tcPr>
          <w:p w:rsidR="00D26761" w:rsidRDefault="00D26761">
            <w:pPr>
              <w:suppressAutoHyphens/>
              <w:autoSpaceDN w:val="0"/>
              <w:spacing w:before="40" w:after="80"/>
              <w:ind w:right="397"/>
              <w:rPr>
                <w:rFonts w:eastAsia="Times New Roman"/>
                <w:lang w:val="fr-CH" w:eastAsia="fr-CH" w:bidi="fr-CH"/>
              </w:rPr>
            </w:pPr>
          </w:p>
        </w:tc>
      </w:tr>
      <w:tr w:rsidR="00D26761" w:rsidTr="00376373">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47/193</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Pr>
                <w:spacing w:val="5"/>
              </w:rPr>
              <w:t>Célébration de la Journée mondiale de l’eau</w:t>
            </w:r>
          </w:p>
        </w:tc>
      </w:tr>
      <w:tr w:rsidR="00D26761" w:rsidTr="00376373">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58/217</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Pr>
                <w:spacing w:val="5"/>
              </w:rPr>
              <w:t>Décennie internationale d’action, «</w:t>
            </w:r>
            <w:r w:rsidR="00376373">
              <w:rPr>
                <w:spacing w:val="5"/>
              </w:rPr>
              <w:t> </w:t>
            </w:r>
            <w:r>
              <w:rPr>
                <w:spacing w:val="5"/>
              </w:rPr>
              <w:t>L’eau, source de vie</w:t>
            </w:r>
            <w:r w:rsidR="00376373">
              <w:rPr>
                <w:spacing w:val="5"/>
              </w:rPr>
              <w:t> </w:t>
            </w:r>
            <w:r>
              <w:rPr>
                <w:spacing w:val="5"/>
              </w:rPr>
              <w:t>» (2005-2015)</w:t>
            </w:r>
          </w:p>
        </w:tc>
      </w:tr>
      <w:tr w:rsidR="00D26761" w:rsidTr="00376373">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58/219</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t>Décennie des Nations Unies pour l’éducation en vue du développement durable</w:t>
            </w:r>
            <w:r w:rsidR="007B14F3">
              <w:t>, 2005-2014</w:t>
            </w:r>
          </w:p>
        </w:tc>
      </w:tr>
      <w:tr w:rsidR="00D26761" w:rsidTr="00376373">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64/292</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t>Le droit de l’homme à l’eau et à l’assainissement</w:t>
            </w:r>
          </w:p>
        </w:tc>
      </w:tr>
      <w:tr w:rsidR="00D26761" w:rsidTr="00376373">
        <w:tc>
          <w:tcPr>
            <w:tcW w:w="2063"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68/157</w:t>
            </w:r>
          </w:p>
        </w:tc>
        <w:tc>
          <w:tcPr>
            <w:tcW w:w="6714" w:type="dxa"/>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t>Le droit de l’homme à l’eau potable et à l’assainissement</w:t>
            </w:r>
          </w:p>
        </w:tc>
      </w:tr>
      <w:tr w:rsidR="00D26761" w:rsidTr="00376373">
        <w:tc>
          <w:tcPr>
            <w:tcW w:w="206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sidRPr="000A34CE">
              <w:rPr>
                <w:spacing w:val="5"/>
              </w:rPr>
              <w:t>67/291</w:t>
            </w:r>
          </w:p>
        </w:tc>
        <w:tc>
          <w:tcPr>
            <w:tcW w:w="6714"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403"/>
              <w:rPr>
                <w:rFonts w:eastAsia="Times New Roman"/>
                <w:lang w:val="fr-CH" w:eastAsia="fr-CH" w:bidi="fr-CH"/>
              </w:rPr>
            </w:pPr>
            <w:r>
              <w:rPr>
                <w:spacing w:val="5"/>
              </w:rPr>
              <w:t>Assainissement pour tous</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761">
        <w:tab/>
        <w:t>2.</w:t>
      </w:r>
      <w:r w:rsidRPr="00D26761">
        <w:tab/>
        <w:t>Résolutions du Conseil économique et social</w:t>
      </w:r>
    </w:p>
    <w:p w:rsidR="00D26761" w:rsidRPr="00D26761" w:rsidRDefault="00D26761" w:rsidP="00D26761">
      <w:pPr>
        <w:pStyle w:val="SingleTxt"/>
        <w:spacing w:after="0" w:line="120" w:lineRule="exact"/>
        <w:rPr>
          <w:b/>
          <w:sz w:val="10"/>
        </w:rPr>
      </w:pPr>
    </w:p>
    <w:p w:rsidR="00D26761" w:rsidRPr="00D26761" w:rsidRDefault="00D26761" w:rsidP="00D26761">
      <w:pPr>
        <w:pStyle w:val="SingleTxt"/>
        <w:spacing w:after="0" w:line="120" w:lineRule="exact"/>
        <w:rPr>
          <w:sz w:val="10"/>
        </w:rPr>
      </w:pPr>
    </w:p>
    <w:tbl>
      <w:tblPr>
        <w:tblW w:w="8759" w:type="dxa"/>
        <w:tblInd w:w="1267" w:type="dxa"/>
        <w:tblLayout w:type="fixed"/>
        <w:tblCellMar>
          <w:left w:w="0" w:type="dxa"/>
          <w:right w:w="0" w:type="dxa"/>
        </w:tblCellMar>
        <w:tblLook w:val="01E0" w:firstRow="1" w:lastRow="1" w:firstColumn="1" w:lastColumn="1" w:noHBand="0" w:noVBand="0"/>
      </w:tblPr>
      <w:tblGrid>
        <w:gridCol w:w="2063"/>
        <w:gridCol w:w="6696"/>
      </w:tblGrid>
      <w:tr w:rsidR="00D26761" w:rsidTr="00376373">
        <w:trPr>
          <w:tblHeader/>
        </w:trPr>
        <w:tc>
          <w:tcPr>
            <w:tcW w:w="206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sz w:val="14"/>
                <w:lang w:val="fr-CH" w:eastAsia="fr-CH" w:bidi="fr-CH"/>
              </w:rPr>
            </w:pPr>
            <w:r>
              <w:rPr>
                <w:i/>
                <w:sz w:val="14"/>
              </w:rPr>
              <w:t>Résolution n°</w:t>
            </w:r>
          </w:p>
        </w:tc>
        <w:tc>
          <w:tcPr>
            <w:tcW w:w="6696"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376373">
        <w:trPr>
          <w:trHeight w:hRule="exact" w:val="115"/>
          <w:tblHeader/>
        </w:trPr>
        <w:tc>
          <w:tcPr>
            <w:tcW w:w="2063" w:type="dxa"/>
            <w:tcBorders>
              <w:top w:val="single" w:sz="12" w:space="0" w:color="auto"/>
              <w:left w:val="nil"/>
              <w:bottom w:val="nil"/>
              <w:right w:val="nil"/>
            </w:tcBorders>
            <w:vAlign w:val="bottom"/>
          </w:tcPr>
          <w:p w:rsidR="00D26761" w:rsidRDefault="00D26761">
            <w:pPr>
              <w:suppressAutoHyphens/>
              <w:autoSpaceDN w:val="0"/>
              <w:spacing w:before="40" w:after="80"/>
              <w:ind w:right="40"/>
              <w:rPr>
                <w:rFonts w:eastAsia="Times New Roman"/>
                <w:lang w:val="fr-CH" w:eastAsia="fr-CH" w:bidi="fr-CH"/>
              </w:rPr>
            </w:pPr>
          </w:p>
        </w:tc>
        <w:tc>
          <w:tcPr>
            <w:tcW w:w="6696" w:type="dxa"/>
            <w:tcBorders>
              <w:top w:val="single" w:sz="12" w:space="0" w:color="auto"/>
              <w:left w:val="nil"/>
              <w:bottom w:val="nil"/>
              <w:right w:val="nil"/>
            </w:tcBorders>
            <w:vAlign w:val="bottom"/>
          </w:tcPr>
          <w:p w:rsidR="00D26761" w:rsidRDefault="00D26761">
            <w:pPr>
              <w:suppressAutoHyphens/>
              <w:autoSpaceDN w:val="0"/>
              <w:spacing w:before="40" w:after="80"/>
              <w:ind w:right="397"/>
              <w:rPr>
                <w:rFonts w:eastAsia="Times New Roman"/>
                <w:lang w:val="fr-CH" w:eastAsia="fr-CH" w:bidi="fr-CH"/>
              </w:rPr>
            </w:pPr>
          </w:p>
        </w:tc>
      </w:tr>
      <w:tr w:rsidR="00D26761" w:rsidTr="00376373">
        <w:tc>
          <w:tcPr>
            <w:tcW w:w="206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2009/28</w:t>
            </w:r>
          </w:p>
        </w:tc>
        <w:tc>
          <w:tcPr>
            <w:tcW w:w="6696"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Le rôle du système des Nations Unies dans la mise en œuvre de la déclaration ministérielle sur les objectifs convenus et les engagements pris sur le plan international en ce qui concerne le développement durable, adoptée à l’issue du débat de haut niveau du Conseil économique et social tenu lors de sa session de fond de 2008</w:t>
            </w:r>
            <w:r w:rsidR="00737E7D">
              <w:t>.</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t>3.</w:t>
      </w:r>
      <w:r w:rsidRPr="00D26761">
        <w:rPr>
          <w:lang w:bidi="fr-CH"/>
        </w:rPr>
        <w:tab/>
      </w:r>
      <w:r>
        <w:rPr>
          <w:lang w:bidi="fr-CH"/>
        </w:rPr>
        <w:t>Autres</w:t>
      </w:r>
    </w:p>
    <w:p w:rsidR="00D26761" w:rsidRPr="00D26761" w:rsidRDefault="00D26761" w:rsidP="00D26761">
      <w:pPr>
        <w:pStyle w:val="SingleTxt"/>
        <w:spacing w:after="0" w:line="120" w:lineRule="exact"/>
        <w:rPr>
          <w:sz w:val="10"/>
          <w:lang w:bidi="fr-CH"/>
        </w:rPr>
      </w:pPr>
    </w:p>
    <w:p w:rsidR="00D26761" w:rsidRDefault="00D26761" w:rsidP="00D267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CH"/>
        </w:rPr>
      </w:pPr>
      <w:r w:rsidRPr="00D26761">
        <w:rPr>
          <w:lang w:bidi="fr-CH"/>
        </w:rPr>
        <w:tab/>
      </w:r>
      <w:r w:rsidRPr="00D26761">
        <w:rPr>
          <w:lang w:bidi="fr-CH"/>
        </w:rPr>
        <w:tab/>
        <w:t>Décisions de la Commission économique pour l</w:t>
      </w:r>
      <w:r>
        <w:rPr>
          <w:lang w:bidi="fr-CH"/>
        </w:rPr>
        <w:t>’</w:t>
      </w:r>
      <w:r w:rsidRPr="00D26761">
        <w:rPr>
          <w:lang w:bidi="fr-CH"/>
        </w:rPr>
        <w:t>Europe</w:t>
      </w:r>
    </w:p>
    <w:p w:rsidR="00D26761" w:rsidRPr="00D26761" w:rsidRDefault="00D26761" w:rsidP="00D26761">
      <w:pPr>
        <w:pStyle w:val="SingleTxt"/>
        <w:spacing w:after="0" w:line="120" w:lineRule="exact"/>
        <w:rPr>
          <w:b/>
          <w:sz w:val="10"/>
          <w:lang w:bidi="fr-CH"/>
        </w:rPr>
      </w:pPr>
    </w:p>
    <w:p w:rsidR="00D26761" w:rsidRPr="00D26761" w:rsidRDefault="00D26761" w:rsidP="00D26761">
      <w:pPr>
        <w:pStyle w:val="SingleTxt"/>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3593"/>
        <w:gridCol w:w="5184"/>
      </w:tblGrid>
      <w:tr w:rsidR="00D26761" w:rsidTr="00376373">
        <w:trPr>
          <w:tblHeader/>
        </w:trPr>
        <w:tc>
          <w:tcPr>
            <w:tcW w:w="3593"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40"/>
              <w:rPr>
                <w:rFonts w:eastAsia="Times New Roman"/>
                <w:i/>
                <w:iCs/>
                <w:sz w:val="14"/>
                <w:lang w:val="fr-CH" w:eastAsia="fr-CH" w:bidi="fr-CH"/>
              </w:rPr>
            </w:pPr>
            <w:r>
              <w:rPr>
                <w:i/>
                <w:sz w:val="14"/>
              </w:rPr>
              <w:t>Cote du document</w:t>
            </w:r>
          </w:p>
        </w:tc>
        <w:tc>
          <w:tcPr>
            <w:tcW w:w="5184" w:type="dxa"/>
            <w:tcBorders>
              <w:top w:val="single" w:sz="4" w:space="0" w:color="auto"/>
              <w:left w:val="nil"/>
              <w:bottom w:val="single" w:sz="12" w:space="0" w:color="auto"/>
              <w:right w:val="nil"/>
            </w:tcBorders>
            <w:vAlign w:val="bottom"/>
            <w:hideMark/>
          </w:tcPr>
          <w:p w:rsidR="00D26761" w:rsidRDefault="00D26761">
            <w:pPr>
              <w:suppressAutoHyphens/>
              <w:autoSpaceDN w:val="0"/>
              <w:spacing w:before="80" w:after="80" w:line="160" w:lineRule="exact"/>
              <w:ind w:right="397"/>
              <w:rPr>
                <w:rFonts w:eastAsia="Times New Roman"/>
                <w:i/>
                <w:iCs/>
                <w:sz w:val="14"/>
                <w:lang w:val="fr-CH" w:eastAsia="fr-CH" w:bidi="fr-CH"/>
              </w:rPr>
            </w:pPr>
            <w:r>
              <w:rPr>
                <w:i/>
                <w:sz w:val="14"/>
              </w:rPr>
              <w:t>Titre</w:t>
            </w:r>
          </w:p>
        </w:tc>
      </w:tr>
      <w:tr w:rsidR="00D26761" w:rsidTr="00376373">
        <w:trPr>
          <w:trHeight w:hRule="exact" w:val="115"/>
          <w:tblHeader/>
        </w:trPr>
        <w:tc>
          <w:tcPr>
            <w:tcW w:w="3593" w:type="dxa"/>
            <w:tcBorders>
              <w:top w:val="single" w:sz="12" w:space="0" w:color="auto"/>
              <w:left w:val="nil"/>
              <w:bottom w:val="nil"/>
              <w:right w:val="nil"/>
            </w:tcBorders>
            <w:vAlign w:val="bottom"/>
          </w:tcPr>
          <w:p w:rsidR="00D26761" w:rsidRDefault="00D26761">
            <w:pPr>
              <w:suppressAutoHyphens/>
              <w:autoSpaceDN w:val="0"/>
              <w:spacing w:before="40" w:after="80"/>
              <w:ind w:right="40"/>
              <w:rPr>
                <w:spacing w:val="3"/>
                <w:lang w:val="fr-CH" w:eastAsia="fr-CH" w:bidi="fr-CH"/>
              </w:rPr>
            </w:pPr>
          </w:p>
        </w:tc>
        <w:tc>
          <w:tcPr>
            <w:tcW w:w="5184" w:type="dxa"/>
            <w:tcBorders>
              <w:top w:val="single" w:sz="12" w:space="0" w:color="auto"/>
              <w:left w:val="nil"/>
              <w:bottom w:val="nil"/>
              <w:right w:val="nil"/>
            </w:tcBorders>
            <w:vAlign w:val="bottom"/>
          </w:tcPr>
          <w:p w:rsidR="00D26761" w:rsidRDefault="00D26761">
            <w:pPr>
              <w:widowControl w:val="0"/>
              <w:suppressAutoHyphens/>
              <w:autoSpaceDN w:val="0"/>
              <w:spacing w:before="40" w:after="80"/>
              <w:ind w:right="397"/>
              <w:rPr>
                <w:lang w:val="fr-CH" w:eastAsia="fr-CH" w:bidi="fr-CH"/>
              </w:rPr>
            </w:pP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CEP/AC.13/2005/3/Rev.1</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Stratégie de la CEE pour l’éducation en vue du développement durable adoptée à la réunion de haut niveau des ministères de l’environnement et de l’éducation (2005)</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ECE/BELGRADE.CONF/2007/4/Add.1</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t>Déclaration concernant l’éducation en vue du développement durable des ministres de l’éducation et de l’environnement de la région de la CEE, adoptée à la sixième conférence ministérielle «</w:t>
            </w:r>
            <w:r w:rsidR="00376373">
              <w:t> </w:t>
            </w:r>
            <w:r>
              <w:t>Un environnement pour l’Europe</w:t>
            </w:r>
            <w:r w:rsidR="00376373">
              <w:t> </w:t>
            </w:r>
            <w:r>
              <w:t>» (2007)</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ECE/BELGRADE.CONF/2007/8</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Déclaration ministérielle «</w:t>
            </w:r>
            <w:r w:rsidR="00376373">
              <w:rPr>
                <w:spacing w:val="5"/>
              </w:rPr>
              <w:t> </w:t>
            </w:r>
            <w:r>
              <w:rPr>
                <w:spacing w:val="5"/>
              </w:rPr>
              <w:t>Construire des passerelles pour l’avenir</w:t>
            </w:r>
            <w:r w:rsidR="00376373">
              <w:rPr>
                <w:spacing w:val="5"/>
              </w:rPr>
              <w:t> </w:t>
            </w:r>
            <w:r>
              <w:rPr>
                <w:spacing w:val="5"/>
              </w:rPr>
              <w:t>» (2007)</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ECE/AC.21/2009/2</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réunion de haut niveau sur les transports, la santé et l’environnement sur sa troisième session (2009)</w:t>
            </w:r>
          </w:p>
        </w:tc>
      </w:tr>
      <w:tr w:rsidR="00D26761" w:rsidTr="00376373">
        <w:tc>
          <w:tcPr>
            <w:tcW w:w="359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ECE/ASTANA.CONF/2011/2/Add.1</w:t>
            </w:r>
          </w:p>
        </w:tc>
        <w:tc>
          <w:tcPr>
            <w:tcW w:w="5184"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Déclaration ministérielle</w:t>
            </w:r>
            <w:r w:rsidR="00376373">
              <w:rPr>
                <w:spacing w:val="5"/>
              </w:rPr>
              <w:t> :</w:t>
            </w:r>
            <w:r>
              <w:rPr>
                <w:spacing w:val="5"/>
              </w:rPr>
              <w:t xml:space="preserve"> «</w:t>
            </w:r>
            <w:r w:rsidR="00376373">
              <w:rPr>
                <w:spacing w:val="5"/>
              </w:rPr>
              <w:t> </w:t>
            </w:r>
            <w:r>
              <w:rPr>
                <w:spacing w:val="5"/>
              </w:rPr>
              <w:t>Économisez l’eau, passez au vert</w:t>
            </w:r>
            <w:r w:rsidR="00376373">
              <w:rPr>
                <w:spacing w:val="5"/>
              </w:rPr>
              <w:t> </w:t>
            </w:r>
            <w:r>
              <w:rPr>
                <w:spacing w:val="5"/>
              </w:rPr>
              <w:t>!</w:t>
            </w:r>
            <w:r w:rsidR="00376373">
              <w:rPr>
                <w:spacing w:val="5"/>
              </w:rPr>
              <w:t> </w:t>
            </w:r>
            <w:r>
              <w:rPr>
                <w:spacing w:val="5"/>
              </w:rPr>
              <w:t>» (2011)</w:t>
            </w:r>
          </w:p>
        </w:tc>
      </w:tr>
    </w:tbl>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Pr="00D26761" w:rsidRDefault="00D26761" w:rsidP="00D26761">
      <w:pPr>
        <w:pStyle w:val="SingleTxt"/>
        <w:spacing w:after="0" w:line="120" w:lineRule="exact"/>
        <w:rPr>
          <w:sz w:val="10"/>
        </w:rPr>
      </w:pPr>
    </w:p>
    <w:p w:rsidR="00D26761" w:rsidRDefault="00D26761" w:rsidP="003763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6761">
        <w:tab/>
      </w:r>
      <w:r w:rsidRPr="00D26761">
        <w:tab/>
        <w:t xml:space="preserve">Décisions récentes des organes directeurs des accords multilatéraux </w:t>
      </w:r>
      <w:r>
        <w:br/>
      </w:r>
      <w:r w:rsidR="007B14F3">
        <w:t xml:space="preserve">relatif à </w:t>
      </w:r>
      <w:r w:rsidRPr="00D26761">
        <w:t>l</w:t>
      </w:r>
      <w:r>
        <w:t>’</w:t>
      </w:r>
      <w:r w:rsidRPr="00D26761">
        <w:t>environnement de la Commission économique pour l</w:t>
      </w:r>
      <w:r>
        <w:t>’</w:t>
      </w:r>
      <w:r w:rsidRPr="00D26761">
        <w:t>Europe</w:t>
      </w:r>
    </w:p>
    <w:p w:rsidR="00D26761" w:rsidRPr="00D26761" w:rsidRDefault="00D26761" w:rsidP="00376373">
      <w:pPr>
        <w:pStyle w:val="SingleTxt"/>
        <w:keepNext/>
        <w:keepLines/>
        <w:spacing w:after="0" w:line="120" w:lineRule="exact"/>
        <w:rPr>
          <w:b/>
          <w:sz w:val="10"/>
        </w:rPr>
      </w:pPr>
    </w:p>
    <w:p w:rsidR="00D26761" w:rsidRPr="00D26761" w:rsidRDefault="00D26761" w:rsidP="00376373">
      <w:pPr>
        <w:pStyle w:val="SingleTxt"/>
        <w:keepNext/>
        <w:keepLines/>
        <w:spacing w:after="0" w:line="120" w:lineRule="exact"/>
        <w:rPr>
          <w:sz w:val="10"/>
        </w:rPr>
      </w:pPr>
    </w:p>
    <w:tbl>
      <w:tblPr>
        <w:tblW w:w="8777" w:type="dxa"/>
        <w:tblInd w:w="1267" w:type="dxa"/>
        <w:tblLayout w:type="fixed"/>
        <w:tblCellMar>
          <w:left w:w="0" w:type="dxa"/>
          <w:right w:w="0" w:type="dxa"/>
        </w:tblCellMar>
        <w:tblLook w:val="01E0" w:firstRow="1" w:lastRow="1" w:firstColumn="1" w:lastColumn="1" w:noHBand="0" w:noVBand="0"/>
      </w:tblPr>
      <w:tblGrid>
        <w:gridCol w:w="3593"/>
        <w:gridCol w:w="5184"/>
      </w:tblGrid>
      <w:tr w:rsidR="00D26761" w:rsidTr="00376373">
        <w:trPr>
          <w:tblHeader/>
        </w:trPr>
        <w:tc>
          <w:tcPr>
            <w:tcW w:w="3593" w:type="dxa"/>
            <w:tcBorders>
              <w:top w:val="single" w:sz="4" w:space="0" w:color="auto"/>
              <w:left w:val="nil"/>
              <w:bottom w:val="single" w:sz="12" w:space="0" w:color="auto"/>
              <w:right w:val="nil"/>
            </w:tcBorders>
            <w:vAlign w:val="bottom"/>
            <w:hideMark/>
          </w:tcPr>
          <w:p w:rsidR="00D26761" w:rsidRDefault="00D26761">
            <w:pPr>
              <w:keepNext/>
              <w:suppressAutoHyphens/>
              <w:autoSpaceDN w:val="0"/>
              <w:spacing w:before="80" w:after="80" w:line="160" w:lineRule="exact"/>
              <w:ind w:right="40"/>
              <w:rPr>
                <w:rFonts w:eastAsia="Times New Roman"/>
                <w:i/>
                <w:sz w:val="14"/>
                <w:lang w:val="fr-CH" w:eastAsia="fr-CH" w:bidi="fr-CH"/>
              </w:rPr>
            </w:pPr>
            <w:r>
              <w:rPr>
                <w:i/>
                <w:sz w:val="14"/>
              </w:rPr>
              <w:t>Cote du document</w:t>
            </w:r>
          </w:p>
        </w:tc>
        <w:tc>
          <w:tcPr>
            <w:tcW w:w="5184" w:type="dxa"/>
            <w:tcBorders>
              <w:top w:val="single" w:sz="4" w:space="0" w:color="auto"/>
              <w:left w:val="nil"/>
              <w:bottom w:val="single" w:sz="12" w:space="0" w:color="auto"/>
              <w:right w:val="nil"/>
            </w:tcBorders>
            <w:vAlign w:val="bottom"/>
            <w:hideMark/>
          </w:tcPr>
          <w:p w:rsidR="00D26761" w:rsidRDefault="00D26761">
            <w:pPr>
              <w:keepNext/>
              <w:suppressAutoHyphens/>
              <w:autoSpaceDN w:val="0"/>
              <w:spacing w:before="80" w:after="80" w:line="160" w:lineRule="exact"/>
              <w:ind w:right="397"/>
              <w:rPr>
                <w:rFonts w:eastAsia="Times New Roman"/>
                <w:i/>
                <w:sz w:val="14"/>
                <w:lang w:val="fr-CH" w:eastAsia="fr-CH" w:bidi="fr-CH"/>
              </w:rPr>
            </w:pPr>
            <w:r>
              <w:rPr>
                <w:i/>
                <w:sz w:val="14"/>
              </w:rPr>
              <w:t>Titre</w:t>
            </w:r>
          </w:p>
        </w:tc>
      </w:tr>
      <w:tr w:rsidR="00D26761" w:rsidTr="00376373">
        <w:trPr>
          <w:trHeight w:hRule="exact" w:val="115"/>
          <w:tblHeader/>
        </w:trPr>
        <w:tc>
          <w:tcPr>
            <w:tcW w:w="3593" w:type="dxa"/>
            <w:tcBorders>
              <w:top w:val="single" w:sz="12" w:space="0" w:color="auto"/>
              <w:left w:val="nil"/>
              <w:bottom w:val="nil"/>
              <w:right w:val="nil"/>
            </w:tcBorders>
            <w:vAlign w:val="bottom"/>
          </w:tcPr>
          <w:p w:rsidR="00D26761" w:rsidRDefault="00D26761">
            <w:pPr>
              <w:keepNext/>
              <w:suppressAutoHyphens/>
              <w:autoSpaceDN w:val="0"/>
              <w:spacing w:before="40" w:after="80"/>
              <w:ind w:right="40"/>
              <w:rPr>
                <w:spacing w:val="3"/>
                <w:lang w:val="fr-CH" w:eastAsia="fr-CH" w:bidi="fr-CH"/>
              </w:rPr>
            </w:pPr>
          </w:p>
        </w:tc>
        <w:tc>
          <w:tcPr>
            <w:tcW w:w="5184" w:type="dxa"/>
            <w:tcBorders>
              <w:top w:val="single" w:sz="12" w:space="0" w:color="auto"/>
              <w:left w:val="nil"/>
              <w:bottom w:val="nil"/>
              <w:right w:val="nil"/>
            </w:tcBorders>
            <w:vAlign w:val="bottom"/>
          </w:tcPr>
          <w:p w:rsidR="00D26761" w:rsidRDefault="00D26761">
            <w:pPr>
              <w:keepNext/>
              <w:suppressAutoHyphens/>
              <w:autoSpaceDN w:val="0"/>
              <w:spacing w:before="40" w:after="80"/>
              <w:ind w:right="397"/>
              <w:rPr>
                <w:spacing w:val="5"/>
                <w:lang w:val="fr-CH" w:eastAsia="fr-CH" w:bidi="fr-CH"/>
              </w:rPr>
            </w:pP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ECE/EB.AIR/113 et Add.1</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 xml:space="preserve">Rapport de l’Organe exécutif de la Convention sur la pollution atmosphérique transfrontière à longue distance sur </w:t>
            </w:r>
            <w:r w:rsidR="007B14F3">
              <w:rPr>
                <w:spacing w:val="5"/>
              </w:rPr>
              <w:t xml:space="preserve">les travaux de </w:t>
            </w:r>
            <w:r>
              <w:rPr>
                <w:spacing w:val="5"/>
              </w:rPr>
              <w:t>sa trente et unième session</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ECE/MP.PRTR/2010/2 et Add.1</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première session de la Réunion des Parties au Protocole sur les registres des rejets et transferts de polluants</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ECE/MP.PP/2011/2 et additifs</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3"/>
              </w:rPr>
              <w:t>Rapport de la quatrième session de la Réunion des Parties à la Convention d’Aarhus</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3"/>
              </w:rPr>
              <w:t>ECE/MP.EIA/15</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Réunion des Parties à la Convention sur l’évaluation de l’impact sur l’environnement dans un contexte transfrontière sur les travaux de sa cinquième session</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ECE/MP.EIA/SEA/2</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Réunion des Parties à la Convention sur l’évaluation de l’impact sur l’environnement dans un contexte transfrontière agissant comme réunion des Parties au Protocole relatif à l’évaluation stratégique environnementale sur les travaux de sa première session</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ECE/CP.TEIA/24</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septième réunion de la Conférence des Parties à la Convention sur les effets transfrontières des accidents industriels</w:t>
            </w:r>
          </w:p>
        </w:tc>
      </w:tr>
      <w:tr w:rsidR="00D26761" w:rsidTr="00376373">
        <w:tc>
          <w:tcPr>
            <w:tcW w:w="3593"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spacing w:val="3"/>
                <w:lang w:val="fr-CH" w:eastAsia="fr-CH" w:bidi="fr-CH"/>
              </w:rPr>
            </w:pPr>
            <w:r>
              <w:rPr>
                <w:spacing w:val="3"/>
              </w:rPr>
              <w:t>ECE/MP.WAT/37 et additifs</w:t>
            </w:r>
          </w:p>
        </w:tc>
        <w:tc>
          <w:tcPr>
            <w:tcW w:w="5184" w:type="dxa"/>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Réunion des Parties à la Convention sur la protection et l’utilisation des cours d’eau transfrontières et des lacs internationaux sur sa sixième session</w:t>
            </w:r>
          </w:p>
        </w:tc>
      </w:tr>
      <w:tr w:rsidR="00D26761" w:rsidTr="00376373">
        <w:trPr>
          <w:tblHeader/>
        </w:trPr>
        <w:tc>
          <w:tcPr>
            <w:tcW w:w="3593"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3"/>
              </w:rPr>
              <w:t>ECE/MP.WH/4 et additifs</w:t>
            </w:r>
          </w:p>
        </w:tc>
        <w:tc>
          <w:tcPr>
            <w:tcW w:w="5184" w:type="dxa"/>
            <w:tcBorders>
              <w:top w:val="nil"/>
              <w:left w:val="nil"/>
              <w:bottom w:val="single" w:sz="12" w:space="0" w:color="auto"/>
              <w:right w:val="nil"/>
            </w:tcBorders>
            <w:hideMark/>
          </w:tcPr>
          <w:p w:rsidR="00D26761" w:rsidRDefault="00D26761" w:rsidP="00910949">
            <w:pPr>
              <w:tabs>
                <w:tab w:val="left" w:pos="288"/>
                <w:tab w:val="left" w:pos="576"/>
                <w:tab w:val="left" w:pos="864"/>
                <w:tab w:val="left" w:pos="1152"/>
              </w:tabs>
              <w:suppressAutoHyphens/>
              <w:autoSpaceDN w:val="0"/>
              <w:spacing w:before="40" w:after="80"/>
              <w:ind w:right="115"/>
              <w:rPr>
                <w:rFonts w:eastAsia="Times New Roman"/>
                <w:lang w:val="fr-CH" w:eastAsia="fr-CH" w:bidi="fr-CH"/>
              </w:rPr>
            </w:pPr>
            <w:r>
              <w:rPr>
                <w:spacing w:val="5"/>
              </w:rPr>
              <w:t>Rapport de la Réunion des Parties au Protocole sur l’eau et la santé sur sa deuxième session</w:t>
            </w:r>
          </w:p>
        </w:tc>
      </w:tr>
    </w:tbl>
    <w:p w:rsidR="00D26761" w:rsidRPr="00D26761" w:rsidRDefault="00D26761" w:rsidP="00D2676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26761" w:rsidRPr="00D26761" w:rsidSect="00FF19F4">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47" w:rsidRDefault="00680C47" w:rsidP="00F3330B">
      <w:pPr>
        <w:spacing w:line="240" w:lineRule="auto"/>
      </w:pPr>
      <w:r>
        <w:separator/>
      </w:r>
    </w:p>
  </w:endnote>
  <w:endnote w:type="continuationSeparator" w:id="0">
    <w:p w:rsidR="00680C47" w:rsidRDefault="00680C4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0C47" w:rsidTr="00FF19F4">
      <w:trPr>
        <w:jc w:val="center"/>
      </w:trPr>
      <w:tc>
        <w:tcPr>
          <w:tcW w:w="5126" w:type="dxa"/>
          <w:shd w:val="clear" w:color="auto" w:fill="auto"/>
        </w:tcPr>
        <w:p w:rsidR="00680C47" w:rsidRPr="00FF19F4" w:rsidRDefault="00680C47" w:rsidP="00FF19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450D">
            <w:rPr>
              <w:b w:val="0"/>
              <w:w w:val="103"/>
              <w:sz w:val="14"/>
            </w:rPr>
            <w:t>GE.15-13994</w:t>
          </w:r>
          <w:r>
            <w:rPr>
              <w:b w:val="0"/>
              <w:w w:val="103"/>
              <w:sz w:val="14"/>
            </w:rPr>
            <w:fldChar w:fldCharType="end"/>
          </w:r>
        </w:p>
      </w:tc>
      <w:tc>
        <w:tcPr>
          <w:tcW w:w="5127" w:type="dxa"/>
          <w:shd w:val="clear" w:color="auto" w:fill="auto"/>
        </w:tcPr>
        <w:p w:rsidR="00680C47" w:rsidRPr="00FF19F4" w:rsidRDefault="00680C47" w:rsidP="00FF19F4">
          <w:pPr>
            <w:pStyle w:val="Footer"/>
            <w:rPr>
              <w:w w:val="103"/>
            </w:rPr>
          </w:pPr>
          <w:r>
            <w:rPr>
              <w:w w:val="103"/>
            </w:rPr>
            <w:fldChar w:fldCharType="begin"/>
          </w:r>
          <w:r>
            <w:rPr>
              <w:w w:val="103"/>
            </w:rPr>
            <w:instrText xml:space="preserve"> PAGE  \* Arabic  \* MERGEFORMAT </w:instrText>
          </w:r>
          <w:r>
            <w:rPr>
              <w:w w:val="103"/>
            </w:rPr>
            <w:fldChar w:fldCharType="separate"/>
          </w:r>
          <w:r w:rsidR="00533484">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3484">
            <w:rPr>
              <w:noProof/>
              <w:w w:val="103"/>
            </w:rPr>
            <w:t>18</w:t>
          </w:r>
          <w:r>
            <w:rPr>
              <w:w w:val="103"/>
            </w:rPr>
            <w:fldChar w:fldCharType="end"/>
          </w:r>
        </w:p>
      </w:tc>
    </w:tr>
  </w:tbl>
  <w:p w:rsidR="00680C47" w:rsidRPr="00FF19F4" w:rsidRDefault="00680C47" w:rsidP="00FF1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0C47" w:rsidTr="00FF19F4">
      <w:trPr>
        <w:jc w:val="center"/>
      </w:trPr>
      <w:tc>
        <w:tcPr>
          <w:tcW w:w="5126" w:type="dxa"/>
          <w:shd w:val="clear" w:color="auto" w:fill="auto"/>
        </w:tcPr>
        <w:p w:rsidR="00680C47" w:rsidRPr="00FF19F4" w:rsidRDefault="00680C47" w:rsidP="00FF19F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3484">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3484">
            <w:rPr>
              <w:noProof/>
              <w:w w:val="103"/>
            </w:rPr>
            <w:t>17</w:t>
          </w:r>
          <w:r>
            <w:rPr>
              <w:w w:val="103"/>
            </w:rPr>
            <w:fldChar w:fldCharType="end"/>
          </w:r>
        </w:p>
      </w:tc>
      <w:tc>
        <w:tcPr>
          <w:tcW w:w="5127" w:type="dxa"/>
          <w:shd w:val="clear" w:color="auto" w:fill="auto"/>
        </w:tcPr>
        <w:p w:rsidR="00680C47" w:rsidRPr="00FF19F4" w:rsidRDefault="00680C47" w:rsidP="00FF19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450D">
            <w:rPr>
              <w:b w:val="0"/>
              <w:w w:val="103"/>
              <w:sz w:val="14"/>
            </w:rPr>
            <w:t>GE.15-13994</w:t>
          </w:r>
          <w:r>
            <w:rPr>
              <w:b w:val="0"/>
              <w:w w:val="103"/>
              <w:sz w:val="14"/>
            </w:rPr>
            <w:fldChar w:fldCharType="end"/>
          </w:r>
        </w:p>
      </w:tc>
    </w:tr>
  </w:tbl>
  <w:p w:rsidR="00680C47" w:rsidRPr="00FF19F4" w:rsidRDefault="00680C47" w:rsidP="00FF1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7" w:rsidRDefault="00680C47">
    <w:pPr>
      <w:pStyle w:val="Footer"/>
    </w:pPr>
    <w:r>
      <w:rPr>
        <w:noProof/>
        <w:lang w:val="en-GB" w:eastAsia="en-GB"/>
      </w:rPr>
      <w:drawing>
        <wp:anchor distT="0" distB="0" distL="114300" distR="114300" simplePos="0" relativeHeight="251658240" behindDoc="0" locked="0" layoutInCell="1" allowOverlap="1" wp14:anchorId="3CBA67E6" wp14:editId="5630AFB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80C47" w:rsidTr="00FF19F4">
      <w:tc>
        <w:tcPr>
          <w:tcW w:w="3859" w:type="dxa"/>
        </w:tcPr>
        <w:p w:rsidR="00680C47" w:rsidRDefault="00680C47" w:rsidP="00FF19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450D">
            <w:rPr>
              <w:b w:val="0"/>
              <w:sz w:val="20"/>
            </w:rPr>
            <w:t>GE.15-13994 (F)</w:t>
          </w:r>
          <w:r>
            <w:rPr>
              <w:b w:val="0"/>
              <w:sz w:val="20"/>
            </w:rPr>
            <w:fldChar w:fldCharType="end"/>
          </w:r>
          <w:r>
            <w:rPr>
              <w:b w:val="0"/>
              <w:sz w:val="20"/>
            </w:rPr>
            <w:t xml:space="preserve">    110915    150915</w:t>
          </w:r>
        </w:p>
        <w:p w:rsidR="00680C47" w:rsidRPr="00FF19F4" w:rsidRDefault="00680C47" w:rsidP="00FF19F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450D">
            <w:rPr>
              <w:rFonts w:ascii="Barcode 3 of 9 by request" w:hAnsi="Barcode 3 of 9 by request"/>
              <w:b w:val="0"/>
              <w:spacing w:val="0"/>
              <w:w w:val="100"/>
              <w:sz w:val="24"/>
            </w:rPr>
            <w:t>*1513994*</w:t>
          </w:r>
          <w:r>
            <w:rPr>
              <w:rFonts w:ascii="Barcode 3 of 9 by request" w:hAnsi="Barcode 3 of 9 by request"/>
              <w:b w:val="0"/>
              <w:spacing w:val="0"/>
              <w:w w:val="100"/>
              <w:sz w:val="24"/>
            </w:rPr>
            <w:fldChar w:fldCharType="end"/>
          </w:r>
        </w:p>
      </w:tc>
      <w:tc>
        <w:tcPr>
          <w:tcW w:w="5127" w:type="dxa"/>
        </w:tcPr>
        <w:p w:rsidR="00680C47" w:rsidRDefault="00680C47" w:rsidP="00FF19F4">
          <w:pPr>
            <w:pStyle w:val="Footer"/>
            <w:spacing w:line="240" w:lineRule="atLeast"/>
            <w:jc w:val="right"/>
            <w:rPr>
              <w:b w:val="0"/>
              <w:sz w:val="20"/>
            </w:rPr>
          </w:pPr>
          <w:r>
            <w:rPr>
              <w:b w:val="0"/>
              <w:noProof/>
              <w:sz w:val="20"/>
              <w:lang w:val="en-GB" w:eastAsia="en-GB"/>
            </w:rPr>
            <w:drawing>
              <wp:inline distT="0" distB="0" distL="0" distR="0" wp14:anchorId="24D27639" wp14:editId="390E21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80C47" w:rsidRPr="00FF19F4" w:rsidRDefault="00680C47" w:rsidP="00FF19F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47" w:rsidRPr="000A34CE" w:rsidRDefault="00680C47" w:rsidP="000A34CE">
      <w:pPr>
        <w:pStyle w:val="Footer"/>
        <w:spacing w:after="80"/>
        <w:ind w:left="792"/>
        <w:rPr>
          <w:sz w:val="16"/>
        </w:rPr>
      </w:pPr>
      <w:r w:rsidRPr="000A34CE">
        <w:rPr>
          <w:sz w:val="16"/>
        </w:rPr>
        <w:t>__________________</w:t>
      </w:r>
    </w:p>
  </w:footnote>
  <w:footnote w:type="continuationSeparator" w:id="0">
    <w:p w:rsidR="00680C47" w:rsidRPr="000A34CE" w:rsidRDefault="00680C47" w:rsidP="000A34CE">
      <w:pPr>
        <w:pStyle w:val="Footer"/>
        <w:spacing w:after="80"/>
        <w:ind w:left="792"/>
        <w:rPr>
          <w:sz w:val="16"/>
        </w:rPr>
      </w:pPr>
      <w:r w:rsidRPr="000A34CE">
        <w:rPr>
          <w:sz w:val="16"/>
        </w:rPr>
        <w:t>__________________</w:t>
      </w:r>
    </w:p>
  </w:footnote>
  <w:footnote w:id="1">
    <w:p w:rsidR="00680C47" w:rsidRDefault="00680C47" w:rsidP="000A34CE">
      <w:pPr>
        <w:pStyle w:val="FootnoteText"/>
        <w:tabs>
          <w:tab w:val="right" w:pos="1195"/>
          <w:tab w:val="left" w:pos="1267"/>
          <w:tab w:val="left" w:pos="1742"/>
          <w:tab w:val="left" w:pos="2218"/>
          <w:tab w:val="left" w:pos="2693"/>
        </w:tabs>
        <w:ind w:left="1267" w:right="1260" w:hanging="432"/>
        <w:rPr>
          <w:lang w:val="fr-CH" w:eastAsia="fr-CH" w:bidi="fr-CH"/>
        </w:rPr>
      </w:pPr>
      <w:r>
        <w:tab/>
      </w:r>
      <w:r w:rsidRPr="00F51920">
        <w:rPr>
          <w:rStyle w:val="FootnoteReference"/>
          <w:vertAlign w:val="baseline"/>
        </w:rPr>
        <w:t>*</w:t>
      </w:r>
      <w:r w:rsidRPr="00F51920">
        <w:tab/>
      </w:r>
      <w:r>
        <w:t>Le présent document n’a pas été revu par les services d’édition.</w:t>
      </w:r>
    </w:p>
  </w:footnote>
  <w:footnote w:id="2">
    <w:p w:rsidR="00680C47" w:rsidRPr="000A34CE" w:rsidRDefault="00680C47" w:rsidP="000A34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Les activités relevant des accords multilatéraux de la CEE relatifs à l’environnement, de la Stratégie de la CEE pour l’éducation au développement durable et du Programme paneuropéen sur les transports, la santé et l’environnement (PPE-TSE) sont menées sous l’autorité des organes directeurs compétents dans les domaines de travail respectifs du sous-programme. Ces activités sont prises en compte dans les programmes de travail établis et adoptés par les organes directeurs respectifs.</w:t>
      </w:r>
    </w:p>
  </w:footnote>
  <w:footnote w:id="3">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Cela étant, il faut noter que les informations communiquées dans la section II correspondent aux prévisions de 2014, compte tenu de l’obligation faite au Secrétaire général de les présenter à l’Assemblée générale des Nations Unies pour qu’elles soient approuvées en temps opportun avant le début de l’exercice biennal 2016-2017. Nombre de ces activités doivent par conséquent être actualisées, et les révisions pertinentes sont indiquées dans les notes de bas de page de ladite section. Pour chacun des accords multilatéraux de la CEE relatifs à l’environnement, ainsi que pour le PPE-TSE et la Stratégie pour l’éducation au développement durable, l’organe directeur compétent est chargé de procéder aux ajustements requis, alors que c’est au Comité qu’il incombe d’actualiser toutes les autres activités.</w:t>
      </w:r>
    </w:p>
  </w:footnote>
  <w:footnote w:id="4">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 projet de programme de travail pour 2016-2018, approuvé par le Groupe de travail de la gestion intégrée des ressources en eau à sa dixième réunion et communiqué pour adoption à la Réunion des Parties (ECE/MP.WAT/WG.1/2015/L.1), proroge le mandat de l’Équipe spéciale de l’eau et du climat et la charge d’organiser plusieurs activités qui supposent la tenue de huit sessions.</w:t>
      </w:r>
    </w:p>
  </w:footnote>
  <w:footnote w:id="5">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L’Équipe spéciale de la définition d’objectifs et de l’établissement de rapports créée en application du Protocole a décidé, à sa huitième réunion, le 2 juillet 2015, de recenser les bonnes pratiques dans un document qu’elle soumettra en 2016 à la Réunion des Parties au Protocole. Il est prévu que cette décision soit approuvée par le Groupe de travail de l’eau et de la santé à sa huitième réunion (21 et 22 octobre 2015; voir ordre du jour ECE/MP.WH/WG.1/2015/1), ce qui portera à huit le nombre des sessions à tenir pendant la période biennale.</w:t>
      </w:r>
    </w:p>
  </w:footnote>
  <w:footnote w:id="6">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 nombre de réunions que tiendra le Groupe de travail chargé de l’élaboration de la Convention pendant la période biennale dépendra des décisions prises par la Conférence des Parties à sa neuvième session.</w:t>
      </w:r>
    </w:p>
  </w:footnote>
  <w:footnote w:id="7">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Les points de contact pourraient être consultés par voie électronique, ce qui réduirait d’autant le nombre de sessions à tenir pendant la période biennale.</w:t>
      </w:r>
    </w:p>
  </w:footnote>
  <w:footnote w:id="8">
    <w:p w:rsidR="00680C47" w:rsidRPr="007A2E4F" w:rsidRDefault="00680C47" w:rsidP="007A2E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 Groupe de travail a décidé de faire suivre ses réunions d’ateliers thématiques (ECE/MP.EIA/WG.2/2015/2, par. 34), ce qui portera à 18 le nombre de sessions tenues pendant la période biennale.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0C47" w:rsidTr="00FF19F4">
      <w:trPr>
        <w:trHeight w:hRule="exact" w:val="864"/>
        <w:jc w:val="center"/>
      </w:trPr>
      <w:tc>
        <w:tcPr>
          <w:tcW w:w="4882" w:type="dxa"/>
          <w:shd w:val="clear" w:color="auto" w:fill="auto"/>
          <w:vAlign w:val="bottom"/>
        </w:tcPr>
        <w:p w:rsidR="00680C47" w:rsidRPr="00FF19F4" w:rsidRDefault="00680C47" w:rsidP="00FF19F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450D">
            <w:rPr>
              <w:b/>
              <w:color w:val="000000"/>
            </w:rPr>
            <w:t>ECE/CEP/2015/4</w:t>
          </w:r>
          <w:r>
            <w:rPr>
              <w:b/>
              <w:color w:val="000000"/>
            </w:rPr>
            <w:fldChar w:fldCharType="end"/>
          </w:r>
        </w:p>
      </w:tc>
      <w:tc>
        <w:tcPr>
          <w:tcW w:w="5127" w:type="dxa"/>
          <w:shd w:val="clear" w:color="auto" w:fill="auto"/>
          <w:vAlign w:val="bottom"/>
        </w:tcPr>
        <w:p w:rsidR="00680C47" w:rsidRDefault="00680C47" w:rsidP="00FF19F4">
          <w:pPr>
            <w:pStyle w:val="Header"/>
          </w:pPr>
        </w:p>
      </w:tc>
    </w:tr>
  </w:tbl>
  <w:p w:rsidR="00680C47" w:rsidRPr="00FF19F4" w:rsidRDefault="00680C47" w:rsidP="00FF19F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0C47" w:rsidTr="00FF19F4">
      <w:trPr>
        <w:trHeight w:hRule="exact" w:val="864"/>
        <w:jc w:val="center"/>
      </w:trPr>
      <w:tc>
        <w:tcPr>
          <w:tcW w:w="4882" w:type="dxa"/>
          <w:shd w:val="clear" w:color="auto" w:fill="auto"/>
          <w:vAlign w:val="bottom"/>
        </w:tcPr>
        <w:p w:rsidR="00680C47" w:rsidRDefault="00680C47" w:rsidP="00FF19F4">
          <w:pPr>
            <w:pStyle w:val="Header"/>
          </w:pPr>
        </w:p>
      </w:tc>
      <w:tc>
        <w:tcPr>
          <w:tcW w:w="5127" w:type="dxa"/>
          <w:shd w:val="clear" w:color="auto" w:fill="auto"/>
          <w:vAlign w:val="bottom"/>
        </w:tcPr>
        <w:p w:rsidR="00680C47" w:rsidRPr="00FF19F4" w:rsidRDefault="00680C47" w:rsidP="00FF19F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450D">
            <w:rPr>
              <w:b/>
              <w:color w:val="000000"/>
            </w:rPr>
            <w:t>ECE/CEP/2015/4</w:t>
          </w:r>
          <w:r>
            <w:rPr>
              <w:b/>
              <w:color w:val="000000"/>
            </w:rPr>
            <w:fldChar w:fldCharType="end"/>
          </w:r>
        </w:p>
      </w:tc>
    </w:tr>
  </w:tbl>
  <w:p w:rsidR="00680C47" w:rsidRPr="00FF19F4" w:rsidRDefault="00680C47" w:rsidP="00FF19F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80C47" w:rsidTr="00FF19F4">
      <w:trPr>
        <w:trHeight w:hRule="exact" w:val="864"/>
      </w:trPr>
      <w:tc>
        <w:tcPr>
          <w:tcW w:w="1267" w:type="dxa"/>
          <w:tcBorders>
            <w:bottom w:val="single" w:sz="4" w:space="0" w:color="auto"/>
          </w:tcBorders>
          <w:shd w:val="clear" w:color="auto" w:fill="auto"/>
          <w:vAlign w:val="bottom"/>
        </w:tcPr>
        <w:p w:rsidR="00680C47" w:rsidRDefault="00680C47" w:rsidP="00FF19F4">
          <w:pPr>
            <w:pStyle w:val="Header"/>
            <w:spacing w:after="120"/>
          </w:pPr>
        </w:p>
      </w:tc>
      <w:tc>
        <w:tcPr>
          <w:tcW w:w="2059" w:type="dxa"/>
          <w:tcBorders>
            <w:bottom w:val="single" w:sz="4" w:space="0" w:color="auto"/>
          </w:tcBorders>
          <w:shd w:val="clear" w:color="auto" w:fill="auto"/>
          <w:vAlign w:val="bottom"/>
        </w:tcPr>
        <w:p w:rsidR="00680C47" w:rsidRPr="00FF19F4" w:rsidRDefault="00680C47" w:rsidP="00FF19F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80C47" w:rsidRDefault="00680C47" w:rsidP="00FF19F4">
          <w:pPr>
            <w:pStyle w:val="Header"/>
            <w:spacing w:after="120"/>
          </w:pPr>
        </w:p>
      </w:tc>
      <w:tc>
        <w:tcPr>
          <w:tcW w:w="6653" w:type="dxa"/>
          <w:gridSpan w:val="4"/>
          <w:tcBorders>
            <w:bottom w:val="single" w:sz="4" w:space="0" w:color="auto"/>
          </w:tcBorders>
          <w:shd w:val="clear" w:color="auto" w:fill="auto"/>
          <w:vAlign w:val="bottom"/>
        </w:tcPr>
        <w:p w:rsidR="00680C47" w:rsidRPr="00FF19F4" w:rsidRDefault="00680C47" w:rsidP="00FF19F4">
          <w:pPr>
            <w:spacing w:after="80" w:line="240" w:lineRule="auto"/>
            <w:jc w:val="right"/>
            <w:rPr>
              <w:position w:val="-4"/>
            </w:rPr>
          </w:pPr>
          <w:r>
            <w:rPr>
              <w:position w:val="-4"/>
              <w:sz w:val="40"/>
            </w:rPr>
            <w:t>ECE</w:t>
          </w:r>
          <w:r>
            <w:rPr>
              <w:position w:val="-4"/>
            </w:rPr>
            <w:t>/CEP/2015/4</w:t>
          </w:r>
        </w:p>
      </w:tc>
    </w:tr>
    <w:tr w:rsidR="00680C47" w:rsidRPr="00FF19F4" w:rsidTr="00FF19F4">
      <w:trPr>
        <w:gridAfter w:val="1"/>
        <w:wAfter w:w="18" w:type="dxa"/>
        <w:trHeight w:hRule="exact" w:val="2880"/>
      </w:trPr>
      <w:tc>
        <w:tcPr>
          <w:tcW w:w="1267" w:type="dxa"/>
          <w:tcBorders>
            <w:top w:val="single" w:sz="4" w:space="0" w:color="auto"/>
            <w:bottom w:val="single" w:sz="12" w:space="0" w:color="auto"/>
          </w:tcBorders>
          <w:shd w:val="clear" w:color="auto" w:fill="auto"/>
        </w:tcPr>
        <w:p w:rsidR="00680C47" w:rsidRPr="00FF19F4" w:rsidRDefault="00680C47" w:rsidP="00FF19F4">
          <w:pPr>
            <w:pStyle w:val="Header"/>
            <w:spacing w:before="120" w:line="240" w:lineRule="auto"/>
            <w:ind w:left="-72"/>
            <w:jc w:val="center"/>
          </w:pPr>
          <w:r>
            <w:t xml:space="preserve">  </w:t>
          </w:r>
          <w:r>
            <w:rPr>
              <w:noProof/>
              <w:lang w:val="en-GB" w:eastAsia="en-GB"/>
            </w:rPr>
            <w:drawing>
              <wp:inline distT="0" distB="0" distL="0" distR="0" wp14:anchorId="788E606F" wp14:editId="09166F5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0C47" w:rsidRPr="00FF19F4" w:rsidRDefault="00680C47" w:rsidP="00FF19F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80C47" w:rsidRPr="00FF19F4" w:rsidRDefault="00680C47" w:rsidP="00FF19F4">
          <w:pPr>
            <w:pStyle w:val="Header"/>
            <w:spacing w:before="109"/>
          </w:pPr>
        </w:p>
      </w:tc>
      <w:tc>
        <w:tcPr>
          <w:tcW w:w="3280" w:type="dxa"/>
          <w:tcBorders>
            <w:top w:val="single" w:sz="4" w:space="0" w:color="auto"/>
            <w:bottom w:val="single" w:sz="12" w:space="0" w:color="auto"/>
          </w:tcBorders>
          <w:shd w:val="clear" w:color="auto" w:fill="auto"/>
        </w:tcPr>
        <w:p w:rsidR="00680C47" w:rsidRPr="00533484" w:rsidRDefault="00680C47" w:rsidP="00FF19F4">
          <w:pPr>
            <w:pStyle w:val="Distribution"/>
            <w:rPr>
              <w:color w:val="000000"/>
              <w:lang w:val="fr-CH"/>
            </w:rPr>
          </w:pPr>
          <w:proofErr w:type="spellStart"/>
          <w:r w:rsidRPr="00533484">
            <w:rPr>
              <w:color w:val="000000"/>
              <w:lang w:val="fr-CH"/>
            </w:rPr>
            <w:t>Distr</w:t>
          </w:r>
          <w:proofErr w:type="spellEnd"/>
          <w:r w:rsidRPr="00533484">
            <w:rPr>
              <w:color w:val="000000"/>
              <w:lang w:val="fr-CH"/>
            </w:rPr>
            <w:t>. générale</w:t>
          </w:r>
        </w:p>
        <w:p w:rsidR="00680C47" w:rsidRPr="00533484" w:rsidRDefault="00680C47" w:rsidP="00FF19F4">
          <w:pPr>
            <w:pStyle w:val="Publication"/>
            <w:rPr>
              <w:color w:val="000000"/>
              <w:lang w:val="fr-CH"/>
            </w:rPr>
          </w:pPr>
          <w:r w:rsidRPr="00533484">
            <w:rPr>
              <w:color w:val="000000"/>
              <w:lang w:val="fr-CH"/>
            </w:rPr>
            <w:t>18 août 2015</w:t>
          </w:r>
        </w:p>
        <w:p w:rsidR="00680C47" w:rsidRPr="00533484" w:rsidRDefault="00680C47" w:rsidP="00FF19F4">
          <w:pPr>
            <w:rPr>
              <w:lang w:val="fr-CH"/>
            </w:rPr>
          </w:pPr>
          <w:r w:rsidRPr="00533484">
            <w:rPr>
              <w:lang w:val="fr-CH"/>
            </w:rPr>
            <w:t>Français</w:t>
          </w:r>
        </w:p>
        <w:p w:rsidR="00680C47" w:rsidRPr="00533484" w:rsidRDefault="00680C47" w:rsidP="00FF19F4">
          <w:pPr>
            <w:pStyle w:val="Original"/>
            <w:rPr>
              <w:color w:val="000000"/>
              <w:lang w:val="fr-CH"/>
            </w:rPr>
          </w:pPr>
          <w:r w:rsidRPr="00533484">
            <w:rPr>
              <w:color w:val="000000"/>
              <w:lang w:val="fr-CH"/>
            </w:rPr>
            <w:t>Original : anglais</w:t>
          </w:r>
        </w:p>
      </w:tc>
    </w:tr>
  </w:tbl>
  <w:p w:rsidR="00680C47" w:rsidRPr="00533484" w:rsidRDefault="00680C47" w:rsidP="00FF19F4">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A14B50"/>
    <w:multiLevelType w:val="singleLevel"/>
    <w:tmpl w:val="1898CAFA"/>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263"/>
    <w:multiLevelType w:val="hybridMultilevel"/>
    <w:tmpl w:val="C8A643AC"/>
    <w:lvl w:ilvl="0" w:tplc="2B141EB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13899"/>
    <w:multiLevelType w:val="singleLevel"/>
    <w:tmpl w:val="1898CAF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7"/>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94*"/>
    <w:docVar w:name="CreationDt" w:val="9/14/2015 9:40: AM"/>
    <w:docVar w:name="DocCategory" w:val="Doc"/>
    <w:docVar w:name="DocType" w:val="Final"/>
    <w:docVar w:name="DutyStation" w:val="Geneva"/>
    <w:docVar w:name="FooterJN" w:val="GE.15-13994"/>
    <w:docVar w:name="jobn" w:val="GE.15-13994 (F)"/>
    <w:docVar w:name="jobnDT" w:val="GE.15-13994 (F)   140915"/>
    <w:docVar w:name="jobnDTDT" w:val="GE.15-13994 (F)   140915   140915"/>
    <w:docVar w:name="JobNo" w:val="GE.1513994F"/>
    <w:docVar w:name="JobNo2" w:val="GE.1518461F"/>
    <w:docVar w:name="LocalDrive" w:val="0"/>
    <w:docVar w:name="OandT" w:val="Dariche"/>
    <w:docVar w:name="PaperSize" w:val="A4"/>
    <w:docVar w:name="sss1" w:val="ECE/CEP/2015/4"/>
    <w:docVar w:name="sss2" w:val="-"/>
    <w:docVar w:name="Symbol1" w:val="ECE/CEP/2015/4"/>
    <w:docVar w:name="Symbol2" w:val="-"/>
  </w:docVars>
  <w:rsids>
    <w:rsidRoot w:val="00E04244"/>
    <w:rsid w:val="000015B8"/>
    <w:rsid w:val="000046A5"/>
    <w:rsid w:val="000055FB"/>
    <w:rsid w:val="000140B9"/>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4CE"/>
    <w:rsid w:val="000A3AB1"/>
    <w:rsid w:val="000A4A47"/>
    <w:rsid w:val="000A74D1"/>
    <w:rsid w:val="000A7FB3"/>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37D3"/>
    <w:rsid w:val="0011497A"/>
    <w:rsid w:val="001156F7"/>
    <w:rsid w:val="00116149"/>
    <w:rsid w:val="00123812"/>
    <w:rsid w:val="001256F6"/>
    <w:rsid w:val="001262BA"/>
    <w:rsid w:val="001266D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76373"/>
    <w:rsid w:val="003810FF"/>
    <w:rsid w:val="003824F9"/>
    <w:rsid w:val="00384511"/>
    <w:rsid w:val="00385D78"/>
    <w:rsid w:val="0038622C"/>
    <w:rsid w:val="003864EE"/>
    <w:rsid w:val="00386953"/>
    <w:rsid w:val="003909DD"/>
    <w:rsid w:val="00391295"/>
    <w:rsid w:val="00391342"/>
    <w:rsid w:val="00392934"/>
    <w:rsid w:val="00393A67"/>
    <w:rsid w:val="00393C9F"/>
    <w:rsid w:val="003942F1"/>
    <w:rsid w:val="00395031"/>
    <w:rsid w:val="00395EB8"/>
    <w:rsid w:val="003962ED"/>
    <w:rsid w:val="003968AB"/>
    <w:rsid w:val="00396ABF"/>
    <w:rsid w:val="00397343"/>
    <w:rsid w:val="003A2037"/>
    <w:rsid w:val="003A4ED6"/>
    <w:rsid w:val="003A56DC"/>
    <w:rsid w:val="003A75C2"/>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331D"/>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484"/>
    <w:rsid w:val="00533905"/>
    <w:rsid w:val="005372C0"/>
    <w:rsid w:val="00541630"/>
    <w:rsid w:val="0054168D"/>
    <w:rsid w:val="00542357"/>
    <w:rsid w:val="00551176"/>
    <w:rsid w:val="00551EAE"/>
    <w:rsid w:val="00552150"/>
    <w:rsid w:val="005522D6"/>
    <w:rsid w:val="005536AE"/>
    <w:rsid w:val="00554B37"/>
    <w:rsid w:val="0055536F"/>
    <w:rsid w:val="005669CA"/>
    <w:rsid w:val="00570363"/>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184"/>
    <w:rsid w:val="005A6A6E"/>
    <w:rsid w:val="005A6D92"/>
    <w:rsid w:val="005A6DD6"/>
    <w:rsid w:val="005A7976"/>
    <w:rsid w:val="005B33A4"/>
    <w:rsid w:val="005B5D99"/>
    <w:rsid w:val="005B74B8"/>
    <w:rsid w:val="005B7F33"/>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0C47"/>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37E7D"/>
    <w:rsid w:val="00743131"/>
    <w:rsid w:val="0074339E"/>
    <w:rsid w:val="00744BE5"/>
    <w:rsid w:val="00744D58"/>
    <w:rsid w:val="00745376"/>
    <w:rsid w:val="0074587F"/>
    <w:rsid w:val="00746332"/>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31B"/>
    <w:rsid w:val="0079452A"/>
    <w:rsid w:val="00794EC6"/>
    <w:rsid w:val="00794FED"/>
    <w:rsid w:val="00795AD7"/>
    <w:rsid w:val="007961E2"/>
    <w:rsid w:val="007A2E4F"/>
    <w:rsid w:val="007A345A"/>
    <w:rsid w:val="007A3D35"/>
    <w:rsid w:val="007A78C2"/>
    <w:rsid w:val="007B05E9"/>
    <w:rsid w:val="007B14F3"/>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959"/>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403"/>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6D2C"/>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0949"/>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6B6"/>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1863"/>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1B30"/>
    <w:rsid w:val="00A02426"/>
    <w:rsid w:val="00A0589C"/>
    <w:rsid w:val="00A06CAB"/>
    <w:rsid w:val="00A12A69"/>
    <w:rsid w:val="00A12DBB"/>
    <w:rsid w:val="00A150A7"/>
    <w:rsid w:val="00A151B8"/>
    <w:rsid w:val="00A157E7"/>
    <w:rsid w:val="00A17A96"/>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4DB0"/>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5E91"/>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71B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0EA7"/>
    <w:rsid w:val="00D12150"/>
    <w:rsid w:val="00D12CFB"/>
    <w:rsid w:val="00D1326C"/>
    <w:rsid w:val="00D1431B"/>
    <w:rsid w:val="00D14690"/>
    <w:rsid w:val="00D15BBA"/>
    <w:rsid w:val="00D16823"/>
    <w:rsid w:val="00D16F48"/>
    <w:rsid w:val="00D17215"/>
    <w:rsid w:val="00D265B2"/>
    <w:rsid w:val="00D26761"/>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450D"/>
    <w:rsid w:val="00D8335C"/>
    <w:rsid w:val="00D84F56"/>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4244"/>
    <w:rsid w:val="00E0543E"/>
    <w:rsid w:val="00E0753F"/>
    <w:rsid w:val="00E10BF1"/>
    <w:rsid w:val="00E11B5C"/>
    <w:rsid w:val="00E13E2B"/>
    <w:rsid w:val="00E22DB7"/>
    <w:rsid w:val="00E23C1B"/>
    <w:rsid w:val="00E24D2B"/>
    <w:rsid w:val="00E25DDC"/>
    <w:rsid w:val="00E319E8"/>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7980"/>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2F32"/>
    <w:rsid w:val="00F13DC7"/>
    <w:rsid w:val="00F14729"/>
    <w:rsid w:val="00F14ED7"/>
    <w:rsid w:val="00F150D6"/>
    <w:rsid w:val="00F17124"/>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2309"/>
    <w:rsid w:val="00F4328A"/>
    <w:rsid w:val="00F44706"/>
    <w:rsid w:val="00F44A91"/>
    <w:rsid w:val="00F45420"/>
    <w:rsid w:val="00F51920"/>
    <w:rsid w:val="00F51EF7"/>
    <w:rsid w:val="00F5253C"/>
    <w:rsid w:val="00F52A72"/>
    <w:rsid w:val="00F54C59"/>
    <w:rsid w:val="00F568C2"/>
    <w:rsid w:val="00F609CB"/>
    <w:rsid w:val="00F64004"/>
    <w:rsid w:val="00F642D3"/>
    <w:rsid w:val="00F65F65"/>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5B4E"/>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26A5"/>
    <w:rsid w:val="00FC4133"/>
    <w:rsid w:val="00FC41DA"/>
    <w:rsid w:val="00FC5C65"/>
    <w:rsid w:val="00FC75B8"/>
    <w:rsid w:val="00FC75D3"/>
    <w:rsid w:val="00FD318F"/>
    <w:rsid w:val="00FD54BE"/>
    <w:rsid w:val="00FD7CD4"/>
    <w:rsid w:val="00FE2498"/>
    <w:rsid w:val="00FE3548"/>
    <w:rsid w:val="00FE3F2D"/>
    <w:rsid w:val="00FE6556"/>
    <w:rsid w:val="00FF09A4"/>
    <w:rsid w:val="00FF19F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F19F4"/>
    <w:rPr>
      <w:sz w:val="16"/>
      <w:szCs w:val="16"/>
    </w:rPr>
  </w:style>
  <w:style w:type="paragraph" w:styleId="CommentText">
    <w:name w:val="annotation text"/>
    <w:basedOn w:val="Normal"/>
    <w:link w:val="CommentTextChar"/>
    <w:uiPriority w:val="99"/>
    <w:semiHidden/>
    <w:unhideWhenUsed/>
    <w:rsid w:val="00FF19F4"/>
    <w:pPr>
      <w:spacing w:line="240" w:lineRule="auto"/>
    </w:pPr>
    <w:rPr>
      <w:szCs w:val="20"/>
    </w:rPr>
  </w:style>
  <w:style w:type="character" w:customStyle="1" w:styleId="CommentTextChar">
    <w:name w:val="Comment Text Char"/>
    <w:basedOn w:val="DefaultParagraphFont"/>
    <w:link w:val="CommentText"/>
    <w:uiPriority w:val="99"/>
    <w:semiHidden/>
    <w:rsid w:val="00FF19F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F19F4"/>
    <w:rPr>
      <w:b/>
      <w:bCs/>
    </w:rPr>
  </w:style>
  <w:style w:type="character" w:customStyle="1" w:styleId="CommentSubjectChar">
    <w:name w:val="Comment Subject Char"/>
    <w:basedOn w:val="CommentTextChar"/>
    <w:link w:val="CommentSubject"/>
    <w:uiPriority w:val="99"/>
    <w:semiHidden/>
    <w:rsid w:val="00FF19F4"/>
    <w:rPr>
      <w:rFonts w:ascii="Times New Roman" w:hAnsi="Times New Roman"/>
      <w:b/>
      <w:bCs/>
      <w:spacing w:val="4"/>
      <w:w w:val="103"/>
      <w:kern w:val="14"/>
      <w:lang w:val="fr-CA"/>
    </w:rPr>
  </w:style>
  <w:style w:type="character" w:styleId="Hyperlink">
    <w:name w:val="Hyperlink"/>
    <w:basedOn w:val="DefaultParagraphFont"/>
    <w:uiPriority w:val="99"/>
    <w:unhideWhenUsed/>
    <w:rsid w:val="00D26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F19F4"/>
    <w:rPr>
      <w:sz w:val="16"/>
      <w:szCs w:val="16"/>
    </w:rPr>
  </w:style>
  <w:style w:type="paragraph" w:styleId="CommentText">
    <w:name w:val="annotation text"/>
    <w:basedOn w:val="Normal"/>
    <w:link w:val="CommentTextChar"/>
    <w:uiPriority w:val="99"/>
    <w:semiHidden/>
    <w:unhideWhenUsed/>
    <w:rsid w:val="00FF19F4"/>
    <w:pPr>
      <w:spacing w:line="240" w:lineRule="auto"/>
    </w:pPr>
    <w:rPr>
      <w:szCs w:val="20"/>
    </w:rPr>
  </w:style>
  <w:style w:type="character" w:customStyle="1" w:styleId="CommentTextChar">
    <w:name w:val="Comment Text Char"/>
    <w:basedOn w:val="DefaultParagraphFont"/>
    <w:link w:val="CommentText"/>
    <w:uiPriority w:val="99"/>
    <w:semiHidden/>
    <w:rsid w:val="00FF19F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F19F4"/>
    <w:rPr>
      <w:b/>
      <w:bCs/>
    </w:rPr>
  </w:style>
  <w:style w:type="character" w:customStyle="1" w:styleId="CommentSubjectChar">
    <w:name w:val="Comment Subject Char"/>
    <w:basedOn w:val="CommentTextChar"/>
    <w:link w:val="CommentSubject"/>
    <w:uiPriority w:val="99"/>
    <w:semiHidden/>
    <w:rsid w:val="00FF19F4"/>
    <w:rPr>
      <w:rFonts w:ascii="Times New Roman" w:hAnsi="Times New Roman"/>
      <w:b/>
      <w:bCs/>
      <w:spacing w:val="4"/>
      <w:w w:val="103"/>
      <w:kern w:val="14"/>
      <w:lang w:val="fr-CA"/>
    </w:rPr>
  </w:style>
  <w:style w:type="character" w:styleId="Hyperlink">
    <w:name w:val="Hyperlink"/>
    <w:basedOn w:val="DefaultParagraphFont"/>
    <w:uiPriority w:val="99"/>
    <w:unhideWhenUsed/>
    <w:rsid w:val="00D26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5189">
      <w:bodyDiv w:val="1"/>
      <w:marLeft w:val="0"/>
      <w:marRight w:val="0"/>
      <w:marTop w:val="0"/>
      <w:marBottom w:val="0"/>
      <w:divBdr>
        <w:top w:val="none" w:sz="0" w:space="0" w:color="auto"/>
        <w:left w:val="none" w:sz="0" w:space="0" w:color="auto"/>
        <w:bottom w:val="none" w:sz="0" w:space="0" w:color="auto"/>
        <w:right w:val="none" w:sz="0" w:space="0" w:color="auto"/>
      </w:divBdr>
    </w:div>
    <w:div w:id="222639166">
      <w:bodyDiv w:val="1"/>
      <w:marLeft w:val="0"/>
      <w:marRight w:val="0"/>
      <w:marTop w:val="0"/>
      <w:marBottom w:val="0"/>
      <w:divBdr>
        <w:top w:val="none" w:sz="0" w:space="0" w:color="auto"/>
        <w:left w:val="none" w:sz="0" w:space="0" w:color="auto"/>
        <w:bottom w:val="none" w:sz="0" w:space="0" w:color="auto"/>
        <w:right w:val="none" w:sz="0" w:space="0" w:color="auto"/>
      </w:divBdr>
    </w:div>
    <w:div w:id="367217276">
      <w:bodyDiv w:val="1"/>
      <w:marLeft w:val="0"/>
      <w:marRight w:val="0"/>
      <w:marTop w:val="0"/>
      <w:marBottom w:val="0"/>
      <w:divBdr>
        <w:top w:val="none" w:sz="0" w:space="0" w:color="auto"/>
        <w:left w:val="none" w:sz="0" w:space="0" w:color="auto"/>
        <w:bottom w:val="none" w:sz="0" w:space="0" w:color="auto"/>
        <w:right w:val="none" w:sz="0" w:space="0" w:color="auto"/>
      </w:divBdr>
    </w:div>
    <w:div w:id="463735083">
      <w:bodyDiv w:val="1"/>
      <w:marLeft w:val="0"/>
      <w:marRight w:val="0"/>
      <w:marTop w:val="0"/>
      <w:marBottom w:val="0"/>
      <w:divBdr>
        <w:top w:val="none" w:sz="0" w:space="0" w:color="auto"/>
        <w:left w:val="none" w:sz="0" w:space="0" w:color="auto"/>
        <w:bottom w:val="none" w:sz="0" w:space="0" w:color="auto"/>
        <w:right w:val="none" w:sz="0" w:space="0" w:color="auto"/>
      </w:divBdr>
    </w:div>
    <w:div w:id="500044750">
      <w:bodyDiv w:val="1"/>
      <w:marLeft w:val="0"/>
      <w:marRight w:val="0"/>
      <w:marTop w:val="0"/>
      <w:marBottom w:val="0"/>
      <w:divBdr>
        <w:top w:val="none" w:sz="0" w:space="0" w:color="auto"/>
        <w:left w:val="none" w:sz="0" w:space="0" w:color="auto"/>
        <w:bottom w:val="none" w:sz="0" w:space="0" w:color="auto"/>
        <w:right w:val="none" w:sz="0" w:space="0" w:color="auto"/>
      </w:divBdr>
    </w:div>
    <w:div w:id="558396703">
      <w:bodyDiv w:val="1"/>
      <w:marLeft w:val="0"/>
      <w:marRight w:val="0"/>
      <w:marTop w:val="0"/>
      <w:marBottom w:val="0"/>
      <w:divBdr>
        <w:top w:val="none" w:sz="0" w:space="0" w:color="auto"/>
        <w:left w:val="none" w:sz="0" w:space="0" w:color="auto"/>
        <w:bottom w:val="none" w:sz="0" w:space="0" w:color="auto"/>
        <w:right w:val="none" w:sz="0" w:space="0" w:color="auto"/>
      </w:divBdr>
    </w:div>
    <w:div w:id="940141561">
      <w:bodyDiv w:val="1"/>
      <w:marLeft w:val="0"/>
      <w:marRight w:val="0"/>
      <w:marTop w:val="0"/>
      <w:marBottom w:val="0"/>
      <w:divBdr>
        <w:top w:val="none" w:sz="0" w:space="0" w:color="auto"/>
        <w:left w:val="none" w:sz="0" w:space="0" w:color="auto"/>
        <w:bottom w:val="none" w:sz="0" w:space="0" w:color="auto"/>
        <w:right w:val="none" w:sz="0" w:space="0" w:color="auto"/>
      </w:divBdr>
    </w:div>
    <w:div w:id="1178273367">
      <w:bodyDiv w:val="1"/>
      <w:marLeft w:val="0"/>
      <w:marRight w:val="0"/>
      <w:marTop w:val="0"/>
      <w:marBottom w:val="0"/>
      <w:divBdr>
        <w:top w:val="none" w:sz="0" w:space="0" w:color="auto"/>
        <w:left w:val="none" w:sz="0" w:space="0" w:color="auto"/>
        <w:bottom w:val="none" w:sz="0" w:space="0" w:color="auto"/>
        <w:right w:val="none" w:sz="0" w:space="0" w:color="auto"/>
      </w:divBdr>
    </w:div>
    <w:div w:id="1183666884">
      <w:bodyDiv w:val="1"/>
      <w:marLeft w:val="0"/>
      <w:marRight w:val="0"/>
      <w:marTop w:val="0"/>
      <w:marBottom w:val="0"/>
      <w:divBdr>
        <w:top w:val="none" w:sz="0" w:space="0" w:color="auto"/>
        <w:left w:val="none" w:sz="0" w:space="0" w:color="auto"/>
        <w:bottom w:val="none" w:sz="0" w:space="0" w:color="auto"/>
        <w:right w:val="none" w:sz="0" w:space="0" w:color="auto"/>
      </w:divBdr>
    </w:div>
    <w:div w:id="1221745107">
      <w:bodyDiv w:val="1"/>
      <w:marLeft w:val="0"/>
      <w:marRight w:val="0"/>
      <w:marTop w:val="0"/>
      <w:marBottom w:val="0"/>
      <w:divBdr>
        <w:top w:val="none" w:sz="0" w:space="0" w:color="auto"/>
        <w:left w:val="none" w:sz="0" w:space="0" w:color="auto"/>
        <w:bottom w:val="none" w:sz="0" w:space="0" w:color="auto"/>
        <w:right w:val="none" w:sz="0" w:space="0" w:color="auto"/>
      </w:divBdr>
    </w:div>
    <w:div w:id="1353219333">
      <w:bodyDiv w:val="1"/>
      <w:marLeft w:val="0"/>
      <w:marRight w:val="0"/>
      <w:marTop w:val="0"/>
      <w:marBottom w:val="0"/>
      <w:divBdr>
        <w:top w:val="none" w:sz="0" w:space="0" w:color="auto"/>
        <w:left w:val="none" w:sz="0" w:space="0" w:color="auto"/>
        <w:bottom w:val="none" w:sz="0" w:space="0" w:color="auto"/>
        <w:right w:val="none" w:sz="0" w:space="0" w:color="auto"/>
      </w:divBdr>
    </w:div>
    <w:div w:id="1421565589">
      <w:bodyDiv w:val="1"/>
      <w:marLeft w:val="0"/>
      <w:marRight w:val="0"/>
      <w:marTop w:val="0"/>
      <w:marBottom w:val="0"/>
      <w:divBdr>
        <w:top w:val="none" w:sz="0" w:space="0" w:color="auto"/>
        <w:left w:val="none" w:sz="0" w:space="0" w:color="auto"/>
        <w:bottom w:val="none" w:sz="0" w:space="0" w:color="auto"/>
        <w:right w:val="none" w:sz="0" w:space="0" w:color="auto"/>
      </w:divBdr>
    </w:div>
    <w:div w:id="1508786836">
      <w:bodyDiv w:val="1"/>
      <w:marLeft w:val="0"/>
      <w:marRight w:val="0"/>
      <w:marTop w:val="0"/>
      <w:marBottom w:val="0"/>
      <w:divBdr>
        <w:top w:val="none" w:sz="0" w:space="0" w:color="auto"/>
        <w:left w:val="none" w:sz="0" w:space="0" w:color="auto"/>
        <w:bottom w:val="none" w:sz="0" w:space="0" w:color="auto"/>
        <w:right w:val="none" w:sz="0" w:space="0" w:color="auto"/>
      </w:divBdr>
    </w:div>
    <w:div w:id="1515269235">
      <w:bodyDiv w:val="1"/>
      <w:marLeft w:val="0"/>
      <w:marRight w:val="0"/>
      <w:marTop w:val="0"/>
      <w:marBottom w:val="0"/>
      <w:divBdr>
        <w:top w:val="none" w:sz="0" w:space="0" w:color="auto"/>
        <w:left w:val="none" w:sz="0" w:space="0" w:color="auto"/>
        <w:bottom w:val="none" w:sz="0" w:space="0" w:color="auto"/>
        <w:right w:val="none" w:sz="0" w:space="0" w:color="auto"/>
      </w:divBdr>
    </w:div>
    <w:div w:id="1571303373">
      <w:bodyDiv w:val="1"/>
      <w:marLeft w:val="0"/>
      <w:marRight w:val="0"/>
      <w:marTop w:val="0"/>
      <w:marBottom w:val="0"/>
      <w:divBdr>
        <w:top w:val="none" w:sz="0" w:space="0" w:color="auto"/>
        <w:left w:val="none" w:sz="0" w:space="0" w:color="auto"/>
        <w:bottom w:val="none" w:sz="0" w:space="0" w:color="auto"/>
        <w:right w:val="none" w:sz="0" w:space="0" w:color="auto"/>
      </w:divBdr>
    </w:div>
    <w:div w:id="1686252239">
      <w:bodyDiv w:val="1"/>
      <w:marLeft w:val="0"/>
      <w:marRight w:val="0"/>
      <w:marTop w:val="0"/>
      <w:marBottom w:val="0"/>
      <w:divBdr>
        <w:top w:val="none" w:sz="0" w:space="0" w:color="auto"/>
        <w:left w:val="none" w:sz="0" w:space="0" w:color="auto"/>
        <w:bottom w:val="none" w:sz="0" w:space="0" w:color="auto"/>
        <w:right w:val="none" w:sz="0" w:space="0" w:color="auto"/>
      </w:divBdr>
    </w:div>
    <w:div w:id="1697807318">
      <w:bodyDiv w:val="1"/>
      <w:marLeft w:val="0"/>
      <w:marRight w:val="0"/>
      <w:marTop w:val="0"/>
      <w:marBottom w:val="0"/>
      <w:divBdr>
        <w:top w:val="none" w:sz="0" w:space="0" w:color="auto"/>
        <w:left w:val="none" w:sz="0" w:space="0" w:color="auto"/>
        <w:bottom w:val="none" w:sz="0" w:space="0" w:color="auto"/>
        <w:right w:val="none" w:sz="0" w:space="0" w:color="auto"/>
      </w:divBdr>
    </w:div>
    <w:div w:id="1718580319">
      <w:bodyDiv w:val="1"/>
      <w:marLeft w:val="0"/>
      <w:marRight w:val="0"/>
      <w:marTop w:val="0"/>
      <w:marBottom w:val="0"/>
      <w:divBdr>
        <w:top w:val="none" w:sz="0" w:space="0" w:color="auto"/>
        <w:left w:val="none" w:sz="0" w:space="0" w:color="auto"/>
        <w:bottom w:val="none" w:sz="0" w:space="0" w:color="auto"/>
        <w:right w:val="none" w:sz="0" w:space="0" w:color="auto"/>
      </w:divBdr>
    </w:div>
    <w:div w:id="1745640286">
      <w:bodyDiv w:val="1"/>
      <w:marLeft w:val="0"/>
      <w:marRight w:val="0"/>
      <w:marTop w:val="0"/>
      <w:marBottom w:val="0"/>
      <w:divBdr>
        <w:top w:val="none" w:sz="0" w:space="0" w:color="auto"/>
        <w:left w:val="none" w:sz="0" w:space="0" w:color="auto"/>
        <w:bottom w:val="none" w:sz="0" w:space="0" w:color="auto"/>
        <w:right w:val="none" w:sz="0" w:space="0" w:color="auto"/>
      </w:divBdr>
    </w:div>
    <w:div w:id="1835604632">
      <w:bodyDiv w:val="1"/>
      <w:marLeft w:val="0"/>
      <w:marRight w:val="0"/>
      <w:marTop w:val="0"/>
      <w:marBottom w:val="0"/>
      <w:divBdr>
        <w:top w:val="none" w:sz="0" w:space="0" w:color="auto"/>
        <w:left w:val="none" w:sz="0" w:space="0" w:color="auto"/>
        <w:bottom w:val="none" w:sz="0" w:space="0" w:color="auto"/>
        <w:right w:val="none" w:sz="0" w:space="0" w:color="auto"/>
      </w:divBdr>
    </w:div>
    <w:div w:id="1836603715">
      <w:bodyDiv w:val="1"/>
      <w:marLeft w:val="0"/>
      <w:marRight w:val="0"/>
      <w:marTop w:val="0"/>
      <w:marBottom w:val="0"/>
      <w:divBdr>
        <w:top w:val="none" w:sz="0" w:space="0" w:color="auto"/>
        <w:left w:val="none" w:sz="0" w:space="0" w:color="auto"/>
        <w:bottom w:val="none" w:sz="0" w:space="0" w:color="auto"/>
        <w:right w:val="none" w:sz="0" w:space="0" w:color="auto"/>
      </w:divBdr>
    </w:div>
    <w:div w:id="1907717514">
      <w:bodyDiv w:val="1"/>
      <w:marLeft w:val="0"/>
      <w:marRight w:val="0"/>
      <w:marTop w:val="0"/>
      <w:marBottom w:val="0"/>
      <w:divBdr>
        <w:top w:val="none" w:sz="0" w:space="0" w:color="auto"/>
        <w:left w:val="none" w:sz="0" w:space="0" w:color="auto"/>
        <w:bottom w:val="none" w:sz="0" w:space="0" w:color="auto"/>
        <w:right w:val="none" w:sz="0" w:space="0" w:color="auto"/>
      </w:divBdr>
    </w:div>
    <w:div w:id="1911767886">
      <w:bodyDiv w:val="1"/>
      <w:marLeft w:val="0"/>
      <w:marRight w:val="0"/>
      <w:marTop w:val="0"/>
      <w:marBottom w:val="0"/>
      <w:divBdr>
        <w:top w:val="none" w:sz="0" w:space="0" w:color="auto"/>
        <w:left w:val="none" w:sz="0" w:space="0" w:color="auto"/>
        <w:bottom w:val="none" w:sz="0" w:space="0" w:color="auto"/>
        <w:right w:val="none" w:sz="0" w:space="0" w:color="auto"/>
      </w:divBdr>
    </w:div>
    <w:div w:id="1950770161">
      <w:bodyDiv w:val="1"/>
      <w:marLeft w:val="0"/>
      <w:marRight w:val="0"/>
      <w:marTop w:val="0"/>
      <w:marBottom w:val="0"/>
      <w:divBdr>
        <w:top w:val="none" w:sz="0" w:space="0" w:color="auto"/>
        <w:left w:val="none" w:sz="0" w:space="0" w:color="auto"/>
        <w:bottom w:val="none" w:sz="0" w:space="0" w:color="auto"/>
        <w:right w:val="none" w:sz="0" w:space="0" w:color="auto"/>
      </w:divBdr>
    </w:div>
    <w:div w:id="1978023949">
      <w:bodyDiv w:val="1"/>
      <w:marLeft w:val="0"/>
      <w:marRight w:val="0"/>
      <w:marTop w:val="0"/>
      <w:marBottom w:val="0"/>
      <w:divBdr>
        <w:top w:val="none" w:sz="0" w:space="0" w:color="auto"/>
        <w:left w:val="none" w:sz="0" w:space="0" w:color="auto"/>
        <w:bottom w:val="none" w:sz="0" w:space="0" w:color="auto"/>
        <w:right w:val="none" w:sz="0" w:space="0" w:color="auto"/>
      </w:divBdr>
    </w:div>
    <w:div w:id="2114742341">
      <w:bodyDiv w:val="1"/>
      <w:marLeft w:val="0"/>
      <w:marRight w:val="0"/>
      <w:marTop w:val="0"/>
      <w:marBottom w:val="0"/>
      <w:divBdr>
        <w:top w:val="none" w:sz="0" w:space="0" w:color="auto"/>
        <w:left w:val="none" w:sz="0" w:space="0" w:color="auto"/>
        <w:bottom w:val="none" w:sz="0" w:space="0" w:color="auto"/>
        <w:right w:val="none" w:sz="0" w:space="0" w:color="auto"/>
      </w:divBdr>
    </w:div>
    <w:div w:id="21427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3969-E7FD-47A1-BC24-35131989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Dariche Maud</dc:creator>
  <cp:keywords/>
  <dc:description/>
  <cp:lastModifiedBy>sochirca</cp:lastModifiedBy>
  <cp:revision>4</cp:revision>
  <cp:lastPrinted>2015-09-15T07:26:00Z</cp:lastPrinted>
  <dcterms:created xsi:type="dcterms:W3CDTF">2015-09-15T07:26:00Z</dcterms:created>
  <dcterms:modified xsi:type="dcterms:W3CDTF">2015-09-21T09:44:00Z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1513994F</vt:lpwstr>
  </property>
  <property fmtid="{D5CDD505-2E9C-101B-9397-08002B2CF9AE}" pid="3" name="ODSRefJobNo">
    <vt:lpwstr>1518461F</vt:lpwstr>
  </property>
  <property fmtid="{D5CDD505-2E9C-101B-9397-08002B2CF9AE}" pid="4" name="Symbol1">
    <vt:lpwstr>ECE/CEP/2015/4</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140915</vt:lpwstr>
  </property>
</Properties>
</file>