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3" w:rsidRPr="00A028AE" w:rsidRDefault="004213A3" w:rsidP="004213A3">
      <w:pPr>
        <w:spacing w:line="60" w:lineRule="exact"/>
        <w:rPr>
          <w:color w:val="010000"/>
          <w:sz w:val="6"/>
        </w:rPr>
        <w:sectPr w:rsidR="004213A3" w:rsidRPr="00A028AE" w:rsidSect="004213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2F319C" w:rsidRPr="00A028AE" w:rsidRDefault="002F319C" w:rsidP="002F319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028AE">
        <w:lastRenderedPageBreak/>
        <w:t>Европейская экономическая комиссия</w:t>
      </w:r>
    </w:p>
    <w:p w:rsidR="002F319C" w:rsidRPr="00A028AE" w:rsidRDefault="002F319C" w:rsidP="002F319C">
      <w:pPr>
        <w:spacing w:line="120" w:lineRule="exact"/>
        <w:rPr>
          <w:sz w:val="10"/>
        </w:rPr>
      </w:pPr>
    </w:p>
    <w:p w:rsidR="002F319C" w:rsidRPr="00A028AE" w:rsidRDefault="002F319C" w:rsidP="002F319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A028AE">
        <w:rPr>
          <w:b w:val="0"/>
          <w:bCs/>
        </w:rPr>
        <w:t>Комитет по экологической политике</w:t>
      </w:r>
    </w:p>
    <w:p w:rsidR="002F319C" w:rsidRPr="00A028AE" w:rsidRDefault="002F319C" w:rsidP="002F319C">
      <w:pPr>
        <w:spacing w:line="120" w:lineRule="exact"/>
        <w:rPr>
          <w:sz w:val="10"/>
        </w:rPr>
      </w:pPr>
    </w:p>
    <w:p w:rsidR="002F319C" w:rsidRPr="00A028AE" w:rsidRDefault="002F319C" w:rsidP="002F319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028AE">
        <w:t>Двадцать первая сессия</w:t>
      </w:r>
    </w:p>
    <w:p w:rsidR="002F319C" w:rsidRPr="00A028AE" w:rsidRDefault="002F319C" w:rsidP="002F319C">
      <w:r w:rsidRPr="00A028AE">
        <w:t>Женева, 27</w:t>
      </w:r>
      <w:bookmarkStart w:id="0" w:name="_GoBack"/>
      <w:bookmarkEnd w:id="0"/>
      <w:r w:rsidRPr="00A028AE">
        <w:t>–30 октября 2015 года</w:t>
      </w:r>
    </w:p>
    <w:p w:rsidR="002F319C" w:rsidRPr="00A028AE" w:rsidRDefault="002F319C" w:rsidP="002F319C">
      <w:r w:rsidRPr="00A028AE">
        <w:t>Пункт 2 предварительной повестки дня</w:t>
      </w:r>
    </w:p>
    <w:p w:rsidR="002F319C" w:rsidRPr="00A028AE" w:rsidRDefault="002F319C" w:rsidP="002F319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028AE">
        <w:t xml:space="preserve">Итоги работы Президиума </w:t>
      </w: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p w:rsidR="002F319C" w:rsidRPr="00A028AE" w:rsidRDefault="002F319C" w:rsidP="002F319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</w:r>
      <w:r w:rsidRPr="00A028AE">
        <w:tab/>
        <w:t>Итоги работы Президиума за период с ноября 2014 года по июль 2015 года</w:t>
      </w: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p w:rsidR="004213A3" w:rsidRPr="00A028AE" w:rsidRDefault="002F319C" w:rsidP="002F31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</w:r>
      <w:r w:rsidRPr="00A028AE">
        <w:tab/>
        <w:t>Доклад Президиума Комитета по экологической политике</w:t>
      </w:r>
      <w:r w:rsidRPr="00A028AE">
        <w:rPr>
          <w:rStyle w:val="FootnoteReference"/>
          <w:b w:val="0"/>
          <w:bCs/>
          <w:sz w:val="20"/>
          <w:szCs w:val="20"/>
          <w:vertAlign w:val="baseline"/>
        </w:rPr>
        <w:footnoteReference w:customMarkFollows="1" w:id="1"/>
        <w:t>*</w:t>
      </w: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p w:rsidR="002F319C" w:rsidRPr="00A028AE" w:rsidRDefault="002F319C" w:rsidP="002F319C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F319C" w:rsidRPr="00A028AE" w:rsidTr="002F319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F319C" w:rsidRPr="00A028AE" w:rsidRDefault="002F319C" w:rsidP="002F319C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 w:rsidRPr="00A028AE">
              <w:rPr>
                <w:i/>
                <w:sz w:val="24"/>
              </w:rPr>
              <w:tab/>
              <w:t>Резюме</w:t>
            </w:r>
          </w:p>
        </w:tc>
      </w:tr>
      <w:tr w:rsidR="002F319C" w:rsidRPr="00A028AE" w:rsidTr="002F319C">
        <w:tc>
          <w:tcPr>
            <w:tcW w:w="10051" w:type="dxa"/>
            <w:shd w:val="clear" w:color="auto" w:fill="auto"/>
          </w:tcPr>
          <w:p w:rsidR="002F319C" w:rsidRPr="00A028AE" w:rsidRDefault="002F319C" w:rsidP="00E77DD9">
            <w:pPr>
              <w:pStyle w:val="SingleTxt"/>
            </w:pPr>
            <w:r w:rsidRPr="00A028AE">
              <w:tab/>
              <w:t>На своей двадцатой сессии (Женева, 28</w:t>
            </w:r>
            <w:r w:rsidR="00E77DD9" w:rsidRPr="00A028AE">
              <w:t>–</w:t>
            </w:r>
            <w:r w:rsidRPr="00A028AE">
              <w:t>31 октября 2014 года) Комитет по экологической политике избрал свой Президиум и уполномочил его осуществить ряд мероприятий (см. пункт 98 mm) документа ECE/CEP/2014/2), в том числе: а</w:t>
            </w:r>
            <w:r w:rsidR="00E77DD9" w:rsidRPr="00A028AE">
              <w:t>) </w:t>
            </w:r>
            <w:r w:rsidRPr="00A028AE">
              <w:t>подготовку к двадцать первой сессии Комитета, включая доклады и докуме</w:t>
            </w:r>
            <w:r w:rsidRPr="00A028AE">
              <w:t>н</w:t>
            </w:r>
            <w:r w:rsidRPr="00A028AE">
              <w:t>ты, необходимые для работы Комитета в ходе сессии; b) дальнейшую подготовку</w:t>
            </w:r>
            <w:r w:rsidR="00E77DD9" w:rsidRPr="00A028AE">
              <w:t xml:space="preserve"> к </w:t>
            </w:r>
            <w:r w:rsidRPr="00A028AE">
              <w:t>восьмой Конференции министров «Окружающая среда для Европы» (Батуми, Грузия, 8–10 июня 2016 года); и с) дальнейший пересмотр правил процедуры Комитета.</w:t>
            </w:r>
          </w:p>
        </w:tc>
      </w:tr>
      <w:tr w:rsidR="002F319C" w:rsidRPr="00A028AE" w:rsidTr="002F319C">
        <w:tc>
          <w:tcPr>
            <w:tcW w:w="10051" w:type="dxa"/>
            <w:shd w:val="clear" w:color="auto" w:fill="auto"/>
          </w:tcPr>
          <w:p w:rsidR="002F319C" w:rsidRPr="00A028AE" w:rsidRDefault="00E77DD9" w:rsidP="00E77DD9">
            <w:pPr>
              <w:pStyle w:val="SingleTxt"/>
            </w:pPr>
            <w:r w:rsidRPr="00A028AE">
              <w:tab/>
              <w:t>В целях выполнения указанных выше задач Президиум осуществлял работу в форме электронных консультаций и организовал совещание в Женеве 15 и 16 июня 2015 года. В настоящем документе приводится краткая информация об итогах работы Президиума, в том числе о работе его июньского совещания, в ц</w:t>
            </w:r>
            <w:r w:rsidRPr="00A028AE">
              <w:t>е</w:t>
            </w:r>
            <w:r w:rsidRPr="00A028AE">
              <w:t>лях оказания содействия КЭП в работе на его двадцать первой сессии.</w:t>
            </w:r>
          </w:p>
        </w:tc>
      </w:tr>
      <w:tr w:rsidR="002F319C" w:rsidRPr="00A028AE" w:rsidTr="002F319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F319C" w:rsidRPr="00A028AE" w:rsidRDefault="002F319C" w:rsidP="002F319C">
            <w:pPr>
              <w:pStyle w:val="SingleTxt"/>
            </w:pPr>
          </w:p>
        </w:tc>
      </w:tr>
    </w:tbl>
    <w:p w:rsidR="00E77DD9" w:rsidRPr="00A028AE" w:rsidRDefault="00E77DD9" w:rsidP="002F319C">
      <w:pPr>
        <w:pStyle w:val="SingleTxt"/>
      </w:pPr>
    </w:p>
    <w:p w:rsidR="00E77DD9" w:rsidRPr="00A028AE" w:rsidRDefault="00E77DD9" w:rsidP="00E77DD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br w:type="page"/>
      </w:r>
      <w:r w:rsidRPr="00A028AE">
        <w:lastRenderedPageBreak/>
        <w:tab/>
      </w:r>
      <w:r w:rsidRPr="00A028AE">
        <w:tab/>
        <w:t>Введение</w:t>
      </w: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1.</w:t>
      </w:r>
      <w:r w:rsidRPr="00A028AE">
        <w:tab/>
        <w:t>В межсессионный период Президиум Комитета по экологической политике (КЭП) Европейской экономической комиссии Организации Объединенных Наций (ЕЭК) работал над выполнением задач, порученных ему Комитетом на его дв</w:t>
      </w:r>
      <w:r w:rsidRPr="00A028AE">
        <w:t>а</w:t>
      </w:r>
      <w:r w:rsidRPr="00A028AE">
        <w:t>дцатой сессии (Женева, 28–31 октября 2014 года), а также занимался подготовкой двадцать первой сессии Комитета. Президиум осуществлял работу в форме эле</w:t>
      </w:r>
      <w:r w:rsidRPr="00A028AE">
        <w:t>к</w:t>
      </w:r>
      <w:r w:rsidRPr="00A028AE">
        <w:t>тронных консультаций и организовал совещание в Женеве 15 и 16 июня 2015 г</w:t>
      </w:r>
      <w:r w:rsidRPr="00A028AE">
        <w:t>о</w:t>
      </w:r>
      <w:r w:rsidRPr="00A028AE">
        <w:t>да.</w:t>
      </w:r>
    </w:p>
    <w:p w:rsidR="00E77DD9" w:rsidRPr="00A028AE" w:rsidRDefault="00E77DD9" w:rsidP="00E77DD9">
      <w:pPr>
        <w:pStyle w:val="SingleTxt"/>
      </w:pPr>
      <w:r w:rsidRPr="00A028AE">
        <w:t>2.</w:t>
      </w:r>
      <w:r w:rsidRPr="00A028AE">
        <w:tab/>
        <w:t>В частности, Президиум занимался дальнейшей подготовкой к восьмой Конференции министров «Окружающая среда для Европы» (ОСЕ) (Батуми, Гр</w:t>
      </w:r>
      <w:r w:rsidRPr="00A028AE">
        <w:t>у</w:t>
      </w:r>
      <w:r w:rsidRPr="00A028AE">
        <w:t>зия, 8–10 июня 2016 года). Он рассматривал также одновременно вопросы с</w:t>
      </w:r>
      <w:r w:rsidRPr="00A028AE">
        <w:t>о</w:t>
      </w:r>
      <w:r w:rsidRPr="00A028AE">
        <w:t>держания и организации дискуссий, которые состоятся на двадцать первой се</w:t>
      </w:r>
      <w:r w:rsidRPr="00A028AE">
        <w:t>с</w:t>
      </w:r>
      <w:r w:rsidRPr="00A028AE">
        <w:t>сии Комитета, в частности по вопросам, имеющим отношение к многосторонним природоохранным соглашениям (МПС) ЕЭК и обзорам результативности экол</w:t>
      </w:r>
      <w:r w:rsidRPr="00A028AE">
        <w:t>о</w:t>
      </w:r>
      <w:r w:rsidRPr="00A028AE">
        <w:t>гической деятельности (ОРЭД) ЕЭК. Кроме того, Президиум провел пересмотр проекта правил процедуры Комитета и изучил обновленные критерии оказания финансовой поддержки для участия в совещаниях и мероприятиях, а также ра</w:t>
      </w:r>
      <w:r w:rsidRPr="00A028AE">
        <w:t>с</w:t>
      </w:r>
      <w:r w:rsidRPr="00A028AE">
        <w:t>смотрел пересмотренное расписание совещаний Комитета на период до конца 2018 года.</w:t>
      </w:r>
    </w:p>
    <w:p w:rsidR="00E77DD9" w:rsidRPr="00A028AE" w:rsidRDefault="00E77DD9" w:rsidP="00E77DD9">
      <w:pPr>
        <w:pStyle w:val="SingleTxt"/>
      </w:pPr>
      <w:r w:rsidRPr="00A028AE">
        <w:t>3.</w:t>
      </w:r>
      <w:r w:rsidRPr="00A028AE">
        <w:tab/>
        <w:t>Что касается его июньского совещания, то с учетом заинтересованности, выраженной Председателем и заместителем Председателя Исполнительного о</w:t>
      </w:r>
      <w:r w:rsidRPr="00A028AE">
        <w:t>р</w:t>
      </w:r>
      <w:r w:rsidRPr="00A028AE">
        <w:t>гана по Конвенции о трансграничном загрязнении воздуха на большие рассто</w:t>
      </w:r>
      <w:r w:rsidRPr="00A028AE">
        <w:t>я</w:t>
      </w:r>
      <w:r w:rsidRPr="00A028AE">
        <w:t>ния (Конвенция по воздуху) и Региональным отделением для Европы Программы Организации Объединенных Наций по окружающей среды (РОЕ/ЮНЕП), През</w:t>
      </w:r>
      <w:r w:rsidRPr="00A028AE">
        <w:t>и</w:t>
      </w:r>
      <w:r w:rsidRPr="00A028AE">
        <w:t>диум принял решение разрешить участие в процессе подготовки к Конференции в Батуми представителям этих двух партнеров по процессу «ОСЕ».</w:t>
      </w:r>
    </w:p>
    <w:p w:rsidR="00E77DD9" w:rsidRPr="00A028AE" w:rsidRDefault="00E77DD9" w:rsidP="00E77DD9">
      <w:pPr>
        <w:pStyle w:val="SingleTxt"/>
      </w:pPr>
      <w:r w:rsidRPr="00A028AE">
        <w:t>4.</w:t>
      </w:r>
      <w:r w:rsidRPr="00A028AE">
        <w:tab/>
        <w:t>В состав Президиума КЭП входят Председатель от Португалии и замест</w:t>
      </w:r>
      <w:r w:rsidRPr="00A028AE">
        <w:t>и</w:t>
      </w:r>
      <w:r w:rsidRPr="00A028AE">
        <w:t>тели Председателя от Беларуси, Бельгии, Чешской Республики, Франции, Грузии, Казахстана, Республики Молдова, Сербии, Швейцарии и Соединенных Штатов Америки.</w:t>
      </w: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I.</w:t>
      </w:r>
      <w:r w:rsidRPr="00A028AE">
        <w:tab/>
        <w:t>Подготовка вопросов для обсуждения в рамках двух тем Конференции министров в Батуми</w:t>
      </w:r>
    </w:p>
    <w:p w:rsidR="00E77DD9" w:rsidRPr="00A028AE" w:rsidRDefault="00E77DD9" w:rsidP="00E77DD9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5.</w:t>
      </w:r>
      <w:r w:rsidRPr="00A028AE">
        <w:tab/>
        <w:t>В соответствии с данным ему поручением в период с ноября 2014 года по январь 2015 года Президиум, при поддержке секретариата и в консультации с с</w:t>
      </w:r>
      <w:r w:rsidRPr="00A028AE">
        <w:t>о</w:t>
      </w:r>
      <w:r w:rsidRPr="00A028AE">
        <w:t>ответствующими партнерами, занимался подготовкой набора вопросов, призва</w:t>
      </w:r>
      <w:r w:rsidRPr="00A028AE">
        <w:t>н</w:t>
      </w:r>
      <w:r w:rsidRPr="00A028AE">
        <w:t>ных служить ориентирами для работы в рамках двух тем Конференции мин</w:t>
      </w:r>
      <w:r w:rsidRPr="00A028AE">
        <w:t>и</w:t>
      </w:r>
      <w:r w:rsidRPr="00A028AE">
        <w:t>стров в Батуми. Эти вопросы включены в проект предварительной повестки дня Конференции и приводятся в приложении к настоящему документу.</w:t>
      </w:r>
    </w:p>
    <w:p w:rsidR="00E77DD9" w:rsidRPr="00A028AE" w:rsidRDefault="00E77DD9" w:rsidP="00E77DD9">
      <w:pPr>
        <w:pStyle w:val="SingleTxt"/>
      </w:pPr>
      <w:r w:rsidRPr="00A028AE">
        <w:t>6.</w:t>
      </w:r>
      <w:r w:rsidRPr="00A028AE">
        <w:tab/>
        <w:t>На основе вопросов для обсуждения секретариат в сотрудничестве с соо</w:t>
      </w:r>
      <w:r w:rsidRPr="00A028AE">
        <w:t>т</w:t>
      </w:r>
      <w:r w:rsidRPr="00A028AE">
        <w:t>ветствующими партнерами подготовил проекты двух справочных тематических документов для рассмотрения Комитетом (см. раздел IV.B ниже).</w:t>
      </w: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lastRenderedPageBreak/>
        <w:tab/>
        <w:t>II.</w:t>
      </w:r>
      <w:r w:rsidRPr="00A028AE">
        <w:tab/>
        <w:t>Предварительная повестка дня двадцать первой сессии Комитета</w:t>
      </w:r>
    </w:p>
    <w:p w:rsidR="00E77DD9" w:rsidRPr="00A028AE" w:rsidRDefault="00E77DD9" w:rsidP="00E77DD9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  <w:keepNext/>
        <w:keepLines/>
      </w:pPr>
      <w:r w:rsidRPr="00A028AE">
        <w:t>7.</w:t>
      </w:r>
      <w:r w:rsidRPr="00A028AE">
        <w:tab/>
        <w:t>На своем совещании в июне</w:t>
      </w:r>
      <w:r w:rsidR="00911C2D" w:rsidRPr="00A028AE">
        <w:t xml:space="preserve"> 2015 года</w:t>
      </w:r>
      <w:r w:rsidRPr="00A028AE">
        <w:t xml:space="preserve"> Президиум одобрил проект предв</w:t>
      </w:r>
      <w:r w:rsidRPr="00A028AE">
        <w:t>а</w:t>
      </w:r>
      <w:r w:rsidRPr="00A028AE">
        <w:t>рительной повестки дня и проект организации работы двадцать первой сессии Комитета с рядом поправок, которые будут отражены в окончательном варианте этих документов. Так, например, Президиум:</w:t>
      </w:r>
    </w:p>
    <w:p w:rsidR="00E77DD9" w:rsidRPr="00A028AE" w:rsidRDefault="00E77DD9" w:rsidP="00E77DD9">
      <w:pPr>
        <w:pStyle w:val="SingleTxt"/>
        <w:keepNext/>
        <w:keepLines/>
      </w:pPr>
      <w:r w:rsidRPr="00A028AE">
        <w:tab/>
        <w:t>a)</w:t>
      </w:r>
      <w:r w:rsidRPr="00A028AE">
        <w:tab/>
        <w:t>рекомендовал организовать заседание, посвященное ОРЭД, в соотве</w:t>
      </w:r>
      <w:r w:rsidRPr="00A028AE">
        <w:t>т</w:t>
      </w:r>
      <w:r w:rsidRPr="00A028AE">
        <w:t>ствии со сценарием, предложенным секретариатом, с тем чтобы обеспечить большую интерактивность обсуждений, а также позволить провести краткий о</w:t>
      </w:r>
      <w:r w:rsidRPr="00A028AE">
        <w:t>б</w:t>
      </w:r>
      <w:r w:rsidRPr="00A028AE">
        <w:t>мен опытом между странами в деле осуществления рекомендаций недавно пр</w:t>
      </w:r>
      <w:r w:rsidRPr="00A028AE">
        <w:t>о</w:t>
      </w:r>
      <w:r w:rsidRPr="00A028AE">
        <w:t>веденных ОРЭД, в том числе в странах – членах Организации экономического сотрудничества и развития, при наличии такой возможности;</w:t>
      </w:r>
    </w:p>
    <w:p w:rsidR="00E77DD9" w:rsidRPr="00A028AE" w:rsidRDefault="00E77DD9" w:rsidP="00E77DD9">
      <w:pPr>
        <w:pStyle w:val="SingleTxt"/>
      </w:pPr>
      <w:r w:rsidRPr="00A028AE">
        <w:tab/>
        <w:t>b)</w:t>
      </w:r>
      <w:r w:rsidRPr="00A028AE">
        <w:tab/>
        <w:t>рекомендовал провести обсуждение европейского процесса «Окруж</w:t>
      </w:r>
      <w:r w:rsidRPr="00A028AE">
        <w:t>а</w:t>
      </w:r>
      <w:r w:rsidRPr="00A028AE">
        <w:t>ющая среда и здоровье» в первый день работы совещания, с тем чтобы сохранить группу участников после обсуждения темы чистоты воздуха, и пригласить зам</w:t>
      </w:r>
      <w:r w:rsidRPr="00A028AE">
        <w:t>е</w:t>
      </w:r>
      <w:r w:rsidRPr="00A028AE">
        <w:t>стителей членов Европейского совета министров по окружающей среде и здор</w:t>
      </w:r>
      <w:r w:rsidRPr="00A028AE">
        <w:t>о</w:t>
      </w:r>
      <w:r w:rsidRPr="00A028AE">
        <w:t>вью и Сопредседателей ЕСМОСЗ и Целевой группы по охране окружающей ср</w:t>
      </w:r>
      <w:r w:rsidRPr="00A028AE">
        <w:t>е</w:t>
      </w:r>
      <w:r w:rsidRPr="00A028AE">
        <w:t>ды и здоровья в Европе принять участие в работе двадцать первой сессии Ком</w:t>
      </w:r>
      <w:r w:rsidRPr="00A028AE">
        <w:t>и</w:t>
      </w:r>
      <w:r w:rsidRPr="00A028AE">
        <w:t>тета;</w:t>
      </w:r>
    </w:p>
    <w:p w:rsidR="00E77DD9" w:rsidRPr="00A028AE" w:rsidRDefault="00E77DD9" w:rsidP="00E77DD9">
      <w:pPr>
        <w:pStyle w:val="SingleTxt"/>
      </w:pPr>
      <w:r w:rsidRPr="00A028AE">
        <w:tab/>
        <w:t>c)</w:t>
      </w:r>
      <w:r w:rsidRPr="00A028AE">
        <w:tab/>
        <w:t>рекомендовал выделить достаточное время для обсуждения вопроса о развитии Совместной системы экологической информации (СЕИС) и налажив</w:t>
      </w:r>
      <w:r w:rsidRPr="00A028AE">
        <w:t>а</w:t>
      </w:r>
      <w:r w:rsidRPr="00A028AE">
        <w:t>нии регулярного процесса экологической оценки в общеевропейском регионе, с тем чтобы дать возможность выступить соответствующим партнерам;</w:t>
      </w:r>
    </w:p>
    <w:p w:rsidR="00E77DD9" w:rsidRPr="00A028AE" w:rsidRDefault="00E77DD9" w:rsidP="00E77DD9">
      <w:pPr>
        <w:pStyle w:val="SingleTxt"/>
      </w:pPr>
      <w:r w:rsidRPr="00A028AE">
        <w:tab/>
        <w:t>d)</w:t>
      </w:r>
      <w:r w:rsidRPr="00A028AE">
        <w:tab/>
        <w:t>принял решение выделить время для представления информации и о</w:t>
      </w:r>
      <w:r w:rsidRPr="00A028AE">
        <w:t>б</w:t>
      </w:r>
      <w:r w:rsidRPr="00A028AE">
        <w:t>мена мнениями о работе второй сессии Ассамблеи Организации Объединенных Наций по окружающей среде (ЮНЕА), которую намечено провести в мае 2016 года.</w:t>
      </w:r>
    </w:p>
    <w:p w:rsidR="00E77DD9" w:rsidRPr="00A028AE" w:rsidRDefault="00E77DD9" w:rsidP="00E77DD9">
      <w:pPr>
        <w:pStyle w:val="SingleTxt"/>
      </w:pPr>
      <w:r w:rsidRPr="00A028AE">
        <w:t>8.</w:t>
      </w:r>
      <w:r w:rsidRPr="00A028AE">
        <w:tab/>
        <w:t>Что касается второго и завершающего циклов представления отчетности об осуществлении Астанинских предложений относительно действий по воде (АДВ), то Президиум внес изменения в типовую форму для представления отчетности и рекомендовал провести консультации с Президиумом Конвенции по водам, прежде чем разослать письма заинтересованным субъектам АДВ с просьбой представить ответы в сентябре 2015 года. Кроме того, в дополнение к подготовке второго доклада о ходе работы по АДВ для рассмотрения Комитетом на его сп</w:t>
      </w:r>
      <w:r w:rsidRPr="00A028AE">
        <w:t>е</w:t>
      </w:r>
      <w:r w:rsidRPr="00A028AE">
        <w:t>циальной сессии в феврале 2016 года, Президиум рекомендовал, по возможности, подготовить проект второго доклада о ходе работы по АДВ к седьмой сессии С</w:t>
      </w:r>
      <w:r w:rsidRPr="00A028AE">
        <w:t>о</w:t>
      </w:r>
      <w:r w:rsidRPr="00A028AE">
        <w:t>вещания Сторон Конвенции по охране и использованию трансграничных водот</w:t>
      </w:r>
      <w:r w:rsidRPr="00A028AE">
        <w:t>о</w:t>
      </w:r>
      <w:r w:rsidRPr="00A028AE">
        <w:t>ков и международных озер (Конвенции по водам) (Будапешт, 17–19 ноября 2015 года).</w:t>
      </w:r>
    </w:p>
    <w:p w:rsidR="00E77DD9" w:rsidRPr="00A028AE" w:rsidRDefault="00E77DD9" w:rsidP="00E77DD9">
      <w:pPr>
        <w:pStyle w:val="SingleTxt"/>
      </w:pPr>
      <w:r w:rsidRPr="00A028AE">
        <w:t>9.</w:t>
      </w:r>
      <w:r w:rsidRPr="00A028AE">
        <w:tab/>
        <w:t>В ходе обмена мнениями по электронной почте после совещания Президи</w:t>
      </w:r>
      <w:r w:rsidRPr="00A028AE">
        <w:t>у</w:t>
      </w:r>
      <w:r w:rsidRPr="00A028AE">
        <w:t>ма, состоявшегося в июне 2015 года, один из членов Президиума предложил, чтобы секретариат изучил возможность организации параллельного мероприятия, посвященного «Платформе знаний о "зеленом" росте», на полях двадцать первой сессии Комитета. После проведения консультаций с «Платформой знаний о "з</w:t>
      </w:r>
      <w:r w:rsidRPr="00A028AE">
        <w:t>е</w:t>
      </w:r>
      <w:r w:rsidRPr="00A028AE">
        <w:t>леном" росте» и РОЕ/ЮНЕП было принято решение организовать такое мер</w:t>
      </w:r>
      <w:r w:rsidRPr="00A028AE">
        <w:t>о</w:t>
      </w:r>
      <w:r w:rsidRPr="00A028AE">
        <w:t>приятие в обеденное время, в среду, 28 октября 2015 года.</w:t>
      </w: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E77DD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III.</w:t>
      </w:r>
      <w:r w:rsidRPr="00A028AE">
        <w:tab/>
        <w:t>Многосторонние природоохранные соглашения: содействие достижению целей в области устойчивого развития</w:t>
      </w:r>
    </w:p>
    <w:p w:rsidR="00E77DD9" w:rsidRPr="00A028AE" w:rsidRDefault="00E77DD9" w:rsidP="00E77DD9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10.</w:t>
      </w:r>
      <w:r w:rsidRPr="00A028AE">
        <w:tab/>
        <w:t>На своем совещании, состоявшемся в июне 2015 года, Президиум обсудил направленность обсуждения МПС на его двадцать первой сессии и изучил вар</w:t>
      </w:r>
      <w:r w:rsidRPr="00A028AE">
        <w:t>и</w:t>
      </w:r>
      <w:r w:rsidRPr="00A028AE">
        <w:t>анты стимулирования интерактивной дискуссии. В этом отношении Президиум был проинформирован об итогах неофициального совместного совещания Ком</w:t>
      </w:r>
      <w:r w:rsidRPr="00A028AE">
        <w:t>и</w:t>
      </w:r>
      <w:r w:rsidRPr="00A028AE">
        <w:t>тета с председателями и заместителями председателей многосторонних природ</w:t>
      </w:r>
      <w:r w:rsidRPr="00A028AE">
        <w:t>о</w:t>
      </w:r>
      <w:r w:rsidRPr="00A028AE">
        <w:t>охранных соглашений, которое с</w:t>
      </w:r>
      <w:r w:rsidR="00911C2D" w:rsidRPr="00A028AE">
        <w:t>ос</w:t>
      </w:r>
      <w:r w:rsidRPr="00A028AE">
        <w:t>тоялось в Женеве 13 апреля 2015 года. В ходе этого неофициального совещания председатели МПС предложили уделить на з</w:t>
      </w:r>
      <w:r w:rsidRPr="00A028AE">
        <w:t>а</w:t>
      </w:r>
      <w:r w:rsidRPr="00A028AE">
        <w:t>седании, посвященном МПС, основное внимание роли МПС в деле оказания с</w:t>
      </w:r>
      <w:r w:rsidRPr="00A028AE">
        <w:t>о</w:t>
      </w:r>
      <w:r w:rsidRPr="00A028AE">
        <w:t>действия странам в достижении целей в области устойчивого развития (ЦУР). Кроме того, они предложили, чтобы в том случае, если обсуждения на двадцать первой сессии Комитета окажутся плодотворными, Комитет изучил возможность повторения таких обсуждений на Конференции министров в Батуми в рамках общего сегмента в первый день работы Конференции.</w:t>
      </w:r>
    </w:p>
    <w:p w:rsidR="00E77DD9" w:rsidRPr="00A028AE" w:rsidRDefault="00E77DD9" w:rsidP="00E77DD9">
      <w:pPr>
        <w:pStyle w:val="SingleTxt"/>
      </w:pPr>
      <w:r w:rsidRPr="00A028AE">
        <w:t>11.</w:t>
      </w:r>
      <w:r w:rsidRPr="00A028AE">
        <w:tab/>
        <w:t>Президиум дополнительно обсудил данное предложение МПС и рекоменд</w:t>
      </w:r>
      <w:r w:rsidRPr="00A028AE">
        <w:t>о</w:t>
      </w:r>
      <w:r w:rsidRPr="00A028AE">
        <w:t>вал сосредоточить дискуссию на роли МПС ЕЭК ООН в деле реализации повес</w:t>
      </w:r>
      <w:r w:rsidRPr="00A028AE">
        <w:t>т</w:t>
      </w:r>
      <w:r w:rsidRPr="00A028AE">
        <w:t>ки дня в области развития на период после 2015 года, в частности путем обмена соответствующим опытом в области осуществления МПС с точки зрения разр</w:t>
      </w:r>
      <w:r w:rsidRPr="00A028AE">
        <w:t>а</w:t>
      </w:r>
      <w:r w:rsidRPr="00A028AE">
        <w:t>ботки инструментов и программ нормативного регулирования, установления стандартов и налаживания партнерств.</w:t>
      </w:r>
    </w:p>
    <w:p w:rsidR="00E77DD9" w:rsidRPr="00A028AE" w:rsidRDefault="00E77DD9" w:rsidP="00E77DD9">
      <w:pPr>
        <w:pStyle w:val="SingleTxt"/>
      </w:pPr>
      <w:r w:rsidRPr="00A028AE">
        <w:t>12.</w:t>
      </w:r>
      <w:r w:rsidRPr="00A028AE">
        <w:tab/>
        <w:t>Кроме того, Президиум счел важным изучить взаимосвязи и синергизм между отчетностью по МПС и развитием СЕИС, а также возможность интегр</w:t>
      </w:r>
      <w:r w:rsidRPr="00A028AE">
        <w:t>а</w:t>
      </w:r>
      <w:r w:rsidRPr="00A028AE">
        <w:t>ции национальных докладов об осуществлении МПС в другие механизмы отче</w:t>
      </w:r>
      <w:r w:rsidRPr="00A028AE">
        <w:t>т</w:t>
      </w:r>
      <w:r w:rsidRPr="00A028AE">
        <w:t>ности Организация Объединенных Наций, такие, например, как национальная отчетность в соответствии с Системой национальных счетов.</w:t>
      </w:r>
    </w:p>
    <w:p w:rsidR="00E77DD9" w:rsidRPr="00A028AE" w:rsidRDefault="00E77DD9" w:rsidP="00E77DD9">
      <w:pPr>
        <w:pStyle w:val="SingleTxt"/>
      </w:pPr>
      <w:r w:rsidRPr="00A028AE">
        <w:t>13.</w:t>
      </w:r>
      <w:r w:rsidRPr="00A028AE">
        <w:tab/>
        <w:t>Президиум согласовал два следующих вопроса, призванных стимулировать</w:t>
      </w:r>
      <w:r w:rsidR="00A6200E" w:rsidRPr="00A028AE">
        <w:t xml:space="preserve"> обсуждение «за круглым столом»</w:t>
      </w:r>
      <w:r w:rsidRPr="00A028AE">
        <w:t xml:space="preserve"> с участием председателей МПС и членов К</w:t>
      </w:r>
      <w:r w:rsidRPr="00A028AE">
        <w:t>о</w:t>
      </w:r>
      <w:r w:rsidRPr="00A028AE">
        <w:t>митета в ходе его двадцать первой сессии:</w:t>
      </w:r>
    </w:p>
    <w:p w:rsidR="00E77DD9" w:rsidRPr="00A028AE" w:rsidRDefault="00E77DD9" w:rsidP="00E77DD9">
      <w:pPr>
        <w:pStyle w:val="SingleTxt"/>
      </w:pPr>
      <w:r w:rsidRPr="00A028AE">
        <w:tab/>
        <w:t>a)</w:t>
      </w:r>
      <w:r w:rsidRPr="00A028AE">
        <w:tab/>
        <w:t>каким образом МПС ЕЭК</w:t>
      </w:r>
      <w:r w:rsidR="00A6200E" w:rsidRPr="00A028AE">
        <w:t xml:space="preserve"> благодаря опыту, накопленному </w:t>
      </w:r>
      <w:r w:rsidRPr="00A028AE">
        <w:t>в деле их осуществления (например, в области разработки инструментов и программ но</w:t>
      </w:r>
      <w:r w:rsidRPr="00A028AE">
        <w:t>р</w:t>
      </w:r>
      <w:r w:rsidRPr="00A028AE">
        <w:t>мативного регулирования, установления стандартов и налаживания партнерств), могут содействовать достижению странами ЦУР?;</w:t>
      </w:r>
    </w:p>
    <w:p w:rsidR="00E77DD9" w:rsidRPr="00A028AE" w:rsidRDefault="00E77DD9" w:rsidP="00E77DD9">
      <w:pPr>
        <w:pStyle w:val="SingleTxt"/>
      </w:pPr>
      <w:r w:rsidRPr="00A028AE">
        <w:tab/>
        <w:t>b)</w:t>
      </w:r>
      <w:r w:rsidRPr="00A028AE">
        <w:tab/>
        <w:t>каким образом Комитет по экологической политике может способств</w:t>
      </w:r>
      <w:r w:rsidRPr="00A028AE">
        <w:t>о</w:t>
      </w:r>
      <w:r w:rsidRPr="00A028AE">
        <w:t>вать выполнению этой роли [по оказанию содействия]?</w:t>
      </w:r>
    </w:p>
    <w:p w:rsidR="00E77DD9" w:rsidRPr="00A028AE" w:rsidRDefault="00E77DD9" w:rsidP="00E77DD9">
      <w:pPr>
        <w:pStyle w:val="SingleTxt"/>
      </w:pPr>
      <w:r w:rsidRPr="00A028AE">
        <w:t>14.</w:t>
      </w:r>
      <w:r w:rsidRPr="00A028AE">
        <w:tab/>
        <w:t>Что касается организации интерактивного обсуждения, то Президиум пре</w:t>
      </w:r>
      <w:r w:rsidRPr="00A028AE">
        <w:t>д</w:t>
      </w:r>
      <w:r w:rsidRPr="00A028AE">
        <w:t>ложил изучить</w:t>
      </w:r>
      <w:r w:rsidR="00A6200E" w:rsidRPr="00A028AE">
        <w:t xml:space="preserve"> вариант проведения обсуждения «за круглым столом»</w:t>
      </w:r>
      <w:r w:rsidRPr="00A028AE">
        <w:t>, которое откроется выступлени</w:t>
      </w:r>
      <w:r w:rsidR="00A6200E" w:rsidRPr="00A028AE">
        <w:t>ем (или презентацией в формате «PowerPoint»</w:t>
      </w:r>
      <w:r w:rsidRPr="00A028AE">
        <w:t>) одного из председателей МПС, посвященным пакету мер (призванных стимулировать и</w:t>
      </w:r>
      <w:r w:rsidRPr="00A028AE">
        <w:t>з</w:t>
      </w:r>
      <w:r w:rsidRPr="00A028AE">
        <w:t>менение или разработку регламентов, установление стандартов и налаживание партнерств), за которым последует рук</w:t>
      </w:r>
      <w:r w:rsidR="00A6200E" w:rsidRPr="00A028AE">
        <w:t>оводимая модератором дискуссия «</w:t>
      </w:r>
      <w:r w:rsidRPr="00A028AE">
        <w:t>за круг</w:t>
      </w:r>
      <w:r w:rsidR="00A6200E" w:rsidRPr="00A028AE">
        <w:t>лым столом»</w:t>
      </w:r>
      <w:r w:rsidRPr="00A028AE">
        <w:t xml:space="preserve"> по двум определенным Президиумом вопросам с выступлени</w:t>
      </w:r>
      <w:r w:rsidRPr="00A028AE">
        <w:t>я</w:t>
      </w:r>
      <w:r w:rsidRPr="00A028AE">
        <w:t>ми председателей всех МПС и представителей Комитета (продолжительностью не более двух минут каждое).</w:t>
      </w:r>
    </w:p>
    <w:p w:rsidR="00A6200E" w:rsidRPr="00A028AE" w:rsidRDefault="00A6200E" w:rsidP="00A6200E">
      <w:pPr>
        <w:pStyle w:val="SingleTxt"/>
        <w:spacing w:after="0" w:line="120" w:lineRule="exact"/>
        <w:rPr>
          <w:sz w:val="10"/>
        </w:rPr>
      </w:pPr>
    </w:p>
    <w:p w:rsidR="00A6200E" w:rsidRPr="00A028AE" w:rsidRDefault="00A6200E" w:rsidP="00A6200E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A620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IV.</w:t>
      </w:r>
      <w:r w:rsidRPr="00A028AE">
        <w:tab/>
        <w:t>Дальнейшая подготовка</w:t>
      </w:r>
      <w:r w:rsidR="00A6200E" w:rsidRPr="00A028AE">
        <w:t xml:space="preserve"> Конференции министров в </w:t>
      </w:r>
      <w:r w:rsidRPr="00A028AE">
        <w:t>Батуми</w:t>
      </w:r>
    </w:p>
    <w:p w:rsidR="00A6200E" w:rsidRPr="00A028AE" w:rsidRDefault="00A6200E" w:rsidP="00A6200E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A6200E" w:rsidRPr="00A028AE" w:rsidRDefault="00A6200E" w:rsidP="00A6200E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E77DD9" w:rsidRPr="00A028AE" w:rsidRDefault="00E77DD9" w:rsidP="00A620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A.</w:t>
      </w:r>
      <w:r w:rsidRPr="00A028AE">
        <w:tab/>
        <w:t>Организация Конференции принимающей стороной</w:t>
      </w:r>
    </w:p>
    <w:p w:rsidR="00A6200E" w:rsidRPr="00A028AE" w:rsidRDefault="00A6200E" w:rsidP="00A6200E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A6200E" w:rsidRPr="00A028AE" w:rsidRDefault="00A6200E" w:rsidP="00A6200E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E77DD9" w:rsidRPr="00A028AE" w:rsidRDefault="00E77DD9" w:rsidP="00A6200E">
      <w:pPr>
        <w:pStyle w:val="SingleTxt"/>
        <w:keepNext/>
        <w:keepLines/>
      </w:pPr>
      <w:r w:rsidRPr="00A028AE">
        <w:t>15.</w:t>
      </w:r>
      <w:r w:rsidRPr="00A028AE">
        <w:tab/>
        <w:t>На июньском совещании Президиума представитель Грузии сообщил о ходе подготовки к проведению Конференции в стране. Премьер-министр издал указ, подтверждающий готовность правительства провести Конференцию, и 4 июня 2015 года был учрежден организационный комитет под руководством министе</w:t>
      </w:r>
      <w:r w:rsidRPr="00A028AE">
        <w:t>р</w:t>
      </w:r>
      <w:r w:rsidRPr="00A028AE">
        <w:t>ства по охране окружающей среды и защиты природных ресурсов и с участием других министерств, в том числе экономики, иностранных дел, внутренних дел и финансов, а также правительства Автономной Республики Аджария. При необх</w:t>
      </w:r>
      <w:r w:rsidRPr="00A028AE">
        <w:t>о</w:t>
      </w:r>
      <w:r w:rsidRPr="00A028AE">
        <w:t>димости, для принятия участия в будущих совещаниях и работе организационн</w:t>
      </w:r>
      <w:r w:rsidRPr="00A028AE">
        <w:t>о</w:t>
      </w:r>
      <w:r w:rsidRPr="00A028AE">
        <w:t>го комитета будут приглашаться другие соответствующие заинтересованные ст</w:t>
      </w:r>
      <w:r w:rsidRPr="00A028AE">
        <w:t>о</w:t>
      </w:r>
      <w:r w:rsidRPr="00A028AE">
        <w:t>роны, включая министерство образования и науки.</w:t>
      </w:r>
    </w:p>
    <w:p w:rsidR="00E77DD9" w:rsidRPr="00A028AE" w:rsidRDefault="00E77DD9" w:rsidP="00E77DD9">
      <w:pPr>
        <w:pStyle w:val="SingleTxt"/>
      </w:pPr>
      <w:r w:rsidRPr="00A028AE">
        <w:t>16.</w:t>
      </w:r>
      <w:r w:rsidRPr="00A028AE">
        <w:tab/>
        <w:t>Представитель Грузии также сообщил о производимом пересчете сметы расходов на проведение Конференции, которую, по предварительным оценкам, придется увеличить, по крайней мере, в два раза. Президиум был приглашен п</w:t>
      </w:r>
      <w:r w:rsidRPr="00A028AE">
        <w:t>о</w:t>
      </w:r>
      <w:r w:rsidRPr="00A028AE">
        <w:t>сетить город Батуми и ознакомиться с имеющейся инфраструктурой и возмо</w:t>
      </w:r>
      <w:r w:rsidRPr="00A028AE">
        <w:t>ж</w:t>
      </w:r>
      <w:r w:rsidRPr="00A028AE">
        <w:t>ными местами проведения Конференции, например, в составе миссии секретар</w:t>
      </w:r>
      <w:r w:rsidRPr="00A028AE">
        <w:t>и</w:t>
      </w:r>
      <w:r w:rsidRPr="00A028AE">
        <w:t>ата ЕЭК ООН, которая состоится в сентябре/октябре 2015 года. Вопрос тран</w:t>
      </w:r>
      <w:r w:rsidRPr="00A028AE">
        <w:t>с</w:t>
      </w:r>
      <w:r w:rsidRPr="00A028AE">
        <w:t>портировки, который потенциально вызывает обеспокоенность по причине огр</w:t>
      </w:r>
      <w:r w:rsidRPr="00A028AE">
        <w:t>а</w:t>
      </w:r>
      <w:r w:rsidRPr="00A028AE">
        <w:t>ниченного числа авиарейсов, должен решаться совместно с соответствующими государственными органами с целью изучения возможностей увеличения числа авиарейсов в Батуми в период Конференции.</w:t>
      </w:r>
    </w:p>
    <w:p w:rsidR="00E77DD9" w:rsidRPr="00A028AE" w:rsidRDefault="00E77DD9" w:rsidP="00911C2D">
      <w:pPr>
        <w:pStyle w:val="SingleTxt"/>
      </w:pPr>
      <w:r w:rsidRPr="00A028AE">
        <w:t>17.</w:t>
      </w:r>
      <w:r w:rsidRPr="00A028AE">
        <w:tab/>
        <w:t>В ноябре 2015 года канцелярия Премьер-министра Грузии направит офиц</w:t>
      </w:r>
      <w:r w:rsidRPr="00A028AE">
        <w:t>и</w:t>
      </w:r>
      <w:r w:rsidRPr="00A028AE">
        <w:t>альное приглашение для уч</w:t>
      </w:r>
      <w:r w:rsidR="00A6200E" w:rsidRPr="00A028AE">
        <w:t xml:space="preserve">астия в Конференции </w:t>
      </w:r>
      <w:r w:rsidR="00911C2D" w:rsidRPr="00A028AE">
        <w:t>55</w:t>
      </w:r>
      <w:r w:rsidR="00A6200E" w:rsidRPr="00A028AE">
        <w:t xml:space="preserve"> странам –</w:t>
      </w:r>
      <w:r w:rsidRPr="00A028AE">
        <w:t xml:space="preserve"> члена</w:t>
      </w:r>
      <w:r w:rsidR="00A6200E" w:rsidRPr="00A028AE">
        <w:t>м ЕЭК с </w:t>
      </w:r>
      <w:r w:rsidRPr="00A028AE">
        <w:t>направлением копии министрам образования и окружающей среды. Президиум просил направить, дополнительно, копию официального письма членам Комит</w:t>
      </w:r>
      <w:r w:rsidRPr="00A028AE">
        <w:t>е</w:t>
      </w:r>
      <w:r w:rsidRPr="00A028AE">
        <w:t>та.</w:t>
      </w:r>
    </w:p>
    <w:p w:rsidR="00A6200E" w:rsidRPr="00A028AE" w:rsidRDefault="00A6200E" w:rsidP="00A6200E">
      <w:pPr>
        <w:pStyle w:val="SingleTxt"/>
        <w:spacing w:after="0" w:line="120" w:lineRule="exact"/>
        <w:rPr>
          <w:sz w:val="10"/>
        </w:rPr>
      </w:pPr>
    </w:p>
    <w:p w:rsidR="00A6200E" w:rsidRPr="00A028AE" w:rsidRDefault="00A6200E" w:rsidP="00A6200E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A620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B.</w:t>
      </w:r>
      <w:r w:rsidRPr="00A028AE">
        <w:tab/>
        <w:t>Документы по двум темам Конференции</w:t>
      </w:r>
    </w:p>
    <w:p w:rsidR="00A6200E" w:rsidRPr="00A028AE" w:rsidRDefault="00A6200E" w:rsidP="00A6200E">
      <w:pPr>
        <w:pStyle w:val="SingleTxt"/>
        <w:spacing w:after="0" w:line="120" w:lineRule="exact"/>
        <w:rPr>
          <w:b/>
          <w:sz w:val="10"/>
        </w:rPr>
      </w:pPr>
    </w:p>
    <w:p w:rsidR="00A6200E" w:rsidRPr="00A028AE" w:rsidRDefault="00A6200E" w:rsidP="00A6200E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18.</w:t>
      </w:r>
      <w:r w:rsidRPr="00A028AE">
        <w:tab/>
        <w:t>Также на своем июньском совещании Президиум рассмотрел проекты двух темат</w:t>
      </w:r>
      <w:r w:rsidR="00A6200E" w:rsidRPr="00A028AE">
        <w:t>ических документов Конференции –</w:t>
      </w:r>
      <w:r w:rsidRPr="00A028AE">
        <w:t xml:space="preserve"> по экологизации экономики в общее</w:t>
      </w:r>
      <w:r w:rsidRPr="00A028AE">
        <w:t>в</w:t>
      </w:r>
      <w:r w:rsidRPr="00A028AE">
        <w:t>ропейском регионе и по повышению качества воздуха в интересах улучшения с</w:t>
      </w:r>
      <w:r w:rsidRPr="00A028AE">
        <w:t>о</w:t>
      </w:r>
      <w:r w:rsidRPr="00A028AE">
        <w:t>стояния окружа</w:t>
      </w:r>
      <w:r w:rsidR="00A6200E" w:rsidRPr="00A028AE">
        <w:t>ющей среды и здоровья человека</w:t>
      </w:r>
      <w:r w:rsidR="00911C2D" w:rsidRPr="00A028AE">
        <w:t>, –</w:t>
      </w:r>
      <w:r w:rsidRPr="00A028AE">
        <w:t xml:space="preserve"> а также проекты двух иниц</w:t>
      </w:r>
      <w:r w:rsidRPr="00A028AE">
        <w:t>и</w:t>
      </w:r>
      <w:r w:rsidRPr="00A028AE">
        <w:t>а</w:t>
      </w:r>
      <w:r w:rsidR="00A6200E" w:rsidRPr="00A028AE">
        <w:t>тив –</w:t>
      </w:r>
      <w:r w:rsidRPr="00A028AE">
        <w:t xml:space="preserve"> проект общеевропейской стратегической рамочной программы по экол</w:t>
      </w:r>
      <w:r w:rsidRPr="00A028AE">
        <w:t>о</w:t>
      </w:r>
      <w:r w:rsidRPr="00A028AE">
        <w:t>гизации экономики и проект батумской программы действий за чистый воздух.</w:t>
      </w:r>
    </w:p>
    <w:p w:rsidR="00E77DD9" w:rsidRPr="00A028AE" w:rsidRDefault="00E77DD9" w:rsidP="00302FD6">
      <w:pPr>
        <w:pStyle w:val="SingleTxt"/>
      </w:pPr>
      <w:r w:rsidRPr="00A028AE">
        <w:t>19.</w:t>
      </w:r>
      <w:r w:rsidRPr="00A028AE">
        <w:tab/>
        <w:t>Президиум положительно оценил данные проекты документов и сделал ряд замечаний, которые должны быть отражены в пересмотренных проектах для представления на рассмотрение Комитету на его двадцать первой сессии. Что к</w:t>
      </w:r>
      <w:r w:rsidRPr="00A028AE">
        <w:t>а</w:t>
      </w:r>
      <w:r w:rsidR="00302FD6" w:rsidRPr="00A028AE">
        <w:t>сается документов по тематике «зеленой»</w:t>
      </w:r>
      <w:r w:rsidRPr="00A028AE">
        <w:t xml:space="preserve"> экономики, то он дополнительно пре</w:t>
      </w:r>
      <w:r w:rsidRPr="00A028AE">
        <w:t>д</w:t>
      </w:r>
      <w:r w:rsidRPr="00A028AE">
        <w:t>ложил лучше отразить в них роль: учета природного капитала</w:t>
      </w:r>
      <w:r w:rsidRPr="00A028AE">
        <w:rPr>
          <w:rStyle w:val="FootnoteReference"/>
          <w:szCs w:val="20"/>
        </w:rPr>
        <w:footnoteReference w:id="2"/>
      </w:r>
      <w:r w:rsidR="00302FD6" w:rsidRPr="00A028AE">
        <w:t>; «Платформы знаний о "зеленом росте"»</w:t>
      </w:r>
      <w:r w:rsidRPr="00A028AE">
        <w:t>; Десятилетней стратегии действий по переходу к и</w:t>
      </w:r>
      <w:r w:rsidRPr="00A028AE">
        <w:t>с</w:t>
      </w:r>
      <w:r w:rsidRPr="00A028AE">
        <w:t>пользованию рациональных моделей потребления и производства и социальной и экологической ответственности корпораций.</w:t>
      </w:r>
    </w:p>
    <w:p w:rsidR="00E77DD9" w:rsidRPr="00A028AE" w:rsidRDefault="00E77DD9" w:rsidP="00366CF7">
      <w:pPr>
        <w:pStyle w:val="SingleTxt"/>
        <w:keepNext/>
        <w:keepLines/>
      </w:pPr>
      <w:r w:rsidRPr="00A028AE">
        <w:t>20.</w:t>
      </w:r>
      <w:r w:rsidRPr="00A028AE">
        <w:tab/>
        <w:t>Что касается мониторинга прогресса в экологизации экономики, то было высказано мнение о том, что создание нового процесса мониторинга стало бы обременительным и излишним шагом (особенно, ввиду планируемого процесса мониторинга ЦУР), в связи с чем было предложено использовать уже существ</w:t>
      </w:r>
      <w:r w:rsidRPr="00A028AE">
        <w:t>у</w:t>
      </w:r>
      <w:r w:rsidRPr="00A028AE">
        <w:t>ющие системы, такие, например, как ОРЭД, в охват которых можно было бы включить программы экологизации экономики, СЕИС, международно соглас</w:t>
      </w:r>
      <w:r w:rsidRPr="00A028AE">
        <w:t>о</w:t>
      </w:r>
      <w:r w:rsidRPr="00A028AE">
        <w:t>ванная Система эколого-экономического учета</w:t>
      </w:r>
      <w:r w:rsidRPr="00A028AE">
        <w:rPr>
          <w:rStyle w:val="FootnoteReference"/>
          <w:szCs w:val="20"/>
        </w:rPr>
        <w:footnoteReference w:id="3"/>
      </w:r>
      <w:r w:rsidRPr="00A028AE">
        <w:t xml:space="preserve"> и процессы отчетности в рамках глобальных и региональных МПС. Кроме того, было высказано мнение </w:t>
      </w:r>
      <w:r w:rsidR="00366CF7" w:rsidRPr="00A028AE">
        <w:t>о том, что мониторинг и оценка «зеленой»</w:t>
      </w:r>
      <w:r w:rsidRPr="00A028AE">
        <w:t xml:space="preserve"> экономики будут скорее ориентированы на непосредственные результаты, а не общий эффект. Одним из возможных прим</w:t>
      </w:r>
      <w:r w:rsidRPr="00A028AE">
        <w:t>е</w:t>
      </w:r>
      <w:r w:rsidRPr="00A028AE">
        <w:t>ров для тиражирования является методология, используемая для разработки ц</w:t>
      </w:r>
      <w:r w:rsidRPr="00A028AE">
        <w:t>е</w:t>
      </w:r>
      <w:r w:rsidRPr="00A028AE">
        <w:t>левых показателей и показателей результативности в целях измерения прогресса в развитии СЕИС в масштабе общеевропейского региона</w:t>
      </w:r>
      <w:r w:rsidRPr="00A028AE">
        <w:rPr>
          <w:rStyle w:val="FootnoteReference"/>
          <w:szCs w:val="20"/>
        </w:rPr>
        <w:footnoteReference w:id="4"/>
      </w:r>
      <w:r w:rsidRPr="00A028AE">
        <w:t>. Еще одним примером служит добровольный процесс представления отчетности в рамках Астанинских предложений относительно действий по воде (на 2011–2016 годы), который ос</w:t>
      </w:r>
      <w:r w:rsidRPr="00A028AE">
        <w:t>у</w:t>
      </w:r>
      <w:r w:rsidRPr="00A028AE">
        <w:t>ществлялся по просьбе Комитета в 2013 и в 2015 годах. Кроме того, особое вн</w:t>
      </w:r>
      <w:r w:rsidRPr="00A028AE">
        <w:t>и</w:t>
      </w:r>
      <w:r w:rsidRPr="00A028AE">
        <w:t>мание следует уделить необходимой инфраструктуре, включая институционал</w:t>
      </w:r>
      <w:r w:rsidRPr="00A028AE">
        <w:t>ь</w:t>
      </w:r>
      <w:r w:rsidRPr="00A028AE">
        <w:t>ную структуру для управления осуществлением стратегической рамочной пр</w:t>
      </w:r>
      <w:r w:rsidRPr="00A028AE">
        <w:t>о</w:t>
      </w:r>
      <w:r w:rsidRPr="00A028AE">
        <w:t>граммы на период до 2030 года и далее.</w:t>
      </w:r>
    </w:p>
    <w:p w:rsidR="00E77DD9" w:rsidRPr="00A028AE" w:rsidRDefault="00E77DD9" w:rsidP="00366CF7">
      <w:pPr>
        <w:pStyle w:val="SingleTxt"/>
      </w:pPr>
      <w:r w:rsidRPr="00A028AE">
        <w:t>21.</w:t>
      </w:r>
      <w:r w:rsidRPr="00A028AE">
        <w:tab/>
        <w:t>Что касается укрепления потенциала для реализации на практике конце</w:t>
      </w:r>
      <w:r w:rsidRPr="00A028AE">
        <w:t>п</w:t>
      </w:r>
      <w:r w:rsidR="00366CF7" w:rsidRPr="00A028AE">
        <w:t>ции «зеленой»</w:t>
      </w:r>
      <w:r w:rsidRPr="00A028AE">
        <w:t xml:space="preserve"> экономики, то необходимо предусмотреть конкретные меры по оказанию помощи заинтересованным странам в выборе и в составлении надл</w:t>
      </w:r>
      <w:r w:rsidRPr="00A028AE">
        <w:t>е</w:t>
      </w:r>
      <w:r w:rsidRPr="00A028AE">
        <w:t>жа</w:t>
      </w:r>
      <w:r w:rsidR="00366CF7" w:rsidRPr="00A028AE">
        <w:t>щих наборов действий (</w:t>
      </w:r>
      <w:r w:rsidRPr="00A028AE">
        <w:t>из перечня действий, прилагаемого к проекту страт</w:t>
      </w:r>
      <w:r w:rsidRPr="00A028AE">
        <w:t>е</w:t>
      </w:r>
      <w:r w:rsidRPr="00A028AE">
        <w:t>гической рамочной программы), которые более всего соответствуют конкретным потребностям каждой страны. В этом отношении потребуется разработать аде</w:t>
      </w:r>
      <w:r w:rsidRPr="00A028AE">
        <w:t>к</w:t>
      </w:r>
      <w:r w:rsidRPr="00A028AE">
        <w:t>ватные механизмы и инструменты, позволяющие обмен опытом и передовой практикой; так, например, для этих</w:t>
      </w:r>
      <w:r w:rsidR="00366CF7" w:rsidRPr="00A028AE">
        <w:t xml:space="preserve"> целей могла бы использоваться «</w:t>
      </w:r>
      <w:r w:rsidRPr="00A028AE">
        <w:t>Платфо</w:t>
      </w:r>
      <w:r w:rsidR="00366CF7" w:rsidRPr="00A028AE">
        <w:t>рма знаний о "зеленом" росте»</w:t>
      </w:r>
      <w:r w:rsidRPr="00A028AE">
        <w:t xml:space="preserve"> и можно было бы изучить возможность задействов</w:t>
      </w:r>
      <w:r w:rsidRPr="00A028AE">
        <w:t>а</w:t>
      </w:r>
      <w:r w:rsidRPr="00A028AE">
        <w:t>ния Партн</w:t>
      </w:r>
      <w:r w:rsidR="00366CF7" w:rsidRPr="00A028AE">
        <w:t>ерства в интересах действий по «зеленой»</w:t>
      </w:r>
      <w:r w:rsidRPr="00A028AE">
        <w:t xml:space="preserve"> экономике</w:t>
      </w:r>
      <w:r w:rsidR="00366CF7" w:rsidRPr="00A028AE">
        <w:rPr>
          <w:rStyle w:val="FootnoteReference"/>
          <w:szCs w:val="20"/>
        </w:rPr>
        <w:footnoteReference w:id="5"/>
      </w:r>
      <w:r w:rsidRPr="00A028AE">
        <w:t>. Кроме того, х</w:t>
      </w:r>
      <w:r w:rsidRPr="00A028AE">
        <w:t>о</w:t>
      </w:r>
      <w:r w:rsidRPr="00A028AE">
        <w:t>тя стратегическая рамочная программа разрабатывается для всего общеевропе</w:t>
      </w:r>
      <w:r w:rsidRPr="00A028AE">
        <w:t>й</w:t>
      </w:r>
      <w:r w:rsidRPr="00A028AE">
        <w:t>ско</w:t>
      </w:r>
      <w:r w:rsidR="00366CF7" w:rsidRPr="00A028AE">
        <w:t>го региона (т.</w:t>
      </w:r>
      <w:r w:rsidRPr="00A028AE">
        <w:t>е. 56 госуд</w:t>
      </w:r>
      <w:r w:rsidR="00366CF7" w:rsidRPr="00A028AE">
        <w:t xml:space="preserve">арств – </w:t>
      </w:r>
      <w:r w:rsidRPr="00A028AE">
        <w:t>членов ЕЭК), важно отметить, что страны Кавказа, Центральной Азии и Восточной и Юго-Восточной Европы могут и</w:t>
      </w:r>
      <w:r w:rsidRPr="00A028AE">
        <w:t>з</w:t>
      </w:r>
      <w:r w:rsidRPr="00A028AE">
        <w:t>влечь большие выгоды от ее реализации.</w:t>
      </w:r>
    </w:p>
    <w:p w:rsidR="00E77DD9" w:rsidRPr="00A028AE" w:rsidRDefault="00E77DD9" w:rsidP="00E77DD9">
      <w:pPr>
        <w:pStyle w:val="SingleTxt"/>
      </w:pPr>
      <w:r w:rsidRPr="00A028AE">
        <w:t>22.</w:t>
      </w:r>
      <w:r w:rsidRPr="00A028AE">
        <w:tab/>
        <w:t>Что касается документов по тематике качества воздуха, то Президиум рек</w:t>
      </w:r>
      <w:r w:rsidRPr="00A028AE">
        <w:t>о</w:t>
      </w:r>
      <w:r w:rsidRPr="00A028AE">
        <w:t>мендовал уделить основное внимание конкрет</w:t>
      </w:r>
      <w:r w:rsidR="00366CF7" w:rsidRPr="00A028AE">
        <w:t>ной теме Конференции, а именно –</w:t>
      </w:r>
      <w:r w:rsidRPr="00A028AE">
        <w:t xml:space="preserve"> качеству воздуха, а не связанным с изменением климата аспектам загрязнения воздуха, а также демонстрации связей между качеством воздуха и здоровьем населения, в том числе путем предоставления соответствующих данных и и</w:t>
      </w:r>
      <w:r w:rsidRPr="00A028AE">
        <w:t>н</w:t>
      </w:r>
      <w:r w:rsidRPr="00A028AE">
        <w:t>формации. Тематические исследования, включенные в проект тематического д</w:t>
      </w:r>
      <w:r w:rsidRPr="00A028AE">
        <w:t>о</w:t>
      </w:r>
      <w:r w:rsidRPr="00A028AE">
        <w:t>кумента, получили высокую оценку и должны быть дополнены соответствующ</w:t>
      </w:r>
      <w:r w:rsidRPr="00A028AE">
        <w:t>и</w:t>
      </w:r>
      <w:r w:rsidRPr="00A028AE">
        <w:t>ми тематическими исследованиями, если таковые имеются, по странам Кавказа, Центральной Азии и Восточной и Юго-Восточной Европы. Кроме того, в данном документе необходимо осветить роль Коалиции по защите климата и чистого воздуха.</w:t>
      </w:r>
    </w:p>
    <w:p w:rsidR="00E77DD9" w:rsidRPr="00A028AE" w:rsidRDefault="00E77DD9" w:rsidP="00911C2D">
      <w:pPr>
        <w:pStyle w:val="SingleTxt"/>
      </w:pPr>
      <w:r w:rsidRPr="00A028AE">
        <w:t>23.</w:t>
      </w:r>
      <w:r w:rsidRPr="00A028AE">
        <w:tab/>
        <w:t>Комитет подчеркнул также роль рекомендаций ОРЭД в решении проблем качества воздуха в странах, являющихся объектом обзора. Особое внимание сл</w:t>
      </w:r>
      <w:r w:rsidRPr="00A028AE">
        <w:t>е</w:t>
      </w:r>
      <w:r w:rsidRPr="00A028AE">
        <w:t>дует уделить влиянию транспортного сектора на к</w:t>
      </w:r>
      <w:r w:rsidR="00964C50" w:rsidRPr="00A028AE">
        <w:t>ачество воздуха, в частности, с </w:t>
      </w:r>
      <w:r w:rsidRPr="00A028AE">
        <w:t>учетом того, что в некоторых стран</w:t>
      </w:r>
      <w:r w:rsidR="00911C2D" w:rsidRPr="00A028AE">
        <w:t>ах автомобильные перевозки являю</w:t>
      </w:r>
      <w:r w:rsidRPr="00A028AE">
        <w:t>тся с</w:t>
      </w:r>
      <w:r w:rsidRPr="00A028AE">
        <w:t>а</w:t>
      </w:r>
      <w:r w:rsidRPr="00A028AE">
        <w:t>мым крупным источником загрязнения воздуха. Одной из важных проблем явл</w:t>
      </w:r>
      <w:r w:rsidRPr="00A028AE">
        <w:t>я</w:t>
      </w:r>
      <w:r w:rsidRPr="00A028AE">
        <w:t>ется отсутствие адекватных данных в поддержку принятия обоснованных реш</w:t>
      </w:r>
      <w:r w:rsidRPr="00A028AE">
        <w:t>е</w:t>
      </w:r>
      <w:r w:rsidRPr="00A028AE">
        <w:t>ний по устранению этой проблемы. Было бы также интересно продемонстрир</w:t>
      </w:r>
      <w:r w:rsidRPr="00A028AE">
        <w:t>о</w:t>
      </w:r>
      <w:r w:rsidRPr="00A028AE">
        <w:t xml:space="preserve">вать на основе примеров воздействие на качество воздуха конкретных отраслей промышленности и других видов хозяйственной деятельности. Кроме того, было предложено </w:t>
      </w:r>
      <w:r w:rsidR="00911C2D" w:rsidRPr="00A028AE">
        <w:t>провести консультации по проекту</w:t>
      </w:r>
      <w:r w:rsidRPr="00A028AE">
        <w:t xml:space="preserve"> документа с участием заинтер</w:t>
      </w:r>
      <w:r w:rsidRPr="00A028AE">
        <w:t>е</w:t>
      </w:r>
      <w:r w:rsidR="00964C50" w:rsidRPr="00A028AE">
        <w:t>со</w:t>
      </w:r>
      <w:r w:rsidR="00911C2D" w:rsidRPr="00A028AE">
        <w:t>ванных сторон</w:t>
      </w:r>
      <w:r w:rsidR="00964C50" w:rsidRPr="00A028AE">
        <w:t xml:space="preserve"> «</w:t>
      </w:r>
      <w:r w:rsidRPr="00A028AE">
        <w:t>Европейс</w:t>
      </w:r>
      <w:r w:rsidR="00964C50" w:rsidRPr="00A028AE">
        <w:t>кая окружающая среда и здоровье»</w:t>
      </w:r>
      <w:r w:rsidRPr="00A028AE">
        <w:t>.</w:t>
      </w:r>
    </w:p>
    <w:p w:rsidR="00E77DD9" w:rsidRPr="00A028AE" w:rsidRDefault="00E77DD9" w:rsidP="00E77DD9">
      <w:pPr>
        <w:pStyle w:val="SingleTxt"/>
      </w:pPr>
      <w:r w:rsidRPr="00A028AE">
        <w:t>24.</w:t>
      </w:r>
      <w:r w:rsidRPr="00A028AE">
        <w:tab/>
        <w:t>Заместитель Председателя Исполнительного органа по Конвенции по во</w:t>
      </w:r>
      <w:r w:rsidRPr="00A028AE">
        <w:t>з</w:t>
      </w:r>
      <w:r w:rsidRPr="00A028AE">
        <w:t>духу обратил внимание на доклад, посвященный 30-летию Конвенции по воздуху, который в настоящее время находится в стадии подготовки. Резюме данного д</w:t>
      </w:r>
      <w:r w:rsidRPr="00A028AE">
        <w:t>о</w:t>
      </w:r>
      <w:r w:rsidRPr="00A028AE">
        <w:t>кумента может быть подготовлено своевременно к началу Конференции в Батуми для представления полезной информации в целях оказания поддержки обсужд</w:t>
      </w:r>
      <w:r w:rsidRPr="00A028AE">
        <w:t>е</w:t>
      </w:r>
      <w:r w:rsidRPr="00A028AE">
        <w:t>ниям министров. Представитель Грузии заявил, что на Кавказе орхусские центры принимают активное участие в мероприятиях, связанных с качеством воздуха; об их работе может быть рассказано в одном из тематических исследований, а также в ходе параллельного мероприятия, организо</w:t>
      </w:r>
      <w:r w:rsidR="00964C50" w:rsidRPr="00A028AE">
        <w:t>ванного на полях Конференции, в </w:t>
      </w:r>
      <w:r w:rsidRPr="00A028AE">
        <w:t>том числе путем задействования новаторских форм участия жителей Батуми.</w:t>
      </w:r>
    </w:p>
    <w:p w:rsidR="00E77DD9" w:rsidRPr="00A028AE" w:rsidRDefault="00E77DD9" w:rsidP="00E77DD9">
      <w:pPr>
        <w:pStyle w:val="SingleTxt"/>
      </w:pPr>
      <w:r w:rsidRPr="00A028AE">
        <w:t>25.</w:t>
      </w:r>
      <w:r w:rsidRPr="00A028AE">
        <w:tab/>
        <w:t>Кроме того, Президиум высказал свои замечания по проекту батумской пр</w:t>
      </w:r>
      <w:r w:rsidRPr="00A028AE">
        <w:t>о</w:t>
      </w:r>
      <w:r w:rsidRPr="00A028AE">
        <w:t>граммы действий за чистый воздух, который был подготовлен Президиумом Ко</w:t>
      </w:r>
      <w:r w:rsidRPr="00A028AE">
        <w:t>н</w:t>
      </w:r>
      <w:r w:rsidRPr="00A028AE">
        <w:t>венции по воздуху в аналогичном АДВ формате. Президиум рекомендовал по</w:t>
      </w:r>
      <w:r w:rsidRPr="00A028AE">
        <w:t>д</w:t>
      </w:r>
      <w:r w:rsidRPr="00A028AE">
        <w:t>черкнуть добровольный характер данной инициативы, которая предлагает на в</w:t>
      </w:r>
      <w:r w:rsidRPr="00A028AE">
        <w:t>ы</w:t>
      </w:r>
      <w:r w:rsidRPr="00A028AE">
        <w:t>бор перечень действий для заинтересованных стран и организаций (заинтерес</w:t>
      </w:r>
      <w:r w:rsidRPr="00A028AE">
        <w:t>о</w:t>
      </w:r>
      <w:r w:rsidRPr="00A028AE">
        <w:t>ванных сторон инициативы). Комитету по экологической политике необходимо будет изучить подходы к информированию заинтересованных сторон с целью их стимулирования присоединиться к этой инициативе, а также выяснения их пр</w:t>
      </w:r>
      <w:r w:rsidRPr="00A028AE">
        <w:t>и</w:t>
      </w:r>
      <w:r w:rsidRPr="00A028AE">
        <w:t>верженности предлагаемым действиям.</w:t>
      </w:r>
    </w:p>
    <w:p w:rsidR="00E77DD9" w:rsidRPr="00A028AE" w:rsidRDefault="00E77DD9" w:rsidP="00E77DD9">
      <w:pPr>
        <w:pStyle w:val="SingleTxt"/>
      </w:pPr>
      <w:r w:rsidRPr="00A028AE">
        <w:t>26.</w:t>
      </w:r>
      <w:r w:rsidRPr="00A028AE">
        <w:tab/>
        <w:t>Президиум принял решение направить секретариату дополнительные ко</w:t>
      </w:r>
      <w:r w:rsidRPr="00A028AE">
        <w:t>н</w:t>
      </w:r>
      <w:r w:rsidRPr="00A028AE">
        <w:t xml:space="preserve">кретные замечания по проекту документов </w:t>
      </w:r>
      <w:r w:rsidR="00964C50" w:rsidRPr="00A028AE">
        <w:t>для рассмотрения Комитетом к 30 </w:t>
      </w:r>
      <w:r w:rsidRPr="00A028AE">
        <w:t>июня 2015 года.</w:t>
      </w:r>
    </w:p>
    <w:p w:rsidR="00964C50" w:rsidRPr="00A028AE" w:rsidRDefault="00964C50" w:rsidP="00964C50">
      <w:pPr>
        <w:pStyle w:val="SingleTxt"/>
        <w:spacing w:after="0" w:line="120" w:lineRule="exact"/>
        <w:rPr>
          <w:sz w:val="10"/>
        </w:rPr>
      </w:pPr>
    </w:p>
    <w:p w:rsidR="00964C50" w:rsidRPr="00A028AE" w:rsidRDefault="00964C50" w:rsidP="00964C5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964C5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C.</w:t>
      </w:r>
      <w:r w:rsidRPr="00A028AE">
        <w:tab/>
        <w:t xml:space="preserve">Налаживание регулярного </w:t>
      </w:r>
      <w:r w:rsidR="00964C50" w:rsidRPr="00A028AE">
        <w:t>процесса экологической оценки в </w:t>
      </w:r>
      <w:r w:rsidRPr="00A028AE">
        <w:t>общеевропейском регионе</w:t>
      </w:r>
    </w:p>
    <w:p w:rsidR="00964C50" w:rsidRPr="00A028AE" w:rsidRDefault="00964C50" w:rsidP="00964C50">
      <w:pPr>
        <w:pStyle w:val="SingleTxt"/>
        <w:spacing w:after="0" w:line="120" w:lineRule="exact"/>
        <w:rPr>
          <w:b/>
          <w:sz w:val="10"/>
        </w:rPr>
      </w:pPr>
    </w:p>
    <w:p w:rsidR="00964C50" w:rsidRPr="00A028AE" w:rsidRDefault="00964C50" w:rsidP="00964C5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27.</w:t>
      </w:r>
      <w:r w:rsidRPr="00A028AE">
        <w:tab/>
        <w:t>На своем июньском совещании Президиум рассмотрел проекты документов, подготовленные для двадцать первой сессии Комитета, а также информацию, представленную секретариатом ЕЭК ООН совместно с РОЕ/ЮНЕП в отношении прогресса в деле разв</w:t>
      </w:r>
      <w:r w:rsidR="00964C50" w:rsidRPr="00A028AE">
        <w:t>ития СЕИС и предложение группы «</w:t>
      </w:r>
      <w:r w:rsidRPr="00A028AE">
        <w:t>Др</w:t>
      </w:r>
      <w:r w:rsidR="00964C50" w:rsidRPr="00A028AE">
        <w:t>узья СЕИС»</w:t>
      </w:r>
      <w:r w:rsidRPr="00A028AE">
        <w:t xml:space="preserve"> о нал</w:t>
      </w:r>
      <w:r w:rsidRPr="00A028AE">
        <w:t>а</w:t>
      </w:r>
      <w:r w:rsidRPr="00A028AE">
        <w:t>живании регулярного процесса экологической оценки в общеевропейском рег</w:t>
      </w:r>
      <w:r w:rsidRPr="00A028AE">
        <w:t>и</w:t>
      </w:r>
      <w:r w:rsidRPr="00A028AE">
        <w:t>оне. Президиум также обсудил возможные варианты оптимизации работы по м</w:t>
      </w:r>
      <w:r w:rsidRPr="00A028AE">
        <w:t>о</w:t>
      </w:r>
      <w:r w:rsidRPr="00A028AE">
        <w:t>ниторингу и оценке окружающей среды и представлению соответствующей о</w:t>
      </w:r>
      <w:r w:rsidRPr="00A028AE">
        <w:t>т</w:t>
      </w:r>
      <w:r w:rsidRPr="00A028AE">
        <w:t>четности.</w:t>
      </w:r>
    </w:p>
    <w:p w:rsidR="00E77DD9" w:rsidRPr="00A028AE" w:rsidRDefault="00E77DD9" w:rsidP="00E77DD9">
      <w:pPr>
        <w:pStyle w:val="SingleTxt"/>
      </w:pPr>
      <w:r w:rsidRPr="00A028AE">
        <w:t>28.</w:t>
      </w:r>
      <w:r w:rsidRPr="00A028AE">
        <w:tab/>
        <w:t>Представитель Рабочей группы ЕЭК по мониторингу и оценке окружающей среды сообщил, что на своем совещании в сентябре 2015 года Рабочая группа продолжит рассмотрение прогресса в развитии СЕИС. Для налаживания рег</w:t>
      </w:r>
      <w:r w:rsidRPr="00A028AE">
        <w:t>у</w:t>
      </w:r>
      <w:r w:rsidRPr="00A028AE">
        <w:t>лярного процесса экологической оценки было предложено оформить общеевр</w:t>
      </w:r>
      <w:r w:rsidRPr="00A028AE">
        <w:t>о</w:t>
      </w:r>
      <w:r w:rsidRPr="00A028AE">
        <w:t>пейский региональный компонент Глобальной экологической перспективы в виде отдельного продукта общеевропейской оценки для обслуживания многочисле</w:t>
      </w:r>
      <w:r w:rsidRPr="00A028AE">
        <w:t>н</w:t>
      </w:r>
      <w:r w:rsidRPr="00A028AE">
        <w:t xml:space="preserve">ных целей. Рабочая группа могла бы возглавить техническую работу по созданию данного продукта под стратегическим руководством Комитета по экологической политике и с учетом решений ЮНЕА, касающихся Глобальной экологической перспективы. Платформа для </w:t>
      </w:r>
      <w:r w:rsidR="00964C50" w:rsidRPr="00A028AE">
        <w:t>обмена данными в режиме онлайн «ЮНЕП – в </w:t>
      </w:r>
      <w:r w:rsidRPr="00A028AE">
        <w:t>пря</w:t>
      </w:r>
      <w:r w:rsidR="00964C50" w:rsidRPr="00A028AE">
        <w:t>мом включении»</w:t>
      </w:r>
      <w:r w:rsidRPr="00A028AE">
        <w:t xml:space="preserve"> будет служить в рамках этого процесса центральным пунктом доступа к данным и информации СЕИС, которые должны будут публ</w:t>
      </w:r>
      <w:r w:rsidRPr="00A028AE">
        <w:t>и</w:t>
      </w:r>
      <w:r w:rsidRPr="00A028AE">
        <w:t>коваться на регулярной основе странами ЕЭК.</w:t>
      </w:r>
    </w:p>
    <w:p w:rsidR="00E77DD9" w:rsidRPr="00A028AE" w:rsidRDefault="00E77DD9" w:rsidP="00E77DD9">
      <w:pPr>
        <w:pStyle w:val="SingleTxt"/>
      </w:pPr>
      <w:r w:rsidRPr="00A028AE">
        <w:t>29.</w:t>
      </w:r>
      <w:r w:rsidRPr="00A028AE">
        <w:tab/>
        <w:t>Президиум положительно оценил проекты документов и представил свои замечания, включая необходимость сотрудничества с соответствующими партн</w:t>
      </w:r>
      <w:r w:rsidRPr="00A028AE">
        <w:t>е</w:t>
      </w:r>
      <w:r w:rsidRPr="00A028AE">
        <w:t>рами в развитии СЕИС и предоставлении данных, необходимых для подготовки будущих экологических оценок. Соответствующими партнерами, в частности, могут быть статистические управления</w:t>
      </w:r>
      <w:r w:rsidR="00911C2D" w:rsidRPr="00A028AE">
        <w:t>, такие, например, как Евростат;</w:t>
      </w:r>
      <w:r w:rsidRPr="00A028AE">
        <w:t xml:space="preserve"> Группа по наблюдениям за Землей; Продовольственная и сельскохозяйственная орган</w:t>
      </w:r>
      <w:r w:rsidRPr="00A028AE">
        <w:t>и</w:t>
      </w:r>
      <w:r w:rsidRPr="00A028AE">
        <w:t>зация Объединенных Наций (ФАО)</w:t>
      </w:r>
      <w:r w:rsidR="00911C2D" w:rsidRPr="00A028AE">
        <w:t>;</w:t>
      </w:r>
      <w:r w:rsidRPr="00A028AE">
        <w:t xml:space="preserve"> и Комитет экспертов по глобальному упра</w:t>
      </w:r>
      <w:r w:rsidRPr="00A028AE">
        <w:t>в</w:t>
      </w:r>
      <w:r w:rsidRPr="00A028AE">
        <w:t>лению геопространственной информацией Организации Объединенных Наций. Секретариат подтвердил, что в настоящее время он уже осуществляет сотрудн</w:t>
      </w:r>
      <w:r w:rsidRPr="00A028AE">
        <w:t>и</w:t>
      </w:r>
      <w:r w:rsidRPr="00A028AE">
        <w:t>чество с Евростатом и ФАО, и проинформирова</w:t>
      </w:r>
      <w:r w:rsidR="00964C50" w:rsidRPr="00A028AE">
        <w:t>л Президиум о мерах, принятых с </w:t>
      </w:r>
      <w:r w:rsidRPr="00A028AE">
        <w:t>целью установления тесных связей с Группой по наблюдениям за Землей.</w:t>
      </w:r>
    </w:p>
    <w:p w:rsidR="00E77DD9" w:rsidRPr="00A028AE" w:rsidRDefault="00E77DD9" w:rsidP="00E77DD9">
      <w:pPr>
        <w:pStyle w:val="SingleTxt"/>
      </w:pPr>
      <w:r w:rsidRPr="00A028AE">
        <w:t>30.</w:t>
      </w:r>
      <w:r w:rsidRPr="00A028AE">
        <w:tab/>
        <w:t>Президиум поддержал идею презентации регионального компонента оценки шестой Глобальной экологической перспек</w:t>
      </w:r>
      <w:r w:rsidR="00964C50" w:rsidRPr="00A028AE">
        <w:t>тивы на Конференции министров в </w:t>
      </w:r>
      <w:r w:rsidRPr="00A028AE">
        <w:t>Батуми и рекомендовал представить Комитету проект оценки для возможных замечаний и одобрения до его презентации на Конференции. Было также по</w:t>
      </w:r>
      <w:r w:rsidRPr="00A028AE">
        <w:t>д</w:t>
      </w:r>
      <w:r w:rsidRPr="00A028AE">
        <w:t>черкнуто важное значение того, чтобы Комитет по экологической политике мог влиять на отбор тем для будущих региональных компонентов Глобальной экол</w:t>
      </w:r>
      <w:r w:rsidRPr="00A028AE">
        <w:t>о</w:t>
      </w:r>
      <w:r w:rsidRPr="00A028AE">
        <w:t>гической перспективы. Президиум просил секретариат пересмотреть документы в свете полученных замечаний для представления Комитету на его двадцать пе</w:t>
      </w:r>
      <w:r w:rsidRPr="00A028AE">
        <w:t>р</w:t>
      </w:r>
      <w:r w:rsidRPr="00A028AE">
        <w:t>вой сессии.</w:t>
      </w:r>
    </w:p>
    <w:p w:rsidR="00964C50" w:rsidRPr="00A028AE" w:rsidRDefault="00964C50" w:rsidP="00964C50">
      <w:pPr>
        <w:pStyle w:val="SingleTxt"/>
        <w:spacing w:after="0" w:line="120" w:lineRule="exact"/>
        <w:rPr>
          <w:sz w:val="10"/>
        </w:rPr>
      </w:pPr>
    </w:p>
    <w:p w:rsidR="00964C50" w:rsidRPr="00A028AE" w:rsidRDefault="00964C50" w:rsidP="00964C5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964C5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D.</w:t>
      </w:r>
      <w:r w:rsidRPr="00A028AE">
        <w:tab/>
        <w:t>Проект повестки дня и предлагаемые итоговые решения Конференции</w:t>
      </w:r>
    </w:p>
    <w:p w:rsidR="00964C50" w:rsidRPr="00A028AE" w:rsidRDefault="00964C50" w:rsidP="00964C50">
      <w:pPr>
        <w:pStyle w:val="SingleTxt"/>
        <w:spacing w:after="0" w:line="120" w:lineRule="exact"/>
        <w:rPr>
          <w:b/>
          <w:sz w:val="10"/>
        </w:rPr>
      </w:pPr>
    </w:p>
    <w:p w:rsidR="00964C50" w:rsidRPr="00A028AE" w:rsidRDefault="00964C50" w:rsidP="00964C5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31.</w:t>
      </w:r>
      <w:r w:rsidRPr="00A028AE">
        <w:tab/>
        <w:t>Президиум рассмотрел на своем совещании в июне первый проект предв</w:t>
      </w:r>
      <w:r w:rsidRPr="00A028AE">
        <w:t>а</w:t>
      </w:r>
      <w:r w:rsidRPr="00A028AE">
        <w:t>рительной повестки дня для Конференции в Батуми. Исходя из имеющихся вар</w:t>
      </w:r>
      <w:r w:rsidRPr="00A028AE">
        <w:t>и</w:t>
      </w:r>
      <w:r w:rsidRPr="00A028AE">
        <w:t>антов перелета в Батуми и обратно, Президиум рекомендовал начать работу Ко</w:t>
      </w:r>
      <w:r w:rsidRPr="00A028AE">
        <w:t>н</w:t>
      </w:r>
      <w:r w:rsidRPr="00A028AE">
        <w:t>ференции достаточно рано в первой половине дня в среду, 8 июня 2016 года, и завершить ее в обед в пятницу, 10 июня, с тем чтобы участники могли вылететь из Батуми во второй половине и вечером последнего дня работы Конференции.</w:t>
      </w:r>
    </w:p>
    <w:p w:rsidR="00E77DD9" w:rsidRPr="00A028AE" w:rsidRDefault="00E77DD9" w:rsidP="00964C50">
      <w:pPr>
        <w:pStyle w:val="SingleTxt"/>
        <w:spacing w:line="230" w:lineRule="exact"/>
      </w:pPr>
      <w:r w:rsidRPr="00A028AE">
        <w:t>32.</w:t>
      </w:r>
      <w:r w:rsidRPr="00A028AE">
        <w:tab/>
        <w:t>Президиум также вынес рекомендации в отношении расписания рассмотр</w:t>
      </w:r>
      <w:r w:rsidRPr="00A028AE">
        <w:t>е</w:t>
      </w:r>
      <w:r w:rsidRPr="00A028AE">
        <w:t>ния пунктов повестки дня в рамках как тематических, так и общего сегментов. Так, например, было предложено сократить церемонию открытия до полутора часов. Что касается общего сегмента, который пройдет в первый день работы Конференции, то было предложено разбить его на две части, которые будут п</w:t>
      </w:r>
      <w:r w:rsidRPr="00A028AE">
        <w:t>о</w:t>
      </w:r>
      <w:r w:rsidRPr="00A028AE">
        <w:t>священы налаживанию регулярного процесса экологической оценки на основе СЕИС в общеевропейском регионе и роли МПС в реализации повестки дня в о</w:t>
      </w:r>
      <w:r w:rsidRPr="00A028AE">
        <w:t>б</w:t>
      </w:r>
      <w:r w:rsidRPr="00A028AE">
        <w:t>ласти развития на период после 2015 года. Было рекомендовано выделить полт</w:t>
      </w:r>
      <w:r w:rsidRPr="00A028AE">
        <w:t>о</w:t>
      </w:r>
      <w:r w:rsidRPr="00A028AE">
        <w:t>ра часа во второй половине дня 8 июня для обсуждения вопросов, касающихся образования в интересах устойчивого развития. Кроме того, Президиум предл</w:t>
      </w:r>
      <w:r w:rsidRPr="00A028AE">
        <w:t>о</w:t>
      </w:r>
      <w:r w:rsidRPr="00A028AE">
        <w:t>жил принимающей стране изучить целесообразность организации параллельного мероприятия, посвященного третьему циклу ОРЭД Грузии, в первый день работы Конференции.</w:t>
      </w:r>
    </w:p>
    <w:p w:rsidR="00E77DD9" w:rsidRPr="00A028AE" w:rsidRDefault="00E77DD9" w:rsidP="00964C50">
      <w:pPr>
        <w:pStyle w:val="SingleTxt"/>
        <w:spacing w:line="230" w:lineRule="exact"/>
      </w:pPr>
      <w:r w:rsidRPr="00A028AE">
        <w:t>33.</w:t>
      </w:r>
      <w:r w:rsidRPr="00A028AE">
        <w:tab/>
        <w:t>Что касается двух тематических сегментов, то было предложено провест</w:t>
      </w:r>
      <w:r w:rsidR="00911C2D" w:rsidRPr="00A028AE">
        <w:t>и их в один день в формате двух–</w:t>
      </w:r>
      <w:r w:rsidRPr="00A028AE">
        <w:t>трехчасовых тематических заседаний, одно из к</w:t>
      </w:r>
      <w:r w:rsidRPr="00A028AE">
        <w:t>о</w:t>
      </w:r>
      <w:r w:rsidRPr="00A028AE">
        <w:t>торых пройдет в</w:t>
      </w:r>
      <w:r w:rsidR="00964C50" w:rsidRPr="00A028AE">
        <w:t xml:space="preserve"> первой половине дня, а второе –</w:t>
      </w:r>
      <w:r w:rsidRPr="00A028AE">
        <w:t xml:space="preserve"> во второй. Последний день р</w:t>
      </w:r>
      <w:r w:rsidRPr="00A028AE">
        <w:t>а</w:t>
      </w:r>
      <w:r w:rsidR="00964C50" w:rsidRPr="00A028AE">
        <w:t>боты Конференции (10 июня</w:t>
      </w:r>
      <w:r w:rsidRPr="00A028AE">
        <w:t>) может быть посвящен представлению итогов о</w:t>
      </w:r>
      <w:r w:rsidRPr="00A028AE">
        <w:t>б</w:t>
      </w:r>
      <w:r w:rsidRPr="00A028AE">
        <w:t>суждений в рамках тематических заседаний, а также принятию итоговых реш</w:t>
      </w:r>
      <w:r w:rsidRPr="00A028AE">
        <w:t>е</w:t>
      </w:r>
      <w:r w:rsidRPr="00A028AE">
        <w:t>ний Конференции. Президиум просил секретариат внести соответствующие п</w:t>
      </w:r>
      <w:r w:rsidRPr="00A028AE">
        <w:t>о</w:t>
      </w:r>
      <w:r w:rsidRPr="00A028AE">
        <w:t>правки в проект предварительной повестки дня Конференции для дальнейшего рассмотрения Комитетом.</w:t>
      </w:r>
    </w:p>
    <w:p w:rsidR="00E77DD9" w:rsidRPr="00A028AE" w:rsidRDefault="00E77DD9" w:rsidP="00E77DD9">
      <w:pPr>
        <w:pStyle w:val="SingleTxt"/>
      </w:pPr>
      <w:r w:rsidRPr="00A028AE">
        <w:t>34.</w:t>
      </w:r>
      <w:r w:rsidRPr="00A028AE">
        <w:tab/>
        <w:t>Что касается формата заседаний, в том числе предусматривающих интера</w:t>
      </w:r>
      <w:r w:rsidRPr="00A028AE">
        <w:t>к</w:t>
      </w:r>
      <w:r w:rsidRPr="00A028AE">
        <w:t>тивные обсуждения, то члены Президиума обменялись мнениями по электронной почте после своего июньского совещания. Некоторые члены Президиума по</w:t>
      </w:r>
      <w:r w:rsidRPr="00A028AE">
        <w:t>д</w:t>
      </w:r>
      <w:r w:rsidRPr="00A028AE">
        <w:t>держали идею организации двух тематических обсуждений в форм</w:t>
      </w:r>
      <w:r w:rsidR="00964C50" w:rsidRPr="00A028AE">
        <w:t>е «</w:t>
      </w:r>
      <w:r w:rsidRPr="00A028AE">
        <w:t>дел</w:t>
      </w:r>
      <w:r w:rsidRPr="00A028AE">
        <w:t>о</w:t>
      </w:r>
      <w:r w:rsidR="00964C50" w:rsidRPr="00A028AE">
        <w:t>вых/ролевых игр». «Европейский ЭКО-форум»</w:t>
      </w:r>
      <w:r w:rsidRPr="00A028AE">
        <w:t xml:space="preserve"> заявил о своей готовности орг</w:t>
      </w:r>
      <w:r w:rsidRPr="00A028AE">
        <w:t>а</w:t>
      </w:r>
      <w:r w:rsidRPr="00A028AE">
        <w:t>ни</w:t>
      </w:r>
      <w:r w:rsidR="00964C50" w:rsidRPr="00A028AE">
        <w:t>зовать обсуждение «за круглым столом»</w:t>
      </w:r>
      <w:r w:rsidRPr="00A028AE">
        <w:t xml:space="preserve"> с участием министров и неправител</w:t>
      </w:r>
      <w:r w:rsidRPr="00A028AE">
        <w:t>ь</w:t>
      </w:r>
      <w:r w:rsidRPr="00A028AE">
        <w:t>ственных организаций в ходе заседания, посвященного экологизации экономики в общеевропейском регионе, также с участием других соответствующих заинт</w:t>
      </w:r>
      <w:r w:rsidRPr="00A028AE">
        <w:t>е</w:t>
      </w:r>
      <w:r w:rsidRPr="00A028AE">
        <w:t>ресованных сторон. В ходе обмен</w:t>
      </w:r>
      <w:r w:rsidR="00911C2D" w:rsidRPr="00A028AE">
        <w:t>а мнениями по электронной почте</w:t>
      </w:r>
      <w:r w:rsidRPr="00A028AE">
        <w:t xml:space="preserve"> некоторые члены Президиу</w:t>
      </w:r>
      <w:r w:rsidR="00964C50" w:rsidRPr="00A028AE">
        <w:t>ма высказали мнение о том, что «Европейскому ЭКО-форуму»</w:t>
      </w:r>
      <w:r w:rsidRPr="00A028AE">
        <w:t>, возможно, следует рассмотреть возможность организации такого обсу</w:t>
      </w:r>
      <w:r w:rsidR="00964C50" w:rsidRPr="00A028AE">
        <w:t>ждения с </w:t>
      </w:r>
      <w:r w:rsidRPr="00A028AE">
        <w:t>участием широкого круга заи</w:t>
      </w:r>
      <w:r w:rsidR="00964C50" w:rsidRPr="00A028AE">
        <w:t>нтересованных сторон в формате «ролевой игры»</w:t>
      </w:r>
      <w:r w:rsidRPr="00A028AE">
        <w:t>. Секретариату было поручено подготовить документ с описанием различных в</w:t>
      </w:r>
      <w:r w:rsidRPr="00A028AE">
        <w:t>а</w:t>
      </w:r>
      <w:r w:rsidRPr="00A028AE">
        <w:t>риантов проведения групповой дискуссии для облегчения обсуждения Комит</w:t>
      </w:r>
      <w:r w:rsidRPr="00A028AE">
        <w:t>е</w:t>
      </w:r>
      <w:r w:rsidRPr="00A028AE">
        <w:t>том данного вопроса, включая определение формата, способного привлечь к уч</w:t>
      </w:r>
      <w:r w:rsidRPr="00A028AE">
        <w:t>а</w:t>
      </w:r>
      <w:r w:rsidRPr="00A028AE">
        <w:t>стию министров.</w:t>
      </w:r>
    </w:p>
    <w:p w:rsidR="00E77DD9" w:rsidRPr="00A028AE" w:rsidRDefault="00E77DD9" w:rsidP="00E77DD9">
      <w:pPr>
        <w:pStyle w:val="SingleTxt"/>
      </w:pPr>
      <w:r w:rsidRPr="00A028AE">
        <w:t>35.</w:t>
      </w:r>
      <w:r w:rsidRPr="00A028AE">
        <w:tab/>
        <w:t>Кроме того, Президиум рассмотрел проект документа с изложением предл</w:t>
      </w:r>
      <w:r w:rsidRPr="00A028AE">
        <w:t>а</w:t>
      </w:r>
      <w:r w:rsidRPr="00A028AE">
        <w:t>гаемых итоговых решений Конференции и поручил секретариату пересмотреть этот документ для обеспечения лучшего баланса между итоговыми решениями, предлагаемыми по каждой из двух тем. Президиум также просил секретариат оказать поддержку в разработке возможных элементов проекта декларации м</w:t>
      </w:r>
      <w:r w:rsidRPr="00A028AE">
        <w:t>и</w:t>
      </w:r>
      <w:r w:rsidRPr="00A028AE">
        <w:t>нистров.</w:t>
      </w:r>
    </w:p>
    <w:p w:rsidR="00964C50" w:rsidRPr="00A028AE" w:rsidRDefault="00964C50" w:rsidP="00964C50">
      <w:pPr>
        <w:pStyle w:val="SingleTxt"/>
        <w:spacing w:after="0" w:line="120" w:lineRule="exact"/>
        <w:rPr>
          <w:sz w:val="10"/>
        </w:rPr>
      </w:pPr>
    </w:p>
    <w:p w:rsidR="00964C50" w:rsidRPr="00A028AE" w:rsidRDefault="00964C50" w:rsidP="00964C5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964C5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E.</w:t>
      </w:r>
      <w:r w:rsidRPr="00A028AE">
        <w:tab/>
        <w:t>План коммуникационной стратегии и потребности в ресурсах Конференции</w:t>
      </w:r>
    </w:p>
    <w:p w:rsidR="00964C50" w:rsidRPr="00A028AE" w:rsidRDefault="00964C50" w:rsidP="00964C50">
      <w:pPr>
        <w:pStyle w:val="SingleTxt"/>
        <w:spacing w:after="0" w:line="120" w:lineRule="exact"/>
        <w:rPr>
          <w:b/>
          <w:sz w:val="10"/>
        </w:rPr>
      </w:pPr>
    </w:p>
    <w:p w:rsidR="00964C50" w:rsidRPr="00A028AE" w:rsidRDefault="00964C50" w:rsidP="00964C5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36.</w:t>
      </w:r>
      <w:r w:rsidRPr="00A028AE">
        <w:tab/>
        <w:t>На своем июньском совещании Президиум обсудил предлагаемые виды коммуникационной деятельности Конференции, предусмотренные в проекте д</w:t>
      </w:r>
      <w:r w:rsidRPr="00A028AE">
        <w:t>о</w:t>
      </w:r>
      <w:r w:rsidRPr="00A028AE">
        <w:t>кумента с изложением плана коммуникационной стратегии Конференции. Члены Президиума высказали ряд замечаний и обратились к секретариату с просьбой пересмотреть этот документ для его дальнейшего рассмотрения Комитетом. Например, что касается рабочего совещания для журналистов, предусмотр</w:t>
      </w:r>
      <w:r w:rsidR="00964C50" w:rsidRPr="00A028AE">
        <w:t>енного планом реформы процесса «ОСЕ»</w:t>
      </w:r>
      <w:r w:rsidRPr="00A028AE">
        <w:t>, то было предложено уточнить целевое назн</w:t>
      </w:r>
      <w:r w:rsidRPr="00A028AE">
        <w:t>а</w:t>
      </w:r>
      <w:r w:rsidRPr="00A028AE">
        <w:t>чение данных р</w:t>
      </w:r>
      <w:r w:rsidR="00964C50" w:rsidRPr="00A028AE">
        <w:t>асходов и</w:t>
      </w:r>
      <w:r w:rsidRPr="00A028AE">
        <w:t>, в отсутствие средств, рассмотреть вопрос об организ</w:t>
      </w:r>
      <w:r w:rsidRPr="00A028AE">
        <w:t>а</w:t>
      </w:r>
      <w:r w:rsidRPr="00A028AE">
        <w:t>ции рабочего совещания только для грузинских журналистов. Кроме того, один из членов Президиума предложил пригласить для освещения Конференции жу</w:t>
      </w:r>
      <w:r w:rsidRPr="00A028AE">
        <w:t>р</w:t>
      </w:r>
      <w:r w:rsidRPr="00A028AE">
        <w:t>налиста из авторитетного природоохранного журнала (будет уточнен позднее).</w:t>
      </w:r>
    </w:p>
    <w:p w:rsidR="00E77DD9" w:rsidRPr="00A028AE" w:rsidRDefault="00E77DD9" w:rsidP="00E77DD9">
      <w:pPr>
        <w:pStyle w:val="SingleTxt"/>
      </w:pPr>
      <w:r w:rsidRPr="00A028AE">
        <w:t>37.</w:t>
      </w:r>
      <w:r w:rsidRPr="00A028AE">
        <w:tab/>
        <w:t xml:space="preserve">Что касается услуг по составлению отчетов Международного института устойчивого развития, которые с успехом </w:t>
      </w:r>
      <w:r w:rsidR="00964C50" w:rsidRPr="00A028AE">
        <w:t>использовались на конференциях «ОСЕ»</w:t>
      </w:r>
      <w:r w:rsidRPr="00A028AE">
        <w:t xml:space="preserve"> в Белграде и Астане, то было предложено составить более точную смету расходов для Конференции в Батуми и оставить на усмотрение двадцать первой сессии Комитета решение о запросе более подробной информации в отношении задействования услуг данного Инс</w:t>
      </w:r>
      <w:r w:rsidR="00911C2D" w:rsidRPr="00A028AE">
        <w:t>титута. В качестве альтернативы</w:t>
      </w:r>
      <w:r w:rsidRPr="00A028AE">
        <w:t xml:space="preserve"> заинтерес</w:t>
      </w:r>
      <w:r w:rsidRPr="00A028AE">
        <w:t>о</w:t>
      </w:r>
      <w:r w:rsidRPr="00A028AE">
        <w:t>ванные страны могли бы рассмотреть возможность заключения напрямую дог</w:t>
      </w:r>
      <w:r w:rsidRPr="00A028AE">
        <w:t>о</w:t>
      </w:r>
      <w:r w:rsidRPr="00A028AE">
        <w:t>вора с Институтом на оказание услу</w:t>
      </w:r>
      <w:r w:rsidR="00911C2D" w:rsidRPr="00A028AE">
        <w:t>г в качестве взноса натурой</w:t>
      </w:r>
      <w:r w:rsidRPr="00A028AE">
        <w:t xml:space="preserve"> в целях освещ</w:t>
      </w:r>
      <w:r w:rsidRPr="00A028AE">
        <w:t>е</w:t>
      </w:r>
      <w:r w:rsidRPr="00A028AE">
        <w:t>ния работы данного мероприятия в глобальном масштабе.</w:t>
      </w:r>
    </w:p>
    <w:p w:rsidR="00E77DD9" w:rsidRPr="00A028AE" w:rsidRDefault="00E77DD9" w:rsidP="00E77DD9">
      <w:pPr>
        <w:pStyle w:val="SingleTxt"/>
      </w:pPr>
      <w:r w:rsidRPr="00A028AE">
        <w:t>38.</w:t>
      </w:r>
      <w:r w:rsidRPr="00A028AE">
        <w:tab/>
        <w:t>Что касается организации выставок, связанных с темами Конференции, то Президиум рекомендовал поощрять заинтересованные стороны (страны, орган</w:t>
      </w:r>
      <w:r w:rsidRPr="00A028AE">
        <w:t>и</w:t>
      </w:r>
      <w:r w:rsidRPr="00A028AE">
        <w:t>зации и группы гражданского общества) к партнерству и сотрудничеству в орг</w:t>
      </w:r>
      <w:r w:rsidRPr="00A028AE">
        <w:t>а</w:t>
      </w:r>
      <w:r w:rsidRPr="00A028AE">
        <w:t>низаци</w:t>
      </w:r>
      <w:r w:rsidR="00911C2D" w:rsidRPr="00A028AE">
        <w:t>и совместных выставок, например</w:t>
      </w:r>
      <w:r w:rsidRPr="00A028AE">
        <w:t xml:space="preserve"> по одной выставке по каждой из двух тем Конференции</w:t>
      </w:r>
      <w:r w:rsidR="00911C2D" w:rsidRPr="00A028AE">
        <w:t>,</w:t>
      </w:r>
      <w:r w:rsidRPr="00A028AE">
        <w:t xml:space="preserve"> с учетом ограниченности соответствующих площадей в месте проведения Конференции.</w:t>
      </w:r>
    </w:p>
    <w:p w:rsidR="00E77DD9" w:rsidRPr="00A028AE" w:rsidRDefault="00E77DD9" w:rsidP="00E77DD9">
      <w:pPr>
        <w:pStyle w:val="SingleTxt"/>
      </w:pPr>
      <w:r w:rsidRPr="00A028AE">
        <w:t>39.</w:t>
      </w:r>
      <w:r w:rsidRPr="00A028AE">
        <w:tab/>
        <w:t>Аналогичным образ</w:t>
      </w:r>
      <w:r w:rsidR="00911C2D" w:rsidRPr="00A028AE">
        <w:t>ом</w:t>
      </w:r>
      <w:r w:rsidRPr="00A028AE">
        <w:t xml:space="preserve"> число параллельных мероприятий следует огран</w:t>
      </w:r>
      <w:r w:rsidRPr="00A028AE">
        <w:t>и</w:t>
      </w:r>
      <w:r w:rsidRPr="00A028AE">
        <w:t>чить четырьмя мероприятиями, которые будут проходить параллельно в отведе</w:t>
      </w:r>
      <w:r w:rsidRPr="00A028AE">
        <w:t>н</w:t>
      </w:r>
      <w:r w:rsidRPr="00A028AE">
        <w:t>ное для таких мероприятий время, в результате чего на полях Конференции будет проведено в общей сложности ок</w:t>
      </w:r>
      <w:r w:rsidR="00391BE0" w:rsidRPr="00A028AE">
        <w:t>оло 20 параллельных мероприятий</w:t>
      </w:r>
      <w:r w:rsidRPr="00A028AE">
        <w:t xml:space="preserve">. С учетом </w:t>
      </w:r>
      <w:r w:rsidR="00911C2D" w:rsidRPr="00A028AE">
        <w:t>ограниченного числа мероприятий</w:t>
      </w:r>
      <w:r w:rsidRPr="00A028AE">
        <w:t xml:space="preserve"> заинте</w:t>
      </w:r>
      <w:r w:rsidR="00391BE0" w:rsidRPr="00A028AE">
        <w:t>ресованные стороны поощряются к </w:t>
      </w:r>
      <w:r w:rsidRPr="00A028AE">
        <w:t>партнерству и сотрудничеству в организации совместных параллельных мер</w:t>
      </w:r>
      <w:r w:rsidRPr="00A028AE">
        <w:t>о</w:t>
      </w:r>
      <w:r w:rsidRPr="00A028AE">
        <w:t>приятий, что, как хотелось бы надеяться, позволит привлечь к каждому меропр</w:t>
      </w:r>
      <w:r w:rsidRPr="00A028AE">
        <w:t>и</w:t>
      </w:r>
      <w:r w:rsidRPr="00A028AE">
        <w:t>ятию внимание большего числа участников.</w:t>
      </w:r>
    </w:p>
    <w:p w:rsidR="00E77DD9" w:rsidRPr="00A028AE" w:rsidRDefault="00E77DD9" w:rsidP="00E77DD9">
      <w:pPr>
        <w:pStyle w:val="SingleTxt"/>
      </w:pPr>
      <w:r w:rsidRPr="00A028AE">
        <w:t>40.</w:t>
      </w:r>
      <w:r w:rsidRPr="00A028AE">
        <w:tab/>
        <w:t>Что касается официального девиза Конференции, то Председатель предл</w:t>
      </w:r>
      <w:r w:rsidRPr="00A028AE">
        <w:t>о</w:t>
      </w:r>
      <w:r w:rsidRPr="00A028AE">
        <w:t>жил использовать с</w:t>
      </w:r>
      <w:r w:rsidR="00391BE0" w:rsidRPr="00A028AE">
        <w:t>амый короткий из предложенных: «</w:t>
      </w:r>
      <w:r w:rsidRPr="00A028AE">
        <w:t>Чище, экологичнее, рац</w:t>
      </w:r>
      <w:r w:rsidRPr="00A028AE">
        <w:t>и</w:t>
      </w:r>
      <w:r w:rsidRPr="00A028AE">
        <w:t>о</w:t>
      </w:r>
      <w:r w:rsidR="00391BE0" w:rsidRPr="00A028AE">
        <w:t>нальнее!»</w:t>
      </w:r>
      <w:r w:rsidRPr="00A028AE">
        <w:t>. В то же время в ходе обмена мне</w:t>
      </w:r>
      <w:r w:rsidR="00911C2D" w:rsidRPr="00A028AE">
        <w:t>ниями после июньского совещания</w:t>
      </w:r>
      <w:r w:rsidRPr="00A028AE">
        <w:t xml:space="preserve"> один из членов Президиума предложил, чтобы принимающая страна изучила возможность организации детского конкурса в Батуми для определения девиза. Представителю принимающей</w:t>
      </w:r>
      <w:r w:rsidR="00391BE0" w:rsidRPr="00A028AE">
        <w:t xml:space="preserve"> страны также понравился девиз «</w:t>
      </w:r>
      <w:r w:rsidRPr="00A028AE">
        <w:t>За чистый во</w:t>
      </w:r>
      <w:r w:rsidRPr="00A028AE">
        <w:t>з</w:t>
      </w:r>
      <w:r w:rsidRPr="00A028AE">
        <w:t>дух и зеленый</w:t>
      </w:r>
      <w:r w:rsidR="00391BE0" w:rsidRPr="00A028AE">
        <w:t xml:space="preserve"> рост – давайте учиться вместе!»</w:t>
      </w:r>
      <w:r w:rsidRPr="00A028AE">
        <w:t>. Окончательный вариант офиц</w:t>
      </w:r>
      <w:r w:rsidRPr="00A028AE">
        <w:t>и</w:t>
      </w:r>
      <w:r w:rsidRPr="00A028AE">
        <w:t>ального девиза будет определен Комитетом на его двадцать первой сессии.</w:t>
      </w:r>
    </w:p>
    <w:p w:rsidR="00E77DD9" w:rsidRPr="00A028AE" w:rsidRDefault="00E77DD9" w:rsidP="00E77DD9">
      <w:pPr>
        <w:pStyle w:val="SingleTxt"/>
      </w:pPr>
      <w:r w:rsidRPr="00A028AE">
        <w:t>41.</w:t>
      </w:r>
      <w:r w:rsidRPr="00A028AE">
        <w:tab/>
        <w:t>Президиум рассмотрел также обновленную информацию об имеющихся р</w:t>
      </w:r>
      <w:r w:rsidRPr="00A028AE">
        <w:t>е</w:t>
      </w:r>
      <w:r w:rsidRPr="00A028AE">
        <w:t>сурсах и смете расходов для организации Конференции и поручил секретариату разослать в течение сентября 2015 года официальные письма с целью мобилиз</w:t>
      </w:r>
      <w:r w:rsidRPr="00A028AE">
        <w:t>а</w:t>
      </w:r>
      <w:r w:rsidRPr="00A028AE">
        <w:t>ции финансовых средств. Кроме того, Президиум рекомендовал принимающей стране проинформировать Комитет на его двадцать первой сессии о ходе орган</w:t>
      </w:r>
      <w:r w:rsidRPr="00A028AE">
        <w:t>и</w:t>
      </w:r>
      <w:r w:rsidRPr="00A028AE">
        <w:t>зации Конференции, в том числе о связанных с нею финансовых последствиях для принимающей страны.</w:t>
      </w:r>
    </w:p>
    <w:p w:rsidR="00E77DD9" w:rsidRPr="00A028AE" w:rsidRDefault="00E77DD9" w:rsidP="00E77DD9">
      <w:pPr>
        <w:pStyle w:val="SingleTxt"/>
      </w:pPr>
      <w:r w:rsidRPr="00A028AE">
        <w:t>42.</w:t>
      </w:r>
      <w:r w:rsidRPr="00A028AE">
        <w:tab/>
        <w:t>В рамках последующей деятельности по итогам обсуждений по вопросу о</w:t>
      </w:r>
      <w:r w:rsidRPr="00A028AE">
        <w:t>р</w:t>
      </w:r>
      <w:r w:rsidRPr="00A028AE">
        <w:t>ганизации Конференции Президиум на своем июньском совещании принял р</w:t>
      </w:r>
      <w:r w:rsidRPr="00A028AE">
        <w:t>е</w:t>
      </w:r>
      <w:r w:rsidRPr="00A028AE">
        <w:t>шение продолжить обсужден</w:t>
      </w:r>
      <w:r w:rsidR="00911C2D" w:rsidRPr="00A028AE">
        <w:t xml:space="preserve">ие с помощью электронной почты </w:t>
      </w:r>
      <w:r w:rsidRPr="00A028AE">
        <w:t>нерешенных в</w:t>
      </w:r>
      <w:r w:rsidRPr="00A028AE">
        <w:t>о</w:t>
      </w:r>
      <w:r w:rsidRPr="00A028AE">
        <w:t>просов и представить дополнительные замечания по проектам документов для рассмотрения Комитетом к 30 июня 2015 года.</w:t>
      </w: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391B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V.</w:t>
      </w:r>
      <w:r w:rsidRPr="00A028AE">
        <w:tab/>
        <w:t>Круг ведения и правила процедуры Комитета</w:t>
      </w: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43.</w:t>
      </w:r>
      <w:r w:rsidRPr="00A028AE">
        <w:tab/>
        <w:t>Комитет поручил своему Президиуму и секретариату продолжить работу над проектом правил процедуры, с тем чтобы представить по ним рекомендации Комитету на его двадцать первой сессии. На своем совещании в июне 2015 года Президиум поручил секретариату пересмотреть проект правил процедуры с уч</w:t>
      </w:r>
      <w:r w:rsidRPr="00A028AE">
        <w:t>е</w:t>
      </w:r>
      <w:r w:rsidRPr="00A028AE">
        <w:t>том замечаний, полученных до и в ходе двадцатой сессии, и распространить его среди членов Президиума для представлени</w:t>
      </w:r>
      <w:r w:rsidR="00391BE0" w:rsidRPr="00A028AE">
        <w:t>я дополнительных замечаний к 15 </w:t>
      </w:r>
      <w:r w:rsidRPr="00A028AE">
        <w:t>июля 2015 года. Согласованный окончательный пересмотренный вариант проекта будет представлен Комитету для дальнейшего рассмотрения на его дв</w:t>
      </w:r>
      <w:r w:rsidRPr="00A028AE">
        <w:t>а</w:t>
      </w:r>
      <w:r w:rsidRPr="00A028AE">
        <w:t>дцать первой сессии.</w:t>
      </w: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391B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VI.</w:t>
      </w:r>
      <w:r w:rsidRPr="00A028AE">
        <w:tab/>
        <w:t>Критерии оказания фин</w:t>
      </w:r>
      <w:r w:rsidR="00391BE0" w:rsidRPr="00A028AE">
        <w:t>ансовой поддержки для участия в </w:t>
      </w:r>
      <w:r w:rsidRPr="00A028AE">
        <w:t>совещаниях и мероприятиях</w:t>
      </w: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391BE0">
      <w:pPr>
        <w:pStyle w:val="SingleTxt"/>
        <w:spacing w:line="230" w:lineRule="exact"/>
      </w:pPr>
      <w:r w:rsidRPr="00A028AE">
        <w:t>44.</w:t>
      </w:r>
      <w:r w:rsidRPr="00A028AE">
        <w:tab/>
        <w:t>На своем совещании Президиум рассмотрел обновленные критерии оказ</w:t>
      </w:r>
      <w:r w:rsidRPr="00A028AE">
        <w:t>а</w:t>
      </w:r>
      <w:r w:rsidRPr="00A028AE">
        <w:t>ния финансовой поддержки для участия в совещаниях и мероприятиях. С учетом того, что в июне 2015 года данные о валовом внутреннем продукте (ВВП) из ра</w:t>
      </w:r>
      <w:r w:rsidRPr="00A028AE">
        <w:t>с</w:t>
      </w:r>
      <w:r w:rsidRPr="00A028AE">
        <w:t xml:space="preserve">чета на душу населения в странах ЕЭК с </w:t>
      </w:r>
      <w:r w:rsidR="00391BE0" w:rsidRPr="00A028AE">
        <w:t>переходной экономикой имелись в </w:t>
      </w:r>
      <w:r w:rsidRPr="00A028AE">
        <w:t>наличии только за 2013 год, Президиум рекомендовал представить на рассмо</w:t>
      </w:r>
      <w:r w:rsidRPr="00A028AE">
        <w:t>т</w:t>
      </w:r>
      <w:r w:rsidRPr="00A028AE">
        <w:t>рение Комитету пересмотренные секретариатом (с использованием ВВП 2013 г</w:t>
      </w:r>
      <w:r w:rsidRPr="00A028AE">
        <w:t>о</w:t>
      </w:r>
      <w:r w:rsidRPr="00A028AE">
        <w:t>да) критерии, если только в сентябре 2015 года не появятся данные о ВВП за 2014 год.</w:t>
      </w: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391B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VI</w:t>
      </w:r>
      <w:r w:rsidR="00391BE0" w:rsidRPr="00A028AE">
        <w:t>I.</w:t>
      </w:r>
      <w:r w:rsidR="00391BE0" w:rsidRPr="00A028AE">
        <w:tab/>
        <w:t>Вклад в европейский процесс «Окружающая среда и здоровье»</w:t>
      </w: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45.</w:t>
      </w:r>
      <w:r w:rsidRPr="00A028AE">
        <w:tab/>
        <w:t>Президиум рассмотрел вопросы, связа</w:t>
      </w:r>
      <w:r w:rsidR="00391BE0" w:rsidRPr="00A028AE">
        <w:t>нные с европейским процессом «Окружающая среда и здоровье»</w:t>
      </w:r>
      <w:r w:rsidRPr="00A028AE">
        <w:t>, в том числе основные итоги среднесрочного обзора, который был проведен в Хайфе, Израиль, 28–30 апреля 2015 года, а та</w:t>
      </w:r>
      <w:r w:rsidRPr="00A028AE">
        <w:t>к</w:t>
      </w:r>
      <w:r w:rsidRPr="00A028AE">
        <w:t>же другие события в рамках по</w:t>
      </w:r>
      <w:r w:rsidR="00391BE0" w:rsidRPr="00A028AE">
        <w:t>дготовки Конференции министров «</w:t>
      </w:r>
      <w:r w:rsidRPr="00A028AE">
        <w:t xml:space="preserve">Окружающая среда </w:t>
      </w:r>
      <w:r w:rsidR="00391BE0" w:rsidRPr="00A028AE">
        <w:t>и здоровье»</w:t>
      </w:r>
      <w:r w:rsidRPr="00A028AE">
        <w:t>, которая состоится в 2017 году.</w:t>
      </w:r>
    </w:p>
    <w:p w:rsidR="00E77DD9" w:rsidRPr="00A028AE" w:rsidRDefault="00E77DD9" w:rsidP="00391BE0">
      <w:pPr>
        <w:pStyle w:val="SingleTxt"/>
      </w:pPr>
      <w:r w:rsidRPr="00A028AE">
        <w:t>46.</w:t>
      </w:r>
      <w:r w:rsidRPr="00A028AE">
        <w:tab/>
        <w:t>На своей двадцатой сессии Комитет рекомендовал продолжить проведение совместных совещаний с участием предст</w:t>
      </w:r>
      <w:r w:rsidR="00391BE0" w:rsidRPr="00A028AE">
        <w:t>авителей европейского процесса «Окружающая среда и здоровье» –</w:t>
      </w:r>
      <w:r w:rsidRPr="00A028AE">
        <w:t xml:space="preserve"> и, возможно, провести трехстороннее совещ</w:t>
      </w:r>
      <w:r w:rsidRPr="00A028AE">
        <w:t>а</w:t>
      </w:r>
      <w:r w:rsidRPr="00A028AE">
        <w:t>ние с участием Президиума Комитета по экологической политике, заместителей членов Европейского совета министров по окружающей среде и охране здоровья и председателей МПС ЕЭК</w:t>
      </w:r>
      <w:r w:rsidR="00391BE0" w:rsidRPr="00A028AE">
        <w:t xml:space="preserve">, – </w:t>
      </w:r>
      <w:r w:rsidRPr="00A028AE">
        <w:t>а также практику направления приглашений пр</w:t>
      </w:r>
      <w:r w:rsidRPr="00A028AE">
        <w:t>и</w:t>
      </w:r>
      <w:r w:rsidRPr="00A028AE">
        <w:t>нять участие в каждом из его совещаний (ECE/CEP/2014/2, пункт 49). Президиум рекомендовал изучить возможность организации такого трехстороннего совещ</w:t>
      </w:r>
      <w:r w:rsidRPr="00A028AE">
        <w:t>а</w:t>
      </w:r>
      <w:r w:rsidRPr="00A028AE">
        <w:t>ния в увязке с сессией Комитета или совещанием Президиума после Конфере</w:t>
      </w:r>
      <w:r w:rsidRPr="00A028AE">
        <w:t>н</w:t>
      </w:r>
      <w:r w:rsidR="00391BE0" w:rsidRPr="00A028AE">
        <w:t>ции министров «ОСЕ»</w:t>
      </w:r>
      <w:r w:rsidRPr="00A028AE">
        <w:t xml:space="preserve"> в Батуми, принимая во внимание тот факт, что повестка дня Комитета является весьма насыщенной в связи с подготовкой к Конференции министров в Батуми.</w:t>
      </w:r>
    </w:p>
    <w:p w:rsidR="00E77DD9" w:rsidRPr="00A028AE" w:rsidRDefault="00E77DD9" w:rsidP="00E77DD9">
      <w:pPr>
        <w:pStyle w:val="SingleTxt"/>
      </w:pPr>
      <w:r w:rsidRPr="00A028AE">
        <w:t>47.</w:t>
      </w:r>
      <w:r w:rsidRPr="00A028AE">
        <w:tab/>
        <w:t>В то же время Президиум направил приглашение заместителям членов ЕСМОСЗ принять участие в работе двадцать первой сессии Комитета, в частн</w:t>
      </w:r>
      <w:r w:rsidRPr="00A028AE">
        <w:t>о</w:t>
      </w:r>
      <w:r w:rsidRPr="00A028AE">
        <w:t xml:space="preserve">сти в обсуждениях, касающихся темы </w:t>
      </w:r>
      <w:r w:rsidR="00391BE0" w:rsidRPr="00A028AE">
        <w:t>Конференции министров в Батуми «</w:t>
      </w:r>
      <w:r w:rsidRPr="00A028AE">
        <w:t>Пов</w:t>
      </w:r>
      <w:r w:rsidRPr="00A028AE">
        <w:t>ы</w:t>
      </w:r>
      <w:r w:rsidRPr="00A028AE">
        <w:t>шение качества воздуха в интересах улучшения состояния окруж</w:t>
      </w:r>
      <w:r w:rsidR="00391BE0" w:rsidRPr="00A028AE">
        <w:t>ающей среды и здоровья человека»</w:t>
      </w:r>
      <w:r w:rsidRPr="00A028AE">
        <w:t>.</w:t>
      </w: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391B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VIII.</w:t>
      </w:r>
      <w:r w:rsidRPr="00A028AE">
        <w:tab/>
        <w:t>Расписание совещаний</w:t>
      </w: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48.</w:t>
      </w:r>
      <w:r w:rsidRPr="00A028AE">
        <w:tab/>
        <w:t>На своем июньском совещании Президиум рассмотрел расписание совещ</w:t>
      </w:r>
      <w:r w:rsidRPr="00A028AE">
        <w:t>а</w:t>
      </w:r>
      <w:r w:rsidRPr="00A028AE">
        <w:t>ний на период до конца 2018 года. Он поручил секретариату пересмотреть гр</w:t>
      </w:r>
      <w:r w:rsidRPr="00A028AE">
        <w:t>а</w:t>
      </w:r>
      <w:r w:rsidRPr="00A028AE">
        <w:t>фик с целью включения в него совещания Президиума в формате телеконфере</w:t>
      </w:r>
      <w:r w:rsidRPr="00A028AE">
        <w:t>н</w:t>
      </w:r>
      <w:r w:rsidRPr="00A028AE">
        <w:t>ции, которое состоится в течение первой недели сентября 2016 года, с тем чтобы он мог рассмотреть проекты документов для двадцать второй сессии Комитета, принимая во внимание, что предельным сроком для представления предсессио</w:t>
      </w:r>
      <w:r w:rsidRPr="00A028AE">
        <w:t>н</w:t>
      </w:r>
      <w:r w:rsidRPr="00A028AE">
        <w:t>ной документации для обработки на трех языка</w:t>
      </w:r>
      <w:r w:rsidR="00391BE0" w:rsidRPr="00A028AE">
        <w:t>х ЕЭК является 23 сентября 2016 </w:t>
      </w:r>
      <w:r w:rsidRPr="00A028AE">
        <w:t>года. Президиум также принял к сведению тот факт, что двадцать вторая сессия Комитета продлится три рабочих дня.</w:t>
      </w:r>
    </w:p>
    <w:p w:rsidR="002F319C" w:rsidRPr="00A028AE" w:rsidRDefault="00E77DD9" w:rsidP="00E77DD9">
      <w:pPr>
        <w:pStyle w:val="SingleTxt"/>
      </w:pPr>
      <w:r w:rsidRPr="00A028AE">
        <w:t>49.</w:t>
      </w:r>
      <w:r w:rsidRPr="00A028AE">
        <w:tab/>
        <w:t>Кроме того, Президиум постановил провести короткое совещание во второй половине дня накануне двадцать первой сессии Комитета, а также еще одно к</w:t>
      </w:r>
      <w:r w:rsidRPr="00A028AE">
        <w:t>о</w:t>
      </w:r>
      <w:r w:rsidRPr="00A028AE">
        <w:t>роткое совещание накануне специальной сессии, которая состоится в феврале 2016 года.</w:t>
      </w:r>
    </w:p>
    <w:p w:rsidR="00E77DD9" w:rsidRPr="00A028AE" w:rsidRDefault="00E77DD9" w:rsidP="00391B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br w:type="page"/>
      </w:r>
      <w:r w:rsidR="00391BE0" w:rsidRPr="00A028AE">
        <w:t>Приложение</w:t>
      </w: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E77DD9" w:rsidRPr="00A028AE" w:rsidRDefault="00391BE0" w:rsidP="00391B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</w:r>
      <w:r w:rsidRPr="00A028AE">
        <w:tab/>
      </w:r>
      <w:r w:rsidR="00E77DD9" w:rsidRPr="00A028AE">
        <w:t>Вопросы, при</w:t>
      </w:r>
      <w:r w:rsidR="00911C2D" w:rsidRPr="00A028AE">
        <w:t>званные служить ориентирами для </w:t>
      </w:r>
      <w:r w:rsidR="00E77DD9" w:rsidRPr="00A028AE">
        <w:t>обсуждения на уровне министров на Конференции министров в Батуми</w:t>
      </w: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1.</w:t>
      </w:r>
      <w:r w:rsidRPr="00A028AE">
        <w:tab/>
        <w:t>В соответствии с поручением, полученным от Комитета на его последней сессии (ECE/CEP/2014/2, пункты 98 gg) x)), Президиум при поддержке секрет</w:t>
      </w:r>
      <w:r w:rsidRPr="00A028AE">
        <w:t>а</w:t>
      </w:r>
      <w:r w:rsidRPr="00A028AE">
        <w:t>риата подготовил ряд вопросов для обсуждения, призванных содействовать по</w:t>
      </w:r>
      <w:r w:rsidRPr="00A028AE">
        <w:t>д</w:t>
      </w:r>
      <w:r w:rsidRPr="00A028AE">
        <w:t>готовке двух справочных тематических документов и служить ориентирами для обсуждения на уровне министров на Конференции.</w:t>
      </w: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391B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1.</w:t>
      </w:r>
      <w:r w:rsidRPr="00A028AE">
        <w:tab/>
        <w:t>Экологизация экон</w:t>
      </w:r>
      <w:r w:rsidR="00676869" w:rsidRPr="00A028AE">
        <w:t>омики в общеевропейском регионе</w:t>
      </w: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391BE0" w:rsidRPr="00A028AE" w:rsidRDefault="00391BE0" w:rsidP="00391BE0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E77DD9" w:rsidP="00E77DD9">
      <w:pPr>
        <w:pStyle w:val="SingleTxt"/>
      </w:pPr>
      <w:r w:rsidRPr="00A028AE">
        <w:t>2.</w:t>
      </w:r>
      <w:r w:rsidRPr="00A028AE">
        <w:tab/>
        <w:t>Приводимый ниже набор вопросов призван служить ориентиром для о</w:t>
      </w:r>
      <w:r w:rsidRPr="00A028AE">
        <w:t>б</w:t>
      </w:r>
      <w:r w:rsidRPr="00A028AE">
        <w:t>суждения на уровне министров в рамках тематического заседания, пос</w:t>
      </w:r>
      <w:r w:rsidR="00676869" w:rsidRPr="00A028AE">
        <w:t>вященного экологизации экономики</w:t>
      </w:r>
      <w:r w:rsidRPr="00A028AE">
        <w:t xml:space="preserve"> в общеевропейском регионе:</w:t>
      </w:r>
    </w:p>
    <w:p w:rsidR="00E77DD9" w:rsidRPr="00A028AE" w:rsidRDefault="00E77DD9" w:rsidP="00E77DD9">
      <w:pPr>
        <w:pStyle w:val="SingleTxt"/>
      </w:pPr>
      <w:r w:rsidRPr="00A028AE">
        <w:tab/>
        <w:t>a)</w:t>
      </w:r>
      <w:r w:rsidRPr="00A028AE">
        <w:tab/>
      </w:r>
      <w:r w:rsidRPr="00A028AE">
        <w:rPr>
          <w:b/>
          <w:bCs/>
        </w:rPr>
        <w:t>Возможности и вызовы</w:t>
      </w:r>
      <w:r w:rsidRPr="00A028AE">
        <w:t>: Каковы главные проблемы, препятствующие экологизации экономики в вашей стране? К каким позитивным последствиям приведет реализация политики развития «зеленой» экономики, например, в сф</w:t>
      </w:r>
      <w:r w:rsidRPr="00A028AE">
        <w:t>е</w:t>
      </w:r>
      <w:r w:rsidRPr="00A028AE">
        <w:t>ре занятости, благополучия и процветания, а также природного капитала? Пр</w:t>
      </w:r>
      <w:r w:rsidRPr="00A028AE">
        <w:t>и</w:t>
      </w:r>
      <w:r w:rsidRPr="00A028AE">
        <w:t>нимается ли во внимание при разработке политики баланс преимуществ и нед</w:t>
      </w:r>
      <w:r w:rsidRPr="00A028AE">
        <w:t>о</w:t>
      </w:r>
      <w:r w:rsidR="00676869" w:rsidRPr="00A028AE">
        <w:t>статков, например</w:t>
      </w:r>
      <w:r w:rsidRPr="00A028AE">
        <w:t xml:space="preserve"> с точки зрения воздействия на занятость, социальную спр</w:t>
      </w:r>
      <w:r w:rsidRPr="00A028AE">
        <w:t>а</w:t>
      </w:r>
      <w:r w:rsidRPr="00A028AE">
        <w:t>ведливость и частные инвестиции?</w:t>
      </w:r>
    </w:p>
    <w:p w:rsidR="00E77DD9" w:rsidRPr="00A028AE" w:rsidRDefault="00E77DD9" w:rsidP="00E77DD9">
      <w:pPr>
        <w:pStyle w:val="SingleTxt"/>
      </w:pPr>
      <w:r w:rsidRPr="00A028AE">
        <w:tab/>
        <w:t>b)</w:t>
      </w:r>
      <w:r w:rsidRPr="00A028AE">
        <w:tab/>
      </w:r>
      <w:r w:rsidRPr="00A028AE">
        <w:rPr>
          <w:b/>
          <w:bCs/>
        </w:rPr>
        <w:t>Оптимальные пути обеспечения устойчивости</w:t>
      </w:r>
      <w:r w:rsidRPr="00A028AE">
        <w:t>: Какие подходы ок</w:t>
      </w:r>
      <w:r w:rsidRPr="00A028AE">
        <w:t>а</w:t>
      </w:r>
      <w:r w:rsidRPr="00A028AE">
        <w:t>зались наиболее эффективными для поощрения более рационального использ</w:t>
      </w:r>
      <w:r w:rsidRPr="00A028AE">
        <w:t>о</w:t>
      </w:r>
      <w:r w:rsidRPr="00A028AE">
        <w:t>вания природных ресурсов и уменьшения нагрузки на них (например, циркуля</w:t>
      </w:r>
      <w:r w:rsidRPr="00A028AE">
        <w:t>р</w:t>
      </w:r>
      <w:r w:rsidRPr="00A028AE">
        <w:t>ная экономика, «зеленые» инновации и инициативы в таких областях, как энерг</w:t>
      </w:r>
      <w:r w:rsidRPr="00A028AE">
        <w:t>е</w:t>
      </w:r>
      <w:r w:rsidRPr="00A028AE">
        <w:t>тика, строительство, транспортная инфраструктура, водоснабжение, финансовые реформы, стандарты и маркировка)? Какие инициативы уже успешно реализую</w:t>
      </w:r>
      <w:r w:rsidRPr="00A028AE">
        <w:t>т</w:t>
      </w:r>
      <w:r w:rsidRPr="00A028AE">
        <w:t>ся или планируются в вашей стране для решения проблем и устранения серье</w:t>
      </w:r>
      <w:r w:rsidRPr="00A028AE">
        <w:t>з</w:t>
      </w:r>
      <w:r w:rsidRPr="00A028AE">
        <w:t>ных препятствий, включая устойчивые модели потребления и производства?</w:t>
      </w:r>
    </w:p>
    <w:p w:rsidR="00E77DD9" w:rsidRPr="00A028AE" w:rsidRDefault="00E77DD9" w:rsidP="00E77DD9">
      <w:pPr>
        <w:pStyle w:val="SingleTxt"/>
      </w:pPr>
      <w:r w:rsidRPr="00A028AE">
        <w:tab/>
        <w:t>c)</w:t>
      </w:r>
      <w:r w:rsidRPr="00A028AE">
        <w:tab/>
      </w:r>
      <w:r w:rsidR="0088599C" w:rsidRPr="00A028AE">
        <w:rPr>
          <w:b/>
          <w:bCs/>
        </w:rPr>
        <w:t>«</w:t>
      </w:r>
      <w:r w:rsidRPr="00A028AE">
        <w:rPr>
          <w:b/>
          <w:bCs/>
        </w:rPr>
        <w:t>Зеленые» стимулы</w:t>
      </w:r>
      <w:r w:rsidRPr="00A028AE">
        <w:t>: Какие стимулы, касающиеся государственных закупок, экологического налогообложения и отмены экологически вредных су</w:t>
      </w:r>
      <w:r w:rsidRPr="00A028AE">
        <w:t>б</w:t>
      </w:r>
      <w:r w:rsidRPr="00A028AE">
        <w:t>сидий, включая субсидии для ископаемых в</w:t>
      </w:r>
      <w:r w:rsidR="00676869" w:rsidRPr="00A028AE">
        <w:t>идов топлива, уже задействованы</w:t>
      </w:r>
      <w:r w:rsidRPr="00A028AE">
        <w:t xml:space="preserve"> и что еще можно сделать? Какие меры принимаются в целях стимулирования «з</w:t>
      </w:r>
      <w:r w:rsidRPr="00A028AE">
        <w:t>е</w:t>
      </w:r>
      <w:r w:rsidRPr="00A028AE">
        <w:t>леных» инвестиций, включая частные и прямые иностранные инвестиции и п</w:t>
      </w:r>
      <w:r w:rsidRPr="00A028AE">
        <w:t>е</w:t>
      </w:r>
      <w:r w:rsidRPr="00A028AE">
        <w:t>редачу технологий в различных областях?</w:t>
      </w:r>
    </w:p>
    <w:p w:rsidR="00E77DD9" w:rsidRPr="00A028AE" w:rsidRDefault="00E77DD9" w:rsidP="00E77DD9">
      <w:pPr>
        <w:pStyle w:val="SingleTxt"/>
      </w:pPr>
      <w:r w:rsidRPr="00A028AE">
        <w:tab/>
        <w:t>d)</w:t>
      </w:r>
      <w:r w:rsidRPr="00A028AE">
        <w:tab/>
      </w:r>
      <w:r w:rsidRPr="00A028AE">
        <w:rPr>
          <w:b/>
          <w:bCs/>
        </w:rPr>
        <w:t>Сотрудничество</w:t>
      </w:r>
      <w:r w:rsidRPr="00A028AE">
        <w:t>: Какие шаги могут быть предприняты для дальне</w:t>
      </w:r>
      <w:r w:rsidRPr="00A028AE">
        <w:t>й</w:t>
      </w:r>
      <w:r w:rsidRPr="00A028AE">
        <w:t>шего поощрения сотрудничества между странами в о</w:t>
      </w:r>
      <w:r w:rsidR="0088599C" w:rsidRPr="00A028AE">
        <w:t>бщеевропейском регионе, с </w:t>
      </w:r>
      <w:r w:rsidRPr="00A028AE">
        <w:t>тем чтобы облегчить переход к «зеленой» экономике, в том числе в контексте повестки дня в области развития на период после 2015 года?</w:t>
      </w:r>
    </w:p>
    <w:p w:rsidR="00E77DD9" w:rsidRPr="00A028AE" w:rsidRDefault="00E77DD9" w:rsidP="00E77DD9">
      <w:pPr>
        <w:pStyle w:val="SingleTxt"/>
      </w:pPr>
      <w:r w:rsidRPr="00A028AE">
        <w:t>3.</w:t>
      </w:r>
      <w:r w:rsidRPr="00A028AE">
        <w:tab/>
        <w:t>Кроме того, в ходе обсуждения приведенных выше вопросов будет соотве</w:t>
      </w:r>
      <w:r w:rsidRPr="00A028AE">
        <w:t>т</w:t>
      </w:r>
      <w:r w:rsidRPr="00A028AE">
        <w:t>ствующим образом рассмотрен ряд связанных с ними аспектов, таких как «зел</w:t>
      </w:r>
      <w:r w:rsidRPr="00A028AE">
        <w:t>е</w:t>
      </w:r>
      <w:r w:rsidRPr="00A028AE">
        <w:t>ное» сельское хозяйство, в том числе потребности в ресурсах, возможные нагрузки на окружающую среду и некоторые виды передовой практики; вопрос о вовлеченности субнациональных и местных органов власти, деловых кругов и гражданского общества в деятельность по экологизации экономики в их странах; и снижение экологических рисков в качестве</w:t>
      </w:r>
      <w:r w:rsidR="0088599C" w:rsidRPr="00A028AE">
        <w:t xml:space="preserve"> одного из ключевых элементов в </w:t>
      </w:r>
      <w:r w:rsidRPr="00A028AE">
        <w:t>определении «зеленой» экономики.</w:t>
      </w:r>
      <w:r w:rsidR="0088599C" w:rsidRPr="00A028AE">
        <w:t xml:space="preserve"> </w:t>
      </w:r>
    </w:p>
    <w:p w:rsidR="0088599C" w:rsidRPr="00A028AE" w:rsidRDefault="0088599C" w:rsidP="0088599C">
      <w:pPr>
        <w:pStyle w:val="SingleTxt"/>
        <w:spacing w:after="0" w:line="120" w:lineRule="exact"/>
        <w:rPr>
          <w:sz w:val="10"/>
        </w:rPr>
      </w:pPr>
    </w:p>
    <w:p w:rsidR="00E77DD9" w:rsidRPr="00A028AE" w:rsidRDefault="00E77DD9" w:rsidP="00885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28AE">
        <w:tab/>
        <w:t>2.</w:t>
      </w:r>
      <w:r w:rsidRPr="00A028AE">
        <w:tab/>
        <w:t>Повышение качества воздуха в интересах улучшения состояния окружающей среды и здоровья человека</w:t>
      </w:r>
    </w:p>
    <w:p w:rsidR="0088599C" w:rsidRPr="00A028AE" w:rsidRDefault="0088599C" w:rsidP="0088599C">
      <w:pPr>
        <w:pStyle w:val="SingleTxt"/>
        <w:spacing w:after="0" w:line="120" w:lineRule="exact"/>
        <w:rPr>
          <w:b/>
          <w:sz w:val="10"/>
        </w:rPr>
      </w:pPr>
    </w:p>
    <w:p w:rsidR="0088599C" w:rsidRPr="00A028AE" w:rsidRDefault="0088599C" w:rsidP="0088599C">
      <w:pPr>
        <w:pStyle w:val="SingleTxt"/>
        <w:spacing w:after="0" w:line="120" w:lineRule="exact"/>
        <w:rPr>
          <w:b/>
          <w:sz w:val="10"/>
        </w:rPr>
      </w:pPr>
    </w:p>
    <w:p w:rsidR="00E77DD9" w:rsidRPr="00A028AE" w:rsidRDefault="00676869" w:rsidP="00E77DD9">
      <w:pPr>
        <w:pStyle w:val="SingleTxt"/>
      </w:pPr>
      <w:r w:rsidRPr="00A028AE">
        <w:t>4.</w:t>
      </w:r>
      <w:r w:rsidRPr="00A028AE">
        <w:tab/>
        <w:t>Приводимый</w:t>
      </w:r>
      <w:r w:rsidR="00E77DD9" w:rsidRPr="00A028AE">
        <w:t xml:space="preserve"> ниже набор вопросов призван служить ориентиром для о</w:t>
      </w:r>
      <w:r w:rsidR="00E77DD9" w:rsidRPr="00A028AE">
        <w:t>б</w:t>
      </w:r>
      <w:r w:rsidR="00E77DD9" w:rsidRPr="00A028AE">
        <w:t>суждения на уровне министров в рамках тематического заседания, посвященного повышению качества воздуха в интересах улучшения состояния окружающей среды и здоровья человека:</w:t>
      </w:r>
    </w:p>
    <w:p w:rsidR="00E77DD9" w:rsidRPr="00A028AE" w:rsidRDefault="00E77DD9" w:rsidP="00E77DD9">
      <w:pPr>
        <w:pStyle w:val="SingleTxt"/>
      </w:pPr>
      <w:r w:rsidRPr="00A028AE">
        <w:tab/>
        <w:t>a)</w:t>
      </w:r>
      <w:r w:rsidRPr="00A028AE">
        <w:tab/>
      </w:r>
      <w:r w:rsidRPr="00A028AE">
        <w:rPr>
          <w:b/>
          <w:bCs/>
        </w:rPr>
        <w:t>Загрязнители воздуха и политика</w:t>
      </w:r>
      <w:r w:rsidR="0088599C" w:rsidRPr="00A028AE">
        <w:t>: Какие загрязнители воздуха</w:t>
      </w:r>
      <w:r w:rsidR="0088599C" w:rsidRPr="00A028AE">
        <w:br/>
      </w:r>
      <w:r w:rsidRPr="00A028AE">
        <w:t>(в помещениях и на открытом воздухе) представляют собой наибольший риск для окружающей среды и здоровья человека в вашей стране и каким образом эти риски оцениваются (например, кадастры выбросов, регистры загрязнителей и данные мониторинга качества воздуха и связанные с вопросами здравоохранения данные)? Какие аспекты загрязнения, по вашему мнению, заслуживают перв</w:t>
      </w:r>
      <w:r w:rsidRPr="00A028AE">
        <w:t>о</w:t>
      </w:r>
      <w:r w:rsidRPr="00A028AE">
        <w:t>очередного внимания в ближайшей и в долгосрочной перспективе? Насколько эффективны существующие программы решения проблем, связанных с после</w:t>
      </w:r>
      <w:r w:rsidRPr="00A028AE">
        <w:t>д</w:t>
      </w:r>
      <w:r w:rsidRPr="00A028AE">
        <w:t xml:space="preserve">ствиями загрязнения воздуха для </w:t>
      </w:r>
      <w:r w:rsidR="00676869" w:rsidRPr="00A028AE">
        <w:t>здоровья населения, в частности</w:t>
      </w:r>
      <w:r w:rsidRPr="00A028AE">
        <w:t xml:space="preserve"> в городских районах, а также для экосистем и культур? Что может быть сделано для повыш</w:t>
      </w:r>
      <w:r w:rsidRPr="00A028AE">
        <w:t>е</w:t>
      </w:r>
      <w:r w:rsidRPr="00A028AE">
        <w:t>ния эффективности этих программ и каким образом учитываются издержки бе</w:t>
      </w:r>
      <w:r w:rsidRPr="00A028AE">
        <w:t>з</w:t>
      </w:r>
      <w:r w:rsidRPr="00A028AE">
        <w:t>действия?</w:t>
      </w:r>
    </w:p>
    <w:p w:rsidR="00E77DD9" w:rsidRPr="00A028AE" w:rsidRDefault="00E77DD9" w:rsidP="00E77DD9">
      <w:pPr>
        <w:pStyle w:val="SingleTxt"/>
      </w:pPr>
      <w:r w:rsidRPr="00A028AE">
        <w:tab/>
        <w:t>b)</w:t>
      </w:r>
      <w:r w:rsidRPr="00A028AE">
        <w:tab/>
      </w:r>
      <w:r w:rsidRPr="00A028AE">
        <w:rPr>
          <w:b/>
          <w:bCs/>
        </w:rPr>
        <w:t>Секторы и финансирование</w:t>
      </w:r>
      <w:r w:rsidRPr="00A028AE">
        <w:t>: Какие секторы больше всего загрязняют воздух в вашей стране и насколько успешно ваше правительство включает меры по сокращению загрязнения воздуха в финансовую политику и политику в обл</w:t>
      </w:r>
      <w:r w:rsidRPr="00A028AE">
        <w:t>а</w:t>
      </w:r>
      <w:r w:rsidRPr="00A028AE">
        <w:t>сти развития, а также политику в других секторах? Какую роль могут сыграть разработчики политики и финансовые учреждения в обеспечении финансиров</w:t>
      </w:r>
      <w:r w:rsidRPr="00A028AE">
        <w:t>а</w:t>
      </w:r>
      <w:r w:rsidRPr="00A028AE">
        <w:t>ния проектов по сокращению загрязнения воздуха?</w:t>
      </w:r>
    </w:p>
    <w:p w:rsidR="00E77DD9" w:rsidRPr="00A028AE" w:rsidRDefault="00E77DD9" w:rsidP="00E77DD9">
      <w:pPr>
        <w:pStyle w:val="SingleTxt"/>
      </w:pPr>
      <w:r w:rsidRPr="00A028AE">
        <w:tab/>
        <w:t>c)</w:t>
      </w:r>
      <w:r w:rsidRPr="00A028AE">
        <w:tab/>
      </w:r>
      <w:r w:rsidRPr="00A028AE">
        <w:rPr>
          <w:b/>
          <w:bCs/>
        </w:rPr>
        <w:t>Осведомленность и участие общественности</w:t>
      </w:r>
      <w:r w:rsidRPr="00A028AE">
        <w:t>: Осведомлено ли нас</w:t>
      </w:r>
      <w:r w:rsidRPr="00A028AE">
        <w:t>е</w:t>
      </w:r>
      <w:r w:rsidRPr="00A028AE">
        <w:t>ление вашей страны об имеющихся проблемах в области загрязнения воздуха и о его трансграничном характере? Каким образом можно улучшить информиров</w:t>
      </w:r>
      <w:r w:rsidRPr="00A028AE">
        <w:t>а</w:t>
      </w:r>
      <w:r w:rsidRPr="00A028AE">
        <w:t>ние? Какие каналы, посылы и средства</w:t>
      </w:r>
      <w:r w:rsidR="00F676A9" w:rsidRPr="00A028AE">
        <w:t xml:space="preserve"> </w:t>
      </w:r>
      <w:r w:rsidRPr="00A028AE">
        <w:t>являются наиболее эффективными в в</w:t>
      </w:r>
      <w:r w:rsidRPr="00A028AE">
        <w:t>а</w:t>
      </w:r>
      <w:r w:rsidRPr="00A028AE">
        <w:t>шей стране? Каким образом создание условий для участия общественности в с</w:t>
      </w:r>
      <w:r w:rsidRPr="00A028AE">
        <w:t>о</w:t>
      </w:r>
      <w:r w:rsidRPr="00A028AE">
        <w:t>ответствующих процессах (например, разработки политики) могло бы спосо</w:t>
      </w:r>
      <w:r w:rsidRPr="00A028AE">
        <w:t>б</w:t>
      </w:r>
      <w:r w:rsidRPr="00A028AE">
        <w:t>ство</w:t>
      </w:r>
      <w:r w:rsidR="004B7432" w:rsidRPr="00A028AE">
        <w:t>вать повышению качества воздуха</w:t>
      </w:r>
      <w:r w:rsidRPr="00A028AE">
        <w:t xml:space="preserve"> и какие меры являются наиболее эффе</w:t>
      </w:r>
      <w:r w:rsidRPr="00A028AE">
        <w:t>к</w:t>
      </w:r>
      <w:r w:rsidRPr="00A028AE">
        <w:t>тивными в вашей стране?</w:t>
      </w:r>
    </w:p>
    <w:p w:rsidR="00E77DD9" w:rsidRPr="00A028AE" w:rsidRDefault="00E77DD9" w:rsidP="00E77DD9">
      <w:pPr>
        <w:pStyle w:val="SingleTxt"/>
      </w:pPr>
      <w:r w:rsidRPr="00A028AE">
        <w:tab/>
        <w:t>d)</w:t>
      </w:r>
      <w:r w:rsidRPr="00A028AE">
        <w:tab/>
      </w:r>
      <w:r w:rsidRPr="00A028AE">
        <w:rPr>
          <w:b/>
          <w:bCs/>
        </w:rPr>
        <w:t>Сотрудничество</w:t>
      </w:r>
      <w:r w:rsidRPr="00A028AE">
        <w:t>: Привело ли международное сотрудничество к улу</w:t>
      </w:r>
      <w:r w:rsidRPr="00A028AE">
        <w:t>ч</w:t>
      </w:r>
      <w:r w:rsidRPr="00A028AE">
        <w:t>шению качества воздуха? Каким образом международное сотрудничество может способствовать укреплению деятельности на национальном уровне? Исходя из вашего опыта, какие международные договоры являются наиболее эффективн</w:t>
      </w:r>
      <w:r w:rsidRPr="00A028AE">
        <w:t>ы</w:t>
      </w:r>
      <w:r w:rsidRPr="00A028AE">
        <w:t>ми? Какие виды деятельности нуждаются в дальнейшем укреплении с целью п</w:t>
      </w:r>
      <w:r w:rsidRPr="00A028AE">
        <w:t>о</w:t>
      </w:r>
      <w:r w:rsidRPr="00A028AE">
        <w:t>ощрения ратификации, осуществления и возможного развития Конвенции ЕЭК по воздуху и протоколов к ней?</w:t>
      </w:r>
    </w:p>
    <w:p w:rsidR="00E77DD9" w:rsidRPr="00A028AE" w:rsidRDefault="00E77DD9" w:rsidP="00E77DD9">
      <w:pPr>
        <w:pStyle w:val="SingleTxt"/>
      </w:pPr>
      <w:r w:rsidRPr="00A028AE">
        <w:t>5.</w:t>
      </w:r>
      <w:r w:rsidRPr="00A028AE">
        <w:tab/>
        <w:t>Кроме того, в ходе обсуждения приведенных выше вопросов будет соотве</w:t>
      </w:r>
      <w:r w:rsidRPr="00A028AE">
        <w:t>т</w:t>
      </w:r>
      <w:r w:rsidRPr="00A028AE">
        <w:t>ствующим образом рассмотрен ряд связанных с ними аспектов, таких как «зел</w:t>
      </w:r>
      <w:r w:rsidRPr="00A028AE">
        <w:t>е</w:t>
      </w:r>
      <w:r w:rsidRPr="00A028AE">
        <w:t>ное» сельское хозяйство, в том числе потребности в ресурсах, возможные нагрузки на окружающую среду и некоторые виды передовой практики; и вопрос о том, каким образом с</w:t>
      </w:r>
      <w:r w:rsidR="004B7432" w:rsidRPr="00A028AE">
        <w:t>убнациональные и местные органы</w:t>
      </w:r>
      <w:r w:rsidRPr="00A028AE">
        <w:t xml:space="preserve"> власти, деловые круги и гражданское общество задействованы в деятельности по экологизации экон</w:t>
      </w:r>
      <w:r w:rsidRPr="00A028AE">
        <w:t>о</w:t>
      </w:r>
      <w:r w:rsidRPr="00A028AE">
        <w:t>мики на национальном уровне.</w:t>
      </w:r>
    </w:p>
    <w:p w:rsidR="00E77DD9" w:rsidRPr="00A028AE" w:rsidRDefault="00E77DD9" w:rsidP="00E77DD9">
      <w:pPr>
        <w:pStyle w:val="SingleTxt"/>
        <w:spacing w:after="0" w:line="240" w:lineRule="auto"/>
      </w:pPr>
      <w:r w:rsidRPr="00A028A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468AF" wp14:editId="0B60BABF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77DD9" w:rsidRPr="00A028AE" w:rsidSect="004213A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0E" w:rsidRDefault="00A6200E" w:rsidP="008A1A7A">
      <w:pPr>
        <w:spacing w:line="240" w:lineRule="auto"/>
      </w:pPr>
      <w:r>
        <w:separator/>
      </w:r>
    </w:p>
  </w:endnote>
  <w:endnote w:type="continuationSeparator" w:id="0">
    <w:p w:rsidR="00A6200E" w:rsidRDefault="00A6200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200E" w:rsidTr="004213A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6200E" w:rsidRPr="004213A3" w:rsidRDefault="00A6200E" w:rsidP="004213A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00DE5">
            <w:rPr>
              <w:noProof/>
            </w:rPr>
            <w:t>12</w:t>
          </w:r>
          <w:r>
            <w:fldChar w:fldCharType="end"/>
          </w:r>
          <w:r>
            <w:t>/</w:t>
          </w:r>
          <w:r w:rsidR="00F00DE5">
            <w:fldChar w:fldCharType="begin"/>
          </w:r>
          <w:r w:rsidR="00F00DE5">
            <w:instrText xml:space="preserve"> NUMPAGES  \* Arabic  \* MERGEFORMAT </w:instrText>
          </w:r>
          <w:r w:rsidR="00F00DE5">
            <w:fldChar w:fldCharType="separate"/>
          </w:r>
          <w:r w:rsidR="00F00DE5">
            <w:rPr>
              <w:noProof/>
            </w:rPr>
            <w:t>12</w:t>
          </w:r>
          <w:r w:rsidR="00F00DE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200E" w:rsidRPr="004213A3" w:rsidRDefault="00A6200E" w:rsidP="004213A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B6BA9">
            <w:rPr>
              <w:b w:val="0"/>
              <w:color w:val="000000"/>
              <w:sz w:val="14"/>
            </w:rPr>
            <w:t>GE.15-17603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6200E" w:rsidRPr="004213A3" w:rsidRDefault="00A6200E" w:rsidP="00421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6200E" w:rsidTr="004213A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6200E" w:rsidRPr="004213A3" w:rsidRDefault="00A6200E" w:rsidP="004213A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B6BA9">
            <w:rPr>
              <w:b w:val="0"/>
              <w:color w:val="000000"/>
              <w:sz w:val="14"/>
            </w:rPr>
            <w:t>GE.15-17603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200E" w:rsidRPr="004213A3" w:rsidRDefault="00A6200E" w:rsidP="004213A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00DE5">
            <w:rPr>
              <w:noProof/>
            </w:rPr>
            <w:t>13</w:t>
          </w:r>
          <w:r>
            <w:fldChar w:fldCharType="end"/>
          </w:r>
          <w:r>
            <w:t>/</w:t>
          </w:r>
          <w:r w:rsidR="00F00DE5">
            <w:fldChar w:fldCharType="begin"/>
          </w:r>
          <w:r w:rsidR="00F00DE5">
            <w:instrText xml:space="preserve"> NUMPAGES  \* Arabic  \* MERGEFORMAT </w:instrText>
          </w:r>
          <w:r w:rsidR="00F00DE5">
            <w:fldChar w:fldCharType="separate"/>
          </w:r>
          <w:r w:rsidR="00F00DE5">
            <w:rPr>
              <w:noProof/>
            </w:rPr>
            <w:t>13</w:t>
          </w:r>
          <w:r w:rsidR="00F00DE5">
            <w:rPr>
              <w:noProof/>
            </w:rPr>
            <w:fldChar w:fldCharType="end"/>
          </w:r>
        </w:p>
      </w:tc>
    </w:tr>
  </w:tbl>
  <w:p w:rsidR="00A6200E" w:rsidRPr="004213A3" w:rsidRDefault="00A6200E" w:rsidP="00421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6200E" w:rsidTr="004213A3">
      <w:tc>
        <w:tcPr>
          <w:tcW w:w="3873" w:type="dxa"/>
        </w:tcPr>
        <w:p w:rsidR="00A6200E" w:rsidRDefault="00A6200E" w:rsidP="00911C2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8F446DB" wp14:editId="2E4F36B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GE.15-17603 (R)</w:t>
          </w:r>
          <w:r>
            <w:rPr>
              <w:color w:val="010000"/>
            </w:rPr>
            <w:t xml:space="preserve">    301015    </w:t>
          </w:r>
          <w:r w:rsidR="00911C2D">
            <w:rPr>
              <w:color w:val="010000"/>
            </w:rPr>
            <w:t>0211</w:t>
          </w:r>
          <w:r>
            <w:rPr>
              <w:color w:val="010000"/>
            </w:rPr>
            <w:t>15</w:t>
          </w:r>
        </w:p>
        <w:p w:rsidR="00A6200E" w:rsidRPr="004213A3" w:rsidRDefault="00A6200E" w:rsidP="004213A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*1517603*</w:t>
          </w:r>
        </w:p>
      </w:tc>
      <w:tc>
        <w:tcPr>
          <w:tcW w:w="5127" w:type="dxa"/>
        </w:tcPr>
        <w:p w:rsidR="00A6200E" w:rsidRDefault="00A6200E" w:rsidP="004213A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FF21D29" wp14:editId="7655873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200E" w:rsidRPr="004213A3" w:rsidRDefault="00A6200E" w:rsidP="004213A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0E" w:rsidRPr="00E77DD9" w:rsidRDefault="00A6200E" w:rsidP="00E77DD9">
      <w:pPr>
        <w:pStyle w:val="Footer"/>
        <w:spacing w:after="80"/>
        <w:ind w:left="792"/>
        <w:rPr>
          <w:sz w:val="16"/>
        </w:rPr>
      </w:pPr>
      <w:r w:rsidRPr="00E77DD9">
        <w:rPr>
          <w:sz w:val="16"/>
        </w:rPr>
        <w:t>__________________</w:t>
      </w:r>
    </w:p>
  </w:footnote>
  <w:footnote w:type="continuationSeparator" w:id="0">
    <w:p w:rsidR="00A6200E" w:rsidRPr="00E77DD9" w:rsidRDefault="00A6200E" w:rsidP="00E77DD9">
      <w:pPr>
        <w:pStyle w:val="Footer"/>
        <w:spacing w:after="80"/>
        <w:ind w:left="792"/>
        <w:rPr>
          <w:sz w:val="16"/>
        </w:rPr>
      </w:pPr>
      <w:r w:rsidRPr="00E77DD9">
        <w:rPr>
          <w:sz w:val="16"/>
        </w:rPr>
        <w:t>__________________</w:t>
      </w:r>
    </w:p>
  </w:footnote>
  <w:footnote w:id="1">
    <w:p w:rsidR="00A6200E" w:rsidRPr="002F319C" w:rsidRDefault="00A6200E" w:rsidP="00E77DD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2F319C">
        <w:rPr>
          <w:rStyle w:val="FootnoteReference"/>
          <w:vertAlign w:val="baseline"/>
        </w:rPr>
        <w:t>*</w:t>
      </w:r>
      <w:r w:rsidRPr="002F319C">
        <w:tab/>
        <w:t>Настоящий документ был представлен в выше указанные сроки ввиду ограниченности ресурсов.</w:t>
      </w:r>
    </w:p>
  </w:footnote>
  <w:footnote w:id="2">
    <w:p w:rsidR="00A6200E" w:rsidRDefault="00A6200E" w:rsidP="00E77DD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 w:rsidR="00302FD6">
        <w:tab/>
      </w:r>
      <w:r>
        <w:t xml:space="preserve">Для получения более подробной информации см. </w:t>
      </w:r>
      <w:hyperlink r:id="rId1" w:history="1">
        <w:r w:rsidR="00366CF7" w:rsidRPr="00366CF7">
          <w:t>www.worldbank.org/en/topic/environment/</w:t>
        </w:r>
        <w:r w:rsidR="00366CF7">
          <w:br/>
        </w:r>
        <w:r w:rsidR="00366CF7" w:rsidRPr="00366CF7">
          <w:t>brief/environmental-economics-natural-capital-accounting</w:t>
        </w:r>
      </w:hyperlink>
      <w:r>
        <w:t>.</w:t>
      </w:r>
    </w:p>
  </w:footnote>
  <w:footnote w:id="3">
    <w:p w:rsidR="00A6200E" w:rsidRDefault="00A6200E" w:rsidP="00E77DD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 w:rsidR="00366CF7">
        <w:tab/>
      </w:r>
      <w:r>
        <w:t xml:space="preserve">Для получения более подробной информации см. </w:t>
      </w:r>
      <w:hyperlink r:id="rId2" w:history="1">
        <w:r w:rsidRPr="00366CF7">
          <w:t>http://unstats.un.org/unsd/</w:t>
        </w:r>
        <w:r w:rsidR="00366CF7">
          <w:br/>
        </w:r>
        <w:r w:rsidRPr="00366CF7">
          <w:t>envaccounting/seea.asp</w:t>
        </w:r>
      </w:hyperlink>
      <w:r>
        <w:t>.</w:t>
      </w:r>
    </w:p>
  </w:footnote>
  <w:footnote w:id="4">
    <w:p w:rsidR="00A6200E" w:rsidRDefault="00A6200E" w:rsidP="00E77DD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 w:rsidR="00366CF7">
        <w:tab/>
      </w:r>
      <w:r>
        <w:t>Более подробную информацию см. в документе ECE/CE</w:t>
      </w:r>
      <w:r w:rsidR="00366CF7">
        <w:t>P/2014/8, размещенном по адресу</w:t>
      </w:r>
      <w:r>
        <w:t xml:space="preserve"> </w:t>
      </w:r>
      <w:hyperlink r:id="rId3" w:history="1">
        <w:r w:rsidR="00366CF7" w:rsidRPr="00366CF7">
          <w:t>www.unece.org/index.php?id=35032</w:t>
        </w:r>
      </w:hyperlink>
      <w:r>
        <w:t>.</w:t>
      </w:r>
    </w:p>
  </w:footnote>
  <w:footnote w:id="5">
    <w:p w:rsidR="00366CF7" w:rsidRDefault="00366CF7" w:rsidP="00366CF7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Для получения более подробной информации см. </w:t>
      </w:r>
      <w:hyperlink r:id="rId4" w:history="1">
        <w:r w:rsidRPr="00366CF7">
          <w:t>www.unep.org/greeneconomy/PAGE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200E" w:rsidTr="004213A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200E" w:rsidRPr="004213A3" w:rsidRDefault="00A6200E" w:rsidP="004213A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B6BA9">
            <w:rPr>
              <w:b/>
            </w:rPr>
            <w:t>ECE/CEP/2015/3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6200E" w:rsidRDefault="00A6200E" w:rsidP="004213A3">
          <w:pPr>
            <w:pStyle w:val="Header"/>
          </w:pPr>
        </w:p>
      </w:tc>
    </w:tr>
  </w:tbl>
  <w:p w:rsidR="00A6200E" w:rsidRPr="004213A3" w:rsidRDefault="00A6200E" w:rsidP="00421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6200E" w:rsidTr="004213A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6200E" w:rsidRDefault="00A6200E" w:rsidP="004213A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6200E" w:rsidRPr="004213A3" w:rsidRDefault="00A6200E" w:rsidP="004213A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B6BA9">
            <w:rPr>
              <w:b/>
            </w:rPr>
            <w:t>ECE/CEP/2015/3</w:t>
          </w:r>
          <w:r>
            <w:rPr>
              <w:b/>
            </w:rPr>
            <w:fldChar w:fldCharType="end"/>
          </w:r>
        </w:p>
      </w:tc>
    </w:tr>
  </w:tbl>
  <w:p w:rsidR="00A6200E" w:rsidRPr="004213A3" w:rsidRDefault="00A6200E" w:rsidP="00421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6200E" w:rsidTr="004213A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6200E" w:rsidRPr="004213A3" w:rsidRDefault="00A6200E" w:rsidP="004213A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200E" w:rsidRDefault="00A6200E" w:rsidP="004213A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6200E" w:rsidRPr="004213A3" w:rsidRDefault="00A6200E" w:rsidP="004213A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/CEP/2015/3</w:t>
          </w:r>
        </w:p>
      </w:tc>
    </w:tr>
    <w:tr w:rsidR="00A6200E" w:rsidRPr="00F00DE5" w:rsidTr="004213A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200E" w:rsidRPr="004213A3" w:rsidRDefault="00A6200E" w:rsidP="004213A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E4401D0" wp14:editId="52065B9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200E" w:rsidRPr="004213A3" w:rsidRDefault="00A6200E" w:rsidP="004213A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200E" w:rsidRPr="004213A3" w:rsidRDefault="00A6200E" w:rsidP="004213A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200E" w:rsidRPr="002F319C" w:rsidRDefault="00A6200E" w:rsidP="004213A3">
          <w:pPr>
            <w:pStyle w:val="Distribution"/>
            <w:rPr>
              <w:color w:val="000000"/>
              <w:lang w:val="en-US"/>
            </w:rPr>
          </w:pPr>
          <w:r w:rsidRPr="002F319C">
            <w:rPr>
              <w:color w:val="000000"/>
              <w:lang w:val="en-US"/>
            </w:rPr>
            <w:t>Distr.: General</w:t>
          </w:r>
        </w:p>
        <w:p w:rsidR="00A6200E" w:rsidRPr="002F319C" w:rsidRDefault="00A6200E" w:rsidP="004213A3">
          <w:pPr>
            <w:pStyle w:val="Publication"/>
            <w:rPr>
              <w:color w:val="000000"/>
              <w:lang w:val="en-US"/>
            </w:rPr>
          </w:pPr>
          <w:r w:rsidRPr="002F319C">
            <w:rPr>
              <w:color w:val="000000"/>
              <w:lang w:val="en-US"/>
            </w:rPr>
            <w:t>12 October 2015</w:t>
          </w:r>
        </w:p>
        <w:p w:rsidR="00A6200E" w:rsidRPr="002F319C" w:rsidRDefault="00A6200E" w:rsidP="004213A3">
          <w:pPr>
            <w:rPr>
              <w:color w:val="000000"/>
              <w:lang w:val="en-US"/>
            </w:rPr>
          </w:pPr>
          <w:r w:rsidRPr="002F319C">
            <w:rPr>
              <w:color w:val="000000"/>
              <w:lang w:val="en-US"/>
            </w:rPr>
            <w:t>Russian</w:t>
          </w:r>
        </w:p>
        <w:p w:rsidR="00A6200E" w:rsidRPr="002F319C" w:rsidRDefault="00A6200E" w:rsidP="004213A3">
          <w:pPr>
            <w:pStyle w:val="Original"/>
            <w:rPr>
              <w:color w:val="000000"/>
              <w:lang w:val="en-US"/>
            </w:rPr>
          </w:pPr>
          <w:r w:rsidRPr="002F319C">
            <w:rPr>
              <w:color w:val="000000"/>
              <w:lang w:val="en-US"/>
            </w:rPr>
            <w:t>Original: English</w:t>
          </w:r>
        </w:p>
        <w:p w:rsidR="00A6200E" w:rsidRPr="002F319C" w:rsidRDefault="00A6200E" w:rsidP="004213A3">
          <w:pPr>
            <w:rPr>
              <w:lang w:val="en-US"/>
            </w:rPr>
          </w:pPr>
        </w:p>
      </w:tc>
    </w:tr>
  </w:tbl>
  <w:p w:rsidR="00A6200E" w:rsidRPr="002F319C" w:rsidRDefault="00A6200E" w:rsidP="004213A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7603*"/>
    <w:docVar w:name="CreationDt" w:val="10/30/2015 3:19: PM"/>
    <w:docVar w:name="DocCategory" w:val="Doc"/>
    <w:docVar w:name="DocType" w:val="Final"/>
    <w:docVar w:name="DutyStation" w:val="Geneva"/>
    <w:docVar w:name="FooterJN" w:val="GE.15-17603"/>
    <w:docVar w:name="jobn" w:val="GE.15-17603 (R)"/>
    <w:docVar w:name="jobnDT" w:val="GE.15-17603 (R)   301015"/>
    <w:docVar w:name="jobnDTDT" w:val="GE.15-17603 (R)   301015   301015"/>
    <w:docVar w:name="JobNo" w:val="GE.1517603R"/>
    <w:docVar w:name="JobNo2" w:val="1523389R"/>
    <w:docVar w:name="LocalDrive" w:val="0"/>
    <w:docVar w:name="OandT" w:val="U.A."/>
    <w:docVar w:name="PaperSize" w:val="A4"/>
    <w:docVar w:name="sss1" w:val="ECE/CEP/2015/3"/>
    <w:docVar w:name="sss2" w:val="-"/>
    <w:docVar w:name="Symbol1" w:val="ECE/CEP/2015/3"/>
    <w:docVar w:name="Symbol2" w:val="-"/>
  </w:docVars>
  <w:rsids>
    <w:rsidRoot w:val="007F78B6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4D59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2AE9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19C"/>
    <w:rsid w:val="002F3CF9"/>
    <w:rsid w:val="002F5C45"/>
    <w:rsid w:val="002F6149"/>
    <w:rsid w:val="002F7D25"/>
    <w:rsid w:val="00302FD6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66CF7"/>
    <w:rsid w:val="0038044D"/>
    <w:rsid w:val="00384AEE"/>
    <w:rsid w:val="0038527A"/>
    <w:rsid w:val="00386A98"/>
    <w:rsid w:val="00391367"/>
    <w:rsid w:val="00391BE0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13A3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B7432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686B"/>
    <w:rsid w:val="00511EAC"/>
    <w:rsid w:val="005121DC"/>
    <w:rsid w:val="00513113"/>
    <w:rsid w:val="005135CF"/>
    <w:rsid w:val="00515869"/>
    <w:rsid w:val="005160BC"/>
    <w:rsid w:val="00517917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13EC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6869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2226"/>
    <w:rsid w:val="007B5785"/>
    <w:rsid w:val="007B5CF3"/>
    <w:rsid w:val="007B67AE"/>
    <w:rsid w:val="007B6BA9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7F78B6"/>
    <w:rsid w:val="00803631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599C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1C2D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4C50"/>
    <w:rsid w:val="0097006F"/>
    <w:rsid w:val="00984EE4"/>
    <w:rsid w:val="00990168"/>
    <w:rsid w:val="0099354F"/>
    <w:rsid w:val="00996CBB"/>
    <w:rsid w:val="009A1724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28AE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200E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36A21"/>
    <w:rsid w:val="00B44E4D"/>
    <w:rsid w:val="00B45628"/>
    <w:rsid w:val="00B47187"/>
    <w:rsid w:val="00B5129B"/>
    <w:rsid w:val="00B56376"/>
    <w:rsid w:val="00B5741E"/>
    <w:rsid w:val="00B606B7"/>
    <w:rsid w:val="00B62C69"/>
    <w:rsid w:val="00B64BF3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E75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4941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7DD9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0DE5"/>
    <w:rsid w:val="00F07943"/>
    <w:rsid w:val="00F07DDF"/>
    <w:rsid w:val="00F11204"/>
    <w:rsid w:val="00F16256"/>
    <w:rsid w:val="00F209ED"/>
    <w:rsid w:val="00F2236C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676A9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21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3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3A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A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366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21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3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3A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A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366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index.php?id=35032" TargetMode="External"/><Relationship Id="rId2" Type="http://schemas.openxmlformats.org/officeDocument/2006/relationships/hyperlink" Target="http://unstats.un.org/unsd/envaccounting/seea.asp" TargetMode="External"/><Relationship Id="rId1" Type="http://schemas.openxmlformats.org/officeDocument/2006/relationships/hyperlink" Target="http://www.worldbank.org/en/topic/environment/brief/environmental-economics-natural-capital-accounting" TargetMode="External"/><Relationship Id="rId4" Type="http://schemas.openxmlformats.org/officeDocument/2006/relationships/hyperlink" Target="http://www.unep.org/greeneconomy/PAG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17AB-CD15-4C9A-BE5B-2E757EBD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sochirca</cp:lastModifiedBy>
  <cp:revision>4</cp:revision>
  <cp:lastPrinted>2015-11-02T10:16:00Z</cp:lastPrinted>
  <dcterms:created xsi:type="dcterms:W3CDTF">2015-11-02T10:15:00Z</dcterms:created>
  <dcterms:modified xsi:type="dcterms:W3CDTF">2015-11-09T14:37:00Z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1517603R</vt:lpwstr>
  </property>
  <property fmtid="{D5CDD505-2E9C-101B-9397-08002B2CF9AE}" pid="3" name="ODSRefJobNo">
    <vt:lpwstr>1523389R</vt:lpwstr>
  </property>
  <property fmtid="{D5CDD505-2E9C-101B-9397-08002B2CF9AE}" pid="4" name="Symbol1">
    <vt:lpwstr>ECE/CEP/2015/3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October 2015</vt:lpwstr>
  </property>
  <property fmtid="{D5CDD505-2E9C-101B-9397-08002B2CF9AE}" pid="12" name="Original">
    <vt:lpwstr>English</vt:lpwstr>
  </property>
  <property fmtid="{D5CDD505-2E9C-101B-9397-08002B2CF9AE}" pid="13" name="Release Date">
    <vt:lpwstr>301015</vt:lpwstr>
  </property>
</Properties>
</file>