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A658DB" w:rsidRPr="00245892" w:rsidTr="00641F6F">
        <w:trPr>
          <w:trHeight w:hRule="exact" w:val="851"/>
        </w:trPr>
        <w:tc>
          <w:tcPr>
            <w:tcW w:w="4900" w:type="dxa"/>
            <w:gridSpan w:val="2"/>
            <w:vAlign w:val="bottom"/>
          </w:tcPr>
          <w:p w:rsidR="00A658DB" w:rsidRPr="00245892" w:rsidRDefault="00A658DB" w:rsidP="0069319F">
            <w:pPr>
              <w:spacing w:after="80" w:line="300" w:lineRule="exact"/>
              <w:rPr>
                <w:sz w:val="28"/>
              </w:rPr>
            </w:pPr>
            <w:r w:rsidRPr="00245892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vAlign w:val="bottom"/>
          </w:tcPr>
          <w:p w:rsidR="00A658DB" w:rsidRPr="00245892" w:rsidRDefault="00A658DB" w:rsidP="0069319F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</w:tcBorders>
            <w:vAlign w:val="bottom"/>
          </w:tcPr>
          <w:p w:rsidR="00A658DB" w:rsidRPr="00245892" w:rsidRDefault="00A658DB" w:rsidP="0069319F">
            <w:pPr>
              <w:jc w:val="right"/>
            </w:pPr>
            <w:r w:rsidRPr="009D6B18">
              <w:rPr>
                <w:sz w:val="40"/>
                <w:szCs w:val="40"/>
                <w:lang w:val="en-US"/>
              </w:rPr>
              <w:t>ECE</w:t>
            </w:r>
            <w:r w:rsidRPr="00245892">
              <w:t>/</w:t>
            </w:r>
            <w:fldSimple w:instr=" FILLIN  &quot;Введите символ после ЕCE/&quot;  \* MERGEFORMAT ">
              <w:r w:rsidR="00E15C04">
                <w:t>CEP/2015/2</w:t>
              </w:r>
            </w:fldSimple>
            <w:r w:rsidR="0069319F">
              <w:t xml:space="preserve">         </w:t>
            </w:r>
          </w:p>
        </w:tc>
      </w:tr>
      <w:tr w:rsidR="00A658DB" w:rsidRPr="00245892" w:rsidTr="00641F6F">
        <w:trPr>
          <w:trHeight w:hRule="exact" w:val="2835"/>
        </w:trPr>
        <w:tc>
          <w:tcPr>
            <w:tcW w:w="1280" w:type="dxa"/>
            <w:tcBorders>
              <w:bottom w:val="single" w:sz="12" w:space="0" w:color="auto"/>
            </w:tcBorders>
          </w:tcPr>
          <w:p w:rsidR="00A658DB" w:rsidRPr="00245892" w:rsidRDefault="00A658DB" w:rsidP="0069319F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6C30E39D" wp14:editId="2A98EAE8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bottom w:val="single" w:sz="12" w:space="0" w:color="auto"/>
            </w:tcBorders>
          </w:tcPr>
          <w:p w:rsidR="00A658DB" w:rsidRPr="00FB1897" w:rsidRDefault="00A658DB" w:rsidP="0069319F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FB1897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FB1897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bottom w:val="single" w:sz="12" w:space="0" w:color="auto"/>
            </w:tcBorders>
          </w:tcPr>
          <w:p w:rsidR="00A658DB" w:rsidRPr="00245892" w:rsidRDefault="00A658DB" w:rsidP="0069319F">
            <w:pPr>
              <w:spacing w:before="240"/>
            </w:pPr>
            <w:proofErr w:type="spellStart"/>
            <w:r w:rsidRPr="00245892">
              <w:t>Distr</w:t>
            </w:r>
            <w:proofErr w:type="spellEnd"/>
            <w:r w:rsidRPr="00245892">
              <w:t xml:space="preserve">.: </w:t>
            </w:r>
            <w:bookmarkStart w:id="0" w:name="ПолеСоСписком1"/>
            <w:r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245892">
              <w:instrText xml:space="preserve"> FORMDROPDOWN </w:instrText>
            </w:r>
            <w:r w:rsidR="00C7349A">
              <w:fldChar w:fldCharType="separate"/>
            </w:r>
            <w:r w:rsidRPr="00245892">
              <w:fldChar w:fldCharType="end"/>
            </w:r>
            <w:bookmarkEnd w:id="0"/>
          </w:p>
          <w:p w:rsidR="00A658DB" w:rsidRPr="00245892" w:rsidRDefault="00A658DB" w:rsidP="0069319F">
            <w:r w:rsidRPr="00245892">
              <w:fldChar w:fldCharType="begin"/>
            </w:r>
            <w:r w:rsidRPr="00245892">
              <w:instrText xml:space="preserve"> FILLIN  "Введите дату документа" \* MERGEFORMAT </w:instrText>
            </w:r>
            <w:r w:rsidRPr="00245892">
              <w:fldChar w:fldCharType="separate"/>
            </w:r>
            <w:r w:rsidR="00E15C04">
              <w:t xml:space="preserve">4 </w:t>
            </w:r>
            <w:proofErr w:type="spellStart"/>
            <w:r w:rsidR="00E15C04">
              <w:t>November</w:t>
            </w:r>
            <w:proofErr w:type="spellEnd"/>
            <w:r w:rsidR="00E15C04">
              <w:t xml:space="preserve"> 2016</w:t>
            </w:r>
            <w:r w:rsidRPr="00245892">
              <w:fldChar w:fldCharType="end"/>
            </w:r>
          </w:p>
          <w:p w:rsidR="00A658DB" w:rsidRPr="00245892" w:rsidRDefault="00A658DB" w:rsidP="0069319F">
            <w:r w:rsidRPr="00245892">
              <w:t>Russian</w:t>
            </w:r>
          </w:p>
          <w:p w:rsidR="00A658DB" w:rsidRPr="00245892" w:rsidRDefault="00A658DB" w:rsidP="0069319F">
            <w:proofErr w:type="spellStart"/>
            <w:r w:rsidRPr="00245892">
              <w:t>Original</w:t>
            </w:r>
            <w:proofErr w:type="spellEnd"/>
            <w:r w:rsidRPr="00245892">
              <w:t xml:space="preserve">: </w:t>
            </w:r>
            <w:bookmarkStart w:id="1" w:name="ПолеСоСписком2"/>
            <w:r w:rsidRPr="00245892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245892">
              <w:instrText xml:space="preserve"> FORMDROPDOWN </w:instrText>
            </w:r>
            <w:r w:rsidR="00C7349A">
              <w:fldChar w:fldCharType="separate"/>
            </w:r>
            <w:r w:rsidRPr="00245892">
              <w:fldChar w:fldCharType="end"/>
            </w:r>
            <w:bookmarkEnd w:id="1"/>
          </w:p>
          <w:p w:rsidR="00A658DB" w:rsidRPr="00245892" w:rsidRDefault="00A658DB" w:rsidP="0069319F"/>
        </w:tc>
      </w:tr>
    </w:tbl>
    <w:p w:rsidR="00A658DB" w:rsidRDefault="00A658DB" w:rsidP="00A658DB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E15C04" w:rsidRPr="00E15C04" w:rsidRDefault="00E15C04" w:rsidP="00E15C04">
      <w:pPr>
        <w:spacing w:before="120" w:after="120" w:line="240" w:lineRule="auto"/>
        <w:rPr>
          <w:sz w:val="28"/>
          <w:szCs w:val="28"/>
        </w:rPr>
      </w:pPr>
      <w:r w:rsidRPr="00E15C04">
        <w:rPr>
          <w:sz w:val="28"/>
          <w:szCs w:val="28"/>
        </w:rPr>
        <w:t>Комитет по экологической политике</w:t>
      </w:r>
    </w:p>
    <w:p w:rsidR="00E15C04" w:rsidRPr="00E15C04" w:rsidRDefault="00E15C04" w:rsidP="00E15C04">
      <w:pPr>
        <w:spacing w:line="240" w:lineRule="auto"/>
        <w:rPr>
          <w:b/>
        </w:rPr>
      </w:pPr>
      <w:r w:rsidRPr="00E15C04">
        <w:rPr>
          <w:b/>
        </w:rPr>
        <w:t>Двадцать первая сессия</w:t>
      </w:r>
    </w:p>
    <w:p w:rsidR="00A658DB" w:rsidRDefault="00E15C04" w:rsidP="00E15C04">
      <w:pPr>
        <w:spacing w:line="240" w:lineRule="auto"/>
        <w:rPr>
          <w:lang w:val="en-US"/>
        </w:rPr>
      </w:pPr>
      <w:r>
        <w:t>Женева, 27–</w:t>
      </w:r>
      <w:r w:rsidRPr="00E15C04">
        <w:t>30 октября 2015 года</w:t>
      </w:r>
    </w:p>
    <w:p w:rsidR="00E15C04" w:rsidRPr="00E15C04" w:rsidRDefault="00E15C04" w:rsidP="00E15C04">
      <w:pPr>
        <w:pStyle w:val="HChGR"/>
      </w:pPr>
      <w:r w:rsidRPr="002C5DF6">
        <w:tab/>
      </w:r>
      <w:r w:rsidRPr="002C5DF6">
        <w:tab/>
      </w:r>
      <w:r w:rsidRPr="00E15C04">
        <w:t>Доклад Комитета по экологической политике о работе его двадцать первой сессии</w:t>
      </w:r>
    </w:p>
    <w:p w:rsidR="00E15C04" w:rsidRDefault="00E15C04" w:rsidP="00E15C04">
      <w:pPr>
        <w:pStyle w:val="SingleTxtGR"/>
        <w:suppressAutoHyphens/>
        <w:ind w:left="0" w:right="0"/>
        <w:jc w:val="left"/>
        <w:rPr>
          <w:sz w:val="28"/>
        </w:rPr>
      </w:pPr>
      <w:r>
        <w:rPr>
          <w:sz w:val="28"/>
        </w:rPr>
        <w:t>Содержание</w:t>
      </w:r>
    </w:p>
    <w:p w:rsidR="00E15C04" w:rsidRDefault="00E15C04" w:rsidP="00E15C04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9638"/>
        </w:tabs>
        <w:suppressAutoHyphens/>
        <w:ind w:left="283" w:right="0"/>
        <w:jc w:val="left"/>
        <w:rPr>
          <w:sz w:val="18"/>
        </w:rPr>
      </w:pPr>
      <w:r>
        <w:rPr>
          <w:i/>
          <w:sz w:val="18"/>
        </w:rPr>
        <w:tab/>
        <w:t>Стр.</w:t>
      </w:r>
    </w:p>
    <w:p w:rsidR="00E15C04" w:rsidRPr="00D36BA2" w:rsidRDefault="00E15C04" w:rsidP="00E15C04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ind w:left="0" w:right="0"/>
        <w:jc w:val="left"/>
      </w:pPr>
      <w:r w:rsidRPr="002C5DF6">
        <w:tab/>
      </w:r>
      <w:r>
        <w:rPr>
          <w:lang w:val="en-US"/>
        </w:rPr>
        <w:t>I</w:t>
      </w:r>
      <w:r w:rsidRPr="00D36BA2">
        <w:t>.</w:t>
      </w:r>
      <w:r w:rsidRPr="00D36BA2">
        <w:tab/>
      </w:r>
      <w:r w:rsidRPr="00E15C04">
        <w:t>Введение</w:t>
      </w:r>
      <w:r w:rsidR="0054122F">
        <w:tab/>
      </w:r>
      <w:r w:rsidRPr="00D36BA2">
        <w:tab/>
      </w:r>
      <w:r w:rsidR="00D36BA2" w:rsidRPr="00D36BA2">
        <w:t>3</w:t>
      </w:r>
    </w:p>
    <w:p w:rsidR="00E15C04" w:rsidRPr="00D36BA2" w:rsidRDefault="00E15C04" w:rsidP="00E15C04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ind w:left="0" w:right="0"/>
        <w:jc w:val="left"/>
      </w:pPr>
      <w:r w:rsidRPr="00D36BA2">
        <w:tab/>
      </w:r>
      <w:r w:rsidRPr="00D36BA2">
        <w:tab/>
      </w:r>
      <w:r>
        <w:rPr>
          <w:lang w:val="en-US"/>
        </w:rPr>
        <w:t>A</w:t>
      </w:r>
      <w:r w:rsidRPr="00D36BA2">
        <w:t>.</w:t>
      </w:r>
      <w:r w:rsidRPr="00D36BA2">
        <w:tab/>
      </w:r>
      <w:r w:rsidRPr="00E15C04">
        <w:t>Участники</w:t>
      </w:r>
      <w:r w:rsidRPr="00D36BA2">
        <w:tab/>
      </w:r>
      <w:r w:rsidR="00D36BA2" w:rsidRPr="00D36BA2">
        <w:tab/>
        <w:t>3</w:t>
      </w:r>
    </w:p>
    <w:p w:rsidR="00E15C04" w:rsidRPr="00D36BA2" w:rsidRDefault="00E15C04" w:rsidP="00E15C04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ind w:left="0" w:right="0"/>
        <w:jc w:val="left"/>
      </w:pPr>
      <w:r w:rsidRPr="00D36BA2">
        <w:tab/>
      </w:r>
      <w:r w:rsidRPr="00D36BA2">
        <w:tab/>
      </w:r>
      <w:r w:rsidRPr="00E15C04">
        <w:t>В.</w:t>
      </w:r>
      <w:r w:rsidRPr="00E15C04">
        <w:tab/>
        <w:t>Открытие сессии и организационные вопросы</w:t>
      </w:r>
      <w:r w:rsidRPr="00D36BA2">
        <w:tab/>
      </w:r>
      <w:r w:rsidR="00D36BA2" w:rsidRPr="00D36BA2">
        <w:tab/>
        <w:t>4</w:t>
      </w:r>
    </w:p>
    <w:p w:rsidR="00E15C04" w:rsidRPr="00D36BA2" w:rsidRDefault="00E15C04" w:rsidP="00E15C04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ind w:left="0" w:right="0"/>
        <w:jc w:val="left"/>
      </w:pPr>
      <w:r w:rsidRPr="00D36BA2">
        <w:tab/>
      </w:r>
      <w:r w:rsidRPr="00E15C04">
        <w:t>II</w:t>
      </w:r>
      <w:r>
        <w:t>.</w:t>
      </w:r>
      <w:r w:rsidRPr="00D36BA2">
        <w:tab/>
      </w:r>
      <w:r w:rsidRPr="00E15C04">
        <w:t>Итоги работы Президиума</w:t>
      </w:r>
      <w:r w:rsidR="00E3745D" w:rsidRPr="00D36BA2">
        <w:tab/>
      </w:r>
      <w:r w:rsidR="00D36BA2" w:rsidRPr="00D36BA2">
        <w:tab/>
        <w:t>4</w:t>
      </w:r>
    </w:p>
    <w:p w:rsidR="00E15C04" w:rsidRPr="00D36BA2" w:rsidRDefault="00E15C04" w:rsidP="00E15C04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ind w:left="0" w:right="0"/>
        <w:jc w:val="left"/>
      </w:pPr>
      <w:r w:rsidRPr="00D36BA2">
        <w:tab/>
      </w:r>
      <w:r w:rsidRPr="00E15C04">
        <w:t>III</w:t>
      </w:r>
      <w:r>
        <w:t>.</w:t>
      </w:r>
      <w:r w:rsidRPr="00E15C04">
        <w:tab/>
        <w:t>Устойчивое развитие в регионе</w:t>
      </w:r>
      <w:r w:rsidR="00E3745D" w:rsidRPr="00D36BA2">
        <w:tab/>
      </w:r>
      <w:r w:rsidR="00D36BA2" w:rsidRPr="00D36BA2">
        <w:tab/>
        <w:t>4</w:t>
      </w:r>
    </w:p>
    <w:p w:rsidR="00E15C04" w:rsidRPr="00D36BA2" w:rsidRDefault="00E15C04" w:rsidP="00E15C04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ind w:left="0" w:right="0"/>
        <w:jc w:val="left"/>
      </w:pPr>
      <w:r w:rsidRPr="00D36BA2">
        <w:tab/>
      </w:r>
      <w:r w:rsidRPr="00E15C04">
        <w:t>IV.</w:t>
      </w:r>
      <w:r w:rsidRPr="00D36BA2">
        <w:tab/>
      </w:r>
      <w:r w:rsidRPr="00E15C04">
        <w:t>Многосторонние природоохранные соглашения</w:t>
      </w:r>
      <w:r w:rsidR="00E3745D" w:rsidRPr="00D36BA2">
        <w:tab/>
      </w:r>
      <w:r w:rsidR="00D36BA2" w:rsidRPr="00D36BA2">
        <w:tab/>
        <w:t>6</w:t>
      </w:r>
    </w:p>
    <w:p w:rsidR="00E15C04" w:rsidRPr="00D36BA2" w:rsidRDefault="00E15C04" w:rsidP="00E15C04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ind w:left="0" w:right="0"/>
        <w:jc w:val="left"/>
      </w:pPr>
      <w:r w:rsidRPr="00D36BA2">
        <w:tab/>
      </w:r>
      <w:r w:rsidRPr="00E15C04">
        <w:t>V.</w:t>
      </w:r>
      <w:r w:rsidRPr="00E15C04">
        <w:tab/>
        <w:t xml:space="preserve">Восьмая Конференция министров </w:t>
      </w:r>
      <w:r w:rsidR="0069319F">
        <w:t>«</w:t>
      </w:r>
      <w:r w:rsidRPr="00E15C04">
        <w:t>Окружающая среда для Европы</w:t>
      </w:r>
      <w:r w:rsidR="0069319F">
        <w:t>»</w:t>
      </w:r>
      <w:r w:rsidR="00E3745D" w:rsidRPr="0069319F">
        <w:tab/>
      </w:r>
      <w:r w:rsidR="00D36BA2" w:rsidRPr="00D36BA2">
        <w:tab/>
        <w:t>8</w:t>
      </w:r>
    </w:p>
    <w:p w:rsidR="00E3745D" w:rsidRPr="002C5DF6" w:rsidRDefault="00E15C04" w:rsidP="00E15C04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ind w:left="0" w:right="0"/>
        <w:jc w:val="left"/>
      </w:pPr>
      <w:r w:rsidRPr="0069319F">
        <w:tab/>
      </w:r>
      <w:r w:rsidRPr="0069319F">
        <w:tab/>
      </w:r>
      <w:r w:rsidRPr="00E15C04">
        <w:t>A</w:t>
      </w:r>
      <w:r>
        <w:t>.</w:t>
      </w:r>
      <w:r w:rsidRPr="00E15C04">
        <w:tab/>
        <w:t>Подготовка в принимающей</w:t>
      </w:r>
      <w:r w:rsidR="00E3745D" w:rsidRPr="002C5DF6">
        <w:t xml:space="preserve"> </w:t>
      </w:r>
      <w:r w:rsidRPr="00E15C04">
        <w:t>стране</w:t>
      </w:r>
      <w:r w:rsidR="00E3745D" w:rsidRPr="002C5DF6">
        <w:tab/>
      </w:r>
      <w:r w:rsidR="001E0C96">
        <w:tab/>
      </w:r>
      <w:r w:rsidR="001E3DB7">
        <w:t>9</w:t>
      </w:r>
    </w:p>
    <w:p w:rsidR="00E15C04" w:rsidRPr="002C5DF6" w:rsidRDefault="00E3745D" w:rsidP="00E15C04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ind w:left="0" w:right="0"/>
        <w:jc w:val="left"/>
      </w:pPr>
      <w:r w:rsidRPr="002C5DF6">
        <w:tab/>
      </w:r>
      <w:r w:rsidRPr="002C5DF6">
        <w:tab/>
      </w:r>
      <w:r w:rsidR="00E15C04" w:rsidRPr="00E15C04">
        <w:t>B</w:t>
      </w:r>
      <w:r>
        <w:t>.</w:t>
      </w:r>
      <w:r w:rsidRPr="002C5DF6">
        <w:tab/>
      </w:r>
      <w:proofErr w:type="spellStart"/>
      <w:r w:rsidR="00E15C04" w:rsidRPr="00E15C04">
        <w:t>Экологизация</w:t>
      </w:r>
      <w:proofErr w:type="spellEnd"/>
      <w:r w:rsidR="00E15C04" w:rsidRPr="00E15C04">
        <w:t xml:space="preserve"> экономики</w:t>
      </w:r>
      <w:r w:rsidRPr="002C5DF6">
        <w:tab/>
      </w:r>
      <w:r w:rsidR="001E0C96">
        <w:tab/>
      </w:r>
      <w:r w:rsidR="001E3DB7">
        <w:t>9</w:t>
      </w:r>
    </w:p>
    <w:p w:rsidR="00E15C04" w:rsidRPr="002C5DF6" w:rsidRDefault="00E3745D" w:rsidP="00E15C04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ind w:left="0" w:right="0"/>
        <w:jc w:val="left"/>
      </w:pPr>
      <w:r w:rsidRPr="002C5DF6">
        <w:tab/>
      </w:r>
      <w:r w:rsidRPr="002C5DF6">
        <w:tab/>
      </w:r>
      <w:r w:rsidR="00E15C04" w:rsidRPr="00E15C04">
        <w:t>C</w:t>
      </w:r>
      <w:r>
        <w:t>.</w:t>
      </w:r>
      <w:r w:rsidRPr="002C5DF6">
        <w:tab/>
      </w:r>
      <w:r>
        <w:t>Очистка воздуха</w:t>
      </w:r>
      <w:r w:rsidRPr="002C5DF6">
        <w:tab/>
      </w:r>
      <w:r w:rsidR="001E0C96">
        <w:tab/>
      </w:r>
      <w:r w:rsidR="001E3DB7">
        <w:t>10</w:t>
      </w:r>
    </w:p>
    <w:p w:rsidR="00E15C04" w:rsidRPr="002C5DF6" w:rsidRDefault="00E3745D" w:rsidP="00E15C04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ind w:left="0" w:right="0"/>
        <w:jc w:val="left"/>
      </w:pPr>
      <w:r w:rsidRPr="002C5DF6">
        <w:tab/>
      </w:r>
      <w:r w:rsidRPr="002C5DF6">
        <w:tab/>
      </w:r>
      <w:r>
        <w:t>D.</w:t>
      </w:r>
      <w:r w:rsidRPr="002C5DF6">
        <w:tab/>
      </w:r>
      <w:r>
        <w:t>Совместное обучение</w:t>
      </w:r>
      <w:r w:rsidRPr="002C5DF6">
        <w:tab/>
      </w:r>
      <w:r w:rsidR="001E0C96">
        <w:tab/>
      </w:r>
      <w:r w:rsidR="001E3DB7">
        <w:t>11</w:t>
      </w:r>
    </w:p>
    <w:p w:rsidR="00E15C04" w:rsidRPr="00E96C53" w:rsidRDefault="00E3745D" w:rsidP="00E3745D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ind w:left="1559" w:right="0" w:hanging="1559"/>
        <w:jc w:val="left"/>
      </w:pPr>
      <w:r w:rsidRPr="002C5DF6">
        <w:tab/>
      </w:r>
      <w:r w:rsidRPr="002C5DF6">
        <w:tab/>
      </w:r>
      <w:r>
        <w:t>Е.</w:t>
      </w:r>
      <w:r w:rsidRPr="00E3745D">
        <w:tab/>
      </w:r>
      <w:r w:rsidR="00E15C04" w:rsidRPr="00E15C04">
        <w:t xml:space="preserve">Развитие Общей системы экологической информации и введение </w:t>
      </w:r>
      <w:r w:rsidRPr="00E3745D">
        <w:br/>
      </w:r>
      <w:r w:rsidR="00E15C04" w:rsidRPr="00E15C04">
        <w:t xml:space="preserve">регулярной оценки состояния окружающей </w:t>
      </w:r>
      <w:r>
        <w:t xml:space="preserve">среды </w:t>
      </w:r>
      <w:r w:rsidRPr="00E3745D">
        <w:br/>
      </w:r>
      <w:r>
        <w:t>в общеевропейском регионе</w:t>
      </w:r>
      <w:r w:rsidRPr="00E96C53">
        <w:tab/>
      </w:r>
      <w:r w:rsidR="001E0C96">
        <w:tab/>
      </w:r>
      <w:r w:rsidR="001E3DB7">
        <w:t>11</w:t>
      </w:r>
    </w:p>
    <w:p w:rsidR="00E15C04" w:rsidRPr="002C5DF6" w:rsidRDefault="00E3745D" w:rsidP="00E15C04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ind w:left="0" w:right="0"/>
        <w:jc w:val="left"/>
      </w:pPr>
      <w:r w:rsidRPr="00E96C53">
        <w:tab/>
      </w:r>
      <w:r w:rsidRPr="00E96C53">
        <w:tab/>
      </w:r>
      <w:r>
        <w:t>F.</w:t>
      </w:r>
      <w:r w:rsidRPr="00E3745D">
        <w:tab/>
      </w:r>
      <w:r w:rsidR="00E15C04" w:rsidRPr="00E15C04">
        <w:t>Предлагаемые итоговые документы Конференции</w:t>
      </w:r>
      <w:r w:rsidRPr="002C5DF6">
        <w:tab/>
      </w:r>
      <w:r w:rsidR="001E0C96">
        <w:tab/>
      </w:r>
      <w:r w:rsidR="001E3DB7">
        <w:t>13</w:t>
      </w:r>
    </w:p>
    <w:p w:rsidR="00E15C04" w:rsidRPr="002C5DF6" w:rsidRDefault="00E3745D" w:rsidP="00E15C04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ind w:left="0" w:right="0"/>
        <w:jc w:val="left"/>
      </w:pPr>
      <w:r w:rsidRPr="002C5DF6">
        <w:tab/>
      </w:r>
      <w:r w:rsidRPr="002C5DF6">
        <w:tab/>
      </w:r>
      <w:r w:rsidR="00E15C04" w:rsidRPr="00E15C04">
        <w:t>G</w:t>
      </w:r>
      <w:r>
        <w:t>.</w:t>
      </w:r>
      <w:r w:rsidRPr="00E3745D">
        <w:tab/>
      </w:r>
      <w:r w:rsidR="00E15C04" w:rsidRPr="00E15C04">
        <w:t>Проект повестки дня Конференции</w:t>
      </w:r>
      <w:r w:rsidRPr="002C5DF6">
        <w:tab/>
      </w:r>
      <w:r w:rsidR="001E0C96">
        <w:tab/>
      </w:r>
      <w:r w:rsidR="001E3DB7">
        <w:t>13</w:t>
      </w:r>
    </w:p>
    <w:p w:rsidR="00E15C04" w:rsidRPr="002C5DF6" w:rsidRDefault="00E3745D" w:rsidP="00E15C04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ind w:left="0" w:right="0"/>
        <w:jc w:val="left"/>
      </w:pPr>
      <w:r w:rsidRPr="002C5DF6">
        <w:tab/>
      </w:r>
      <w:r w:rsidRPr="002C5DF6">
        <w:tab/>
      </w:r>
      <w:r>
        <w:t>Н.</w:t>
      </w:r>
      <w:r w:rsidRPr="00E3745D">
        <w:tab/>
      </w:r>
      <w:r w:rsidR="00E15C04" w:rsidRPr="00E15C04">
        <w:t>План коммуникационной стратегии для Конференции</w:t>
      </w:r>
      <w:r w:rsidRPr="002C5DF6">
        <w:tab/>
      </w:r>
      <w:r w:rsidR="001E0C96">
        <w:tab/>
      </w:r>
      <w:r w:rsidR="001E3DB7">
        <w:t>14</w:t>
      </w:r>
    </w:p>
    <w:p w:rsidR="00E15C04" w:rsidRPr="002C5DF6" w:rsidRDefault="00E3745D" w:rsidP="00E15C04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ind w:left="0" w:right="0"/>
        <w:jc w:val="left"/>
      </w:pPr>
      <w:r w:rsidRPr="002C5DF6">
        <w:tab/>
      </w:r>
      <w:r w:rsidRPr="002C5DF6">
        <w:tab/>
      </w:r>
      <w:r>
        <w:t>J.</w:t>
      </w:r>
      <w:r w:rsidRPr="00E3745D">
        <w:tab/>
      </w:r>
      <w:r w:rsidR="00E15C04" w:rsidRPr="00E15C04">
        <w:t>Потребности в ресурсах для подготовки Конференции</w:t>
      </w:r>
      <w:r w:rsidRPr="002C5DF6">
        <w:tab/>
      </w:r>
      <w:r w:rsidR="001E0C96">
        <w:tab/>
      </w:r>
      <w:r w:rsidR="001E3DB7">
        <w:t>14</w:t>
      </w:r>
    </w:p>
    <w:p w:rsidR="00E15C04" w:rsidRPr="002C5DF6" w:rsidRDefault="00E3745D" w:rsidP="00E15C04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ind w:left="0" w:right="0"/>
        <w:jc w:val="left"/>
      </w:pPr>
      <w:r w:rsidRPr="002C5DF6">
        <w:lastRenderedPageBreak/>
        <w:tab/>
      </w:r>
      <w:r>
        <w:t>VI.</w:t>
      </w:r>
      <w:r w:rsidRPr="00E3745D">
        <w:tab/>
      </w:r>
      <w:r w:rsidR="00E15C04" w:rsidRPr="00E15C04">
        <w:t>Обзоры результативности экологической деятельности</w:t>
      </w:r>
      <w:r w:rsidRPr="002C5DF6">
        <w:tab/>
      </w:r>
      <w:r w:rsidR="001E0C96">
        <w:tab/>
      </w:r>
      <w:r w:rsidR="001E3DB7">
        <w:t>15</w:t>
      </w:r>
    </w:p>
    <w:p w:rsidR="00E15C04" w:rsidRPr="002C5DF6" w:rsidRDefault="00E3745D" w:rsidP="00E15C04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ind w:left="0" w:right="0"/>
        <w:jc w:val="left"/>
      </w:pPr>
      <w:r w:rsidRPr="002C5DF6">
        <w:tab/>
      </w:r>
      <w:r>
        <w:t>VII.</w:t>
      </w:r>
      <w:r w:rsidRPr="002C5DF6">
        <w:tab/>
      </w:r>
      <w:proofErr w:type="spellStart"/>
      <w:r w:rsidR="00E15C04" w:rsidRPr="00E15C04">
        <w:t>Межсекторальная</w:t>
      </w:r>
      <w:proofErr w:type="spellEnd"/>
      <w:r w:rsidR="00E15C04" w:rsidRPr="00E15C04">
        <w:t xml:space="preserve"> деятельность</w:t>
      </w:r>
      <w:r w:rsidRPr="002C5DF6">
        <w:tab/>
      </w:r>
      <w:r w:rsidR="001E0C96">
        <w:tab/>
      </w:r>
      <w:r w:rsidR="001E3DB7">
        <w:t>18</w:t>
      </w:r>
    </w:p>
    <w:p w:rsidR="00E15C04" w:rsidRPr="00E3745D" w:rsidRDefault="00E3745D" w:rsidP="00E3745D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ind w:left="1559" w:right="0" w:hanging="1559"/>
        <w:jc w:val="left"/>
      </w:pPr>
      <w:r w:rsidRPr="002C5DF6">
        <w:tab/>
      </w:r>
      <w:r w:rsidRPr="002C5DF6">
        <w:tab/>
      </w:r>
      <w:r>
        <w:t>А.</w:t>
      </w:r>
      <w:r w:rsidRPr="00E3745D">
        <w:tab/>
      </w:r>
      <w:r w:rsidR="00E15C04" w:rsidRPr="00E15C04">
        <w:t xml:space="preserve">Общеевропейская программа по транспорту, охране здоровья </w:t>
      </w:r>
      <w:r w:rsidRPr="00E3745D">
        <w:br/>
      </w:r>
      <w:r>
        <w:t>и окружающей среде</w:t>
      </w:r>
      <w:r w:rsidRPr="00E3745D">
        <w:tab/>
      </w:r>
      <w:r w:rsidR="001E0C96">
        <w:tab/>
      </w:r>
      <w:r w:rsidR="001E3DB7">
        <w:t>18</w:t>
      </w:r>
    </w:p>
    <w:p w:rsidR="00E15C04" w:rsidRPr="002C5DF6" w:rsidRDefault="00E3745D" w:rsidP="00E15C04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ind w:left="0" w:right="0"/>
        <w:jc w:val="left"/>
      </w:pPr>
      <w:r w:rsidRPr="002C5DF6">
        <w:tab/>
      </w:r>
      <w:r w:rsidRPr="002C5DF6">
        <w:tab/>
      </w:r>
      <w:r>
        <w:t>B.</w:t>
      </w:r>
      <w:r w:rsidRPr="00E3745D">
        <w:tab/>
      </w:r>
      <w:r w:rsidR="00E15C04" w:rsidRPr="00E15C04">
        <w:t>Окружающая среда и безопасность</w:t>
      </w:r>
      <w:r w:rsidRPr="002C5DF6">
        <w:tab/>
      </w:r>
      <w:r w:rsidR="001E0C96">
        <w:tab/>
      </w:r>
      <w:r w:rsidR="001E3DB7">
        <w:t>19</w:t>
      </w:r>
    </w:p>
    <w:p w:rsidR="00E15C04" w:rsidRPr="00E3745D" w:rsidRDefault="00E3745D" w:rsidP="00E15C04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ind w:left="0" w:right="0"/>
        <w:jc w:val="left"/>
      </w:pPr>
      <w:r w:rsidRPr="002C5DF6">
        <w:tab/>
      </w:r>
      <w:r w:rsidRPr="002C5DF6">
        <w:tab/>
      </w:r>
      <w:r>
        <w:t xml:space="preserve">C. </w:t>
      </w:r>
      <w:r w:rsidRPr="00E3745D">
        <w:tab/>
      </w:r>
      <w:r w:rsidR="00E15C04" w:rsidRPr="00E15C04">
        <w:t>Европейский процес</w:t>
      </w:r>
      <w:r>
        <w:t xml:space="preserve">с </w:t>
      </w:r>
      <w:r w:rsidR="0069319F">
        <w:t>«</w:t>
      </w:r>
      <w:r>
        <w:t>Окружающая среда и здоровье</w:t>
      </w:r>
      <w:r w:rsidR="0069319F">
        <w:t>»</w:t>
      </w:r>
      <w:r w:rsidRPr="00E3745D">
        <w:tab/>
      </w:r>
      <w:r w:rsidR="001E0C96">
        <w:tab/>
      </w:r>
      <w:r w:rsidR="001E3DB7">
        <w:t>20</w:t>
      </w:r>
    </w:p>
    <w:p w:rsidR="00E15C04" w:rsidRPr="002C5DF6" w:rsidRDefault="00E3745D" w:rsidP="00E15C04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ind w:left="0" w:right="0"/>
        <w:jc w:val="left"/>
      </w:pPr>
      <w:r w:rsidRPr="0069319F">
        <w:tab/>
      </w:r>
      <w:r w:rsidRPr="0069319F">
        <w:tab/>
      </w:r>
      <w:r>
        <w:t>D.</w:t>
      </w:r>
      <w:r w:rsidRPr="002C5DF6">
        <w:tab/>
      </w:r>
      <w:r w:rsidR="006E3113">
        <w:t xml:space="preserve">Строительство </w:t>
      </w:r>
      <w:r w:rsidR="0069319F">
        <w:t>«</w:t>
      </w:r>
      <w:r w:rsidR="00E15C04" w:rsidRPr="00E15C04">
        <w:t>зеленых</w:t>
      </w:r>
      <w:r w:rsidR="0069319F">
        <w:t>»</w:t>
      </w:r>
      <w:r w:rsidR="00E15C04" w:rsidRPr="00E15C04">
        <w:t xml:space="preserve"> зданий</w:t>
      </w:r>
      <w:r w:rsidRPr="002C5DF6">
        <w:tab/>
      </w:r>
      <w:r w:rsidR="001E0C96">
        <w:tab/>
      </w:r>
      <w:r w:rsidR="001E3DB7">
        <w:t>21</w:t>
      </w:r>
    </w:p>
    <w:p w:rsidR="00E15C04" w:rsidRPr="0069319F" w:rsidRDefault="00E3745D" w:rsidP="00E15C04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ind w:left="0" w:right="0"/>
        <w:jc w:val="left"/>
      </w:pPr>
      <w:r w:rsidRPr="002C5DF6">
        <w:tab/>
      </w:r>
      <w:r>
        <w:t>VIII.</w:t>
      </w:r>
      <w:r w:rsidRPr="00E3745D">
        <w:tab/>
      </w:r>
      <w:r w:rsidR="00E15C04" w:rsidRPr="00E15C04">
        <w:t>Программа работы Подпрограммы</w:t>
      </w:r>
      <w:r w:rsidR="0069319F">
        <w:t xml:space="preserve"> </w:t>
      </w:r>
      <w:r w:rsidR="002C5DF6">
        <w:t xml:space="preserve">по </w:t>
      </w:r>
      <w:r w:rsidR="00E15C04" w:rsidRPr="00E15C04">
        <w:t>окружающей среде</w:t>
      </w:r>
      <w:r w:rsidRPr="0069319F">
        <w:tab/>
      </w:r>
      <w:r w:rsidR="001E0C96">
        <w:tab/>
      </w:r>
      <w:r w:rsidR="001E3DB7">
        <w:t>22</w:t>
      </w:r>
    </w:p>
    <w:p w:rsidR="00E15C04" w:rsidRPr="002C5DF6" w:rsidRDefault="00E3745D" w:rsidP="00E15C04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ind w:left="0" w:right="0"/>
        <w:jc w:val="left"/>
      </w:pPr>
      <w:r w:rsidRPr="0069319F">
        <w:tab/>
      </w:r>
      <w:r w:rsidRPr="0069319F">
        <w:tab/>
      </w:r>
      <w:r>
        <w:t>А.</w:t>
      </w:r>
      <w:r w:rsidRPr="00E3745D">
        <w:tab/>
      </w:r>
      <w:r w:rsidR="00E15C04" w:rsidRPr="00E15C04">
        <w:t>Рационализация работы по мониторингу и оценке окружающей среды</w:t>
      </w:r>
      <w:r w:rsidRPr="002C5DF6">
        <w:tab/>
      </w:r>
      <w:r w:rsidR="001E0C96">
        <w:tab/>
      </w:r>
      <w:r w:rsidR="001E3DB7">
        <w:t>22</w:t>
      </w:r>
    </w:p>
    <w:p w:rsidR="00E15C04" w:rsidRPr="002C5DF6" w:rsidRDefault="00E3745D" w:rsidP="00E15C04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ind w:left="0" w:right="0"/>
        <w:jc w:val="left"/>
      </w:pPr>
      <w:r w:rsidRPr="002C5DF6">
        <w:tab/>
      </w:r>
      <w:r w:rsidRPr="002C5DF6">
        <w:tab/>
      </w:r>
      <w:r w:rsidR="00E15C04" w:rsidRPr="00E15C04">
        <w:t>B.</w:t>
      </w:r>
      <w:r w:rsidRPr="00E3745D">
        <w:tab/>
      </w:r>
      <w:r w:rsidR="00E15C04" w:rsidRPr="00E15C04">
        <w:t>Учет гендерной проблематики в природоохранной деятельности</w:t>
      </w:r>
      <w:r w:rsidRPr="002C5DF6">
        <w:tab/>
      </w:r>
      <w:r w:rsidR="001E0C96">
        <w:tab/>
      </w:r>
      <w:r w:rsidR="001E3DB7">
        <w:t>23</w:t>
      </w:r>
    </w:p>
    <w:p w:rsidR="00E15C04" w:rsidRPr="00E3745D" w:rsidRDefault="00E3745D" w:rsidP="00E3745D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ind w:left="1559" w:right="0" w:hanging="1559"/>
        <w:jc w:val="left"/>
      </w:pPr>
      <w:r w:rsidRPr="002C5DF6">
        <w:tab/>
      </w:r>
      <w:r w:rsidRPr="002C5DF6">
        <w:tab/>
      </w:r>
      <w:r>
        <w:t xml:space="preserve">C. </w:t>
      </w:r>
      <w:r w:rsidRPr="00E3745D">
        <w:tab/>
      </w:r>
      <w:r w:rsidR="00E15C04" w:rsidRPr="00E15C04">
        <w:t xml:space="preserve">Оценка результативности Подпрограммы по окружающей среде </w:t>
      </w:r>
      <w:r w:rsidRPr="00E3745D">
        <w:br/>
      </w:r>
      <w:r w:rsidR="00E15C04" w:rsidRPr="00E15C04">
        <w:t>в 2014–2015 годах и план оценки рез</w:t>
      </w:r>
      <w:r>
        <w:t>ультативности на 2016–2017 годы</w:t>
      </w:r>
      <w:r w:rsidRPr="00E3745D">
        <w:tab/>
      </w:r>
      <w:r w:rsidR="001E0C96">
        <w:tab/>
      </w:r>
      <w:r w:rsidR="001E3DB7">
        <w:t>24</w:t>
      </w:r>
    </w:p>
    <w:p w:rsidR="00E15C04" w:rsidRPr="002C5DF6" w:rsidRDefault="00E3745D" w:rsidP="00E3745D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ind w:left="1559" w:right="0" w:hanging="1559"/>
        <w:jc w:val="left"/>
      </w:pPr>
      <w:r w:rsidRPr="002C5DF6">
        <w:tab/>
      </w:r>
      <w:r w:rsidRPr="002C5DF6">
        <w:tab/>
      </w:r>
      <w:r>
        <w:t>D.</w:t>
      </w:r>
      <w:r w:rsidRPr="00E3745D">
        <w:tab/>
      </w:r>
      <w:r w:rsidR="00E15C04" w:rsidRPr="00E15C04">
        <w:t xml:space="preserve">Программа работы и перечень публикаций Подпрограммы по окружающей </w:t>
      </w:r>
      <w:r w:rsidRPr="00E3745D">
        <w:br/>
      </w:r>
      <w:r w:rsidR="00E15C04" w:rsidRPr="00E15C04">
        <w:t>среде на 2016–2017 годы</w:t>
      </w:r>
      <w:r w:rsidRPr="002C5DF6">
        <w:tab/>
      </w:r>
      <w:r w:rsidR="001E0C96">
        <w:tab/>
      </w:r>
      <w:r w:rsidR="001E3DB7">
        <w:t>24</w:t>
      </w:r>
    </w:p>
    <w:p w:rsidR="00E15C04" w:rsidRPr="006E3113" w:rsidRDefault="00E3745D" w:rsidP="006E3113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ind w:left="1559" w:right="0" w:hanging="1559"/>
        <w:jc w:val="left"/>
      </w:pPr>
      <w:r w:rsidRPr="002C5DF6">
        <w:tab/>
      </w:r>
      <w:r w:rsidRPr="002C5DF6">
        <w:tab/>
      </w:r>
      <w:r>
        <w:t>Е.</w:t>
      </w:r>
      <w:r w:rsidRPr="00E3745D">
        <w:tab/>
      </w:r>
      <w:r w:rsidR="00E15C04" w:rsidRPr="00E15C04">
        <w:t xml:space="preserve">Предлагаемые стратегические рамки Подпрограммы по окружающей </w:t>
      </w:r>
      <w:r w:rsidRPr="00E3745D">
        <w:br/>
      </w:r>
      <w:r w:rsidR="006E3113" w:rsidRPr="00E15C04">
        <w:t xml:space="preserve">среде </w:t>
      </w:r>
      <w:r w:rsidR="00E15C04" w:rsidRPr="00E15C04">
        <w:t>на 2018–2019 годы</w:t>
      </w:r>
      <w:r w:rsidR="006E3113" w:rsidRPr="006E3113">
        <w:tab/>
      </w:r>
      <w:r w:rsidR="001E0C96">
        <w:tab/>
      </w:r>
      <w:r w:rsidR="001E3DB7">
        <w:t>24</w:t>
      </w:r>
    </w:p>
    <w:p w:rsidR="00E15C04" w:rsidRPr="002C5DF6" w:rsidRDefault="006E3113" w:rsidP="006E3113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ind w:left="1559" w:right="0" w:hanging="1559"/>
        <w:jc w:val="left"/>
      </w:pPr>
      <w:r w:rsidRPr="002C5DF6">
        <w:tab/>
      </w:r>
      <w:r w:rsidRPr="002C5DF6">
        <w:tab/>
      </w:r>
      <w:r>
        <w:t>F.</w:t>
      </w:r>
      <w:r w:rsidRPr="006E3113">
        <w:tab/>
      </w:r>
      <w:r w:rsidR="00E15C04" w:rsidRPr="00E15C04">
        <w:t xml:space="preserve">Обзор ресурсов для осуществления природоохранной деятельности </w:t>
      </w:r>
      <w:r w:rsidRPr="006E3113">
        <w:br/>
      </w:r>
      <w:r w:rsidR="00E15C04" w:rsidRPr="00E15C04">
        <w:t xml:space="preserve">и критерии оказания финансовой поддержки для участия в совещаниях </w:t>
      </w:r>
      <w:r w:rsidRPr="006E3113">
        <w:br/>
      </w:r>
      <w:r w:rsidR="00E15C04" w:rsidRPr="00E15C04">
        <w:t>и мероприятиях</w:t>
      </w:r>
      <w:r w:rsidRPr="002C5DF6">
        <w:tab/>
      </w:r>
      <w:r w:rsidR="001E0C96">
        <w:tab/>
      </w:r>
      <w:r w:rsidR="001E3DB7">
        <w:t>25</w:t>
      </w:r>
    </w:p>
    <w:p w:rsidR="00E15C04" w:rsidRPr="00E15C04" w:rsidRDefault="006E3113" w:rsidP="006E3113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ind w:right="0" w:hanging="1134"/>
        <w:jc w:val="left"/>
      </w:pPr>
      <w:r w:rsidRPr="002C5DF6">
        <w:tab/>
      </w:r>
      <w:r>
        <w:t>IX.</w:t>
      </w:r>
      <w:r w:rsidRPr="006E3113">
        <w:tab/>
      </w:r>
      <w:r w:rsidR="00E15C04" w:rsidRPr="00E15C04">
        <w:t>Предста</w:t>
      </w:r>
      <w:r>
        <w:t xml:space="preserve">вление мнений и обмен мнениями </w:t>
      </w:r>
      <w:r w:rsidR="00E15C04" w:rsidRPr="00E15C04">
        <w:t xml:space="preserve">о второй Ассамблее Организации </w:t>
      </w:r>
      <w:r>
        <w:br/>
      </w:r>
      <w:r w:rsidR="00E15C04" w:rsidRPr="00E15C04">
        <w:t>Объединенных Наций по окружающей среде</w:t>
      </w:r>
      <w:r w:rsidR="00E96C53">
        <w:tab/>
      </w:r>
      <w:r w:rsidR="001E0C96">
        <w:tab/>
      </w:r>
      <w:r w:rsidR="001E3DB7">
        <w:t>25</w:t>
      </w:r>
    </w:p>
    <w:p w:rsidR="00E15C04" w:rsidRPr="002C5DF6" w:rsidRDefault="006E3113" w:rsidP="00E15C04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ind w:left="0" w:right="0"/>
        <w:jc w:val="left"/>
      </w:pPr>
      <w:r w:rsidRPr="006E3113">
        <w:tab/>
      </w:r>
      <w:r w:rsidR="00E15C04" w:rsidRPr="00E15C04">
        <w:t>X.</w:t>
      </w:r>
      <w:r w:rsidRPr="006E3113">
        <w:tab/>
      </w:r>
      <w:r w:rsidR="00E15C04" w:rsidRPr="00E15C04">
        <w:t>Правила процедуры</w:t>
      </w:r>
      <w:r w:rsidRPr="002C5DF6">
        <w:tab/>
      </w:r>
      <w:r w:rsidR="001E0C96">
        <w:tab/>
      </w:r>
      <w:r w:rsidR="001E3DB7">
        <w:t>26</w:t>
      </w:r>
    </w:p>
    <w:p w:rsidR="00E15C04" w:rsidRPr="002C5DF6" w:rsidRDefault="006E3113" w:rsidP="00E15C04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ind w:left="0" w:right="0"/>
        <w:jc w:val="left"/>
      </w:pPr>
      <w:r w:rsidRPr="002C5DF6">
        <w:tab/>
      </w:r>
      <w:r w:rsidR="00E15C04" w:rsidRPr="00E15C04">
        <w:t>XI</w:t>
      </w:r>
      <w:r>
        <w:t>.</w:t>
      </w:r>
      <w:r w:rsidRPr="002C5DF6">
        <w:tab/>
      </w:r>
      <w:r w:rsidR="00E15C04" w:rsidRPr="00E15C04">
        <w:t>Выборы должностных лиц</w:t>
      </w:r>
      <w:r w:rsidRPr="002C5DF6">
        <w:tab/>
      </w:r>
      <w:r w:rsidR="001E0C96">
        <w:tab/>
      </w:r>
      <w:r w:rsidR="001E3DB7">
        <w:t>26</w:t>
      </w:r>
    </w:p>
    <w:p w:rsidR="00E15C04" w:rsidRPr="002C5DF6" w:rsidRDefault="006E3113" w:rsidP="00E15C04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ind w:left="0" w:right="0"/>
        <w:jc w:val="left"/>
      </w:pPr>
      <w:r w:rsidRPr="002C5DF6">
        <w:tab/>
      </w:r>
      <w:r w:rsidR="00E15C04" w:rsidRPr="00E15C04">
        <w:t>XII.</w:t>
      </w:r>
      <w:r w:rsidRPr="006E3113">
        <w:tab/>
      </w:r>
      <w:r>
        <w:t>Расписание совещаний</w:t>
      </w:r>
      <w:r w:rsidRPr="002C5DF6">
        <w:tab/>
      </w:r>
      <w:r w:rsidR="001E0C96">
        <w:tab/>
      </w:r>
      <w:r w:rsidR="001E3DB7">
        <w:t>26</w:t>
      </w:r>
    </w:p>
    <w:p w:rsidR="00E15C04" w:rsidRPr="002C5DF6" w:rsidRDefault="006E3113" w:rsidP="00E15C04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ind w:left="0" w:right="0"/>
        <w:jc w:val="left"/>
      </w:pPr>
      <w:r w:rsidRPr="002C5DF6">
        <w:tab/>
      </w:r>
      <w:r w:rsidR="00E15C04" w:rsidRPr="00E15C04">
        <w:t>XIII.</w:t>
      </w:r>
      <w:r w:rsidRPr="006E3113">
        <w:tab/>
      </w:r>
      <w:r w:rsidR="00E15C04" w:rsidRPr="00E15C04">
        <w:t>Прочие вопросы</w:t>
      </w:r>
      <w:r w:rsidRPr="002C5DF6">
        <w:tab/>
      </w:r>
      <w:r w:rsidR="001E0C96">
        <w:tab/>
      </w:r>
      <w:r w:rsidR="001E3DB7">
        <w:t>27</w:t>
      </w:r>
    </w:p>
    <w:p w:rsidR="00E15C04" w:rsidRPr="002C5DF6" w:rsidRDefault="006E3113" w:rsidP="00E15C04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ind w:left="0" w:right="0"/>
        <w:jc w:val="left"/>
      </w:pPr>
      <w:r w:rsidRPr="002C5DF6">
        <w:tab/>
      </w:r>
      <w:r>
        <w:t>XV.</w:t>
      </w:r>
      <w:r w:rsidRPr="002C5DF6">
        <w:tab/>
      </w:r>
      <w:r w:rsidR="00E15C04" w:rsidRPr="00E15C04">
        <w:t>Закрытие совещания</w:t>
      </w:r>
      <w:r w:rsidRPr="002C5DF6">
        <w:tab/>
      </w:r>
      <w:r w:rsidR="001E0C96">
        <w:tab/>
      </w:r>
      <w:r w:rsidR="001E3DB7">
        <w:t>27</w:t>
      </w:r>
    </w:p>
    <w:p w:rsidR="00E15C04" w:rsidRPr="00E15C04" w:rsidRDefault="001E0C96" w:rsidP="001E0C96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left" w:pos="284"/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ind w:left="0" w:right="0"/>
        <w:jc w:val="left"/>
      </w:pPr>
      <w:r>
        <w:tab/>
      </w:r>
      <w:r w:rsidR="00E15C04" w:rsidRPr="00E15C04">
        <w:t>Приложение</w:t>
      </w:r>
    </w:p>
    <w:p w:rsidR="00E15C04" w:rsidRPr="00C7349A" w:rsidRDefault="006E3113" w:rsidP="006E3113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ind w:right="0" w:hanging="1134"/>
        <w:jc w:val="left"/>
      </w:pPr>
      <w:r w:rsidRPr="002C5DF6">
        <w:tab/>
      </w:r>
      <w:r w:rsidRPr="002C5DF6">
        <w:tab/>
      </w:r>
      <w:r w:rsidR="00E15C04" w:rsidRPr="00E15C04">
        <w:t xml:space="preserve">Страны, имеющие право на финансовую поддержку для участия в совещаниях </w:t>
      </w:r>
      <w:r w:rsidRPr="006E3113">
        <w:br/>
      </w:r>
      <w:r w:rsidR="00E15C04" w:rsidRPr="00E15C04">
        <w:t>и мероприятиях</w:t>
      </w:r>
      <w:r w:rsidRPr="002C5DF6">
        <w:tab/>
      </w:r>
      <w:r w:rsidR="001E0C96">
        <w:tab/>
      </w:r>
      <w:r w:rsidR="001E3DB7">
        <w:t>2</w:t>
      </w:r>
      <w:r w:rsidR="00C7349A" w:rsidRPr="00C7349A">
        <w:t>8</w:t>
      </w:r>
    </w:p>
    <w:p w:rsidR="006E3113" w:rsidRPr="002C5DF6" w:rsidRDefault="006E3113">
      <w:pPr>
        <w:spacing w:line="240" w:lineRule="auto"/>
      </w:pPr>
      <w:r w:rsidRPr="002C5DF6">
        <w:br w:type="page"/>
      </w:r>
    </w:p>
    <w:p w:rsidR="006E3113" w:rsidRPr="006E3113" w:rsidRDefault="006E3113" w:rsidP="006E3113">
      <w:pPr>
        <w:pStyle w:val="HChGR"/>
      </w:pPr>
      <w:r>
        <w:lastRenderedPageBreak/>
        <w:tab/>
      </w:r>
      <w:r w:rsidRPr="006E3113">
        <w:rPr>
          <w:lang w:val="en-US"/>
        </w:rPr>
        <w:t>I</w:t>
      </w:r>
      <w:r w:rsidRPr="006E3113">
        <w:t>.</w:t>
      </w:r>
      <w:r>
        <w:tab/>
      </w:r>
      <w:r w:rsidRPr="006E3113">
        <w:t>Введение</w:t>
      </w:r>
    </w:p>
    <w:p w:rsidR="006E3113" w:rsidRPr="006E3113" w:rsidRDefault="006E3113" w:rsidP="006E3113">
      <w:pPr>
        <w:pStyle w:val="SingleTxtGR"/>
      </w:pPr>
      <w:r w:rsidRPr="006E3113">
        <w:t>1.</w:t>
      </w:r>
      <w:r w:rsidRPr="006E3113">
        <w:tab/>
        <w:t>Комитет по экологической политике провел свою двадцать первую се</w:t>
      </w:r>
      <w:r w:rsidRPr="006E3113">
        <w:t>с</w:t>
      </w:r>
      <w:r w:rsidRPr="006E3113">
        <w:t>сию 27</w:t>
      </w:r>
      <w:r>
        <w:t>–</w:t>
      </w:r>
      <w:r w:rsidRPr="006E3113">
        <w:t>30 октября 2015 года в Женеве, Швейцария. Настоящий доклад основан на резюме итогов сессии и принятых решениях, которые Комитет утвердил 30</w:t>
      </w:r>
      <w:r w:rsidR="0069319F">
        <w:t> </w:t>
      </w:r>
      <w:r w:rsidRPr="006E3113">
        <w:t>октября 2015 года</w:t>
      </w:r>
      <w:r w:rsidRPr="00E96C53">
        <w:rPr>
          <w:sz w:val="18"/>
          <w:vertAlign w:val="superscript"/>
        </w:rPr>
        <w:footnoteReference w:id="1"/>
      </w:r>
      <w:r w:rsidRPr="006E3113">
        <w:t>.</w:t>
      </w:r>
      <w:r w:rsidR="0069319F">
        <w:t xml:space="preserve"> </w:t>
      </w:r>
    </w:p>
    <w:p w:rsidR="006E3113" w:rsidRPr="006E3113" w:rsidRDefault="006E3113" w:rsidP="006E3113">
      <w:pPr>
        <w:pStyle w:val="H1GR"/>
      </w:pPr>
      <w:r>
        <w:tab/>
        <w:t>А.</w:t>
      </w:r>
      <w:r>
        <w:tab/>
      </w:r>
      <w:r w:rsidRPr="006E3113">
        <w:t>Участники</w:t>
      </w:r>
    </w:p>
    <w:p w:rsidR="006E3113" w:rsidRPr="006E3113" w:rsidRDefault="004E39D4" w:rsidP="006E3113">
      <w:pPr>
        <w:pStyle w:val="SingleTxtGR"/>
      </w:pPr>
      <w:r>
        <w:t>2.</w:t>
      </w:r>
      <w:r w:rsidR="006E3113" w:rsidRPr="006E3113">
        <w:tab/>
        <w:t xml:space="preserve">На </w:t>
      </w:r>
      <w:r w:rsidR="0069319F">
        <w:t>сессии</w:t>
      </w:r>
      <w:r w:rsidR="006E3113" w:rsidRPr="006E3113">
        <w:t xml:space="preserve"> присутствовали делегации из 39 государств</w:t>
      </w:r>
      <w:r w:rsidR="0069319F">
        <w:t xml:space="preserve"> – </w:t>
      </w:r>
      <w:r w:rsidR="006E3113" w:rsidRPr="006E3113">
        <w:t>членов Европе</w:t>
      </w:r>
      <w:r w:rsidR="006E3113" w:rsidRPr="006E3113">
        <w:t>й</w:t>
      </w:r>
      <w:r w:rsidR="006E3113" w:rsidRPr="006E3113">
        <w:t xml:space="preserve">ской экономической комиссии Организации Объединенных Наций (ЕЭК): </w:t>
      </w:r>
      <w:proofErr w:type="gramStart"/>
      <w:r w:rsidR="006E3113" w:rsidRPr="006E3113">
        <w:t>А</w:t>
      </w:r>
      <w:r w:rsidR="006E3113" w:rsidRPr="006E3113">
        <w:t>в</w:t>
      </w:r>
      <w:r w:rsidR="006E3113" w:rsidRPr="006E3113">
        <w:t>стрии, Азербайджана, Албании, Армении, Беларуси, Бельгии, Болгарии, Боснии и Герцеговины, Венгрии, Германии, Греции, Грузии, Испании, Италии, Кыргы</w:t>
      </w:r>
      <w:r w:rsidR="006E3113" w:rsidRPr="006E3113">
        <w:t>з</w:t>
      </w:r>
      <w:r w:rsidR="006E3113" w:rsidRPr="006E3113">
        <w:t>стана, Литвы, Люксембурга, Мальты, Монако, Нидерландов, Норвегии, Пол</w:t>
      </w:r>
      <w:r w:rsidR="006E3113" w:rsidRPr="006E3113">
        <w:t>ь</w:t>
      </w:r>
      <w:r w:rsidR="006E3113" w:rsidRPr="006E3113">
        <w:t>ши, Португалии, Республики Молдова, Российской Федерации, Румынии, Се</w:t>
      </w:r>
      <w:r w:rsidR="006E3113" w:rsidRPr="006E3113">
        <w:t>р</w:t>
      </w:r>
      <w:r w:rsidR="006E3113" w:rsidRPr="006E3113">
        <w:t>бии, Словакии, Словении</w:t>
      </w:r>
      <w:r w:rsidR="002C5DF6">
        <w:t>,</w:t>
      </w:r>
      <w:r w:rsidR="006E3113" w:rsidRPr="006E3113">
        <w:t xml:space="preserve"> Соединенных Штатов Америки, Таджикистана, У</w:t>
      </w:r>
      <w:r w:rsidR="006E3113" w:rsidRPr="006E3113">
        <w:t>з</w:t>
      </w:r>
      <w:r w:rsidR="006E3113" w:rsidRPr="006E3113">
        <w:t>бекистана, Финляндии, Франции, Хорватии, Чехии, Швейцарии, Швеции и Э</w:t>
      </w:r>
      <w:r w:rsidR="006E3113" w:rsidRPr="006E3113">
        <w:t>с</w:t>
      </w:r>
      <w:r w:rsidR="006E3113" w:rsidRPr="006E3113">
        <w:t>тонии.</w:t>
      </w:r>
      <w:proofErr w:type="gramEnd"/>
      <w:r w:rsidR="006E3113" w:rsidRPr="006E3113">
        <w:t xml:space="preserve"> В ней также участвовала делегация Марокко.</w:t>
      </w:r>
    </w:p>
    <w:p w:rsidR="006E3113" w:rsidRPr="006E3113" w:rsidRDefault="004E39D4" w:rsidP="006E3113">
      <w:pPr>
        <w:pStyle w:val="SingleTxtGR"/>
      </w:pPr>
      <w:r>
        <w:t>3.</w:t>
      </w:r>
      <w:r w:rsidR="006E3113" w:rsidRPr="006E3113">
        <w:tab/>
        <w:t>В сессии также участвовали председатели или заместители председат</w:t>
      </w:r>
      <w:r w:rsidR="006E3113" w:rsidRPr="006E3113">
        <w:t>е</w:t>
      </w:r>
      <w:r w:rsidR="006E3113" w:rsidRPr="006E3113">
        <w:t xml:space="preserve">лей органов следующих многосторонних природоохранных соглашений ЕЭК: </w:t>
      </w:r>
      <w:proofErr w:type="gramStart"/>
      <w:r w:rsidR="006E3113" w:rsidRPr="006E3113">
        <w:t>Конвенции о доступе к информации, участии общественности в процессе пр</w:t>
      </w:r>
      <w:r w:rsidR="006E3113" w:rsidRPr="006E3113">
        <w:t>и</w:t>
      </w:r>
      <w:r w:rsidR="006E3113" w:rsidRPr="006E3113">
        <w:t>нятия решений и доступе к правосудию по вопросам, касающимся окружающей среды (Орхусская конвенция); Конвенции об оценке воздействия на окружа</w:t>
      </w:r>
      <w:r w:rsidR="006E3113" w:rsidRPr="006E3113">
        <w:t>ю</w:t>
      </w:r>
      <w:r w:rsidR="006E3113" w:rsidRPr="006E3113">
        <w:t>щую среду в трансграничном контексте (Конвенция Эспо); Конвенции о тран</w:t>
      </w:r>
      <w:r w:rsidR="006E3113" w:rsidRPr="006E3113">
        <w:t>с</w:t>
      </w:r>
      <w:r w:rsidR="006E3113" w:rsidRPr="006E3113">
        <w:t>граничном загрязнении воздуха на большие расстояния (Конвенция по возд</w:t>
      </w:r>
      <w:r w:rsidR="006E3113" w:rsidRPr="006E3113">
        <w:t>у</w:t>
      </w:r>
      <w:r w:rsidR="006E3113" w:rsidRPr="006E3113">
        <w:t>ху); Конвенции по охране и использованию трансграничных водотоков и ме</w:t>
      </w:r>
      <w:r w:rsidR="006E3113" w:rsidRPr="006E3113">
        <w:t>ж</w:t>
      </w:r>
      <w:r w:rsidR="006E3113" w:rsidRPr="006E3113">
        <w:t>дународных озер (Конвенция по водам);</w:t>
      </w:r>
      <w:proofErr w:type="gramEnd"/>
      <w:r w:rsidR="006E3113" w:rsidRPr="006E3113">
        <w:t xml:space="preserve"> Конвенции о трансграничном возде</w:t>
      </w:r>
      <w:r w:rsidR="006E3113" w:rsidRPr="006E3113">
        <w:t>й</w:t>
      </w:r>
      <w:r w:rsidR="006E3113" w:rsidRPr="006E3113">
        <w:t>ствии промышленных аварий (Конвенция о промышленных авариях); Проток</w:t>
      </w:r>
      <w:r w:rsidR="0069319F">
        <w:t>о</w:t>
      </w:r>
      <w:r w:rsidR="0069319F">
        <w:t>ла</w:t>
      </w:r>
      <w:r w:rsidR="006E3113" w:rsidRPr="006E3113">
        <w:t xml:space="preserve"> о регистрах выбросов и переноса загрязнителей; и Протокола по стратегич</w:t>
      </w:r>
      <w:r w:rsidR="006E3113" w:rsidRPr="006E3113">
        <w:t>е</w:t>
      </w:r>
      <w:r w:rsidR="006E3113" w:rsidRPr="006E3113">
        <w:t>ской экологической оценке.</w:t>
      </w:r>
    </w:p>
    <w:p w:rsidR="006E3113" w:rsidRPr="006E3113" w:rsidRDefault="001E09CA" w:rsidP="006E3113">
      <w:pPr>
        <w:pStyle w:val="SingleTxtGR"/>
      </w:pPr>
      <w:r>
        <w:t>4.</w:t>
      </w:r>
      <w:r w:rsidR="006E3113" w:rsidRPr="006E3113">
        <w:tab/>
        <w:t>От системы Организации Объединенных Наций присутствовали предст</w:t>
      </w:r>
      <w:r w:rsidR="006E3113" w:rsidRPr="006E3113">
        <w:t>а</w:t>
      </w:r>
      <w:r w:rsidR="006E3113" w:rsidRPr="006E3113">
        <w:t>вители</w:t>
      </w:r>
      <w:r w:rsidR="0069319F">
        <w:t xml:space="preserve"> </w:t>
      </w:r>
      <w:r w:rsidR="006E3113" w:rsidRPr="006E3113">
        <w:t>Регионального бюро</w:t>
      </w:r>
      <w:r w:rsidR="0069319F">
        <w:t xml:space="preserve"> </w:t>
      </w:r>
      <w:r w:rsidR="006E3113" w:rsidRPr="006E3113">
        <w:t>по Европе Программы Организации Объединенных Наций по окружающей среде (ЮНЕП) и Европейского регионального бюро Всемирной организации здравоохранения (ВОЗ).</w:t>
      </w:r>
    </w:p>
    <w:p w:rsidR="006E3113" w:rsidRPr="006E3113" w:rsidRDefault="006E3113" w:rsidP="006E3113">
      <w:pPr>
        <w:pStyle w:val="SingleTxtGR"/>
      </w:pPr>
      <w:r w:rsidRPr="006E3113">
        <w:t>5.</w:t>
      </w:r>
      <w:r w:rsidRPr="006E3113">
        <w:tab/>
        <w:t>На совещании были представлены другие национальные, региональные и международные организации и органы, включая следующие: Европейская к</w:t>
      </w:r>
      <w:r w:rsidRPr="006E3113">
        <w:t>о</w:t>
      </w:r>
      <w:r w:rsidRPr="006E3113">
        <w:t>миссия, Европейское агентство по окружающей среде, Европейский инвест</w:t>
      </w:r>
      <w:r w:rsidRPr="006E3113">
        <w:t>и</w:t>
      </w:r>
      <w:r w:rsidRPr="006E3113">
        <w:t>ционный банк, Европейский союз, Исполнительный комитет Международного фонда спасения Арала,</w:t>
      </w:r>
      <w:r w:rsidR="0069319F">
        <w:t xml:space="preserve"> </w:t>
      </w:r>
      <w:r w:rsidRPr="006E3113">
        <w:t>Германское агентство по международному сотруднич</w:t>
      </w:r>
      <w:r w:rsidRPr="006E3113">
        <w:t>е</w:t>
      </w:r>
      <w:r w:rsidRPr="006E3113">
        <w:t xml:space="preserve">ству, Платформа знаний </w:t>
      </w:r>
      <w:r w:rsidR="0069319F">
        <w:t>о «</w:t>
      </w:r>
      <w:r w:rsidRPr="006E3113">
        <w:t>зеленом</w:t>
      </w:r>
      <w:r w:rsidR="0069319F">
        <w:t>»</w:t>
      </w:r>
      <w:r w:rsidRPr="006E3113">
        <w:t xml:space="preserve"> росте,</w:t>
      </w:r>
      <w:r w:rsidR="0069319F">
        <w:t xml:space="preserve"> </w:t>
      </w:r>
      <w:r w:rsidRPr="006E3113">
        <w:t>Организация экономического с</w:t>
      </w:r>
      <w:r w:rsidRPr="006E3113">
        <w:t>о</w:t>
      </w:r>
      <w:r w:rsidRPr="006E3113">
        <w:t>трудничества и развития (ОЭСР),</w:t>
      </w:r>
      <w:r w:rsidR="0069319F">
        <w:t xml:space="preserve"> </w:t>
      </w:r>
      <w:r w:rsidRPr="006E3113">
        <w:t>Региональный экологический центр для Ка</w:t>
      </w:r>
      <w:r w:rsidRPr="006E3113">
        <w:t>в</w:t>
      </w:r>
      <w:r w:rsidRPr="006E3113">
        <w:t>каза,</w:t>
      </w:r>
      <w:r w:rsidR="0069319F">
        <w:t xml:space="preserve"> </w:t>
      </w:r>
      <w:r w:rsidRPr="006E3113">
        <w:t>Региональный экологический центр для Центральной и Восточной Европы и Региональный экологический центр Молдовы.</w:t>
      </w:r>
    </w:p>
    <w:p w:rsidR="006E3113" w:rsidRPr="006E3113" w:rsidRDefault="006E3113" w:rsidP="006E3113">
      <w:pPr>
        <w:pStyle w:val="SingleTxtGR"/>
      </w:pPr>
      <w:r w:rsidRPr="006E3113">
        <w:t>6.</w:t>
      </w:r>
      <w:r w:rsidRPr="006E3113">
        <w:tab/>
        <w:t>Кроме того, в нем приняли участие представители следующих экологич</w:t>
      </w:r>
      <w:r w:rsidRPr="006E3113">
        <w:t>е</w:t>
      </w:r>
      <w:r w:rsidRPr="006E3113">
        <w:t>ских ассоциаций</w:t>
      </w:r>
      <w:r w:rsidR="0069319F">
        <w:t xml:space="preserve"> гражданского общества: «</w:t>
      </w:r>
      <w:r w:rsidRPr="006E3113">
        <w:t>Эко-согласия</w:t>
      </w:r>
      <w:r w:rsidR="0069319F">
        <w:t>»</w:t>
      </w:r>
      <w:r w:rsidRPr="006E3113">
        <w:t xml:space="preserve">, Европейского </w:t>
      </w:r>
      <w:r w:rsidR="004E39D4">
        <w:br/>
      </w:r>
      <w:r w:rsidRPr="006E3113">
        <w:t>ЭКО-Форума, Европейского экологического бюро, Альянса</w:t>
      </w:r>
      <w:r w:rsidR="0069319F">
        <w:t xml:space="preserve"> </w:t>
      </w:r>
      <w:r w:rsidRPr="006E3113">
        <w:t xml:space="preserve">по охране здоровья и окружающей среды и экологической сети </w:t>
      </w:r>
      <w:r w:rsidR="0069319F">
        <w:t>«</w:t>
      </w:r>
      <w:r w:rsidRPr="006E3113">
        <w:t>Зои</w:t>
      </w:r>
      <w:r w:rsidR="0069319F">
        <w:t>»</w:t>
      </w:r>
      <w:r w:rsidRPr="006E3113">
        <w:t>.</w:t>
      </w:r>
    </w:p>
    <w:p w:rsidR="006E3113" w:rsidRPr="006E3113" w:rsidRDefault="006E3113" w:rsidP="006E3113">
      <w:pPr>
        <w:pStyle w:val="H1GR"/>
      </w:pPr>
      <w:r>
        <w:lastRenderedPageBreak/>
        <w:tab/>
        <w:t>В.</w:t>
      </w:r>
      <w:r>
        <w:tab/>
      </w:r>
      <w:r w:rsidRPr="006E3113">
        <w:t>Открытие сессии и организационные вопросы</w:t>
      </w:r>
    </w:p>
    <w:p w:rsidR="006E3113" w:rsidRPr="006E3113" w:rsidRDefault="006E3113" w:rsidP="006E3113">
      <w:pPr>
        <w:pStyle w:val="SingleTxtGR"/>
      </w:pPr>
      <w:r w:rsidRPr="006E3113">
        <w:t>7.</w:t>
      </w:r>
      <w:r w:rsidRPr="006E3113">
        <w:tab/>
        <w:t xml:space="preserve">В своем вступительном </w:t>
      </w:r>
      <w:r w:rsidR="0069319F">
        <w:t>обращении</w:t>
      </w:r>
      <w:r w:rsidRPr="006E3113">
        <w:t xml:space="preserve"> исполняющий обязанности Директора Отдела окружающей среды ЕЭК подчеркнул роль Комитета в деле укрепления экологического руководства во всем регионе. В частности, была выражена надежда на то, что работа восьмой Конференци</w:t>
      </w:r>
      <w:r w:rsidR="002C5DF6">
        <w:t>и</w:t>
      </w:r>
      <w:r w:rsidRPr="006E3113">
        <w:t xml:space="preserve"> министров </w:t>
      </w:r>
      <w:r w:rsidR="0069319F">
        <w:t>«</w:t>
      </w:r>
      <w:r w:rsidRPr="006E3113">
        <w:t>Окружающая ср</w:t>
      </w:r>
      <w:r w:rsidRPr="006E3113">
        <w:t>е</w:t>
      </w:r>
      <w:r w:rsidRPr="006E3113">
        <w:t>да для Европы</w:t>
      </w:r>
      <w:r w:rsidR="0069319F">
        <w:t>»</w:t>
      </w:r>
      <w:r w:rsidRPr="006E3113">
        <w:t xml:space="preserve"> (Батуми, Грузия, 8</w:t>
      </w:r>
      <w:r w:rsidR="0069319F">
        <w:t>–</w:t>
      </w:r>
      <w:r w:rsidRPr="006E3113">
        <w:t xml:space="preserve">10 июня 2016 года) </w:t>
      </w:r>
      <w:r w:rsidR="0069319F">
        <w:t>внесет</w:t>
      </w:r>
      <w:r w:rsidRPr="006E3113">
        <w:t xml:space="preserve"> ценный вклад в улучшение состояния окружающей среды в общеевропейском</w:t>
      </w:r>
      <w:r w:rsidRPr="00E96C53">
        <w:rPr>
          <w:sz w:val="18"/>
          <w:vertAlign w:val="superscript"/>
        </w:rPr>
        <w:footnoteReference w:id="2"/>
      </w:r>
      <w:r w:rsidRPr="006E3113">
        <w:t xml:space="preserve"> регионе и за его пределами. </w:t>
      </w:r>
    </w:p>
    <w:p w:rsidR="006E3113" w:rsidRPr="006E3113" w:rsidRDefault="006E3113" w:rsidP="006E3113">
      <w:pPr>
        <w:pStyle w:val="SingleTxtGR"/>
      </w:pPr>
      <w:r w:rsidRPr="006E3113">
        <w:t>8.</w:t>
      </w:r>
      <w:r w:rsidRPr="006E3113">
        <w:tab/>
        <w:t>Председатель Комитета приветствовала участников, напомнила основные цели сессии и отметила, что на совещании не будут использоваться бумажные документы.</w:t>
      </w:r>
    </w:p>
    <w:p w:rsidR="006E3113" w:rsidRPr="006E3113" w:rsidRDefault="004E39D4" w:rsidP="006E3113">
      <w:pPr>
        <w:pStyle w:val="SingleTxtGR"/>
      </w:pPr>
      <w:r>
        <w:t>9.</w:t>
      </w:r>
      <w:r w:rsidR="006E3113" w:rsidRPr="006E3113">
        <w:tab/>
      </w:r>
      <w:proofErr w:type="gramStart"/>
      <w:r w:rsidR="006E3113" w:rsidRPr="006E3113">
        <w:t xml:space="preserve">Были проведены два параллельных мероприятия: на тему </w:t>
      </w:r>
      <w:r w:rsidR="0069319F">
        <w:t>«</w:t>
      </w:r>
      <w:r w:rsidR="006E3113" w:rsidRPr="006E3113">
        <w:t xml:space="preserve">Европейская окружающая среда </w:t>
      </w:r>
      <w:r w:rsidR="0069319F">
        <w:t>–</w:t>
      </w:r>
      <w:r w:rsidR="006E3113" w:rsidRPr="006E3113">
        <w:t xml:space="preserve"> состояние и перспективы, 2015 год (ДСОС 2015)</w:t>
      </w:r>
      <w:r w:rsidR="0069319F">
        <w:t>»</w:t>
      </w:r>
      <w:r w:rsidR="006E3113" w:rsidRPr="006E3113">
        <w:t xml:space="preserve">, которое было организовано Европейским агентством по окружающей среде 27 октября, и на тему </w:t>
      </w:r>
      <w:r w:rsidR="0069319F">
        <w:t>«</w:t>
      </w:r>
      <w:r w:rsidR="006E3113" w:rsidRPr="006E3113">
        <w:t xml:space="preserve">Знания о </w:t>
      </w:r>
      <w:r w:rsidR="002C5DF6">
        <w:t>"</w:t>
      </w:r>
      <w:r w:rsidR="006E3113" w:rsidRPr="006E3113">
        <w:t>зеленой</w:t>
      </w:r>
      <w:r w:rsidR="002C5DF6" w:rsidRPr="002C5DF6">
        <w:t>"</w:t>
      </w:r>
      <w:r w:rsidR="006E3113" w:rsidRPr="006E3113">
        <w:t xml:space="preserve"> экономике в общеевропейском регионе и за его пределами</w:t>
      </w:r>
      <w:r w:rsidR="0069319F">
        <w:t>»</w:t>
      </w:r>
      <w:r w:rsidR="006E3113" w:rsidRPr="006E3113">
        <w:t xml:space="preserve">, которое организовали совместно Платформа знаний о </w:t>
      </w:r>
      <w:r w:rsidR="0069319F">
        <w:t>«</w:t>
      </w:r>
      <w:r w:rsidR="006E3113" w:rsidRPr="006E3113">
        <w:t>зеленом</w:t>
      </w:r>
      <w:r w:rsidR="0069319F">
        <w:t>»</w:t>
      </w:r>
      <w:r w:rsidR="006E3113" w:rsidRPr="006E3113">
        <w:t xml:space="preserve"> росте, ЕЭК и ЮНЕП 28 октября.</w:t>
      </w:r>
      <w:proofErr w:type="gramEnd"/>
    </w:p>
    <w:p w:rsidR="006E3113" w:rsidRPr="006E3113" w:rsidRDefault="006E3113" w:rsidP="006E3113">
      <w:pPr>
        <w:pStyle w:val="SingleTxtGR"/>
      </w:pPr>
      <w:r w:rsidRPr="006E3113">
        <w:t>10.</w:t>
      </w:r>
      <w:r w:rsidRPr="006E3113">
        <w:tab/>
        <w:t>Комитет утвердил повестку дня своей двадцать первой сессии (ECE/CEP/2015/1), а также предложенный график (информационный док</w:t>
      </w:r>
      <w:r w:rsidRPr="006E3113">
        <w:t>у</w:t>
      </w:r>
      <w:r w:rsidRPr="006E3113">
        <w:t>мент</w:t>
      </w:r>
      <w:r w:rsidR="0069319F">
        <w:t> </w:t>
      </w:r>
      <w:r w:rsidRPr="006E3113">
        <w:t>№ 1/Rev.2).</w:t>
      </w:r>
    </w:p>
    <w:p w:rsidR="006E3113" w:rsidRPr="006E3113" w:rsidRDefault="006E3113" w:rsidP="006E3113">
      <w:pPr>
        <w:pStyle w:val="SingleTxtGR"/>
      </w:pPr>
      <w:r w:rsidRPr="006E3113">
        <w:t>11.</w:t>
      </w:r>
      <w:r w:rsidRPr="006E3113">
        <w:tab/>
        <w:t>В конце заседания Комитет избрал Председателя и заместителей Предс</w:t>
      </w:r>
      <w:r w:rsidRPr="006E3113">
        <w:t>е</w:t>
      </w:r>
      <w:r w:rsidRPr="006E3113">
        <w:t>дателя (см. пункт 111 ниже).</w:t>
      </w:r>
    </w:p>
    <w:p w:rsidR="006E3113" w:rsidRPr="006E3113" w:rsidRDefault="006E3113" w:rsidP="006E3113">
      <w:pPr>
        <w:pStyle w:val="HChGR"/>
      </w:pPr>
      <w:r>
        <w:tab/>
        <w:t>II.</w:t>
      </w:r>
      <w:r>
        <w:tab/>
      </w:r>
      <w:r w:rsidRPr="006E3113">
        <w:t>Итоги работы Президиума</w:t>
      </w:r>
    </w:p>
    <w:p w:rsidR="006E3113" w:rsidRPr="006E3113" w:rsidRDefault="006E3113" w:rsidP="006E3113">
      <w:pPr>
        <w:pStyle w:val="SingleTxtGR"/>
      </w:pPr>
      <w:r w:rsidRPr="006E3113">
        <w:t>12.</w:t>
      </w:r>
      <w:r w:rsidRPr="006E3113">
        <w:tab/>
        <w:t xml:space="preserve">Председатель представила доклад Президиума об итогах </w:t>
      </w:r>
      <w:r w:rsidR="0069319F">
        <w:t>его</w:t>
      </w:r>
      <w:r w:rsidRPr="006E3113">
        <w:t xml:space="preserve"> работы в п</w:t>
      </w:r>
      <w:r w:rsidRPr="006E3113">
        <w:t>е</w:t>
      </w:r>
      <w:r w:rsidRPr="006E3113">
        <w:t>риод с ноября 2014 года по июль 2015 года (ECE/CEP/2015/3), в частности о</w:t>
      </w:r>
      <w:r w:rsidRPr="006E3113">
        <w:t>т</w:t>
      </w:r>
      <w:r w:rsidRPr="006E3113">
        <w:t>носительно:</w:t>
      </w:r>
    </w:p>
    <w:p w:rsidR="006E3113" w:rsidRPr="006E3113" w:rsidRDefault="0069319F" w:rsidP="006E3113">
      <w:pPr>
        <w:pStyle w:val="SingleTxtGR"/>
      </w:pPr>
      <w:r>
        <w:tab/>
        <w:t>a)</w:t>
      </w:r>
      <w:r>
        <w:tab/>
      </w:r>
      <w:r w:rsidR="006E3113" w:rsidRPr="006E3113">
        <w:t xml:space="preserve">подготовки двадцать первой сессии Комитета, включая доклады и документы, необходимые для работы Комитета на сессии; </w:t>
      </w:r>
    </w:p>
    <w:p w:rsidR="006E3113" w:rsidRPr="006E3113" w:rsidRDefault="0069319F" w:rsidP="006E3113">
      <w:pPr>
        <w:pStyle w:val="SingleTxtGR"/>
      </w:pPr>
      <w:r>
        <w:tab/>
        <w:t>b)</w:t>
      </w:r>
      <w:r>
        <w:tab/>
      </w:r>
      <w:r w:rsidR="006E3113" w:rsidRPr="006E3113">
        <w:t>продвижения процесса</w:t>
      </w:r>
      <w:r>
        <w:t xml:space="preserve"> </w:t>
      </w:r>
      <w:r w:rsidR="006E3113" w:rsidRPr="006E3113">
        <w:t>подготовки к Конференции министров в Б</w:t>
      </w:r>
      <w:r w:rsidR="006E3113" w:rsidRPr="006E3113">
        <w:t>а</w:t>
      </w:r>
      <w:r w:rsidR="006E3113" w:rsidRPr="006E3113">
        <w:t xml:space="preserve">туми; </w:t>
      </w:r>
    </w:p>
    <w:p w:rsidR="006E3113" w:rsidRPr="006E3113" w:rsidRDefault="0069319F" w:rsidP="006E3113">
      <w:pPr>
        <w:pStyle w:val="SingleTxtGR"/>
      </w:pPr>
      <w:r>
        <w:tab/>
        <w:t>с)</w:t>
      </w:r>
      <w:r>
        <w:tab/>
      </w:r>
      <w:r w:rsidR="006E3113" w:rsidRPr="006E3113">
        <w:t>дальнейшей разработки правил процедуры Комитета.</w:t>
      </w:r>
    </w:p>
    <w:p w:rsidR="006E3113" w:rsidRPr="006E3113" w:rsidRDefault="0069319F" w:rsidP="006E3113">
      <w:pPr>
        <w:pStyle w:val="SingleTxtGR"/>
      </w:pPr>
      <w:r>
        <w:t>13.</w:t>
      </w:r>
      <w:r>
        <w:tab/>
      </w:r>
      <w:r w:rsidR="006E3113" w:rsidRPr="006E3113">
        <w:t xml:space="preserve">Комитет выразил признательность Президиуму за его хорошую работу и эффективное </w:t>
      </w:r>
      <w:r>
        <w:t>осуществление</w:t>
      </w:r>
      <w:r w:rsidR="006E3113" w:rsidRPr="006E3113">
        <w:t xml:space="preserve"> полномочий, возложенных на него Комитетом, а секретариат ЕЭК </w:t>
      </w:r>
      <w:r>
        <w:t>–</w:t>
      </w:r>
      <w:r w:rsidR="006E3113" w:rsidRPr="006E3113">
        <w:t xml:space="preserve"> за эффективную и высококачественную поддержку, оказа</w:t>
      </w:r>
      <w:r w:rsidR="006E3113" w:rsidRPr="006E3113">
        <w:t>н</w:t>
      </w:r>
      <w:r w:rsidR="006E3113" w:rsidRPr="006E3113">
        <w:t>ную Президиуму.</w:t>
      </w:r>
    </w:p>
    <w:p w:rsidR="006E3113" w:rsidRPr="006E3113" w:rsidRDefault="006E3113" w:rsidP="006E3113">
      <w:pPr>
        <w:pStyle w:val="HChGR"/>
      </w:pPr>
      <w:r>
        <w:tab/>
        <w:t>III.</w:t>
      </w:r>
      <w:r>
        <w:tab/>
      </w:r>
      <w:r w:rsidRPr="006E3113">
        <w:t>Устойчивое развитие в регионе</w:t>
      </w:r>
    </w:p>
    <w:p w:rsidR="006E3113" w:rsidRPr="006E3113" w:rsidRDefault="0069319F" w:rsidP="006E3113">
      <w:pPr>
        <w:pStyle w:val="SingleTxtGR"/>
      </w:pPr>
      <w:r>
        <w:t>14.</w:t>
      </w:r>
      <w:r>
        <w:tab/>
      </w:r>
      <w:r w:rsidR="006E3113" w:rsidRPr="006E3113">
        <w:t xml:space="preserve">Главный советник Исполнительного секретаря ЕЭК представила в своем качестве координатора ЕЭК по Повестке дня в области устойчивого развития на период до 2030 года (Повестка дня 2030) информацию о недавних изменениях, </w:t>
      </w:r>
      <w:r w:rsidR="006E3113" w:rsidRPr="006E3113">
        <w:lastRenderedPageBreak/>
        <w:t xml:space="preserve">произошедших в регионе ЕЭК на этом направлении. Шестьдесят </w:t>
      </w:r>
      <w:r>
        <w:t>шестая сессия ЕЭК (Женева, 14–</w:t>
      </w:r>
      <w:r w:rsidR="006E3113" w:rsidRPr="006E3113">
        <w:t>16 апреля 2015 года)</w:t>
      </w:r>
      <w:r w:rsidR="006E3113" w:rsidRPr="00E96C53">
        <w:rPr>
          <w:sz w:val="18"/>
          <w:vertAlign w:val="superscript"/>
        </w:rPr>
        <w:footnoteReference w:id="3"/>
      </w:r>
      <w:r w:rsidR="006E3113" w:rsidRPr="006E3113">
        <w:t xml:space="preserve"> была проведена под общей темой </w:t>
      </w:r>
      <w:r>
        <w:t>«</w:t>
      </w:r>
      <w:r w:rsidR="006E3113" w:rsidRPr="006E3113">
        <w:t>Пр</w:t>
      </w:r>
      <w:r w:rsidR="006E3113" w:rsidRPr="006E3113">
        <w:t>и</w:t>
      </w:r>
      <w:r w:rsidR="006E3113" w:rsidRPr="006E3113">
        <w:t>верженность действиям на благо устойчивого развития в эпоху перемен</w:t>
      </w:r>
      <w:r>
        <w:t>»</w:t>
      </w:r>
      <w:r w:rsidR="006E3113" w:rsidRPr="006E3113">
        <w:t xml:space="preserve">, а его итоги – в частности </w:t>
      </w:r>
      <w:r>
        <w:t>«</w:t>
      </w:r>
      <w:r w:rsidR="006E3113" w:rsidRPr="006E3113">
        <w:t>Заявление высокого уровня о повестке дня в области ра</w:t>
      </w:r>
      <w:r w:rsidR="006E3113" w:rsidRPr="006E3113">
        <w:t>з</w:t>
      </w:r>
      <w:r w:rsidR="006E3113" w:rsidRPr="006E3113">
        <w:t>вития на период после 2015 года и предполагаемые цели устойчивого развития в регионе ЕЭК</w:t>
      </w:r>
      <w:r>
        <w:t xml:space="preserve">» </w:t>
      </w:r>
      <w:r w:rsidR="006E3113" w:rsidRPr="006E3113">
        <w:t>(E/ECE/1475) – представляют собой региональный вклад в тр</w:t>
      </w:r>
      <w:r w:rsidR="006E3113" w:rsidRPr="006E3113">
        <w:t>е</w:t>
      </w:r>
      <w:r w:rsidR="006E3113" w:rsidRPr="006E3113">
        <w:t>тье совещание Политического форума высокого уровня по устойчивому разв</w:t>
      </w:r>
      <w:r w:rsidR="006E3113" w:rsidRPr="006E3113">
        <w:t>и</w:t>
      </w:r>
      <w:r w:rsidR="006E3113" w:rsidRPr="006E3113">
        <w:t>тию (Нью-Йорк, 26 июня – 8 июля 2015 года).</w:t>
      </w:r>
    </w:p>
    <w:p w:rsidR="006E3113" w:rsidRPr="006E3113" w:rsidRDefault="006E3113" w:rsidP="006E3113">
      <w:pPr>
        <w:pStyle w:val="SingleTxtGR"/>
      </w:pPr>
      <w:r w:rsidRPr="006E3113">
        <w:t>15.</w:t>
      </w:r>
      <w:r w:rsidRPr="006E3113">
        <w:tab/>
        <w:t>Кроме того, она сообщила о текущих обсуждениях, проводимых с целью определения роли региональных комиссий, и конкретно ЕЭК в поддержке ус</w:t>
      </w:r>
      <w:r w:rsidRPr="006E3113">
        <w:t>и</w:t>
      </w:r>
      <w:r w:rsidRPr="006E3113">
        <w:t>лий стран по достижению целей в области устойчивого развития. ЕЭК будет оказывать странам помощь в</w:t>
      </w:r>
      <w:r w:rsidR="0069319F">
        <w:t xml:space="preserve"> </w:t>
      </w:r>
      <w:r w:rsidRPr="006E3113">
        <w:t>воплощении этих целей в конкретные меры путем содействия разработке и осуществлению норм, стандартов, руководящих при</w:t>
      </w:r>
      <w:r w:rsidRPr="006E3113">
        <w:t>н</w:t>
      </w:r>
      <w:r w:rsidRPr="006E3113">
        <w:t>ципов и правовых документов, предоставления платформы для обмена опытом и</w:t>
      </w:r>
      <w:r w:rsidR="0069319F">
        <w:t xml:space="preserve"> </w:t>
      </w:r>
      <w:r w:rsidRPr="006E3113">
        <w:t xml:space="preserve">информацией о надлежащей практике и обеспечения развития потенциала для поддержки процесса осуществления. </w:t>
      </w:r>
    </w:p>
    <w:p w:rsidR="006E3113" w:rsidRPr="006E3113" w:rsidRDefault="0069319F" w:rsidP="006E3113">
      <w:pPr>
        <w:pStyle w:val="SingleTxtGR"/>
      </w:pPr>
      <w:r>
        <w:t>16.</w:t>
      </w:r>
      <w:r>
        <w:tab/>
      </w:r>
      <w:r w:rsidR="006E3113" w:rsidRPr="006E3113">
        <w:t>ЕЭК находится в процессе проведения оценки своей деятельности с ц</w:t>
      </w:r>
      <w:r w:rsidR="006E3113" w:rsidRPr="006E3113">
        <w:t>е</w:t>
      </w:r>
      <w:r w:rsidR="006E3113" w:rsidRPr="006E3113">
        <w:t>лью ее согласования с соответствующими целями и задачами. Координатор ЕЭК подчеркнула ключевую роль данных и статистики в превращении глобал</w:t>
      </w:r>
      <w:r w:rsidR="006E3113" w:rsidRPr="006E3113">
        <w:t>ь</w:t>
      </w:r>
      <w:r w:rsidR="006E3113" w:rsidRPr="006E3113">
        <w:t>ных целей в конкретные действия, а также обзоров результативности (напр</w:t>
      </w:r>
      <w:r w:rsidR="006E3113" w:rsidRPr="006E3113">
        <w:t>и</w:t>
      </w:r>
      <w:r w:rsidR="006E3113" w:rsidRPr="006E3113">
        <w:t>мер, обзоров результативности экологической деятельности, обзоров результ</w:t>
      </w:r>
      <w:r w:rsidR="006E3113" w:rsidRPr="006E3113">
        <w:t>а</w:t>
      </w:r>
      <w:r w:rsidR="006E3113" w:rsidRPr="006E3113">
        <w:t>тивности инновационной деятельности и механизмов обзора по конвенциям) в</w:t>
      </w:r>
      <w:r>
        <w:t xml:space="preserve"> </w:t>
      </w:r>
      <w:r w:rsidR="006E3113" w:rsidRPr="006E3113">
        <w:t>процессе последующей деятельности и обзоров. Региональная платформа ЕЭК призвана служить своего рода стыковочным инструментом, который объединяет вместе различных субъектов и различные механизмы, и своеобразным мост</w:t>
      </w:r>
      <w:r w:rsidR="006E3113" w:rsidRPr="006E3113">
        <w:t>и</w:t>
      </w:r>
      <w:r w:rsidR="006E3113" w:rsidRPr="006E3113">
        <w:t>ком между национальными и глобальными обзорами, если государства</w:t>
      </w:r>
      <w:r w:rsidR="002C5DF6">
        <w:t xml:space="preserve"> – </w:t>
      </w:r>
      <w:r w:rsidR="006E3113" w:rsidRPr="006E3113">
        <w:t>члены ЕЭК</w:t>
      </w:r>
      <w:r>
        <w:t xml:space="preserve"> </w:t>
      </w:r>
      <w:r w:rsidR="006E3113" w:rsidRPr="006E3113">
        <w:t>принимают решение о возложении на нее такого мандата. В связи с этим ЕЭК ведет подготовку обследования</w:t>
      </w:r>
      <w:r w:rsidR="006E3113" w:rsidRPr="00E96C53">
        <w:rPr>
          <w:sz w:val="18"/>
          <w:vertAlign w:val="superscript"/>
        </w:rPr>
        <w:footnoteReference w:id="4"/>
      </w:r>
      <w:r w:rsidR="006E3113" w:rsidRPr="006E3113">
        <w:t xml:space="preserve"> по государствам-членам, формулируя для них вопросы с целью выявления национальных планов по осуществлению пе</w:t>
      </w:r>
      <w:r w:rsidR="006E3113" w:rsidRPr="006E3113">
        <w:t>р</w:t>
      </w:r>
      <w:r w:rsidR="006E3113" w:rsidRPr="006E3113">
        <w:t>вых шагов в направлении осуществления Повестки дня 2030.</w:t>
      </w:r>
    </w:p>
    <w:p w:rsidR="006E3113" w:rsidRPr="006E3113" w:rsidRDefault="006E3113" w:rsidP="006E3113">
      <w:pPr>
        <w:pStyle w:val="SingleTxtGR"/>
      </w:pPr>
      <w:r w:rsidRPr="006E3113">
        <w:t>1</w:t>
      </w:r>
      <w:r w:rsidR="0069319F">
        <w:t>7.</w:t>
      </w:r>
      <w:r w:rsidR="0069319F">
        <w:tab/>
      </w:r>
      <w:r w:rsidRPr="006E3113">
        <w:t>В ходе последовавшего</w:t>
      </w:r>
      <w:r w:rsidR="0069319F">
        <w:t xml:space="preserve"> за этим</w:t>
      </w:r>
      <w:r w:rsidRPr="006E3113">
        <w:t xml:space="preserve"> обсуждения делегации рассмотрели роль Комитета по экологической политике и</w:t>
      </w:r>
      <w:r w:rsidR="0069319F">
        <w:t xml:space="preserve"> </w:t>
      </w:r>
      <w:r w:rsidRPr="006E3113">
        <w:t xml:space="preserve">процесса </w:t>
      </w:r>
      <w:r w:rsidR="0069319F">
        <w:t>«</w:t>
      </w:r>
      <w:r w:rsidRPr="006E3113">
        <w:t>Окружающая среда для Е</w:t>
      </w:r>
      <w:r w:rsidRPr="006E3113">
        <w:t>в</w:t>
      </w:r>
      <w:r w:rsidRPr="006E3113">
        <w:t>ропы</w:t>
      </w:r>
      <w:r w:rsidR="002C5DF6">
        <w:t>»</w:t>
      </w:r>
      <w:r w:rsidRPr="006E3113">
        <w:t xml:space="preserve"> в деле осуществления Повестки дня 2030 и оказании странам поддержки в достижении целей устойчивого развития. Было предложено, чтобы Комитет</w:t>
      </w:r>
      <w:r w:rsidR="0069319F">
        <w:t xml:space="preserve"> </w:t>
      </w:r>
      <w:r w:rsidRPr="006E3113">
        <w:t>продолжал обеспечивать продвижение вперед экологического аспекта этих ц</w:t>
      </w:r>
      <w:r w:rsidRPr="006E3113">
        <w:t>е</w:t>
      </w:r>
      <w:r w:rsidRPr="006E3113">
        <w:t>лей. Некоторые делегации высказали мысль о том, что Комитет мог бы обесп</w:t>
      </w:r>
      <w:r w:rsidRPr="006E3113">
        <w:t>е</w:t>
      </w:r>
      <w:r w:rsidRPr="006E3113">
        <w:t>чить хорошую платформу для обзора прогресса в достижении соответствующих целей на добровольной основе. В этой связи</w:t>
      </w:r>
      <w:r w:rsidR="0069319F">
        <w:t xml:space="preserve"> </w:t>
      </w:r>
      <w:r w:rsidRPr="006E3113">
        <w:t>была подчеркнута роль данных и статистики, а также необходимость улучшения сотрудничества с такими пар</w:t>
      </w:r>
      <w:r w:rsidRPr="006E3113">
        <w:t>т</w:t>
      </w:r>
      <w:r w:rsidRPr="006E3113">
        <w:t>нерами, как Глобальное партнерство для сбора данных об устойчивом разв</w:t>
      </w:r>
      <w:r w:rsidRPr="006E3113">
        <w:t>и</w:t>
      </w:r>
      <w:r w:rsidRPr="006E3113">
        <w:t>тии</w:t>
      </w:r>
      <w:r w:rsidRPr="00E96C53">
        <w:rPr>
          <w:sz w:val="18"/>
          <w:vertAlign w:val="superscript"/>
        </w:rPr>
        <w:footnoteReference w:id="5"/>
      </w:r>
      <w:r w:rsidRPr="006E3113">
        <w:t xml:space="preserve"> и Группа по наблюдениям за Землей</w:t>
      </w:r>
      <w:r w:rsidRPr="00E96C53">
        <w:rPr>
          <w:sz w:val="18"/>
          <w:vertAlign w:val="superscript"/>
        </w:rPr>
        <w:footnoteReference w:id="6"/>
      </w:r>
      <w:r w:rsidR="0069319F">
        <w:t>,</w:t>
      </w:r>
      <w:r w:rsidRPr="006E3113">
        <w:t xml:space="preserve"> и содействия внедрению Системы эколого-экономического учета</w:t>
      </w:r>
      <w:r w:rsidRPr="00E96C53">
        <w:rPr>
          <w:sz w:val="18"/>
          <w:vertAlign w:val="superscript"/>
        </w:rPr>
        <w:footnoteReference w:id="7"/>
      </w:r>
      <w:r w:rsidRPr="006E3113">
        <w:t>. Существенно важное значение для избежания дублирования в деятельности или дублирования усилий по достижению данных целей имеет и эффективный механизм</w:t>
      </w:r>
      <w:r w:rsidR="0069319F">
        <w:t xml:space="preserve"> </w:t>
      </w:r>
      <w:r w:rsidRPr="006E3113">
        <w:t>сотрудничества.</w:t>
      </w:r>
    </w:p>
    <w:p w:rsidR="006E3113" w:rsidRPr="006E3113" w:rsidRDefault="005D2DCB" w:rsidP="006E3113">
      <w:pPr>
        <w:pStyle w:val="SingleTxtGR"/>
      </w:pPr>
      <w:r>
        <w:lastRenderedPageBreak/>
        <w:t>18.</w:t>
      </w:r>
      <w:r>
        <w:tab/>
      </w:r>
      <w:r w:rsidR="006E3113" w:rsidRPr="006E3113">
        <w:t>Комитет принял к сведению изменения в деятельности ЕЭК, связанные с Повесткой дня 2030, и предложил</w:t>
      </w:r>
      <w:r w:rsidR="0069319F">
        <w:t xml:space="preserve"> </w:t>
      </w:r>
      <w:r w:rsidR="006E3113" w:rsidRPr="006E3113">
        <w:t>странам рассмотреть роль Комитета в ос</w:t>
      </w:r>
      <w:r w:rsidR="006E3113" w:rsidRPr="006E3113">
        <w:t>у</w:t>
      </w:r>
      <w:r w:rsidR="006E3113" w:rsidRPr="006E3113">
        <w:t>ществлении Повестки дня 2030 и продолжить обсуждение этого вопроса на б</w:t>
      </w:r>
      <w:r w:rsidR="006E3113" w:rsidRPr="006E3113">
        <w:t>у</w:t>
      </w:r>
      <w:r w:rsidR="006E3113" w:rsidRPr="006E3113">
        <w:t>дущих совещаниях.</w:t>
      </w:r>
    </w:p>
    <w:p w:rsidR="006E3113" w:rsidRPr="006E3113" w:rsidRDefault="006E3113" w:rsidP="006E3113">
      <w:pPr>
        <w:pStyle w:val="HChGR"/>
      </w:pPr>
      <w:r>
        <w:tab/>
        <w:t>IV.</w:t>
      </w:r>
      <w:r>
        <w:tab/>
      </w:r>
      <w:r w:rsidRPr="006E3113">
        <w:t>Многосторонние природоохранные соглашения</w:t>
      </w:r>
    </w:p>
    <w:p w:rsidR="006E3113" w:rsidRPr="006E3113" w:rsidRDefault="005D2DCB" w:rsidP="006E3113">
      <w:pPr>
        <w:pStyle w:val="SingleTxtGR"/>
      </w:pPr>
      <w:r>
        <w:t>19.</w:t>
      </w:r>
      <w:r>
        <w:tab/>
      </w:r>
      <w:r w:rsidR="006E3113" w:rsidRPr="006E3113">
        <w:t>Открывая обсуждение вопроса о многосторонних природоохранных с</w:t>
      </w:r>
      <w:r w:rsidR="006E3113" w:rsidRPr="006E3113">
        <w:t>о</w:t>
      </w:r>
      <w:r w:rsidR="006E3113" w:rsidRPr="006E3113">
        <w:t>глашениях, Председатель Конвенции по водам представил основные итоги н</w:t>
      </w:r>
      <w:r w:rsidR="006E3113" w:rsidRPr="006E3113">
        <w:t>е</w:t>
      </w:r>
      <w:r w:rsidR="006E3113" w:rsidRPr="006E3113">
        <w:t>официального совещания</w:t>
      </w:r>
      <w:r w:rsidR="0069319F">
        <w:t xml:space="preserve"> </w:t>
      </w:r>
      <w:r w:rsidR="006E3113" w:rsidRPr="006E3113">
        <w:t>представителей руководящих органов многосторо</w:t>
      </w:r>
      <w:r w:rsidR="006E3113" w:rsidRPr="006E3113">
        <w:t>н</w:t>
      </w:r>
      <w:r w:rsidR="006E3113" w:rsidRPr="006E3113">
        <w:t>них природоохранных соглашений ЕЭК и Комитета по экологической политике, которое состоялось 26 октября 2015 года в Женеве. На совещании</w:t>
      </w:r>
      <w:r w:rsidR="0069319F">
        <w:t xml:space="preserve"> </w:t>
      </w:r>
      <w:r w:rsidR="006E3113" w:rsidRPr="006E3113">
        <w:t>участники приняли решение просить секретариат подготовить</w:t>
      </w:r>
      <w:r w:rsidR="0069319F">
        <w:t xml:space="preserve"> </w:t>
      </w:r>
      <w:r w:rsidR="006E3113" w:rsidRPr="006E3113">
        <w:t>для представления Бату</w:t>
      </w:r>
      <w:r w:rsidR="006E3113" w:rsidRPr="006E3113">
        <w:t>м</w:t>
      </w:r>
      <w:r w:rsidR="006E3113" w:rsidRPr="006E3113">
        <w:t>ской конференции информационный документ, схематически показывающий, как многосторонние природоохранные соглашения поддерживают достижение целей устойчивого развития. Проект будет представлен Комитету для рассмо</w:t>
      </w:r>
      <w:r w:rsidR="006E3113" w:rsidRPr="006E3113">
        <w:t>т</w:t>
      </w:r>
      <w:r w:rsidR="006E3113" w:rsidRPr="006E3113">
        <w:t>рения на его следующем подготовительном совещании</w:t>
      </w:r>
      <w:r w:rsidR="006E3113" w:rsidRPr="00E96C53">
        <w:rPr>
          <w:sz w:val="18"/>
          <w:vertAlign w:val="superscript"/>
        </w:rPr>
        <w:footnoteReference w:id="8"/>
      </w:r>
      <w:r w:rsidR="006E3113" w:rsidRPr="006E3113">
        <w:t>.</w:t>
      </w:r>
      <w:r w:rsidR="0069319F">
        <w:t xml:space="preserve"> </w:t>
      </w:r>
    </w:p>
    <w:p w:rsidR="006E3113" w:rsidRPr="006E3113" w:rsidRDefault="006E3113" w:rsidP="006E3113">
      <w:pPr>
        <w:pStyle w:val="SingleTxtGR"/>
      </w:pPr>
      <w:r w:rsidRPr="006E3113">
        <w:t xml:space="preserve">20. </w:t>
      </w:r>
      <w:r w:rsidRPr="006E3113">
        <w:tab/>
        <w:t>Председатель Конвенции по водам</w:t>
      </w:r>
      <w:r w:rsidR="0069319F">
        <w:t xml:space="preserve"> </w:t>
      </w:r>
      <w:r w:rsidRPr="006E3113">
        <w:t>представил результаты неофициальн</w:t>
      </w:r>
      <w:r w:rsidRPr="006E3113">
        <w:t>о</w:t>
      </w:r>
      <w:r w:rsidRPr="006E3113">
        <w:t>го опроса, который был проведен среди членов Комитета с тем, чтобы опред</w:t>
      </w:r>
      <w:r w:rsidRPr="006E3113">
        <w:t>е</w:t>
      </w:r>
      <w:r w:rsidRPr="006E3113">
        <w:t>лить, насколько важны многосторонние природоохранные соглашения ЕЭК в своей совокупности для решения проблемы создания некоторых из сквозных условий, благоприятствующих достижению целей устойчивого развития. Были сделаны следующие основные выводы:</w:t>
      </w:r>
      <w:r w:rsidR="0069319F">
        <w:t xml:space="preserve"> </w:t>
      </w:r>
    </w:p>
    <w:p w:rsidR="006E3113" w:rsidRPr="006E3113" w:rsidRDefault="005D2DCB" w:rsidP="006E3113">
      <w:pPr>
        <w:pStyle w:val="SingleTxtGR"/>
      </w:pPr>
      <w:r>
        <w:tab/>
        <w:t>a)</w:t>
      </w:r>
      <w:r>
        <w:tab/>
      </w:r>
      <w:r w:rsidR="006E3113" w:rsidRPr="006E3113">
        <w:t>все природоохра</w:t>
      </w:r>
      <w:r w:rsidR="002C5DF6">
        <w:t>нные договоры ЕЭК предусматриваю</w:t>
      </w:r>
      <w:r w:rsidR="006E3113" w:rsidRPr="006E3113">
        <w:t>т проведение межправительственных форумов для обсуждения проблем, связанных с дост</w:t>
      </w:r>
      <w:r w:rsidR="006E3113" w:rsidRPr="006E3113">
        <w:t>и</w:t>
      </w:r>
      <w:r w:rsidR="006E3113" w:rsidRPr="006E3113">
        <w:t>жением этих целей, при этом Орхусская конвенция идет дальше, требуя от св</w:t>
      </w:r>
      <w:r w:rsidR="006E3113" w:rsidRPr="006E3113">
        <w:t>о</w:t>
      </w:r>
      <w:r w:rsidR="006E3113" w:rsidRPr="006E3113">
        <w:t>их Сторон</w:t>
      </w:r>
      <w:r w:rsidR="0069319F">
        <w:t xml:space="preserve"> </w:t>
      </w:r>
      <w:r w:rsidR="006E3113" w:rsidRPr="006E3113">
        <w:t>пропагандировать принципы Конвенции в рамках других междун</w:t>
      </w:r>
      <w:r w:rsidR="006E3113" w:rsidRPr="006E3113">
        <w:t>а</w:t>
      </w:r>
      <w:r w:rsidR="006E3113" w:rsidRPr="006E3113">
        <w:t>родных процессов, касающихся окружающей среды. Все направлены на нал</w:t>
      </w:r>
      <w:r w:rsidR="006E3113" w:rsidRPr="006E3113">
        <w:t>а</w:t>
      </w:r>
      <w:r w:rsidR="006E3113" w:rsidRPr="006E3113">
        <w:t>живание широкого круга партнерских связей как на международном, так и на национальном уровнях для поддержки их осуществления. Большинство, если не все соглашения, посвящены вопросам, находящимся</w:t>
      </w:r>
      <w:r w:rsidR="0069319F">
        <w:t xml:space="preserve"> </w:t>
      </w:r>
      <w:r w:rsidR="006E3113" w:rsidRPr="006E3113">
        <w:t>на пересечении разли</w:t>
      </w:r>
      <w:r w:rsidR="006E3113" w:rsidRPr="006E3113">
        <w:t>ч</w:t>
      </w:r>
      <w:r w:rsidR="006E3113" w:rsidRPr="006E3113">
        <w:t xml:space="preserve">ных целей; </w:t>
      </w:r>
    </w:p>
    <w:p w:rsidR="006E3113" w:rsidRPr="006E3113" w:rsidRDefault="005D2DCB" w:rsidP="006E3113">
      <w:pPr>
        <w:pStyle w:val="SingleTxtGR"/>
      </w:pPr>
      <w:r>
        <w:tab/>
        <w:t>b)</w:t>
      </w:r>
      <w:r>
        <w:tab/>
      </w:r>
      <w:r w:rsidR="006E3113" w:rsidRPr="006E3113">
        <w:t>ценными инструментами для согласования и интеграции политики являются применяемая в рамках Конвенции по водам методология учета цепо</w:t>
      </w:r>
      <w:r w:rsidR="006E3113" w:rsidRPr="006E3113">
        <w:t>ч</w:t>
      </w:r>
      <w:r w:rsidR="006E3113" w:rsidRPr="006E3113">
        <w:t xml:space="preserve">ки взаимосвязей </w:t>
      </w:r>
      <w:r w:rsidR="0069319F">
        <w:t>«</w:t>
      </w:r>
      <w:r>
        <w:t>вода–продовольствие–энергия–</w:t>
      </w:r>
      <w:r w:rsidR="006E3113" w:rsidRPr="006E3113">
        <w:t>экосистемы</w:t>
      </w:r>
      <w:r w:rsidR="0069319F">
        <w:t>»</w:t>
      </w:r>
      <w:r w:rsidR="006E3113" w:rsidRPr="006E3113">
        <w:t xml:space="preserve"> и стратегическая экологическая оценка, которые могли бы применяться в равной степени на уровне политики и нормативного регулирования. Они могут использоваться для обеспечения того, чтобы прогресс в достижении одной цели не ставил под угрозу прогресс в достижении остальных 168 целей. Аналогичным образом р</w:t>
      </w:r>
      <w:r w:rsidR="006E3113" w:rsidRPr="006E3113">
        <w:t>а</w:t>
      </w:r>
      <w:r w:rsidR="006E3113" w:rsidRPr="006E3113">
        <w:t>бота по трансграничному сотрудничеству должна помогать в обеспечении того, чтобы развитие в одной стране не шло в ущерб развитию в другой стране, что в случае Конвенции Эспо можно было увидеть каждый день. Работа по линии национальных диалогов по вопросам политики в</w:t>
      </w:r>
      <w:r w:rsidR="0069319F">
        <w:t xml:space="preserve"> </w:t>
      </w:r>
      <w:r w:rsidR="006E3113" w:rsidRPr="006E3113">
        <w:t>рамках Конвенции по водам показала, каким именно образом можно укрепить координацию и как</w:t>
      </w:r>
      <w:r w:rsidR="0069319F">
        <w:t xml:space="preserve"> </w:t>
      </w:r>
      <w:r w:rsidR="006E3113" w:rsidRPr="006E3113">
        <w:t>устано</w:t>
      </w:r>
      <w:r w:rsidR="006E3113" w:rsidRPr="006E3113">
        <w:t>в</w:t>
      </w:r>
      <w:r w:rsidR="006E3113" w:rsidRPr="006E3113">
        <w:t>ленное на национальном уровне партнерство</w:t>
      </w:r>
      <w:r w:rsidR="0069319F">
        <w:t xml:space="preserve"> </w:t>
      </w:r>
      <w:r w:rsidR="006E3113" w:rsidRPr="006E3113">
        <w:t>могло бы выступать в качестве своего рода форума для разработки последовательных внутренних политики и нормативных актов;</w:t>
      </w:r>
    </w:p>
    <w:p w:rsidR="006E3113" w:rsidRPr="006E3113" w:rsidRDefault="005D2DCB" w:rsidP="006E3113">
      <w:pPr>
        <w:pStyle w:val="SingleTxtGR"/>
      </w:pPr>
      <w:r>
        <w:lastRenderedPageBreak/>
        <w:tab/>
        <w:t>c)</w:t>
      </w:r>
      <w:r>
        <w:tab/>
      </w:r>
      <w:r w:rsidR="006E3113" w:rsidRPr="006E3113">
        <w:t>почти все природоохранные соглашения ЕЭК предусматривают к</w:t>
      </w:r>
      <w:r w:rsidR="006E3113" w:rsidRPr="006E3113">
        <w:t>а</w:t>
      </w:r>
      <w:r w:rsidR="006E3113" w:rsidRPr="006E3113">
        <w:t>кую-то форму отчетности, при этом несколько соглашений требуют более то</w:t>
      </w:r>
      <w:r w:rsidR="006E3113" w:rsidRPr="006E3113">
        <w:t>ч</w:t>
      </w:r>
      <w:r w:rsidR="006E3113" w:rsidRPr="006E3113">
        <w:t>ного мониторинга – особенно Конвенция по воздуху и Протоколы по пробл</w:t>
      </w:r>
      <w:r w:rsidR="006E3113" w:rsidRPr="006E3113">
        <w:t>е</w:t>
      </w:r>
      <w:r w:rsidR="006E3113" w:rsidRPr="006E3113">
        <w:t>мам воды и здоровья и о регистрах выбросов и переноса загрязнителей. Согл</w:t>
      </w:r>
      <w:r w:rsidR="006E3113" w:rsidRPr="006E3113">
        <w:t>а</w:t>
      </w:r>
      <w:r w:rsidR="006E3113" w:rsidRPr="006E3113">
        <w:t>шения предусматривают проведение обзоров осуществления и создают во</w:t>
      </w:r>
      <w:r w:rsidR="006E3113" w:rsidRPr="006E3113">
        <w:t>з</w:t>
      </w:r>
      <w:r w:rsidR="006E3113" w:rsidRPr="006E3113">
        <w:t>можности для взаимного обучения коллег путем обмена опытом и информацией об уроках, извлеченных на региональном и субрегиональном уровнях. По</w:t>
      </w:r>
      <w:r w:rsidR="006E3113" w:rsidRPr="006E3113">
        <w:t>д</w:t>
      </w:r>
      <w:r w:rsidR="006E3113" w:rsidRPr="006E3113">
        <w:t>держку процессов их осуществления и развития потенциала обеспечивают мн</w:t>
      </w:r>
      <w:r w:rsidR="006E3113" w:rsidRPr="006E3113">
        <w:t>о</w:t>
      </w:r>
      <w:r w:rsidR="006E3113" w:rsidRPr="006E3113">
        <w:t>гочисленные мероприятия, предусмотренные в планах работы, в том числе де</w:t>
      </w:r>
      <w:r w:rsidR="006E3113" w:rsidRPr="006E3113">
        <w:t>й</w:t>
      </w:r>
      <w:r w:rsidR="006E3113" w:rsidRPr="006E3113">
        <w:t>ствия на местах, вносящие вклад в достижение вышеупомянутых целей, прим</w:t>
      </w:r>
      <w:r w:rsidR="006E3113" w:rsidRPr="006E3113">
        <w:t>е</w:t>
      </w:r>
      <w:r w:rsidR="006E3113" w:rsidRPr="006E3113">
        <w:t xml:space="preserve">ром чему может служить полевая работа на местах по управлению опасными и кризисными ситуациями в рамках Конвенции о промышленных авариях. </w:t>
      </w:r>
    </w:p>
    <w:p w:rsidR="006E3113" w:rsidRPr="006E3113" w:rsidRDefault="006E3113" w:rsidP="006E3113">
      <w:pPr>
        <w:pStyle w:val="SingleTxtGR"/>
      </w:pPr>
      <w:r w:rsidRPr="006E3113">
        <w:t>21.</w:t>
      </w:r>
      <w:r w:rsidRPr="006E3113">
        <w:tab/>
        <w:t>В ходе интерактивного обсуждения председатели и заместители предс</w:t>
      </w:r>
      <w:r w:rsidRPr="006E3113">
        <w:t>е</w:t>
      </w:r>
      <w:r w:rsidRPr="006E3113">
        <w:t>дателей многосторонних природоохранных соглашений ЕЭК</w:t>
      </w:r>
      <w:r w:rsidR="0069319F">
        <w:t xml:space="preserve"> </w:t>
      </w:r>
      <w:r w:rsidRPr="006E3113">
        <w:t xml:space="preserve">и члены Комитета поделились своими мнениями по </w:t>
      </w:r>
      <w:r w:rsidR="005D2DCB" w:rsidRPr="006E3113">
        <w:t xml:space="preserve">следующим </w:t>
      </w:r>
      <w:r w:rsidRPr="006E3113">
        <w:t>двум вопросам:</w:t>
      </w:r>
      <w:r w:rsidR="0069319F">
        <w:t xml:space="preserve"> </w:t>
      </w:r>
    </w:p>
    <w:p w:rsidR="006E3113" w:rsidRPr="006E3113" w:rsidRDefault="005D2DCB" w:rsidP="006E3113">
      <w:pPr>
        <w:pStyle w:val="SingleTxtGR"/>
      </w:pPr>
      <w:r>
        <w:tab/>
        <w:t>а)</w:t>
      </w:r>
      <w:r>
        <w:tab/>
      </w:r>
      <w:r w:rsidR="006E3113" w:rsidRPr="006E3113">
        <w:t>Как многосторонние природоохранные соглашения</w:t>
      </w:r>
      <w:r w:rsidR="0069319F">
        <w:t xml:space="preserve"> </w:t>
      </w:r>
      <w:r w:rsidR="006E3113" w:rsidRPr="006E3113">
        <w:t>могли бы бл</w:t>
      </w:r>
      <w:r w:rsidR="006E3113" w:rsidRPr="006E3113">
        <w:t>а</w:t>
      </w:r>
      <w:r w:rsidR="006E3113" w:rsidRPr="006E3113">
        <w:t>годаря накопленному при их осуществлении опыту облегчить странам дост</w:t>
      </w:r>
      <w:r w:rsidR="006E3113" w:rsidRPr="006E3113">
        <w:t>и</w:t>
      </w:r>
      <w:r w:rsidR="006E3113" w:rsidRPr="006E3113">
        <w:t>жение целей в области устойчивого развития?</w:t>
      </w:r>
      <w:r w:rsidR="0069319F">
        <w:t xml:space="preserve"> </w:t>
      </w:r>
    </w:p>
    <w:p w:rsidR="006E3113" w:rsidRPr="006E3113" w:rsidRDefault="006E3113" w:rsidP="006E3113">
      <w:pPr>
        <w:pStyle w:val="SingleTxtGR"/>
      </w:pPr>
      <w:r w:rsidRPr="006E3113">
        <w:tab/>
      </w:r>
      <w:r w:rsidRPr="006E3113">
        <w:rPr>
          <w:lang w:val="en-US"/>
        </w:rPr>
        <w:t>b</w:t>
      </w:r>
      <w:r w:rsidR="005D2DCB">
        <w:t>)</w:t>
      </w:r>
      <w:r w:rsidR="005D2DCB">
        <w:tab/>
      </w:r>
      <w:r w:rsidRPr="006E3113">
        <w:t>Как Комитет мог бы</w:t>
      </w:r>
      <w:r w:rsidR="0069319F">
        <w:t xml:space="preserve"> </w:t>
      </w:r>
      <w:r w:rsidRPr="006E3113">
        <w:t>внести свой вклад в выполнение этой роли?</w:t>
      </w:r>
      <w:r w:rsidR="0069319F">
        <w:t xml:space="preserve"> </w:t>
      </w:r>
    </w:p>
    <w:p w:rsidR="006E3113" w:rsidRPr="006E3113" w:rsidRDefault="006E3113" w:rsidP="006E3113">
      <w:pPr>
        <w:pStyle w:val="SingleTxtGR"/>
      </w:pPr>
      <w:r w:rsidRPr="006E3113">
        <w:t>22.</w:t>
      </w:r>
      <w:r w:rsidRPr="006E3113">
        <w:tab/>
        <w:t xml:space="preserve">Обсуждение облегчил подготовленный секретариатом информационный документ </w:t>
      </w:r>
      <w:r w:rsidR="002C5DF6">
        <w:t xml:space="preserve">№ </w:t>
      </w:r>
      <w:r w:rsidRPr="006E3113">
        <w:t>10.</w:t>
      </w:r>
    </w:p>
    <w:p w:rsidR="006E3113" w:rsidRPr="006E3113" w:rsidRDefault="002C5DF6" w:rsidP="006E3113">
      <w:pPr>
        <w:pStyle w:val="SingleTxtGR"/>
      </w:pPr>
      <w:r>
        <w:t>23.</w:t>
      </w:r>
      <w:r>
        <w:tab/>
      </w:r>
      <w:r w:rsidR="006E3113" w:rsidRPr="006E3113">
        <w:t>Комитет приветствовал</w:t>
      </w:r>
      <w:r w:rsidR="0069319F">
        <w:t xml:space="preserve"> </w:t>
      </w:r>
      <w:r w:rsidR="006E3113" w:rsidRPr="006E3113">
        <w:t>проведенное интерактивное обсуждение вопроса о многосторонних природоохранных соглашениях ЕЭК, выразил признател</w:t>
      </w:r>
      <w:r w:rsidR="006E3113" w:rsidRPr="006E3113">
        <w:t>ь</w:t>
      </w:r>
      <w:r w:rsidR="006E3113" w:rsidRPr="006E3113">
        <w:t>ность председателям многосторонних природоохранных соглашений ЕЭК за их вклад и принял к сведению предоставленную информацию о том, как эти с</w:t>
      </w:r>
      <w:r w:rsidR="006E3113" w:rsidRPr="006E3113">
        <w:t>о</w:t>
      </w:r>
      <w:r w:rsidR="006E3113" w:rsidRPr="006E3113">
        <w:t>глашения благодаря накопленному при их осуществлени</w:t>
      </w:r>
      <w:r>
        <w:t>и</w:t>
      </w:r>
      <w:r w:rsidR="006E3113" w:rsidRPr="006E3113">
        <w:t xml:space="preserve"> опыту могли бы о</w:t>
      </w:r>
      <w:r w:rsidR="006E3113" w:rsidRPr="006E3113">
        <w:t>б</w:t>
      </w:r>
      <w:r w:rsidR="006E3113" w:rsidRPr="006E3113">
        <w:t>легчить странам достижение целей в области устойчивого развития, и</w:t>
      </w:r>
      <w:r>
        <w:t>:</w:t>
      </w:r>
    </w:p>
    <w:p w:rsidR="006E3113" w:rsidRPr="006E3113" w:rsidRDefault="005D2DCB" w:rsidP="006E3113">
      <w:pPr>
        <w:pStyle w:val="SingleTxtGR"/>
      </w:pPr>
      <w:r>
        <w:tab/>
        <w:t>а)</w:t>
      </w:r>
      <w:r>
        <w:tab/>
      </w:r>
      <w:r w:rsidR="006E3113" w:rsidRPr="006E3113">
        <w:t>признал, что многосторонние природоохранные соглашения ЕЭК могли бы играть важную роль в осуществлении Повестки дня 2030;</w:t>
      </w:r>
      <w:r w:rsidR="0069319F">
        <w:t xml:space="preserve"> </w:t>
      </w:r>
    </w:p>
    <w:p w:rsidR="006E3113" w:rsidRPr="006E3113" w:rsidRDefault="006E3113" w:rsidP="006E3113">
      <w:pPr>
        <w:pStyle w:val="SingleTxtGR"/>
      </w:pPr>
      <w:r w:rsidRPr="006E3113">
        <w:tab/>
      </w:r>
      <w:r w:rsidRPr="006E3113">
        <w:rPr>
          <w:lang w:val="en-US"/>
        </w:rPr>
        <w:t>b</w:t>
      </w:r>
      <w:r w:rsidR="005D2DCB">
        <w:t>)</w:t>
      </w:r>
      <w:r w:rsidR="005D2DCB">
        <w:tab/>
      </w:r>
      <w:r w:rsidRPr="006E3113">
        <w:t>подчеркнул важность использования существующих инструментов, в том числе многосторонних природоохранных соглашений и обзоров результ</w:t>
      </w:r>
      <w:r w:rsidRPr="006E3113">
        <w:t>а</w:t>
      </w:r>
      <w:r w:rsidRPr="006E3113">
        <w:t>тивности экологической деятельности, для достижения целей устойчивого ра</w:t>
      </w:r>
      <w:r w:rsidRPr="006E3113">
        <w:t>з</w:t>
      </w:r>
      <w:r w:rsidRPr="006E3113">
        <w:t>вития, а также одновременного рассмотрения необходимости корректировки многосторонних природоохранных соглашений и деятельности по проведению обзоров результативности экологической деятельности в поддержку процесса осуществления Повестки дня 2030;</w:t>
      </w:r>
      <w:r w:rsidR="0069319F">
        <w:t xml:space="preserve"> </w:t>
      </w:r>
    </w:p>
    <w:p w:rsidR="006E3113" w:rsidRPr="006E3113" w:rsidRDefault="005D2DCB" w:rsidP="006E3113">
      <w:pPr>
        <w:pStyle w:val="SingleTxtGR"/>
      </w:pPr>
      <w:r>
        <w:tab/>
        <w:t>c)</w:t>
      </w:r>
      <w:r>
        <w:tab/>
      </w:r>
      <w:r w:rsidR="006E3113" w:rsidRPr="006E3113">
        <w:t>признал национальную отчетность об осуществлении многост</w:t>
      </w:r>
      <w:r w:rsidR="006E3113" w:rsidRPr="006E3113">
        <w:t>о</w:t>
      </w:r>
      <w:r w:rsidR="006E3113" w:rsidRPr="006E3113">
        <w:t>ронних природоохранных соглашений ЕЭК в качестве ценного инструмента для наблюдения за выполнением соответствующих целей устойчивого развития и обратил особое внимание на возможность приведения отчетности в соотве</w:t>
      </w:r>
      <w:r w:rsidR="006E3113" w:rsidRPr="006E3113">
        <w:t>т</w:t>
      </w:r>
      <w:r w:rsidR="006E3113" w:rsidRPr="006E3113">
        <w:t>ствие с Общей системой экологической информации</w:t>
      </w:r>
      <w:r w:rsidR="0069319F">
        <w:t xml:space="preserve"> </w:t>
      </w:r>
      <w:r w:rsidR="006E3113" w:rsidRPr="006E3113">
        <w:t>(СЕИС) и будущими пок</w:t>
      </w:r>
      <w:r w:rsidR="006E3113" w:rsidRPr="006E3113">
        <w:t>а</w:t>
      </w:r>
      <w:r w:rsidR="006E3113" w:rsidRPr="006E3113">
        <w:t>зателями для целей устойчивого развития;</w:t>
      </w:r>
    </w:p>
    <w:p w:rsidR="006E3113" w:rsidRPr="006E3113" w:rsidRDefault="006E3113" w:rsidP="006E3113">
      <w:pPr>
        <w:pStyle w:val="SingleTxtGR"/>
      </w:pPr>
      <w:r w:rsidRPr="006E3113">
        <w:tab/>
      </w:r>
      <w:r w:rsidR="005D2DCB">
        <w:rPr>
          <w:lang w:val="en-US"/>
        </w:rPr>
        <w:t>d</w:t>
      </w:r>
      <w:r w:rsidRPr="006E3113">
        <w:t>)</w:t>
      </w:r>
      <w:r w:rsidR="005D2DCB" w:rsidRPr="005D2DCB">
        <w:tab/>
      </w:r>
      <w:r w:rsidRPr="006E3113">
        <w:t>подчеркнул, что ключом к осуществлению Повестки дня 2030 я</w:t>
      </w:r>
      <w:r w:rsidRPr="006E3113">
        <w:t>в</w:t>
      </w:r>
      <w:r w:rsidRPr="006E3113">
        <w:t>ляется сотрудничество между соответствующими секторами, в частности э</w:t>
      </w:r>
      <w:r w:rsidRPr="006E3113">
        <w:t>ф</w:t>
      </w:r>
      <w:r w:rsidRPr="006E3113">
        <w:t>фективное вовлечение заинтересованных сторон;</w:t>
      </w:r>
    </w:p>
    <w:p w:rsidR="006E3113" w:rsidRPr="006E3113" w:rsidRDefault="006E3113" w:rsidP="006E3113">
      <w:pPr>
        <w:pStyle w:val="SingleTxtGR"/>
      </w:pPr>
      <w:r w:rsidRPr="006E3113">
        <w:tab/>
      </w:r>
      <w:r w:rsidR="0054122F">
        <w:rPr>
          <w:lang w:val="en-US"/>
        </w:rPr>
        <w:t>e</w:t>
      </w:r>
      <w:r w:rsidR="0054122F">
        <w:t>)</w:t>
      </w:r>
      <w:r w:rsidR="0054122F" w:rsidRPr="0054122F">
        <w:tab/>
      </w:r>
      <w:r w:rsidRPr="006E3113">
        <w:t>признал, что активизировать процесс осуществления на наци</w:t>
      </w:r>
      <w:r w:rsidRPr="006E3113">
        <w:t>о</w:t>
      </w:r>
      <w:r w:rsidRPr="006E3113">
        <w:t>нальном уровне и многостороннюю деятельность можно было бы</w:t>
      </w:r>
      <w:r w:rsidR="0069319F">
        <w:t xml:space="preserve"> </w:t>
      </w:r>
      <w:r w:rsidRPr="006E3113">
        <w:t>за счет ос</w:t>
      </w:r>
      <w:r w:rsidRPr="006E3113">
        <w:t>у</w:t>
      </w:r>
      <w:r w:rsidRPr="006E3113">
        <w:t xml:space="preserve">ществления на национальном уровне межведомственной координации действий </w:t>
      </w:r>
      <w:r w:rsidRPr="006E3113">
        <w:lastRenderedPageBreak/>
        <w:t>всех национальных координационных центров по многосторонним природ</w:t>
      </w:r>
      <w:r w:rsidRPr="006E3113">
        <w:t>о</w:t>
      </w:r>
      <w:r w:rsidRPr="006E3113">
        <w:t>охранным соглашени</w:t>
      </w:r>
      <w:r w:rsidR="005D2DCB">
        <w:t>я</w:t>
      </w:r>
      <w:r w:rsidRPr="006E3113">
        <w:t>м (а не только ЕЭК);</w:t>
      </w:r>
    </w:p>
    <w:p w:rsidR="0069319F" w:rsidRDefault="006E3113" w:rsidP="006E3113">
      <w:pPr>
        <w:pStyle w:val="SingleTxtGR"/>
      </w:pPr>
      <w:r w:rsidRPr="006E3113">
        <w:tab/>
      </w:r>
      <w:r w:rsidR="00D21DDA">
        <w:rPr>
          <w:lang w:val="en-US"/>
        </w:rPr>
        <w:t>f</w:t>
      </w:r>
      <w:r w:rsidR="005D2DCB">
        <w:t>)</w:t>
      </w:r>
      <w:r w:rsidR="005D2DCB" w:rsidRPr="005D2DCB">
        <w:tab/>
      </w:r>
      <w:r w:rsidRPr="006E3113">
        <w:t xml:space="preserve">призвал к укреплению в </w:t>
      </w:r>
      <w:r w:rsidR="00D21DDA">
        <w:t>контексте</w:t>
      </w:r>
      <w:r w:rsidRPr="006E3113">
        <w:t xml:space="preserve"> осуществлени</w:t>
      </w:r>
      <w:r w:rsidR="00D21DDA">
        <w:t>я</w:t>
      </w:r>
      <w:r w:rsidRPr="006E3113">
        <w:t xml:space="preserve"> Повестки дня 2030 взаимосвязей внутри Подпрограммы по окружающей среде и к улучш</w:t>
      </w:r>
      <w:r w:rsidRPr="006E3113">
        <w:t>е</w:t>
      </w:r>
      <w:r w:rsidRPr="006E3113">
        <w:t>нию сотрудничества во всем регионе ЕЭК и конкретно с участниками Подпр</w:t>
      </w:r>
      <w:r w:rsidRPr="006E3113">
        <w:t>о</w:t>
      </w:r>
      <w:r w:rsidRPr="006E3113">
        <w:t>граммы по статистике;</w:t>
      </w:r>
    </w:p>
    <w:p w:rsidR="006E3113" w:rsidRPr="006E3113" w:rsidRDefault="006E3113" w:rsidP="006E3113">
      <w:pPr>
        <w:pStyle w:val="SingleTxtGR"/>
      </w:pPr>
      <w:r w:rsidRPr="006E3113">
        <w:tab/>
      </w:r>
      <w:r w:rsidRPr="006E3113">
        <w:rPr>
          <w:lang w:val="en-US"/>
        </w:rPr>
        <w:t>g</w:t>
      </w:r>
      <w:r w:rsidRPr="006E3113">
        <w:t>)</w:t>
      </w:r>
      <w:r w:rsidR="005D2DCB">
        <w:tab/>
      </w:r>
      <w:r w:rsidRPr="006E3113">
        <w:t>признал необходимость содействия синергизму между многост</w:t>
      </w:r>
      <w:r w:rsidRPr="006E3113">
        <w:t>о</w:t>
      </w:r>
      <w:r w:rsidRPr="006E3113">
        <w:t>ронними природоохранными соглашениями ЕЭК и определения точек конве</w:t>
      </w:r>
      <w:r w:rsidRPr="006E3113">
        <w:t>р</w:t>
      </w:r>
      <w:r w:rsidRPr="006E3113">
        <w:t>генции при одновременном уважении соответствующих мандатов, предусмо</w:t>
      </w:r>
      <w:r w:rsidRPr="006E3113">
        <w:t>т</w:t>
      </w:r>
      <w:r w:rsidRPr="006E3113">
        <w:t>ренных в различных документах;</w:t>
      </w:r>
      <w:r w:rsidR="0069319F">
        <w:t xml:space="preserve"> </w:t>
      </w:r>
    </w:p>
    <w:p w:rsidR="006E3113" w:rsidRPr="006E3113" w:rsidRDefault="005D2DCB" w:rsidP="006E3113">
      <w:pPr>
        <w:pStyle w:val="SingleTxtGR"/>
      </w:pPr>
      <w:r>
        <w:tab/>
        <w:t>h)</w:t>
      </w:r>
      <w:r>
        <w:tab/>
      </w:r>
      <w:r w:rsidR="006E3113" w:rsidRPr="006E3113">
        <w:t>согласился с тем, что Комитету следует предпринимать больше усилий для обеспечения адекватной координации действий и политической поддержки деятельности по осуществлению многосторонних природоохранных соглашений ЕЭК, а также для содействия расширению состава их участников;</w:t>
      </w:r>
    </w:p>
    <w:p w:rsidR="006E3113" w:rsidRPr="006E3113" w:rsidRDefault="005D2DCB" w:rsidP="006E3113">
      <w:pPr>
        <w:pStyle w:val="SingleTxtGR"/>
      </w:pPr>
      <w:r>
        <w:tab/>
        <w:t>i)</w:t>
      </w:r>
      <w:r>
        <w:tab/>
      </w:r>
      <w:r w:rsidR="006E3113" w:rsidRPr="006E3113">
        <w:t>признал важность сотрудничества с другими региональными к</w:t>
      </w:r>
      <w:r w:rsidR="006E3113" w:rsidRPr="006E3113">
        <w:t>о</w:t>
      </w:r>
      <w:r w:rsidR="006E3113" w:rsidRPr="006E3113">
        <w:t>миссиями Организации Объединенных Наций, а также с другими междунаро</w:t>
      </w:r>
      <w:r w:rsidR="006E3113" w:rsidRPr="006E3113">
        <w:t>д</w:t>
      </w:r>
      <w:r w:rsidR="006E3113" w:rsidRPr="006E3113">
        <w:t>ными организациями с целью обеспечения синергизма;</w:t>
      </w:r>
    </w:p>
    <w:p w:rsidR="006E3113" w:rsidRPr="006E3113" w:rsidRDefault="005D2DCB" w:rsidP="006E3113">
      <w:pPr>
        <w:pStyle w:val="SingleTxtGR"/>
      </w:pPr>
      <w:r>
        <w:tab/>
        <w:t>j)</w:t>
      </w:r>
      <w:r>
        <w:tab/>
      </w:r>
      <w:r w:rsidR="006E3113" w:rsidRPr="006E3113">
        <w:t>решил содействовать дальнейшей взаимоувязке рекомендаций по обзорам результативности экологической деятельности и</w:t>
      </w:r>
      <w:r w:rsidR="0069319F">
        <w:t xml:space="preserve"> </w:t>
      </w:r>
      <w:r w:rsidR="006E3113" w:rsidRPr="006E3113">
        <w:t>многосторонних пр</w:t>
      </w:r>
      <w:r w:rsidR="006E3113" w:rsidRPr="006E3113">
        <w:t>и</w:t>
      </w:r>
      <w:r w:rsidR="006E3113" w:rsidRPr="006E3113">
        <w:t>родоохранных соглашений ЕЭК;</w:t>
      </w:r>
    </w:p>
    <w:p w:rsidR="006E3113" w:rsidRPr="006E3113" w:rsidRDefault="006E3113" w:rsidP="006E3113">
      <w:pPr>
        <w:pStyle w:val="SingleTxtGR"/>
      </w:pPr>
      <w:r w:rsidRPr="006E3113">
        <w:tab/>
        <w:t>k)</w:t>
      </w:r>
      <w:r w:rsidR="005D2DCB">
        <w:tab/>
      </w:r>
      <w:r w:rsidRPr="006E3113">
        <w:t>принял к сведению недавние</w:t>
      </w:r>
      <w:r w:rsidR="0069319F">
        <w:t xml:space="preserve"> </w:t>
      </w:r>
      <w:r w:rsidRPr="006E3113">
        <w:t>изменения, происшедшие в рамках неофициальных совместных совещаний представителей руководящих органов многосторонних природоохранных соглашений ЕЭК и Комитета, и призвал продолжать такую координацию;</w:t>
      </w:r>
    </w:p>
    <w:p w:rsidR="006E3113" w:rsidRPr="006E3113" w:rsidRDefault="005D2DCB" w:rsidP="006E3113">
      <w:pPr>
        <w:pStyle w:val="SingleTxtGR"/>
      </w:pPr>
      <w:r>
        <w:tab/>
        <w:t>l)</w:t>
      </w:r>
      <w:r>
        <w:tab/>
      </w:r>
      <w:r w:rsidR="006E3113" w:rsidRPr="006E3113">
        <w:t>отметил просьбу, высказанную на неофициальном совместном с</w:t>
      </w:r>
      <w:r w:rsidR="006E3113" w:rsidRPr="006E3113">
        <w:t>о</w:t>
      </w:r>
      <w:r w:rsidR="006E3113" w:rsidRPr="006E3113">
        <w:t>вещании 26 октября 2015 года, и просил секретариат</w:t>
      </w:r>
      <w:r w:rsidR="0069319F">
        <w:t xml:space="preserve"> </w:t>
      </w:r>
      <w:r w:rsidR="006E3113" w:rsidRPr="006E3113">
        <w:t>откликнуться на нее, по</w:t>
      </w:r>
      <w:r w:rsidR="006E3113" w:rsidRPr="006E3113">
        <w:t>д</w:t>
      </w:r>
      <w:r w:rsidR="006E3113" w:rsidRPr="006E3113">
        <w:t>готовив к Конференции министров в Батуми информационную записку на о</w:t>
      </w:r>
      <w:r w:rsidR="006E3113" w:rsidRPr="006E3113">
        <w:t>с</w:t>
      </w:r>
      <w:r w:rsidR="006E3113" w:rsidRPr="006E3113">
        <w:t>нове результатов проведенного внутри секретариата схематического сопоста</w:t>
      </w:r>
      <w:r w:rsidR="006E3113" w:rsidRPr="006E3113">
        <w:t>в</w:t>
      </w:r>
      <w:r w:rsidR="006E3113" w:rsidRPr="006E3113">
        <w:t>ления процессов и деятельности в рамках Подпрограммы по окружающей ср</w:t>
      </w:r>
      <w:r w:rsidR="006E3113" w:rsidRPr="006E3113">
        <w:t>е</w:t>
      </w:r>
      <w:r w:rsidR="006E3113" w:rsidRPr="006E3113">
        <w:t>де, которые могли бы обеспечить странам поддержку в достижении целей устойчивого развития;</w:t>
      </w:r>
    </w:p>
    <w:p w:rsidR="006E3113" w:rsidRPr="006E3113" w:rsidRDefault="005D2DCB" w:rsidP="006E3113">
      <w:pPr>
        <w:pStyle w:val="SingleTxtGR"/>
      </w:pPr>
      <w:r>
        <w:tab/>
        <w:t>m)</w:t>
      </w:r>
      <w:r>
        <w:tab/>
      </w:r>
      <w:r w:rsidR="006E3113" w:rsidRPr="006E3113">
        <w:t>принял к сведению высказанную озабоченность по поводу фина</w:t>
      </w:r>
      <w:r w:rsidR="006E3113" w:rsidRPr="006E3113">
        <w:t>н</w:t>
      </w:r>
      <w:r w:rsidR="006E3113" w:rsidRPr="006E3113">
        <w:t>совых ресурсов, выделяемых на многосторонние природоохранные соглашения;</w:t>
      </w:r>
    </w:p>
    <w:p w:rsidR="006E3113" w:rsidRPr="006E3113" w:rsidRDefault="005D2DCB" w:rsidP="006E3113">
      <w:pPr>
        <w:pStyle w:val="SingleTxtGR"/>
        <w:rPr>
          <w:b/>
        </w:rPr>
      </w:pPr>
      <w:r>
        <w:tab/>
        <w:t>n)</w:t>
      </w:r>
      <w:r>
        <w:tab/>
      </w:r>
      <w:r w:rsidR="006E3113" w:rsidRPr="006E3113">
        <w:t>признал необходимость заблаговременного прогнозирования и уч</w:t>
      </w:r>
      <w:r w:rsidR="006E3113" w:rsidRPr="006E3113">
        <w:t>е</w:t>
      </w:r>
      <w:r w:rsidR="006E3113" w:rsidRPr="006E3113">
        <w:t>та ресурсных последствий при рассмотрении вопроса о внесении поправок в многосторонние природоохранные соглашения с целью их открытия для уч</w:t>
      </w:r>
      <w:r w:rsidR="006E3113" w:rsidRPr="006E3113">
        <w:t>а</w:t>
      </w:r>
      <w:r w:rsidR="006E3113" w:rsidRPr="006E3113">
        <w:t>стия стран, находящихся за пределами региона ЕЭК.</w:t>
      </w:r>
    </w:p>
    <w:p w:rsidR="006E3113" w:rsidRPr="006E3113" w:rsidRDefault="006E3113" w:rsidP="006E3113">
      <w:pPr>
        <w:pStyle w:val="HChGR"/>
      </w:pPr>
      <w:r>
        <w:tab/>
        <w:t>V.</w:t>
      </w:r>
      <w:r>
        <w:tab/>
      </w:r>
      <w:r w:rsidRPr="006E3113">
        <w:t xml:space="preserve">Восьмая Конференция министров </w:t>
      </w:r>
      <w:r w:rsidR="0069319F">
        <w:t>«</w:t>
      </w:r>
      <w:r w:rsidRPr="006E3113">
        <w:t>Окружающая среда для Европы</w:t>
      </w:r>
      <w:r w:rsidR="0069319F">
        <w:t>»</w:t>
      </w:r>
    </w:p>
    <w:p w:rsidR="0069319F" w:rsidRDefault="00B71C61" w:rsidP="006E3113">
      <w:pPr>
        <w:pStyle w:val="SingleTxtGR"/>
      </w:pPr>
      <w:r>
        <w:t>24.</w:t>
      </w:r>
      <w:r w:rsidR="006E3113" w:rsidRPr="006E3113">
        <w:tab/>
        <w:t>На своей двадцатой сессии Комитет согласовал две темы для Конфере</w:t>
      </w:r>
      <w:r w:rsidR="006E3113" w:rsidRPr="006E3113">
        <w:t>н</w:t>
      </w:r>
      <w:r w:rsidR="006E3113" w:rsidRPr="006E3113">
        <w:t>ции министров в</w:t>
      </w:r>
      <w:r w:rsidR="0069319F">
        <w:t xml:space="preserve"> </w:t>
      </w:r>
      <w:r w:rsidR="006E3113" w:rsidRPr="006E3113">
        <w:t xml:space="preserve">Батуми </w:t>
      </w:r>
      <w:r w:rsidR="005D2DCB">
        <w:t>–</w:t>
      </w:r>
      <w:r w:rsidR="006E3113" w:rsidRPr="006E3113">
        <w:t xml:space="preserve"> </w:t>
      </w:r>
      <w:r w:rsidR="0069319F">
        <w:t>«</w:t>
      </w:r>
      <w:r w:rsidR="006E3113" w:rsidRPr="006E3113">
        <w:t>Экологизация экономики в общеевропейском рег</w:t>
      </w:r>
      <w:r w:rsidR="006E3113" w:rsidRPr="006E3113">
        <w:t>и</w:t>
      </w:r>
      <w:r w:rsidR="006E3113" w:rsidRPr="006E3113">
        <w:t>оне</w:t>
      </w:r>
      <w:r w:rsidR="0069319F">
        <w:t>»</w:t>
      </w:r>
      <w:r w:rsidR="006E3113" w:rsidRPr="006E3113">
        <w:t xml:space="preserve"> и </w:t>
      </w:r>
      <w:r w:rsidR="0069319F">
        <w:t>«</w:t>
      </w:r>
      <w:r w:rsidR="006E3113" w:rsidRPr="006E3113">
        <w:t>Повышение качества воздуха в интересах улучшения состояния окр</w:t>
      </w:r>
      <w:r w:rsidR="006E3113" w:rsidRPr="006E3113">
        <w:t>у</w:t>
      </w:r>
      <w:r w:rsidR="006E3113" w:rsidRPr="006E3113">
        <w:t>жающей среды и здоровья человека</w:t>
      </w:r>
      <w:r w:rsidR="0069319F">
        <w:t>»</w:t>
      </w:r>
      <w:r w:rsidR="006E3113" w:rsidRPr="006E3113">
        <w:t xml:space="preserve"> </w:t>
      </w:r>
      <w:r w:rsidR="005D2DCB">
        <w:t>–</w:t>
      </w:r>
      <w:r w:rsidR="006E3113" w:rsidRPr="006E3113">
        <w:t xml:space="preserve"> и утвердил организационные процедуры Конференции (см. ECE/CEP/2014/15).</w:t>
      </w:r>
    </w:p>
    <w:p w:rsidR="005A5BCC" w:rsidRPr="00A17601" w:rsidRDefault="005A5BCC" w:rsidP="005A5BCC">
      <w:pPr>
        <w:pStyle w:val="SingleTxtGR"/>
      </w:pPr>
      <w:r w:rsidRPr="00A17601">
        <w:lastRenderedPageBreak/>
        <w:t>25.</w:t>
      </w:r>
      <w:r w:rsidRPr="00A17601">
        <w:tab/>
        <w:t>На своей текущей сессии Комитет работал над рядом вопросов и видов деятельности, связанных с Конференцией, с целью продвижения процесса по</w:t>
      </w:r>
      <w:r w:rsidRPr="00A17601">
        <w:t>д</w:t>
      </w:r>
      <w:r w:rsidRPr="00A17601">
        <w:t>готовки к ней. Он также предоставил</w:t>
      </w:r>
      <w:r>
        <w:t xml:space="preserve"> </w:t>
      </w:r>
      <w:r w:rsidRPr="00A17601">
        <w:t>руководящие указания относительно п</w:t>
      </w:r>
      <w:r w:rsidRPr="00A17601">
        <w:t>о</w:t>
      </w:r>
      <w:r w:rsidRPr="00A17601">
        <w:t>следующей работы, которую должны проводить Президиум, секретариат и партнеры.</w:t>
      </w:r>
    </w:p>
    <w:p w:rsidR="005A5BCC" w:rsidRPr="00A17601" w:rsidRDefault="005A5BCC" w:rsidP="005A5BCC">
      <w:pPr>
        <w:pStyle w:val="SingleTxtGR"/>
      </w:pPr>
      <w:r w:rsidRPr="00A17601">
        <w:t>26.</w:t>
      </w:r>
      <w:r w:rsidRPr="00A17601">
        <w:tab/>
        <w:t>Комитет с удовлетворением отметил достигнутый прогресс</w:t>
      </w:r>
      <w:r>
        <w:t xml:space="preserve"> </w:t>
      </w:r>
      <w:r w:rsidRPr="00A17601">
        <w:t>в организ</w:t>
      </w:r>
      <w:r w:rsidRPr="00A17601">
        <w:t>а</w:t>
      </w:r>
      <w:r w:rsidRPr="00A17601">
        <w:t>ции Конференции.</w:t>
      </w:r>
    </w:p>
    <w:p w:rsidR="005A5BCC" w:rsidRPr="00A17601" w:rsidRDefault="005A5BCC" w:rsidP="005A5BCC">
      <w:pPr>
        <w:pStyle w:val="SingleTxtGR"/>
      </w:pPr>
      <w:r w:rsidRPr="00A17601">
        <w:t>27.</w:t>
      </w:r>
      <w:r w:rsidRPr="00A17601">
        <w:tab/>
        <w:t>После рассмотрения всех вопросов (см. подразделы A</w:t>
      </w:r>
      <w:r>
        <w:t>–</w:t>
      </w:r>
      <w:r w:rsidRPr="00A17601">
        <w:t>J ниже) Комитет предложил Президиуму продолжить при поддержке секретариата и в сотрудн</w:t>
      </w:r>
      <w:r w:rsidRPr="00A17601">
        <w:t>и</w:t>
      </w:r>
      <w:r w:rsidRPr="00A17601">
        <w:t>честве с соответствующими заинтересованными сторонами подготовку Конф</w:t>
      </w:r>
      <w:r w:rsidRPr="00A17601">
        <w:t>е</w:t>
      </w:r>
      <w:r w:rsidRPr="00A17601">
        <w:t>ренции в Батуми, включая подготовку к следующей сессии Комитета запр</w:t>
      </w:r>
      <w:r w:rsidRPr="00A17601">
        <w:t>о</w:t>
      </w:r>
      <w:r w:rsidRPr="00A17601">
        <w:t>шенных документов, а также любых других документов, которые могут быть рекомендованы Президиумом. Комитет также предложил ЮНЕП и другим з</w:t>
      </w:r>
      <w:r w:rsidRPr="00A17601">
        <w:t>а</w:t>
      </w:r>
      <w:r w:rsidRPr="00A17601">
        <w:t>интересованным сторонам внести свой вклад в подготовку Батумской конф</w:t>
      </w:r>
      <w:r w:rsidRPr="00A17601">
        <w:t>е</w:t>
      </w:r>
      <w:r w:rsidRPr="00A17601">
        <w:t>ренции.</w:t>
      </w:r>
    </w:p>
    <w:p w:rsidR="005A5BCC" w:rsidRPr="00A17601" w:rsidRDefault="005A5BCC" w:rsidP="005A5BCC">
      <w:pPr>
        <w:pStyle w:val="H1GR"/>
      </w:pPr>
      <w:r w:rsidRPr="00EB6C1A">
        <w:tab/>
      </w:r>
      <w:r w:rsidRPr="00A17601">
        <w:t>А.</w:t>
      </w:r>
      <w:r w:rsidRPr="00A17601">
        <w:tab/>
        <w:t>Подготовка в принимающей стране</w:t>
      </w:r>
    </w:p>
    <w:p w:rsidR="005A5BCC" w:rsidRPr="00A17601" w:rsidRDefault="005A5BCC" w:rsidP="005A5BCC">
      <w:pPr>
        <w:pStyle w:val="SingleTxtGR"/>
      </w:pPr>
      <w:r w:rsidRPr="00A17601">
        <w:t>28.</w:t>
      </w:r>
      <w:r w:rsidRPr="00A17601">
        <w:tab/>
        <w:t>Представитель Грузии проинформировал участников о происходящих и</w:t>
      </w:r>
      <w:r w:rsidRPr="00A17601">
        <w:t>з</w:t>
      </w:r>
      <w:r w:rsidRPr="00A17601">
        <w:t>менениях и конкретных предпринятых шагах по организации Батумской конф</w:t>
      </w:r>
      <w:r w:rsidRPr="00A17601">
        <w:t>е</w:t>
      </w:r>
      <w:r w:rsidRPr="00A17601">
        <w:t>ренции</w:t>
      </w:r>
      <w:r w:rsidRPr="00EB6C1A">
        <w:rPr>
          <w:sz w:val="18"/>
          <w:szCs w:val="18"/>
          <w:vertAlign w:val="superscript"/>
        </w:rPr>
        <w:footnoteReference w:id="9"/>
      </w:r>
      <w:r w:rsidRPr="00A17601">
        <w:t>.</w:t>
      </w:r>
      <w:r>
        <w:t xml:space="preserve"> </w:t>
      </w:r>
      <w:r w:rsidRPr="00A17601">
        <w:t>Одной из остающихся проблем является своевременное выделение н</w:t>
      </w:r>
      <w:r w:rsidRPr="00A17601">
        <w:t>е</w:t>
      </w:r>
      <w:r w:rsidRPr="00A17601">
        <w:t>обходимого бюджета на организацию Конференции. Секретариат ЕЭК предст</w:t>
      </w:r>
      <w:r w:rsidRPr="00A17601">
        <w:t>а</w:t>
      </w:r>
      <w:r w:rsidRPr="00A17601">
        <w:t>вил результаты своей первой миссии в Грузию, совершенной для координации организационных вопросов, осмотра места проведения Конференции и пом</w:t>
      </w:r>
      <w:r w:rsidRPr="00A17601">
        <w:t>е</w:t>
      </w:r>
      <w:r w:rsidRPr="00A17601">
        <w:t>щений в нем и ознакомления с предлагаемыми вариантами размещения делег</w:t>
      </w:r>
      <w:r w:rsidRPr="00A17601">
        <w:t>а</w:t>
      </w:r>
      <w:r w:rsidRPr="00A17601">
        <w:t>тов.</w:t>
      </w:r>
    </w:p>
    <w:p w:rsidR="005A5BCC" w:rsidRPr="00A17601" w:rsidRDefault="004E39D4" w:rsidP="005A5BCC">
      <w:pPr>
        <w:pStyle w:val="SingleTxtGR"/>
      </w:pPr>
      <w:r>
        <w:t>29.</w:t>
      </w:r>
      <w:r>
        <w:tab/>
      </w:r>
      <w:r w:rsidR="005A5BCC" w:rsidRPr="00A17601">
        <w:t>Комитет приветствовал подготовку, проводимую Грузией для приема Конференции, и предложил заинтересованным странам рассмотреть возмо</w:t>
      </w:r>
      <w:r w:rsidR="005A5BCC" w:rsidRPr="00A17601">
        <w:t>ж</w:t>
      </w:r>
      <w:r w:rsidR="005A5BCC" w:rsidRPr="00A17601">
        <w:t>ность оказания</w:t>
      </w:r>
      <w:r w:rsidR="005A5BCC">
        <w:t xml:space="preserve"> </w:t>
      </w:r>
      <w:r w:rsidR="005A5BCC" w:rsidRPr="00A17601">
        <w:t>принимающей стране поддержки в организации этого меропр</w:t>
      </w:r>
      <w:r w:rsidR="005A5BCC" w:rsidRPr="00A17601">
        <w:t>и</w:t>
      </w:r>
      <w:r w:rsidR="005A5BCC" w:rsidRPr="00A17601">
        <w:t>ятия.</w:t>
      </w:r>
    </w:p>
    <w:p w:rsidR="005A5BCC" w:rsidRPr="00A17601" w:rsidRDefault="005A5BCC" w:rsidP="005A5BCC">
      <w:pPr>
        <w:pStyle w:val="H1GR"/>
      </w:pPr>
      <w:r w:rsidRPr="00A17601">
        <w:tab/>
        <w:t>B.</w:t>
      </w:r>
      <w:r w:rsidRPr="00A17601">
        <w:tab/>
        <w:t>Экологизация экономики</w:t>
      </w:r>
    </w:p>
    <w:p w:rsidR="005A5BCC" w:rsidRPr="00A17601" w:rsidRDefault="005A5BCC" w:rsidP="005A5BCC">
      <w:pPr>
        <w:pStyle w:val="SingleTxtGR"/>
      </w:pPr>
      <w:r w:rsidRPr="00A17601">
        <w:t>30.</w:t>
      </w:r>
      <w:r w:rsidRPr="00A17601">
        <w:tab/>
        <w:t>Представители секретариата ЕЭК и ЮНЕП представили проект темат</w:t>
      </w:r>
      <w:r w:rsidRPr="00A17601">
        <w:t>и</w:t>
      </w:r>
      <w:r w:rsidRPr="00A17601">
        <w:t>ческого документа по экологизации экономики в</w:t>
      </w:r>
      <w:r>
        <w:t xml:space="preserve"> </w:t>
      </w:r>
      <w:r w:rsidRPr="00A17601">
        <w:t>общеевропейском регионе (ECE/CEP/2015/L.2) и проект стратегических рамок экологизации экономики в общеевропейском регионе (ECE/CEP/2015/L.4). Оба документа были подгото</w:t>
      </w:r>
      <w:r w:rsidRPr="00A17601">
        <w:t>в</w:t>
      </w:r>
      <w:r w:rsidRPr="00A17601">
        <w:t>лены ЕЭК и ЮНЕП в консультации с другими организациями.</w:t>
      </w:r>
    </w:p>
    <w:p w:rsidR="005A5BCC" w:rsidRPr="00A17601" w:rsidRDefault="005A5BCC" w:rsidP="005A5BCC">
      <w:pPr>
        <w:pStyle w:val="SingleTxtGR"/>
      </w:pPr>
      <w:r w:rsidRPr="00A17601">
        <w:t>31.</w:t>
      </w:r>
      <w:r w:rsidRPr="00A17601">
        <w:tab/>
        <w:t>В ходе послед</w:t>
      </w:r>
      <w:r>
        <w:t>ующего</w:t>
      </w:r>
      <w:r w:rsidRPr="00A17601">
        <w:t xml:space="preserve"> обсуждения делегаты рассмотрели эти два док</w:t>
      </w:r>
      <w:r w:rsidRPr="00A17601">
        <w:t>у</w:t>
      </w:r>
      <w:r w:rsidRPr="00A17601">
        <w:t>мента, обсудили вопрос экологизации экономики и представили замечания</w:t>
      </w:r>
      <w:r>
        <w:t>,</w:t>
      </w:r>
      <w:r w:rsidRPr="00A17601">
        <w:t xml:space="preserve"> с тем чтобы они служили ориентиром при пересмотре</w:t>
      </w:r>
      <w:r>
        <w:t xml:space="preserve"> </w:t>
      </w:r>
      <w:r w:rsidRPr="00A17601">
        <w:t>Комитетом этих проектов</w:t>
      </w:r>
      <w:r>
        <w:t xml:space="preserve"> </w:t>
      </w:r>
      <w:r w:rsidRPr="00A17601">
        <w:t>на его следующей сессии.</w:t>
      </w:r>
    </w:p>
    <w:p w:rsidR="005A5BCC" w:rsidRPr="00A17601" w:rsidRDefault="005A5BCC" w:rsidP="005A5BCC">
      <w:pPr>
        <w:pStyle w:val="SingleTxtGR"/>
      </w:pPr>
      <w:r w:rsidRPr="00A17601">
        <w:t>32.</w:t>
      </w:r>
      <w:r w:rsidRPr="00A17601">
        <w:tab/>
        <w:t>Комитет приветствовал подготовленные документы по теме экологизации экономики (ECE/CEP/2015/L.2 и ECE/CEP/2015/L.4) и плодотворное сотрудн</w:t>
      </w:r>
      <w:r w:rsidRPr="00A17601">
        <w:t>и</w:t>
      </w:r>
      <w:r w:rsidRPr="00A17601">
        <w:t>чество в их разработке между ЕЭК и ЮНЕП</w:t>
      </w:r>
      <w:r>
        <w:t xml:space="preserve"> </w:t>
      </w:r>
      <w:r w:rsidRPr="00A17601">
        <w:t xml:space="preserve">с привлечением других партнеров, включая ОЭСР и Европейское агентство по окружающей среде, и: </w:t>
      </w:r>
    </w:p>
    <w:p w:rsidR="005A5BCC" w:rsidRPr="00A17601" w:rsidRDefault="005A5BCC" w:rsidP="005A5BCC">
      <w:pPr>
        <w:pStyle w:val="SingleTxtGR"/>
      </w:pPr>
      <w:r w:rsidRPr="00A17601">
        <w:lastRenderedPageBreak/>
        <w:tab/>
        <w:t>a)</w:t>
      </w:r>
      <w:r w:rsidRPr="00A17601">
        <w:tab/>
        <w:t>предложил членам Комитета и наблюдателям представить секрет</w:t>
      </w:r>
      <w:r w:rsidRPr="00A17601">
        <w:t>а</w:t>
      </w:r>
      <w:r w:rsidRPr="00A17601">
        <w:t>риату до 15 ноября 2015</w:t>
      </w:r>
      <w:r>
        <w:t> год</w:t>
      </w:r>
      <w:r w:rsidRPr="00A17601">
        <w:t>а возможные дополнительные замечания по</w:t>
      </w:r>
      <w:r>
        <w:t xml:space="preserve"> </w:t>
      </w:r>
      <w:r w:rsidRPr="00A17601">
        <w:t>темат</w:t>
      </w:r>
      <w:r w:rsidRPr="00A17601">
        <w:t>и</w:t>
      </w:r>
      <w:r w:rsidRPr="00A17601">
        <w:t>ческому справочному документу и просил ЕЭК и ЮНЕП пересмотреть док</w:t>
      </w:r>
      <w:r w:rsidRPr="00A17601">
        <w:t>у</w:t>
      </w:r>
      <w:r w:rsidRPr="00A17601">
        <w:t>мент к специальной сессии Комитета в феврале 2016</w:t>
      </w:r>
      <w:r>
        <w:t> год</w:t>
      </w:r>
      <w:r w:rsidRPr="00A17601">
        <w:t>а;</w:t>
      </w:r>
    </w:p>
    <w:p w:rsidR="005A5BCC" w:rsidRPr="00A17601" w:rsidRDefault="005A5BCC" w:rsidP="005A5BCC">
      <w:pPr>
        <w:pStyle w:val="SingleTxtGR"/>
      </w:pPr>
      <w:r w:rsidRPr="00A17601">
        <w:tab/>
        <w:t>b)</w:t>
      </w:r>
      <w:r w:rsidRPr="00A17601">
        <w:tab/>
        <w:t>в целом согласился со стратегической част</w:t>
      </w:r>
      <w:r>
        <w:t>ью</w:t>
      </w:r>
      <w:r w:rsidRPr="00A17601">
        <w:t xml:space="preserve"> проекта стратегич</w:t>
      </w:r>
      <w:r w:rsidRPr="00A17601">
        <w:t>е</w:t>
      </w:r>
      <w:r w:rsidRPr="00A17601">
        <w:t>ских рамок экологизации экономики и предложил членам Комитета и наблюд</w:t>
      </w:r>
      <w:r w:rsidRPr="00A17601">
        <w:t>а</w:t>
      </w:r>
      <w:r w:rsidRPr="00A17601">
        <w:t>телям представить секретариату возможные дополнительные замечания к</w:t>
      </w:r>
      <w:r>
        <w:t> </w:t>
      </w:r>
      <w:r w:rsidRPr="00A17601">
        <w:t>15</w:t>
      </w:r>
      <w:r>
        <w:rPr>
          <w:lang w:val="en-US"/>
        </w:rPr>
        <w:t> </w:t>
      </w:r>
      <w:r w:rsidRPr="00A17601">
        <w:t>ноября 2015</w:t>
      </w:r>
      <w:r>
        <w:t> год</w:t>
      </w:r>
      <w:r w:rsidRPr="00A17601">
        <w:t>а;</w:t>
      </w:r>
    </w:p>
    <w:p w:rsidR="005A5BCC" w:rsidRPr="00A17601" w:rsidRDefault="005A5BCC" w:rsidP="005A5BCC">
      <w:pPr>
        <w:pStyle w:val="SingleTxtGR"/>
      </w:pPr>
      <w:r w:rsidRPr="00A17601">
        <w:tab/>
        <w:t>c)</w:t>
      </w:r>
      <w:r w:rsidRPr="00A17601">
        <w:tab/>
        <w:t>предложил</w:t>
      </w:r>
      <w:r>
        <w:t xml:space="preserve"> </w:t>
      </w:r>
      <w:r w:rsidRPr="00A17601">
        <w:t>членам Комитета и наблюдателям представить секрет</w:t>
      </w:r>
      <w:r w:rsidRPr="00A17601">
        <w:t>а</w:t>
      </w:r>
      <w:r w:rsidRPr="00A17601">
        <w:t>риату замечания в отношении предлагаемых добровольных действий по экол</w:t>
      </w:r>
      <w:r w:rsidRPr="00A17601">
        <w:t>о</w:t>
      </w:r>
      <w:r w:rsidRPr="00A17601">
        <w:t>гизации экономики, которые были предусмотрены в приложении к проекту стратегических рамок, к 15 ноября 2015</w:t>
      </w:r>
      <w:r>
        <w:t> год</w:t>
      </w:r>
      <w:r w:rsidRPr="00A17601">
        <w:t>а;</w:t>
      </w:r>
    </w:p>
    <w:p w:rsidR="005A5BCC" w:rsidRPr="00A17601" w:rsidRDefault="005A5BCC" w:rsidP="005A5BCC">
      <w:pPr>
        <w:pStyle w:val="SingleTxtGR"/>
      </w:pPr>
      <w:r w:rsidRPr="00A17601">
        <w:tab/>
        <w:t>d)</w:t>
      </w:r>
      <w:r w:rsidRPr="00A17601">
        <w:tab/>
        <w:t>приветствовал предложение Швейцарии</w:t>
      </w:r>
      <w:r>
        <w:t xml:space="preserve"> </w:t>
      </w:r>
      <w:r w:rsidRPr="00A17601">
        <w:t>продвигать вперед процесс доработки предложенных добровольных действий по экологизации экономики с учетом полученных замечаний и предложил членам Комитета и наблюдателям выразить свою заинтересованность и сообщить</w:t>
      </w:r>
      <w:r>
        <w:t xml:space="preserve"> </w:t>
      </w:r>
      <w:r w:rsidRPr="00A17601">
        <w:t>секретариату до 15 ноября 2015</w:t>
      </w:r>
      <w:r>
        <w:t> год</w:t>
      </w:r>
      <w:r w:rsidRPr="00A17601">
        <w:t>а о том,</w:t>
      </w:r>
      <w:r>
        <w:t xml:space="preserve"> </w:t>
      </w:r>
      <w:r w:rsidRPr="00A17601">
        <w:t>желают ли они присоединиться к группе экспертов по эколог</w:t>
      </w:r>
      <w:r w:rsidRPr="00A17601">
        <w:t>и</w:t>
      </w:r>
      <w:r w:rsidRPr="00A17601">
        <w:t>зации экономики, которая будет вести работу с использованием электронных средств под руководством Швейцарии и при поддержке секретариата ЕЭК и ЮНЕП. Кроме того, он поручил</w:t>
      </w:r>
      <w:r>
        <w:t xml:space="preserve"> </w:t>
      </w:r>
      <w:r w:rsidRPr="00A17601">
        <w:t>Швейцарии сформировать и созвать группу экспертов для подготовки пересмотренного проекта добровольных действий по экологизации экономики к специальной сессии Комитета в феврале 2016</w:t>
      </w:r>
      <w:r>
        <w:t> год</w:t>
      </w:r>
      <w:r w:rsidRPr="00A17601">
        <w:t>а;</w:t>
      </w:r>
    </w:p>
    <w:p w:rsidR="005A5BCC" w:rsidRPr="00A17601" w:rsidRDefault="005A5BCC" w:rsidP="005A5BCC">
      <w:pPr>
        <w:pStyle w:val="SingleTxtGR"/>
      </w:pPr>
      <w:r w:rsidRPr="00A17601">
        <w:tab/>
        <w:t>e)</w:t>
      </w:r>
      <w:r w:rsidRPr="00A17601">
        <w:tab/>
        <w:t>принял к сведению информацию о текущей работе, предоставле</w:t>
      </w:r>
      <w:r w:rsidRPr="00A17601">
        <w:t>н</w:t>
      </w:r>
      <w:r w:rsidRPr="00A17601">
        <w:t xml:space="preserve">ную секретариатом Целевой группы ОЭСР по программе природоохранных действий; </w:t>
      </w:r>
    </w:p>
    <w:p w:rsidR="005A5BCC" w:rsidRPr="00A17601" w:rsidRDefault="005A5BCC" w:rsidP="005A5BCC">
      <w:pPr>
        <w:pStyle w:val="SingleTxtGR"/>
      </w:pPr>
      <w:r w:rsidRPr="00A17601">
        <w:tab/>
        <w:t>f)</w:t>
      </w:r>
      <w:r w:rsidRPr="00A17601">
        <w:tab/>
        <w:t xml:space="preserve">выразил признательность ЕЭК, ЮНЕП и Платформе знаний о </w:t>
      </w:r>
      <w:r>
        <w:t>«</w:t>
      </w:r>
      <w:r w:rsidRPr="00A17601">
        <w:t>з</w:t>
      </w:r>
      <w:r w:rsidRPr="00A17601">
        <w:t>е</w:t>
      </w:r>
      <w:r w:rsidRPr="00A17601">
        <w:t>леном</w:t>
      </w:r>
      <w:r>
        <w:t>»</w:t>
      </w:r>
      <w:r w:rsidRPr="00A17601">
        <w:t xml:space="preserve"> росте за организацию</w:t>
      </w:r>
      <w:r>
        <w:t xml:space="preserve"> </w:t>
      </w:r>
      <w:r w:rsidRPr="00A17601">
        <w:t xml:space="preserve">параллельного мероприятия на тему знаний о </w:t>
      </w:r>
      <w:r>
        <w:t>«</w:t>
      </w:r>
      <w:r w:rsidRPr="00A17601">
        <w:t>зеленой</w:t>
      </w:r>
      <w:r>
        <w:t>»</w:t>
      </w:r>
      <w:r w:rsidRPr="00A17601">
        <w:t xml:space="preserve"> экономике для общеевропейского региона и не входящих в него стран, в частности для поддержки дискуссий об условиях интеграции предлаг</w:t>
      </w:r>
      <w:r w:rsidRPr="00A17601">
        <w:t>а</w:t>
      </w:r>
      <w:r w:rsidRPr="00A17601">
        <w:t>емых добровольных действий по экологизации экономики на такие существ</w:t>
      </w:r>
      <w:r w:rsidRPr="00A17601">
        <w:t>у</w:t>
      </w:r>
      <w:r w:rsidRPr="00A17601">
        <w:t xml:space="preserve">ющие платформы знаний, как Платформа знаний о </w:t>
      </w:r>
      <w:r>
        <w:t>«</w:t>
      </w:r>
      <w:r w:rsidRPr="00A17601">
        <w:t>зеленом</w:t>
      </w:r>
      <w:r>
        <w:t>»</w:t>
      </w:r>
      <w:r w:rsidRPr="00A17601">
        <w:t xml:space="preserve"> росте.</w:t>
      </w:r>
    </w:p>
    <w:p w:rsidR="005A5BCC" w:rsidRPr="00A17601" w:rsidRDefault="005A5BCC" w:rsidP="005A5BCC">
      <w:pPr>
        <w:pStyle w:val="H1GR"/>
      </w:pPr>
      <w:r w:rsidRPr="00496B24">
        <w:tab/>
      </w:r>
      <w:r w:rsidRPr="00A17601">
        <w:t>C.</w:t>
      </w:r>
      <w:r w:rsidRPr="00A17601">
        <w:tab/>
        <w:t>Очистка воздуха</w:t>
      </w:r>
    </w:p>
    <w:p w:rsidR="005A5BCC" w:rsidRPr="00A17601" w:rsidRDefault="005A5BCC" w:rsidP="005A5BCC">
      <w:pPr>
        <w:pStyle w:val="SingleTxtGR"/>
      </w:pPr>
      <w:r w:rsidRPr="00A17601">
        <w:t>33.</w:t>
      </w:r>
      <w:r w:rsidRPr="00A17601">
        <w:tab/>
        <w:t>Секретариат представил проект тематического документа о повышении качества воздуха для улучшения состояния окружающей среды и здоровья ч</w:t>
      </w:r>
      <w:r w:rsidRPr="00A17601">
        <w:t>е</w:t>
      </w:r>
      <w:r w:rsidRPr="00A17601">
        <w:t>ловека (ECE/CEP/2015/L.3), который был подготовлен секретариатом в консул</w:t>
      </w:r>
      <w:r w:rsidRPr="00A17601">
        <w:t>ь</w:t>
      </w:r>
      <w:r w:rsidRPr="00A17601">
        <w:t>тации с партнерами. Председатель</w:t>
      </w:r>
      <w:r>
        <w:t xml:space="preserve"> </w:t>
      </w:r>
      <w:r w:rsidRPr="00A17601">
        <w:t>Конвенции по воздуху представил первый проект Батумской инициативы по борьбе за чистый воздух (ECE/CEP/2015/L.5), подготовленный Президиумом Конвенции по воздуху, и сообщил о прогрессе в подготовке регионального доклада о научной оценке, включая резюме для ра</w:t>
      </w:r>
      <w:r w:rsidRPr="00A17601">
        <w:t>з</w:t>
      </w:r>
      <w:r w:rsidRPr="00A17601">
        <w:t>работчиков политики, который мог бы использоваться в качестве источника д</w:t>
      </w:r>
      <w:r w:rsidRPr="00A17601">
        <w:t>о</w:t>
      </w:r>
      <w:r w:rsidRPr="00A17601">
        <w:t>полнительной справочной информации для облегчения обсуждений в Батуми.</w:t>
      </w:r>
    </w:p>
    <w:p w:rsidR="005A5BCC" w:rsidRPr="00A17601" w:rsidRDefault="005A5BCC" w:rsidP="005A5BCC">
      <w:pPr>
        <w:pStyle w:val="SingleTxtGR"/>
      </w:pPr>
      <w:r w:rsidRPr="00A17601">
        <w:t>34.</w:t>
      </w:r>
      <w:r w:rsidRPr="00A17601">
        <w:tab/>
        <w:t xml:space="preserve">В ходе последовавшего </w:t>
      </w:r>
      <w:r>
        <w:t xml:space="preserve">за этим </w:t>
      </w:r>
      <w:r w:rsidRPr="00A17601">
        <w:t>обсуждения делегаты рассмотрели два этих документа, обсудили вопрос очистки воздуха и представили свои замеч</w:t>
      </w:r>
      <w:r w:rsidRPr="00A17601">
        <w:t>а</w:t>
      </w:r>
      <w:r w:rsidRPr="00A17601">
        <w:t>ния с тем, чтобы они могли служить ориентиром для пересмотра проектов при их рассмотрении Комитетом на его следующей сессии.</w:t>
      </w:r>
    </w:p>
    <w:p w:rsidR="005A5BCC" w:rsidRPr="00A17601" w:rsidRDefault="005A5BCC" w:rsidP="004E39D4">
      <w:pPr>
        <w:pStyle w:val="SingleTxtGR"/>
        <w:pageBreakBefore/>
      </w:pPr>
      <w:r w:rsidRPr="00A17601">
        <w:lastRenderedPageBreak/>
        <w:t>35.</w:t>
      </w:r>
      <w:r w:rsidRPr="00A17601">
        <w:tab/>
        <w:t>Комитет приветствовал подготовленные документы</w:t>
      </w:r>
      <w:r>
        <w:t xml:space="preserve"> </w:t>
      </w:r>
      <w:r w:rsidRPr="00A17601">
        <w:t>по теме очистки во</w:t>
      </w:r>
      <w:r w:rsidRPr="00A17601">
        <w:t>з</w:t>
      </w:r>
      <w:r w:rsidRPr="00A17601">
        <w:t>духа (ECE/CEP/2015/L.3 и ECE/CEP/2015/L.5) и активное участие в их разр</w:t>
      </w:r>
      <w:r w:rsidRPr="00A17601">
        <w:t>а</w:t>
      </w:r>
      <w:r w:rsidRPr="00A17601">
        <w:t>ботке Президиума Конвенции ЕЭК по воздуху, а также вовлеченность в нее других партнеров и:</w:t>
      </w:r>
    </w:p>
    <w:p w:rsidR="005A5BCC" w:rsidRPr="00A17601" w:rsidRDefault="005A5BCC" w:rsidP="005A5BCC">
      <w:pPr>
        <w:pStyle w:val="SingleTxtGR"/>
      </w:pPr>
      <w:r>
        <w:tab/>
      </w:r>
      <w:r w:rsidRPr="00A17601">
        <w:t>a)</w:t>
      </w:r>
      <w:r w:rsidRPr="00A17601">
        <w:tab/>
        <w:t>предложил членам Комитета и наблюдателям, а также членам</w:t>
      </w:r>
      <w:r>
        <w:t xml:space="preserve"> </w:t>
      </w:r>
      <w:r w:rsidRPr="00A17601">
        <w:t>Р</w:t>
      </w:r>
      <w:r w:rsidRPr="00A17601">
        <w:t>а</w:t>
      </w:r>
      <w:r w:rsidRPr="00A17601">
        <w:t>бочей группы по мониторингу и оценке окружающей среды представить секр</w:t>
      </w:r>
      <w:r w:rsidRPr="00A17601">
        <w:t>е</w:t>
      </w:r>
      <w:r w:rsidRPr="00A17601">
        <w:t>тариату до 15 ноября 2015</w:t>
      </w:r>
      <w:r>
        <w:t> год</w:t>
      </w:r>
      <w:r w:rsidRPr="00A17601">
        <w:t>а возможные дополнительные замечания к тем</w:t>
      </w:r>
      <w:r w:rsidRPr="00A17601">
        <w:t>а</w:t>
      </w:r>
      <w:r w:rsidRPr="00A17601">
        <w:t>тическому справочному документу и просил</w:t>
      </w:r>
      <w:r>
        <w:t xml:space="preserve"> </w:t>
      </w:r>
      <w:r w:rsidRPr="00A17601">
        <w:t>секретариат пересмотреть док</w:t>
      </w:r>
      <w:r w:rsidRPr="00A17601">
        <w:t>у</w:t>
      </w:r>
      <w:r w:rsidRPr="00A17601">
        <w:t>мент к специальной сессии Комитета в феврале 2016</w:t>
      </w:r>
      <w:r>
        <w:t> год</w:t>
      </w:r>
      <w:r w:rsidRPr="00A17601">
        <w:t>а;</w:t>
      </w:r>
    </w:p>
    <w:p w:rsidR="005A5BCC" w:rsidRPr="00A17601" w:rsidRDefault="005A5BCC" w:rsidP="005A5BCC">
      <w:pPr>
        <w:pStyle w:val="SingleTxtGR"/>
      </w:pPr>
      <w:r w:rsidRPr="00A17601">
        <w:tab/>
        <w:t>b)</w:t>
      </w:r>
      <w:r w:rsidRPr="00A17601">
        <w:tab/>
        <w:t>приветствовал подготовленную Президиумом Конвенции по</w:t>
      </w:r>
      <w:r>
        <w:t xml:space="preserve"> </w:t>
      </w:r>
      <w:r w:rsidRPr="00A17601">
        <w:t>возд</w:t>
      </w:r>
      <w:r w:rsidRPr="00A17601">
        <w:t>у</w:t>
      </w:r>
      <w:r w:rsidRPr="00A17601">
        <w:t>ху Батумскую инициативу по борьбе за чистый воздух, которая могла</w:t>
      </w:r>
      <w:r>
        <w:t xml:space="preserve"> </w:t>
      </w:r>
      <w:r w:rsidRPr="00A17601">
        <w:t>бы сл</w:t>
      </w:r>
      <w:r w:rsidRPr="00A17601">
        <w:t>у</w:t>
      </w:r>
      <w:r w:rsidRPr="00A17601">
        <w:t>жить в качестве одного из актуальных инструментов для реализации итогов Конференции по теме</w:t>
      </w:r>
      <w:r>
        <w:t xml:space="preserve"> </w:t>
      </w:r>
      <w:r w:rsidRPr="00A17601">
        <w:t>чистоты воздуха</w:t>
      </w:r>
      <w:r>
        <w:t>,</w:t>
      </w:r>
      <w:r w:rsidRPr="00A17601">
        <w:t xml:space="preserve"> и предложил членам Комитета и набл</w:t>
      </w:r>
      <w:r w:rsidRPr="00A17601">
        <w:t>ю</w:t>
      </w:r>
      <w:r w:rsidRPr="00A17601">
        <w:t>дателям, а также членам</w:t>
      </w:r>
      <w:r>
        <w:t xml:space="preserve"> </w:t>
      </w:r>
      <w:r w:rsidRPr="00A17601">
        <w:t>Рабочей группы по мониторингу и оценке окружа</w:t>
      </w:r>
      <w:r w:rsidRPr="00A17601">
        <w:t>ю</w:t>
      </w:r>
      <w:r w:rsidRPr="00A17601">
        <w:t>щей среды</w:t>
      </w:r>
      <w:r>
        <w:t xml:space="preserve"> </w:t>
      </w:r>
      <w:r w:rsidRPr="00A17601">
        <w:t>представить</w:t>
      </w:r>
      <w:r>
        <w:t xml:space="preserve"> </w:t>
      </w:r>
      <w:r w:rsidRPr="00A17601">
        <w:t>через секретариат Президиуму Конвенции по</w:t>
      </w:r>
      <w:r>
        <w:t xml:space="preserve"> </w:t>
      </w:r>
      <w:r w:rsidRPr="00A17601">
        <w:t>воздуху</w:t>
      </w:r>
      <w:r>
        <w:t xml:space="preserve"> </w:t>
      </w:r>
      <w:r w:rsidRPr="00A17601">
        <w:t>любые дополнительные замечания к проекту инициативы</w:t>
      </w:r>
      <w:r>
        <w:t xml:space="preserve"> </w:t>
      </w:r>
      <w:r w:rsidRPr="00A17601">
        <w:t>до 15 ноября 2015</w:t>
      </w:r>
      <w:r>
        <w:t> год</w:t>
      </w:r>
      <w:r w:rsidRPr="00A17601">
        <w:t>а. Кроме того, он</w:t>
      </w:r>
      <w:r>
        <w:t xml:space="preserve"> </w:t>
      </w:r>
      <w:r w:rsidRPr="00A17601">
        <w:t>предложила Президиуму Конвенции по</w:t>
      </w:r>
      <w:r>
        <w:t xml:space="preserve"> </w:t>
      </w:r>
      <w:r w:rsidRPr="00A17601">
        <w:t>воздуху пре</w:t>
      </w:r>
      <w:r w:rsidRPr="00A17601">
        <w:t>д</w:t>
      </w:r>
      <w:r w:rsidRPr="00A17601">
        <w:t>ставить обновленный проект инициативы</w:t>
      </w:r>
      <w:r>
        <w:t xml:space="preserve"> </w:t>
      </w:r>
      <w:r w:rsidRPr="00A17601">
        <w:t>Комитету на его специальной сессии в феврале 2016</w:t>
      </w:r>
      <w:r>
        <w:t> год</w:t>
      </w:r>
      <w:r w:rsidRPr="00A17601">
        <w:t>а.</w:t>
      </w:r>
    </w:p>
    <w:p w:rsidR="005A5BCC" w:rsidRPr="00A17601" w:rsidRDefault="005A5BCC" w:rsidP="005A5BCC">
      <w:pPr>
        <w:pStyle w:val="H1GR"/>
      </w:pPr>
      <w:r w:rsidRPr="00496B24">
        <w:tab/>
      </w:r>
      <w:r w:rsidRPr="00A17601">
        <w:t>D.</w:t>
      </w:r>
      <w:r w:rsidRPr="00A17601">
        <w:tab/>
        <w:t>Совместное обучение</w:t>
      </w:r>
    </w:p>
    <w:p w:rsidR="005A5BCC" w:rsidRPr="00A17601" w:rsidRDefault="005A5BCC" w:rsidP="005A5BCC">
      <w:pPr>
        <w:pStyle w:val="SingleTxtGR"/>
      </w:pPr>
      <w:r w:rsidRPr="00A17601">
        <w:t>36.</w:t>
      </w:r>
      <w:r w:rsidRPr="00A17601">
        <w:tab/>
        <w:t>Секретариат кратко охарактеризовал основные итоги десятого совещания Руководящего комитета ЕЭК по образованию в интересах устойчивого развития (Женева, 8–9 июня 2015</w:t>
      </w:r>
      <w:r>
        <w:t> год</w:t>
      </w:r>
      <w:r w:rsidRPr="00A17601">
        <w:t>а),</w:t>
      </w:r>
      <w:r>
        <w:t xml:space="preserve"> </w:t>
      </w:r>
      <w:r w:rsidRPr="00A17601">
        <w:t>связанные с подготовкой сегмента Конференции в Батуми, посвященного</w:t>
      </w:r>
      <w:r>
        <w:t xml:space="preserve"> </w:t>
      </w:r>
      <w:r w:rsidRPr="00A17601">
        <w:t>образованию в интересах устойчивого развития, кот</w:t>
      </w:r>
      <w:r w:rsidRPr="00A17601">
        <w:t>о</w:t>
      </w:r>
      <w:r w:rsidRPr="00A17601">
        <w:t>рый должен быть организован в формате совещания высокого уровня предст</w:t>
      </w:r>
      <w:r w:rsidRPr="00A17601">
        <w:t>а</w:t>
      </w:r>
      <w:r w:rsidRPr="00A17601">
        <w:t>вителей министерств образования и</w:t>
      </w:r>
      <w:r>
        <w:t xml:space="preserve"> </w:t>
      </w:r>
      <w:r w:rsidRPr="00A17601">
        <w:t>окружающей среды</w:t>
      </w:r>
      <w:r w:rsidRPr="00EB6C1A">
        <w:rPr>
          <w:sz w:val="18"/>
          <w:szCs w:val="18"/>
          <w:vertAlign w:val="superscript"/>
        </w:rPr>
        <w:footnoteReference w:id="10"/>
      </w:r>
      <w:r w:rsidRPr="00A17601">
        <w:t>. Работа по подготовке формата, содержания и итоговых документов этого сегмента Батумской конф</w:t>
      </w:r>
      <w:r w:rsidRPr="00A17601">
        <w:t>е</w:t>
      </w:r>
      <w:r w:rsidRPr="00A17601">
        <w:t>ренции продвигается хорошо. В частности, Руководящий комитет работал над проектом основ будущего осуществления Стратегии и проектом батумского з</w:t>
      </w:r>
      <w:r w:rsidRPr="00A17601">
        <w:t>а</w:t>
      </w:r>
      <w:r w:rsidRPr="00A17601">
        <w:t>явления по вопросам образования в интересах устойчивого развития, которые будут представлены Совещанию высокого уровня в Батуми для принятия.</w:t>
      </w:r>
    </w:p>
    <w:p w:rsidR="005A5BCC" w:rsidRPr="00A17601" w:rsidRDefault="00FD742A" w:rsidP="005A5BCC">
      <w:pPr>
        <w:pStyle w:val="SingleTxtGR"/>
      </w:pPr>
      <w:r>
        <w:t>37.</w:t>
      </w:r>
      <w:r>
        <w:tab/>
      </w:r>
      <w:r w:rsidR="005A5BCC" w:rsidRPr="00A17601">
        <w:t>Комитет принял к сведению представленную информацию, приветств</w:t>
      </w:r>
      <w:r w:rsidR="005A5BCC" w:rsidRPr="00A17601">
        <w:t>о</w:t>
      </w:r>
      <w:r w:rsidR="005A5BCC" w:rsidRPr="00A17601">
        <w:t>вал прогресс в подготовке сегмента Батумской конференции министров, посв</w:t>
      </w:r>
      <w:r w:rsidR="005A5BCC" w:rsidRPr="00A17601">
        <w:t>я</w:t>
      </w:r>
      <w:r w:rsidR="005A5BCC" w:rsidRPr="00A17601">
        <w:t>щенного образованию в интересах устойчивого развития,</w:t>
      </w:r>
      <w:r w:rsidR="005A5BCC">
        <w:t xml:space="preserve"> </w:t>
      </w:r>
      <w:r w:rsidR="005A5BCC" w:rsidRPr="00A17601">
        <w:t>и предложил секрет</w:t>
      </w:r>
      <w:r w:rsidR="005A5BCC" w:rsidRPr="00A17601">
        <w:t>а</w:t>
      </w:r>
      <w:r w:rsidR="005A5BCC" w:rsidRPr="00A17601">
        <w:t>риату представить обновленную информацию о ходе подготовки на специал</w:t>
      </w:r>
      <w:r w:rsidR="005A5BCC" w:rsidRPr="00A17601">
        <w:t>ь</w:t>
      </w:r>
      <w:r w:rsidR="005A5BCC" w:rsidRPr="00A17601">
        <w:t>ной сессии Комитета в феврале 2016</w:t>
      </w:r>
      <w:r w:rsidR="005A5BCC">
        <w:t> год</w:t>
      </w:r>
      <w:r w:rsidR="005A5BCC" w:rsidRPr="00A17601">
        <w:t>а.</w:t>
      </w:r>
    </w:p>
    <w:p w:rsidR="005A5BCC" w:rsidRPr="00A17601" w:rsidRDefault="005A5BCC" w:rsidP="005A5BCC">
      <w:pPr>
        <w:pStyle w:val="H1GR"/>
      </w:pPr>
      <w:r w:rsidRPr="00496B24">
        <w:tab/>
      </w:r>
      <w:r w:rsidRPr="00A17601">
        <w:t>Е.</w:t>
      </w:r>
      <w:r w:rsidRPr="00A17601">
        <w:tab/>
        <w:t>Развитие Общей системы экологической информации и</w:t>
      </w:r>
      <w:r>
        <w:t> </w:t>
      </w:r>
      <w:r w:rsidRPr="00A17601">
        <w:t>введение регулярной оценки состояния окружающей среды в</w:t>
      </w:r>
      <w:r>
        <w:t> </w:t>
      </w:r>
      <w:r w:rsidRPr="00A17601">
        <w:t>общеевропейском регионе</w:t>
      </w:r>
    </w:p>
    <w:p w:rsidR="005A5BCC" w:rsidRPr="00A17601" w:rsidRDefault="005A5BCC" w:rsidP="005A5BCC">
      <w:pPr>
        <w:pStyle w:val="SingleTxtGR"/>
      </w:pPr>
      <w:r w:rsidRPr="00A17601">
        <w:t>38.</w:t>
      </w:r>
      <w:r w:rsidRPr="00A17601">
        <w:tab/>
        <w:t>Представитель Отдела окружающей среды ЕЭК представил результаты деятельности Рабочей группы по мониторингу и оценке окружающей среды по оценке прогресса в развитии СЕИС в общеевропейском регионе, а также осно</w:t>
      </w:r>
      <w:r w:rsidRPr="00A17601">
        <w:t>в</w:t>
      </w:r>
      <w:r w:rsidRPr="00A17601">
        <w:lastRenderedPageBreak/>
        <w:t>ные итоги трех совещаний Рабочей группы, проведенных после двадцатого с</w:t>
      </w:r>
      <w:r w:rsidRPr="00A17601">
        <w:t>о</w:t>
      </w:r>
      <w:r w:rsidRPr="00A17601">
        <w:t>вещания Комитета</w:t>
      </w:r>
      <w:r w:rsidRPr="00EB6C1A">
        <w:rPr>
          <w:sz w:val="18"/>
          <w:szCs w:val="18"/>
          <w:vertAlign w:val="superscript"/>
        </w:rPr>
        <w:footnoteReference w:id="11"/>
      </w:r>
      <w:r w:rsidRPr="00A17601">
        <w:t>.</w:t>
      </w:r>
      <w:r>
        <w:t xml:space="preserve"> </w:t>
      </w:r>
    </w:p>
    <w:p w:rsidR="005A5BCC" w:rsidRPr="00A17601" w:rsidRDefault="005A5BCC" w:rsidP="005A5BCC">
      <w:pPr>
        <w:pStyle w:val="SingleTxtGR"/>
      </w:pPr>
      <w:r w:rsidRPr="00A17601">
        <w:t>39.</w:t>
      </w:r>
      <w:r w:rsidRPr="00A17601">
        <w:tab/>
        <w:t>Представитель Отдела статистики ЕЭК выступил с сообщением о Сист</w:t>
      </w:r>
      <w:r w:rsidRPr="00A17601">
        <w:t>е</w:t>
      </w:r>
      <w:r w:rsidRPr="00A17601">
        <w:t>ме эколого-экономического учета, особо отметив ее важность, и об основных итогах совместного семинара ЕЭК и ОЭСР по внедрению системы (Женева,</w:t>
      </w:r>
      <w:r>
        <w:br/>
      </w:r>
      <w:r w:rsidRPr="00A17601">
        <w:t>14–15 октября 2015</w:t>
      </w:r>
      <w:r>
        <w:t> год</w:t>
      </w:r>
      <w:r w:rsidRPr="00A17601">
        <w:t>а)</w:t>
      </w:r>
      <w:r w:rsidRPr="00EB6C1A">
        <w:rPr>
          <w:sz w:val="18"/>
          <w:szCs w:val="18"/>
          <w:vertAlign w:val="superscript"/>
        </w:rPr>
        <w:footnoteReference w:id="12"/>
      </w:r>
      <w:r w:rsidRPr="00A17601">
        <w:t>.</w:t>
      </w:r>
    </w:p>
    <w:p w:rsidR="005A5BCC" w:rsidRPr="00A17601" w:rsidRDefault="005A5BCC" w:rsidP="005A5BCC">
      <w:pPr>
        <w:pStyle w:val="SingleTxtGR"/>
      </w:pPr>
      <w:r w:rsidRPr="00A17601">
        <w:t>40.</w:t>
      </w:r>
      <w:r w:rsidRPr="00A17601">
        <w:tab/>
        <w:t>Представитель Регионального бюро ЮНЕП по Европе сообщил о подг</w:t>
      </w:r>
      <w:r w:rsidRPr="00A17601">
        <w:t>о</w:t>
      </w:r>
      <w:r w:rsidRPr="00A17601">
        <w:t>товке к европейской региональной оценке в рамках шестой Глобальной экол</w:t>
      </w:r>
      <w:r w:rsidRPr="00A17601">
        <w:t>о</w:t>
      </w:r>
      <w:r w:rsidRPr="00A17601">
        <w:t>гической перспективы, в частности об итогах конференции Европейской реги</w:t>
      </w:r>
      <w:r w:rsidRPr="00A17601">
        <w:t>о</w:t>
      </w:r>
      <w:r w:rsidRPr="00A17601">
        <w:t>нальной сети экологической информации (Стамбул, 13–15 апреля 2015</w:t>
      </w:r>
      <w:r>
        <w:t> год</w:t>
      </w:r>
      <w:r w:rsidRPr="00A17601">
        <w:t>а), которая была организована в увязке с шестнадцатым совещанием</w:t>
      </w:r>
      <w:r>
        <w:t xml:space="preserve"> </w:t>
      </w:r>
      <w:r w:rsidRPr="00A17601">
        <w:t>Рабочей группы по мониторингу и оценке окружающей среды</w:t>
      </w:r>
      <w:r>
        <w:t xml:space="preserve"> </w:t>
      </w:r>
      <w:r w:rsidRPr="00A17601">
        <w:t>(Стамбул, 16–17 апреля 2015</w:t>
      </w:r>
      <w:r>
        <w:t> год</w:t>
      </w:r>
      <w:r w:rsidRPr="00A17601">
        <w:t>а).</w:t>
      </w:r>
    </w:p>
    <w:p w:rsidR="005A5BCC" w:rsidRPr="00A17601" w:rsidRDefault="005A5BCC" w:rsidP="005A5BCC">
      <w:pPr>
        <w:pStyle w:val="SingleTxtGR"/>
      </w:pPr>
      <w:r w:rsidRPr="00A17601">
        <w:t>41.</w:t>
      </w:r>
      <w:r w:rsidRPr="00A17601">
        <w:tab/>
        <w:t>Группа друзей СЕИС завершила выполнение своего мандата подготовкой документа о предлагаемых форме и порядке организации процесса регулярной оценки с опорой на СЕИС для дальнейшего рассмотрения и утверждения Ком</w:t>
      </w:r>
      <w:r w:rsidRPr="00A17601">
        <w:t>и</w:t>
      </w:r>
      <w:r w:rsidRPr="00A17601">
        <w:t>тетом. Группа также представила Комитету доклад о своей деятельности за п</w:t>
      </w:r>
      <w:r w:rsidRPr="00A17601">
        <w:t>е</w:t>
      </w:r>
      <w:r w:rsidRPr="00A17601">
        <w:t>риод с ноября 2014</w:t>
      </w:r>
      <w:r>
        <w:t> год</w:t>
      </w:r>
      <w:r w:rsidRPr="00A17601">
        <w:t>а по июль 2015</w:t>
      </w:r>
      <w:r>
        <w:t> год</w:t>
      </w:r>
      <w:r w:rsidRPr="00A17601">
        <w:t>а (ECE/CEP/2015/9).</w:t>
      </w:r>
    </w:p>
    <w:p w:rsidR="005A5BCC" w:rsidRPr="00A17601" w:rsidRDefault="007F0560" w:rsidP="005A5BCC">
      <w:pPr>
        <w:pStyle w:val="SingleTxtGR"/>
      </w:pPr>
      <w:r>
        <w:t>42.</w:t>
      </w:r>
      <w:r w:rsidR="005A5BCC" w:rsidRPr="00A17601">
        <w:tab/>
        <w:t>Комитет приветствовал документы, подготовленные с целью введения процесса регулярной оценки состояния окружающей среды в общеевропейском регионе с опорой на СЕИС, и активное участие в их разработке всех соотве</w:t>
      </w:r>
      <w:r w:rsidR="005A5BCC" w:rsidRPr="00A17601">
        <w:t>т</w:t>
      </w:r>
      <w:r w:rsidR="005A5BCC" w:rsidRPr="00A17601">
        <w:t>ствующих партнеров и:</w:t>
      </w:r>
    </w:p>
    <w:p w:rsidR="005A5BCC" w:rsidRPr="00A17601" w:rsidRDefault="005A5BCC" w:rsidP="005A5BCC">
      <w:pPr>
        <w:pStyle w:val="SingleTxtGR"/>
      </w:pPr>
      <w:r w:rsidRPr="00A17601">
        <w:tab/>
        <w:t>a)</w:t>
      </w:r>
      <w:r w:rsidRPr="00A17601">
        <w:tab/>
        <w:t>высоко оценил работу Группы друзей СЕИС и утвердил предл</w:t>
      </w:r>
      <w:r w:rsidRPr="00A17601">
        <w:t>о</w:t>
      </w:r>
      <w:r w:rsidRPr="00A17601">
        <w:t>женные порядок организации и форму процесса регулярной</w:t>
      </w:r>
      <w:r>
        <w:t xml:space="preserve"> </w:t>
      </w:r>
      <w:r w:rsidRPr="00A17601">
        <w:t>оценки состояния окружающей среды с опорой на СЕИС (ECE/CEP/2015/10);</w:t>
      </w:r>
    </w:p>
    <w:p w:rsidR="005A5BCC" w:rsidRPr="00A17601" w:rsidRDefault="005A5BCC" w:rsidP="005A5BCC">
      <w:pPr>
        <w:pStyle w:val="SingleTxtGR"/>
      </w:pPr>
      <w:r w:rsidRPr="00A17601">
        <w:tab/>
        <w:t>b)</w:t>
      </w:r>
      <w:r w:rsidRPr="00A17601">
        <w:tab/>
        <w:t>приветствовал</w:t>
      </w:r>
      <w:r>
        <w:t xml:space="preserve"> </w:t>
      </w:r>
      <w:r w:rsidRPr="00A17601">
        <w:t>предоставленную информацию о подготовке евр</w:t>
      </w:r>
      <w:r w:rsidRPr="00A17601">
        <w:t>о</w:t>
      </w:r>
      <w:r w:rsidRPr="00A17601">
        <w:t>пейской региональной оценки в рамках шестой Глобальной экологической пе</w:t>
      </w:r>
      <w:r w:rsidRPr="00A17601">
        <w:t>р</w:t>
      </w:r>
      <w:r w:rsidRPr="00A17601">
        <w:t>спективы и согласился презентовать ее в качестве региональной экологической оценки на Батумской конференции. В этой связи</w:t>
      </w:r>
      <w:r>
        <w:t xml:space="preserve"> </w:t>
      </w:r>
      <w:r w:rsidRPr="00A17601">
        <w:t>было также выражено пожел</w:t>
      </w:r>
      <w:r w:rsidRPr="00A17601">
        <w:t>а</w:t>
      </w:r>
      <w:r w:rsidRPr="00A17601">
        <w:t>ние об участии в экспертно-коллегиальном рецензировании проекта оценки и высказана озабоченность по поводу сроков представления замечаний по прое</w:t>
      </w:r>
      <w:r w:rsidRPr="00A17601">
        <w:t>к</w:t>
      </w:r>
      <w:r w:rsidRPr="00A17601">
        <w:t>ту оценки;</w:t>
      </w:r>
    </w:p>
    <w:p w:rsidR="005A5BCC" w:rsidRPr="00A17601" w:rsidRDefault="005A5BCC" w:rsidP="005A5BCC">
      <w:pPr>
        <w:pStyle w:val="SingleTxtGR"/>
      </w:pPr>
      <w:r w:rsidRPr="00A17601">
        <w:tab/>
        <w:t>c)</w:t>
      </w:r>
      <w:r w:rsidRPr="00A17601">
        <w:tab/>
        <w:t>также приветствовал</w:t>
      </w:r>
      <w:r>
        <w:t xml:space="preserve"> </w:t>
      </w:r>
      <w:r w:rsidRPr="00A17601">
        <w:t>работу Рабочей группы по мониторингу и оценке окружающей среды по оценке прогресса в развитии СЕИС в общеевр</w:t>
      </w:r>
      <w:r w:rsidRPr="00A17601">
        <w:t>о</w:t>
      </w:r>
      <w:r w:rsidRPr="00A17601">
        <w:t>пейском регионе (ECE/CEP/2015/11) и поручил</w:t>
      </w:r>
      <w:r>
        <w:t xml:space="preserve"> </w:t>
      </w:r>
      <w:r w:rsidRPr="00A17601">
        <w:t>Рабочей группе вести</w:t>
      </w:r>
      <w:r>
        <w:t xml:space="preserve"> </w:t>
      </w:r>
      <w:r w:rsidRPr="00A17601">
        <w:t>со стр</w:t>
      </w:r>
      <w:r w:rsidRPr="00A17601">
        <w:t>а</w:t>
      </w:r>
      <w:r w:rsidRPr="00A17601">
        <w:t>нами и Европейским агентством по окружающей среде работу по подтвержд</w:t>
      </w:r>
      <w:r w:rsidRPr="00A17601">
        <w:t>е</w:t>
      </w:r>
      <w:r w:rsidRPr="00A17601">
        <w:t>нию достоверности</w:t>
      </w:r>
      <w:r>
        <w:t xml:space="preserve"> </w:t>
      </w:r>
      <w:r w:rsidRPr="00A17601">
        <w:t>данных и информации и продолжать следить за прогрессом в развитии СЕИС, с тем чтобы представить обновленный доклад Комитету на его специальной сессии в феврале 2016</w:t>
      </w:r>
      <w:r>
        <w:t> год</w:t>
      </w:r>
      <w:r w:rsidRPr="00A17601">
        <w:t>а;</w:t>
      </w:r>
    </w:p>
    <w:p w:rsidR="005A5BCC" w:rsidRPr="00A17601" w:rsidRDefault="005A5BCC" w:rsidP="005A5BCC">
      <w:pPr>
        <w:pStyle w:val="SingleTxtGR"/>
      </w:pPr>
      <w:r w:rsidRPr="00A17601">
        <w:tab/>
        <w:t>d)</w:t>
      </w:r>
      <w:r w:rsidRPr="00A17601">
        <w:tab/>
        <w:t xml:space="preserve">выразил признательность Европейскому агентству по окружающей среде за организацию параллельного мероприятия по теме </w:t>
      </w:r>
      <w:r>
        <w:t>«</w:t>
      </w:r>
      <w:r w:rsidRPr="00A17601">
        <w:t>Окружающая среда Европы – состояние и перспективы, 2015</w:t>
      </w:r>
      <w:r>
        <w:t> год</w:t>
      </w:r>
      <w:r w:rsidRPr="00A17601">
        <w:t xml:space="preserve"> (ДСОС, 2015</w:t>
      </w:r>
      <w:r>
        <w:t> год</w:t>
      </w:r>
      <w:r w:rsidRPr="00A17601">
        <w:t>)</w:t>
      </w:r>
      <w:r>
        <w:t>»</w:t>
      </w:r>
      <w:r w:rsidRPr="00A17601">
        <w:t>, в частности для поддержки дискуссий по вопросу о порядке организации и форме процесса регулярной оценки состояния окружающей среды в общеевропейском</w:t>
      </w:r>
      <w:r>
        <w:t xml:space="preserve"> </w:t>
      </w:r>
      <w:r w:rsidRPr="00A17601">
        <w:t xml:space="preserve">регионе. </w:t>
      </w:r>
    </w:p>
    <w:p w:rsidR="005A5BCC" w:rsidRPr="00A17601" w:rsidRDefault="005A5BCC" w:rsidP="005A5BCC">
      <w:pPr>
        <w:pStyle w:val="H1GR"/>
      </w:pPr>
      <w:r w:rsidRPr="00496B24">
        <w:lastRenderedPageBreak/>
        <w:tab/>
      </w:r>
      <w:r w:rsidRPr="00A17601">
        <w:t>F.</w:t>
      </w:r>
      <w:r w:rsidRPr="00A17601">
        <w:tab/>
        <w:t>Предлагаемые итоговые документы Конференции</w:t>
      </w:r>
    </w:p>
    <w:p w:rsidR="005A5BCC" w:rsidRPr="00A17601" w:rsidRDefault="005A5BCC" w:rsidP="005A5BCC">
      <w:pPr>
        <w:pStyle w:val="SingleTxtGR"/>
      </w:pPr>
      <w:r w:rsidRPr="00A17601">
        <w:t>43.</w:t>
      </w:r>
      <w:r w:rsidRPr="00A17601">
        <w:tab/>
        <w:t>Председатель Комитета напомнила о положениях</w:t>
      </w:r>
      <w:r>
        <w:t xml:space="preserve"> </w:t>
      </w:r>
      <w:r w:rsidRPr="00A17601">
        <w:t>Плана реформы пр</w:t>
      </w:r>
      <w:r w:rsidRPr="00A17601">
        <w:t>о</w:t>
      </w:r>
      <w:r w:rsidRPr="00A17601">
        <w:t xml:space="preserve">цесса </w:t>
      </w:r>
      <w:r>
        <w:t>«</w:t>
      </w:r>
      <w:r w:rsidRPr="00A17601">
        <w:t>Окружающая среда для Европы</w:t>
      </w:r>
      <w:r>
        <w:t>»</w:t>
      </w:r>
      <w:r w:rsidRPr="00A17601">
        <w:t>, касающихся возможных итоговых д</w:t>
      </w:r>
      <w:r w:rsidRPr="00A17601">
        <w:t>о</w:t>
      </w:r>
      <w:r w:rsidRPr="00A17601">
        <w:t xml:space="preserve">кументов конференций </w:t>
      </w:r>
      <w:r>
        <w:t>«</w:t>
      </w:r>
      <w:r w:rsidRPr="00A17601">
        <w:t>Окружающая среда для Европы</w:t>
      </w:r>
      <w:r>
        <w:t>»</w:t>
      </w:r>
      <w:r w:rsidRPr="00A17601">
        <w:t>, которые предусма</w:t>
      </w:r>
      <w:r w:rsidRPr="00A17601">
        <w:t>т</w:t>
      </w:r>
      <w:r w:rsidRPr="00A17601">
        <w:t>ривают выпуск согласованного итогового документа объемом не более двух страниц по вопросам последующей деятельности и дальнейших действий со строгим ограничением</w:t>
      </w:r>
      <w:r>
        <w:t xml:space="preserve"> </w:t>
      </w:r>
      <w:r w:rsidRPr="00A17601">
        <w:t>его сферы охвата</w:t>
      </w:r>
      <w:r>
        <w:t xml:space="preserve"> </w:t>
      </w:r>
      <w:r w:rsidRPr="00A17601">
        <w:t>темами</w:t>
      </w:r>
      <w:r>
        <w:t xml:space="preserve"> </w:t>
      </w:r>
      <w:r w:rsidRPr="00A17601">
        <w:t>конференции. Комитет ра</w:t>
      </w:r>
      <w:r w:rsidRPr="00A17601">
        <w:t>с</w:t>
      </w:r>
      <w:r w:rsidRPr="00A17601">
        <w:t>смотрел возможные итоговые документы Батумской конференции, перечисле</w:t>
      </w:r>
      <w:r w:rsidRPr="00A17601">
        <w:t>н</w:t>
      </w:r>
      <w:r w:rsidRPr="00A17601">
        <w:t>ные в общем обзоре, подготовленном секретариатом в консультации с Презид</w:t>
      </w:r>
      <w:r w:rsidRPr="00A17601">
        <w:t>и</w:t>
      </w:r>
      <w:r w:rsidRPr="00A17601">
        <w:t>умом, на основе материалов, предоставленных партнерами.</w:t>
      </w:r>
    </w:p>
    <w:p w:rsidR="005A5BCC" w:rsidRPr="00A17601" w:rsidRDefault="005A5BCC" w:rsidP="005A5BCC">
      <w:pPr>
        <w:pStyle w:val="SingleTxtGR"/>
      </w:pPr>
      <w:r w:rsidRPr="00A17601">
        <w:t>44.</w:t>
      </w:r>
      <w:r w:rsidRPr="00A17601">
        <w:tab/>
        <w:t>Комитет положительно оценил документ, в котором представлены пре</w:t>
      </w:r>
      <w:r w:rsidRPr="00A17601">
        <w:t>д</w:t>
      </w:r>
      <w:r w:rsidRPr="00A17601">
        <w:t>ложения по</w:t>
      </w:r>
      <w:r>
        <w:t xml:space="preserve"> </w:t>
      </w:r>
      <w:r w:rsidRPr="00A17601">
        <w:t>итоговым документам Конференции (ECE/CEP/2015/8), и:</w:t>
      </w:r>
    </w:p>
    <w:p w:rsidR="005A5BCC" w:rsidRPr="00A17601" w:rsidRDefault="005A5BCC" w:rsidP="005A5BCC">
      <w:pPr>
        <w:pStyle w:val="SingleTxtGR"/>
      </w:pPr>
      <w:r w:rsidRPr="00A17601">
        <w:tab/>
        <w:t>a)</w:t>
      </w:r>
      <w:r w:rsidRPr="00A17601">
        <w:tab/>
        <w:t>принял к сведению предложенные инициативы и материалы для Батумской конференции и предложил заинтересованным сторонам своевреме</w:t>
      </w:r>
      <w:r w:rsidRPr="00A17601">
        <w:t>н</w:t>
      </w:r>
      <w:r w:rsidRPr="00A17601">
        <w:t>но завершить подготовку своих предложений для представления на специал</w:t>
      </w:r>
      <w:r w:rsidRPr="00A17601">
        <w:t>ь</w:t>
      </w:r>
      <w:r w:rsidRPr="00A17601">
        <w:t>ной сессии Комитета в феврале 2016</w:t>
      </w:r>
      <w:r>
        <w:t> год</w:t>
      </w:r>
      <w:r w:rsidRPr="00A17601">
        <w:t>а;</w:t>
      </w:r>
    </w:p>
    <w:p w:rsidR="005A5BCC" w:rsidRPr="00A17601" w:rsidRDefault="005A5BCC" w:rsidP="005A5BCC">
      <w:pPr>
        <w:pStyle w:val="SingleTxtGR"/>
      </w:pPr>
      <w:r w:rsidRPr="00A17601">
        <w:tab/>
        <w:t>b)</w:t>
      </w:r>
      <w:r w:rsidRPr="00A17601">
        <w:tab/>
        <w:t>утвердил</w:t>
      </w:r>
      <w:r>
        <w:t xml:space="preserve"> </w:t>
      </w:r>
      <w:r w:rsidRPr="00A17601">
        <w:t>общие рамки и структуру предлагаемых элементов прое</w:t>
      </w:r>
      <w:r w:rsidRPr="00A17601">
        <w:t>к</w:t>
      </w:r>
      <w:r w:rsidRPr="00A17601">
        <w:t>та декларации министров, содержащиеся в приложении к документу ECE/</w:t>
      </w:r>
      <w:r>
        <w:t xml:space="preserve"> </w:t>
      </w:r>
      <w:r w:rsidRPr="00A17601">
        <w:t>CEP/2015/8;</w:t>
      </w:r>
    </w:p>
    <w:p w:rsidR="005A5BCC" w:rsidRPr="00A17601" w:rsidRDefault="005A5BCC" w:rsidP="005A5BCC">
      <w:pPr>
        <w:pStyle w:val="SingleTxtGR"/>
      </w:pPr>
      <w:r w:rsidRPr="00A17601">
        <w:tab/>
        <w:t>c)</w:t>
      </w:r>
      <w:r w:rsidRPr="00A17601">
        <w:tab/>
        <w:t>предложил</w:t>
      </w:r>
      <w:r>
        <w:t xml:space="preserve"> </w:t>
      </w:r>
      <w:r w:rsidRPr="00A17601">
        <w:t>своему Президиуму подготовить при поддержке секр</w:t>
      </w:r>
      <w:r w:rsidRPr="00A17601">
        <w:t>е</w:t>
      </w:r>
      <w:r w:rsidRPr="00A17601">
        <w:t>тариата первый проект декларации министров на основе замечаний, получе</w:t>
      </w:r>
      <w:r w:rsidRPr="00A17601">
        <w:t>н</w:t>
      </w:r>
      <w:r w:rsidRPr="00A17601">
        <w:t>ных от членов Комитета и наблюдателей к 25 ноября 2015</w:t>
      </w:r>
      <w:r>
        <w:t> год</w:t>
      </w:r>
      <w:r w:rsidRPr="00A17601">
        <w:t>а, и представить его Комитету на его специальной сессии в феврале 2016</w:t>
      </w:r>
      <w:r>
        <w:t> год</w:t>
      </w:r>
      <w:r w:rsidRPr="00A17601">
        <w:t>а.</w:t>
      </w:r>
    </w:p>
    <w:p w:rsidR="005A5BCC" w:rsidRPr="00A17601" w:rsidRDefault="005A5BCC" w:rsidP="005A5BCC">
      <w:pPr>
        <w:pStyle w:val="H1GR"/>
      </w:pPr>
      <w:r w:rsidRPr="00496B24">
        <w:tab/>
      </w:r>
      <w:r w:rsidRPr="00A17601">
        <w:t>G.</w:t>
      </w:r>
      <w:r w:rsidRPr="00A17601">
        <w:tab/>
        <w:t>Проект повестки дня Конференции</w:t>
      </w:r>
    </w:p>
    <w:p w:rsidR="005A5BCC" w:rsidRPr="00A17601" w:rsidRDefault="005A5BCC" w:rsidP="005A5BCC">
      <w:pPr>
        <w:pStyle w:val="SingleTxtGR"/>
      </w:pPr>
      <w:r w:rsidRPr="00A17601">
        <w:t>45.</w:t>
      </w:r>
      <w:r w:rsidRPr="00A17601">
        <w:tab/>
        <w:t>Комитет рассмотрел первый проект предварительной аннотированной повестки дня Батумской конференции,</w:t>
      </w:r>
      <w:r>
        <w:t xml:space="preserve"> </w:t>
      </w:r>
      <w:r w:rsidRPr="00A17601">
        <w:t>подготовленный Президиумом</w:t>
      </w:r>
      <w:r>
        <w:t xml:space="preserve"> </w:t>
      </w:r>
      <w:r w:rsidRPr="00A17601">
        <w:t>при по</w:t>
      </w:r>
      <w:r w:rsidRPr="00A17601">
        <w:t>д</w:t>
      </w:r>
      <w:r w:rsidRPr="00A17601">
        <w:t>держке секретариата. При рассмотрении повестки дня Конференции</w:t>
      </w:r>
      <w:r>
        <w:t xml:space="preserve"> </w:t>
      </w:r>
      <w:r w:rsidRPr="00A17601">
        <w:t>Комитет также изучил различные варианты интерактивных форматов. Кроме того, пре</w:t>
      </w:r>
      <w:r w:rsidRPr="00A17601">
        <w:t>д</w:t>
      </w:r>
      <w:r w:rsidRPr="00A17601">
        <w:t>ставитель Европейского ЭКО-Форума представил предложение об обсуждении за круглым столом между министрами и НПО вопроса об экологизации экон</w:t>
      </w:r>
      <w:r w:rsidRPr="00A17601">
        <w:t>о</w:t>
      </w:r>
      <w:r w:rsidRPr="00A17601">
        <w:t>мики в общеевропейском регионе с уделением особого внимания вопросам, связанным с торговлей.</w:t>
      </w:r>
    </w:p>
    <w:p w:rsidR="005A5BCC" w:rsidRPr="00A17601" w:rsidRDefault="005A5BCC" w:rsidP="005A5BCC">
      <w:pPr>
        <w:pStyle w:val="SingleTxtGR"/>
      </w:pPr>
      <w:r w:rsidRPr="00A17601">
        <w:t>46.</w:t>
      </w:r>
      <w:r w:rsidRPr="00A17601">
        <w:tab/>
        <w:t>Комитет приветствовал проект предварительной повестки дня Батумской конференции (ECE/CEP/2015/L.1) и документ, в котором</w:t>
      </w:r>
      <w:r>
        <w:t xml:space="preserve"> </w:t>
      </w:r>
      <w:r w:rsidRPr="00A17601">
        <w:t>представлены</w:t>
      </w:r>
      <w:r>
        <w:t xml:space="preserve"> </w:t>
      </w:r>
      <w:r w:rsidRPr="00A17601">
        <w:t>форматы для интерактивного обсуждения (ECE/CEP/2015/14), и:</w:t>
      </w:r>
    </w:p>
    <w:p w:rsidR="005A5BCC" w:rsidRPr="00A17601" w:rsidRDefault="005A5BCC" w:rsidP="005A5BCC">
      <w:pPr>
        <w:pStyle w:val="SingleTxtGR"/>
      </w:pPr>
      <w:r w:rsidRPr="00A17601">
        <w:tab/>
        <w:t>a)</w:t>
      </w:r>
      <w:r w:rsidRPr="00A17601">
        <w:tab/>
        <w:t>утвердил</w:t>
      </w:r>
      <w:r>
        <w:t xml:space="preserve"> </w:t>
      </w:r>
      <w:r w:rsidRPr="00A17601">
        <w:t>рамочную концепцию Конференции, представленную в приложении к проекту повестки дня;</w:t>
      </w:r>
    </w:p>
    <w:p w:rsidR="005A5BCC" w:rsidRPr="00A17601" w:rsidRDefault="005A5BCC" w:rsidP="005A5BCC">
      <w:pPr>
        <w:pStyle w:val="SingleTxtGR"/>
      </w:pPr>
      <w:r w:rsidRPr="00A17601">
        <w:tab/>
        <w:t>b)</w:t>
      </w:r>
      <w:r w:rsidRPr="00A17601">
        <w:tab/>
        <w:t>предложил</w:t>
      </w:r>
      <w:r>
        <w:t xml:space="preserve"> </w:t>
      </w:r>
      <w:r w:rsidRPr="00A17601">
        <w:t>своему Президиуму продолжить при поддержке секр</w:t>
      </w:r>
      <w:r w:rsidRPr="00A17601">
        <w:t>е</w:t>
      </w:r>
      <w:r w:rsidRPr="00A17601">
        <w:t>тариата и в сотрудничестве с соответствующими партнерами дальнейшую пр</w:t>
      </w:r>
      <w:r w:rsidRPr="00A17601">
        <w:t>о</w:t>
      </w:r>
      <w:r w:rsidRPr="00A17601">
        <w:t>работку повестки дня Конференции и вариантов формата сессий Конференции и представить Комитету записку по этому вопросу для рассмотрения на его специальной сессии в феврале 2016</w:t>
      </w:r>
      <w:r>
        <w:t> год</w:t>
      </w:r>
      <w:r w:rsidRPr="00A17601">
        <w:t>а;</w:t>
      </w:r>
    </w:p>
    <w:p w:rsidR="005A5BCC" w:rsidRPr="00A17601" w:rsidRDefault="005A5BCC" w:rsidP="00FD742A">
      <w:pPr>
        <w:pStyle w:val="SingleTxtGR"/>
        <w:pageBreakBefore/>
      </w:pPr>
      <w:r w:rsidRPr="00A17601">
        <w:lastRenderedPageBreak/>
        <w:tab/>
      </w:r>
      <w:proofErr w:type="gramStart"/>
      <w:r w:rsidRPr="00A17601">
        <w:t>c)</w:t>
      </w:r>
      <w:r w:rsidRPr="00A17601">
        <w:tab/>
        <w:t>приветствовал предложение Европейского ЭКО-</w:t>
      </w:r>
      <w:r w:rsidR="00C7349A">
        <w:t>Ф</w:t>
      </w:r>
      <w:r w:rsidRPr="00A17601">
        <w:t>орума</w:t>
      </w:r>
      <w:r>
        <w:t xml:space="preserve"> </w:t>
      </w:r>
      <w:r w:rsidRPr="00A17601">
        <w:t>организ</w:t>
      </w:r>
      <w:r w:rsidRPr="00A17601">
        <w:t>о</w:t>
      </w:r>
      <w:r w:rsidRPr="00A17601">
        <w:t xml:space="preserve">вать дискуссию за круглым столом между министрами и НПО по теме </w:t>
      </w:r>
      <w:r>
        <w:t>«</w:t>
      </w:r>
      <w:r w:rsidRPr="00A17601">
        <w:t>зел</w:t>
      </w:r>
      <w:r w:rsidRPr="00A17601">
        <w:t>е</w:t>
      </w:r>
      <w:r w:rsidRPr="00A17601">
        <w:t>ной</w:t>
      </w:r>
      <w:r>
        <w:t>»</w:t>
      </w:r>
      <w:r w:rsidRPr="00A17601">
        <w:t xml:space="preserve"> экономики и предложил Президиуму работать в тесной консультации с Е</w:t>
      </w:r>
      <w:r w:rsidR="00C7349A">
        <w:t>вропейским ЭКО-Ф</w:t>
      </w:r>
      <w:r w:rsidRPr="00A17601">
        <w:t>орумом над адаптацией этого предложения с учетом наб</w:t>
      </w:r>
      <w:r w:rsidRPr="00A17601">
        <w:t>о</w:t>
      </w:r>
      <w:r w:rsidRPr="00A17601">
        <w:t>ра вопросов, подлежащих обсуждению в рамках этой темы.</w:t>
      </w:r>
      <w:proofErr w:type="gramEnd"/>
    </w:p>
    <w:p w:rsidR="005A5BCC" w:rsidRPr="00A17601" w:rsidRDefault="005A5BCC" w:rsidP="005A5BCC">
      <w:pPr>
        <w:pStyle w:val="H1GR"/>
      </w:pPr>
      <w:r w:rsidRPr="00496B24">
        <w:tab/>
      </w:r>
      <w:r w:rsidRPr="00A17601">
        <w:t>Н.</w:t>
      </w:r>
      <w:r w:rsidRPr="00A17601">
        <w:tab/>
        <w:t>План коммуникационной стратегии для Конференции</w:t>
      </w:r>
    </w:p>
    <w:p w:rsidR="005A5BCC" w:rsidRPr="00A17601" w:rsidRDefault="005A5BCC" w:rsidP="005A5BCC">
      <w:pPr>
        <w:pStyle w:val="SingleTxtGR"/>
      </w:pPr>
      <w:r w:rsidRPr="00A17601">
        <w:t>47.</w:t>
      </w:r>
      <w:r w:rsidRPr="00A17601">
        <w:tab/>
      </w:r>
      <w:r>
        <w:t>Председатель</w:t>
      </w:r>
      <w:r w:rsidRPr="00A17601">
        <w:t xml:space="preserve"> Комитета напомнила о положениях</w:t>
      </w:r>
      <w:r>
        <w:t xml:space="preserve"> </w:t>
      </w:r>
      <w:r w:rsidRPr="00A17601">
        <w:t>Плана реформы пр</w:t>
      </w:r>
      <w:r w:rsidRPr="00A17601">
        <w:t>о</w:t>
      </w:r>
      <w:r w:rsidRPr="00A17601">
        <w:t xml:space="preserve">цесса </w:t>
      </w:r>
      <w:r>
        <w:t>«</w:t>
      </w:r>
      <w:r w:rsidRPr="00A17601">
        <w:t>Окружающая среда для Европы</w:t>
      </w:r>
      <w:r>
        <w:t>»</w:t>
      </w:r>
      <w:r w:rsidRPr="00A17601">
        <w:t>, касающихся разработки эффективной коммуникационной стратегии, в</w:t>
      </w:r>
      <w:r>
        <w:t xml:space="preserve"> </w:t>
      </w:r>
      <w:r w:rsidRPr="00A17601">
        <w:t>частности</w:t>
      </w:r>
      <w:r>
        <w:t xml:space="preserve"> </w:t>
      </w:r>
      <w:r w:rsidRPr="00A17601">
        <w:t>об обеспечении ее широкого осв</w:t>
      </w:r>
      <w:r w:rsidRPr="00A17601">
        <w:t>е</w:t>
      </w:r>
      <w:r w:rsidRPr="00A17601">
        <w:t>щения средствами массовой информации в соответствующих случаях, и и</w:t>
      </w:r>
      <w:r w:rsidRPr="00A17601">
        <w:t>н</w:t>
      </w:r>
      <w:r w:rsidRPr="00A17601">
        <w:t>формировала Комитет о том, что коммуникационный план для Батумской ко</w:t>
      </w:r>
      <w:r w:rsidRPr="00A17601">
        <w:t>н</w:t>
      </w:r>
      <w:r w:rsidRPr="00A17601">
        <w:t>ференции был подготовлен секретариатом в консультации с принимающей страной.</w:t>
      </w:r>
    </w:p>
    <w:p w:rsidR="005A5BCC" w:rsidRPr="00A17601" w:rsidRDefault="00FD742A" w:rsidP="005A5BCC">
      <w:pPr>
        <w:pStyle w:val="SingleTxtGR"/>
      </w:pPr>
      <w:r>
        <w:t>48.</w:t>
      </w:r>
      <w:r w:rsidR="005A5BCC" w:rsidRPr="00A17601">
        <w:tab/>
        <w:t>Комитет приветствовал и одобрил коммуникационный план для Бату</w:t>
      </w:r>
      <w:r w:rsidR="005A5BCC" w:rsidRPr="00A17601">
        <w:t>м</w:t>
      </w:r>
      <w:r w:rsidR="005A5BCC" w:rsidRPr="00A17601">
        <w:t>ской конференции (ECE/CEP/2015/13), включая использование короткого л</w:t>
      </w:r>
      <w:r w:rsidR="005A5BCC" w:rsidRPr="00A17601">
        <w:t>о</w:t>
      </w:r>
      <w:r w:rsidR="005A5BCC" w:rsidRPr="00A17601">
        <w:t xml:space="preserve">зунга </w:t>
      </w:r>
      <w:r w:rsidR="005A5BCC">
        <w:t>«</w:t>
      </w:r>
      <w:r w:rsidR="005A5BCC" w:rsidRPr="00A17601">
        <w:t>Зеленее, чище, умнее!</w:t>
      </w:r>
      <w:r w:rsidR="005A5BCC">
        <w:t>»</w:t>
      </w:r>
      <w:r w:rsidR="005A5BCC" w:rsidRPr="00A17601">
        <w:t xml:space="preserve">, и: </w:t>
      </w:r>
    </w:p>
    <w:p w:rsidR="005A5BCC" w:rsidRPr="00A17601" w:rsidRDefault="005A5BCC" w:rsidP="005A5BCC">
      <w:pPr>
        <w:pStyle w:val="SingleTxtGR"/>
      </w:pPr>
      <w:r w:rsidRPr="00A17601">
        <w:tab/>
        <w:t>a)</w:t>
      </w:r>
      <w:r w:rsidRPr="00A17601">
        <w:tab/>
        <w:t>предложил странам и другим</w:t>
      </w:r>
      <w:r>
        <w:t xml:space="preserve"> </w:t>
      </w:r>
      <w:r w:rsidRPr="00A17601">
        <w:t>сторонам, заинтересованным в пр</w:t>
      </w:r>
      <w:r w:rsidRPr="00A17601">
        <w:t>о</w:t>
      </w:r>
      <w:r w:rsidRPr="00A17601">
        <w:t>цессе</w:t>
      </w:r>
      <w:r>
        <w:t xml:space="preserve"> «</w:t>
      </w:r>
      <w:r w:rsidRPr="00A17601">
        <w:t>Окружающая среда для Европы</w:t>
      </w:r>
      <w:r>
        <w:t>»</w:t>
      </w:r>
      <w:r w:rsidRPr="00A17601">
        <w:t>,</w:t>
      </w:r>
      <w:r>
        <w:t xml:space="preserve"> </w:t>
      </w:r>
      <w:r w:rsidRPr="00A17601">
        <w:t>активно пропагандировать Конфере</w:t>
      </w:r>
      <w:r w:rsidRPr="00A17601">
        <w:t>н</w:t>
      </w:r>
      <w:r w:rsidRPr="00A17601">
        <w:t>цию и участвовать в коммуникационной деятельности в интересах Конфере</w:t>
      </w:r>
      <w:r w:rsidRPr="00A17601">
        <w:t>н</w:t>
      </w:r>
      <w:r w:rsidRPr="00A17601">
        <w:t xml:space="preserve">ции; </w:t>
      </w:r>
    </w:p>
    <w:p w:rsidR="005A5BCC" w:rsidRPr="00A17601" w:rsidRDefault="005A5BCC" w:rsidP="005A5BCC">
      <w:pPr>
        <w:pStyle w:val="SingleTxtGR"/>
      </w:pPr>
      <w:r w:rsidRPr="00A17601">
        <w:tab/>
        <w:t>b)</w:t>
      </w:r>
      <w:r w:rsidRPr="00A17601">
        <w:tab/>
        <w:t>также предложил заинтересованным странам и организациям предоставлять поддержку натурой и финансовую поддержку</w:t>
      </w:r>
      <w:r>
        <w:t xml:space="preserve"> </w:t>
      </w:r>
      <w:r w:rsidRPr="00A17601">
        <w:t>на некоторые ко</w:t>
      </w:r>
      <w:r w:rsidRPr="00A17601">
        <w:t>м</w:t>
      </w:r>
      <w:r w:rsidRPr="00A17601">
        <w:t>муникационные мероприятия, например на организацию семинара для журн</w:t>
      </w:r>
      <w:r w:rsidRPr="00A17601">
        <w:t>а</w:t>
      </w:r>
      <w:r w:rsidRPr="00A17601">
        <w:t>листов и на обеспечение выпуска ежедневных новостных бюллетеней</w:t>
      </w:r>
      <w:r>
        <w:t xml:space="preserve"> </w:t>
      </w:r>
      <w:r w:rsidRPr="00A17601">
        <w:t>Межд</w:t>
      </w:r>
      <w:r w:rsidRPr="00A17601">
        <w:t>у</w:t>
      </w:r>
      <w:r w:rsidRPr="00A17601">
        <w:t>народным институтом устойчивого развития.</w:t>
      </w:r>
    </w:p>
    <w:p w:rsidR="005A5BCC" w:rsidRPr="00A17601" w:rsidRDefault="005A5BCC" w:rsidP="005A5BCC">
      <w:pPr>
        <w:pStyle w:val="H1GR"/>
      </w:pPr>
      <w:r w:rsidRPr="00496B24">
        <w:tab/>
      </w:r>
      <w:r>
        <w:t>J.</w:t>
      </w:r>
      <w:r w:rsidRPr="00A17601">
        <w:tab/>
        <w:t xml:space="preserve">Потребности в ресурсах для подготовки Конференции </w:t>
      </w:r>
    </w:p>
    <w:p w:rsidR="005A5BCC" w:rsidRPr="00A17601" w:rsidRDefault="005A5BCC" w:rsidP="005A5BCC">
      <w:pPr>
        <w:pStyle w:val="SingleTxtGR"/>
      </w:pPr>
      <w:r w:rsidRPr="00A17601">
        <w:t>49.</w:t>
      </w:r>
      <w:r w:rsidRPr="00A17601">
        <w:tab/>
        <w:t>Секретарь Комитета по экологической политике представила обновле</w:t>
      </w:r>
      <w:r w:rsidRPr="00A17601">
        <w:t>н</w:t>
      </w:r>
      <w:r w:rsidRPr="00A17601">
        <w:t>ный общий обзор потребностей в ресурсах, необходимых секретариату для о</w:t>
      </w:r>
      <w:r w:rsidRPr="00A17601">
        <w:t>р</w:t>
      </w:r>
      <w:r w:rsidRPr="00A17601">
        <w:t>ганизации Батумской конференции. Кроме того, представитель Грузии прои</w:t>
      </w:r>
      <w:r w:rsidRPr="00A17601">
        <w:t>н</w:t>
      </w:r>
      <w:r w:rsidRPr="00A17601">
        <w:t>формировал Комитет о ресурсах, ассигнованных на проведение Конференции, а также о</w:t>
      </w:r>
      <w:r>
        <w:t xml:space="preserve"> </w:t>
      </w:r>
      <w:r w:rsidRPr="00A17601">
        <w:t>некоторых проблемах с обеспечением</w:t>
      </w:r>
      <w:r>
        <w:t xml:space="preserve"> </w:t>
      </w:r>
      <w:r w:rsidRPr="00A17601">
        <w:t>их своевременного выделения</w:t>
      </w:r>
      <w:r>
        <w:t xml:space="preserve"> </w:t>
      </w:r>
      <w:r w:rsidRPr="00A17601">
        <w:t>с тем, чтобы гарантировать гладкость процесса подготовки.</w:t>
      </w:r>
    </w:p>
    <w:p w:rsidR="005A5BCC" w:rsidRPr="00A17601" w:rsidRDefault="005A5BCC" w:rsidP="005A5BCC">
      <w:pPr>
        <w:pStyle w:val="SingleTxtGR"/>
      </w:pPr>
      <w:r w:rsidRPr="00A17601">
        <w:t>50.</w:t>
      </w:r>
      <w:r w:rsidRPr="00A17601">
        <w:tab/>
        <w:t>Комитет принял к сведению информацию о потребностях в ресурсах для Конференции (информационный документ № 2), а также информацию о ресу</w:t>
      </w:r>
      <w:r w:rsidRPr="00A17601">
        <w:t>р</w:t>
      </w:r>
      <w:r w:rsidRPr="00A17601">
        <w:t>сах, предоставленных принимающей страной, и:</w:t>
      </w:r>
    </w:p>
    <w:p w:rsidR="005A5BCC" w:rsidRPr="00A17601" w:rsidRDefault="007F0560" w:rsidP="005A5BCC">
      <w:pPr>
        <w:pStyle w:val="SingleTxtGR"/>
      </w:pPr>
      <w:r>
        <w:tab/>
        <w:t>a)</w:t>
      </w:r>
      <w:r>
        <w:tab/>
        <w:t>отметил, что</w:t>
      </w:r>
      <w:r w:rsidR="005A5BCC" w:rsidRPr="00A17601">
        <w:t xml:space="preserve"> в соответствии с рекомендацией Президиума секрет</w:t>
      </w:r>
      <w:r w:rsidR="005A5BCC" w:rsidRPr="00A17601">
        <w:t>а</w:t>
      </w:r>
      <w:r w:rsidR="005A5BCC" w:rsidRPr="00A17601">
        <w:t>риат направил официальные письма по поводу мобилизации финансовых средств</w:t>
      </w:r>
      <w:r w:rsidR="005A5BCC">
        <w:t xml:space="preserve"> </w:t>
      </w:r>
      <w:r w:rsidR="005A5BCC" w:rsidRPr="00A17601">
        <w:t>55 министрам окружающей среды до двадцать первой сессии Комитета через постоянные представительства</w:t>
      </w:r>
      <w:r w:rsidR="005A5BCC">
        <w:t xml:space="preserve"> </w:t>
      </w:r>
      <w:r w:rsidR="005A5BCC" w:rsidRPr="00A17601">
        <w:t>при Отделении Организации Объедине</w:t>
      </w:r>
      <w:r w:rsidR="005A5BCC" w:rsidRPr="00A17601">
        <w:t>н</w:t>
      </w:r>
      <w:r w:rsidR="005A5BCC" w:rsidRPr="00A17601">
        <w:t>ных Наций в Женеве и просил распространить</w:t>
      </w:r>
      <w:r w:rsidR="005A5BCC">
        <w:t xml:space="preserve"> </w:t>
      </w:r>
      <w:r w:rsidR="005A5BCC" w:rsidRPr="00A17601">
        <w:t>копию подлинника среди членов Комитета</w:t>
      </w:r>
      <w:r w:rsidR="005A5BCC">
        <w:t xml:space="preserve"> </w:t>
      </w:r>
      <w:r w:rsidR="005A5BCC" w:rsidRPr="00A17601">
        <w:t xml:space="preserve">по электронной почте; </w:t>
      </w:r>
    </w:p>
    <w:p w:rsidR="005A5BCC" w:rsidRPr="00A17601" w:rsidRDefault="005A5BCC" w:rsidP="005A5BCC">
      <w:pPr>
        <w:pStyle w:val="SingleTxtGR"/>
      </w:pPr>
      <w:r w:rsidRPr="00A17601">
        <w:tab/>
        <w:t>b)</w:t>
      </w:r>
      <w:r w:rsidRPr="00A17601">
        <w:tab/>
        <w:t>предложил</w:t>
      </w:r>
      <w:r>
        <w:t xml:space="preserve"> </w:t>
      </w:r>
      <w:r w:rsidRPr="00A17601">
        <w:t>странам и другим заинтересованным сторонам рассмо</w:t>
      </w:r>
      <w:r w:rsidRPr="00A17601">
        <w:t>т</w:t>
      </w:r>
      <w:r w:rsidRPr="00A17601">
        <w:t>реть вопрос о необходимости мобилизации ресурсов для оказания принима</w:t>
      </w:r>
      <w:r w:rsidRPr="00A17601">
        <w:t>ю</w:t>
      </w:r>
      <w:r w:rsidRPr="00A17601">
        <w:t>щей стране и секретариату помощи в подготовке к Конференции и в этой связи выразил признательность Норвегии за ее</w:t>
      </w:r>
      <w:r>
        <w:t xml:space="preserve"> </w:t>
      </w:r>
      <w:r w:rsidRPr="00A17601">
        <w:t xml:space="preserve">финансовый взнос и Швейцарии за </w:t>
      </w:r>
      <w:r w:rsidRPr="00A17601">
        <w:lastRenderedPageBreak/>
        <w:t>данное ею на сессии обещание сделать взнос на</w:t>
      </w:r>
      <w:r>
        <w:t xml:space="preserve"> </w:t>
      </w:r>
      <w:r w:rsidRPr="00A17601">
        <w:t>поддержку деятельности</w:t>
      </w:r>
      <w:r>
        <w:t xml:space="preserve"> </w:t>
      </w:r>
      <w:r w:rsidRPr="00A17601">
        <w:t>се</w:t>
      </w:r>
      <w:r w:rsidRPr="00A17601">
        <w:t>к</w:t>
      </w:r>
      <w:r w:rsidRPr="00A17601">
        <w:t>ретариата</w:t>
      </w:r>
      <w:r>
        <w:t xml:space="preserve"> </w:t>
      </w:r>
      <w:r w:rsidRPr="00A17601">
        <w:t xml:space="preserve">в рамках процесса </w:t>
      </w:r>
      <w:r>
        <w:t>«</w:t>
      </w:r>
      <w:r w:rsidRPr="00A17601">
        <w:t>Окружающая среда для Европы</w:t>
      </w:r>
      <w:r>
        <w:t>»</w:t>
      </w:r>
      <w:r w:rsidRPr="00A17601">
        <w:t>, а также просил принимающую</w:t>
      </w:r>
      <w:r>
        <w:t xml:space="preserve"> </w:t>
      </w:r>
      <w:r w:rsidRPr="00A17601">
        <w:t>страну и секретариат постоянно</w:t>
      </w:r>
      <w:r>
        <w:t xml:space="preserve"> </w:t>
      </w:r>
      <w:r w:rsidRPr="00A17601">
        <w:t>информировать Комитет и его Президиум</w:t>
      </w:r>
      <w:r>
        <w:t xml:space="preserve"> </w:t>
      </w:r>
      <w:r w:rsidRPr="00A17601">
        <w:t>о прогрессе в деле финансирования подготовки к Конференции.</w:t>
      </w:r>
    </w:p>
    <w:p w:rsidR="005A5BCC" w:rsidRPr="00A17601" w:rsidRDefault="005A5BCC" w:rsidP="005A5BCC">
      <w:pPr>
        <w:pStyle w:val="HChGR"/>
      </w:pPr>
      <w:r w:rsidRPr="00496B24">
        <w:tab/>
      </w:r>
      <w:r w:rsidRPr="00A17601">
        <w:t>VI.</w:t>
      </w:r>
      <w:r w:rsidRPr="00A17601">
        <w:tab/>
        <w:t>Обзоры результативности экологической деятельности</w:t>
      </w:r>
    </w:p>
    <w:p w:rsidR="005A5BCC" w:rsidRPr="00A17601" w:rsidRDefault="005A5BCC" w:rsidP="005A5BCC">
      <w:pPr>
        <w:pStyle w:val="SingleTxtGR"/>
      </w:pPr>
      <w:r w:rsidRPr="00A17601">
        <w:t>51.</w:t>
      </w:r>
      <w:r w:rsidRPr="00A17601">
        <w:tab/>
        <w:t>Секретарь Группы экспертов по обзорам результативности экологической деятельности представил общий обзор деятельности, проведенной в 2015</w:t>
      </w:r>
      <w:r>
        <w:t> год</w:t>
      </w:r>
      <w:r w:rsidRPr="00A17601">
        <w:t>у. Были завершены третьи обзоры по Грузии и Беларуси, и готовится миссия по обзору для третьего обзора по Таджикистану, намеченная на 9–18 ноября 2015</w:t>
      </w:r>
      <w:r>
        <w:t> год</w:t>
      </w:r>
      <w:r w:rsidRPr="00A17601">
        <w:t>а. Были опубликованы и презентованы третьи</w:t>
      </w:r>
      <w:r>
        <w:t xml:space="preserve"> </w:t>
      </w:r>
      <w:r w:rsidRPr="00A17601">
        <w:t>обзоры по Сербии и Черногории. Кроме того, в июле 2015</w:t>
      </w:r>
      <w:r>
        <w:t> год</w:t>
      </w:r>
      <w:r w:rsidRPr="00A17601">
        <w:t>а в Нью-Йорке</w:t>
      </w:r>
      <w:r>
        <w:t xml:space="preserve"> </w:t>
      </w:r>
      <w:r w:rsidRPr="00A17601">
        <w:t>во время</w:t>
      </w:r>
      <w:r>
        <w:t xml:space="preserve"> </w:t>
      </w:r>
      <w:r w:rsidRPr="00A17601">
        <w:t>третьего П</w:t>
      </w:r>
      <w:r w:rsidRPr="00A17601">
        <w:t>о</w:t>
      </w:r>
      <w:r w:rsidRPr="00A17601">
        <w:t>литического форума высокого уровня по устойчивому развитию было провед</w:t>
      </w:r>
      <w:r w:rsidRPr="00A17601">
        <w:t>е</w:t>
      </w:r>
      <w:r w:rsidRPr="00A17601">
        <w:t>но параллельное мероприятие с целью представления накопленного ЕЭК дв</w:t>
      </w:r>
      <w:r w:rsidRPr="00A17601">
        <w:t>а</w:t>
      </w:r>
      <w:r w:rsidRPr="00A17601">
        <w:t xml:space="preserve">дцатилетнего опыта использования механизмов проведения экспертизы обзоров сторонними специалистами для совершенствования политики и улучшения ее осуществления. </w:t>
      </w:r>
    </w:p>
    <w:p w:rsidR="005A5BCC" w:rsidRPr="00A17601" w:rsidRDefault="005A5BCC" w:rsidP="005A5BCC">
      <w:pPr>
        <w:pStyle w:val="SingleTxtGR"/>
      </w:pPr>
      <w:r w:rsidRPr="00A17601">
        <w:t>52.</w:t>
      </w:r>
      <w:r w:rsidRPr="00A17601">
        <w:tab/>
        <w:t>Представляя деятельность, запланированную на 2016</w:t>
      </w:r>
      <w:r>
        <w:t> год</w:t>
      </w:r>
      <w:r w:rsidRPr="00A17601">
        <w:t>, секретарь Группы экспертов сообщил, что будет продолжена работа над третьим обзором по Таджикистану и начат третий обзор по Болгарии. Кроме того, просьбы о проведении третьего обзора были получены из Казахстана и Кыргызстана. Тр</w:t>
      </w:r>
      <w:r w:rsidRPr="00A17601">
        <w:t>е</w:t>
      </w:r>
      <w:r w:rsidRPr="00A17601">
        <w:t>тий обзор</w:t>
      </w:r>
      <w:r>
        <w:t xml:space="preserve"> </w:t>
      </w:r>
      <w:r w:rsidRPr="00A17601">
        <w:t>по Грузии будет презентован в Батуми во время Конференции</w:t>
      </w:r>
      <w:r>
        <w:t xml:space="preserve"> </w:t>
      </w:r>
      <w:r w:rsidRPr="00A17601">
        <w:t>мин</w:t>
      </w:r>
      <w:r w:rsidRPr="00A17601">
        <w:t>и</w:t>
      </w:r>
      <w:r w:rsidRPr="00A17601">
        <w:t xml:space="preserve">стров, а в ознаменование двадцатилетия Программы обзоров результативности экологической деятельности ЕЭК будет проведено параллельное мероприятие. </w:t>
      </w:r>
    </w:p>
    <w:p w:rsidR="005A5BCC" w:rsidRPr="00A17601" w:rsidRDefault="005A5BCC" w:rsidP="005A5BCC">
      <w:pPr>
        <w:pStyle w:val="SingleTxtGR"/>
      </w:pPr>
      <w:r w:rsidRPr="00A17601">
        <w:t>53.</w:t>
      </w:r>
      <w:r w:rsidRPr="00A17601">
        <w:tab/>
        <w:t>Секретарь Группы экспертов также пожелал выразить признательность странам и организациям-партнер</w:t>
      </w:r>
      <w:r>
        <w:t>а</w:t>
      </w:r>
      <w:r w:rsidRPr="00A17601">
        <w:t>м за их взносы, экспертную помощь и подг</w:t>
      </w:r>
      <w:r w:rsidRPr="00A17601">
        <w:t>о</w:t>
      </w:r>
      <w:r w:rsidRPr="00A17601">
        <w:t>товку кадров для деятельности по линии Программы обзоров результативности экологической деятельности, в том числе Австрии, Бельгии, Германии,</w:t>
      </w:r>
      <w:r>
        <w:t xml:space="preserve"> </w:t>
      </w:r>
      <w:r w:rsidRPr="00A17601">
        <w:t>Ниде</w:t>
      </w:r>
      <w:r w:rsidRPr="00A17601">
        <w:t>р</w:t>
      </w:r>
      <w:r w:rsidRPr="00A17601">
        <w:t>ландам, Норвегии, Португалии, Франции, Швейцарии,</w:t>
      </w:r>
      <w:r>
        <w:t xml:space="preserve"> </w:t>
      </w:r>
      <w:r w:rsidRPr="00A17601">
        <w:t>Швеции, ЮНЕП,</w:t>
      </w:r>
      <w:r>
        <w:t xml:space="preserve"> </w:t>
      </w:r>
      <w:r w:rsidRPr="00A17601">
        <w:t>ВОЗ, Объединенной группе по окружающей среде ЮНЕП/Управления по координ</w:t>
      </w:r>
      <w:r w:rsidRPr="00A17601">
        <w:t>а</w:t>
      </w:r>
      <w:r w:rsidRPr="00A17601">
        <w:t>ции гуманитарных вопросов</w:t>
      </w:r>
      <w:r>
        <w:t xml:space="preserve"> </w:t>
      </w:r>
      <w:r w:rsidRPr="00A17601">
        <w:t>и Программе развития Организации Объедине</w:t>
      </w:r>
      <w:r w:rsidRPr="00A17601">
        <w:t>н</w:t>
      </w:r>
      <w:r w:rsidRPr="00A17601">
        <w:t>ных Наций (ПРООН). Также высокую оценку получили взносы натурой</w:t>
      </w:r>
      <w:r>
        <w:t xml:space="preserve"> </w:t>
      </w:r>
      <w:r w:rsidRPr="00A17601">
        <w:t>от стран, представители которых участвуют в работе Группы экспертов – напр</w:t>
      </w:r>
      <w:r w:rsidRPr="00A17601">
        <w:t>и</w:t>
      </w:r>
      <w:r w:rsidRPr="00A17601">
        <w:t>мер, Беларуси, Венгрии, Германии, Грузии, Республики Молдова, Узбекистана, Черногории, Швейцарии, Швеции и Эстонии.</w:t>
      </w:r>
    </w:p>
    <w:p w:rsidR="005A5BCC" w:rsidRPr="00A17601" w:rsidRDefault="005A5BCC" w:rsidP="005A5BCC">
      <w:pPr>
        <w:pStyle w:val="SingleTxtGR"/>
      </w:pPr>
      <w:r w:rsidRPr="00A17601">
        <w:t>54.</w:t>
      </w:r>
      <w:r w:rsidRPr="00A17601">
        <w:tab/>
        <w:t>Комитет приветствовал представленную информацию о деятельности по линии Программы обзоров результативности экологической деятельности, пр</w:t>
      </w:r>
      <w:r w:rsidRPr="00A17601">
        <w:t>и</w:t>
      </w:r>
      <w:r w:rsidRPr="00A17601">
        <w:t>знал Программу</w:t>
      </w:r>
      <w:r>
        <w:t xml:space="preserve"> </w:t>
      </w:r>
      <w:r w:rsidRPr="00A17601">
        <w:t>обзоров результативности экологической деятельности</w:t>
      </w:r>
      <w:r>
        <w:t xml:space="preserve"> </w:t>
      </w:r>
      <w:r w:rsidRPr="00A17601">
        <w:t>пер</w:t>
      </w:r>
      <w:r w:rsidRPr="00A17601">
        <w:t>е</w:t>
      </w:r>
      <w:r w:rsidRPr="00A17601">
        <w:t>довой программой ЕЭК и выразил</w:t>
      </w:r>
      <w:r>
        <w:t xml:space="preserve"> </w:t>
      </w:r>
      <w:r w:rsidRPr="00A17601">
        <w:t>свою признательность секретариату за пр</w:t>
      </w:r>
      <w:r w:rsidRPr="00A17601">
        <w:t>е</w:t>
      </w:r>
      <w:r w:rsidRPr="00A17601">
        <w:t>красную работу в поддержку Программы обзоров результативности экологич</w:t>
      </w:r>
      <w:r w:rsidRPr="00A17601">
        <w:t>е</w:t>
      </w:r>
      <w:r w:rsidRPr="00A17601">
        <w:t>ской деятельности.</w:t>
      </w:r>
    </w:p>
    <w:p w:rsidR="005A5BCC" w:rsidRPr="00A17601" w:rsidRDefault="005A5BCC" w:rsidP="005A5BCC">
      <w:pPr>
        <w:pStyle w:val="SingleTxtGR"/>
      </w:pPr>
      <w:r w:rsidRPr="00A17601">
        <w:t>55.</w:t>
      </w:r>
      <w:r w:rsidRPr="00A17601">
        <w:tab/>
        <w:t>Кроме того, Комитет принял к сведению представленную секретариатом информацию о мобилизации ресурсов на Программу обзоров результативности экологической деятельности в 2015</w:t>
      </w:r>
      <w:r>
        <w:t> год</w:t>
      </w:r>
      <w:r w:rsidRPr="00A17601">
        <w:t>у и, в частности, поблагодарил:</w:t>
      </w:r>
    </w:p>
    <w:p w:rsidR="005A5BCC" w:rsidRPr="00A17601" w:rsidRDefault="005A5BCC" w:rsidP="005A5BCC">
      <w:pPr>
        <w:pStyle w:val="SingleTxtGR"/>
      </w:pPr>
      <w:r w:rsidRPr="00A17601">
        <w:tab/>
        <w:t>a)</w:t>
      </w:r>
      <w:r w:rsidRPr="00102C4D">
        <w:tab/>
      </w:r>
      <w:r w:rsidRPr="00A17601">
        <w:t>Австрию, Германию, Нидерланды, Норвегию, Швейцарию и Шв</w:t>
      </w:r>
      <w:r w:rsidRPr="00A17601">
        <w:t>е</w:t>
      </w:r>
      <w:r w:rsidRPr="00A17601">
        <w:t xml:space="preserve">цию </w:t>
      </w:r>
      <w:r>
        <w:t>–</w:t>
      </w:r>
      <w:r w:rsidRPr="00A17601">
        <w:t xml:space="preserve"> за их финансовую поддержку;</w:t>
      </w:r>
    </w:p>
    <w:p w:rsidR="005A5BCC" w:rsidRPr="00A17601" w:rsidRDefault="005A5BCC" w:rsidP="005A5BCC">
      <w:pPr>
        <w:pStyle w:val="SingleTxtGR"/>
      </w:pPr>
      <w:r w:rsidRPr="00A17601">
        <w:lastRenderedPageBreak/>
        <w:tab/>
        <w:t>b)</w:t>
      </w:r>
      <w:r w:rsidRPr="00102C4D">
        <w:tab/>
      </w:r>
      <w:r w:rsidRPr="00A17601">
        <w:t>Нидерланды, Португалию, Финляндию, Францию,</w:t>
      </w:r>
      <w:r>
        <w:t xml:space="preserve"> </w:t>
      </w:r>
      <w:r w:rsidRPr="00A17601">
        <w:t>ЮНЕП, Объед</w:t>
      </w:r>
      <w:r w:rsidRPr="00A17601">
        <w:t>и</w:t>
      </w:r>
      <w:r w:rsidRPr="00A17601">
        <w:t>ненную группу</w:t>
      </w:r>
      <w:r>
        <w:t xml:space="preserve"> </w:t>
      </w:r>
      <w:r w:rsidRPr="00A17601">
        <w:t>по окружающей среде ЮНЕП/Управления по координации г</w:t>
      </w:r>
      <w:r w:rsidRPr="00A17601">
        <w:t>у</w:t>
      </w:r>
      <w:r w:rsidRPr="00A17601">
        <w:t xml:space="preserve">манитарных вопросов и ВОЗ </w:t>
      </w:r>
      <w:r>
        <w:t>–</w:t>
      </w:r>
      <w:r w:rsidRPr="00A17601">
        <w:t xml:space="preserve"> за предоставление экспертных услуг;</w:t>
      </w:r>
    </w:p>
    <w:p w:rsidR="005A5BCC" w:rsidRPr="00A17601" w:rsidRDefault="005A5BCC" w:rsidP="005A5BCC">
      <w:pPr>
        <w:pStyle w:val="SingleTxtGR"/>
      </w:pPr>
      <w:r w:rsidRPr="00A17601">
        <w:tab/>
        <w:t>c)</w:t>
      </w:r>
      <w:r>
        <w:tab/>
      </w:r>
      <w:r w:rsidRPr="00A17601">
        <w:t xml:space="preserve">ПРООН </w:t>
      </w:r>
      <w:r w:rsidRPr="00102C4D">
        <w:t>–</w:t>
      </w:r>
      <w:r w:rsidRPr="00A17601">
        <w:t xml:space="preserve"> за материально-техническую поддержку;</w:t>
      </w:r>
    </w:p>
    <w:p w:rsidR="005A5BCC" w:rsidRPr="00A17601" w:rsidRDefault="005A5BCC" w:rsidP="005A5BCC">
      <w:pPr>
        <w:pStyle w:val="SingleTxtGR"/>
      </w:pPr>
      <w:r w:rsidRPr="00A17601">
        <w:tab/>
        <w:t>d)</w:t>
      </w:r>
      <w:r>
        <w:tab/>
      </w:r>
      <w:r w:rsidRPr="00A17601">
        <w:t xml:space="preserve">Бельгию и Португалию </w:t>
      </w:r>
      <w:r w:rsidRPr="00102C4D">
        <w:t>–</w:t>
      </w:r>
      <w:r w:rsidRPr="00A17601">
        <w:t xml:space="preserve"> за обеспечение подготовки кадров для секретариата Программы обзоров</w:t>
      </w:r>
      <w:r>
        <w:t xml:space="preserve"> </w:t>
      </w:r>
      <w:r w:rsidRPr="00A17601">
        <w:t>результативности экологической деятельн</w:t>
      </w:r>
      <w:r w:rsidRPr="00A17601">
        <w:t>о</w:t>
      </w:r>
      <w:r w:rsidRPr="00A17601">
        <w:t>сти.</w:t>
      </w:r>
    </w:p>
    <w:p w:rsidR="005A5BCC" w:rsidRPr="00A17601" w:rsidRDefault="005A5BCC" w:rsidP="005A5BCC">
      <w:pPr>
        <w:pStyle w:val="SingleTxtGR"/>
      </w:pPr>
      <w:r w:rsidRPr="00A17601">
        <w:t>56.</w:t>
      </w:r>
      <w:r w:rsidRPr="00A17601">
        <w:tab/>
        <w:t>Кроме того, Комитет приветствовал продолжающийся третий</w:t>
      </w:r>
      <w:r>
        <w:t xml:space="preserve"> </w:t>
      </w:r>
      <w:r w:rsidRPr="00A17601">
        <w:t>обзор р</w:t>
      </w:r>
      <w:r w:rsidRPr="00A17601">
        <w:t>е</w:t>
      </w:r>
      <w:r w:rsidRPr="00A17601">
        <w:t>зультативности экологической деятельности Таджикистана, а также просьбы Болгарии, Казахстана и Кыргызстана о проведении третьего обзора результ</w:t>
      </w:r>
      <w:r w:rsidRPr="00A17601">
        <w:t>а</w:t>
      </w:r>
      <w:r w:rsidRPr="00A17601">
        <w:t xml:space="preserve">тивности их экологической деятельности. Комитет также приветствовал </w:t>
      </w:r>
      <w:r w:rsidR="006E68D8">
        <w:rPr>
          <w:lang w:val="en-US"/>
        </w:rPr>
        <w:br/>
      </w:r>
      <w:r w:rsidRPr="00A17601">
        <w:t>пре</w:t>
      </w:r>
      <w:r w:rsidRPr="00A17601">
        <w:t>д</w:t>
      </w:r>
      <w:r w:rsidRPr="00A17601">
        <w:t>ложение Боснии и Герцеговины стать объектом третьего обзора</w:t>
      </w:r>
      <w:r>
        <w:t xml:space="preserve"> </w:t>
      </w:r>
      <w:r w:rsidRPr="00A17601">
        <w:t xml:space="preserve">в </w:t>
      </w:r>
      <w:r w:rsidR="0006590B">
        <w:rPr>
          <w:lang w:val="en-US"/>
        </w:rPr>
        <w:br/>
      </w:r>
      <w:r w:rsidRPr="00A17601">
        <w:t>2017</w:t>
      </w:r>
      <w:r w:rsidRPr="00102C4D">
        <w:t>–</w:t>
      </w:r>
      <w:r w:rsidRPr="00A17601">
        <w:t>2018</w:t>
      </w:r>
      <w:r>
        <w:t> год</w:t>
      </w:r>
      <w:r w:rsidRPr="00A17601">
        <w:t>ах.</w:t>
      </w:r>
    </w:p>
    <w:p w:rsidR="005A5BCC" w:rsidRPr="00A17601" w:rsidRDefault="00FD742A" w:rsidP="005A5BCC">
      <w:pPr>
        <w:pStyle w:val="SingleTxtGR"/>
      </w:pPr>
      <w:r>
        <w:t>57.</w:t>
      </w:r>
      <w:r>
        <w:tab/>
      </w:r>
      <w:r w:rsidR="005A5BCC" w:rsidRPr="00A17601">
        <w:t>Что касается подготовки к Батумской конференции, то Комитет просил секретариат подготовить и опубликовать обзор уроков, извлеченных при в</w:t>
      </w:r>
      <w:r w:rsidR="005A5BCC" w:rsidRPr="00A17601">
        <w:t>ы</w:t>
      </w:r>
      <w:r w:rsidR="005A5BCC" w:rsidRPr="00A17601">
        <w:t>полнении рекомендаций Программы обзоров результативности экологической деятельности, и проанализировать эффект от осуществления рекомендованных национальных политики, стратегий и инициатив для состояния окружающей среды в обозревавшихся странах. В этой связи Комитет приветствовал ос</w:t>
      </w:r>
      <w:r w:rsidR="005A5BCC" w:rsidRPr="00A17601">
        <w:t>у</w:t>
      </w:r>
      <w:r w:rsidR="005A5BCC" w:rsidRPr="00A17601">
        <w:t>ществление</w:t>
      </w:r>
      <w:r w:rsidR="005A5BCC">
        <w:t xml:space="preserve"> </w:t>
      </w:r>
      <w:r w:rsidR="005A5BCC" w:rsidRPr="00A17601">
        <w:t>сотрудничества с ЮНЕП с целью подготовки такого документа для</w:t>
      </w:r>
      <w:r w:rsidR="005A5BCC">
        <w:t xml:space="preserve"> </w:t>
      </w:r>
      <w:r w:rsidR="005A5BCC" w:rsidRPr="00A17601">
        <w:t>Конференции в Батуми.</w:t>
      </w:r>
    </w:p>
    <w:p w:rsidR="005A5BCC" w:rsidRPr="00A17601" w:rsidRDefault="005A5BCC" w:rsidP="005A5BCC">
      <w:pPr>
        <w:pStyle w:val="SingleTxtGR"/>
      </w:pPr>
      <w:r w:rsidRPr="00A17601">
        <w:t>58.</w:t>
      </w:r>
      <w:r w:rsidRPr="00A17601">
        <w:tab/>
        <w:t>Комитет высоко оценил работу Группы экспертов ЕЭК по обзорам р</w:t>
      </w:r>
      <w:r w:rsidRPr="00A17601">
        <w:t>е</w:t>
      </w:r>
      <w:r w:rsidRPr="00A17601">
        <w:t>зультативности экологической деятельности в 2015</w:t>
      </w:r>
      <w:r>
        <w:t> год</w:t>
      </w:r>
      <w:r w:rsidRPr="00A17601">
        <w:t>у и предложил делегац</w:t>
      </w:r>
      <w:r w:rsidRPr="00A17601">
        <w:t>и</w:t>
      </w:r>
      <w:r w:rsidRPr="00A17601">
        <w:t>ям назначить в Группу своих представителей.</w:t>
      </w:r>
    </w:p>
    <w:p w:rsidR="005A5BCC" w:rsidRPr="00A17601" w:rsidRDefault="005A5BCC" w:rsidP="005A5BCC">
      <w:pPr>
        <w:pStyle w:val="SingleTxtGR"/>
      </w:pPr>
      <w:r w:rsidRPr="00A17601">
        <w:t>59.</w:t>
      </w:r>
      <w:r w:rsidRPr="00A17601">
        <w:tab/>
        <w:t>Комитет призвал делегации предоставить Программе обзоров результ</w:t>
      </w:r>
      <w:r w:rsidRPr="00A17601">
        <w:t>а</w:t>
      </w:r>
      <w:r w:rsidRPr="00A17601">
        <w:t>тивности экологической деятельности поддержку</w:t>
      </w:r>
      <w:r>
        <w:t xml:space="preserve"> </w:t>
      </w:r>
      <w:r w:rsidRPr="00A17601">
        <w:t>натурой (экспертную) и ф</w:t>
      </w:r>
      <w:r w:rsidRPr="00A17601">
        <w:t>и</w:t>
      </w:r>
      <w:r w:rsidRPr="00A17601">
        <w:t>нансовую поддержку .</w:t>
      </w:r>
    </w:p>
    <w:p w:rsidR="005A5BCC" w:rsidRPr="00A17601" w:rsidRDefault="005A5BCC" w:rsidP="005A5BCC">
      <w:pPr>
        <w:pStyle w:val="SingleTxtGR"/>
      </w:pPr>
      <w:r w:rsidRPr="00A17601">
        <w:t>60.</w:t>
      </w:r>
      <w:r w:rsidRPr="00A17601">
        <w:tab/>
        <w:t xml:space="preserve">Затем Комитет приступил к </w:t>
      </w:r>
      <w:r>
        <w:t xml:space="preserve">проведению </w:t>
      </w:r>
      <w:r w:rsidRPr="00A17601">
        <w:t>коллегиальной экспертиз</w:t>
      </w:r>
      <w:r>
        <w:t>ы</w:t>
      </w:r>
      <w:r w:rsidRPr="00A17601">
        <w:t xml:space="preserve"> обз</w:t>
      </w:r>
      <w:r w:rsidRPr="00A17601">
        <w:t>о</w:t>
      </w:r>
      <w:r w:rsidRPr="00A17601">
        <w:t xml:space="preserve">ра результативности экологической деятельности Грузии и Беларуси. </w:t>
      </w:r>
    </w:p>
    <w:p w:rsidR="005A5BCC" w:rsidRPr="00A17601" w:rsidRDefault="005A5BCC" w:rsidP="005A5BCC">
      <w:pPr>
        <w:pStyle w:val="SingleTxtGR"/>
      </w:pPr>
      <w:r w:rsidRPr="00A17601">
        <w:t>61.</w:t>
      </w:r>
      <w:r w:rsidRPr="00A17601">
        <w:tab/>
        <w:t>Докладчик по обзору (Швеция) кратко изложил</w:t>
      </w:r>
      <w:r>
        <w:t xml:space="preserve"> </w:t>
      </w:r>
      <w:r w:rsidRPr="00A17601">
        <w:t>основные выводы и р</w:t>
      </w:r>
      <w:r w:rsidRPr="00A17601">
        <w:t>е</w:t>
      </w:r>
      <w:r w:rsidRPr="00A17601">
        <w:t>комендации</w:t>
      </w:r>
      <w:r>
        <w:t xml:space="preserve"> </w:t>
      </w:r>
      <w:r w:rsidRPr="00A17601">
        <w:t xml:space="preserve">по третьему обзору результативности экологической деятельности Грузии, </w:t>
      </w:r>
      <w:proofErr w:type="gramStart"/>
      <w:r w:rsidRPr="00A17601">
        <w:t>рассмотрение</w:t>
      </w:r>
      <w:proofErr w:type="gramEnd"/>
      <w:r w:rsidRPr="00A17601">
        <w:t xml:space="preserve"> которого Группа экспертов провела 13</w:t>
      </w:r>
      <w:r w:rsidRPr="00102C4D">
        <w:t>–</w:t>
      </w:r>
      <w:r w:rsidRPr="00A17601">
        <w:t>14 октября 2015</w:t>
      </w:r>
      <w:r>
        <w:t> год</w:t>
      </w:r>
      <w:r w:rsidRPr="00A17601">
        <w:t>а в Женеве. После второго обзора в 2010</w:t>
      </w:r>
      <w:r>
        <w:t> год</w:t>
      </w:r>
      <w:r w:rsidRPr="00A17601">
        <w:t>у Грузия улучшила резул</w:t>
      </w:r>
      <w:r w:rsidRPr="00A17601">
        <w:t>ь</w:t>
      </w:r>
      <w:r w:rsidRPr="00A17601">
        <w:t>тативность ее деятельности на охраняемых территориях и добилась улучшений в деле поэтапного вывода из оборота озоноразрушающих</w:t>
      </w:r>
      <w:r>
        <w:t xml:space="preserve"> </w:t>
      </w:r>
      <w:r w:rsidRPr="00A17601">
        <w:t>веществ. К основным из требующих решения проблем относятся проблемы загрязнения воздуха и в</w:t>
      </w:r>
      <w:r w:rsidRPr="00A17601">
        <w:t>о</w:t>
      </w:r>
      <w:r w:rsidRPr="00A17601">
        <w:t>ды</w:t>
      </w:r>
      <w:r>
        <w:t xml:space="preserve"> </w:t>
      </w:r>
      <w:r w:rsidRPr="00A17601">
        <w:t xml:space="preserve">и обращения с отходами. </w:t>
      </w:r>
    </w:p>
    <w:p w:rsidR="005A5BCC" w:rsidRPr="00A17601" w:rsidRDefault="005A5BCC" w:rsidP="005A5BCC">
      <w:pPr>
        <w:pStyle w:val="SingleTxtGR"/>
      </w:pPr>
      <w:r w:rsidRPr="00A17601">
        <w:t>62.</w:t>
      </w:r>
      <w:r w:rsidRPr="00A17601">
        <w:tab/>
        <w:t>Заместитель министра окружающей среды и охраны природных ресурсов Грузии представила</w:t>
      </w:r>
      <w:r>
        <w:t xml:space="preserve"> </w:t>
      </w:r>
      <w:r w:rsidRPr="00A17601">
        <w:t>информацию об основных изменениях и базовых условиях, влияющих на результативность национальной экологической деятельности, например</w:t>
      </w:r>
      <w:r>
        <w:t xml:space="preserve"> </w:t>
      </w:r>
      <w:r w:rsidRPr="00A17601">
        <w:t>политических и институциональных изменениях, которые имели м</w:t>
      </w:r>
      <w:r w:rsidRPr="00A17601">
        <w:t>е</w:t>
      </w:r>
      <w:r w:rsidRPr="00A17601">
        <w:t>сто, и их бюджетных последствиях. Она</w:t>
      </w:r>
      <w:r>
        <w:t xml:space="preserve"> </w:t>
      </w:r>
      <w:r w:rsidRPr="00A17601">
        <w:t>особо выделила</w:t>
      </w:r>
      <w:r>
        <w:t xml:space="preserve"> </w:t>
      </w:r>
      <w:r w:rsidRPr="00A17601">
        <w:t>политику и деятел</w:t>
      </w:r>
      <w:r w:rsidRPr="00A17601">
        <w:t>ь</w:t>
      </w:r>
      <w:r w:rsidRPr="00A17601">
        <w:t>ность в поддержку интеграции экологических соображений в другие сферы п</w:t>
      </w:r>
      <w:r w:rsidRPr="00A17601">
        <w:t>о</w:t>
      </w:r>
      <w:r w:rsidRPr="00A17601">
        <w:t>литики. Третий обзор поможет стране продвинуть вперед и улучшить показат</w:t>
      </w:r>
      <w:r w:rsidRPr="00A17601">
        <w:t>е</w:t>
      </w:r>
      <w:r w:rsidRPr="00A17601">
        <w:t>ли результативности экологической</w:t>
      </w:r>
      <w:r>
        <w:t xml:space="preserve"> </w:t>
      </w:r>
      <w:r w:rsidRPr="00A17601">
        <w:t>деятельности.</w:t>
      </w:r>
    </w:p>
    <w:p w:rsidR="005A5BCC" w:rsidRPr="00A17601" w:rsidRDefault="005A5BCC" w:rsidP="005A5BCC">
      <w:pPr>
        <w:pStyle w:val="SingleTxtGR"/>
      </w:pPr>
      <w:r w:rsidRPr="00A17601">
        <w:t>63.</w:t>
      </w:r>
      <w:r w:rsidRPr="00A17601">
        <w:tab/>
        <w:t>После обсуждения обзора Комитет принял рекомендации по третьему о</w:t>
      </w:r>
      <w:r w:rsidRPr="00A17601">
        <w:t>б</w:t>
      </w:r>
      <w:r w:rsidRPr="00A17601">
        <w:t>зору результативности экологической деятельности Грузии (информационный документ № 3).</w:t>
      </w:r>
    </w:p>
    <w:p w:rsidR="005A5BCC" w:rsidRPr="00A17601" w:rsidRDefault="0019541B" w:rsidP="005A5BCC">
      <w:pPr>
        <w:pStyle w:val="SingleTxtGR"/>
      </w:pPr>
      <w:r>
        <w:lastRenderedPageBreak/>
        <w:t>64.</w:t>
      </w:r>
      <w:r w:rsidR="005A5BCC" w:rsidRPr="00A17601">
        <w:tab/>
        <w:t>Докладчик по обзору (Швейцария) кратко изложил основные выводы и рекомендации по третьему обзору результативности экологической деятельн</w:t>
      </w:r>
      <w:r w:rsidR="005A5BCC" w:rsidRPr="00A17601">
        <w:t>о</w:t>
      </w:r>
      <w:r w:rsidR="005A5BCC" w:rsidRPr="00A17601">
        <w:t>сти Беларуси, рассмотрение которого Группа экспертов провела 12</w:t>
      </w:r>
      <w:r w:rsidR="005A5BCC">
        <w:t>–</w:t>
      </w:r>
      <w:r w:rsidR="005A5BCC" w:rsidRPr="00A17601">
        <w:t>13 октября 2015</w:t>
      </w:r>
      <w:r w:rsidR="005A5BCC">
        <w:t> год</w:t>
      </w:r>
      <w:r w:rsidR="005A5BCC" w:rsidRPr="00A17601">
        <w:t>а в Женеве. После второго обзора в 2005</w:t>
      </w:r>
      <w:r w:rsidR="005A5BCC">
        <w:t> год</w:t>
      </w:r>
      <w:r w:rsidR="005A5BCC" w:rsidRPr="00A17601">
        <w:t>у Беларусь добилась пр</w:t>
      </w:r>
      <w:r w:rsidR="005A5BCC" w:rsidRPr="00A17601">
        <w:t>о</w:t>
      </w:r>
      <w:r w:rsidR="005A5BCC" w:rsidRPr="00A17601">
        <w:t>гресса в охране воздуха, управлении водными ресурсами и сохранении биора</w:t>
      </w:r>
      <w:r w:rsidR="005A5BCC" w:rsidRPr="00A17601">
        <w:t>з</w:t>
      </w:r>
      <w:r w:rsidR="005A5BCC" w:rsidRPr="00A17601">
        <w:t>нообразия. Оставшиеся проблемы включают проблему необходимости реабил</w:t>
      </w:r>
      <w:r w:rsidR="005A5BCC" w:rsidRPr="00A17601">
        <w:t>и</w:t>
      </w:r>
      <w:r w:rsidR="005A5BCC" w:rsidRPr="00A17601">
        <w:t>тации свалок промышленных отходов и улучшения условий</w:t>
      </w:r>
      <w:r w:rsidR="005A5BCC">
        <w:t xml:space="preserve"> </w:t>
      </w:r>
      <w:r w:rsidR="005A5BCC" w:rsidRPr="00A17601">
        <w:t>участия общ</w:t>
      </w:r>
      <w:r w:rsidR="005A5BCC" w:rsidRPr="00A17601">
        <w:t>е</w:t>
      </w:r>
      <w:r w:rsidR="005A5BCC" w:rsidRPr="00A17601">
        <w:t xml:space="preserve">ственности в процессе принятия экологических решений. </w:t>
      </w:r>
    </w:p>
    <w:p w:rsidR="005A5BCC" w:rsidRPr="00A17601" w:rsidRDefault="005A5BCC" w:rsidP="005A5BCC">
      <w:pPr>
        <w:pStyle w:val="SingleTxtGR"/>
      </w:pPr>
      <w:r w:rsidRPr="00A17601">
        <w:t>65.</w:t>
      </w:r>
      <w:r w:rsidRPr="00A17601">
        <w:tab/>
        <w:t>Первый заместитель министра природных ресурсов и охраны окружа</w:t>
      </w:r>
      <w:r w:rsidRPr="00A17601">
        <w:t>ю</w:t>
      </w:r>
      <w:r w:rsidRPr="00A17601">
        <w:t>щей среды Беларуси подчеркнула, что почти все рекомендации по</w:t>
      </w:r>
      <w:r>
        <w:t xml:space="preserve"> </w:t>
      </w:r>
      <w:r w:rsidRPr="00A17601">
        <w:t>двум пред</w:t>
      </w:r>
      <w:r w:rsidRPr="00A17601">
        <w:t>ы</w:t>
      </w:r>
      <w:r w:rsidRPr="00A17601">
        <w:t>дущим обзорам выполнены. Что касается третьего обзора, то она подчеркнула сложность учета экономических, социальных и экологических аспектов в пр</w:t>
      </w:r>
      <w:r w:rsidRPr="00A17601">
        <w:t>о</w:t>
      </w:r>
      <w:r w:rsidRPr="00A17601">
        <w:t>цессе развития национальной экономики с ориентацией на достижение усто</w:t>
      </w:r>
      <w:r w:rsidRPr="00A17601">
        <w:t>й</w:t>
      </w:r>
      <w:r w:rsidRPr="00A17601">
        <w:t xml:space="preserve">чивого развития, при этом страна предпринимает особые усилия для овладения подходом, ориентированным на </w:t>
      </w:r>
      <w:r>
        <w:t>«</w:t>
      </w:r>
      <w:r w:rsidRPr="00A17601">
        <w:t>зеленую</w:t>
      </w:r>
      <w:r>
        <w:t>»</w:t>
      </w:r>
      <w:r w:rsidRPr="00A17601">
        <w:t xml:space="preserve"> экономику. Кроме того, были пров</w:t>
      </w:r>
      <w:r w:rsidRPr="00A17601">
        <w:t>е</w:t>
      </w:r>
      <w:r w:rsidRPr="00A17601">
        <w:t>дены мероприятия по совершенствованию экологического мониторинга и по</w:t>
      </w:r>
      <w:r w:rsidRPr="00A17601">
        <w:t>д</w:t>
      </w:r>
      <w:r w:rsidRPr="00A17601">
        <w:t>готовки данных для поддержки процесса принятия обоснованных решений. О</w:t>
      </w:r>
      <w:r w:rsidRPr="00A17601">
        <w:t>б</w:t>
      </w:r>
      <w:r w:rsidRPr="00A17601">
        <w:t>зор является важным инструментом</w:t>
      </w:r>
      <w:r>
        <w:t xml:space="preserve"> </w:t>
      </w:r>
      <w:r w:rsidRPr="00A17601">
        <w:t>оценки, обеспечивающим получение об</w:t>
      </w:r>
      <w:r w:rsidRPr="00A17601">
        <w:t>ъ</w:t>
      </w:r>
      <w:r w:rsidRPr="00A17601">
        <w:t>ективного мнения международных экспертов с целью содействия национал</w:t>
      </w:r>
      <w:r w:rsidRPr="00A17601">
        <w:t>ь</w:t>
      </w:r>
      <w:r w:rsidRPr="00A17601">
        <w:t xml:space="preserve">ным усилиям по защите окружающей среды. </w:t>
      </w:r>
    </w:p>
    <w:p w:rsidR="005A5BCC" w:rsidRPr="00A17601" w:rsidRDefault="005A5BCC" w:rsidP="005A5BCC">
      <w:pPr>
        <w:pStyle w:val="SingleTxtGR"/>
      </w:pPr>
      <w:r w:rsidRPr="00A17601">
        <w:t>66.</w:t>
      </w:r>
      <w:r w:rsidRPr="00A17601">
        <w:tab/>
        <w:t>После обсуждения обзора Комитет принял рекомендации по третьему о</w:t>
      </w:r>
      <w:r w:rsidRPr="00A17601">
        <w:t>б</w:t>
      </w:r>
      <w:r w:rsidRPr="00A17601">
        <w:t>зору результативности экологической деятельности</w:t>
      </w:r>
      <w:r>
        <w:t xml:space="preserve"> </w:t>
      </w:r>
      <w:r w:rsidRPr="00A17601">
        <w:t>Беларуси (информацио</w:t>
      </w:r>
      <w:r w:rsidRPr="00A17601">
        <w:t>н</w:t>
      </w:r>
      <w:r w:rsidRPr="00A17601">
        <w:t>ный документ № 4).</w:t>
      </w:r>
    </w:p>
    <w:p w:rsidR="005A5BCC" w:rsidRPr="00A17601" w:rsidRDefault="005A5BCC" w:rsidP="005A5BCC">
      <w:pPr>
        <w:pStyle w:val="SingleTxtGR"/>
      </w:pPr>
      <w:r w:rsidRPr="00A17601">
        <w:t>67.</w:t>
      </w:r>
      <w:r w:rsidRPr="00A17601">
        <w:tab/>
        <w:t>После этого представители Албании и Марокко сообщили о выполнении рекомендаций по их обзорам, проведенным соответственно в 2012 и 2013</w:t>
      </w:r>
      <w:r>
        <w:t> год</w:t>
      </w:r>
      <w:r w:rsidRPr="00A17601">
        <w:t>ах. Албания продолжала свою работу по совершенствованию, обеспечению собл</w:t>
      </w:r>
      <w:r w:rsidRPr="00A17601">
        <w:t>ю</w:t>
      </w:r>
      <w:r w:rsidRPr="00A17601">
        <w:t>дения и осуществлению природоохранных законодательства и политики, а та</w:t>
      </w:r>
      <w:r w:rsidRPr="00A17601">
        <w:t>к</w:t>
      </w:r>
      <w:r w:rsidRPr="00A17601">
        <w:t>же по его сближению с соответствующими директивами Европейского союза. В</w:t>
      </w:r>
      <w:r>
        <w:t> </w:t>
      </w:r>
      <w:r w:rsidRPr="00A17601">
        <w:t>Марокко усилия были направлены в основном на укрепление и обеспечение соблюдения основ экологического законодательства и политики, в частности на их пополнение необходимыми дополнительными нормативными актами и м</w:t>
      </w:r>
      <w:r w:rsidRPr="00A17601">
        <w:t>е</w:t>
      </w:r>
      <w:r w:rsidRPr="00A17601">
        <w:t>рами политики. Кроме того, были предприняты специальные усилия для учета экологических озабоченностей в политике в других секторах, например в эне</w:t>
      </w:r>
      <w:r w:rsidRPr="00A17601">
        <w:t>р</w:t>
      </w:r>
      <w:r w:rsidRPr="00A17601">
        <w:t>гетике и промышленности.</w:t>
      </w:r>
    </w:p>
    <w:p w:rsidR="005A5BCC" w:rsidRPr="00A17601" w:rsidRDefault="005A5BCC" w:rsidP="005A5BCC">
      <w:pPr>
        <w:pStyle w:val="SingleTxtGR"/>
      </w:pPr>
      <w:r w:rsidRPr="00A17601">
        <w:t>68.</w:t>
      </w:r>
      <w:r w:rsidRPr="00A17601">
        <w:tab/>
        <w:t>Комитет приветствовал представленную Албанией и Марокко информ</w:t>
      </w:r>
      <w:r w:rsidRPr="00A17601">
        <w:t>а</w:t>
      </w:r>
      <w:r w:rsidRPr="00A17601">
        <w:t>цию об осуществлении рекомендаций, содержащихся в</w:t>
      </w:r>
      <w:r>
        <w:t xml:space="preserve"> </w:t>
      </w:r>
      <w:r w:rsidRPr="00A17601">
        <w:t>обзорах результативн</w:t>
      </w:r>
      <w:r w:rsidRPr="00A17601">
        <w:t>о</w:t>
      </w:r>
      <w:r w:rsidRPr="00A17601">
        <w:t>сти их экологической деятельности, которые были проведены соответственно в 2012 и 2013</w:t>
      </w:r>
      <w:r>
        <w:t> год</w:t>
      </w:r>
      <w:r w:rsidRPr="00A17601">
        <w:t xml:space="preserve">ах. </w:t>
      </w:r>
    </w:p>
    <w:p w:rsidR="005A5BCC" w:rsidRPr="00A17601" w:rsidRDefault="005A5BCC" w:rsidP="005A5BCC">
      <w:pPr>
        <w:pStyle w:val="SingleTxtGR"/>
      </w:pPr>
      <w:r w:rsidRPr="00A17601">
        <w:t>69.</w:t>
      </w:r>
      <w:r w:rsidRPr="00A17601">
        <w:tab/>
        <w:t>В рамках обсуждения обзоров результативности экологической деятел</w:t>
      </w:r>
      <w:r w:rsidRPr="00A17601">
        <w:t>ь</w:t>
      </w:r>
      <w:r w:rsidRPr="00A17601">
        <w:t>ности была</w:t>
      </w:r>
      <w:r>
        <w:t xml:space="preserve"> </w:t>
      </w:r>
      <w:r w:rsidRPr="00A17601">
        <w:t>проведена дискуссия за круглым столом на тему улучшения кач</w:t>
      </w:r>
      <w:r w:rsidRPr="00A17601">
        <w:t>е</w:t>
      </w:r>
      <w:r w:rsidRPr="00A17601">
        <w:t>ства воздуха с акцентом на энергетическом и транспортном секторах. Круглый стол вел Исполнительный секретарь ЕЭК. В качестве членов дискуссионной группы в нем приняли участие заместители министров Беларуси и Грузии и с</w:t>
      </w:r>
      <w:r w:rsidRPr="00A17601">
        <w:t>о</w:t>
      </w:r>
      <w:r w:rsidRPr="00A17601">
        <w:t>ветник по вопросам международной политики</w:t>
      </w:r>
      <w:r>
        <w:t xml:space="preserve"> </w:t>
      </w:r>
      <w:r w:rsidRPr="00A17601">
        <w:t>Министерства инфраструктуры и окружающей среды Нидерландов. Кроме того, в дискуссии за круглым столом участвовали исполняющий обязанности Директора Отдела окружающей среды,</w:t>
      </w:r>
      <w:r>
        <w:t xml:space="preserve"> </w:t>
      </w:r>
      <w:r w:rsidRPr="00A17601">
        <w:t xml:space="preserve">Директор Отдела устойчивой энергетики и заместитель Директора Отдела транспорта. </w:t>
      </w:r>
    </w:p>
    <w:p w:rsidR="005A5BCC" w:rsidRPr="00A17601" w:rsidRDefault="005A5BCC" w:rsidP="00FD742A">
      <w:pPr>
        <w:pStyle w:val="SingleTxtGR"/>
        <w:pageBreakBefore/>
      </w:pPr>
      <w:r w:rsidRPr="00A17601">
        <w:lastRenderedPageBreak/>
        <w:t>70.</w:t>
      </w:r>
      <w:r w:rsidRPr="00A17601">
        <w:tab/>
        <w:t>Комитет приветствовал информацию, представленную в ходе круглого стола высокого уровня</w:t>
      </w:r>
      <w:r>
        <w:t xml:space="preserve"> </w:t>
      </w:r>
      <w:r w:rsidRPr="00A17601">
        <w:t xml:space="preserve">на тему </w:t>
      </w:r>
      <w:r>
        <w:t>«</w:t>
      </w:r>
      <w:r w:rsidRPr="00A17601">
        <w:t xml:space="preserve">Решение проблемы качества воздуха </w:t>
      </w:r>
      <w:r>
        <w:t>–</w:t>
      </w:r>
      <w:r w:rsidRPr="00A17601">
        <w:t xml:space="preserve"> межсе</w:t>
      </w:r>
      <w:r w:rsidRPr="00A17601">
        <w:t>к</w:t>
      </w:r>
      <w:r w:rsidRPr="00A17601">
        <w:t>торальная</w:t>
      </w:r>
      <w:r>
        <w:t xml:space="preserve"> </w:t>
      </w:r>
      <w:r w:rsidRPr="00A17601">
        <w:t>работа с охватом секторов окружающей среды, транспорта и энерг</w:t>
      </w:r>
      <w:r w:rsidRPr="00A17601">
        <w:t>е</w:t>
      </w:r>
      <w:r w:rsidRPr="00A17601">
        <w:t>тики:</w:t>
      </w:r>
      <w:r>
        <w:t xml:space="preserve"> </w:t>
      </w:r>
      <w:r w:rsidRPr="00A17601">
        <w:t>обзоры результативности экологической деятельности Беларуси, Грузии и Нидерландов 2015</w:t>
      </w:r>
      <w:r>
        <w:t> год</w:t>
      </w:r>
      <w:r w:rsidRPr="00A17601">
        <w:t>а</w:t>
      </w:r>
      <w:r>
        <w:t>»</w:t>
      </w:r>
      <w:r w:rsidRPr="00A17601">
        <w:t>, и выразил признательность участникам группового обсуждения за их вклад, и:</w:t>
      </w:r>
    </w:p>
    <w:p w:rsidR="005A5BCC" w:rsidRPr="00A17601" w:rsidRDefault="005A5BCC" w:rsidP="005A5BCC">
      <w:pPr>
        <w:pStyle w:val="SingleTxtGR"/>
      </w:pPr>
      <w:r w:rsidRPr="00496B24">
        <w:tab/>
      </w:r>
      <w:r w:rsidRPr="00A17601">
        <w:t>а)</w:t>
      </w:r>
      <w:r w:rsidRPr="00102C4D">
        <w:tab/>
      </w:r>
      <w:r w:rsidRPr="00A17601">
        <w:t>отметил важность эффективного сотрудничества между секторами окружающей среды, транспорта и энергетики для улучшения воздуха</w:t>
      </w:r>
      <w:r w:rsidRPr="002050A3">
        <w:t xml:space="preserve"> </w:t>
      </w:r>
      <w:r w:rsidRPr="00A17601">
        <w:t>качества;</w:t>
      </w:r>
    </w:p>
    <w:p w:rsidR="005A5BCC" w:rsidRPr="00A17601" w:rsidRDefault="005A5BCC" w:rsidP="005A5BCC">
      <w:pPr>
        <w:pStyle w:val="SingleTxtGR"/>
      </w:pPr>
      <w:r w:rsidRPr="00A17601">
        <w:tab/>
      </w:r>
      <w:r w:rsidRPr="00A17601">
        <w:rPr>
          <w:lang w:val="en-US"/>
        </w:rPr>
        <w:t>b</w:t>
      </w:r>
      <w:r w:rsidRPr="00A17601">
        <w:t>)</w:t>
      </w:r>
      <w:r w:rsidRPr="00102C4D">
        <w:tab/>
      </w:r>
      <w:r w:rsidRPr="00A17601">
        <w:t>также отметил важность межсекторального сотрудничества для обеспечения комплексного подхода в интересах достижения целей в области устойчивого развития, и в частности тех, которые касаются воздуха качества;</w:t>
      </w:r>
    </w:p>
    <w:p w:rsidR="005A5BCC" w:rsidRPr="00A17601" w:rsidRDefault="005A5BCC" w:rsidP="005A5BCC">
      <w:pPr>
        <w:pStyle w:val="SingleTxtGR"/>
      </w:pPr>
      <w:r w:rsidRPr="00A17601">
        <w:tab/>
        <w:t>c)</w:t>
      </w:r>
      <w:r w:rsidRPr="00102C4D">
        <w:tab/>
      </w:r>
      <w:r w:rsidRPr="00A17601">
        <w:t>признал важность обзоров результативности экологической де</w:t>
      </w:r>
      <w:r w:rsidRPr="00A17601">
        <w:t>я</w:t>
      </w:r>
      <w:r w:rsidRPr="00A17601">
        <w:t>тельности</w:t>
      </w:r>
      <w:r>
        <w:t xml:space="preserve"> </w:t>
      </w:r>
      <w:r w:rsidRPr="00A17601">
        <w:t>как механизма обзора, обмена опытом и передачи надлежащей пра</w:t>
      </w:r>
      <w:r w:rsidRPr="00A17601">
        <w:t>к</w:t>
      </w:r>
      <w:r w:rsidRPr="00A17601">
        <w:t>тики, который мог бы быть полезным при обзоре осуществления целей в обл</w:t>
      </w:r>
      <w:r w:rsidRPr="00A17601">
        <w:t>а</w:t>
      </w:r>
      <w:r w:rsidRPr="00A17601">
        <w:t>сти устойчивого развития;</w:t>
      </w:r>
    </w:p>
    <w:p w:rsidR="005A5BCC" w:rsidRPr="00A17601" w:rsidRDefault="005A5BCC" w:rsidP="005A5BCC">
      <w:pPr>
        <w:pStyle w:val="SingleTxtGR"/>
      </w:pPr>
      <w:r w:rsidRPr="00A17601">
        <w:tab/>
        <w:t>d)</w:t>
      </w:r>
      <w:r w:rsidRPr="007C731D">
        <w:tab/>
      </w:r>
      <w:r w:rsidRPr="00A17601">
        <w:t>приветствовал представленную Беларусью и Грузией информацию о своих планах присоединиться к Протоколу о борьбе с подкислением, эвтр</w:t>
      </w:r>
      <w:r w:rsidRPr="00A17601">
        <w:t>о</w:t>
      </w:r>
      <w:r w:rsidRPr="00A17601">
        <w:t>фикацией и приземным озоном к Конвенции</w:t>
      </w:r>
      <w:r>
        <w:t xml:space="preserve"> </w:t>
      </w:r>
      <w:r w:rsidRPr="00A17601">
        <w:t>ЕЭК по воздуху до середины 2018</w:t>
      </w:r>
      <w:r>
        <w:t> год</w:t>
      </w:r>
      <w:r w:rsidRPr="00A17601">
        <w:t>а и до конца 2019</w:t>
      </w:r>
      <w:r>
        <w:t> год</w:t>
      </w:r>
      <w:r w:rsidRPr="00A17601">
        <w:t>а соответственно;</w:t>
      </w:r>
    </w:p>
    <w:p w:rsidR="005A5BCC" w:rsidRPr="00891FE6" w:rsidRDefault="005A5BCC" w:rsidP="005A5BCC">
      <w:pPr>
        <w:pStyle w:val="SingleTxtGR"/>
      </w:pPr>
      <w:r w:rsidRPr="00891FE6">
        <w:tab/>
        <w:t>e)</w:t>
      </w:r>
      <w:r w:rsidRPr="0056095D">
        <w:tab/>
      </w:r>
      <w:r w:rsidRPr="00891FE6">
        <w:t>выразил признательность отделам транспорта и устойчивой энерг</w:t>
      </w:r>
      <w:r w:rsidRPr="00891FE6">
        <w:t>е</w:t>
      </w:r>
      <w:r w:rsidRPr="00891FE6">
        <w:t>тики ЕЭК</w:t>
      </w:r>
      <w:r>
        <w:t xml:space="preserve"> </w:t>
      </w:r>
      <w:r w:rsidRPr="00891FE6">
        <w:t xml:space="preserve">за их вклад в подготовку обзоров результативности экологической деятельности Грузии и Беларуси, а также за их вклад в круглый стол. </w:t>
      </w:r>
    </w:p>
    <w:p w:rsidR="005A5BCC" w:rsidRPr="00891FE6" w:rsidRDefault="005A5BCC" w:rsidP="005A5BCC">
      <w:pPr>
        <w:pStyle w:val="HChGR"/>
      </w:pPr>
      <w:r w:rsidRPr="0056095D">
        <w:tab/>
      </w:r>
      <w:r w:rsidRPr="00891FE6">
        <w:t>VII.</w:t>
      </w:r>
      <w:r w:rsidRPr="00891FE6">
        <w:tab/>
        <w:t>Межсекторальная деятельность</w:t>
      </w:r>
    </w:p>
    <w:p w:rsidR="005A5BCC" w:rsidRPr="00891FE6" w:rsidRDefault="005A5BCC" w:rsidP="005A5BCC">
      <w:pPr>
        <w:pStyle w:val="SingleTxtGR"/>
      </w:pPr>
      <w:r>
        <w:t>71.</w:t>
      </w:r>
      <w:r>
        <w:tab/>
      </w:r>
      <w:r w:rsidRPr="00891FE6">
        <w:t>Комитет был проинформирован о недавних изменениях в ряде продо</w:t>
      </w:r>
      <w:r w:rsidRPr="00891FE6">
        <w:t>л</w:t>
      </w:r>
      <w:r w:rsidRPr="00891FE6">
        <w:t>жающихся межсекторальных видов деятельности, осуществляемой под рук</w:t>
      </w:r>
      <w:r w:rsidRPr="00891FE6">
        <w:t>о</w:t>
      </w:r>
      <w:r w:rsidRPr="00891FE6">
        <w:t>водством ЕЭК или в партнерстве с другими организациями.</w:t>
      </w:r>
    </w:p>
    <w:p w:rsidR="005A5BCC" w:rsidRPr="00891FE6" w:rsidRDefault="005A5BCC" w:rsidP="005A5BCC">
      <w:pPr>
        <w:pStyle w:val="H1GR"/>
      </w:pPr>
      <w:r w:rsidRPr="0056095D">
        <w:tab/>
      </w:r>
      <w:r>
        <w:t>А.</w:t>
      </w:r>
      <w:r w:rsidRPr="00891FE6">
        <w:tab/>
        <w:t>Общеевропейская программа п</w:t>
      </w:r>
      <w:r>
        <w:t>о транспорту, охране здоровья и</w:t>
      </w:r>
      <w:r>
        <w:rPr>
          <w:lang w:val="en-US"/>
        </w:rPr>
        <w:t> </w:t>
      </w:r>
      <w:r w:rsidRPr="00891FE6">
        <w:t>окружающей среде</w:t>
      </w:r>
    </w:p>
    <w:p w:rsidR="005A5BCC" w:rsidRPr="005C54B4" w:rsidRDefault="005A5BCC" w:rsidP="005A5BCC">
      <w:pPr>
        <w:pStyle w:val="SingleTxtGR"/>
      </w:pPr>
      <w:r w:rsidRPr="00891FE6">
        <w:t>72.</w:t>
      </w:r>
      <w:r w:rsidRPr="00891FE6">
        <w:tab/>
        <w:t>Представитель Отдела окружающей среды представил основные моме</w:t>
      </w:r>
      <w:r w:rsidRPr="00891FE6">
        <w:t>н</w:t>
      </w:r>
      <w:r w:rsidRPr="00891FE6">
        <w:t>ты деятельности в рамках программы по транспорту, охране здоровья и окр</w:t>
      </w:r>
      <w:r w:rsidRPr="00891FE6">
        <w:t>у</w:t>
      </w:r>
      <w:r w:rsidRPr="00891FE6">
        <w:t>жающей среде (ОПТОСОЗ), осуществлявшейся после двадцатой сессии Ком</w:t>
      </w:r>
      <w:r w:rsidRPr="00891FE6">
        <w:t>и</w:t>
      </w:r>
      <w:r w:rsidRPr="00891FE6">
        <w:t>тета, в том числе основные итоги двенадцатой сессии Руководящего комитета ОПТОСОЗ (Женева, 19–20 ноября 2014 года)</w:t>
      </w:r>
      <w:r>
        <w:rPr>
          <w:rStyle w:val="a6"/>
        </w:rPr>
        <w:footnoteReference w:id="13"/>
      </w:r>
      <w:r w:rsidRPr="00891FE6">
        <w:t>.</w:t>
      </w:r>
    </w:p>
    <w:p w:rsidR="005A5BCC" w:rsidRPr="00891FE6" w:rsidRDefault="005A5BCC" w:rsidP="005A5BCC">
      <w:pPr>
        <w:pStyle w:val="SingleTxtGR"/>
      </w:pPr>
      <w:r>
        <w:t>73.</w:t>
      </w:r>
      <w:r w:rsidRPr="00891FE6">
        <w:tab/>
        <w:t>К осуществлявшейся деятельности относятся продвижение</w:t>
      </w:r>
      <w:r>
        <w:t xml:space="preserve"> </w:t>
      </w:r>
      <w:r w:rsidRPr="00891FE6">
        <w:t>процесса практического применения механизмов осуществления, например разработка Сербией и Францией национальных планов действий в области транспорта, здравоохранения и окружающей среды</w:t>
      </w:r>
      <w:r>
        <w:t xml:space="preserve"> </w:t>
      </w:r>
      <w:r w:rsidRPr="00891FE6">
        <w:t>и поэтапных руководств для их реализ</w:t>
      </w:r>
      <w:r w:rsidRPr="00891FE6">
        <w:t>а</w:t>
      </w:r>
      <w:r w:rsidRPr="00891FE6">
        <w:t>ции. Достигнут прогресс и по линии Партнерства ОПТОСОЗ: имеется в виду создание Австрийского партнерства по пропаганде велосипедного движения, разработка курса эковождения в Калининграде (Российская Федерация)</w:t>
      </w:r>
      <w:r>
        <w:t xml:space="preserve"> </w:t>
      </w:r>
      <w:r w:rsidRPr="00891FE6">
        <w:t>и ос</w:t>
      </w:r>
      <w:r w:rsidRPr="00891FE6">
        <w:t>у</w:t>
      </w:r>
      <w:r w:rsidRPr="00891FE6">
        <w:t xml:space="preserve">ществление второго этапа Партнерства по созданию рабочих мест в секторе экологически чистого и благоприятного для здоровья транспорта. В сентябре </w:t>
      </w:r>
      <w:r w:rsidRPr="00891FE6">
        <w:lastRenderedPageBreak/>
        <w:t>2015 года Российская Федерация провела рабоче</w:t>
      </w:r>
      <w:r>
        <w:t>е совещание по Эстафете ОПТОСОЗ</w:t>
      </w:r>
      <w:r w:rsidRPr="00891FE6">
        <w:t>. В настоящее время разрабатывается концепция</w:t>
      </w:r>
      <w:r>
        <w:t xml:space="preserve"> </w:t>
      </w:r>
      <w:r w:rsidRPr="00891FE6">
        <w:t>введения в действие нового механизма осуществления – Академии ОПТОСОЗ.</w:t>
      </w:r>
    </w:p>
    <w:p w:rsidR="005A5BCC" w:rsidRPr="00891FE6" w:rsidRDefault="005A5BCC" w:rsidP="005A5BCC">
      <w:pPr>
        <w:pStyle w:val="SingleTxtGR"/>
      </w:pPr>
      <w:r w:rsidRPr="00891FE6">
        <w:t>74.</w:t>
      </w:r>
      <w:r w:rsidRPr="00891FE6">
        <w:tab/>
        <w:t>В порядке реализации итогов четвертого Совещание высокого уровня по транспорту, окружающей среде и охране здоро</w:t>
      </w:r>
      <w:r>
        <w:t>вья (Париж, 14–16 апреля 2014</w:t>
      </w:r>
      <w:r>
        <w:rPr>
          <w:lang w:val="en-US"/>
        </w:rPr>
        <w:t> </w:t>
      </w:r>
      <w:r w:rsidRPr="00891FE6">
        <w:t>года) Руководящий комитет одобрил предложение Франции и Российской Федерации об условиях</w:t>
      </w:r>
      <w:r>
        <w:t xml:space="preserve"> </w:t>
      </w:r>
      <w:r w:rsidRPr="00891FE6">
        <w:t>осуществления приоритетной цели 5, касающейся и</w:t>
      </w:r>
      <w:r w:rsidRPr="00891FE6">
        <w:t>н</w:t>
      </w:r>
      <w:r w:rsidRPr="00891FE6">
        <w:t>теграции целей ОПТОСОЗ</w:t>
      </w:r>
      <w:r>
        <w:t xml:space="preserve"> </w:t>
      </w:r>
      <w:r w:rsidRPr="00891FE6">
        <w:t>в политику городского и территориально-пространственного планирования. В настоящее время ведется подготовка тр</w:t>
      </w:r>
      <w:r w:rsidRPr="00891FE6">
        <w:t>и</w:t>
      </w:r>
      <w:r w:rsidRPr="00891FE6">
        <w:t>надцатого совещания Руководящего комитета</w:t>
      </w:r>
      <w:r>
        <w:t>, которая состоится в Женеве 18</w:t>
      </w:r>
      <w:r>
        <w:rPr>
          <w:lang w:val="en-US"/>
        </w:rPr>
        <w:t> </w:t>
      </w:r>
      <w:r w:rsidRPr="00891FE6">
        <w:t>ноября 2015 года. Ему будет предшествовать Симпозиум ОПТОСОЗ</w:t>
      </w:r>
      <w:r>
        <w:t xml:space="preserve"> </w:t>
      </w:r>
      <w:r w:rsidRPr="00891FE6">
        <w:t>2016 г</w:t>
      </w:r>
      <w:r w:rsidRPr="00891FE6">
        <w:t>о</w:t>
      </w:r>
      <w:r w:rsidRPr="00891FE6">
        <w:t>да, на котором основное внимание будет уделено сокращению выбросов, св</w:t>
      </w:r>
      <w:r w:rsidRPr="00891FE6">
        <w:t>я</w:t>
      </w:r>
      <w:r w:rsidRPr="00891FE6">
        <w:t>занных с транспортом, в целях улучшения состояния окружающей среды и зд</w:t>
      </w:r>
      <w:r w:rsidRPr="00891FE6">
        <w:t>о</w:t>
      </w:r>
      <w:r w:rsidRPr="00891FE6">
        <w:t>ровья людей.</w:t>
      </w:r>
    </w:p>
    <w:p w:rsidR="005A5BCC" w:rsidRPr="00891FE6" w:rsidRDefault="005A5BCC" w:rsidP="005A5BCC">
      <w:pPr>
        <w:pStyle w:val="SingleTxtGR"/>
      </w:pPr>
      <w:r w:rsidRPr="00891FE6">
        <w:t>75.</w:t>
      </w:r>
      <w:r w:rsidRPr="00891FE6">
        <w:tab/>
        <w:t>Комитет принял к сведению предоставленную информацию и приве</w:t>
      </w:r>
      <w:r w:rsidRPr="00891FE6">
        <w:t>т</w:t>
      </w:r>
      <w:r w:rsidRPr="00891FE6">
        <w:t>ствовал прогресс</w:t>
      </w:r>
      <w:r>
        <w:t xml:space="preserve"> </w:t>
      </w:r>
      <w:r w:rsidRPr="00891FE6">
        <w:t>в работе по линии ОПТОСОЗ. Представитель Регионального экологического центра для Центральной и Восточной Европы выразил заинт</w:t>
      </w:r>
      <w:r w:rsidRPr="00891FE6">
        <w:t>е</w:t>
      </w:r>
      <w:r w:rsidRPr="00891FE6">
        <w:t>ресованность Центра в участии в работе Академии ОПТОСОЗ.</w:t>
      </w:r>
    </w:p>
    <w:p w:rsidR="005A5BCC" w:rsidRPr="00891FE6" w:rsidRDefault="005A5BCC" w:rsidP="005A5BCC">
      <w:pPr>
        <w:pStyle w:val="H1GR"/>
      </w:pPr>
      <w:r w:rsidRPr="0056095D">
        <w:tab/>
      </w:r>
      <w:r>
        <w:t>B.</w:t>
      </w:r>
      <w:r w:rsidRPr="005C0D16">
        <w:tab/>
      </w:r>
      <w:r w:rsidRPr="00891FE6">
        <w:t>Окружающая среда и безопасность</w:t>
      </w:r>
    </w:p>
    <w:p w:rsidR="005A5BCC" w:rsidRPr="00891FE6" w:rsidRDefault="005A5BCC" w:rsidP="005A5BCC">
      <w:pPr>
        <w:pStyle w:val="SingleTxtGR"/>
      </w:pPr>
      <w:r w:rsidRPr="00891FE6">
        <w:t>76.</w:t>
      </w:r>
      <w:r w:rsidRPr="00891FE6">
        <w:tab/>
        <w:t xml:space="preserve">Исполняющий обязанности Директора Отдела окружающей среды ЕЭК сделал общий обзор недавних изменений в рамках Инициативы </w:t>
      </w:r>
      <w:r>
        <w:t>«</w:t>
      </w:r>
      <w:r w:rsidRPr="00891FE6">
        <w:t>Окружающая среда и безопасность</w:t>
      </w:r>
      <w:r>
        <w:t>» (информационный документ № 5)</w:t>
      </w:r>
      <w:r w:rsidRPr="00891FE6">
        <w:t>. В 2015 году</w:t>
      </w:r>
      <w:r>
        <w:t xml:space="preserve"> </w:t>
      </w:r>
      <w:r w:rsidRPr="00891FE6">
        <w:t>ЕЭК, я</w:t>
      </w:r>
      <w:r w:rsidRPr="00891FE6">
        <w:t>в</w:t>
      </w:r>
      <w:r w:rsidRPr="00891FE6">
        <w:t>ляющаяся одним из пяти партнеров Инициативы, провела многочисленные м</w:t>
      </w:r>
      <w:r w:rsidRPr="00891FE6">
        <w:t>е</w:t>
      </w:r>
      <w:r w:rsidRPr="00891FE6">
        <w:t>роприятия с целью оказания странам</w:t>
      </w:r>
      <w:r>
        <w:t xml:space="preserve"> </w:t>
      </w:r>
      <w:r w:rsidRPr="00891FE6">
        <w:t>помощи</w:t>
      </w:r>
      <w:r>
        <w:t xml:space="preserve"> </w:t>
      </w:r>
      <w:r w:rsidRPr="00891FE6">
        <w:t xml:space="preserve">в осуществлении сотрудничества в области управления их общими природными ресурсами. </w:t>
      </w:r>
    </w:p>
    <w:p w:rsidR="005A5BCC" w:rsidRPr="00891FE6" w:rsidRDefault="005A5BCC" w:rsidP="005A5BCC">
      <w:pPr>
        <w:pStyle w:val="SingleTxtGR"/>
      </w:pPr>
      <w:r>
        <w:t>77.</w:t>
      </w:r>
      <w:r w:rsidRPr="00891FE6">
        <w:tab/>
        <w:t>В р</w:t>
      </w:r>
      <w:r>
        <w:t>егионе ЕЭК по линии Инициативы «</w:t>
      </w:r>
      <w:r w:rsidRPr="00891FE6">
        <w:t>Окружающая среда и безопа</w:t>
      </w:r>
      <w:r w:rsidRPr="00891FE6">
        <w:t>с</w:t>
      </w:r>
      <w:r w:rsidRPr="00891FE6">
        <w:t>ность</w:t>
      </w:r>
      <w:r>
        <w:t>»</w:t>
      </w:r>
      <w:r w:rsidRPr="00891FE6">
        <w:t xml:space="preserve"> поддерживаются усилия в следующих областях: трансграничные пр</w:t>
      </w:r>
      <w:r w:rsidRPr="00891FE6">
        <w:t>и</w:t>
      </w:r>
      <w:r w:rsidRPr="00891FE6">
        <w:t>родные ресурсы; опасные вещества и промышленные установки; адаптация к изменению климата;</w:t>
      </w:r>
      <w:r>
        <w:t xml:space="preserve"> </w:t>
      </w:r>
      <w:r w:rsidRPr="00891FE6">
        <w:t>информирование общественности и ее участие в процессе принятия решений. За 12 лет, прошедших после ее появления, реализовано б</w:t>
      </w:r>
      <w:r w:rsidRPr="00891FE6">
        <w:t>о</w:t>
      </w:r>
      <w:r w:rsidRPr="00891FE6">
        <w:t>лее 150 проектов по повышению осведомленности и развитию потенциала ст</w:t>
      </w:r>
      <w:r w:rsidRPr="00891FE6">
        <w:t>о</w:t>
      </w:r>
      <w:r w:rsidRPr="00891FE6">
        <w:t>имостью более 60</w:t>
      </w:r>
      <w:r>
        <w:t> </w:t>
      </w:r>
      <w:r w:rsidRPr="00891FE6">
        <w:t>млн. долл. США, котор</w:t>
      </w:r>
      <w:r>
        <w:t>ые принесли пользу примерно 170 </w:t>
      </w:r>
      <w:r w:rsidRPr="00891FE6">
        <w:t>млн. людей.</w:t>
      </w:r>
      <w:r>
        <w:t xml:space="preserve"> </w:t>
      </w:r>
      <w:r w:rsidRPr="00891FE6">
        <w:t>К основным результатам относятся укрепившееся регионал</w:t>
      </w:r>
      <w:r w:rsidRPr="00891FE6">
        <w:t>ь</w:t>
      </w:r>
      <w:r w:rsidRPr="00891FE6">
        <w:t>ное сотрудничество в управлении 13 трансграничными</w:t>
      </w:r>
      <w:r>
        <w:t xml:space="preserve"> </w:t>
      </w:r>
      <w:r w:rsidRPr="00891FE6">
        <w:t>водными бассейнами и повысившаяся благодаря созданию 50 орхусских центров информированность о проблемах окружающей среды.</w:t>
      </w:r>
    </w:p>
    <w:p w:rsidR="005A5BCC" w:rsidRPr="00891FE6" w:rsidRDefault="005A5BCC" w:rsidP="005A5BCC">
      <w:pPr>
        <w:pStyle w:val="SingleTxtGR"/>
      </w:pPr>
      <w:r>
        <w:t>78.</w:t>
      </w:r>
      <w:r w:rsidRPr="00891FE6">
        <w:tab/>
        <w:t>Деятельность ЕЭК под эгидой Инициативы включает в себя разработку и осуществление проектов и развитие потенциала с целью пропаганды многост</w:t>
      </w:r>
      <w:r w:rsidRPr="00891FE6">
        <w:t>о</w:t>
      </w:r>
      <w:r w:rsidRPr="00891FE6">
        <w:t>ронних природоохранных соглашений ЕЭК. В рамках Конвенции по водам осуществляются проекты по адаптации к изменению климата и трансграничн</w:t>
      </w:r>
      <w:r w:rsidRPr="00891FE6">
        <w:t>о</w:t>
      </w:r>
      <w:r w:rsidRPr="00891FE6">
        <w:t>му сотрудничеству на уровне бассейнов, а также по развитию потенциала в и</w:t>
      </w:r>
      <w:r w:rsidRPr="00891FE6">
        <w:t>н</w:t>
      </w:r>
      <w:r w:rsidRPr="00891FE6">
        <w:t>тересах сотрудничества в области безопасности плотин в Центральной Азии. Кроме того, предпринимались усилия по содействию ратификации</w:t>
      </w:r>
      <w:r>
        <w:t xml:space="preserve"> </w:t>
      </w:r>
      <w:r w:rsidRPr="00891FE6">
        <w:t>этой ко</w:t>
      </w:r>
      <w:r w:rsidRPr="00891FE6">
        <w:t>н</w:t>
      </w:r>
      <w:r w:rsidRPr="00891FE6">
        <w:t>венции Грузией и по разработке соглашения между Грузией и Азербайджаном об управлении трансграничными водотоками.</w:t>
      </w:r>
    </w:p>
    <w:p w:rsidR="005A5BCC" w:rsidRPr="00891FE6" w:rsidRDefault="005A5BCC" w:rsidP="005A5BCC">
      <w:pPr>
        <w:pStyle w:val="SingleTxtGR"/>
      </w:pPr>
      <w:r>
        <w:t>79.</w:t>
      </w:r>
      <w:r>
        <w:tab/>
      </w:r>
      <w:r w:rsidRPr="00891FE6">
        <w:t>На Кавказе активизировался процесс осуществления Конвенции Эспо, а в Беларуси и Украине произведен пересмотр законодательства и выполнен пос</w:t>
      </w:r>
      <w:r w:rsidRPr="00891FE6">
        <w:t>т</w:t>
      </w:r>
      <w:r w:rsidRPr="00891FE6">
        <w:t>проектный анализ по</w:t>
      </w:r>
      <w:r>
        <w:t xml:space="preserve"> </w:t>
      </w:r>
      <w:r w:rsidRPr="00891FE6">
        <w:t xml:space="preserve">Хотиславскому карьеру. </w:t>
      </w:r>
      <w:proofErr w:type="gramStart"/>
      <w:r w:rsidRPr="00891FE6">
        <w:t>По линии Конвенции о промы</w:t>
      </w:r>
      <w:r w:rsidRPr="00891FE6">
        <w:t>ш</w:t>
      </w:r>
      <w:r w:rsidRPr="00891FE6">
        <w:lastRenderedPageBreak/>
        <w:t>ленных авариях проведена работа по развитию потенциала для подготовки о</w:t>
      </w:r>
      <w:r w:rsidRPr="00891FE6">
        <w:t>т</w:t>
      </w:r>
      <w:r w:rsidRPr="00891FE6">
        <w:t>четов о безопасности</w:t>
      </w:r>
      <w:proofErr w:type="gramEnd"/>
      <w:r w:rsidRPr="00891FE6">
        <w:t xml:space="preserve"> в Хорватии, Сербии и бывшей югославской </w:t>
      </w:r>
      <w:r w:rsidR="00002A57" w:rsidRPr="00891FE6">
        <w:t>Р</w:t>
      </w:r>
      <w:r w:rsidRPr="00891FE6">
        <w:t>есп</w:t>
      </w:r>
      <w:r w:rsidR="00785AD5">
        <w:t>ублике</w:t>
      </w:r>
      <w:bookmarkStart w:id="2" w:name="_GoBack"/>
      <w:bookmarkEnd w:id="2"/>
      <w:r w:rsidR="007E4E0F">
        <w:t xml:space="preserve"> Македонии, а в Республике</w:t>
      </w:r>
      <w:r w:rsidRPr="00891FE6">
        <w:t xml:space="preserve"> Молдова, Румынии и Украине выполнен сопостав</w:t>
      </w:r>
      <w:r w:rsidRPr="00891FE6">
        <w:t>и</w:t>
      </w:r>
      <w:r w:rsidRPr="00891FE6">
        <w:t>тельный анализ законодательства об управлении опасными и кризисными сит</w:t>
      </w:r>
      <w:r w:rsidRPr="00891FE6">
        <w:t>у</w:t>
      </w:r>
      <w:r w:rsidRPr="00891FE6">
        <w:t>ациями, а также соответствующих политики и институтов.</w:t>
      </w:r>
    </w:p>
    <w:p w:rsidR="005A5BCC" w:rsidRPr="00891FE6" w:rsidRDefault="005A5BCC" w:rsidP="005A5BCC">
      <w:pPr>
        <w:pStyle w:val="SingleTxtGR"/>
      </w:pPr>
      <w:r w:rsidRPr="00891FE6">
        <w:t>80.</w:t>
      </w:r>
      <w:r w:rsidRPr="00891FE6">
        <w:tab/>
        <w:t>Велась</w:t>
      </w:r>
      <w:r>
        <w:t xml:space="preserve"> </w:t>
      </w:r>
      <w:r w:rsidRPr="00891FE6">
        <w:t>пропаганда Орхусской конвенции благодаря проекту по укрепл</w:t>
      </w:r>
      <w:r w:rsidRPr="00891FE6">
        <w:t>е</w:t>
      </w:r>
      <w:r w:rsidRPr="00891FE6">
        <w:t>нию</w:t>
      </w:r>
      <w:r>
        <w:t xml:space="preserve"> </w:t>
      </w:r>
      <w:r w:rsidRPr="00891FE6">
        <w:t>институционального потенциала и интеграции положений этой конвенции в национальное законодательство Беларуси.</w:t>
      </w:r>
      <w:r>
        <w:t xml:space="preserve"> </w:t>
      </w:r>
      <w:r w:rsidRPr="00891FE6">
        <w:t>Кроме того, в Юго-Восточной Е</w:t>
      </w:r>
      <w:r w:rsidRPr="00891FE6">
        <w:t>в</w:t>
      </w:r>
      <w:r w:rsidRPr="00891FE6">
        <w:t>ропе реализован проект по усилению доступа общественности к правосудию по экологическим вопросам. Также создан ряд орхусских центров, которые по</w:t>
      </w:r>
      <w:r w:rsidRPr="00891FE6">
        <w:t>д</w:t>
      </w:r>
      <w:r w:rsidRPr="00891FE6">
        <w:t>держиваются</w:t>
      </w:r>
      <w:r>
        <w:t xml:space="preserve"> </w:t>
      </w:r>
      <w:r w:rsidRPr="00891FE6">
        <w:t>другими партнерами Инициативы</w:t>
      </w:r>
      <w:r>
        <w:t xml:space="preserve"> «</w:t>
      </w:r>
      <w:r w:rsidRPr="00891FE6">
        <w:t>Окружающая среда и безопа</w:t>
      </w:r>
      <w:r w:rsidRPr="00891FE6">
        <w:t>с</w:t>
      </w:r>
      <w:r>
        <w:t>ность»</w:t>
      </w:r>
      <w:r w:rsidRPr="00891FE6">
        <w:t xml:space="preserve">, например Организацией по безопасности и сотрудничеству в Европе. </w:t>
      </w:r>
    </w:p>
    <w:p w:rsidR="005A5BCC" w:rsidRPr="00891FE6" w:rsidRDefault="005A5BCC" w:rsidP="005A5BCC">
      <w:pPr>
        <w:pStyle w:val="SingleTxtGR"/>
      </w:pPr>
      <w:r w:rsidRPr="00891FE6">
        <w:t>81.</w:t>
      </w:r>
      <w:r w:rsidRPr="00891FE6">
        <w:tab/>
        <w:t>Директор</w:t>
      </w:r>
      <w:r>
        <w:t xml:space="preserve"> </w:t>
      </w:r>
      <w:r w:rsidRPr="00891FE6">
        <w:t>Регионального бюро</w:t>
      </w:r>
      <w:r>
        <w:t xml:space="preserve"> </w:t>
      </w:r>
      <w:r w:rsidRPr="00891FE6">
        <w:t>ЮНЕП</w:t>
      </w:r>
      <w:r>
        <w:t xml:space="preserve"> </w:t>
      </w:r>
      <w:r w:rsidRPr="00891FE6">
        <w:t>по Европе также сообщил о реал</w:t>
      </w:r>
      <w:r w:rsidRPr="00891FE6">
        <w:t>и</w:t>
      </w:r>
      <w:r w:rsidRPr="00891FE6">
        <w:t>зованных в 2015 году изменениях по линии Инициативы, которые были ос</w:t>
      </w:r>
      <w:r w:rsidRPr="00891FE6">
        <w:t>у</w:t>
      </w:r>
      <w:r w:rsidRPr="00891FE6">
        <w:t>ществлены под</w:t>
      </w:r>
      <w:r>
        <w:t xml:space="preserve"> </w:t>
      </w:r>
      <w:r w:rsidRPr="00891FE6">
        <w:t>председательством ЮНЕП.</w:t>
      </w:r>
    </w:p>
    <w:p w:rsidR="005A5BCC" w:rsidRPr="00891FE6" w:rsidRDefault="005A5BCC" w:rsidP="005A5BCC">
      <w:pPr>
        <w:pStyle w:val="SingleTxtGR"/>
      </w:pPr>
      <w:r w:rsidRPr="00891FE6">
        <w:t>82.</w:t>
      </w:r>
      <w:r w:rsidRPr="00891FE6">
        <w:tab/>
        <w:t>Комитет принял к сведению и приветствовал предоставленную информ</w:t>
      </w:r>
      <w:r w:rsidRPr="00891FE6">
        <w:t>а</w:t>
      </w:r>
      <w:r w:rsidRPr="00891FE6">
        <w:t>цию относительно Иници</w:t>
      </w:r>
      <w:r>
        <w:t>ативы «</w:t>
      </w:r>
      <w:r w:rsidRPr="00891FE6">
        <w:t>Окружающая среда и безопасность</w:t>
      </w:r>
      <w:r>
        <w:t>»</w:t>
      </w:r>
      <w:r w:rsidRPr="00891FE6">
        <w:t xml:space="preserve">. </w:t>
      </w:r>
    </w:p>
    <w:p w:rsidR="005A5BCC" w:rsidRPr="00891FE6" w:rsidRDefault="005A5BCC" w:rsidP="005A5BCC">
      <w:pPr>
        <w:pStyle w:val="H1GR"/>
      </w:pPr>
      <w:r w:rsidRPr="0056095D">
        <w:tab/>
      </w:r>
      <w:r>
        <w:t>C.</w:t>
      </w:r>
      <w:r w:rsidRPr="005C0D16">
        <w:tab/>
      </w:r>
      <w:r w:rsidRPr="00891FE6">
        <w:t>Европейский процесс «Окружающая среда и здоровье»</w:t>
      </w:r>
    </w:p>
    <w:p w:rsidR="005A5BCC" w:rsidRPr="007C23A5" w:rsidRDefault="005A5BCC" w:rsidP="005A5BCC">
      <w:pPr>
        <w:pStyle w:val="SingleTxtGR"/>
      </w:pPr>
      <w:r w:rsidRPr="007C23A5">
        <w:t>83.</w:t>
      </w:r>
      <w:r w:rsidRPr="007C23A5">
        <w:tab/>
        <w:t xml:space="preserve">Представитель Европейского регионального бюро ВОЗ представил итоги среднесрочного обзора европейского процесса </w:t>
      </w:r>
      <w:r>
        <w:t>«</w:t>
      </w:r>
      <w:r w:rsidRPr="007C23A5">
        <w:t>Окружающая среда и здоровье</w:t>
      </w:r>
      <w:r>
        <w:t>»</w:t>
      </w:r>
      <w:r w:rsidRPr="007C23A5">
        <w:t xml:space="preserve"> (Хайфа, Израиль, 28–30 апреля 2015 года), для участия в котором собрались вместе представители 37 стран и 9 заинтересованных в нем организаций. В д</w:t>
      </w:r>
      <w:r w:rsidRPr="007C23A5">
        <w:t>о</w:t>
      </w:r>
      <w:r w:rsidRPr="007C23A5">
        <w:t>полнение к промежуточным док</w:t>
      </w:r>
      <w:r>
        <w:t>ладам по европейскому процессу «</w:t>
      </w:r>
      <w:r w:rsidRPr="007C23A5">
        <w:t>Окружающая среда и здоровье</w:t>
      </w:r>
      <w:r>
        <w:t>»</w:t>
      </w:r>
      <w:r w:rsidRPr="007C23A5">
        <w:t xml:space="preserve"> (EUR/RC65/18 и EUR/RC65/11) для обзора были подготовл</w:t>
      </w:r>
      <w:r w:rsidRPr="007C23A5">
        <w:t>е</w:t>
      </w:r>
      <w:r w:rsidRPr="007C23A5">
        <w:t>ны шесть тематических публикаций</w:t>
      </w:r>
      <w:r>
        <w:rPr>
          <w:rStyle w:val="a6"/>
        </w:rPr>
        <w:footnoteReference w:id="14"/>
      </w:r>
      <w:r w:rsidRPr="007C23A5">
        <w:t xml:space="preserve">. </w:t>
      </w:r>
    </w:p>
    <w:p w:rsidR="005A5BCC" w:rsidRPr="00891FE6" w:rsidRDefault="005A5BCC" w:rsidP="005A5BCC">
      <w:pPr>
        <w:pStyle w:val="SingleTxtGR"/>
      </w:pPr>
      <w:r w:rsidRPr="00891FE6">
        <w:t>84.</w:t>
      </w:r>
      <w:r w:rsidRPr="00891FE6">
        <w:tab/>
        <w:t>Основные итоги обзора, которые будут служить руководством</w:t>
      </w:r>
      <w:r>
        <w:t xml:space="preserve"> </w:t>
      </w:r>
      <w:r w:rsidRPr="00891FE6">
        <w:t>при подг</w:t>
      </w:r>
      <w:r w:rsidRPr="00891FE6">
        <w:t>о</w:t>
      </w:r>
      <w:r w:rsidRPr="00891FE6">
        <w:t>товке шестой Конференции министров по окружающей среде и охране здоровья (2017 год)</w:t>
      </w:r>
      <w:r>
        <w:t>,</w:t>
      </w:r>
      <w:r w:rsidRPr="00891FE6">
        <w:t xml:space="preserve"> включают следующее:</w:t>
      </w:r>
      <w:r>
        <w:t xml:space="preserve"> а) </w:t>
      </w:r>
      <w:r w:rsidRPr="00891FE6">
        <w:t>завершение выполнения Пармских обяз</w:t>
      </w:r>
      <w:r w:rsidRPr="00891FE6">
        <w:t>а</w:t>
      </w:r>
      <w:r w:rsidRPr="00891FE6">
        <w:t>тельств;</w:t>
      </w:r>
      <w:r>
        <w:t xml:space="preserve"> </w:t>
      </w:r>
      <w:r w:rsidRPr="00891FE6">
        <w:t>b)</w:t>
      </w:r>
      <w:r>
        <w:t xml:space="preserve"> </w:t>
      </w:r>
      <w:r w:rsidRPr="00891FE6">
        <w:t>выполнение обзора состояния окружающей среды и здоровья в ко</w:t>
      </w:r>
      <w:r w:rsidRPr="00891FE6">
        <w:t>н</w:t>
      </w:r>
      <w:r w:rsidRPr="00891FE6">
        <w:t>тексте XXI века; c) обеспечение четкой увязки процесса с двумя стратегич</w:t>
      </w:r>
      <w:r w:rsidRPr="00891FE6">
        <w:t>е</w:t>
      </w:r>
      <w:r w:rsidRPr="00891FE6">
        <w:t>скими рамочными концепциями – политикой</w:t>
      </w:r>
      <w:r>
        <w:t xml:space="preserve"> «Здоровье-</w:t>
      </w:r>
      <w:r w:rsidRPr="00891FE6">
        <w:t>2020</w:t>
      </w:r>
      <w:r>
        <w:t>»</w:t>
      </w:r>
      <w:r w:rsidRPr="00891FE6">
        <w:t xml:space="preserve"> и целями усто</w:t>
      </w:r>
      <w:r w:rsidRPr="00891FE6">
        <w:t>й</w:t>
      </w:r>
      <w:r w:rsidRPr="00891FE6">
        <w:t>чивого развития;</w:t>
      </w:r>
      <w:r>
        <w:t xml:space="preserve"> </w:t>
      </w:r>
      <w:r w:rsidRPr="00891FE6">
        <w:t>d) принятие обязательств в отношении конкретных</w:t>
      </w:r>
      <w:r>
        <w:t xml:space="preserve"> </w:t>
      </w:r>
      <w:r w:rsidRPr="00891FE6">
        <w:t>результ</w:t>
      </w:r>
      <w:r w:rsidRPr="00891FE6">
        <w:t>а</w:t>
      </w:r>
      <w:r w:rsidRPr="00891FE6">
        <w:t>тов; и</w:t>
      </w:r>
      <w:r>
        <w:t xml:space="preserve"> </w:t>
      </w:r>
      <w:r w:rsidRPr="00891FE6">
        <w:t>e) обеспечение того, чтобы страны стали прямыми</w:t>
      </w:r>
      <w:r>
        <w:t xml:space="preserve"> </w:t>
      </w:r>
      <w:r w:rsidRPr="00891FE6">
        <w:t>бенефициарами рег</w:t>
      </w:r>
      <w:r w:rsidRPr="00891FE6">
        <w:t>и</w:t>
      </w:r>
      <w:r w:rsidRPr="00891FE6">
        <w:t>онального процесса. В темах, предлагаемых для следующей Конференции, о</w:t>
      </w:r>
      <w:r w:rsidRPr="00891FE6">
        <w:t>с</w:t>
      </w:r>
      <w:r w:rsidRPr="00891FE6">
        <w:t>новное внимание уделяется здоровью и благополучию, и они охватывают пр</w:t>
      </w:r>
      <w:r w:rsidRPr="00891FE6">
        <w:t>о</w:t>
      </w:r>
      <w:r w:rsidRPr="00891FE6">
        <w:t>блематику воздуха, воды, энергетики, химических веществ, продовольствия, отходов, городов и изменения климата, безопасности окружающей среды и зд</w:t>
      </w:r>
      <w:r w:rsidRPr="00891FE6">
        <w:t>о</w:t>
      </w:r>
      <w:r w:rsidRPr="00891FE6">
        <w:t>ровья.</w:t>
      </w:r>
    </w:p>
    <w:p w:rsidR="005A5BCC" w:rsidRPr="00891FE6" w:rsidRDefault="005A5BCC" w:rsidP="005A5BCC">
      <w:pPr>
        <w:pStyle w:val="SingleTxtGR"/>
      </w:pPr>
      <w:r w:rsidRPr="00891FE6">
        <w:t>85.</w:t>
      </w:r>
      <w:r w:rsidRPr="00891FE6">
        <w:tab/>
        <w:t>Комитет приветствовал представленную информацию</w:t>
      </w:r>
      <w:r>
        <w:t xml:space="preserve"> </w:t>
      </w:r>
      <w:r w:rsidRPr="00891FE6">
        <w:t>об изменениях в</w:t>
      </w:r>
      <w:r>
        <w:t xml:space="preserve"> европейском процессе «Окружающая среда и здоровье»</w:t>
      </w:r>
      <w:r w:rsidRPr="00891FE6">
        <w:t>,</w:t>
      </w:r>
      <w:r>
        <w:t xml:space="preserve"> </w:t>
      </w:r>
      <w:r w:rsidRPr="00891FE6">
        <w:t xml:space="preserve">в частности об итогах среднесрочного обзора, проведенного в Хайфе в апреле 2015 года, и: </w:t>
      </w:r>
    </w:p>
    <w:p w:rsidR="005A5BCC" w:rsidRPr="00891FE6" w:rsidRDefault="005A5BCC" w:rsidP="005A5BCC">
      <w:pPr>
        <w:pStyle w:val="SingleTxtGR"/>
      </w:pPr>
      <w:r w:rsidRPr="00891FE6">
        <w:tab/>
        <w:t>a)</w:t>
      </w:r>
      <w:r w:rsidRPr="002442FE">
        <w:tab/>
      </w:r>
      <w:r w:rsidRPr="00891FE6">
        <w:t>принял к сведению доклады о ходе работы по осуществлению е</w:t>
      </w:r>
      <w:r w:rsidRPr="00891FE6">
        <w:t>в</w:t>
      </w:r>
      <w:r w:rsidRPr="00891FE6">
        <w:t>ропейского процесса «Окружающая среда и здоровье» (EUR/RC65/18 и EUR/RC65/11);</w:t>
      </w:r>
    </w:p>
    <w:p w:rsidR="005A5BCC" w:rsidRPr="00891FE6" w:rsidRDefault="005A5BCC" w:rsidP="005A5BCC">
      <w:pPr>
        <w:pStyle w:val="SingleTxtGR"/>
      </w:pPr>
      <w:r w:rsidRPr="00891FE6">
        <w:lastRenderedPageBreak/>
        <w:tab/>
        <w:t>b)</w:t>
      </w:r>
      <w:r w:rsidRPr="002442FE">
        <w:tab/>
      </w:r>
      <w:r w:rsidRPr="00891FE6">
        <w:t>согласился выделить больше времени в повестке дня своей дв</w:t>
      </w:r>
      <w:r w:rsidRPr="00891FE6">
        <w:t>а</w:t>
      </w:r>
      <w:r w:rsidRPr="00891FE6">
        <w:t>дцать второй сесс</w:t>
      </w:r>
      <w:r>
        <w:t>ии на обсуждение хода подготовк</w:t>
      </w:r>
      <w:r w:rsidRPr="00891FE6">
        <w:t>и шестой Конференции м</w:t>
      </w:r>
      <w:r w:rsidRPr="00891FE6">
        <w:t>и</w:t>
      </w:r>
      <w:r w:rsidRPr="00891FE6">
        <w:t xml:space="preserve">нистров по окружающей среде и охране здоровья (2017 год); </w:t>
      </w:r>
    </w:p>
    <w:p w:rsidR="005A5BCC" w:rsidRPr="00891FE6" w:rsidRDefault="005A5BCC" w:rsidP="005A5BCC">
      <w:pPr>
        <w:pStyle w:val="SingleTxtGR"/>
      </w:pPr>
      <w:r w:rsidRPr="00891FE6">
        <w:tab/>
        <w:t>c)</w:t>
      </w:r>
      <w:r w:rsidRPr="002442FE">
        <w:tab/>
      </w:r>
      <w:r w:rsidRPr="00891FE6">
        <w:t>просил</w:t>
      </w:r>
      <w:r>
        <w:t xml:space="preserve"> </w:t>
      </w:r>
      <w:r w:rsidRPr="00891FE6">
        <w:t>секре</w:t>
      </w:r>
      <w:r>
        <w:t xml:space="preserve">тариат выяснить у 53 государств – </w:t>
      </w:r>
      <w:r w:rsidRPr="00891FE6">
        <w:t>членов ЕЭК, явл</w:t>
      </w:r>
      <w:r w:rsidRPr="00891FE6">
        <w:t>я</w:t>
      </w:r>
      <w:r w:rsidRPr="00891FE6">
        <w:t>ющихся</w:t>
      </w:r>
      <w:r>
        <w:t xml:space="preserve"> </w:t>
      </w:r>
      <w:r w:rsidRPr="00891FE6">
        <w:t>также членами</w:t>
      </w:r>
      <w:r>
        <w:t xml:space="preserve"> </w:t>
      </w:r>
      <w:r w:rsidRPr="00891FE6">
        <w:t>Европейского регионального бюро ВОЗ, заинтересов</w:t>
      </w:r>
      <w:r w:rsidRPr="00891FE6">
        <w:t>а</w:t>
      </w:r>
      <w:r w:rsidRPr="00891FE6">
        <w:t>ны ли они в том, чтобы в течение следующего срока полномочий</w:t>
      </w:r>
      <w:r>
        <w:t xml:space="preserve"> </w:t>
      </w:r>
      <w:r>
        <w:br/>
        <w:t>(2017–2018 </w:t>
      </w:r>
      <w:r w:rsidRPr="00891FE6">
        <w:t>годы) быть представленными в составе Европейского совета мин</w:t>
      </w:r>
      <w:r w:rsidRPr="00891FE6">
        <w:t>и</w:t>
      </w:r>
      <w:r w:rsidRPr="00891FE6">
        <w:t>стров по окружающей среде и здоровью, направив в июне 2016 года официал</w:t>
      </w:r>
      <w:r w:rsidRPr="00891FE6">
        <w:t>ь</w:t>
      </w:r>
      <w:r w:rsidRPr="00891FE6">
        <w:t>ные письма министрам окружающей среды, чтобы узнать их мнения на этот счет.</w:t>
      </w:r>
    </w:p>
    <w:p w:rsidR="005A5BCC" w:rsidRPr="00891FE6" w:rsidRDefault="005A5BCC" w:rsidP="005A5BCC">
      <w:pPr>
        <w:pStyle w:val="H1GR"/>
      </w:pPr>
      <w:r w:rsidRPr="0056095D">
        <w:tab/>
      </w:r>
      <w:r>
        <w:t>D.</w:t>
      </w:r>
      <w:r w:rsidRPr="002442FE">
        <w:tab/>
      </w:r>
      <w:r w:rsidRPr="00891FE6">
        <w:t>Строител</w:t>
      </w:r>
      <w:r>
        <w:t>ьство «</w:t>
      </w:r>
      <w:r w:rsidRPr="00891FE6">
        <w:t>зеленых</w:t>
      </w:r>
      <w:r>
        <w:t>»</w:t>
      </w:r>
      <w:r w:rsidRPr="00891FE6">
        <w:t xml:space="preserve"> зданий</w:t>
      </w:r>
    </w:p>
    <w:p w:rsidR="005A5BCC" w:rsidRPr="00891FE6" w:rsidRDefault="005A5BCC" w:rsidP="005A5BCC">
      <w:pPr>
        <w:pStyle w:val="SingleTxtGR"/>
      </w:pPr>
      <w:r w:rsidRPr="00891FE6">
        <w:t>86.</w:t>
      </w:r>
      <w:r w:rsidRPr="00891FE6">
        <w:tab/>
        <w:t xml:space="preserve"> Секретарь Комитета ЕЭК по жилищному хозяйству и землепользованию представил информацию об изм</w:t>
      </w:r>
      <w:r>
        <w:t>енениях в области строительства «</w:t>
      </w:r>
      <w:r w:rsidRPr="00891FE6">
        <w:t>зеленых</w:t>
      </w:r>
      <w:r>
        <w:t>»</w:t>
      </w:r>
      <w:r w:rsidRPr="00891FE6">
        <w:t xml:space="preserve"> зданий</w:t>
      </w:r>
      <w:r>
        <w:rPr>
          <w:rStyle w:val="a6"/>
        </w:rPr>
        <w:footnoteReference w:id="15"/>
      </w:r>
      <w:r w:rsidRPr="00891FE6">
        <w:t xml:space="preserve">. В деятельности по теме </w:t>
      </w:r>
      <w:r>
        <w:t>«зеленых»</w:t>
      </w:r>
      <w:r w:rsidRPr="00891FE6">
        <w:t xml:space="preserve"> энергоэффективных зданий д</w:t>
      </w:r>
      <w:r w:rsidRPr="00891FE6">
        <w:t>о</w:t>
      </w:r>
      <w:r w:rsidRPr="00891FE6">
        <w:t>стигнут хороший прогресс: в частности, были организованы несколько реги</w:t>
      </w:r>
      <w:r w:rsidRPr="00891FE6">
        <w:t>о</w:t>
      </w:r>
      <w:r w:rsidRPr="00891FE6">
        <w:t>нальных и национальных рабочих совещаний и разработаны национальные планы действий по обеспечению устойчивости жилищного хозяйства и упра</w:t>
      </w:r>
      <w:r w:rsidRPr="00891FE6">
        <w:t>в</w:t>
      </w:r>
      <w:r w:rsidRPr="00891FE6">
        <w:t>ления земельными ресурсами, в которых содержатся положение об энергоэ</w:t>
      </w:r>
      <w:r w:rsidRPr="00891FE6">
        <w:t>ф</w:t>
      </w:r>
      <w:r w:rsidRPr="00891FE6">
        <w:t>фективности зданий (Армения, Республика Мо</w:t>
      </w:r>
      <w:r>
        <w:t>лдова, Сербия и Таджикистан). В</w:t>
      </w:r>
      <w:r>
        <w:rPr>
          <w:lang w:val="en-US"/>
        </w:rPr>
        <w:t> </w:t>
      </w:r>
      <w:r w:rsidRPr="00891FE6">
        <w:t>2016 году году в сотрудничестве с Комитетом ЕЭК по устойчивой энергетике учреждается Целевая группа ЕЭК по строительным кодексам и стандартам энергоэффективности зданий. Предлагаемая для Целевой группы деятельность включает в себя: сопоставление</w:t>
      </w:r>
      <w:r>
        <w:t xml:space="preserve"> </w:t>
      </w:r>
      <w:r w:rsidRPr="00891FE6">
        <w:t>стандартов энергоэффективности зданий и по</w:t>
      </w:r>
      <w:r w:rsidRPr="00891FE6">
        <w:t>д</w:t>
      </w:r>
      <w:r w:rsidRPr="00891FE6">
        <w:t>готовку анализа пробелов; подготовку руководящих материалов; содействие налаживанию партнерских связей; создание базы данных экспертов; и разр</w:t>
      </w:r>
      <w:r w:rsidRPr="00891FE6">
        <w:t>а</w:t>
      </w:r>
      <w:r w:rsidRPr="00891FE6">
        <w:t>ботку и организацию программ подготовки кадров.</w:t>
      </w:r>
    </w:p>
    <w:p w:rsidR="005A5BCC" w:rsidRPr="00891FE6" w:rsidRDefault="005A5BCC" w:rsidP="005A5BCC">
      <w:pPr>
        <w:pStyle w:val="SingleTxtGR"/>
      </w:pPr>
      <w:r>
        <w:t>87.</w:t>
      </w:r>
      <w:r w:rsidRPr="00891FE6">
        <w:tab/>
        <w:t>Представитель Секции лесного хозяйства и</w:t>
      </w:r>
      <w:r>
        <w:t xml:space="preserve"> </w:t>
      </w:r>
      <w:r w:rsidRPr="00891FE6">
        <w:t>лесоматериалов ЕЭК/</w:t>
      </w:r>
      <w:r w:rsidRPr="002442FE">
        <w:br/>
      </w:r>
      <w:r w:rsidRPr="00891FE6">
        <w:t xml:space="preserve">Продовольственной и сельскохозяйственной </w:t>
      </w:r>
      <w:r w:rsidR="00002A57" w:rsidRPr="00891FE6">
        <w:t>о</w:t>
      </w:r>
      <w:r w:rsidRPr="00891FE6">
        <w:t>рганизации Объединенных Наций представил информацию о недавних изменениях, связанных с осущест</w:t>
      </w:r>
      <w:r w:rsidRPr="00891FE6">
        <w:t>в</w:t>
      </w:r>
      <w:r w:rsidRPr="00891FE6">
        <w:t>лением и мониторингом Рованиемийского плана действий для лесного сектора в усл</w:t>
      </w:r>
      <w:r w:rsidRPr="00891FE6">
        <w:t>о</w:t>
      </w:r>
      <w:r w:rsidRPr="00891FE6">
        <w:t xml:space="preserve">виях развития </w:t>
      </w:r>
      <w:r>
        <w:t>«</w:t>
      </w:r>
      <w:r w:rsidRPr="00891FE6">
        <w:t>зеленой</w:t>
      </w:r>
      <w:r>
        <w:t>»</w:t>
      </w:r>
      <w:r w:rsidRPr="00891FE6">
        <w:t xml:space="preserve"> экономики</w:t>
      </w:r>
      <w:r>
        <w:rPr>
          <w:rStyle w:val="a6"/>
        </w:rPr>
        <w:footnoteReference w:id="16"/>
      </w:r>
      <w:r>
        <w:t xml:space="preserve"> </w:t>
      </w:r>
      <w:r w:rsidRPr="00891FE6">
        <w:t>–</w:t>
      </w:r>
      <w:r>
        <w:t xml:space="preserve"> </w:t>
      </w:r>
      <w:r w:rsidRPr="00891FE6">
        <w:t>политического инструмента по</w:t>
      </w:r>
      <w:r w:rsidRPr="00891FE6">
        <w:t>д</w:t>
      </w:r>
      <w:r w:rsidRPr="00891FE6">
        <w:t>держки</w:t>
      </w:r>
      <w:r>
        <w:t xml:space="preserve"> </w:t>
      </w:r>
      <w:r w:rsidRPr="00891FE6">
        <w:t>усилий стран по экологизации лесного сектора. Осуществление Плана действий идет хорошо: в период с декабря 2013 года по октябрь 2015 года</w:t>
      </w:r>
      <w:r>
        <w:t xml:space="preserve"> </w:t>
      </w:r>
      <w:r w:rsidRPr="00891FE6">
        <w:t>странами пр</w:t>
      </w:r>
      <w:r w:rsidRPr="00891FE6">
        <w:t>о</w:t>
      </w:r>
      <w:r w:rsidRPr="00891FE6">
        <w:t xml:space="preserve">ведено 313 мероприятий. </w:t>
      </w:r>
      <w:proofErr w:type="gramStart"/>
      <w:r w:rsidRPr="00891FE6">
        <w:t>В первом цикле мониторинга Плана дей</w:t>
      </w:r>
      <w:r>
        <w:t>ствий учас</w:t>
      </w:r>
      <w:r>
        <w:t>т</w:t>
      </w:r>
      <w:r>
        <w:t>вовали десять</w:t>
      </w:r>
      <w:r w:rsidRPr="00891FE6">
        <w:t xml:space="preserve"> стран (Австрия</w:t>
      </w:r>
      <w:r w:rsidR="00002A57">
        <w:t>,</w:t>
      </w:r>
      <w:r w:rsidRPr="00891FE6">
        <w:t xml:space="preserve"> Германия, Грузия,</w:t>
      </w:r>
      <w:r>
        <w:t xml:space="preserve"> </w:t>
      </w:r>
      <w:r w:rsidRPr="00891FE6">
        <w:t>Литва, Люксембург, Польша, Российская Федерация, Соед</w:t>
      </w:r>
      <w:r>
        <w:t>ин</w:t>
      </w:r>
      <w:r w:rsidRPr="00891FE6">
        <w:t>енное Королевство, Турция и Украина).</w:t>
      </w:r>
      <w:proofErr w:type="gramEnd"/>
      <w:r w:rsidRPr="00891FE6">
        <w:t xml:space="preserve"> Н</w:t>
      </w:r>
      <w:r w:rsidRPr="00891FE6">
        <w:t>е</w:t>
      </w:r>
      <w:r w:rsidRPr="00891FE6">
        <w:t>сколько стран выразили свою твердую приверженность</w:t>
      </w:r>
      <w:r>
        <w:t xml:space="preserve"> </w:t>
      </w:r>
      <w:r w:rsidRPr="00891FE6">
        <w:t>уст</w:t>
      </w:r>
      <w:r>
        <w:t>ойчивой практике строительства «</w:t>
      </w:r>
      <w:r w:rsidRPr="00891FE6">
        <w:t>зеленых</w:t>
      </w:r>
      <w:r>
        <w:t>»</w:t>
      </w:r>
      <w:r w:rsidRPr="00891FE6">
        <w:t xml:space="preserve"> зданий, выразившуюся в разработке национальных</w:t>
      </w:r>
      <w:r>
        <w:t xml:space="preserve"> стандартов строительства «</w:t>
      </w:r>
      <w:r w:rsidRPr="00891FE6">
        <w:t>зеленых</w:t>
      </w:r>
      <w:r>
        <w:t>»</w:t>
      </w:r>
      <w:r w:rsidRPr="00891FE6">
        <w:t xml:space="preserve"> зданий и программ</w:t>
      </w:r>
      <w:r>
        <w:t xml:space="preserve"> </w:t>
      </w:r>
      <w:r w:rsidRPr="00891FE6">
        <w:t>обеспечения ресу</w:t>
      </w:r>
      <w:r w:rsidRPr="00891FE6">
        <w:t>р</w:t>
      </w:r>
      <w:r w:rsidRPr="00891FE6">
        <w:t>соффективности, поощрении строительства деревянных сооружений и повыш</w:t>
      </w:r>
      <w:r w:rsidRPr="00891FE6">
        <w:t>е</w:t>
      </w:r>
      <w:r w:rsidRPr="00891FE6">
        <w:t>нии осведомленности с помощью выставок и конкурсов. Кроме того, было по</w:t>
      </w:r>
      <w:r w:rsidRPr="00891FE6">
        <w:t>д</w:t>
      </w:r>
      <w:r w:rsidRPr="00891FE6">
        <w:t>готовлено исследование, посвященное продвижению устойчивых строительных материалов</w:t>
      </w:r>
      <w:r>
        <w:t xml:space="preserve"> </w:t>
      </w:r>
      <w:r w:rsidRPr="00891FE6">
        <w:t>и последствиям использования древесины в зданиях, цель которого заключалась в поддержке мониторинга и оценки изменений в практике стро</w:t>
      </w:r>
      <w:r w:rsidRPr="00891FE6">
        <w:t>и</w:t>
      </w:r>
      <w:r w:rsidRPr="00891FE6">
        <w:t xml:space="preserve">тельства </w:t>
      </w:r>
      <w:r>
        <w:t>«зеленых»</w:t>
      </w:r>
      <w:r w:rsidRPr="00891FE6">
        <w:t xml:space="preserve"> зданий, поощрении инновационного и традиционного и</w:t>
      </w:r>
      <w:r w:rsidRPr="00891FE6">
        <w:t>с</w:t>
      </w:r>
      <w:r w:rsidRPr="00891FE6">
        <w:t>пользования древесины в строительстве и побуждении законодателей и шир</w:t>
      </w:r>
      <w:r w:rsidRPr="00891FE6">
        <w:t>о</w:t>
      </w:r>
      <w:r w:rsidRPr="00891FE6">
        <w:lastRenderedPageBreak/>
        <w:t xml:space="preserve">кой общественности к тому, чтобы </w:t>
      </w:r>
      <w:r>
        <w:t>они воспринимали древесину как «</w:t>
      </w:r>
      <w:r w:rsidRPr="00891FE6">
        <w:t>эколог</w:t>
      </w:r>
      <w:r w:rsidRPr="00891FE6">
        <w:t>и</w:t>
      </w:r>
      <w:r w:rsidRPr="00891FE6">
        <w:t>чески, экономически</w:t>
      </w:r>
      <w:r>
        <w:t xml:space="preserve"> </w:t>
      </w:r>
      <w:r w:rsidRPr="00891FE6">
        <w:t>и технически</w:t>
      </w:r>
      <w:r>
        <w:t xml:space="preserve"> </w:t>
      </w:r>
      <w:r w:rsidRPr="00891FE6">
        <w:t>предпочитаемый строительный материал</w:t>
      </w:r>
      <w:r>
        <w:t>»</w:t>
      </w:r>
      <w:r w:rsidRPr="00891FE6">
        <w:t>.</w:t>
      </w:r>
      <w:r>
        <w:t xml:space="preserve"> </w:t>
      </w:r>
    </w:p>
    <w:p w:rsidR="005A5BCC" w:rsidRPr="00891FE6" w:rsidRDefault="005A5BCC" w:rsidP="005A5BCC">
      <w:pPr>
        <w:pStyle w:val="SingleTxtGR"/>
      </w:pPr>
      <w:r w:rsidRPr="00891FE6">
        <w:t>88.</w:t>
      </w:r>
      <w:r w:rsidRPr="00891FE6">
        <w:tab/>
        <w:t>Комитет принял к сведению деятельность Комитета ЕЭК по жилищному хозяйству и землепользованию и Комитета</w:t>
      </w:r>
      <w:r>
        <w:t xml:space="preserve"> </w:t>
      </w:r>
      <w:r w:rsidRPr="00891FE6">
        <w:t>ЕЭК по лесам и лесной промышле</w:t>
      </w:r>
      <w:r w:rsidRPr="00891FE6">
        <w:t>н</w:t>
      </w:r>
      <w:r w:rsidRPr="00891FE6">
        <w:t>ности, в частности прогресс в</w:t>
      </w:r>
      <w:r>
        <w:t xml:space="preserve"> работе по темам строительства «</w:t>
      </w:r>
      <w:r w:rsidRPr="00891FE6">
        <w:t>зеленых</w:t>
      </w:r>
      <w:r>
        <w:t>»</w:t>
      </w:r>
      <w:r w:rsidRPr="00891FE6">
        <w:t xml:space="preserve"> зданий и экологизации лесного сектора.</w:t>
      </w:r>
    </w:p>
    <w:p w:rsidR="005A5BCC" w:rsidRPr="00891FE6" w:rsidRDefault="005A5BCC" w:rsidP="005A5BCC">
      <w:pPr>
        <w:pStyle w:val="HChGR"/>
      </w:pPr>
      <w:r>
        <w:tab/>
      </w:r>
      <w:r w:rsidRPr="00891FE6">
        <w:t>VIII.</w:t>
      </w:r>
      <w:r>
        <w:tab/>
      </w:r>
      <w:r w:rsidRPr="00891FE6">
        <w:t>Программа работы Подпрограммы</w:t>
      </w:r>
      <w:r>
        <w:t xml:space="preserve"> </w:t>
      </w:r>
      <w:r w:rsidR="00255DA7">
        <w:t xml:space="preserve">по </w:t>
      </w:r>
      <w:r w:rsidRPr="00891FE6">
        <w:t>окружающей среде</w:t>
      </w:r>
    </w:p>
    <w:p w:rsidR="005A5BCC" w:rsidRPr="00891FE6" w:rsidRDefault="005A5BCC" w:rsidP="005A5BCC">
      <w:pPr>
        <w:pStyle w:val="H1GR"/>
      </w:pPr>
      <w:r>
        <w:tab/>
      </w:r>
      <w:r w:rsidRPr="00891FE6">
        <w:t>А.</w:t>
      </w:r>
      <w:r>
        <w:tab/>
      </w:r>
      <w:r w:rsidRPr="00891FE6">
        <w:t>Рационализация работы по мониторингу и оценке окружающей среды</w:t>
      </w:r>
    </w:p>
    <w:p w:rsidR="005A5BCC" w:rsidRPr="00891FE6" w:rsidRDefault="005A5BCC" w:rsidP="005A5BCC">
      <w:pPr>
        <w:pStyle w:val="SingleTxtGR"/>
      </w:pPr>
      <w:r>
        <w:t>89.</w:t>
      </w:r>
      <w:r>
        <w:tab/>
      </w:r>
      <w:r w:rsidRPr="00891FE6">
        <w:t>Представитель Отдела окружающей среды представил варианты раци</w:t>
      </w:r>
      <w:r w:rsidRPr="00891FE6">
        <w:t>о</w:t>
      </w:r>
      <w:r w:rsidRPr="00891FE6">
        <w:t>нализации работы двух органов, отвечающих за мониторинг и оценку окруж</w:t>
      </w:r>
      <w:r w:rsidRPr="00891FE6">
        <w:t>а</w:t>
      </w:r>
      <w:r w:rsidRPr="00891FE6">
        <w:t>ющей</w:t>
      </w:r>
      <w:r>
        <w:t xml:space="preserve"> </w:t>
      </w:r>
      <w:r w:rsidRPr="00891FE6">
        <w:t xml:space="preserve">среды и экологическую отчетность </w:t>
      </w:r>
      <w:r>
        <w:t>–</w:t>
      </w:r>
      <w:r w:rsidRPr="00891FE6">
        <w:t xml:space="preserve"> Рабочей группы по мониторингу и оценке и Совместной целевой группы по экологическим показателям</w:t>
      </w:r>
      <w:r>
        <w:t xml:space="preserve"> (см. </w:t>
      </w:r>
      <w:r w:rsidRPr="00891FE6">
        <w:t>ECE/CEP/2015/12). Кроме того, секретариат проинформировал Комитет об основных итогах работы Совместной целевой группы по экологическим показ</w:t>
      </w:r>
      <w:r w:rsidRPr="00891FE6">
        <w:t>а</w:t>
      </w:r>
      <w:r w:rsidRPr="00891FE6">
        <w:t>телям, которая была проведена за период с октября 2014 года</w:t>
      </w:r>
      <w:r>
        <w:rPr>
          <w:rStyle w:val="a6"/>
        </w:rPr>
        <w:footnoteReference w:id="17"/>
      </w:r>
      <w:r w:rsidRPr="00891FE6">
        <w:t xml:space="preserve">. </w:t>
      </w:r>
    </w:p>
    <w:p w:rsidR="005A5BCC" w:rsidRPr="00891FE6" w:rsidRDefault="005A5BCC" w:rsidP="005A5BCC">
      <w:pPr>
        <w:pStyle w:val="SingleTxtGR"/>
      </w:pPr>
      <w:r w:rsidRPr="00891FE6">
        <w:t>90.</w:t>
      </w:r>
      <w:r w:rsidRPr="00891FE6">
        <w:tab/>
        <w:t xml:space="preserve">Основные рекомендации относительно рационализации работы этих двух органов были следующими: </w:t>
      </w:r>
    </w:p>
    <w:p w:rsidR="005A5BCC" w:rsidRPr="00891FE6" w:rsidRDefault="005A5BCC" w:rsidP="005A5BCC">
      <w:pPr>
        <w:pStyle w:val="SingleTxtGR"/>
      </w:pPr>
      <w:r w:rsidRPr="00891FE6">
        <w:tab/>
      </w:r>
      <w:r>
        <w:t>a)</w:t>
      </w:r>
      <w:r>
        <w:tab/>
      </w:r>
      <w:r w:rsidRPr="00891FE6">
        <w:t>выполнять поручение, связанное с СЕИС, силами укрепленной Р</w:t>
      </w:r>
      <w:r w:rsidRPr="00891FE6">
        <w:t>а</w:t>
      </w:r>
      <w:r w:rsidRPr="00891FE6">
        <w:t xml:space="preserve">бочей группы таким образом, чтобы она служила всему региону ЕЭК в качестве сети экологических знаний и оценки; </w:t>
      </w:r>
    </w:p>
    <w:p w:rsidR="005A5BCC" w:rsidRPr="00891FE6" w:rsidRDefault="005A5BCC" w:rsidP="005A5BCC">
      <w:pPr>
        <w:pStyle w:val="SingleTxtGR"/>
      </w:pPr>
      <w:r>
        <w:tab/>
        <w:t>b)</w:t>
      </w:r>
      <w:r>
        <w:tab/>
      </w:r>
      <w:r w:rsidRPr="00891FE6">
        <w:t>поддерживать Совместную целевую группу в качестве платформы для стран Кавказа, Центральной Азии и Восточной и Юго-Восточной Европы с целью решения их конкретных проблем при формировании необходимых экол</w:t>
      </w:r>
      <w:r w:rsidRPr="00891FE6">
        <w:t>о</w:t>
      </w:r>
      <w:r w:rsidRPr="00891FE6">
        <w:t>гических знаний и в процессе работы с экологическими показателями и для о</w:t>
      </w:r>
      <w:r w:rsidRPr="00891FE6">
        <w:t>б</w:t>
      </w:r>
      <w:r w:rsidRPr="00891FE6">
        <w:t>суждения взаимосвязей между экологическими и экономическими соображен</w:t>
      </w:r>
      <w:r w:rsidRPr="00891FE6">
        <w:t>и</w:t>
      </w:r>
      <w:r w:rsidRPr="00891FE6">
        <w:t xml:space="preserve">ями в контексте устойчивого развития и </w:t>
      </w:r>
      <w:r>
        <w:t>«</w:t>
      </w:r>
      <w:r w:rsidRPr="00891FE6">
        <w:t>зеленой</w:t>
      </w:r>
      <w:r>
        <w:t>»</w:t>
      </w:r>
      <w:r w:rsidRPr="00891FE6">
        <w:t xml:space="preserve"> экономики в партнерстве с Конференцией европейских статистиков. </w:t>
      </w:r>
    </w:p>
    <w:p w:rsidR="005A5BCC" w:rsidRPr="00891FE6" w:rsidRDefault="005A5BCC" w:rsidP="005A5BCC">
      <w:pPr>
        <w:pStyle w:val="SingleTxtGR"/>
      </w:pPr>
      <w:r w:rsidRPr="00891FE6">
        <w:t>91.</w:t>
      </w:r>
      <w:r w:rsidRPr="00891FE6">
        <w:tab/>
        <w:t>Комитет высоко оценил работу Рабочей группы по мониторингу и оценке окружающей среды и утвердил возобновленные мандат и круг ведения Рабочей группы, изложенные в приложении I к документу ECE/CEP/2015/12 со следу</w:t>
      </w:r>
      <w:r w:rsidRPr="00891FE6">
        <w:t>ю</w:t>
      </w:r>
      <w:r w:rsidRPr="00891FE6">
        <w:t xml:space="preserve">щими поправками: </w:t>
      </w:r>
    </w:p>
    <w:p w:rsidR="005A5BCC" w:rsidRPr="00891FE6" w:rsidRDefault="005A5BCC" w:rsidP="005A5BCC">
      <w:pPr>
        <w:pStyle w:val="SingleTxtGR"/>
      </w:pPr>
      <w:r w:rsidRPr="00891FE6">
        <w:tab/>
        <w:t>a)</w:t>
      </w:r>
      <w:r>
        <w:tab/>
      </w:r>
      <w:r w:rsidRPr="00891FE6">
        <w:t>мандат был продлен еще на один год до двадцать второй сессии Комитета;</w:t>
      </w:r>
    </w:p>
    <w:p w:rsidR="005A5BCC" w:rsidRPr="00891FE6" w:rsidRDefault="005A5BCC" w:rsidP="005A5BCC">
      <w:pPr>
        <w:pStyle w:val="SingleTxtGR"/>
      </w:pPr>
      <w:r w:rsidRPr="00891FE6">
        <w:tab/>
        <w:t>b)</w:t>
      </w:r>
      <w:r>
        <w:tab/>
      </w:r>
      <w:r w:rsidRPr="00891FE6">
        <w:t>в пункте 3 приложения I Рабочей группе были даны два дополн</w:t>
      </w:r>
      <w:r w:rsidRPr="00891FE6">
        <w:t>и</w:t>
      </w:r>
      <w:r w:rsidRPr="00891FE6">
        <w:t>тельных полномочия, а именно:</w:t>
      </w:r>
    </w:p>
    <w:p w:rsidR="005A5BCC" w:rsidRPr="00891FE6" w:rsidRDefault="005A5BCC" w:rsidP="005A5BCC">
      <w:pPr>
        <w:pStyle w:val="SingleTxtGR"/>
        <w:ind w:left="1701"/>
      </w:pPr>
      <w:r w:rsidRPr="00891FE6">
        <w:t>i)</w:t>
      </w:r>
      <w:r>
        <w:tab/>
      </w:r>
      <w:r w:rsidRPr="00891FE6">
        <w:t xml:space="preserve">продолжать дальнейшую разработку методов и технических средств мониторинга загрязнения окружающей среды (в том числе для автоматических станций мониторинга), используемых в национальных системах мониторинга; </w:t>
      </w:r>
    </w:p>
    <w:p w:rsidR="005A5BCC" w:rsidRPr="00891FE6" w:rsidRDefault="005A5BCC" w:rsidP="005A5BCC">
      <w:pPr>
        <w:pStyle w:val="SingleTxtGR"/>
        <w:ind w:left="1701"/>
      </w:pPr>
      <w:r w:rsidRPr="00891FE6">
        <w:lastRenderedPageBreak/>
        <w:t>ii)</w:t>
      </w:r>
      <w:r>
        <w:tab/>
      </w:r>
      <w:r w:rsidRPr="00891FE6">
        <w:t>служить в качестве региональной сети сетей экологической инфо</w:t>
      </w:r>
      <w:r w:rsidRPr="00891FE6">
        <w:t>р</w:t>
      </w:r>
      <w:r w:rsidRPr="00891FE6">
        <w:t>мации и оценки, объединяя группы экспертов Глобальной экологической перспективы ЮНЕП и Европейской экологической информационно-наблюдательной сети (ЕЭИНС) Европейского агентства по окружающей среде с целью формулирования региональных приоритетов и содержания</w:t>
      </w:r>
      <w:r>
        <w:t xml:space="preserve"> </w:t>
      </w:r>
      <w:r w:rsidRPr="00891FE6">
        <w:t>общеевропейских оценок. Рабочая группа могла бы также поддерживать связь с тематическими сетями, в том числе с действующими в рамках многосторонних природоохранных соглашений ЕЭК.</w:t>
      </w:r>
    </w:p>
    <w:p w:rsidR="005A5BCC" w:rsidRPr="00891FE6" w:rsidRDefault="005A5BCC" w:rsidP="005A5BCC">
      <w:pPr>
        <w:pStyle w:val="SingleTxtGR"/>
      </w:pPr>
      <w:r>
        <w:tab/>
      </w:r>
      <w:r w:rsidRPr="00891FE6">
        <w:t>Рабочая группа просила секретариат представить возобновленный мандат с внесенными поправками на утверждение Исполнительного комитета ЕЭК.</w:t>
      </w:r>
    </w:p>
    <w:p w:rsidR="005A5BCC" w:rsidRPr="00891FE6" w:rsidRDefault="005A5BCC" w:rsidP="005A5BCC">
      <w:pPr>
        <w:pStyle w:val="SingleTxtGR"/>
      </w:pPr>
      <w:r w:rsidRPr="00891FE6">
        <w:t>92.</w:t>
      </w:r>
      <w:r w:rsidRPr="00891FE6">
        <w:tab/>
        <w:t>В этой связи Комитет просил секретариат подготовить для двадцать вт</w:t>
      </w:r>
      <w:r w:rsidRPr="00891FE6">
        <w:t>о</w:t>
      </w:r>
      <w:r w:rsidRPr="00891FE6">
        <w:t>рой сессии Комитета обновленное предложение относительно круга ведения Рабочей группы по мониторингу и оценке окружающей среды. В обновленном предложении следует принять во внимание итоги Батумской конференции и дальнейших консультаций с членами Комитета и наблюдателями по поводу возможной дополнительной деятельности, которой должна заниматься Рабочая группа, в частности в целях обеспечения отчетности о проводимой деятельн</w:t>
      </w:r>
      <w:r w:rsidRPr="00891FE6">
        <w:t>о</w:t>
      </w:r>
      <w:r w:rsidRPr="00891FE6">
        <w:t>сти по расширению сотрудничества с Совместной целевой группы по эколог</w:t>
      </w:r>
      <w:r w:rsidRPr="00891FE6">
        <w:t>и</w:t>
      </w:r>
      <w:r w:rsidRPr="00891FE6">
        <w:t>ческой статистике и показателям с расчетом на улучшение координации де</w:t>
      </w:r>
      <w:r w:rsidRPr="00891FE6">
        <w:t>я</w:t>
      </w:r>
      <w:r w:rsidRPr="00891FE6">
        <w:t>тельности и рационализацию и усиление работы по мониторингу и оценке окружающей среды.</w:t>
      </w:r>
    </w:p>
    <w:p w:rsidR="005A5BCC" w:rsidRPr="00891FE6" w:rsidRDefault="005A5BCC" w:rsidP="005A5BCC">
      <w:pPr>
        <w:pStyle w:val="SingleTxtGR"/>
      </w:pPr>
      <w:r>
        <w:t>93.</w:t>
      </w:r>
      <w:r w:rsidRPr="00891FE6">
        <w:tab/>
        <w:t>Комитет также высоко оценил работу Совместной целевой группы по экологическим показателям и утвердил</w:t>
      </w:r>
      <w:r>
        <w:t xml:space="preserve"> </w:t>
      </w:r>
      <w:r w:rsidRPr="00891FE6">
        <w:t>возобновленный мандат Целевой гру</w:t>
      </w:r>
      <w:r w:rsidRPr="00891FE6">
        <w:t>п</w:t>
      </w:r>
      <w:r w:rsidRPr="00891FE6">
        <w:t>пы, включая новое название «Совместная целевая группа по экологической ст</w:t>
      </w:r>
      <w:r w:rsidRPr="00891FE6">
        <w:t>а</w:t>
      </w:r>
      <w:r w:rsidRPr="00891FE6">
        <w:t>тистике и показателям», который изло</w:t>
      </w:r>
      <w:r>
        <w:t>жен в приложении II к докуме</w:t>
      </w:r>
      <w:r>
        <w:t>н</w:t>
      </w:r>
      <w:r>
        <w:t>ту </w:t>
      </w:r>
      <w:r w:rsidRPr="00891FE6">
        <w:t>ECE/CEP/2015/12, на два года до двадцать тре</w:t>
      </w:r>
      <w:r>
        <w:t>тьей сессии, намеченной на 2017 </w:t>
      </w:r>
      <w:r w:rsidRPr="00891FE6">
        <w:t>год, а также просил</w:t>
      </w:r>
      <w:r>
        <w:t xml:space="preserve"> </w:t>
      </w:r>
      <w:r w:rsidRPr="00891FE6">
        <w:t>секретариат представить возобновленный мандат</w:t>
      </w:r>
      <w:r>
        <w:t xml:space="preserve"> </w:t>
      </w:r>
      <w:r w:rsidRPr="00891FE6">
        <w:t>с внесенными поправками на утверждение Исполнительного комитета ЕЭК</w:t>
      </w:r>
      <w:r>
        <w:t xml:space="preserve"> </w:t>
      </w:r>
      <w:r w:rsidRPr="00891FE6">
        <w:t>в к</w:t>
      </w:r>
      <w:r w:rsidRPr="00891FE6">
        <w:t>о</w:t>
      </w:r>
      <w:r w:rsidRPr="00891FE6">
        <w:t>ординации с Конференцией европейских статистиков</w:t>
      </w:r>
      <w:r>
        <w:rPr>
          <w:rStyle w:val="a6"/>
        </w:rPr>
        <w:footnoteReference w:id="18"/>
      </w:r>
      <w:r w:rsidRPr="00891FE6">
        <w:t>.</w:t>
      </w:r>
    </w:p>
    <w:p w:rsidR="005A5BCC" w:rsidRPr="00891FE6" w:rsidRDefault="005A5BCC" w:rsidP="005A5BCC">
      <w:pPr>
        <w:pStyle w:val="SingleTxtGR"/>
      </w:pPr>
      <w:r w:rsidRPr="00891FE6">
        <w:t>94.</w:t>
      </w:r>
      <w:r w:rsidRPr="00891FE6">
        <w:tab/>
        <w:t>Кроме того, Комитет предложил государствам-членам и организациям предоставлять поддержку натурой и финансовую поддержку для программы мониторинга и оценки</w:t>
      </w:r>
      <w:r>
        <w:t xml:space="preserve"> </w:t>
      </w:r>
      <w:r w:rsidRPr="00891FE6">
        <w:t>окружающей среды</w:t>
      </w:r>
      <w:r>
        <w:t xml:space="preserve"> </w:t>
      </w:r>
      <w:r w:rsidRPr="00891FE6">
        <w:t>и, в частности, поблагодарил</w:t>
      </w:r>
      <w:r>
        <w:t xml:space="preserve"> </w:t>
      </w:r>
      <w:r w:rsidRPr="00891FE6">
        <w:t>Евр</w:t>
      </w:r>
      <w:r w:rsidRPr="00891FE6">
        <w:t>о</w:t>
      </w:r>
      <w:r w:rsidRPr="00891FE6">
        <w:t>пейский союз, Норвегию, Российскую Федерацию и Швейцарию за их фина</w:t>
      </w:r>
      <w:r w:rsidRPr="00891FE6">
        <w:t>н</w:t>
      </w:r>
      <w:r w:rsidRPr="00891FE6">
        <w:t>совую поддержку, а также ЮНЕП и Европейское агентство</w:t>
      </w:r>
      <w:r>
        <w:t xml:space="preserve"> </w:t>
      </w:r>
      <w:r w:rsidRPr="00891FE6">
        <w:t xml:space="preserve">по окружающей среде </w:t>
      </w:r>
      <w:r>
        <w:t>–</w:t>
      </w:r>
      <w:r w:rsidRPr="00891FE6">
        <w:t xml:space="preserve"> за</w:t>
      </w:r>
      <w:r>
        <w:t xml:space="preserve"> </w:t>
      </w:r>
      <w:r w:rsidRPr="00891FE6">
        <w:t>существенную поддержку программы.</w:t>
      </w:r>
    </w:p>
    <w:p w:rsidR="005A5BCC" w:rsidRPr="00891FE6" w:rsidRDefault="005A5BCC" w:rsidP="005A5BCC">
      <w:pPr>
        <w:pStyle w:val="H1GR"/>
      </w:pPr>
      <w:r>
        <w:tab/>
      </w:r>
      <w:r w:rsidRPr="00891FE6">
        <w:t>B</w:t>
      </w:r>
      <w:r>
        <w:t>.</w:t>
      </w:r>
      <w:r>
        <w:tab/>
      </w:r>
      <w:r w:rsidRPr="00891FE6">
        <w:t>Учет гендерной проблематики в природоохранной деятельности</w:t>
      </w:r>
    </w:p>
    <w:p w:rsidR="005A5BCC" w:rsidRPr="00891FE6" w:rsidRDefault="005A5BCC" w:rsidP="005A5BCC">
      <w:pPr>
        <w:pStyle w:val="SingleTxtGR"/>
      </w:pPr>
      <w:r w:rsidRPr="00891FE6">
        <w:t>95.</w:t>
      </w:r>
      <w:r w:rsidRPr="00891FE6">
        <w:tab/>
        <w:t>Секретариат сообщил об осуществлявшейся в 2015 году деятельности по повышению осведомленности и содействию учету гендерной проблематики в природоохранной деятельности. В ходе последовавшего обсуждения одна из делегаций напомнила о соответствующих положениях Плана</w:t>
      </w:r>
      <w:r>
        <w:t xml:space="preserve"> </w:t>
      </w:r>
      <w:r w:rsidRPr="00891FE6">
        <w:t>реформы ЕЭК</w:t>
      </w:r>
      <w:r>
        <w:t xml:space="preserve"> </w:t>
      </w:r>
      <w:r w:rsidRPr="00891FE6">
        <w:t>2005 года</w:t>
      </w:r>
      <w:r>
        <w:t xml:space="preserve"> </w:t>
      </w:r>
      <w:r w:rsidRPr="00891FE6">
        <w:t>(E/ECE/1434/Rev.1, пункт 79)</w:t>
      </w:r>
      <w:r>
        <w:rPr>
          <w:rStyle w:val="a6"/>
        </w:rPr>
        <w:footnoteReference w:id="19"/>
      </w:r>
      <w:r w:rsidRPr="00891FE6">
        <w:t>, согласно которым ЕЭК следует уд</w:t>
      </w:r>
      <w:r w:rsidRPr="00891FE6">
        <w:t>е</w:t>
      </w:r>
      <w:r w:rsidRPr="00891FE6">
        <w:lastRenderedPageBreak/>
        <w:t>лять особое внимание гендерному измерению развития как приоритетной сквозной теме, выявляя надлежащую практику содействия интеграции генде</w:t>
      </w:r>
      <w:r w:rsidRPr="00891FE6">
        <w:t>р</w:t>
      </w:r>
      <w:r w:rsidRPr="00891FE6">
        <w:t>ных вопросов в свои</w:t>
      </w:r>
      <w:r>
        <w:t xml:space="preserve"> </w:t>
      </w:r>
      <w:r w:rsidRPr="00891FE6">
        <w:t>различные подпрограммы и виды деятельности с учетом экономических областей, охваченных в региональном обзоре и оценке ос</w:t>
      </w:r>
      <w:r w:rsidRPr="00891FE6">
        <w:t>у</w:t>
      </w:r>
      <w:r w:rsidRPr="00891FE6">
        <w:t>ществления Пекинской декларации и Платформы действий.</w:t>
      </w:r>
    </w:p>
    <w:p w:rsidR="005A5BCC" w:rsidRPr="00891FE6" w:rsidRDefault="005A5BCC" w:rsidP="005A5BCC">
      <w:pPr>
        <w:pStyle w:val="SingleTxtGR"/>
      </w:pPr>
      <w:r w:rsidRPr="00891FE6">
        <w:t>96.</w:t>
      </w:r>
      <w:r w:rsidRPr="00891FE6">
        <w:tab/>
        <w:t>Комитет принял к сведению представленную информацию об учете ге</w:t>
      </w:r>
      <w:r w:rsidRPr="00891FE6">
        <w:t>н</w:t>
      </w:r>
      <w:r w:rsidRPr="00891FE6">
        <w:t>дерной проблематики в природоохранной деятельности, осуществлявшейся О</w:t>
      </w:r>
      <w:r w:rsidRPr="00891FE6">
        <w:t>т</w:t>
      </w:r>
      <w:r w:rsidRPr="00891FE6">
        <w:t>делом окружающей среды после последней сессии Комитета.</w:t>
      </w:r>
    </w:p>
    <w:p w:rsidR="005A5BCC" w:rsidRPr="00891FE6" w:rsidRDefault="005A5BCC" w:rsidP="005A5BCC">
      <w:pPr>
        <w:pStyle w:val="H1GR"/>
      </w:pPr>
      <w:r>
        <w:tab/>
      </w:r>
      <w:r w:rsidRPr="00891FE6">
        <w:t>C.</w:t>
      </w:r>
      <w:r>
        <w:tab/>
      </w:r>
      <w:r w:rsidRPr="00891FE6">
        <w:t xml:space="preserve">Оценка результативности Подпрограммы по окружающей среде в 2014–2015 годах и </w:t>
      </w:r>
      <w:r>
        <w:t>план оценки результативности на </w:t>
      </w:r>
      <w:r w:rsidRPr="00891FE6">
        <w:t xml:space="preserve">2016–2017 годы </w:t>
      </w:r>
    </w:p>
    <w:p w:rsidR="005A5BCC" w:rsidRPr="00891FE6" w:rsidRDefault="005A5BCC" w:rsidP="005A5BCC">
      <w:pPr>
        <w:pStyle w:val="SingleTxtGR"/>
      </w:pPr>
      <w:r>
        <w:t>97.</w:t>
      </w:r>
      <w:r w:rsidRPr="00891FE6">
        <w:tab/>
        <w:t>Председатель напомнила о принятом Комитетом в 2014 году решении продлить двухгодичную</w:t>
      </w:r>
      <w:r>
        <w:t xml:space="preserve"> </w:t>
      </w:r>
      <w:r w:rsidRPr="00891FE6">
        <w:t>оценку результативности Подпрограммы по окружа</w:t>
      </w:r>
      <w:r w:rsidRPr="00891FE6">
        <w:t>ю</w:t>
      </w:r>
      <w:r w:rsidRPr="00891FE6">
        <w:t>щей среде по меньшей мере</w:t>
      </w:r>
      <w:r>
        <w:t xml:space="preserve"> </w:t>
      </w:r>
      <w:r w:rsidRPr="00891FE6">
        <w:t>еще на один цикл и утвердить</w:t>
      </w:r>
      <w:r>
        <w:t xml:space="preserve"> </w:t>
      </w:r>
      <w:r w:rsidRPr="00891FE6">
        <w:t>двухгодичной</w:t>
      </w:r>
      <w:r>
        <w:t xml:space="preserve"> </w:t>
      </w:r>
      <w:r>
        <w:br/>
      </w:r>
      <w:r w:rsidRPr="00891FE6">
        <w:t>план</w:t>
      </w:r>
      <w:r>
        <w:t xml:space="preserve"> </w:t>
      </w:r>
      <w:r w:rsidRPr="00891FE6">
        <w:t>оценки результативности</w:t>
      </w:r>
      <w:r>
        <w:t xml:space="preserve"> </w:t>
      </w:r>
      <w:r w:rsidRPr="00891FE6">
        <w:t xml:space="preserve">Подпрограммы по окружающей среде на </w:t>
      </w:r>
      <w:r>
        <w:br/>
      </w:r>
      <w:r w:rsidRPr="00891FE6">
        <w:t>2014–2015</w:t>
      </w:r>
      <w:r>
        <w:rPr>
          <w:lang w:val="en-US"/>
        </w:rPr>
        <w:t> </w:t>
      </w:r>
      <w:r w:rsidRPr="00891FE6">
        <w:t>годы. Она проинформировала делегатов о том, что на основе этого плана секретариат подготовил оценку результативности Подпрограммы по окружаю</w:t>
      </w:r>
      <w:r>
        <w:t>щей среде на</w:t>
      </w:r>
      <w:r w:rsidRPr="00891FE6">
        <w:t xml:space="preserve"> 2014</w:t>
      </w:r>
      <w:r>
        <w:t>–</w:t>
      </w:r>
      <w:r w:rsidRPr="00891FE6">
        <w:t>2015 годы, и предложила Комитету рассмотреть ее с целью утверждения. Кроме того, она предложила Комитету рассмотреть на предмет утверждения план оценки результативности Подпрограммы по окр</w:t>
      </w:r>
      <w:r w:rsidRPr="00891FE6">
        <w:t>у</w:t>
      </w:r>
      <w:r w:rsidRPr="00891FE6">
        <w:t>жающей среде на 2016–2017 годы.</w:t>
      </w:r>
    </w:p>
    <w:p w:rsidR="005A5BCC" w:rsidRPr="00891FE6" w:rsidRDefault="005A5BCC" w:rsidP="005A5BCC">
      <w:pPr>
        <w:pStyle w:val="SingleTxtGR"/>
      </w:pPr>
      <w:r w:rsidRPr="00891FE6">
        <w:t xml:space="preserve">98. </w:t>
      </w:r>
      <w:r w:rsidRPr="00891FE6">
        <w:tab/>
        <w:t>Комитет утвердил</w:t>
      </w:r>
      <w:r>
        <w:t xml:space="preserve"> </w:t>
      </w:r>
      <w:r w:rsidRPr="00891FE6">
        <w:t>доклад о выполнении Подпрограммы по окружающей среде за двухгодичный период 2014–2015 годов (ECE/CEP/2015/6). Он также утвердил план оценки результативности Подпрограммы по окружающей среде на двухгодичный период 2016–2017 годов (ECE/CEP/2015/5).</w:t>
      </w:r>
    </w:p>
    <w:p w:rsidR="005A5BCC" w:rsidRPr="00891FE6" w:rsidRDefault="005A5BCC" w:rsidP="005A5BCC">
      <w:pPr>
        <w:pStyle w:val="H1GR"/>
      </w:pPr>
      <w:r>
        <w:tab/>
      </w:r>
      <w:r w:rsidRPr="00891FE6">
        <w:t>D.</w:t>
      </w:r>
      <w:r>
        <w:tab/>
      </w:r>
      <w:r w:rsidRPr="00891FE6">
        <w:t xml:space="preserve">Программа работы и перечень публикаций </w:t>
      </w:r>
      <w:r>
        <w:t>Подпрограммы по </w:t>
      </w:r>
      <w:r w:rsidRPr="00891FE6">
        <w:t>окружающей среде на 2016–2017 годы</w:t>
      </w:r>
    </w:p>
    <w:p w:rsidR="005A5BCC" w:rsidRPr="00891FE6" w:rsidRDefault="005A5BCC" w:rsidP="005A5BCC">
      <w:pPr>
        <w:pStyle w:val="SingleTxtGR"/>
      </w:pPr>
      <w:r>
        <w:t>99.</w:t>
      </w:r>
      <w:r w:rsidRPr="00891FE6">
        <w:tab/>
        <w:t xml:space="preserve">Председатель предложила Комитету рассмотреть на предмет </w:t>
      </w:r>
      <w:r w:rsidRPr="003A6056">
        <w:br/>
      </w:r>
      <w:r w:rsidRPr="00891FE6">
        <w:t>принятия</w:t>
      </w:r>
      <w:r>
        <w:t xml:space="preserve"> </w:t>
      </w:r>
      <w:r w:rsidRPr="00891FE6">
        <w:t>проект</w:t>
      </w:r>
      <w:r>
        <w:t xml:space="preserve"> </w:t>
      </w:r>
      <w:r w:rsidRPr="00891FE6">
        <w:t>программы работы Подпрогра</w:t>
      </w:r>
      <w:r>
        <w:t>ммы по окружающей среде на 2016</w:t>
      </w:r>
      <w:r w:rsidRPr="003A6056">
        <w:t>–</w:t>
      </w:r>
      <w:r w:rsidRPr="00891FE6">
        <w:t xml:space="preserve">2017 годы, включая перечень публикаций. </w:t>
      </w:r>
    </w:p>
    <w:p w:rsidR="005A5BCC" w:rsidRPr="00891FE6" w:rsidRDefault="005A5BCC" w:rsidP="005A5BCC">
      <w:pPr>
        <w:pStyle w:val="SingleTxtGR"/>
      </w:pPr>
      <w:r w:rsidRPr="00891FE6">
        <w:t>100.</w:t>
      </w:r>
      <w:r w:rsidRPr="00891FE6">
        <w:tab/>
        <w:t>Комитет принял программу работы Подпрограммы по окружающей среде на 2016–2017 годы (ECE/CEP/2015/4).</w:t>
      </w:r>
    </w:p>
    <w:p w:rsidR="005A5BCC" w:rsidRPr="00891FE6" w:rsidRDefault="005A5BCC" w:rsidP="005A5BCC">
      <w:pPr>
        <w:pStyle w:val="H1GR"/>
      </w:pPr>
      <w:r>
        <w:tab/>
      </w:r>
      <w:r w:rsidRPr="00891FE6">
        <w:t>Е.</w:t>
      </w:r>
      <w:r>
        <w:tab/>
      </w:r>
      <w:r w:rsidRPr="00891FE6">
        <w:t>Предлагаемые страт</w:t>
      </w:r>
      <w:r>
        <w:t>егические рамки Подпрограммы по </w:t>
      </w:r>
      <w:r w:rsidRPr="00891FE6">
        <w:t>окружающей среде на 2018–2019 годы</w:t>
      </w:r>
    </w:p>
    <w:p w:rsidR="005A5BCC" w:rsidRPr="00891FE6" w:rsidRDefault="005A5BCC" w:rsidP="005A5BCC">
      <w:pPr>
        <w:pStyle w:val="SingleTxtGR"/>
      </w:pPr>
      <w:r w:rsidRPr="00891FE6">
        <w:t>101.</w:t>
      </w:r>
      <w:r w:rsidRPr="00891FE6">
        <w:tab/>
        <w:t>Председатель предложила делегатам рассмотреть предлагаемые страт</w:t>
      </w:r>
      <w:r w:rsidRPr="00891FE6">
        <w:t>е</w:t>
      </w:r>
      <w:r w:rsidRPr="00891FE6">
        <w:t>гические рамки Подпрогра</w:t>
      </w:r>
      <w:r>
        <w:t>ммы по окружающей среде на 2018</w:t>
      </w:r>
      <w:r w:rsidRPr="003A6056">
        <w:t>–</w:t>
      </w:r>
      <w:r w:rsidRPr="00891FE6">
        <w:t>2019 годы.</w:t>
      </w:r>
    </w:p>
    <w:p w:rsidR="005A5BCC" w:rsidRPr="00891FE6" w:rsidRDefault="005A5BCC" w:rsidP="005A5BCC">
      <w:pPr>
        <w:pStyle w:val="SingleTxtGR"/>
      </w:pPr>
      <w:r w:rsidRPr="00891FE6">
        <w:t>102.</w:t>
      </w:r>
      <w:r w:rsidRPr="00891FE6">
        <w:tab/>
        <w:t>Комитет рассмотрел предлагаемые стратегические рамки Подпрограммы по окружающей среде на 2018</w:t>
      </w:r>
      <w:r w:rsidRPr="003A6056">
        <w:t>–</w:t>
      </w:r>
      <w:r w:rsidRPr="00891FE6">
        <w:t>2019 годы (ECE/CEP/2015/7) и представил</w:t>
      </w:r>
      <w:r>
        <w:t xml:space="preserve"> </w:t>
      </w:r>
      <w:r w:rsidRPr="00891FE6">
        <w:t>свои замечания, отметив, в частности, что</w:t>
      </w:r>
      <w:r>
        <w:t xml:space="preserve"> </w:t>
      </w:r>
      <w:r w:rsidRPr="00891FE6">
        <w:t>в пункте 6</w:t>
      </w:r>
      <w:r>
        <w:t xml:space="preserve"> </w:t>
      </w:r>
      <w:r w:rsidRPr="00891FE6">
        <w:t>слова «экологическая демокр</w:t>
      </w:r>
      <w:r w:rsidRPr="00891FE6">
        <w:t>а</w:t>
      </w:r>
      <w:r w:rsidRPr="00891FE6">
        <w:t>тия» следует заменить словами</w:t>
      </w:r>
      <w:r>
        <w:t xml:space="preserve"> </w:t>
      </w:r>
      <w:r w:rsidRPr="00891FE6">
        <w:t>«участие общественности».</w:t>
      </w:r>
    </w:p>
    <w:p w:rsidR="005A5BCC" w:rsidRPr="00891FE6" w:rsidRDefault="005A5BCC" w:rsidP="005A5BCC">
      <w:pPr>
        <w:pStyle w:val="H1GR"/>
      </w:pPr>
      <w:r>
        <w:lastRenderedPageBreak/>
        <w:tab/>
        <w:t>F.</w:t>
      </w:r>
      <w:r>
        <w:tab/>
      </w:r>
      <w:r w:rsidRPr="00891FE6">
        <w:t>Обзор ресурсов для осуществления природоохранной деятельности и критерии ок</w:t>
      </w:r>
      <w:r>
        <w:t>азания финансовой поддержки для </w:t>
      </w:r>
      <w:r w:rsidRPr="00891FE6">
        <w:t>участия в совещаниях и мероприятиях</w:t>
      </w:r>
    </w:p>
    <w:p w:rsidR="005A5BCC" w:rsidRPr="00891FE6" w:rsidRDefault="005A5BCC" w:rsidP="005A5BCC">
      <w:pPr>
        <w:pStyle w:val="SingleTxtGR"/>
      </w:pPr>
      <w:r>
        <w:t>103.</w:t>
      </w:r>
      <w:r>
        <w:tab/>
      </w:r>
      <w:r w:rsidRPr="00891FE6">
        <w:t>Секретарь Комитета объявил, что он не может</w:t>
      </w:r>
      <w:r>
        <w:t xml:space="preserve"> </w:t>
      </w:r>
      <w:r w:rsidRPr="00891FE6">
        <w:t xml:space="preserve">доложить о состоянии </w:t>
      </w:r>
      <w:r w:rsidRPr="003A6056">
        <w:br/>
      </w:r>
      <w:r w:rsidRPr="00891FE6">
        <w:t>ресурсов Подпрограммы по окружающей среде для двухгодичного периода</w:t>
      </w:r>
      <w:r>
        <w:t xml:space="preserve"> 2014</w:t>
      </w:r>
      <w:r w:rsidRPr="003A6056">
        <w:t>–</w:t>
      </w:r>
      <w:r w:rsidRPr="00891FE6">
        <w:t>2015 годов на нынешней сессии в соответствии с высказанной</w:t>
      </w:r>
      <w:r>
        <w:t xml:space="preserve"> </w:t>
      </w:r>
      <w:r w:rsidRPr="00891FE6">
        <w:t>просьбой из-за перехода на новую систему общеорганизационного планирования ресу</w:t>
      </w:r>
      <w:r w:rsidRPr="00891FE6">
        <w:t>р</w:t>
      </w:r>
      <w:r w:rsidRPr="00891FE6">
        <w:t xml:space="preserve">сов Организации Объединенных Наций «Умоджа», которая вводится для ЕЭК в ноябре 2015 года. </w:t>
      </w:r>
    </w:p>
    <w:p w:rsidR="005A5BCC" w:rsidRPr="00891FE6" w:rsidRDefault="005A5BCC" w:rsidP="005A5BCC">
      <w:pPr>
        <w:pStyle w:val="SingleTxtGR"/>
      </w:pPr>
      <w:r w:rsidRPr="00891FE6">
        <w:t>104.</w:t>
      </w:r>
      <w:r w:rsidRPr="00891FE6">
        <w:tab/>
        <w:t>Комитет просил секретариат представить информацию о состоянии р</w:t>
      </w:r>
      <w:r w:rsidRPr="00891FE6">
        <w:t>е</w:t>
      </w:r>
      <w:r w:rsidRPr="00891FE6">
        <w:t>сурсов в рамках Подпрограммы по окружающей ср</w:t>
      </w:r>
      <w:r>
        <w:t>еде на двухгодичный период 2014</w:t>
      </w:r>
      <w:r w:rsidRPr="003A6056">
        <w:t>–</w:t>
      </w:r>
      <w:r w:rsidRPr="00891FE6">
        <w:t>2015 годов на специальной сессии Комитета в феврале 2016 года.</w:t>
      </w:r>
    </w:p>
    <w:p w:rsidR="005A5BCC" w:rsidRPr="00891FE6" w:rsidRDefault="005A5BCC" w:rsidP="005A5BCC">
      <w:pPr>
        <w:pStyle w:val="SingleTxtGR"/>
      </w:pPr>
      <w:r w:rsidRPr="00891FE6">
        <w:t>105.</w:t>
      </w:r>
      <w:r w:rsidRPr="00891FE6">
        <w:tab/>
        <w:t>Председатель проинформировала делегатов о том, что на своем июньском совещании Президиум рассмотрел пересмотренные критерии</w:t>
      </w:r>
      <w:r>
        <w:t xml:space="preserve"> </w:t>
      </w:r>
      <w:r w:rsidRPr="00891FE6">
        <w:t>оказания фина</w:t>
      </w:r>
      <w:r w:rsidRPr="00891FE6">
        <w:t>н</w:t>
      </w:r>
      <w:r w:rsidRPr="00891FE6">
        <w:t>совой поддержки для участия в совещаниях и мероприятиях. Впоследствии Президиум рекомендовал</w:t>
      </w:r>
      <w:r>
        <w:t xml:space="preserve"> </w:t>
      </w:r>
      <w:r w:rsidRPr="00891FE6">
        <w:t>представить Комитету критерии, пересмотренные секретариатом с использованием показателя валового внутреннего продукта (ВВП) на душу населения за 2013 год, если только в сентябре 2015 года не б</w:t>
      </w:r>
      <w:r w:rsidRPr="00891FE6">
        <w:t>у</w:t>
      </w:r>
      <w:r w:rsidRPr="00891FE6">
        <w:t>дут иметься в наличии данные о нем за 2014 год. В конце сентября 2015 года данных о ВВП на душу населения по всем</w:t>
      </w:r>
      <w:r>
        <w:t xml:space="preserve"> </w:t>
      </w:r>
      <w:r w:rsidRPr="00891FE6">
        <w:t>странам</w:t>
      </w:r>
      <w:r>
        <w:t xml:space="preserve"> </w:t>
      </w:r>
      <w:r w:rsidRPr="00891FE6">
        <w:t>с переходной экономикой</w:t>
      </w:r>
      <w:r>
        <w:t xml:space="preserve"> </w:t>
      </w:r>
      <w:r w:rsidRPr="00891FE6">
        <w:t>региона ЕЭК не было, поэтому</w:t>
      </w:r>
      <w:r>
        <w:t xml:space="preserve"> </w:t>
      </w:r>
      <w:r w:rsidRPr="00891FE6">
        <w:t>Комитету для дальнейшего рассмотрения был представлен вариант, рассмотренный Президиумом</w:t>
      </w:r>
      <w:r>
        <w:t xml:space="preserve"> </w:t>
      </w:r>
      <w:r w:rsidRPr="00891FE6">
        <w:t xml:space="preserve">в июне 2015 года. </w:t>
      </w:r>
    </w:p>
    <w:p w:rsidR="005A5BCC" w:rsidRPr="00891FE6" w:rsidRDefault="005A5BCC" w:rsidP="005A5BCC">
      <w:pPr>
        <w:pStyle w:val="SingleTxtGR"/>
      </w:pPr>
      <w:r w:rsidRPr="00891FE6">
        <w:t>106.</w:t>
      </w:r>
      <w:r w:rsidRPr="00891FE6">
        <w:tab/>
        <w:t>Комитет утвердил пересмотренные критерии оказания финансовой по</w:t>
      </w:r>
      <w:r w:rsidRPr="00891FE6">
        <w:t>д</w:t>
      </w:r>
      <w:r w:rsidRPr="00891FE6">
        <w:t>держки для участия в совещаниях и мероприятиях, включенные в информац</w:t>
      </w:r>
      <w:r w:rsidRPr="00891FE6">
        <w:t>и</w:t>
      </w:r>
      <w:r w:rsidRPr="00891FE6">
        <w:t>онный документ № 7, и просил включить этот текст в приложение к докладу Комитета</w:t>
      </w:r>
      <w:r>
        <w:t xml:space="preserve"> </w:t>
      </w:r>
      <w:r w:rsidRPr="00891FE6">
        <w:t>о работе его двадцать первой сессии (см. приложение).</w:t>
      </w:r>
    </w:p>
    <w:p w:rsidR="005A5BCC" w:rsidRPr="00891FE6" w:rsidRDefault="005A5BCC" w:rsidP="005A5BCC">
      <w:pPr>
        <w:pStyle w:val="HChGR"/>
      </w:pPr>
      <w:r>
        <w:tab/>
      </w:r>
      <w:r w:rsidRPr="00891FE6">
        <w:t>IX.</w:t>
      </w:r>
      <w:r>
        <w:tab/>
      </w:r>
      <w:r w:rsidRPr="00891FE6">
        <w:t>Представление мнений и обмен мнениями о второй Ассамблее Организа</w:t>
      </w:r>
      <w:r>
        <w:t>ции Объединенных Наций по </w:t>
      </w:r>
      <w:r w:rsidRPr="00891FE6">
        <w:t>окружающей среде</w:t>
      </w:r>
    </w:p>
    <w:p w:rsidR="005A5BCC" w:rsidRPr="00891FE6" w:rsidRDefault="005A5BCC" w:rsidP="005A5BCC">
      <w:pPr>
        <w:pStyle w:val="SingleTxtGR"/>
      </w:pPr>
      <w:r>
        <w:t>107.</w:t>
      </w:r>
      <w:r w:rsidRPr="00891FE6">
        <w:tab/>
        <w:t>Директор Регионального бюро ЮНЕП по Европе представил информ</w:t>
      </w:r>
      <w:r w:rsidRPr="00891FE6">
        <w:t>а</w:t>
      </w:r>
      <w:r w:rsidRPr="00891FE6">
        <w:t>цию об изменениях, происшедших в ходе подготовки ко второй сессии Асса</w:t>
      </w:r>
      <w:r w:rsidRPr="00891FE6">
        <w:t>м</w:t>
      </w:r>
      <w:r w:rsidRPr="00891FE6">
        <w:t>блеи Организации Объединенных Наций по окружающей среде, которая сост</w:t>
      </w:r>
      <w:r w:rsidRPr="00891FE6">
        <w:t>о</w:t>
      </w:r>
      <w:r>
        <w:t>ится в Найроби 23–</w:t>
      </w:r>
      <w:r w:rsidRPr="00891FE6">
        <w:t>27 мая 2016 года. Главной темой сессии будет реализация экологического аспекта</w:t>
      </w:r>
      <w:r>
        <w:t xml:space="preserve"> </w:t>
      </w:r>
      <w:r w:rsidRPr="00891FE6">
        <w:t>Повестки дня 2030. Запланировано провести</w:t>
      </w:r>
      <w:r>
        <w:t xml:space="preserve"> </w:t>
      </w:r>
      <w:r w:rsidRPr="00891FE6">
        <w:t>в интера</w:t>
      </w:r>
      <w:r w:rsidRPr="00891FE6">
        <w:t>к</w:t>
      </w:r>
      <w:r w:rsidRPr="00891FE6">
        <w:t>тивном режиме обзор</w:t>
      </w:r>
      <w:r>
        <w:t xml:space="preserve"> </w:t>
      </w:r>
      <w:r w:rsidRPr="00891FE6">
        <w:t>политики на уровне министров по теме «Здоровая окр</w:t>
      </w:r>
      <w:r w:rsidRPr="00891FE6">
        <w:t>у</w:t>
      </w:r>
      <w:r w:rsidRPr="00891FE6">
        <w:t>жающая среда –</w:t>
      </w:r>
      <w:r>
        <w:t xml:space="preserve"> </w:t>
      </w:r>
      <w:r w:rsidRPr="00891FE6">
        <w:t>здоровые люди» с опорой на глобальный тематический доклад. Участники также обсудят роль Ассамблеи в рамках системы обзора для П</w:t>
      </w:r>
      <w:r w:rsidRPr="00891FE6">
        <w:t>о</w:t>
      </w:r>
      <w:r w:rsidRPr="00891FE6">
        <w:t xml:space="preserve">вестки дня 2030, и будет проведен симпозиум по мобилизации ресурсов для устойчивых инвестиций. </w:t>
      </w:r>
    </w:p>
    <w:p w:rsidR="005A5BCC" w:rsidRPr="00891FE6" w:rsidRDefault="005A5BCC" w:rsidP="005A5BCC">
      <w:pPr>
        <w:pStyle w:val="SingleTxtGR"/>
      </w:pPr>
      <w:r w:rsidRPr="00891FE6">
        <w:t>108.</w:t>
      </w:r>
      <w:r w:rsidRPr="00891FE6">
        <w:tab/>
        <w:t>Комитет приветствовал представленную информацию об изменениях, происшедших в ходе подготовки второй сессии Ассамблеи Организации Об</w:t>
      </w:r>
      <w:r w:rsidRPr="00891FE6">
        <w:t>ъ</w:t>
      </w:r>
      <w:r w:rsidRPr="00891FE6">
        <w:t>единенных Наций по окружающей среде, и предложил Региональному бюро ЮНЕП по Европе продолжать информировать Комитет о</w:t>
      </w:r>
      <w:r>
        <w:t xml:space="preserve"> подготовке к этом</w:t>
      </w:r>
      <w:r w:rsidRPr="00891FE6">
        <w:t>у совещанию, в частности на специальной сессии Комитета в феврале 2016 года.</w:t>
      </w:r>
    </w:p>
    <w:p w:rsidR="005A5BCC" w:rsidRPr="00891FE6" w:rsidRDefault="005A5BCC" w:rsidP="005A5BCC">
      <w:pPr>
        <w:pStyle w:val="HChGR"/>
      </w:pPr>
      <w:r>
        <w:lastRenderedPageBreak/>
        <w:tab/>
      </w:r>
      <w:r w:rsidRPr="00891FE6">
        <w:t>Х.</w:t>
      </w:r>
      <w:r>
        <w:tab/>
      </w:r>
      <w:r w:rsidRPr="00891FE6">
        <w:t>Правила процедуры</w:t>
      </w:r>
    </w:p>
    <w:p w:rsidR="005A5BCC" w:rsidRPr="00891FE6" w:rsidRDefault="005A5BCC" w:rsidP="005A5BCC">
      <w:pPr>
        <w:pStyle w:val="SingleTxtGR"/>
      </w:pPr>
      <w:r w:rsidRPr="00891FE6">
        <w:t>109.</w:t>
      </w:r>
      <w:r w:rsidRPr="00891FE6">
        <w:tab/>
        <w:t>Председатель сообщила о том, что в соответствии с поручением Комит</w:t>
      </w:r>
      <w:r w:rsidRPr="00891FE6">
        <w:t>е</w:t>
      </w:r>
      <w:r w:rsidRPr="00891FE6">
        <w:t>та, данным на его предыдущей сессии, Президиум продолжил при поддержке секретариата пересмотр проекта правил процедуры Комитета.</w:t>
      </w:r>
    </w:p>
    <w:p w:rsidR="005A5BCC" w:rsidRPr="00891FE6" w:rsidRDefault="005A5BCC" w:rsidP="005A5BCC">
      <w:pPr>
        <w:pStyle w:val="SingleTxtGR"/>
      </w:pPr>
      <w:r>
        <w:t>110.</w:t>
      </w:r>
      <w:r w:rsidRPr="00891FE6">
        <w:tab/>
        <w:t>Комитет выразил признательность Президиуму и секретариату за их р</w:t>
      </w:r>
      <w:r w:rsidRPr="00891FE6">
        <w:t>а</w:t>
      </w:r>
      <w:r w:rsidRPr="00891FE6">
        <w:t>боту над проектом правил процедуры Комитета (ECE/CEP/2015/L.6), принял к сведению замечания, представленные делегациями в ходе совещания, и пост</w:t>
      </w:r>
      <w:r w:rsidRPr="00891FE6">
        <w:t>а</w:t>
      </w:r>
      <w:r w:rsidRPr="00891FE6">
        <w:t>новил отложить рассмотрение проекта правил процедуры на период после Б</w:t>
      </w:r>
      <w:r w:rsidRPr="00891FE6">
        <w:t>а</w:t>
      </w:r>
      <w:r w:rsidRPr="00891FE6">
        <w:t>тумской конференции, до двадцать второй сессии Комитета, основываясь на п</w:t>
      </w:r>
      <w:r w:rsidRPr="00891FE6">
        <w:t>е</w:t>
      </w:r>
      <w:r w:rsidRPr="00891FE6">
        <w:t>ресмотренном предложении Президиума.</w:t>
      </w:r>
    </w:p>
    <w:p w:rsidR="005A5BCC" w:rsidRPr="00891FE6" w:rsidRDefault="005A5BCC" w:rsidP="005A5BCC">
      <w:pPr>
        <w:pStyle w:val="HChGR"/>
      </w:pPr>
      <w:r>
        <w:tab/>
      </w:r>
      <w:r w:rsidRPr="00891FE6">
        <w:t>XI.</w:t>
      </w:r>
      <w:r>
        <w:tab/>
      </w:r>
      <w:r w:rsidRPr="00891FE6">
        <w:t>Выборы должностных лиц</w:t>
      </w:r>
    </w:p>
    <w:p w:rsidR="005A5BCC" w:rsidRPr="00891FE6" w:rsidRDefault="005A5BCC" w:rsidP="005A5BCC">
      <w:pPr>
        <w:pStyle w:val="SingleTxtGR"/>
      </w:pPr>
      <w:r w:rsidRPr="00891FE6">
        <w:t>111.</w:t>
      </w:r>
      <w:r w:rsidRPr="00891FE6">
        <w:tab/>
        <w:t>Председателем Комитета и заместителями Председателя были</w:t>
      </w:r>
      <w:r>
        <w:t xml:space="preserve"> </w:t>
      </w:r>
      <w:r w:rsidRPr="00891FE6">
        <w:t>избраны следующие лица:</w:t>
      </w:r>
    </w:p>
    <w:p w:rsidR="005A5BCC" w:rsidRPr="00891FE6" w:rsidRDefault="005A5BCC" w:rsidP="00EF4249">
      <w:pPr>
        <w:pStyle w:val="SingleTxtGR"/>
      </w:pPr>
      <w:r w:rsidRPr="00891FE6">
        <w:tab/>
      </w:r>
      <w:r w:rsidRPr="00BC1454">
        <w:rPr>
          <w:i/>
        </w:rPr>
        <w:t>Председател</w:t>
      </w:r>
      <w:r>
        <w:rPr>
          <w:i/>
        </w:rPr>
        <w:t>ь:</w:t>
      </w:r>
    </w:p>
    <w:p w:rsidR="005A5BCC" w:rsidRPr="00891FE6" w:rsidRDefault="005A5BCC" w:rsidP="005A5BCC">
      <w:pPr>
        <w:pStyle w:val="SingleTxtGR"/>
        <w:ind w:left="2268"/>
      </w:pPr>
      <w:r w:rsidRPr="00891FE6">
        <w:t>г-жа</w:t>
      </w:r>
      <w:r>
        <w:t xml:space="preserve"> </w:t>
      </w:r>
      <w:r w:rsidRPr="00891FE6">
        <w:t>Элизабет Куинтас да Силва (Португалия)</w:t>
      </w:r>
    </w:p>
    <w:p w:rsidR="005A5BCC" w:rsidRPr="00891FE6" w:rsidRDefault="005A5BCC" w:rsidP="005A5BCC">
      <w:pPr>
        <w:pStyle w:val="SingleTxtGR"/>
      </w:pPr>
      <w:r w:rsidRPr="00891FE6">
        <w:tab/>
      </w:r>
      <w:r w:rsidRPr="00685F9C">
        <w:rPr>
          <w:i/>
        </w:rPr>
        <w:t>Заместители Председателя</w:t>
      </w:r>
      <w:r w:rsidRPr="00A93C90">
        <w:rPr>
          <w:i/>
        </w:rPr>
        <w:t>:</w:t>
      </w:r>
    </w:p>
    <w:p w:rsidR="005A5BCC" w:rsidRPr="00891FE6" w:rsidRDefault="005A5BCC" w:rsidP="005A5BCC">
      <w:pPr>
        <w:pStyle w:val="SingleTxtGR"/>
        <w:ind w:left="2268"/>
      </w:pPr>
      <w:r w:rsidRPr="00891FE6">
        <w:t>г-жа Мартин Рон-Броссар (Швейцария)</w:t>
      </w:r>
    </w:p>
    <w:p w:rsidR="005A5BCC" w:rsidRPr="00891FE6" w:rsidRDefault="005A5BCC" w:rsidP="005A5BCC">
      <w:pPr>
        <w:pStyle w:val="SingleTxtGR"/>
        <w:ind w:left="2268"/>
      </w:pPr>
      <w:r w:rsidRPr="00891FE6">
        <w:t>г-жа Мари Шарлотт Дельво (Бельгия)</w:t>
      </w:r>
    </w:p>
    <w:p w:rsidR="005A5BCC" w:rsidRPr="00891FE6" w:rsidRDefault="005A5BCC" w:rsidP="005A5BCC">
      <w:pPr>
        <w:pStyle w:val="SingleTxtGR"/>
        <w:ind w:left="2268"/>
      </w:pPr>
      <w:r w:rsidRPr="00891FE6">
        <w:t>г-н Николя Фэриз</w:t>
      </w:r>
      <w:r>
        <w:t xml:space="preserve"> </w:t>
      </w:r>
      <w:r w:rsidRPr="00891FE6">
        <w:t>(Франция)</w:t>
      </w:r>
    </w:p>
    <w:p w:rsidR="005A5BCC" w:rsidRPr="00891FE6" w:rsidRDefault="005A5BCC" w:rsidP="005A5BCC">
      <w:pPr>
        <w:pStyle w:val="SingleTxtGR"/>
        <w:ind w:left="2268"/>
      </w:pPr>
      <w:r w:rsidRPr="00891FE6">
        <w:t>г-н Владимир Ивлев (Российская Федерация)</w:t>
      </w:r>
    </w:p>
    <w:p w:rsidR="005A5BCC" w:rsidRPr="00891FE6" w:rsidRDefault="005A5BCC" w:rsidP="005A5BCC">
      <w:pPr>
        <w:pStyle w:val="SingleTxtGR"/>
        <w:ind w:left="2268"/>
      </w:pPr>
      <w:r w:rsidRPr="00891FE6">
        <w:t>г-н Александр Майер (Соединенные Штаты Америки)</w:t>
      </w:r>
    </w:p>
    <w:p w:rsidR="005A5BCC" w:rsidRPr="00891FE6" w:rsidRDefault="005A5BCC" w:rsidP="005A5BCC">
      <w:pPr>
        <w:pStyle w:val="SingleTxtGR"/>
        <w:ind w:left="2268"/>
      </w:pPr>
      <w:r w:rsidRPr="00891FE6">
        <w:t>г-жа Мария Нагорний (Республика Молдова)</w:t>
      </w:r>
    </w:p>
    <w:p w:rsidR="005A5BCC" w:rsidRPr="00891FE6" w:rsidRDefault="005A5BCC" w:rsidP="005A5BCC">
      <w:pPr>
        <w:pStyle w:val="SingleTxtGR"/>
        <w:ind w:left="2268"/>
      </w:pPr>
      <w:r w:rsidRPr="00891FE6">
        <w:t>г-жа Гордана Петкович (Сербия)</w:t>
      </w:r>
    </w:p>
    <w:p w:rsidR="005A5BCC" w:rsidRPr="00891FE6" w:rsidRDefault="005A5BCC" w:rsidP="005A5BCC">
      <w:pPr>
        <w:pStyle w:val="SingleTxtGR"/>
        <w:ind w:left="2268"/>
      </w:pPr>
      <w:r w:rsidRPr="00891FE6">
        <w:t>г-н Лукаш Покорны (Чехия)</w:t>
      </w:r>
    </w:p>
    <w:p w:rsidR="005A5BCC" w:rsidRPr="00891FE6" w:rsidRDefault="005A5BCC" w:rsidP="005A5BCC">
      <w:pPr>
        <w:pStyle w:val="SingleTxtGR"/>
        <w:ind w:left="2268"/>
      </w:pPr>
      <w:r w:rsidRPr="00891FE6">
        <w:t>г-жа Марина Филипюк (Беларусь)</w:t>
      </w:r>
    </w:p>
    <w:p w:rsidR="005A5BCC" w:rsidRPr="00891FE6" w:rsidRDefault="005A5BCC" w:rsidP="005A5BCC">
      <w:pPr>
        <w:pStyle w:val="SingleTxtGR"/>
        <w:ind w:left="2268"/>
      </w:pPr>
      <w:r w:rsidRPr="00891FE6">
        <w:t>г-жа Нино Тхилава (Грузия)</w:t>
      </w:r>
    </w:p>
    <w:p w:rsidR="005A5BCC" w:rsidRPr="00891FE6" w:rsidRDefault="005A5BCC" w:rsidP="005A5BCC">
      <w:pPr>
        <w:pStyle w:val="SingleTxtGR"/>
        <w:ind w:left="2268"/>
      </w:pPr>
      <w:r w:rsidRPr="00891FE6">
        <w:t>г-н Булат</w:t>
      </w:r>
      <w:r>
        <w:t xml:space="preserve"> </w:t>
      </w:r>
      <w:r w:rsidRPr="00891FE6">
        <w:t>Есекин (Казахстан)</w:t>
      </w:r>
    </w:p>
    <w:p w:rsidR="005A5BCC" w:rsidRPr="00891FE6" w:rsidRDefault="005A5BCC" w:rsidP="005A5BCC">
      <w:pPr>
        <w:pStyle w:val="HChGR"/>
      </w:pPr>
      <w:r>
        <w:tab/>
      </w:r>
      <w:r w:rsidRPr="00891FE6">
        <w:t>XII.</w:t>
      </w:r>
      <w:r>
        <w:tab/>
      </w:r>
      <w:r w:rsidRPr="00891FE6">
        <w:t xml:space="preserve">Расписание совещаний </w:t>
      </w:r>
    </w:p>
    <w:p w:rsidR="005A5BCC" w:rsidRPr="00891FE6" w:rsidRDefault="005A5BCC" w:rsidP="005A5BCC">
      <w:pPr>
        <w:pStyle w:val="SingleTxtGR"/>
      </w:pPr>
      <w:r>
        <w:t>112.</w:t>
      </w:r>
      <w:r w:rsidRPr="00891FE6">
        <w:tab/>
        <w:t>Председатель представил расписание совещаний Комитета и его През</w:t>
      </w:r>
      <w:r w:rsidRPr="00891FE6">
        <w:t>и</w:t>
      </w:r>
      <w:r w:rsidRPr="00891FE6">
        <w:t>диума на период до 2018 года.</w:t>
      </w:r>
    </w:p>
    <w:p w:rsidR="005A5BCC" w:rsidRPr="00891FE6" w:rsidRDefault="005A5BCC" w:rsidP="005A5BCC">
      <w:pPr>
        <w:pStyle w:val="SingleTxtGR"/>
      </w:pPr>
      <w:r>
        <w:t>113.</w:t>
      </w:r>
      <w:r>
        <w:tab/>
      </w:r>
      <w:r w:rsidRPr="00891FE6">
        <w:t>Комитет одобрил предложенное расписание совещаний Комитета и Пр</w:t>
      </w:r>
      <w:r w:rsidRPr="00891FE6">
        <w:t>е</w:t>
      </w:r>
      <w:r w:rsidRPr="00891FE6">
        <w:t>зидиума на период до 2018 года (информационный документ № 9) и принял решение организовать специальную сессию Комитета в Женеве 23</w:t>
      </w:r>
      <w:r w:rsidRPr="003A6056">
        <w:t>–</w:t>
      </w:r>
      <w:r w:rsidRPr="00891FE6">
        <w:t>25 февраля 2016 года, св</w:t>
      </w:r>
      <w:r>
        <w:t xml:space="preserve">ою специальную сессию в Батуми </w:t>
      </w:r>
      <w:r w:rsidRPr="003A6056">
        <w:t>–</w:t>
      </w:r>
      <w:r w:rsidRPr="00891FE6">
        <w:t xml:space="preserve"> 7 июня 2016 года и свою дв</w:t>
      </w:r>
      <w:r w:rsidRPr="00891FE6">
        <w:t>а</w:t>
      </w:r>
      <w:r w:rsidRPr="00891FE6">
        <w:t xml:space="preserve">дцать вторую сессию в Женеве </w:t>
      </w:r>
      <w:r w:rsidRPr="003A6056">
        <w:t>–</w:t>
      </w:r>
      <w:r>
        <w:t xml:space="preserve"> </w:t>
      </w:r>
      <w:r w:rsidRPr="00891FE6">
        <w:t>7</w:t>
      </w:r>
      <w:r w:rsidRPr="003A6056">
        <w:t>–</w:t>
      </w:r>
      <w:r w:rsidRPr="00891FE6">
        <w:t>9 декабря 2016 года.</w:t>
      </w:r>
    </w:p>
    <w:p w:rsidR="005A5BCC" w:rsidRPr="00891FE6" w:rsidRDefault="005A5BCC" w:rsidP="005A5BCC">
      <w:pPr>
        <w:pStyle w:val="HChGR"/>
      </w:pPr>
      <w:r>
        <w:lastRenderedPageBreak/>
        <w:tab/>
      </w:r>
      <w:r w:rsidRPr="00891FE6">
        <w:t>XIII.</w:t>
      </w:r>
      <w:r>
        <w:tab/>
      </w:r>
      <w:r w:rsidRPr="00891FE6">
        <w:t xml:space="preserve">Прочие вопросы </w:t>
      </w:r>
    </w:p>
    <w:p w:rsidR="005A5BCC" w:rsidRPr="00891FE6" w:rsidRDefault="005A5BCC" w:rsidP="005A5BCC">
      <w:pPr>
        <w:pStyle w:val="SingleTxtGR"/>
      </w:pPr>
      <w:r>
        <w:t>114.</w:t>
      </w:r>
      <w:r w:rsidRPr="00891FE6">
        <w:tab/>
        <w:t>Секретариат проинформировал Комитет о</w:t>
      </w:r>
      <w:r>
        <w:t xml:space="preserve"> </w:t>
      </w:r>
      <w:r w:rsidRPr="00891FE6">
        <w:t>заключении 4 мая 2015 года меморандума о взаимопонимании</w:t>
      </w:r>
      <w:r>
        <w:t xml:space="preserve"> </w:t>
      </w:r>
      <w:r w:rsidRPr="00891FE6">
        <w:t>между ЕЭК и ЮНЕП относительно сотру</w:t>
      </w:r>
      <w:r w:rsidRPr="00891FE6">
        <w:t>д</w:t>
      </w:r>
      <w:r w:rsidRPr="00891FE6">
        <w:t>ничества в экологических сферах, представляющих взаимный интерес, в соо</w:t>
      </w:r>
      <w:r w:rsidRPr="00891FE6">
        <w:t>т</w:t>
      </w:r>
      <w:r w:rsidRPr="00891FE6">
        <w:t>ветствии с полномочиями, данными государствами-членами</w:t>
      </w:r>
      <w:r>
        <w:rPr>
          <w:rStyle w:val="a6"/>
        </w:rPr>
        <w:footnoteReference w:id="20"/>
      </w:r>
      <w:r w:rsidRPr="00891FE6">
        <w:t xml:space="preserve">. </w:t>
      </w:r>
    </w:p>
    <w:p w:rsidR="005A5BCC" w:rsidRPr="00891FE6" w:rsidRDefault="005A5BCC" w:rsidP="005A5BCC">
      <w:pPr>
        <w:pStyle w:val="SingleTxtGR"/>
      </w:pPr>
      <w:r w:rsidRPr="00891FE6">
        <w:t>115.</w:t>
      </w:r>
      <w:r w:rsidRPr="00891FE6">
        <w:tab/>
        <w:t>Комитет принял к сведению представленную информацию относительно меморандума о взаимопонимании между ЕЭК и ЮНЕП.</w:t>
      </w:r>
    </w:p>
    <w:p w:rsidR="005A5BCC" w:rsidRPr="00891FE6" w:rsidRDefault="005A5BCC" w:rsidP="005A5BCC">
      <w:pPr>
        <w:pStyle w:val="HChGR"/>
      </w:pPr>
      <w:r>
        <w:tab/>
        <w:t>XV.</w:t>
      </w:r>
      <w:r>
        <w:tab/>
      </w:r>
      <w:r w:rsidRPr="00891FE6">
        <w:t>Закрытие совещания</w:t>
      </w:r>
    </w:p>
    <w:p w:rsidR="005A5BCC" w:rsidRPr="00891FE6" w:rsidRDefault="005A5BCC" w:rsidP="005A5BCC">
      <w:pPr>
        <w:pStyle w:val="SingleTxtGR"/>
      </w:pPr>
      <w:r w:rsidRPr="00891FE6">
        <w:t>116.</w:t>
      </w:r>
      <w:r w:rsidRPr="00891FE6">
        <w:tab/>
        <w:t>При поддержке секретариата Председатель составила резюме итогов и решений, принятых Комитетом на его двадцать первой сессии, которое было показано на экране в</w:t>
      </w:r>
      <w:r>
        <w:t xml:space="preserve"> </w:t>
      </w:r>
      <w:r w:rsidRPr="00891FE6">
        <w:t>зале заседаний. После обсуждения</w:t>
      </w:r>
      <w:r>
        <w:t xml:space="preserve"> </w:t>
      </w:r>
      <w:r w:rsidRPr="00891FE6">
        <w:t>проект резюме был д</w:t>
      </w:r>
      <w:r w:rsidRPr="00891FE6">
        <w:t>о</w:t>
      </w:r>
      <w:r w:rsidRPr="00891FE6">
        <w:t>работан и утвержден</w:t>
      </w:r>
      <w:r>
        <w:rPr>
          <w:rStyle w:val="a6"/>
        </w:rPr>
        <w:footnoteReference w:id="21"/>
      </w:r>
      <w:r w:rsidRPr="00891FE6">
        <w:t xml:space="preserve">. </w:t>
      </w:r>
    </w:p>
    <w:p w:rsidR="005A5BCC" w:rsidRPr="00891FE6" w:rsidRDefault="005A5BCC" w:rsidP="005A5BCC">
      <w:pPr>
        <w:pStyle w:val="SingleTxtGR"/>
      </w:pPr>
      <w:r w:rsidRPr="00891FE6">
        <w:t>117.</w:t>
      </w:r>
      <w:r w:rsidRPr="00891FE6">
        <w:tab/>
        <w:t>Комитет просил Президиум и секретариат предпринять последующие действия в связи с решениями Комитета, в частности подготовить документы и доклады, необходимые для работы Комитета на его сессиях в 2016 году. Кроме того, Комитет выразил свою признательность секретариату за прекрасную о</w:t>
      </w:r>
      <w:r w:rsidRPr="00891FE6">
        <w:t>р</w:t>
      </w:r>
      <w:r w:rsidRPr="00891FE6">
        <w:t>ганизацию совещания.</w:t>
      </w:r>
    </w:p>
    <w:p w:rsidR="005A5BCC" w:rsidRDefault="005A5BCC" w:rsidP="005A5BCC">
      <w:pPr>
        <w:pStyle w:val="SingleTxtGR"/>
      </w:pPr>
      <w:r>
        <w:t>118.</w:t>
      </w:r>
      <w:r>
        <w:tab/>
      </w:r>
      <w:r w:rsidRPr="00891FE6">
        <w:t>Председатель проинформировала делегатов о том, что доклад нынешнего совещания и список участников будут размещены на веб-сайте ЕЭК после с</w:t>
      </w:r>
      <w:r w:rsidRPr="00891FE6">
        <w:t>о</w:t>
      </w:r>
      <w:r w:rsidRPr="00891FE6">
        <w:t>вещания. Председатель поблагодарила участников и закрыла совещание.</w:t>
      </w:r>
    </w:p>
    <w:p w:rsidR="00EF4249" w:rsidRDefault="00EF4249" w:rsidP="005A5BCC">
      <w:pPr>
        <w:pStyle w:val="SingleTxtGR"/>
        <w:sectPr w:rsidR="00EF4249" w:rsidSect="004D639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701" w:right="1134" w:bottom="2268" w:left="1134" w:header="1134" w:footer="1701" w:gutter="0"/>
          <w:cols w:space="708"/>
          <w:titlePg/>
          <w:docGrid w:linePitch="360"/>
        </w:sectPr>
      </w:pPr>
    </w:p>
    <w:p w:rsidR="005A5BCC" w:rsidRDefault="005A5BCC" w:rsidP="005A5BCC">
      <w:pPr>
        <w:pStyle w:val="HChGR"/>
      </w:pPr>
      <w:r w:rsidRPr="00891FE6">
        <w:lastRenderedPageBreak/>
        <w:t>Приложение</w:t>
      </w:r>
    </w:p>
    <w:p w:rsidR="005A5BCC" w:rsidRPr="00891FE6" w:rsidRDefault="005A5BCC" w:rsidP="005A5BCC">
      <w:pPr>
        <w:pStyle w:val="HChGR"/>
      </w:pPr>
      <w:r>
        <w:tab/>
      </w:r>
      <w:r>
        <w:tab/>
      </w:r>
      <w:r w:rsidRPr="00891FE6">
        <w:t xml:space="preserve">Страны, имеющие право на финансовую поддержку для участия в совещаниях и мероприятиях </w:t>
      </w:r>
    </w:p>
    <w:p w:rsidR="005A5BCC" w:rsidRPr="00891FE6" w:rsidRDefault="005A5BCC" w:rsidP="005A5BCC">
      <w:pPr>
        <w:pStyle w:val="SingleTxtGR"/>
      </w:pPr>
      <w:r>
        <w:t>1.</w:t>
      </w:r>
      <w:r>
        <w:tab/>
      </w:r>
      <w:r w:rsidRPr="00891FE6">
        <w:t>Для целей настоящего документа «частичная финансовая поддержка» включает только суточные, а</w:t>
      </w:r>
      <w:r>
        <w:t xml:space="preserve"> «полная финансовая поддержка» </w:t>
      </w:r>
      <w:r w:rsidRPr="00537CBF">
        <w:t>–</w:t>
      </w:r>
      <w:r w:rsidRPr="00891FE6">
        <w:t xml:space="preserve"> суточные и </w:t>
      </w:r>
      <w:r>
        <w:t>п</w:t>
      </w:r>
      <w:r>
        <w:t>у</w:t>
      </w:r>
      <w:r>
        <w:t>тевые</w:t>
      </w:r>
      <w:r w:rsidRPr="00891FE6">
        <w:t xml:space="preserve"> расходы.</w:t>
      </w:r>
    </w:p>
    <w:p w:rsidR="005A5BCC" w:rsidRPr="00891FE6" w:rsidRDefault="005A5BCC" w:rsidP="005A5BCC">
      <w:pPr>
        <w:pStyle w:val="SingleTxtGR"/>
      </w:pPr>
      <w:r w:rsidRPr="00891FE6">
        <w:t>2.</w:t>
      </w:r>
      <w:r w:rsidRPr="00891FE6">
        <w:tab/>
        <w:t>Нижний порог для финансовой поддержки составляет 4</w:t>
      </w:r>
      <w:r>
        <w:t> </w:t>
      </w:r>
      <w:r w:rsidRPr="00891FE6">
        <w:t>500 долл. США. Представители государств-членов с годовым ВВП на душу населения меньше нижнего порога</w:t>
      </w:r>
      <w:r>
        <w:t xml:space="preserve"> </w:t>
      </w:r>
      <w:r w:rsidRPr="00891FE6">
        <w:t>в случае участия в совещаниях и мероприятиях, к которым применяется</w:t>
      </w:r>
      <w:r>
        <w:t xml:space="preserve"> </w:t>
      </w:r>
      <w:r w:rsidRPr="00891FE6">
        <w:t>решение Комитета по экологической политике, имеют право на полную</w:t>
      </w:r>
      <w:r>
        <w:rPr>
          <w:rStyle w:val="a6"/>
        </w:rPr>
        <w:footnoteReference w:id="22"/>
      </w:r>
      <w:r w:rsidRPr="00891FE6">
        <w:t xml:space="preserve"> финансовую поддержку. </w:t>
      </w:r>
    </w:p>
    <w:p w:rsidR="005A5BCC" w:rsidRPr="003C731C" w:rsidRDefault="005A5BCC" w:rsidP="005A5BCC">
      <w:pPr>
        <w:pStyle w:val="SingleTxtGR"/>
      </w:pPr>
      <w:r>
        <w:t>3.</w:t>
      </w:r>
      <w:r w:rsidRPr="00891FE6">
        <w:tab/>
        <w:t>Верхний порог для финансовой поддержки составляет 5</w:t>
      </w:r>
      <w:r>
        <w:t> </w:t>
      </w:r>
      <w:r w:rsidRPr="00891FE6">
        <w:t>500 долл. США. Представители государств-членов с годовым ВВП на душу населения между нижним и верхним порогами в случае участия в совещаниях и мероприятиях, к которым применяется решение Комитета по экологической политике, имеют право на частичную</w:t>
      </w:r>
      <w:r w:rsidRPr="00891FE6">
        <w:rPr>
          <w:vertAlign w:val="superscript"/>
        </w:rPr>
        <w:footnoteReference w:id="23"/>
      </w:r>
      <w:r w:rsidRPr="00891FE6">
        <w:t xml:space="preserve"> финансовую поддержку. В рамках проектов, в случае к</w:t>
      </w:r>
      <w:r w:rsidRPr="00891FE6">
        <w:t>о</w:t>
      </w:r>
      <w:r w:rsidRPr="00891FE6">
        <w:t>торых доноры вносят свои взносы на какую-то конкретную цель, могут прим</w:t>
      </w:r>
      <w:r w:rsidRPr="00891FE6">
        <w:t>е</w:t>
      </w:r>
      <w:r w:rsidRPr="00891FE6">
        <w:t>няться иные подходы.</w:t>
      </w:r>
    </w:p>
    <w:p w:rsidR="005A5BCC" w:rsidRPr="00891FE6" w:rsidRDefault="005A5BCC" w:rsidP="005A5BCC">
      <w:pPr>
        <w:pStyle w:val="H23GR"/>
      </w:pPr>
      <w:r>
        <w:tab/>
      </w:r>
      <w:r>
        <w:tab/>
      </w:r>
      <w:r w:rsidRPr="00891FE6">
        <w:t>Список стран, имеющих право на финансовую поддержку, с указанием категории помощи и валового внутреннего продукта на душу населения</w:t>
      </w:r>
    </w:p>
    <w:tbl>
      <w:tblPr>
        <w:tblStyle w:val="TabNum"/>
        <w:tblW w:w="7370" w:type="dxa"/>
        <w:tblInd w:w="1134" w:type="dxa"/>
        <w:tblLook w:val="05E0" w:firstRow="1" w:lastRow="1" w:firstColumn="1" w:lastColumn="1" w:noHBand="0" w:noVBand="1"/>
      </w:tblPr>
      <w:tblGrid>
        <w:gridCol w:w="3471"/>
        <w:gridCol w:w="1957"/>
        <w:gridCol w:w="1942"/>
      </w:tblGrid>
      <w:tr w:rsidR="005A5BCC" w:rsidRPr="003C731C" w:rsidTr="005A5B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1" w:type="dxa"/>
            <w:tcBorders>
              <w:bottom w:val="single" w:sz="12" w:space="0" w:color="auto"/>
            </w:tcBorders>
            <w:shd w:val="clear" w:color="auto" w:fill="auto"/>
          </w:tcPr>
          <w:p w:rsidR="005A5BCC" w:rsidRPr="003C731C" w:rsidRDefault="005A5BCC" w:rsidP="005A5BCC">
            <w:pPr>
              <w:spacing w:line="200" w:lineRule="exact"/>
              <w:ind w:left="17" w:right="11"/>
              <w:jc w:val="left"/>
              <w:rPr>
                <w:sz w:val="16"/>
              </w:rPr>
            </w:pPr>
            <w:r w:rsidRPr="003C731C">
              <w:rPr>
                <w:sz w:val="16"/>
              </w:rPr>
              <w:t>Страна</w:t>
            </w:r>
          </w:p>
        </w:tc>
        <w:tc>
          <w:tcPr>
            <w:tcW w:w="19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A5BCC" w:rsidRPr="005A5BCC" w:rsidRDefault="005A5BCC" w:rsidP="005A5BCC">
            <w:pPr>
              <w:spacing w:line="200" w:lineRule="exact"/>
              <w:ind w:left="17" w:right="1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3C731C">
              <w:rPr>
                <w:sz w:val="16"/>
              </w:rPr>
              <w:t xml:space="preserve">Подушевой ВВП, </w:t>
            </w:r>
            <w:r w:rsidRPr="003C731C">
              <w:rPr>
                <w:sz w:val="16"/>
              </w:rPr>
              <w:br/>
              <w:t>2013 год (долл. США)</w:t>
            </w:r>
            <w:r w:rsidRPr="003C731C">
              <w:rPr>
                <w:sz w:val="18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194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A5BCC" w:rsidRPr="003C731C" w:rsidRDefault="005A5BCC" w:rsidP="005A5BCC">
            <w:pPr>
              <w:spacing w:line="200" w:lineRule="exact"/>
              <w:ind w:left="17" w:right="1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3C731C">
              <w:rPr>
                <w:sz w:val="16"/>
              </w:rPr>
              <w:t>Число стран</w:t>
            </w:r>
          </w:p>
        </w:tc>
      </w:tr>
      <w:tr w:rsidR="005A5BCC" w:rsidRPr="00FB4885" w:rsidTr="005A5B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1" w:type="dxa"/>
            <w:tcBorders>
              <w:top w:val="single" w:sz="12" w:space="0" w:color="auto"/>
            </w:tcBorders>
          </w:tcPr>
          <w:p w:rsidR="005A5BCC" w:rsidRPr="000A5504" w:rsidRDefault="005A5BCC" w:rsidP="005A5BCC">
            <w:pPr>
              <w:ind w:left="17" w:right="11"/>
              <w:rPr>
                <w:i/>
                <w:sz w:val="18"/>
              </w:rPr>
            </w:pPr>
            <w:r w:rsidRPr="000A5504">
              <w:rPr>
                <w:i/>
                <w:sz w:val="18"/>
              </w:rPr>
              <w:t>Путевые расходы и суточные</w:t>
            </w:r>
          </w:p>
        </w:tc>
        <w:tc>
          <w:tcPr>
            <w:tcW w:w="1957" w:type="dxa"/>
            <w:tcBorders>
              <w:top w:val="single" w:sz="12" w:space="0" w:color="auto"/>
            </w:tcBorders>
          </w:tcPr>
          <w:p w:rsidR="005A5BCC" w:rsidRPr="00FB4885" w:rsidRDefault="005A5BCC" w:rsidP="005A5BCC">
            <w:pPr>
              <w:ind w:left="17" w:right="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942" w:type="dxa"/>
            <w:tcBorders>
              <w:top w:val="single" w:sz="12" w:space="0" w:color="auto"/>
            </w:tcBorders>
          </w:tcPr>
          <w:p w:rsidR="005A5BCC" w:rsidRPr="00FB4885" w:rsidRDefault="005A5BCC" w:rsidP="005A5BCC">
            <w:pPr>
              <w:ind w:left="17" w:right="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5A5BCC" w:rsidRPr="00FB4885" w:rsidTr="005A5B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1" w:type="dxa"/>
          </w:tcPr>
          <w:p w:rsidR="005A5BCC" w:rsidRPr="00FB4885" w:rsidRDefault="005A5BCC" w:rsidP="005A5BCC">
            <w:pPr>
              <w:ind w:left="17" w:right="11"/>
              <w:rPr>
                <w:sz w:val="18"/>
              </w:rPr>
            </w:pPr>
            <w:r w:rsidRPr="00FB4885">
              <w:rPr>
                <w:sz w:val="18"/>
              </w:rPr>
              <w:t>Таджикистан</w:t>
            </w:r>
          </w:p>
        </w:tc>
        <w:tc>
          <w:tcPr>
            <w:tcW w:w="1957" w:type="dxa"/>
          </w:tcPr>
          <w:p w:rsidR="005A5BCC" w:rsidRPr="00FB4885" w:rsidRDefault="005A5BCC" w:rsidP="005A5BCC">
            <w:pPr>
              <w:ind w:left="17" w:right="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FB4885">
              <w:rPr>
                <w:sz w:val="18"/>
              </w:rPr>
              <w:t>1 036</w:t>
            </w:r>
          </w:p>
        </w:tc>
        <w:tc>
          <w:tcPr>
            <w:tcW w:w="1942" w:type="dxa"/>
          </w:tcPr>
          <w:p w:rsidR="005A5BCC" w:rsidRPr="00FB4885" w:rsidRDefault="005A5BCC" w:rsidP="005A5BCC">
            <w:pPr>
              <w:ind w:left="17" w:right="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5A5BCC" w:rsidRPr="00FB4885" w:rsidTr="005A5B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1" w:type="dxa"/>
          </w:tcPr>
          <w:p w:rsidR="005A5BCC" w:rsidRPr="00FB4885" w:rsidRDefault="005A5BCC" w:rsidP="005A5BCC">
            <w:pPr>
              <w:ind w:left="17" w:right="11"/>
              <w:rPr>
                <w:sz w:val="18"/>
              </w:rPr>
            </w:pPr>
            <w:r w:rsidRPr="00FB4885">
              <w:rPr>
                <w:sz w:val="18"/>
              </w:rPr>
              <w:t>Кыргызстан</w:t>
            </w:r>
          </w:p>
        </w:tc>
        <w:tc>
          <w:tcPr>
            <w:tcW w:w="1957" w:type="dxa"/>
          </w:tcPr>
          <w:p w:rsidR="005A5BCC" w:rsidRPr="00FB4885" w:rsidRDefault="005A5BCC" w:rsidP="005A5BCC">
            <w:pPr>
              <w:ind w:left="17" w:right="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FB4885">
              <w:rPr>
                <w:sz w:val="18"/>
              </w:rPr>
              <w:t>1 295</w:t>
            </w:r>
          </w:p>
        </w:tc>
        <w:tc>
          <w:tcPr>
            <w:tcW w:w="1942" w:type="dxa"/>
          </w:tcPr>
          <w:p w:rsidR="005A5BCC" w:rsidRPr="00FB4885" w:rsidRDefault="005A5BCC" w:rsidP="005A5BCC">
            <w:pPr>
              <w:ind w:left="17" w:right="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5A5BCC" w:rsidRPr="00FB4885" w:rsidTr="005A5B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1" w:type="dxa"/>
          </w:tcPr>
          <w:p w:rsidR="005A5BCC" w:rsidRPr="00FB4885" w:rsidRDefault="005A5BCC" w:rsidP="005A5BCC">
            <w:pPr>
              <w:ind w:left="17" w:right="11"/>
              <w:rPr>
                <w:sz w:val="18"/>
              </w:rPr>
            </w:pPr>
            <w:r w:rsidRPr="00FB4885">
              <w:rPr>
                <w:sz w:val="18"/>
              </w:rPr>
              <w:t>Узбекистан</w:t>
            </w:r>
          </w:p>
        </w:tc>
        <w:tc>
          <w:tcPr>
            <w:tcW w:w="1957" w:type="dxa"/>
          </w:tcPr>
          <w:p w:rsidR="005A5BCC" w:rsidRPr="00FB4885" w:rsidRDefault="005A5BCC" w:rsidP="005A5BCC">
            <w:pPr>
              <w:ind w:left="17" w:right="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FB4885">
              <w:rPr>
                <w:sz w:val="18"/>
              </w:rPr>
              <w:t>1 962</w:t>
            </w:r>
          </w:p>
        </w:tc>
        <w:tc>
          <w:tcPr>
            <w:tcW w:w="1942" w:type="dxa"/>
          </w:tcPr>
          <w:p w:rsidR="005A5BCC" w:rsidRPr="00FB4885" w:rsidRDefault="005A5BCC" w:rsidP="005A5BCC">
            <w:pPr>
              <w:ind w:left="17" w:right="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5A5BCC" w:rsidRPr="00FB4885" w:rsidTr="005A5B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1" w:type="dxa"/>
          </w:tcPr>
          <w:p w:rsidR="005A5BCC" w:rsidRPr="00FB4885" w:rsidRDefault="005A5BCC" w:rsidP="005A5BCC">
            <w:pPr>
              <w:ind w:left="17" w:right="11"/>
              <w:rPr>
                <w:sz w:val="18"/>
              </w:rPr>
            </w:pPr>
            <w:r w:rsidRPr="00FB4885">
              <w:rPr>
                <w:sz w:val="18"/>
              </w:rPr>
              <w:t>Республика Молдова</w:t>
            </w:r>
          </w:p>
        </w:tc>
        <w:tc>
          <w:tcPr>
            <w:tcW w:w="1957" w:type="dxa"/>
          </w:tcPr>
          <w:p w:rsidR="005A5BCC" w:rsidRPr="00FB4885" w:rsidRDefault="005A5BCC" w:rsidP="005A5BCC">
            <w:pPr>
              <w:ind w:left="17" w:right="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FB4885">
              <w:rPr>
                <w:sz w:val="18"/>
              </w:rPr>
              <w:t>2 244</w:t>
            </w:r>
          </w:p>
        </w:tc>
        <w:tc>
          <w:tcPr>
            <w:tcW w:w="1942" w:type="dxa"/>
          </w:tcPr>
          <w:p w:rsidR="005A5BCC" w:rsidRPr="00FB4885" w:rsidRDefault="005A5BCC" w:rsidP="005A5BCC">
            <w:pPr>
              <w:ind w:left="17" w:right="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5A5BCC" w:rsidRPr="00FB4885" w:rsidTr="005A5B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1" w:type="dxa"/>
          </w:tcPr>
          <w:p w:rsidR="005A5BCC" w:rsidRPr="00FB4885" w:rsidRDefault="005A5BCC" w:rsidP="005A5BCC">
            <w:pPr>
              <w:ind w:left="17" w:right="11"/>
              <w:rPr>
                <w:sz w:val="18"/>
              </w:rPr>
            </w:pPr>
            <w:r w:rsidRPr="00FB4885">
              <w:rPr>
                <w:sz w:val="18"/>
              </w:rPr>
              <w:t>Армения</w:t>
            </w:r>
          </w:p>
        </w:tc>
        <w:tc>
          <w:tcPr>
            <w:tcW w:w="1957" w:type="dxa"/>
          </w:tcPr>
          <w:p w:rsidR="005A5BCC" w:rsidRPr="00FB4885" w:rsidRDefault="005A5BCC" w:rsidP="005A5BCC">
            <w:pPr>
              <w:ind w:left="17" w:right="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FB4885">
              <w:rPr>
                <w:sz w:val="18"/>
              </w:rPr>
              <w:t>3 460</w:t>
            </w:r>
          </w:p>
        </w:tc>
        <w:tc>
          <w:tcPr>
            <w:tcW w:w="1942" w:type="dxa"/>
          </w:tcPr>
          <w:p w:rsidR="005A5BCC" w:rsidRPr="00FB4885" w:rsidRDefault="005A5BCC" w:rsidP="005A5BCC">
            <w:pPr>
              <w:ind w:left="17" w:right="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5A5BCC" w:rsidRPr="00FB4885" w:rsidTr="005A5B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1" w:type="dxa"/>
          </w:tcPr>
          <w:p w:rsidR="005A5BCC" w:rsidRPr="00FB4885" w:rsidRDefault="005A5BCC" w:rsidP="005A5BCC">
            <w:pPr>
              <w:ind w:left="17" w:right="11"/>
              <w:rPr>
                <w:sz w:val="18"/>
              </w:rPr>
            </w:pPr>
            <w:r w:rsidRPr="00FB4885">
              <w:rPr>
                <w:sz w:val="18"/>
              </w:rPr>
              <w:t>Грузия</w:t>
            </w:r>
          </w:p>
        </w:tc>
        <w:tc>
          <w:tcPr>
            <w:tcW w:w="1957" w:type="dxa"/>
          </w:tcPr>
          <w:p w:rsidR="005A5BCC" w:rsidRPr="00FB4885" w:rsidRDefault="005A5BCC" w:rsidP="005A5BCC">
            <w:pPr>
              <w:ind w:left="17" w:right="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FB4885">
              <w:rPr>
                <w:sz w:val="18"/>
              </w:rPr>
              <w:t>3 597</w:t>
            </w:r>
          </w:p>
        </w:tc>
        <w:tc>
          <w:tcPr>
            <w:tcW w:w="1942" w:type="dxa"/>
          </w:tcPr>
          <w:p w:rsidR="005A5BCC" w:rsidRPr="00FB4885" w:rsidRDefault="005A5BCC" w:rsidP="005A5BCC">
            <w:pPr>
              <w:ind w:left="17" w:right="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5A5BCC" w:rsidRPr="00FB4885" w:rsidTr="005A5B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1" w:type="dxa"/>
          </w:tcPr>
          <w:p w:rsidR="005A5BCC" w:rsidRPr="00FB4885" w:rsidRDefault="005A5BCC" w:rsidP="005A5BCC">
            <w:pPr>
              <w:ind w:left="17" w:right="11"/>
              <w:rPr>
                <w:sz w:val="18"/>
              </w:rPr>
            </w:pPr>
            <w:r w:rsidRPr="00FB4885">
              <w:rPr>
                <w:sz w:val="18"/>
              </w:rPr>
              <w:t>Украина</w:t>
            </w:r>
          </w:p>
        </w:tc>
        <w:tc>
          <w:tcPr>
            <w:tcW w:w="1957" w:type="dxa"/>
          </w:tcPr>
          <w:p w:rsidR="005A5BCC" w:rsidRPr="00FB4885" w:rsidRDefault="005A5BCC" w:rsidP="005A5BCC">
            <w:pPr>
              <w:ind w:left="17" w:right="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FB4885">
              <w:rPr>
                <w:sz w:val="18"/>
              </w:rPr>
              <w:t>4 017</w:t>
            </w:r>
          </w:p>
        </w:tc>
        <w:tc>
          <w:tcPr>
            <w:tcW w:w="1942" w:type="dxa"/>
          </w:tcPr>
          <w:p w:rsidR="005A5BCC" w:rsidRPr="00FB4885" w:rsidRDefault="005A5BCC" w:rsidP="005A5BCC">
            <w:pPr>
              <w:ind w:left="17" w:right="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5A5BCC" w:rsidRPr="00FB4885" w:rsidTr="005A5B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1" w:type="dxa"/>
          </w:tcPr>
          <w:p w:rsidR="005A5BCC" w:rsidRPr="00FB4885" w:rsidRDefault="005A5BCC" w:rsidP="005A5BCC">
            <w:pPr>
              <w:ind w:left="17" w:right="11"/>
              <w:rPr>
                <w:sz w:val="18"/>
              </w:rPr>
            </w:pPr>
            <w:r w:rsidRPr="00FB4885">
              <w:rPr>
                <w:sz w:val="18"/>
              </w:rPr>
              <w:t>Босния и Герцеговина</w:t>
            </w:r>
          </w:p>
        </w:tc>
        <w:tc>
          <w:tcPr>
            <w:tcW w:w="1957" w:type="dxa"/>
          </w:tcPr>
          <w:p w:rsidR="005A5BCC" w:rsidRPr="00FB4885" w:rsidRDefault="005A5BCC" w:rsidP="005A5BCC">
            <w:pPr>
              <w:ind w:left="17" w:right="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FB4885">
              <w:rPr>
                <w:sz w:val="18"/>
              </w:rPr>
              <w:t>4 232</w:t>
            </w:r>
          </w:p>
        </w:tc>
        <w:tc>
          <w:tcPr>
            <w:tcW w:w="1942" w:type="dxa"/>
          </w:tcPr>
          <w:p w:rsidR="005A5BCC" w:rsidRPr="00FB4885" w:rsidRDefault="005A5BCC" w:rsidP="005A5BCC">
            <w:pPr>
              <w:ind w:left="17" w:right="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5A5BCC" w:rsidRPr="00FB4885" w:rsidTr="00002A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1" w:type="dxa"/>
            <w:tcBorders>
              <w:bottom w:val="single" w:sz="4" w:space="0" w:color="auto"/>
            </w:tcBorders>
          </w:tcPr>
          <w:p w:rsidR="005A5BCC" w:rsidRPr="00FB4885" w:rsidRDefault="005A5BCC" w:rsidP="005A5BCC">
            <w:pPr>
              <w:ind w:left="17" w:right="11"/>
              <w:rPr>
                <w:sz w:val="18"/>
              </w:rPr>
            </w:pPr>
            <w:r w:rsidRPr="00FB4885">
              <w:rPr>
                <w:sz w:val="18"/>
              </w:rPr>
              <w:t>Албания</w:t>
            </w:r>
          </w:p>
        </w:tc>
        <w:tc>
          <w:tcPr>
            <w:tcW w:w="1957" w:type="dxa"/>
            <w:tcBorders>
              <w:bottom w:val="single" w:sz="4" w:space="0" w:color="auto"/>
            </w:tcBorders>
          </w:tcPr>
          <w:p w:rsidR="005A5BCC" w:rsidRPr="00FB4885" w:rsidRDefault="005A5BCC" w:rsidP="005A5BCC">
            <w:pPr>
              <w:ind w:left="17" w:right="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FB4885">
              <w:rPr>
                <w:sz w:val="18"/>
              </w:rPr>
              <w:t>4 465</w:t>
            </w:r>
          </w:p>
        </w:tc>
        <w:tc>
          <w:tcPr>
            <w:tcW w:w="1942" w:type="dxa"/>
            <w:tcBorders>
              <w:bottom w:val="single" w:sz="4" w:space="0" w:color="auto"/>
            </w:tcBorders>
          </w:tcPr>
          <w:p w:rsidR="005A5BCC" w:rsidRPr="00FB4885" w:rsidRDefault="005A5BCC" w:rsidP="005A5BCC">
            <w:pPr>
              <w:ind w:left="17" w:right="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5A5BCC" w:rsidRPr="00FB4885" w:rsidTr="00002A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1" w:type="dxa"/>
            <w:tcBorders>
              <w:top w:val="single" w:sz="4" w:space="0" w:color="auto"/>
              <w:bottom w:val="single" w:sz="4" w:space="0" w:color="auto"/>
            </w:tcBorders>
          </w:tcPr>
          <w:p w:rsidR="005A5BCC" w:rsidRPr="000A5504" w:rsidRDefault="005A5BCC" w:rsidP="005A5BCC">
            <w:pPr>
              <w:tabs>
                <w:tab w:val="left" w:pos="284"/>
              </w:tabs>
              <w:spacing w:before="80" w:after="80"/>
              <w:ind w:left="17" w:right="11"/>
              <w:rPr>
                <w:b/>
                <w:sz w:val="18"/>
              </w:rPr>
            </w:pPr>
            <w:r w:rsidRPr="000A5504">
              <w:rPr>
                <w:b/>
                <w:sz w:val="18"/>
              </w:rPr>
              <w:tab/>
              <w:t>Итого</w:t>
            </w:r>
          </w:p>
        </w:tc>
        <w:tc>
          <w:tcPr>
            <w:tcW w:w="1957" w:type="dxa"/>
            <w:tcBorders>
              <w:top w:val="single" w:sz="4" w:space="0" w:color="auto"/>
              <w:bottom w:val="single" w:sz="4" w:space="0" w:color="auto"/>
            </w:tcBorders>
          </w:tcPr>
          <w:p w:rsidR="005A5BCC" w:rsidRPr="000A5504" w:rsidRDefault="005A5BCC" w:rsidP="005A5BCC">
            <w:pPr>
              <w:spacing w:before="80" w:after="80"/>
              <w:ind w:left="17" w:right="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</w:p>
        </w:tc>
        <w:tc>
          <w:tcPr>
            <w:tcW w:w="1942" w:type="dxa"/>
            <w:tcBorders>
              <w:top w:val="single" w:sz="4" w:space="0" w:color="auto"/>
              <w:bottom w:val="single" w:sz="4" w:space="0" w:color="auto"/>
            </w:tcBorders>
          </w:tcPr>
          <w:p w:rsidR="005A5BCC" w:rsidRPr="000A5504" w:rsidRDefault="005A5BCC" w:rsidP="005A5BCC">
            <w:pPr>
              <w:spacing w:before="80" w:after="80"/>
              <w:ind w:left="17" w:right="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  <w:r w:rsidRPr="000A5504">
              <w:rPr>
                <w:b/>
                <w:sz w:val="18"/>
              </w:rPr>
              <w:t>9</w:t>
            </w:r>
          </w:p>
        </w:tc>
      </w:tr>
      <w:tr w:rsidR="005A5BCC" w:rsidRPr="00FB4885" w:rsidTr="00002A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1" w:type="dxa"/>
            <w:tcBorders>
              <w:top w:val="single" w:sz="4" w:space="0" w:color="auto"/>
            </w:tcBorders>
          </w:tcPr>
          <w:p w:rsidR="005A5BCC" w:rsidRPr="000A5504" w:rsidRDefault="005A5BCC" w:rsidP="008C2A75">
            <w:pPr>
              <w:pageBreakBefore/>
              <w:ind w:left="17" w:right="11"/>
              <w:rPr>
                <w:i/>
                <w:sz w:val="18"/>
              </w:rPr>
            </w:pPr>
            <w:r w:rsidRPr="000A5504">
              <w:rPr>
                <w:i/>
                <w:sz w:val="18"/>
              </w:rPr>
              <w:lastRenderedPageBreak/>
              <w:t>Только суточные</w:t>
            </w:r>
          </w:p>
        </w:tc>
        <w:tc>
          <w:tcPr>
            <w:tcW w:w="1957" w:type="dxa"/>
            <w:tcBorders>
              <w:top w:val="single" w:sz="4" w:space="0" w:color="auto"/>
              <w:bottom w:val="nil"/>
            </w:tcBorders>
          </w:tcPr>
          <w:p w:rsidR="005A5BCC" w:rsidRPr="00FB4885" w:rsidRDefault="005A5BCC" w:rsidP="005A5BCC">
            <w:pPr>
              <w:ind w:left="17" w:right="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942" w:type="dxa"/>
            <w:tcBorders>
              <w:top w:val="single" w:sz="4" w:space="0" w:color="auto"/>
              <w:bottom w:val="nil"/>
            </w:tcBorders>
          </w:tcPr>
          <w:p w:rsidR="005A5BCC" w:rsidRPr="00FB4885" w:rsidRDefault="005A5BCC" w:rsidP="005A5BCC">
            <w:pPr>
              <w:ind w:left="17" w:right="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5A5BCC" w:rsidRPr="00FB4885" w:rsidTr="004B36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1" w:type="dxa"/>
            <w:tcBorders>
              <w:bottom w:val="single" w:sz="4" w:space="0" w:color="auto"/>
            </w:tcBorders>
          </w:tcPr>
          <w:p w:rsidR="005A5BCC" w:rsidRPr="00FB4885" w:rsidRDefault="005A5BCC" w:rsidP="008C2A75">
            <w:pPr>
              <w:ind w:left="130" w:right="11" w:hanging="113"/>
              <w:rPr>
                <w:sz w:val="18"/>
              </w:rPr>
            </w:pPr>
            <w:r w:rsidRPr="00FB4885">
              <w:rPr>
                <w:sz w:val="18"/>
              </w:rPr>
              <w:t xml:space="preserve">Бывшая югославская Республика </w:t>
            </w:r>
            <w:r>
              <w:rPr>
                <w:sz w:val="18"/>
              </w:rPr>
              <w:br/>
            </w:r>
            <w:r w:rsidRPr="00FB4885">
              <w:rPr>
                <w:sz w:val="18"/>
              </w:rPr>
              <w:t>Македония</w:t>
            </w:r>
          </w:p>
        </w:tc>
        <w:tc>
          <w:tcPr>
            <w:tcW w:w="1957" w:type="dxa"/>
            <w:tcBorders>
              <w:top w:val="nil"/>
              <w:bottom w:val="single" w:sz="4" w:space="0" w:color="auto"/>
            </w:tcBorders>
          </w:tcPr>
          <w:p w:rsidR="005A5BCC" w:rsidRPr="00FB4885" w:rsidRDefault="005A5BCC" w:rsidP="005A5BCC">
            <w:pPr>
              <w:ind w:left="17" w:right="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FB4885">
              <w:rPr>
                <w:sz w:val="18"/>
              </w:rPr>
              <w:t>5 222</w:t>
            </w:r>
          </w:p>
        </w:tc>
        <w:tc>
          <w:tcPr>
            <w:tcW w:w="1942" w:type="dxa"/>
            <w:tcBorders>
              <w:top w:val="nil"/>
              <w:bottom w:val="single" w:sz="4" w:space="0" w:color="auto"/>
            </w:tcBorders>
          </w:tcPr>
          <w:p w:rsidR="005A5BCC" w:rsidRPr="00FB4885" w:rsidRDefault="005A5BCC" w:rsidP="005A5BCC">
            <w:pPr>
              <w:ind w:left="17" w:right="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5A5BCC" w:rsidRPr="00FB4885" w:rsidTr="005A5B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1" w:type="dxa"/>
            <w:tcBorders>
              <w:top w:val="single" w:sz="4" w:space="0" w:color="auto"/>
              <w:bottom w:val="single" w:sz="4" w:space="0" w:color="auto"/>
            </w:tcBorders>
          </w:tcPr>
          <w:p w:rsidR="005A5BCC" w:rsidRPr="000A5504" w:rsidRDefault="005A5BCC" w:rsidP="005A5BCC">
            <w:pPr>
              <w:tabs>
                <w:tab w:val="left" w:pos="284"/>
              </w:tabs>
              <w:spacing w:before="80" w:after="80"/>
              <w:ind w:left="17" w:right="11"/>
              <w:rPr>
                <w:b/>
                <w:sz w:val="18"/>
              </w:rPr>
            </w:pPr>
            <w:r w:rsidRPr="000A5504">
              <w:rPr>
                <w:b/>
                <w:sz w:val="18"/>
              </w:rPr>
              <w:tab/>
              <w:t>Итого</w:t>
            </w:r>
            <w:r w:rsidRPr="000A5504">
              <w:rPr>
                <w:b/>
                <w:sz w:val="18"/>
              </w:rPr>
              <w:tab/>
            </w:r>
          </w:p>
        </w:tc>
        <w:tc>
          <w:tcPr>
            <w:tcW w:w="1957" w:type="dxa"/>
            <w:tcBorders>
              <w:top w:val="single" w:sz="4" w:space="0" w:color="auto"/>
              <w:bottom w:val="single" w:sz="4" w:space="0" w:color="auto"/>
            </w:tcBorders>
          </w:tcPr>
          <w:p w:rsidR="005A5BCC" w:rsidRPr="000A5504" w:rsidRDefault="005A5BCC" w:rsidP="005A5BCC">
            <w:pPr>
              <w:spacing w:before="80" w:after="80"/>
              <w:ind w:left="17" w:right="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</w:p>
        </w:tc>
        <w:tc>
          <w:tcPr>
            <w:tcW w:w="1942" w:type="dxa"/>
            <w:tcBorders>
              <w:top w:val="single" w:sz="4" w:space="0" w:color="auto"/>
              <w:bottom w:val="single" w:sz="4" w:space="0" w:color="auto"/>
            </w:tcBorders>
          </w:tcPr>
          <w:p w:rsidR="005A5BCC" w:rsidRPr="000A5504" w:rsidRDefault="005A5BCC" w:rsidP="005A5BCC">
            <w:pPr>
              <w:spacing w:before="80" w:after="80"/>
              <w:ind w:left="17" w:right="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  <w:r w:rsidRPr="000A5504">
              <w:rPr>
                <w:b/>
                <w:sz w:val="18"/>
              </w:rPr>
              <w:t>1</w:t>
            </w:r>
          </w:p>
        </w:tc>
      </w:tr>
      <w:tr w:rsidR="005A5BCC" w:rsidRPr="000A5504" w:rsidTr="005A5B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1" w:type="dxa"/>
            <w:tcBorders>
              <w:top w:val="single" w:sz="4" w:space="0" w:color="auto"/>
              <w:bottom w:val="single" w:sz="4" w:space="0" w:color="auto"/>
            </w:tcBorders>
          </w:tcPr>
          <w:p w:rsidR="005A5BCC" w:rsidRPr="000A5504" w:rsidRDefault="005A5BCC" w:rsidP="005A5BCC">
            <w:pPr>
              <w:tabs>
                <w:tab w:val="left" w:pos="284"/>
              </w:tabs>
              <w:spacing w:before="80" w:after="80"/>
              <w:ind w:left="17" w:right="11"/>
              <w:rPr>
                <w:b/>
                <w:sz w:val="18"/>
              </w:rPr>
            </w:pPr>
            <w:r w:rsidRPr="000A5504">
              <w:rPr>
                <w:b/>
                <w:sz w:val="18"/>
              </w:rPr>
              <w:tab/>
              <w:t>Всего</w:t>
            </w:r>
          </w:p>
        </w:tc>
        <w:tc>
          <w:tcPr>
            <w:tcW w:w="1957" w:type="dxa"/>
            <w:tcBorders>
              <w:top w:val="single" w:sz="4" w:space="0" w:color="auto"/>
              <w:bottom w:val="single" w:sz="4" w:space="0" w:color="auto"/>
            </w:tcBorders>
          </w:tcPr>
          <w:p w:rsidR="005A5BCC" w:rsidRPr="000A5504" w:rsidRDefault="005A5BCC" w:rsidP="005A5BCC">
            <w:pPr>
              <w:spacing w:before="80" w:after="80"/>
              <w:ind w:left="17" w:right="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</w:p>
        </w:tc>
        <w:tc>
          <w:tcPr>
            <w:tcW w:w="1942" w:type="dxa"/>
            <w:tcBorders>
              <w:top w:val="single" w:sz="4" w:space="0" w:color="auto"/>
              <w:bottom w:val="single" w:sz="4" w:space="0" w:color="auto"/>
            </w:tcBorders>
          </w:tcPr>
          <w:p w:rsidR="005A5BCC" w:rsidRPr="000A5504" w:rsidRDefault="005A5BCC" w:rsidP="005A5BCC">
            <w:pPr>
              <w:spacing w:before="80" w:after="80"/>
              <w:ind w:left="17" w:right="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  <w:r w:rsidRPr="000A5504">
              <w:rPr>
                <w:b/>
                <w:sz w:val="18"/>
              </w:rPr>
              <w:t>10</w:t>
            </w:r>
          </w:p>
        </w:tc>
      </w:tr>
    </w:tbl>
    <w:p w:rsidR="005A5BCC" w:rsidRPr="00FB4885" w:rsidRDefault="005A5BCC" w:rsidP="005A5BCC">
      <w:pPr>
        <w:pStyle w:val="SingleTxtGR"/>
        <w:tabs>
          <w:tab w:val="left" w:pos="1276"/>
        </w:tabs>
        <w:spacing w:before="120" w:after="0" w:line="220" w:lineRule="exact"/>
        <w:jc w:val="left"/>
        <w:rPr>
          <w:sz w:val="18"/>
          <w:szCs w:val="18"/>
        </w:rPr>
      </w:pPr>
      <w:r>
        <w:rPr>
          <w:i/>
          <w:sz w:val="18"/>
          <w:szCs w:val="18"/>
        </w:rPr>
        <w:tab/>
      </w:r>
      <w:r w:rsidRPr="00FB4885">
        <w:rPr>
          <w:i/>
          <w:sz w:val="18"/>
          <w:szCs w:val="18"/>
        </w:rPr>
        <w:t>Примечание</w:t>
      </w:r>
      <w:r w:rsidRPr="00836F28">
        <w:rPr>
          <w:i/>
          <w:sz w:val="18"/>
          <w:szCs w:val="18"/>
        </w:rPr>
        <w:t>:</w:t>
      </w:r>
      <w:r w:rsidRPr="00FB4885">
        <w:rPr>
          <w:sz w:val="18"/>
          <w:szCs w:val="18"/>
        </w:rPr>
        <w:t xml:space="preserve"> Страны перечислены в порядке возрастания ВВП.</w:t>
      </w:r>
    </w:p>
    <w:p w:rsidR="005A5BCC" w:rsidRPr="00891FE6" w:rsidRDefault="005A5BCC" w:rsidP="005A5BCC">
      <w:pPr>
        <w:pStyle w:val="SingleTxtGR"/>
        <w:tabs>
          <w:tab w:val="left" w:pos="1276"/>
        </w:tabs>
        <w:spacing w:line="220" w:lineRule="exact"/>
        <w:jc w:val="left"/>
      </w:pPr>
      <w:r>
        <w:rPr>
          <w:sz w:val="18"/>
          <w:szCs w:val="18"/>
        </w:rPr>
        <w:tab/>
      </w:r>
      <w:r w:rsidRPr="00FB4885">
        <w:rPr>
          <w:i/>
          <w:sz w:val="18"/>
          <w:szCs w:val="18"/>
          <w:vertAlign w:val="superscript"/>
        </w:rPr>
        <w:t>а</w:t>
      </w:r>
      <w:r w:rsidRPr="00FB4885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Источник данных –</w:t>
      </w:r>
      <w:r w:rsidRPr="00FB4885">
        <w:rPr>
          <w:sz w:val="18"/>
          <w:szCs w:val="18"/>
        </w:rPr>
        <w:t xml:space="preserve"> Статистическая база данных Европейской экономической </w:t>
      </w:r>
      <w:r>
        <w:rPr>
          <w:sz w:val="18"/>
          <w:szCs w:val="18"/>
        </w:rPr>
        <w:br/>
      </w:r>
      <w:r w:rsidRPr="00FB4885">
        <w:rPr>
          <w:sz w:val="18"/>
          <w:szCs w:val="18"/>
        </w:rPr>
        <w:t>комиссии Организации Объединенных Наций. Подушевой ВВП стран в номинальных долларах США был рас</w:t>
      </w:r>
      <w:r>
        <w:rPr>
          <w:sz w:val="18"/>
          <w:szCs w:val="18"/>
        </w:rPr>
        <w:t>считан путем деления показателя</w:t>
      </w:r>
      <w:r w:rsidRPr="00FB4885">
        <w:rPr>
          <w:sz w:val="18"/>
          <w:szCs w:val="18"/>
        </w:rPr>
        <w:t xml:space="preserve"> </w:t>
      </w:r>
      <w:r>
        <w:rPr>
          <w:sz w:val="18"/>
          <w:szCs w:val="18"/>
        </w:rPr>
        <w:t>«</w:t>
      </w:r>
      <w:r w:rsidRPr="00FB4885">
        <w:rPr>
          <w:sz w:val="18"/>
          <w:szCs w:val="18"/>
        </w:rPr>
        <w:t>подушевого ВВП в текущих ценах в ЕНВ» за 2013 год на показатель 2013 года «обменного курса ЕНВ к доллару США». Заход в базу данных был совершен 12 октября 2015 года.</w:t>
      </w:r>
    </w:p>
    <w:p w:rsidR="005A5BCC" w:rsidRPr="00891FE6" w:rsidRDefault="005A5BCC" w:rsidP="005A5BCC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E3113" w:rsidRPr="0069319F" w:rsidRDefault="006E3113" w:rsidP="00E15C04">
      <w:pPr>
        <w:pStyle w:val="SingleTxtGR"/>
      </w:pPr>
    </w:p>
    <w:sectPr w:rsidR="006E3113" w:rsidRPr="0069319F" w:rsidSect="00CE042B">
      <w:footerReference w:type="default" r:id="rId16"/>
      <w:headerReference w:type="first" r:id="rId17"/>
      <w:footerReference w:type="first" r:id="rId18"/>
      <w:footnotePr>
        <w:numFmt w:val="lowerLetter"/>
        <w:numRestart w:val="eachSect"/>
      </w:footnotePr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49A" w:rsidRDefault="00C7349A" w:rsidP="00B471C5">
      <w:r>
        <w:separator/>
      </w:r>
    </w:p>
  </w:endnote>
  <w:endnote w:type="continuationSeparator" w:id="0">
    <w:p w:rsidR="00C7349A" w:rsidRDefault="00C7349A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49A" w:rsidRPr="009A6F4A" w:rsidRDefault="00C7349A" w:rsidP="007005EE">
    <w:pPr>
      <w:pStyle w:val="a7"/>
      <w:rPr>
        <w:lang w:val="en-US"/>
      </w:rPr>
    </w:pP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785AD5">
      <w:rPr>
        <w:b/>
        <w:noProof/>
        <w:sz w:val="18"/>
        <w:szCs w:val="18"/>
      </w:rPr>
      <w:t>20</w:t>
    </w:r>
    <w:r w:rsidRPr="00BA2D2B">
      <w:rPr>
        <w:b/>
        <w:sz w:val="18"/>
        <w:szCs w:val="18"/>
      </w:rPr>
      <w:fldChar w:fldCharType="end"/>
    </w:r>
    <w:r>
      <w:rPr>
        <w:b/>
        <w:sz w:val="18"/>
        <w:szCs w:val="18"/>
      </w:rPr>
      <w:tab/>
    </w:r>
    <w:r>
      <w:rPr>
        <w:lang w:val="en-US"/>
      </w:rPr>
      <w:t>GE.16-19310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49A" w:rsidRPr="009A6F4A" w:rsidRDefault="00C7349A" w:rsidP="007005EE">
    <w:pPr>
      <w:pStyle w:val="a7"/>
      <w:rPr>
        <w:lang w:val="en-US"/>
      </w:rPr>
    </w:pPr>
    <w:r>
      <w:rPr>
        <w:lang w:val="en-US"/>
      </w:rPr>
      <w:t>GE.16-19310</w:t>
    </w:r>
    <w:r>
      <w:rPr>
        <w:lang w:val="en-US"/>
      </w:rPr>
      <w:tab/>
    </w: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785AD5">
      <w:rPr>
        <w:b/>
        <w:noProof/>
        <w:sz w:val="18"/>
        <w:szCs w:val="18"/>
      </w:rPr>
      <w:t>19</w:t>
    </w:r>
    <w:r w:rsidRPr="00BA2D2B"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C7349A" w:rsidRPr="00797A78" w:rsidTr="000B1FD5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C7349A" w:rsidRPr="001C3ABC" w:rsidRDefault="00C7349A" w:rsidP="001E0C96">
          <w:pPr>
            <w:spacing w:after="40"/>
            <w:rPr>
              <w:rFonts w:ascii="C39T30Lfz" w:hAnsi="C39T30Lfz"/>
              <w:spacing w:val="0"/>
              <w:w w:val="100"/>
              <w:kern w:val="0"/>
              <w:lang w:val="en-US" w:eastAsia="ru-RU"/>
            </w:rPr>
          </w:pPr>
          <w:r w:rsidRPr="001C3ABC">
            <w:rPr>
              <w:lang w:val="en-US"/>
            </w:rPr>
            <w:t>GE.16-</w:t>
          </w:r>
          <w:r>
            <w:rPr>
              <w:lang w:val="en-US"/>
            </w:rPr>
            <w:t>19310</w:t>
          </w:r>
          <w:r w:rsidRPr="001C3ABC">
            <w:rPr>
              <w:lang w:val="en-US"/>
            </w:rPr>
            <w:t xml:space="preserve"> (R)</w:t>
          </w:r>
          <w:r>
            <w:rPr>
              <w:lang w:val="en-US"/>
            </w:rPr>
            <w:t xml:space="preserve">  </w:t>
          </w:r>
          <w:r>
            <w:t>25</w:t>
          </w:r>
          <w:r>
            <w:rPr>
              <w:lang w:val="en-US"/>
            </w:rPr>
            <w:t xml:space="preserve">1116  </w:t>
          </w:r>
          <w:r>
            <w:t>28</w:t>
          </w:r>
          <w:r>
            <w:rPr>
              <w:lang w:val="en-US"/>
            </w:rPr>
            <w:t>1116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C7349A" w:rsidRDefault="00C7349A" w:rsidP="0069319F">
          <w:pPr>
            <w:jc w:val="right"/>
          </w:pPr>
          <w:r>
            <w:rPr>
              <w:b/>
              <w:noProof/>
              <w:lang w:eastAsia="ru-RU"/>
            </w:rPr>
            <w:drawing>
              <wp:inline distT="0" distB="0" distL="0" distR="0" wp14:anchorId="4BBD3410" wp14:editId="34831531">
                <wp:extent cx="2655481" cy="277586"/>
                <wp:effectExtent l="0" t="0" r="0" b="8255"/>
                <wp:docPr id="10" name="Рисунок 10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C7349A" w:rsidRDefault="00C7349A" w:rsidP="0069319F">
          <w:pPr>
            <w:jc w:val="right"/>
          </w:pPr>
          <w:r>
            <w:rPr>
              <w:noProof/>
              <w:lang w:eastAsia="ru-RU"/>
            </w:rPr>
            <w:drawing>
              <wp:inline distT="0" distB="0" distL="0" distR="0" wp14:anchorId="23D0C84D" wp14:editId="1BA10119">
                <wp:extent cx="580390" cy="580390"/>
                <wp:effectExtent l="0" t="0" r="0" b="0"/>
                <wp:docPr id="11" name="Рисунок 11" descr="http://undocs.org/m2/QRCode.ashx?DS=ECE/CEP/2015/2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ECE/CEP/2015/2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0390" cy="580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7349A" w:rsidRPr="00797A78" w:rsidTr="0069319F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C7349A" w:rsidRPr="00480740" w:rsidRDefault="00C7349A" w:rsidP="0069319F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480740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480740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480740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480740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480740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</w:t>
          </w:r>
          <w:r w:rsidRPr="00480740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</w:t>
          </w:r>
          <w:r w:rsidRPr="00480740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480740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480740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C7349A" w:rsidRDefault="00C7349A" w:rsidP="0069319F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C7349A" w:rsidRDefault="00C7349A" w:rsidP="0069319F"/>
      </w:tc>
    </w:tr>
  </w:tbl>
  <w:p w:rsidR="00C7349A" w:rsidRPr="007005EE" w:rsidRDefault="00C7349A" w:rsidP="004D639B">
    <w:pPr>
      <w:pStyle w:val="a7"/>
      <w:spacing w:line="240" w:lineRule="auto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49A" w:rsidRPr="009A6F4A" w:rsidRDefault="00C7349A" w:rsidP="007005EE">
    <w:pPr>
      <w:pStyle w:val="a7"/>
      <w:rPr>
        <w:lang w:val="en-US"/>
      </w:rPr>
    </w:pPr>
    <w:r>
      <w:rPr>
        <w:lang w:val="en-US"/>
      </w:rPr>
      <w:t>GE.16-19310</w:t>
    </w:r>
    <w:r>
      <w:rPr>
        <w:lang w:val="en-US"/>
      </w:rPr>
      <w:tab/>
    </w: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785AD5">
      <w:rPr>
        <w:b/>
        <w:noProof/>
        <w:sz w:val="18"/>
        <w:szCs w:val="18"/>
      </w:rPr>
      <w:t>29</w:t>
    </w:r>
    <w:r w:rsidRPr="00BA2D2B">
      <w:rPr>
        <w:b/>
        <w:sz w:val="18"/>
        <w:szCs w:val="18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49A" w:rsidRPr="00DA3B15" w:rsidRDefault="00C7349A" w:rsidP="00DA3B15">
    <w:pPr>
      <w:pStyle w:val="a7"/>
    </w:pP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785AD5">
      <w:rPr>
        <w:b/>
        <w:noProof/>
        <w:sz w:val="18"/>
        <w:szCs w:val="18"/>
      </w:rPr>
      <w:t>28</w:t>
    </w:r>
    <w:r w:rsidRPr="00BA2D2B">
      <w:rPr>
        <w:b/>
        <w:sz w:val="18"/>
        <w:szCs w:val="18"/>
      </w:rPr>
      <w:fldChar w:fldCharType="end"/>
    </w:r>
    <w:r>
      <w:rPr>
        <w:b/>
        <w:sz w:val="18"/>
        <w:szCs w:val="18"/>
      </w:rPr>
      <w:tab/>
    </w:r>
    <w:r>
      <w:rPr>
        <w:lang w:val="en-US"/>
      </w:rPr>
      <w:t>GE.16-19310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49A" w:rsidRPr="009141DC" w:rsidRDefault="00C7349A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C7349A" w:rsidRPr="00D1261C" w:rsidRDefault="00C7349A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C7349A" w:rsidRPr="0013545D" w:rsidRDefault="00C7349A" w:rsidP="006E3113">
      <w:pPr>
        <w:pStyle w:val="aa"/>
        <w:widowControl w:val="0"/>
        <w:tabs>
          <w:tab w:val="clear" w:pos="1021"/>
          <w:tab w:val="right" w:pos="1020"/>
        </w:tabs>
        <w:rPr>
          <w:lang w:val="ru-RU"/>
        </w:rPr>
      </w:pPr>
      <w:r>
        <w:tab/>
      </w:r>
      <w:r w:rsidRPr="00E96C53">
        <w:rPr>
          <w:rStyle w:val="a6"/>
        </w:rPr>
        <w:footnoteRef/>
      </w:r>
      <w:r w:rsidRPr="00B23901">
        <w:rPr>
          <w:lang w:val="ru-RU"/>
        </w:rPr>
        <w:tab/>
      </w:r>
      <w:r w:rsidRPr="0013545D">
        <w:rPr>
          <w:lang w:val="ru-RU"/>
        </w:rPr>
        <w:t>Документы совещаний и другая информация о</w:t>
      </w:r>
      <w:r>
        <w:rPr>
          <w:lang w:val="ru-RU"/>
        </w:rPr>
        <w:t xml:space="preserve"> </w:t>
      </w:r>
      <w:r w:rsidRPr="0013545D">
        <w:rPr>
          <w:lang w:val="ru-RU"/>
        </w:rPr>
        <w:t>сессии, включая резюме решений, ра</w:t>
      </w:r>
      <w:r>
        <w:rPr>
          <w:lang w:val="ru-RU"/>
        </w:rPr>
        <w:t xml:space="preserve">змещены на веб-странице сессии </w:t>
      </w:r>
      <w:r w:rsidRPr="0013545D">
        <w:rPr>
          <w:lang w:val="ru-RU"/>
        </w:rPr>
        <w:t>(</w:t>
      </w:r>
      <w:hyperlink r:id="rId1" w:history="1">
        <w:r w:rsidRPr="0069319F">
          <w:rPr>
            <w:rStyle w:val="af"/>
            <w:color w:val="auto"/>
            <w:u w:val="none"/>
          </w:rPr>
          <w:t>http</w:t>
        </w:r>
        <w:r w:rsidRPr="0069319F">
          <w:rPr>
            <w:rStyle w:val="af"/>
            <w:color w:val="auto"/>
            <w:u w:val="none"/>
            <w:lang w:val="ru-RU"/>
          </w:rPr>
          <w:t>://</w:t>
        </w:r>
        <w:r w:rsidRPr="0069319F">
          <w:rPr>
            <w:rStyle w:val="af"/>
            <w:color w:val="auto"/>
            <w:u w:val="none"/>
          </w:rPr>
          <w:t>www</w:t>
        </w:r>
        <w:r w:rsidRPr="0069319F">
          <w:rPr>
            <w:rStyle w:val="af"/>
            <w:color w:val="auto"/>
            <w:u w:val="none"/>
            <w:lang w:val="ru-RU"/>
          </w:rPr>
          <w:t>.</w:t>
        </w:r>
        <w:r w:rsidRPr="0069319F">
          <w:rPr>
            <w:rStyle w:val="af"/>
            <w:color w:val="auto"/>
            <w:u w:val="none"/>
          </w:rPr>
          <w:t>unece</w:t>
        </w:r>
        <w:r w:rsidRPr="0069319F">
          <w:rPr>
            <w:rStyle w:val="af"/>
            <w:color w:val="auto"/>
            <w:u w:val="none"/>
            <w:lang w:val="ru-RU"/>
          </w:rPr>
          <w:t>.</w:t>
        </w:r>
        <w:r w:rsidRPr="0069319F">
          <w:rPr>
            <w:rStyle w:val="af"/>
            <w:color w:val="auto"/>
            <w:u w:val="none"/>
          </w:rPr>
          <w:t>org</w:t>
        </w:r>
        <w:r w:rsidRPr="0069319F">
          <w:rPr>
            <w:rStyle w:val="af"/>
            <w:color w:val="auto"/>
            <w:u w:val="none"/>
            <w:lang w:val="ru-RU"/>
          </w:rPr>
          <w:t>/</w:t>
        </w:r>
        <w:r w:rsidRPr="0069319F">
          <w:rPr>
            <w:rStyle w:val="af"/>
            <w:color w:val="auto"/>
            <w:u w:val="none"/>
          </w:rPr>
          <w:t>index</w:t>
        </w:r>
        <w:r w:rsidRPr="0069319F">
          <w:rPr>
            <w:rStyle w:val="af"/>
            <w:color w:val="auto"/>
            <w:u w:val="none"/>
            <w:lang w:val="ru-RU"/>
          </w:rPr>
          <w:t>.</w:t>
        </w:r>
        <w:r w:rsidRPr="0069319F">
          <w:rPr>
            <w:rStyle w:val="af"/>
            <w:color w:val="auto"/>
            <w:u w:val="none"/>
          </w:rPr>
          <w:t>php</w:t>
        </w:r>
        <w:r w:rsidRPr="0069319F">
          <w:rPr>
            <w:rStyle w:val="af"/>
            <w:color w:val="auto"/>
            <w:u w:val="none"/>
            <w:lang w:val="ru-RU"/>
          </w:rPr>
          <w:t>?</w:t>
        </w:r>
        <w:r w:rsidRPr="0069319F">
          <w:rPr>
            <w:rStyle w:val="af"/>
            <w:color w:val="auto"/>
            <w:u w:val="none"/>
          </w:rPr>
          <w:t>id</w:t>
        </w:r>
        <w:r w:rsidRPr="0069319F">
          <w:rPr>
            <w:rStyle w:val="af"/>
            <w:color w:val="auto"/>
            <w:u w:val="none"/>
            <w:lang w:val="ru-RU"/>
          </w:rPr>
          <w:t>=38470</w:t>
        </w:r>
      </w:hyperlink>
      <w:r w:rsidRPr="0013545D">
        <w:rPr>
          <w:lang w:val="ru-RU"/>
        </w:rPr>
        <w:t>).</w:t>
      </w:r>
    </w:p>
  </w:footnote>
  <w:footnote w:id="2">
    <w:p w:rsidR="00C7349A" w:rsidRPr="00B23901" w:rsidRDefault="00C7349A" w:rsidP="006E3113">
      <w:pPr>
        <w:pStyle w:val="aa"/>
        <w:widowControl w:val="0"/>
        <w:rPr>
          <w:lang w:val="ru-RU"/>
        </w:rPr>
      </w:pPr>
      <w:r w:rsidRPr="002C5DF6">
        <w:rPr>
          <w:lang w:val="ru-RU"/>
        </w:rPr>
        <w:tab/>
      </w:r>
      <w:r w:rsidRPr="00E96C53">
        <w:rPr>
          <w:rStyle w:val="a6"/>
        </w:rPr>
        <w:footnoteRef/>
      </w:r>
      <w:r w:rsidRPr="002C5DF6">
        <w:rPr>
          <w:lang w:val="ru-RU"/>
        </w:rPr>
        <w:tab/>
      </w:r>
      <w:r w:rsidRPr="002C5DF6">
        <w:rPr>
          <w:szCs w:val="18"/>
          <w:lang w:val="ru-RU"/>
        </w:rPr>
        <w:t>Общеевропейский регион в рамках процесса «Окружающая среда для Европы» охватывает всех членов ЕЭК, т.е. 56 ее государств</w:t>
      </w:r>
      <w:r>
        <w:rPr>
          <w:szCs w:val="18"/>
          <w:lang w:val="ru-RU"/>
        </w:rPr>
        <w:t>-</w:t>
      </w:r>
      <w:r w:rsidRPr="002C5DF6">
        <w:rPr>
          <w:szCs w:val="18"/>
          <w:lang w:val="ru-RU"/>
        </w:rPr>
        <w:t xml:space="preserve">членов. </w:t>
      </w:r>
    </w:p>
  </w:footnote>
  <w:footnote w:id="3">
    <w:p w:rsidR="00C7349A" w:rsidRPr="003864AE" w:rsidRDefault="00C7349A" w:rsidP="006E3113">
      <w:pPr>
        <w:pStyle w:val="aa"/>
        <w:widowControl w:val="0"/>
        <w:tabs>
          <w:tab w:val="clear" w:pos="1021"/>
          <w:tab w:val="right" w:pos="1020"/>
        </w:tabs>
        <w:rPr>
          <w:lang w:val="ru-RU"/>
        </w:rPr>
      </w:pPr>
      <w:r w:rsidRPr="00B23901">
        <w:rPr>
          <w:lang w:val="ru-RU"/>
        </w:rPr>
        <w:tab/>
      </w:r>
      <w:r w:rsidRPr="00E96C53">
        <w:rPr>
          <w:rStyle w:val="a6"/>
        </w:rPr>
        <w:footnoteRef/>
      </w:r>
      <w:r w:rsidRPr="003864AE">
        <w:rPr>
          <w:lang w:val="ru-RU"/>
        </w:rPr>
        <w:tab/>
      </w:r>
      <w:r>
        <w:rPr>
          <w:lang w:val="ru-RU"/>
        </w:rPr>
        <w:t>Информация и д</w:t>
      </w:r>
      <w:r w:rsidRPr="003864AE">
        <w:rPr>
          <w:lang w:val="ru-RU"/>
        </w:rPr>
        <w:t xml:space="preserve">окументы размещены по адресу </w:t>
      </w:r>
      <w:r>
        <w:fldChar w:fldCharType="begin"/>
      </w:r>
      <w:r w:rsidRPr="00C7349A">
        <w:rPr>
          <w:lang w:val="ru-RU"/>
        </w:rPr>
        <w:instrText xml:space="preserve"> </w:instrText>
      </w:r>
      <w:r>
        <w:instrText>HYPERLINK</w:instrText>
      </w:r>
      <w:r w:rsidRPr="00C7349A">
        <w:rPr>
          <w:lang w:val="ru-RU"/>
        </w:rPr>
        <w:instrText xml:space="preserve"> "</w:instrText>
      </w:r>
      <w:r>
        <w:instrText>http</w:instrText>
      </w:r>
      <w:r w:rsidRPr="00C7349A">
        <w:rPr>
          <w:lang w:val="ru-RU"/>
        </w:rPr>
        <w:instrText>://</w:instrText>
      </w:r>
      <w:r>
        <w:instrText>www</w:instrText>
      </w:r>
      <w:r w:rsidRPr="00C7349A">
        <w:rPr>
          <w:lang w:val="ru-RU"/>
        </w:rPr>
        <w:instrText>.</w:instrText>
      </w:r>
      <w:r>
        <w:instrText>unece</w:instrText>
      </w:r>
      <w:r w:rsidRPr="00C7349A">
        <w:rPr>
          <w:lang w:val="ru-RU"/>
        </w:rPr>
        <w:instrText>.</w:instrText>
      </w:r>
      <w:r>
        <w:instrText>org</w:instrText>
      </w:r>
      <w:r w:rsidRPr="00C7349A">
        <w:rPr>
          <w:lang w:val="ru-RU"/>
        </w:rPr>
        <w:instrText>/</w:instrText>
      </w:r>
      <w:r>
        <w:instrText>index</w:instrText>
      </w:r>
      <w:r w:rsidRPr="00C7349A">
        <w:rPr>
          <w:lang w:val="ru-RU"/>
        </w:rPr>
        <w:instrText>.</w:instrText>
      </w:r>
      <w:r>
        <w:instrText>php</w:instrText>
      </w:r>
      <w:r w:rsidRPr="00C7349A">
        <w:rPr>
          <w:lang w:val="ru-RU"/>
        </w:rPr>
        <w:instrText>?</w:instrText>
      </w:r>
      <w:r>
        <w:instrText>id</w:instrText>
      </w:r>
      <w:r w:rsidRPr="00C7349A">
        <w:rPr>
          <w:lang w:val="ru-RU"/>
        </w:rPr>
        <w:instrText xml:space="preserve">=35851" </w:instrText>
      </w:r>
      <w:r>
        <w:fldChar w:fldCharType="separate"/>
      </w:r>
      <w:r w:rsidRPr="005D2DCB">
        <w:rPr>
          <w:rStyle w:val="af"/>
          <w:color w:val="auto"/>
          <w:u w:val="none"/>
        </w:rPr>
        <w:t>http</w:t>
      </w:r>
      <w:r w:rsidRPr="005D2DCB">
        <w:rPr>
          <w:rStyle w:val="af"/>
          <w:color w:val="auto"/>
          <w:u w:val="none"/>
          <w:lang w:val="ru-RU"/>
        </w:rPr>
        <w:t>://</w:t>
      </w:r>
      <w:r w:rsidRPr="005D2DCB">
        <w:rPr>
          <w:rStyle w:val="af"/>
          <w:color w:val="auto"/>
          <w:u w:val="none"/>
        </w:rPr>
        <w:t>www</w:t>
      </w:r>
      <w:r w:rsidRPr="005D2DCB">
        <w:rPr>
          <w:rStyle w:val="af"/>
          <w:color w:val="auto"/>
          <w:u w:val="none"/>
          <w:lang w:val="ru-RU"/>
        </w:rPr>
        <w:t>.</w:t>
      </w:r>
      <w:r w:rsidRPr="005D2DCB">
        <w:rPr>
          <w:rStyle w:val="af"/>
          <w:color w:val="auto"/>
          <w:u w:val="none"/>
        </w:rPr>
        <w:t>unece</w:t>
      </w:r>
      <w:r w:rsidRPr="005D2DCB">
        <w:rPr>
          <w:rStyle w:val="af"/>
          <w:color w:val="auto"/>
          <w:u w:val="none"/>
          <w:lang w:val="ru-RU"/>
        </w:rPr>
        <w:t>.</w:t>
      </w:r>
      <w:r w:rsidRPr="005D2DCB">
        <w:rPr>
          <w:rStyle w:val="af"/>
          <w:color w:val="auto"/>
          <w:u w:val="none"/>
        </w:rPr>
        <w:t>org</w:t>
      </w:r>
      <w:r w:rsidRPr="005D2DCB">
        <w:rPr>
          <w:rStyle w:val="af"/>
          <w:color w:val="auto"/>
          <w:u w:val="none"/>
          <w:lang w:val="ru-RU"/>
        </w:rPr>
        <w:t>/</w:t>
      </w:r>
      <w:r w:rsidRPr="005D2DCB">
        <w:rPr>
          <w:rStyle w:val="af"/>
          <w:color w:val="auto"/>
          <w:u w:val="none"/>
        </w:rPr>
        <w:t>index</w:t>
      </w:r>
      <w:r w:rsidRPr="005D2DCB">
        <w:rPr>
          <w:rStyle w:val="af"/>
          <w:color w:val="auto"/>
          <w:u w:val="none"/>
          <w:lang w:val="ru-RU"/>
        </w:rPr>
        <w:t>.</w:t>
      </w:r>
      <w:r>
        <w:rPr>
          <w:rStyle w:val="af"/>
          <w:color w:val="auto"/>
          <w:u w:val="none"/>
          <w:lang w:val="ru-RU"/>
        </w:rPr>
        <w:br/>
      </w:r>
      <w:r w:rsidRPr="005D2DCB">
        <w:rPr>
          <w:rStyle w:val="af"/>
          <w:color w:val="auto"/>
          <w:u w:val="none"/>
        </w:rPr>
        <w:t>php</w:t>
      </w:r>
      <w:r w:rsidRPr="005D2DCB">
        <w:rPr>
          <w:rStyle w:val="af"/>
          <w:color w:val="auto"/>
          <w:u w:val="none"/>
          <w:lang w:val="ru-RU"/>
        </w:rPr>
        <w:t>?</w:t>
      </w:r>
      <w:r w:rsidRPr="005D2DCB">
        <w:rPr>
          <w:rStyle w:val="af"/>
          <w:color w:val="auto"/>
          <w:u w:val="none"/>
        </w:rPr>
        <w:t>id</w:t>
      </w:r>
      <w:r w:rsidRPr="005D2DCB">
        <w:rPr>
          <w:rStyle w:val="af"/>
          <w:color w:val="auto"/>
          <w:u w:val="none"/>
          <w:lang w:val="ru-RU"/>
        </w:rPr>
        <w:t>=35851</w:t>
      </w:r>
      <w:r>
        <w:rPr>
          <w:rStyle w:val="af"/>
          <w:color w:val="auto"/>
          <w:u w:val="none"/>
          <w:lang w:val="ru-RU"/>
        </w:rPr>
        <w:fldChar w:fldCharType="end"/>
      </w:r>
      <w:r w:rsidRPr="003864AE">
        <w:rPr>
          <w:lang w:val="ru-RU"/>
        </w:rPr>
        <w:t xml:space="preserve">. </w:t>
      </w:r>
      <w:r>
        <w:rPr>
          <w:lang w:val="ru-RU"/>
        </w:rPr>
        <w:t xml:space="preserve"> </w:t>
      </w:r>
    </w:p>
  </w:footnote>
  <w:footnote w:id="4">
    <w:p w:rsidR="00C7349A" w:rsidRPr="005D2DCB" w:rsidRDefault="00C7349A" w:rsidP="006E3113">
      <w:pPr>
        <w:pStyle w:val="aa"/>
        <w:widowControl w:val="0"/>
        <w:tabs>
          <w:tab w:val="clear" w:pos="1021"/>
          <w:tab w:val="right" w:pos="1020"/>
        </w:tabs>
        <w:rPr>
          <w:lang w:val="ru-RU"/>
        </w:rPr>
      </w:pPr>
      <w:r w:rsidRPr="003864AE">
        <w:rPr>
          <w:lang w:val="ru-RU"/>
        </w:rPr>
        <w:tab/>
      </w:r>
      <w:r w:rsidRPr="00E96C53">
        <w:rPr>
          <w:rStyle w:val="a6"/>
        </w:rPr>
        <w:footnoteRef/>
      </w:r>
      <w:r w:rsidRPr="005D2DCB">
        <w:rPr>
          <w:lang w:val="ru-RU"/>
        </w:rPr>
        <w:tab/>
        <w:t xml:space="preserve">См. </w:t>
      </w:r>
      <w:r>
        <w:fldChar w:fldCharType="begin"/>
      </w:r>
      <w:r w:rsidRPr="00C7349A">
        <w:rPr>
          <w:lang w:val="ru-RU"/>
        </w:rPr>
        <w:instrText xml:space="preserve"> </w:instrText>
      </w:r>
      <w:r>
        <w:instrText>HYPERLINK</w:instrText>
      </w:r>
      <w:r w:rsidRPr="00C7349A">
        <w:rPr>
          <w:lang w:val="ru-RU"/>
        </w:rPr>
        <w:instrText xml:space="preserve"> "</w:instrText>
      </w:r>
      <w:r>
        <w:instrText>http</w:instrText>
      </w:r>
      <w:r w:rsidRPr="00C7349A">
        <w:rPr>
          <w:lang w:val="ru-RU"/>
        </w:rPr>
        <w:instrText>://</w:instrText>
      </w:r>
      <w:r>
        <w:instrText>www</w:instrText>
      </w:r>
      <w:r w:rsidRPr="00C7349A">
        <w:rPr>
          <w:lang w:val="ru-RU"/>
        </w:rPr>
        <w:instrText>.</w:instrText>
      </w:r>
      <w:r>
        <w:instrText>unece</w:instrText>
      </w:r>
      <w:r w:rsidRPr="00C7349A">
        <w:rPr>
          <w:lang w:val="ru-RU"/>
        </w:rPr>
        <w:instrText>.</w:instrText>
      </w:r>
      <w:r>
        <w:instrText>org</w:instrText>
      </w:r>
      <w:r w:rsidRPr="00C7349A">
        <w:rPr>
          <w:lang w:val="ru-RU"/>
        </w:rPr>
        <w:instrText>/</w:instrText>
      </w:r>
      <w:r>
        <w:instrText>index</w:instrText>
      </w:r>
      <w:r w:rsidRPr="00C7349A">
        <w:rPr>
          <w:lang w:val="ru-RU"/>
        </w:rPr>
        <w:instrText>.</w:instrText>
      </w:r>
      <w:r>
        <w:instrText>php</w:instrText>
      </w:r>
      <w:r w:rsidRPr="00C7349A">
        <w:rPr>
          <w:lang w:val="ru-RU"/>
        </w:rPr>
        <w:instrText>?</w:instrText>
      </w:r>
      <w:r>
        <w:instrText>id</w:instrText>
      </w:r>
      <w:r w:rsidRPr="00C7349A">
        <w:rPr>
          <w:lang w:val="ru-RU"/>
        </w:rPr>
        <w:instrText xml:space="preserve">=42256" </w:instrText>
      </w:r>
      <w:r>
        <w:fldChar w:fldCharType="separate"/>
      </w:r>
      <w:r w:rsidRPr="005D2DCB">
        <w:rPr>
          <w:rStyle w:val="af"/>
          <w:color w:val="auto"/>
          <w:u w:val="none"/>
        </w:rPr>
        <w:t>http</w:t>
      </w:r>
      <w:r w:rsidRPr="005D2DCB">
        <w:rPr>
          <w:rStyle w:val="af"/>
          <w:color w:val="auto"/>
          <w:u w:val="none"/>
          <w:lang w:val="ru-RU"/>
        </w:rPr>
        <w:t>://</w:t>
      </w:r>
      <w:r w:rsidRPr="005D2DCB">
        <w:rPr>
          <w:rStyle w:val="af"/>
          <w:color w:val="auto"/>
          <w:u w:val="none"/>
        </w:rPr>
        <w:t>www</w:t>
      </w:r>
      <w:r w:rsidRPr="005D2DCB">
        <w:rPr>
          <w:rStyle w:val="af"/>
          <w:color w:val="auto"/>
          <w:u w:val="none"/>
          <w:lang w:val="ru-RU"/>
        </w:rPr>
        <w:t>.</w:t>
      </w:r>
      <w:r w:rsidRPr="005D2DCB">
        <w:rPr>
          <w:rStyle w:val="af"/>
          <w:color w:val="auto"/>
          <w:u w:val="none"/>
        </w:rPr>
        <w:t>unece</w:t>
      </w:r>
      <w:r w:rsidRPr="005D2DCB">
        <w:rPr>
          <w:rStyle w:val="af"/>
          <w:color w:val="auto"/>
          <w:u w:val="none"/>
          <w:lang w:val="ru-RU"/>
        </w:rPr>
        <w:t>.</w:t>
      </w:r>
      <w:r w:rsidRPr="005D2DCB">
        <w:rPr>
          <w:rStyle w:val="af"/>
          <w:color w:val="auto"/>
          <w:u w:val="none"/>
        </w:rPr>
        <w:t>org</w:t>
      </w:r>
      <w:r w:rsidRPr="005D2DCB">
        <w:rPr>
          <w:rStyle w:val="af"/>
          <w:color w:val="auto"/>
          <w:u w:val="none"/>
          <w:lang w:val="ru-RU"/>
        </w:rPr>
        <w:t>/</w:t>
      </w:r>
      <w:r w:rsidRPr="005D2DCB">
        <w:rPr>
          <w:rStyle w:val="af"/>
          <w:color w:val="auto"/>
          <w:u w:val="none"/>
        </w:rPr>
        <w:t>index</w:t>
      </w:r>
      <w:r w:rsidRPr="005D2DCB">
        <w:rPr>
          <w:rStyle w:val="af"/>
          <w:color w:val="auto"/>
          <w:u w:val="none"/>
          <w:lang w:val="ru-RU"/>
        </w:rPr>
        <w:t>.</w:t>
      </w:r>
      <w:r w:rsidRPr="005D2DCB">
        <w:rPr>
          <w:rStyle w:val="af"/>
          <w:color w:val="auto"/>
          <w:u w:val="none"/>
        </w:rPr>
        <w:t>php</w:t>
      </w:r>
      <w:r w:rsidRPr="005D2DCB">
        <w:rPr>
          <w:rStyle w:val="af"/>
          <w:color w:val="auto"/>
          <w:u w:val="none"/>
          <w:lang w:val="ru-RU"/>
        </w:rPr>
        <w:t>?</w:t>
      </w:r>
      <w:r w:rsidRPr="005D2DCB">
        <w:rPr>
          <w:rStyle w:val="af"/>
          <w:color w:val="auto"/>
          <w:u w:val="none"/>
        </w:rPr>
        <w:t>id</w:t>
      </w:r>
      <w:r w:rsidRPr="005D2DCB">
        <w:rPr>
          <w:rStyle w:val="af"/>
          <w:color w:val="auto"/>
          <w:u w:val="none"/>
          <w:lang w:val="ru-RU"/>
        </w:rPr>
        <w:t>=42256</w:t>
      </w:r>
      <w:r>
        <w:rPr>
          <w:rStyle w:val="af"/>
          <w:color w:val="auto"/>
          <w:u w:val="none"/>
          <w:lang w:val="ru-RU"/>
        </w:rPr>
        <w:fldChar w:fldCharType="end"/>
      </w:r>
      <w:r w:rsidRPr="005D2DCB">
        <w:rPr>
          <w:lang w:val="ru-RU"/>
        </w:rPr>
        <w:t xml:space="preserve">. </w:t>
      </w:r>
    </w:p>
  </w:footnote>
  <w:footnote w:id="5">
    <w:p w:rsidR="00C7349A" w:rsidRPr="005D2DCB" w:rsidRDefault="00C7349A" w:rsidP="006E3113">
      <w:pPr>
        <w:pStyle w:val="aa"/>
        <w:widowControl w:val="0"/>
        <w:tabs>
          <w:tab w:val="clear" w:pos="1021"/>
          <w:tab w:val="right" w:pos="1020"/>
        </w:tabs>
        <w:rPr>
          <w:lang w:val="ru-RU"/>
        </w:rPr>
      </w:pPr>
      <w:r w:rsidRPr="005D2DCB">
        <w:rPr>
          <w:lang w:val="ru-RU"/>
        </w:rPr>
        <w:tab/>
      </w:r>
      <w:r w:rsidRPr="00E96C53">
        <w:rPr>
          <w:rStyle w:val="a6"/>
        </w:rPr>
        <w:footnoteRef/>
      </w:r>
      <w:r w:rsidRPr="005D2DCB">
        <w:rPr>
          <w:lang w:val="ru-RU"/>
        </w:rPr>
        <w:tab/>
        <w:t xml:space="preserve">См. </w:t>
      </w:r>
      <w:r>
        <w:fldChar w:fldCharType="begin"/>
      </w:r>
      <w:r w:rsidRPr="00C7349A">
        <w:rPr>
          <w:lang w:val="ru-RU"/>
        </w:rPr>
        <w:instrText xml:space="preserve"> </w:instrText>
      </w:r>
      <w:r>
        <w:instrText>HYPERLINK</w:instrText>
      </w:r>
      <w:r w:rsidRPr="00C7349A">
        <w:rPr>
          <w:lang w:val="ru-RU"/>
        </w:rPr>
        <w:instrText xml:space="preserve"> "</w:instrText>
      </w:r>
      <w:r>
        <w:instrText>http</w:instrText>
      </w:r>
      <w:r w:rsidRPr="00C7349A">
        <w:rPr>
          <w:lang w:val="ru-RU"/>
        </w:rPr>
        <w:instrText>://</w:instrText>
      </w:r>
      <w:r>
        <w:instrText>www</w:instrText>
      </w:r>
      <w:r w:rsidRPr="00C7349A">
        <w:rPr>
          <w:lang w:val="ru-RU"/>
        </w:rPr>
        <w:instrText>.</w:instrText>
      </w:r>
      <w:r>
        <w:instrText>data</w:instrText>
      </w:r>
      <w:r w:rsidRPr="00C7349A">
        <w:rPr>
          <w:lang w:val="ru-RU"/>
        </w:rPr>
        <w:instrText>4</w:instrText>
      </w:r>
      <w:r>
        <w:instrText>sdgs</w:instrText>
      </w:r>
      <w:r w:rsidRPr="00C7349A">
        <w:rPr>
          <w:lang w:val="ru-RU"/>
        </w:rPr>
        <w:instrText>.</w:instrText>
      </w:r>
      <w:r>
        <w:instrText>org</w:instrText>
      </w:r>
      <w:r w:rsidRPr="00C7349A">
        <w:rPr>
          <w:lang w:val="ru-RU"/>
        </w:rPr>
        <w:instrText xml:space="preserve">" </w:instrText>
      </w:r>
      <w:r>
        <w:fldChar w:fldCharType="separate"/>
      </w:r>
      <w:r w:rsidRPr="005D2DCB">
        <w:rPr>
          <w:rStyle w:val="af"/>
          <w:color w:val="auto"/>
          <w:u w:val="none"/>
        </w:rPr>
        <w:t>http</w:t>
      </w:r>
      <w:r w:rsidRPr="005D2DCB">
        <w:rPr>
          <w:rStyle w:val="af"/>
          <w:color w:val="auto"/>
          <w:u w:val="none"/>
          <w:lang w:val="ru-RU"/>
        </w:rPr>
        <w:t>://</w:t>
      </w:r>
      <w:r w:rsidRPr="005D2DCB">
        <w:rPr>
          <w:rStyle w:val="af"/>
          <w:color w:val="auto"/>
          <w:u w:val="none"/>
        </w:rPr>
        <w:t>www</w:t>
      </w:r>
      <w:r w:rsidRPr="005D2DCB">
        <w:rPr>
          <w:rStyle w:val="af"/>
          <w:color w:val="auto"/>
          <w:u w:val="none"/>
          <w:lang w:val="ru-RU"/>
        </w:rPr>
        <w:t>.</w:t>
      </w:r>
      <w:r w:rsidRPr="005D2DCB">
        <w:rPr>
          <w:rStyle w:val="af"/>
          <w:color w:val="auto"/>
          <w:u w:val="none"/>
        </w:rPr>
        <w:t>data</w:t>
      </w:r>
      <w:r w:rsidRPr="005D2DCB">
        <w:rPr>
          <w:rStyle w:val="af"/>
          <w:color w:val="auto"/>
          <w:u w:val="none"/>
          <w:lang w:val="ru-RU"/>
        </w:rPr>
        <w:t>4</w:t>
      </w:r>
      <w:r w:rsidRPr="005D2DCB">
        <w:rPr>
          <w:rStyle w:val="af"/>
          <w:color w:val="auto"/>
          <w:u w:val="none"/>
        </w:rPr>
        <w:t>sdgs</w:t>
      </w:r>
      <w:r w:rsidRPr="005D2DCB">
        <w:rPr>
          <w:rStyle w:val="af"/>
          <w:color w:val="auto"/>
          <w:u w:val="none"/>
          <w:lang w:val="ru-RU"/>
        </w:rPr>
        <w:t>.</w:t>
      </w:r>
      <w:r w:rsidRPr="005D2DCB">
        <w:rPr>
          <w:rStyle w:val="af"/>
          <w:color w:val="auto"/>
          <w:u w:val="none"/>
        </w:rPr>
        <w:t>org</w:t>
      </w:r>
      <w:r>
        <w:rPr>
          <w:rStyle w:val="af"/>
          <w:color w:val="auto"/>
          <w:u w:val="none"/>
        </w:rPr>
        <w:fldChar w:fldCharType="end"/>
      </w:r>
      <w:r w:rsidRPr="005D2DCB">
        <w:rPr>
          <w:lang w:val="ru-RU"/>
        </w:rPr>
        <w:t>.</w:t>
      </w:r>
    </w:p>
  </w:footnote>
  <w:footnote w:id="6">
    <w:p w:rsidR="00C7349A" w:rsidRPr="005D2DCB" w:rsidRDefault="00C7349A" w:rsidP="006E3113">
      <w:pPr>
        <w:pStyle w:val="aa"/>
        <w:widowControl w:val="0"/>
        <w:tabs>
          <w:tab w:val="clear" w:pos="1021"/>
          <w:tab w:val="right" w:pos="1020"/>
        </w:tabs>
        <w:rPr>
          <w:lang w:val="ru-RU"/>
        </w:rPr>
      </w:pPr>
      <w:r w:rsidRPr="005D2DCB">
        <w:rPr>
          <w:lang w:val="ru-RU"/>
        </w:rPr>
        <w:tab/>
      </w:r>
      <w:r w:rsidRPr="00E96C53">
        <w:rPr>
          <w:rStyle w:val="a6"/>
        </w:rPr>
        <w:footnoteRef/>
      </w:r>
      <w:r w:rsidRPr="005D2DCB">
        <w:rPr>
          <w:lang w:val="ru-RU"/>
        </w:rPr>
        <w:tab/>
        <w:t xml:space="preserve">См. </w:t>
      </w:r>
      <w:r>
        <w:fldChar w:fldCharType="begin"/>
      </w:r>
      <w:r w:rsidRPr="00C7349A">
        <w:rPr>
          <w:lang w:val="ru-RU"/>
        </w:rPr>
        <w:instrText xml:space="preserve"> </w:instrText>
      </w:r>
      <w:r>
        <w:instrText>HYPERLINK</w:instrText>
      </w:r>
      <w:r w:rsidRPr="00C7349A">
        <w:rPr>
          <w:lang w:val="ru-RU"/>
        </w:rPr>
        <w:instrText xml:space="preserve"> "</w:instrText>
      </w:r>
      <w:r>
        <w:instrText>http</w:instrText>
      </w:r>
      <w:r w:rsidRPr="00C7349A">
        <w:rPr>
          <w:lang w:val="ru-RU"/>
        </w:rPr>
        <w:instrText>://</w:instrText>
      </w:r>
      <w:r>
        <w:instrText>www</w:instrText>
      </w:r>
      <w:r w:rsidRPr="00C7349A">
        <w:rPr>
          <w:lang w:val="ru-RU"/>
        </w:rPr>
        <w:instrText>.</w:instrText>
      </w:r>
      <w:r>
        <w:instrText>earthobservations</w:instrText>
      </w:r>
      <w:r w:rsidRPr="00C7349A">
        <w:rPr>
          <w:lang w:val="ru-RU"/>
        </w:rPr>
        <w:instrText>.</w:instrText>
      </w:r>
      <w:r>
        <w:instrText>org</w:instrText>
      </w:r>
      <w:r w:rsidRPr="00C7349A">
        <w:rPr>
          <w:lang w:val="ru-RU"/>
        </w:rPr>
        <w:instrText>/</w:instrText>
      </w:r>
      <w:r>
        <w:instrText>index</w:instrText>
      </w:r>
      <w:r w:rsidRPr="00C7349A">
        <w:rPr>
          <w:lang w:val="ru-RU"/>
        </w:rPr>
        <w:instrText>.</w:instrText>
      </w:r>
      <w:r>
        <w:instrText>php</w:instrText>
      </w:r>
      <w:r w:rsidRPr="00C7349A">
        <w:rPr>
          <w:lang w:val="ru-RU"/>
        </w:rPr>
        <w:instrText xml:space="preserve">" </w:instrText>
      </w:r>
      <w:r>
        <w:fldChar w:fldCharType="separate"/>
      </w:r>
      <w:r w:rsidRPr="005D2DCB">
        <w:rPr>
          <w:rStyle w:val="af"/>
          <w:color w:val="auto"/>
          <w:u w:val="none"/>
        </w:rPr>
        <w:t>http</w:t>
      </w:r>
      <w:r w:rsidRPr="005D2DCB">
        <w:rPr>
          <w:rStyle w:val="af"/>
          <w:color w:val="auto"/>
          <w:u w:val="none"/>
          <w:lang w:val="ru-RU"/>
        </w:rPr>
        <w:t>://</w:t>
      </w:r>
      <w:r w:rsidRPr="005D2DCB">
        <w:rPr>
          <w:rStyle w:val="af"/>
          <w:color w:val="auto"/>
          <w:u w:val="none"/>
        </w:rPr>
        <w:t>www</w:t>
      </w:r>
      <w:r w:rsidRPr="005D2DCB">
        <w:rPr>
          <w:rStyle w:val="af"/>
          <w:color w:val="auto"/>
          <w:u w:val="none"/>
          <w:lang w:val="ru-RU"/>
        </w:rPr>
        <w:t>.</w:t>
      </w:r>
      <w:r w:rsidRPr="005D2DCB">
        <w:rPr>
          <w:rStyle w:val="af"/>
          <w:color w:val="auto"/>
          <w:u w:val="none"/>
        </w:rPr>
        <w:t>earthobservations</w:t>
      </w:r>
      <w:r w:rsidRPr="005D2DCB">
        <w:rPr>
          <w:rStyle w:val="af"/>
          <w:color w:val="auto"/>
          <w:u w:val="none"/>
          <w:lang w:val="ru-RU"/>
        </w:rPr>
        <w:t>.</w:t>
      </w:r>
      <w:r w:rsidRPr="005D2DCB">
        <w:rPr>
          <w:rStyle w:val="af"/>
          <w:color w:val="auto"/>
          <w:u w:val="none"/>
        </w:rPr>
        <w:t>org</w:t>
      </w:r>
      <w:r w:rsidRPr="005D2DCB">
        <w:rPr>
          <w:rStyle w:val="af"/>
          <w:color w:val="auto"/>
          <w:u w:val="none"/>
          <w:lang w:val="ru-RU"/>
        </w:rPr>
        <w:t>/</w:t>
      </w:r>
      <w:r w:rsidRPr="005D2DCB">
        <w:rPr>
          <w:rStyle w:val="af"/>
          <w:color w:val="auto"/>
          <w:u w:val="none"/>
        </w:rPr>
        <w:t>index</w:t>
      </w:r>
      <w:r w:rsidRPr="005D2DCB">
        <w:rPr>
          <w:rStyle w:val="af"/>
          <w:color w:val="auto"/>
          <w:u w:val="none"/>
          <w:lang w:val="ru-RU"/>
        </w:rPr>
        <w:t>.</w:t>
      </w:r>
      <w:r w:rsidRPr="005D2DCB">
        <w:rPr>
          <w:rStyle w:val="af"/>
          <w:color w:val="auto"/>
          <w:u w:val="none"/>
        </w:rPr>
        <w:t>php</w:t>
      </w:r>
      <w:r>
        <w:rPr>
          <w:rStyle w:val="af"/>
          <w:color w:val="auto"/>
          <w:u w:val="none"/>
        </w:rPr>
        <w:fldChar w:fldCharType="end"/>
      </w:r>
      <w:r w:rsidRPr="005D2DCB">
        <w:rPr>
          <w:lang w:val="ru-RU"/>
        </w:rPr>
        <w:t>.</w:t>
      </w:r>
    </w:p>
  </w:footnote>
  <w:footnote w:id="7">
    <w:p w:rsidR="00C7349A" w:rsidRPr="005D2DCB" w:rsidRDefault="00C7349A" w:rsidP="006E3113">
      <w:pPr>
        <w:pStyle w:val="aa"/>
        <w:widowControl w:val="0"/>
        <w:tabs>
          <w:tab w:val="clear" w:pos="1021"/>
          <w:tab w:val="right" w:pos="1020"/>
        </w:tabs>
        <w:rPr>
          <w:lang w:val="ru-RU"/>
        </w:rPr>
      </w:pPr>
      <w:r w:rsidRPr="005D2DCB">
        <w:rPr>
          <w:lang w:val="ru-RU"/>
        </w:rPr>
        <w:tab/>
      </w:r>
      <w:r w:rsidRPr="00E96C53">
        <w:rPr>
          <w:rStyle w:val="a6"/>
        </w:rPr>
        <w:footnoteRef/>
      </w:r>
      <w:r w:rsidRPr="005D2DCB">
        <w:rPr>
          <w:lang w:val="ru-RU"/>
        </w:rPr>
        <w:tab/>
        <w:t xml:space="preserve">См. </w:t>
      </w:r>
      <w:r>
        <w:fldChar w:fldCharType="begin"/>
      </w:r>
      <w:r w:rsidRPr="00C7349A">
        <w:rPr>
          <w:lang w:val="ru-RU"/>
        </w:rPr>
        <w:instrText xml:space="preserve"> </w:instrText>
      </w:r>
      <w:r>
        <w:instrText>HYPERLINK</w:instrText>
      </w:r>
      <w:r w:rsidRPr="00C7349A">
        <w:rPr>
          <w:lang w:val="ru-RU"/>
        </w:rPr>
        <w:instrText xml:space="preserve"> "</w:instrText>
      </w:r>
      <w:r>
        <w:instrText>http</w:instrText>
      </w:r>
      <w:r w:rsidRPr="00C7349A">
        <w:rPr>
          <w:lang w:val="ru-RU"/>
        </w:rPr>
        <w:instrText>://</w:instrText>
      </w:r>
      <w:r>
        <w:instrText>unstats</w:instrText>
      </w:r>
      <w:r w:rsidRPr="00C7349A">
        <w:rPr>
          <w:lang w:val="ru-RU"/>
        </w:rPr>
        <w:instrText>.</w:instrText>
      </w:r>
      <w:r>
        <w:instrText>un</w:instrText>
      </w:r>
      <w:r w:rsidRPr="00C7349A">
        <w:rPr>
          <w:lang w:val="ru-RU"/>
        </w:rPr>
        <w:instrText>.</w:instrText>
      </w:r>
      <w:r>
        <w:instrText>org</w:instrText>
      </w:r>
      <w:r w:rsidRPr="00C7349A">
        <w:rPr>
          <w:lang w:val="ru-RU"/>
        </w:rPr>
        <w:instrText>/</w:instrText>
      </w:r>
      <w:r>
        <w:instrText>unsd</w:instrText>
      </w:r>
      <w:r w:rsidRPr="00C7349A">
        <w:rPr>
          <w:lang w:val="ru-RU"/>
        </w:rPr>
        <w:instrText>/</w:instrText>
      </w:r>
      <w:r>
        <w:instrText>envaccounting</w:instrText>
      </w:r>
      <w:r w:rsidRPr="00C7349A">
        <w:rPr>
          <w:lang w:val="ru-RU"/>
        </w:rPr>
        <w:instrText>/</w:instrText>
      </w:r>
      <w:r>
        <w:instrText>seea</w:instrText>
      </w:r>
      <w:r w:rsidRPr="00C7349A">
        <w:rPr>
          <w:lang w:val="ru-RU"/>
        </w:rPr>
        <w:instrText>.</w:instrText>
      </w:r>
      <w:r>
        <w:instrText>asp</w:instrText>
      </w:r>
      <w:r w:rsidRPr="00C7349A">
        <w:rPr>
          <w:lang w:val="ru-RU"/>
        </w:rPr>
        <w:instrText xml:space="preserve">" </w:instrText>
      </w:r>
      <w:r>
        <w:fldChar w:fldCharType="separate"/>
      </w:r>
      <w:r w:rsidRPr="005D2DCB">
        <w:rPr>
          <w:rStyle w:val="af"/>
          <w:color w:val="auto"/>
          <w:u w:val="none"/>
        </w:rPr>
        <w:t>http</w:t>
      </w:r>
      <w:r w:rsidRPr="005D2DCB">
        <w:rPr>
          <w:rStyle w:val="af"/>
          <w:color w:val="auto"/>
          <w:u w:val="none"/>
          <w:lang w:val="ru-RU"/>
        </w:rPr>
        <w:t>://</w:t>
      </w:r>
      <w:r w:rsidRPr="005D2DCB">
        <w:rPr>
          <w:rStyle w:val="af"/>
          <w:color w:val="auto"/>
          <w:u w:val="none"/>
        </w:rPr>
        <w:t>unstats</w:t>
      </w:r>
      <w:r w:rsidRPr="005D2DCB">
        <w:rPr>
          <w:rStyle w:val="af"/>
          <w:color w:val="auto"/>
          <w:u w:val="none"/>
          <w:lang w:val="ru-RU"/>
        </w:rPr>
        <w:t>.</w:t>
      </w:r>
      <w:r w:rsidRPr="005D2DCB">
        <w:rPr>
          <w:rStyle w:val="af"/>
          <w:color w:val="auto"/>
          <w:u w:val="none"/>
        </w:rPr>
        <w:t>un</w:t>
      </w:r>
      <w:r w:rsidRPr="005D2DCB">
        <w:rPr>
          <w:rStyle w:val="af"/>
          <w:color w:val="auto"/>
          <w:u w:val="none"/>
          <w:lang w:val="ru-RU"/>
        </w:rPr>
        <w:t>.</w:t>
      </w:r>
      <w:r w:rsidRPr="005D2DCB">
        <w:rPr>
          <w:rStyle w:val="af"/>
          <w:color w:val="auto"/>
          <w:u w:val="none"/>
        </w:rPr>
        <w:t>org</w:t>
      </w:r>
      <w:r w:rsidRPr="005D2DCB">
        <w:rPr>
          <w:rStyle w:val="af"/>
          <w:color w:val="auto"/>
          <w:u w:val="none"/>
          <w:lang w:val="ru-RU"/>
        </w:rPr>
        <w:t>/</w:t>
      </w:r>
      <w:r w:rsidRPr="005D2DCB">
        <w:rPr>
          <w:rStyle w:val="af"/>
          <w:color w:val="auto"/>
          <w:u w:val="none"/>
        </w:rPr>
        <w:t>unsd</w:t>
      </w:r>
      <w:r w:rsidRPr="005D2DCB">
        <w:rPr>
          <w:rStyle w:val="af"/>
          <w:color w:val="auto"/>
          <w:u w:val="none"/>
          <w:lang w:val="ru-RU"/>
        </w:rPr>
        <w:t>/</w:t>
      </w:r>
      <w:r w:rsidRPr="005D2DCB">
        <w:rPr>
          <w:rStyle w:val="af"/>
          <w:color w:val="auto"/>
          <w:u w:val="none"/>
        </w:rPr>
        <w:t>envaccounting</w:t>
      </w:r>
      <w:r w:rsidRPr="005D2DCB">
        <w:rPr>
          <w:rStyle w:val="af"/>
          <w:color w:val="auto"/>
          <w:u w:val="none"/>
          <w:lang w:val="ru-RU"/>
        </w:rPr>
        <w:t>/</w:t>
      </w:r>
      <w:r w:rsidRPr="005D2DCB">
        <w:rPr>
          <w:rStyle w:val="af"/>
          <w:color w:val="auto"/>
          <w:u w:val="none"/>
        </w:rPr>
        <w:t>seea</w:t>
      </w:r>
      <w:r w:rsidRPr="005D2DCB">
        <w:rPr>
          <w:rStyle w:val="af"/>
          <w:color w:val="auto"/>
          <w:u w:val="none"/>
          <w:lang w:val="ru-RU"/>
        </w:rPr>
        <w:t>.</w:t>
      </w:r>
      <w:r w:rsidRPr="005D2DCB">
        <w:rPr>
          <w:rStyle w:val="af"/>
          <w:color w:val="auto"/>
          <w:u w:val="none"/>
        </w:rPr>
        <w:t>asp</w:t>
      </w:r>
      <w:r>
        <w:rPr>
          <w:rStyle w:val="af"/>
          <w:color w:val="auto"/>
          <w:u w:val="none"/>
        </w:rPr>
        <w:fldChar w:fldCharType="end"/>
      </w:r>
      <w:r w:rsidRPr="005D2DCB">
        <w:rPr>
          <w:lang w:val="ru-RU"/>
        </w:rPr>
        <w:t xml:space="preserve">. </w:t>
      </w:r>
    </w:p>
  </w:footnote>
  <w:footnote w:id="8">
    <w:p w:rsidR="00C7349A" w:rsidRPr="003864AE" w:rsidRDefault="00C7349A" w:rsidP="006E3113">
      <w:pPr>
        <w:pStyle w:val="aa"/>
        <w:widowControl w:val="0"/>
        <w:tabs>
          <w:tab w:val="clear" w:pos="1021"/>
          <w:tab w:val="right" w:pos="1020"/>
        </w:tabs>
        <w:rPr>
          <w:lang w:val="ru-RU"/>
        </w:rPr>
      </w:pPr>
      <w:r w:rsidRPr="00BB5CFC">
        <w:rPr>
          <w:lang w:val="ru-RU"/>
        </w:rPr>
        <w:tab/>
      </w:r>
      <w:r w:rsidRPr="00E96C53">
        <w:rPr>
          <w:rStyle w:val="a6"/>
        </w:rPr>
        <w:footnoteRef/>
      </w:r>
      <w:r w:rsidRPr="004D781C">
        <w:rPr>
          <w:lang w:val="ru-RU"/>
        </w:rPr>
        <w:tab/>
        <w:t>Более подробную информацию о неофициально</w:t>
      </w:r>
      <w:r>
        <w:rPr>
          <w:lang w:val="ru-RU"/>
        </w:rPr>
        <w:t>м</w:t>
      </w:r>
      <w:r w:rsidRPr="004D781C">
        <w:rPr>
          <w:lang w:val="ru-RU"/>
        </w:rPr>
        <w:t xml:space="preserve"> процесс</w:t>
      </w:r>
      <w:r>
        <w:rPr>
          <w:lang w:val="ru-RU"/>
        </w:rPr>
        <w:t>е</w:t>
      </w:r>
      <w:r w:rsidRPr="004D781C">
        <w:rPr>
          <w:lang w:val="ru-RU"/>
        </w:rPr>
        <w:t xml:space="preserve"> см.</w:t>
      </w:r>
      <w:r>
        <w:rPr>
          <w:lang w:val="ru-RU"/>
        </w:rPr>
        <w:t xml:space="preserve"> по адресу</w:t>
      </w:r>
      <w:r w:rsidRPr="004D781C">
        <w:rPr>
          <w:lang w:val="ru-RU"/>
        </w:rPr>
        <w:t xml:space="preserve"> </w:t>
      </w:r>
      <w:r>
        <w:fldChar w:fldCharType="begin"/>
      </w:r>
      <w:r w:rsidRPr="00C7349A">
        <w:rPr>
          <w:lang w:val="ru-RU"/>
        </w:rPr>
        <w:instrText xml:space="preserve"> </w:instrText>
      </w:r>
      <w:r>
        <w:instrText>HYPERLINK</w:instrText>
      </w:r>
      <w:r w:rsidRPr="00C7349A">
        <w:rPr>
          <w:lang w:val="ru-RU"/>
        </w:rPr>
        <w:instrText xml:space="preserve"> "</w:instrText>
      </w:r>
      <w:r>
        <w:instrText>http</w:instrText>
      </w:r>
      <w:r w:rsidRPr="00C7349A">
        <w:rPr>
          <w:lang w:val="ru-RU"/>
        </w:rPr>
        <w:instrText>://</w:instrText>
      </w:r>
      <w:r>
        <w:instrText>www</w:instrText>
      </w:r>
      <w:r w:rsidRPr="00C7349A">
        <w:rPr>
          <w:lang w:val="ru-RU"/>
        </w:rPr>
        <w:instrText>.</w:instrText>
      </w:r>
      <w:r>
        <w:instrText>unece</w:instrText>
      </w:r>
      <w:r w:rsidRPr="00C7349A">
        <w:rPr>
          <w:lang w:val="ru-RU"/>
        </w:rPr>
        <w:instrText>.</w:instrText>
      </w:r>
      <w:r>
        <w:instrText>org</w:instrText>
      </w:r>
      <w:r w:rsidRPr="00C7349A">
        <w:rPr>
          <w:lang w:val="ru-RU"/>
        </w:rPr>
        <w:instrText>/</w:instrText>
      </w:r>
      <w:r>
        <w:instrText>environmental</w:instrText>
      </w:r>
      <w:r w:rsidRPr="00C7349A">
        <w:rPr>
          <w:lang w:val="ru-RU"/>
        </w:rPr>
        <w:instrText>-</w:instrText>
      </w:r>
      <w:r>
        <w:instrText>policy</w:instrText>
      </w:r>
      <w:r w:rsidRPr="00C7349A">
        <w:rPr>
          <w:lang w:val="ru-RU"/>
        </w:rPr>
        <w:instrText>/</w:instrText>
      </w:r>
      <w:r>
        <w:instrText>conventions</w:instrText>
      </w:r>
      <w:r w:rsidRPr="00C7349A">
        <w:rPr>
          <w:lang w:val="ru-RU"/>
        </w:rPr>
        <w:instrText>/</w:instrText>
      </w:r>
      <w:r>
        <w:instrText>joint</w:instrText>
      </w:r>
      <w:r w:rsidRPr="00C7349A">
        <w:rPr>
          <w:lang w:val="ru-RU"/>
        </w:rPr>
        <w:instrText>-</w:instrText>
      </w:r>
      <w:r>
        <w:instrText>work</w:instrText>
      </w:r>
      <w:r w:rsidRPr="00C7349A">
        <w:rPr>
          <w:lang w:val="ru-RU"/>
        </w:rPr>
        <w:instrText>-</w:instrText>
      </w:r>
      <w:r>
        <w:instrText>and</w:instrText>
      </w:r>
      <w:r w:rsidRPr="00C7349A">
        <w:rPr>
          <w:lang w:val="ru-RU"/>
        </w:rPr>
        <w:instrText>-</w:instrText>
      </w:r>
      <w:r>
        <w:instrText>informal</w:instrText>
      </w:r>
      <w:r w:rsidRPr="00C7349A">
        <w:rPr>
          <w:lang w:val="ru-RU"/>
        </w:rPr>
        <w:instrText>-</w:instrText>
      </w:r>
      <w:r>
        <w:instrText>networks</w:instrText>
      </w:r>
      <w:r w:rsidRPr="00C7349A">
        <w:rPr>
          <w:lang w:val="ru-RU"/>
        </w:rPr>
        <w:instrText xml:space="preserve">" </w:instrText>
      </w:r>
      <w:r>
        <w:fldChar w:fldCharType="separate"/>
      </w:r>
      <w:r w:rsidRPr="005D2DCB">
        <w:rPr>
          <w:rStyle w:val="af"/>
          <w:color w:val="auto"/>
          <w:u w:val="none"/>
        </w:rPr>
        <w:t>http</w:t>
      </w:r>
      <w:r w:rsidRPr="005D2DCB">
        <w:rPr>
          <w:rStyle w:val="af"/>
          <w:color w:val="auto"/>
          <w:u w:val="none"/>
          <w:lang w:val="ru-RU"/>
        </w:rPr>
        <w:t>://</w:t>
      </w:r>
      <w:r w:rsidRPr="005D2DCB">
        <w:rPr>
          <w:rStyle w:val="af"/>
          <w:color w:val="auto"/>
          <w:u w:val="none"/>
        </w:rPr>
        <w:t>www</w:t>
      </w:r>
      <w:r w:rsidRPr="005D2DCB">
        <w:rPr>
          <w:rStyle w:val="af"/>
          <w:color w:val="auto"/>
          <w:u w:val="none"/>
          <w:lang w:val="ru-RU"/>
        </w:rPr>
        <w:t>.</w:t>
      </w:r>
      <w:r w:rsidRPr="005D2DCB">
        <w:rPr>
          <w:rStyle w:val="af"/>
          <w:color w:val="auto"/>
          <w:u w:val="none"/>
        </w:rPr>
        <w:t>unece</w:t>
      </w:r>
      <w:r w:rsidRPr="005D2DCB">
        <w:rPr>
          <w:rStyle w:val="af"/>
          <w:color w:val="auto"/>
          <w:u w:val="none"/>
          <w:lang w:val="ru-RU"/>
        </w:rPr>
        <w:t>.</w:t>
      </w:r>
      <w:r w:rsidRPr="005D2DCB">
        <w:rPr>
          <w:rStyle w:val="af"/>
          <w:color w:val="auto"/>
          <w:u w:val="none"/>
        </w:rPr>
        <w:t>org</w:t>
      </w:r>
      <w:r w:rsidRPr="005D2DCB">
        <w:rPr>
          <w:rStyle w:val="af"/>
          <w:color w:val="auto"/>
          <w:u w:val="none"/>
          <w:lang w:val="ru-RU"/>
        </w:rPr>
        <w:t>/</w:t>
      </w:r>
      <w:r w:rsidRPr="005D2DCB">
        <w:rPr>
          <w:rStyle w:val="af"/>
          <w:color w:val="auto"/>
          <w:u w:val="none"/>
        </w:rPr>
        <w:t>environmental</w:t>
      </w:r>
      <w:r w:rsidRPr="005D2DCB">
        <w:rPr>
          <w:rStyle w:val="af"/>
          <w:color w:val="auto"/>
          <w:u w:val="none"/>
          <w:lang w:val="ru-RU"/>
        </w:rPr>
        <w:t>-</w:t>
      </w:r>
      <w:r w:rsidRPr="005D2DCB">
        <w:rPr>
          <w:rStyle w:val="af"/>
          <w:color w:val="auto"/>
          <w:u w:val="none"/>
        </w:rPr>
        <w:t>policy</w:t>
      </w:r>
      <w:r w:rsidRPr="005D2DCB">
        <w:rPr>
          <w:rStyle w:val="af"/>
          <w:color w:val="auto"/>
          <w:u w:val="none"/>
          <w:lang w:val="ru-RU"/>
        </w:rPr>
        <w:t>/</w:t>
      </w:r>
      <w:r w:rsidRPr="005D2DCB">
        <w:rPr>
          <w:rStyle w:val="af"/>
          <w:color w:val="auto"/>
          <w:u w:val="none"/>
        </w:rPr>
        <w:t>conventions</w:t>
      </w:r>
      <w:r w:rsidRPr="005D2DCB">
        <w:rPr>
          <w:rStyle w:val="af"/>
          <w:color w:val="auto"/>
          <w:u w:val="none"/>
          <w:lang w:val="ru-RU"/>
        </w:rPr>
        <w:t>/</w:t>
      </w:r>
      <w:r w:rsidRPr="005D2DCB">
        <w:rPr>
          <w:rStyle w:val="af"/>
          <w:color w:val="auto"/>
          <w:u w:val="none"/>
        </w:rPr>
        <w:t>joint</w:t>
      </w:r>
      <w:r w:rsidRPr="005D2DCB">
        <w:rPr>
          <w:rStyle w:val="af"/>
          <w:color w:val="auto"/>
          <w:u w:val="none"/>
          <w:lang w:val="ru-RU"/>
        </w:rPr>
        <w:t>-</w:t>
      </w:r>
      <w:r w:rsidRPr="005D2DCB">
        <w:rPr>
          <w:rStyle w:val="af"/>
          <w:color w:val="auto"/>
          <w:u w:val="none"/>
        </w:rPr>
        <w:t>work</w:t>
      </w:r>
      <w:r w:rsidRPr="005D2DCB">
        <w:rPr>
          <w:rStyle w:val="af"/>
          <w:color w:val="auto"/>
          <w:u w:val="none"/>
          <w:lang w:val="ru-RU"/>
        </w:rPr>
        <w:t>-</w:t>
      </w:r>
      <w:r w:rsidRPr="005D2DCB">
        <w:rPr>
          <w:rStyle w:val="af"/>
          <w:color w:val="auto"/>
          <w:u w:val="none"/>
        </w:rPr>
        <w:t>and</w:t>
      </w:r>
      <w:r w:rsidRPr="005D2DCB">
        <w:rPr>
          <w:rStyle w:val="af"/>
          <w:color w:val="auto"/>
          <w:u w:val="none"/>
          <w:lang w:val="ru-RU"/>
        </w:rPr>
        <w:t>-</w:t>
      </w:r>
      <w:r w:rsidRPr="005D2DCB">
        <w:rPr>
          <w:rStyle w:val="af"/>
          <w:color w:val="auto"/>
          <w:u w:val="none"/>
        </w:rPr>
        <w:t>informal</w:t>
      </w:r>
      <w:r w:rsidRPr="005D2DCB">
        <w:rPr>
          <w:rStyle w:val="af"/>
          <w:color w:val="auto"/>
          <w:u w:val="none"/>
          <w:lang w:val="ru-RU"/>
        </w:rPr>
        <w:t>-</w:t>
      </w:r>
      <w:r w:rsidRPr="005D2DCB">
        <w:rPr>
          <w:rStyle w:val="af"/>
          <w:color w:val="auto"/>
          <w:u w:val="none"/>
        </w:rPr>
        <w:t>networks</w:t>
      </w:r>
      <w:r>
        <w:rPr>
          <w:rStyle w:val="af"/>
          <w:color w:val="auto"/>
          <w:u w:val="none"/>
        </w:rPr>
        <w:fldChar w:fldCharType="end"/>
      </w:r>
      <w:r w:rsidRPr="004D781C">
        <w:rPr>
          <w:lang w:val="ru-RU"/>
        </w:rPr>
        <w:t xml:space="preserve">. </w:t>
      </w:r>
      <w:r>
        <w:rPr>
          <w:lang w:val="ru-RU"/>
        </w:rPr>
        <w:t xml:space="preserve">  </w:t>
      </w:r>
    </w:p>
  </w:footnote>
  <w:footnote w:id="9">
    <w:p w:rsidR="00C7349A" w:rsidRPr="001F5477" w:rsidRDefault="00C7349A" w:rsidP="005A5BCC">
      <w:pPr>
        <w:pStyle w:val="aa"/>
        <w:widowControl w:val="0"/>
        <w:tabs>
          <w:tab w:val="clear" w:pos="1021"/>
          <w:tab w:val="right" w:pos="1020"/>
        </w:tabs>
        <w:rPr>
          <w:lang w:val="ru-RU"/>
        </w:rPr>
      </w:pPr>
      <w:r w:rsidRPr="004D781C">
        <w:rPr>
          <w:lang w:val="ru-RU"/>
        </w:rPr>
        <w:tab/>
      </w:r>
      <w:r>
        <w:rPr>
          <w:rStyle w:val="a6"/>
        </w:rPr>
        <w:footnoteRef/>
      </w:r>
      <w:r w:rsidRPr="001F5477">
        <w:rPr>
          <w:lang w:val="ru-RU"/>
        </w:rPr>
        <w:tab/>
      </w:r>
      <w:r>
        <w:rPr>
          <w:lang w:val="ru-RU"/>
        </w:rPr>
        <w:t xml:space="preserve">Представление принимающей страны размещено на веб-сайте ЕЭК по адресу </w:t>
      </w:r>
      <w:r>
        <w:t>http</w:t>
      </w:r>
      <w:r w:rsidRPr="001F5477">
        <w:rPr>
          <w:lang w:val="ru-RU"/>
        </w:rPr>
        <w:t>://</w:t>
      </w:r>
      <w:r w:rsidRPr="000320D1">
        <w:t>www</w:t>
      </w:r>
      <w:r w:rsidRPr="001F5477">
        <w:rPr>
          <w:lang w:val="ru-RU"/>
        </w:rPr>
        <w:t>.</w:t>
      </w:r>
      <w:r w:rsidRPr="000320D1">
        <w:t>unece</w:t>
      </w:r>
      <w:r w:rsidRPr="001F5477">
        <w:rPr>
          <w:lang w:val="ru-RU"/>
        </w:rPr>
        <w:t>.</w:t>
      </w:r>
      <w:r w:rsidRPr="000320D1">
        <w:t>org</w:t>
      </w:r>
      <w:r w:rsidRPr="001F5477">
        <w:rPr>
          <w:lang w:val="ru-RU"/>
        </w:rPr>
        <w:t>/</w:t>
      </w:r>
      <w:r w:rsidRPr="000320D1">
        <w:t>index</w:t>
      </w:r>
      <w:r w:rsidRPr="001F5477">
        <w:rPr>
          <w:lang w:val="ru-RU"/>
        </w:rPr>
        <w:t>.</w:t>
      </w:r>
      <w:r w:rsidRPr="000320D1">
        <w:t>php</w:t>
      </w:r>
      <w:r w:rsidRPr="001F5477">
        <w:rPr>
          <w:lang w:val="ru-RU"/>
        </w:rPr>
        <w:t>?</w:t>
      </w:r>
      <w:r w:rsidRPr="000320D1">
        <w:t>id</w:t>
      </w:r>
      <w:r w:rsidRPr="001F5477">
        <w:rPr>
          <w:lang w:val="ru-RU"/>
        </w:rPr>
        <w:t xml:space="preserve">=38470. </w:t>
      </w:r>
    </w:p>
  </w:footnote>
  <w:footnote w:id="10">
    <w:p w:rsidR="00C7349A" w:rsidRPr="00A17601" w:rsidRDefault="00C7349A" w:rsidP="005A5BCC">
      <w:pPr>
        <w:pStyle w:val="aa"/>
        <w:widowControl w:val="0"/>
        <w:tabs>
          <w:tab w:val="clear" w:pos="1021"/>
          <w:tab w:val="right" w:pos="1020"/>
        </w:tabs>
        <w:rPr>
          <w:color w:val="000000" w:themeColor="text1"/>
          <w:lang w:val="ru-RU"/>
        </w:rPr>
      </w:pPr>
      <w:r w:rsidRPr="001F5477">
        <w:rPr>
          <w:lang w:val="ru-RU"/>
        </w:rPr>
        <w:tab/>
      </w:r>
      <w:r>
        <w:rPr>
          <w:rStyle w:val="a6"/>
        </w:rPr>
        <w:footnoteRef/>
      </w:r>
      <w:r w:rsidRPr="006E0E60">
        <w:rPr>
          <w:lang w:val="ru-RU"/>
        </w:rPr>
        <w:tab/>
        <w:t xml:space="preserve">Дополнительная информация доступна по адресу </w:t>
      </w:r>
      <w:r>
        <w:fldChar w:fldCharType="begin"/>
      </w:r>
      <w:r w:rsidRPr="00C7349A">
        <w:rPr>
          <w:lang w:val="ru-RU"/>
        </w:rPr>
        <w:instrText xml:space="preserve"> </w:instrText>
      </w:r>
      <w:r>
        <w:instrText>HYPERLINK</w:instrText>
      </w:r>
      <w:r w:rsidRPr="00C7349A">
        <w:rPr>
          <w:lang w:val="ru-RU"/>
        </w:rPr>
        <w:instrText xml:space="preserve"> "</w:instrText>
      </w:r>
      <w:r>
        <w:instrText>http</w:instrText>
      </w:r>
      <w:r w:rsidRPr="00C7349A">
        <w:rPr>
          <w:lang w:val="ru-RU"/>
        </w:rPr>
        <w:instrText>://</w:instrText>
      </w:r>
      <w:r>
        <w:instrText>www</w:instrText>
      </w:r>
      <w:r w:rsidRPr="00C7349A">
        <w:rPr>
          <w:lang w:val="ru-RU"/>
        </w:rPr>
        <w:instrText>.</w:instrText>
      </w:r>
      <w:r>
        <w:instrText>unece</w:instrText>
      </w:r>
      <w:r w:rsidRPr="00C7349A">
        <w:rPr>
          <w:lang w:val="ru-RU"/>
        </w:rPr>
        <w:instrText>.</w:instrText>
      </w:r>
      <w:r>
        <w:instrText>org</w:instrText>
      </w:r>
      <w:r w:rsidRPr="00C7349A">
        <w:rPr>
          <w:lang w:val="ru-RU"/>
        </w:rPr>
        <w:instrText>/</w:instrText>
      </w:r>
      <w:r>
        <w:instrText>index</w:instrText>
      </w:r>
      <w:r w:rsidRPr="00C7349A">
        <w:rPr>
          <w:lang w:val="ru-RU"/>
        </w:rPr>
        <w:instrText>.</w:instrText>
      </w:r>
      <w:r>
        <w:instrText>php</w:instrText>
      </w:r>
      <w:r w:rsidRPr="00C7349A">
        <w:rPr>
          <w:lang w:val="ru-RU"/>
        </w:rPr>
        <w:instrText>?</w:instrText>
      </w:r>
      <w:r>
        <w:instrText>id</w:instrText>
      </w:r>
      <w:r w:rsidRPr="00C7349A">
        <w:rPr>
          <w:lang w:val="ru-RU"/>
        </w:rPr>
        <w:instrText xml:space="preserve">=38322" </w:instrText>
      </w:r>
      <w:r>
        <w:fldChar w:fldCharType="separate"/>
      </w:r>
      <w:r w:rsidRPr="00A17601">
        <w:rPr>
          <w:rStyle w:val="af"/>
          <w:color w:val="000000" w:themeColor="text1"/>
          <w:u w:val="none"/>
        </w:rPr>
        <w:t>http</w:t>
      </w:r>
      <w:r w:rsidRPr="00A17601">
        <w:rPr>
          <w:rStyle w:val="af"/>
          <w:color w:val="000000" w:themeColor="text1"/>
          <w:u w:val="none"/>
          <w:lang w:val="ru-RU"/>
        </w:rPr>
        <w:t>://</w:t>
      </w:r>
      <w:r w:rsidRPr="00A17601">
        <w:rPr>
          <w:rStyle w:val="af"/>
          <w:color w:val="000000" w:themeColor="text1"/>
          <w:u w:val="none"/>
        </w:rPr>
        <w:t>www</w:t>
      </w:r>
      <w:r w:rsidRPr="00A17601">
        <w:rPr>
          <w:rStyle w:val="af"/>
          <w:color w:val="000000" w:themeColor="text1"/>
          <w:u w:val="none"/>
          <w:lang w:val="ru-RU"/>
        </w:rPr>
        <w:t>.</w:t>
      </w:r>
      <w:r w:rsidRPr="00A17601">
        <w:rPr>
          <w:rStyle w:val="af"/>
          <w:color w:val="000000" w:themeColor="text1"/>
          <w:u w:val="none"/>
        </w:rPr>
        <w:t>unece</w:t>
      </w:r>
      <w:r w:rsidRPr="00A17601">
        <w:rPr>
          <w:rStyle w:val="af"/>
          <w:color w:val="000000" w:themeColor="text1"/>
          <w:u w:val="none"/>
          <w:lang w:val="ru-RU"/>
        </w:rPr>
        <w:t>.</w:t>
      </w:r>
      <w:r w:rsidRPr="00A17601">
        <w:rPr>
          <w:rStyle w:val="af"/>
          <w:color w:val="000000" w:themeColor="text1"/>
          <w:u w:val="none"/>
        </w:rPr>
        <w:t>org</w:t>
      </w:r>
      <w:r w:rsidRPr="00A17601">
        <w:rPr>
          <w:rStyle w:val="af"/>
          <w:color w:val="000000" w:themeColor="text1"/>
          <w:u w:val="none"/>
          <w:lang w:val="ru-RU"/>
        </w:rPr>
        <w:t>/</w:t>
      </w:r>
      <w:r w:rsidRPr="00A17601">
        <w:rPr>
          <w:rStyle w:val="af"/>
          <w:color w:val="000000" w:themeColor="text1"/>
          <w:u w:val="none"/>
        </w:rPr>
        <w:t>index</w:t>
      </w:r>
      <w:r w:rsidRPr="00A17601">
        <w:rPr>
          <w:rStyle w:val="af"/>
          <w:color w:val="000000" w:themeColor="text1"/>
          <w:u w:val="none"/>
          <w:lang w:val="ru-RU"/>
        </w:rPr>
        <w:t>.</w:t>
      </w:r>
      <w:r>
        <w:rPr>
          <w:rStyle w:val="af"/>
          <w:color w:val="000000" w:themeColor="text1"/>
          <w:u w:val="none"/>
          <w:lang w:val="ru-RU"/>
        </w:rPr>
        <w:br/>
      </w:r>
      <w:r w:rsidRPr="00A17601">
        <w:rPr>
          <w:rStyle w:val="af"/>
          <w:color w:val="000000" w:themeColor="text1"/>
          <w:u w:val="none"/>
        </w:rPr>
        <w:t>php</w:t>
      </w:r>
      <w:r w:rsidRPr="00A17601">
        <w:rPr>
          <w:rStyle w:val="af"/>
          <w:color w:val="000000" w:themeColor="text1"/>
          <w:u w:val="none"/>
          <w:lang w:val="ru-RU"/>
        </w:rPr>
        <w:t>?</w:t>
      </w:r>
      <w:r w:rsidRPr="00A17601">
        <w:rPr>
          <w:rStyle w:val="af"/>
          <w:color w:val="000000" w:themeColor="text1"/>
          <w:u w:val="none"/>
        </w:rPr>
        <w:t>id</w:t>
      </w:r>
      <w:r w:rsidRPr="00A17601">
        <w:rPr>
          <w:rStyle w:val="af"/>
          <w:color w:val="000000" w:themeColor="text1"/>
          <w:u w:val="none"/>
          <w:lang w:val="ru-RU"/>
        </w:rPr>
        <w:t>=38322</w:t>
      </w:r>
      <w:r>
        <w:rPr>
          <w:rStyle w:val="af"/>
          <w:color w:val="000000" w:themeColor="text1"/>
          <w:u w:val="none"/>
          <w:lang w:val="ru-RU"/>
        </w:rPr>
        <w:fldChar w:fldCharType="end"/>
      </w:r>
      <w:r w:rsidRPr="00A17601">
        <w:rPr>
          <w:color w:val="000000" w:themeColor="text1"/>
          <w:lang w:val="ru-RU"/>
        </w:rPr>
        <w:t>.</w:t>
      </w:r>
    </w:p>
  </w:footnote>
  <w:footnote w:id="11">
    <w:p w:rsidR="00C7349A" w:rsidRPr="00A17601" w:rsidRDefault="00C7349A" w:rsidP="005A5BCC">
      <w:pPr>
        <w:pStyle w:val="aa"/>
        <w:widowControl w:val="0"/>
        <w:tabs>
          <w:tab w:val="clear" w:pos="1021"/>
          <w:tab w:val="right" w:pos="1020"/>
        </w:tabs>
        <w:rPr>
          <w:lang w:val="ru-RU"/>
        </w:rPr>
      </w:pPr>
      <w:r w:rsidRPr="006E0E60">
        <w:rPr>
          <w:lang w:val="ru-RU"/>
        </w:rPr>
        <w:tab/>
      </w:r>
      <w:r>
        <w:rPr>
          <w:rStyle w:val="a6"/>
        </w:rPr>
        <w:footnoteRef/>
      </w:r>
      <w:r w:rsidRPr="006E0E60">
        <w:rPr>
          <w:lang w:val="ru-RU"/>
        </w:rPr>
        <w:tab/>
        <w:t>Документы совещания размещены по адресу</w:t>
      </w:r>
      <w:r>
        <w:rPr>
          <w:lang w:val="ru-RU"/>
        </w:rPr>
        <w:t xml:space="preserve"> </w:t>
      </w:r>
      <w:r>
        <w:fldChar w:fldCharType="begin"/>
      </w:r>
      <w:r w:rsidRPr="00C7349A">
        <w:rPr>
          <w:lang w:val="ru-RU"/>
        </w:rPr>
        <w:instrText xml:space="preserve"> </w:instrText>
      </w:r>
      <w:r>
        <w:instrText>HYPERLINK</w:instrText>
      </w:r>
      <w:r w:rsidRPr="00C7349A">
        <w:rPr>
          <w:lang w:val="ru-RU"/>
        </w:rPr>
        <w:instrText xml:space="preserve"> "</w:instrText>
      </w:r>
      <w:r>
        <w:instrText>http</w:instrText>
      </w:r>
      <w:r w:rsidRPr="00C7349A">
        <w:rPr>
          <w:lang w:val="ru-RU"/>
        </w:rPr>
        <w:instrText>://</w:instrText>
      </w:r>
      <w:r>
        <w:instrText>www</w:instrText>
      </w:r>
      <w:r w:rsidRPr="00C7349A">
        <w:rPr>
          <w:lang w:val="ru-RU"/>
        </w:rPr>
        <w:instrText>.</w:instrText>
      </w:r>
      <w:r>
        <w:instrText>unece</w:instrText>
      </w:r>
      <w:r w:rsidRPr="00C7349A">
        <w:rPr>
          <w:lang w:val="ru-RU"/>
        </w:rPr>
        <w:instrText>.</w:instrText>
      </w:r>
      <w:r>
        <w:instrText>org</w:instrText>
      </w:r>
      <w:r w:rsidRPr="00C7349A">
        <w:rPr>
          <w:lang w:val="ru-RU"/>
        </w:rPr>
        <w:instrText>/</w:instrText>
      </w:r>
      <w:r>
        <w:instrText>environmental</w:instrText>
      </w:r>
      <w:r w:rsidRPr="00C7349A">
        <w:rPr>
          <w:lang w:val="ru-RU"/>
        </w:rPr>
        <w:instrText>-</w:instrText>
      </w:r>
      <w:r>
        <w:instrText>policy</w:instrText>
      </w:r>
      <w:r w:rsidRPr="00C7349A">
        <w:rPr>
          <w:lang w:val="ru-RU"/>
        </w:rPr>
        <w:instrText>/</w:instrText>
      </w:r>
      <w:r>
        <w:instrText>environmental</w:instrText>
      </w:r>
      <w:r w:rsidRPr="00C7349A">
        <w:rPr>
          <w:lang w:val="ru-RU"/>
        </w:rPr>
        <w:instrText>-</w:instrText>
      </w:r>
      <w:r>
        <w:instrText>monitoring</w:instrText>
      </w:r>
      <w:r w:rsidRPr="00C7349A">
        <w:rPr>
          <w:lang w:val="ru-RU"/>
        </w:rPr>
        <w:instrText>-</w:instrText>
      </w:r>
      <w:r>
        <w:instrText>and</w:instrText>
      </w:r>
      <w:r w:rsidRPr="00C7349A">
        <w:rPr>
          <w:lang w:val="ru-RU"/>
        </w:rPr>
        <w:instrText>-</w:instrText>
      </w:r>
      <w:r>
        <w:instrText>assessment</w:instrText>
      </w:r>
      <w:r w:rsidRPr="00C7349A">
        <w:rPr>
          <w:lang w:val="ru-RU"/>
        </w:rPr>
        <w:instrText>/</w:instrText>
      </w:r>
      <w:r>
        <w:instrText>meetings</w:instrText>
      </w:r>
      <w:r w:rsidRPr="00C7349A">
        <w:rPr>
          <w:lang w:val="ru-RU"/>
        </w:rPr>
        <w:instrText>-</w:instrText>
      </w:r>
      <w:r>
        <w:instrText>and</w:instrText>
      </w:r>
      <w:r w:rsidRPr="00C7349A">
        <w:rPr>
          <w:lang w:val="ru-RU"/>
        </w:rPr>
        <w:instrText>-</w:instrText>
      </w:r>
      <w:r>
        <w:instrText>events</w:instrText>
      </w:r>
      <w:r w:rsidRPr="00C7349A">
        <w:rPr>
          <w:lang w:val="ru-RU"/>
        </w:rPr>
        <w:instrText xml:space="preserve">" </w:instrText>
      </w:r>
      <w:r>
        <w:fldChar w:fldCharType="separate"/>
      </w:r>
      <w:r w:rsidRPr="00A17601">
        <w:rPr>
          <w:rStyle w:val="af"/>
          <w:color w:val="auto"/>
          <w:u w:val="none"/>
        </w:rPr>
        <w:t>http</w:t>
      </w:r>
      <w:r w:rsidRPr="00A17601">
        <w:rPr>
          <w:rStyle w:val="af"/>
          <w:color w:val="auto"/>
          <w:u w:val="none"/>
          <w:lang w:val="ru-RU"/>
        </w:rPr>
        <w:t>://</w:t>
      </w:r>
      <w:r w:rsidRPr="00A17601">
        <w:rPr>
          <w:rStyle w:val="af"/>
          <w:color w:val="auto"/>
          <w:u w:val="none"/>
        </w:rPr>
        <w:t>www</w:t>
      </w:r>
      <w:r w:rsidRPr="00A17601">
        <w:rPr>
          <w:rStyle w:val="af"/>
          <w:color w:val="auto"/>
          <w:u w:val="none"/>
          <w:lang w:val="ru-RU"/>
        </w:rPr>
        <w:t>.</w:t>
      </w:r>
      <w:r w:rsidRPr="00A17601">
        <w:rPr>
          <w:rStyle w:val="af"/>
          <w:color w:val="auto"/>
          <w:u w:val="none"/>
        </w:rPr>
        <w:t>unece</w:t>
      </w:r>
      <w:r w:rsidRPr="00A17601">
        <w:rPr>
          <w:rStyle w:val="af"/>
          <w:color w:val="auto"/>
          <w:u w:val="none"/>
          <w:lang w:val="ru-RU"/>
        </w:rPr>
        <w:t>.</w:t>
      </w:r>
      <w:r w:rsidRPr="00A17601">
        <w:rPr>
          <w:rStyle w:val="af"/>
          <w:color w:val="auto"/>
          <w:u w:val="none"/>
        </w:rPr>
        <w:t>org</w:t>
      </w:r>
      <w:r w:rsidRPr="00A17601">
        <w:rPr>
          <w:rStyle w:val="af"/>
          <w:color w:val="auto"/>
          <w:u w:val="none"/>
          <w:lang w:val="ru-RU"/>
        </w:rPr>
        <w:t>/</w:t>
      </w:r>
      <w:r w:rsidRPr="00A17601">
        <w:rPr>
          <w:rStyle w:val="af"/>
          <w:color w:val="auto"/>
          <w:u w:val="none"/>
        </w:rPr>
        <w:t>environmental</w:t>
      </w:r>
      <w:r w:rsidRPr="00A17601">
        <w:rPr>
          <w:rStyle w:val="af"/>
          <w:color w:val="auto"/>
          <w:u w:val="none"/>
          <w:lang w:val="ru-RU"/>
        </w:rPr>
        <w:t>-</w:t>
      </w:r>
      <w:r w:rsidRPr="00A17601">
        <w:rPr>
          <w:rStyle w:val="af"/>
          <w:color w:val="auto"/>
          <w:u w:val="none"/>
        </w:rPr>
        <w:t>policy</w:t>
      </w:r>
      <w:r w:rsidRPr="00A17601">
        <w:rPr>
          <w:rStyle w:val="af"/>
          <w:color w:val="auto"/>
          <w:u w:val="none"/>
          <w:lang w:val="ru-RU"/>
        </w:rPr>
        <w:t>/</w:t>
      </w:r>
      <w:r w:rsidRPr="00A17601">
        <w:rPr>
          <w:rStyle w:val="af"/>
          <w:color w:val="auto"/>
          <w:u w:val="none"/>
        </w:rPr>
        <w:t>environmental</w:t>
      </w:r>
      <w:r w:rsidRPr="00A17601">
        <w:rPr>
          <w:rStyle w:val="af"/>
          <w:color w:val="auto"/>
          <w:u w:val="none"/>
          <w:lang w:val="ru-RU"/>
        </w:rPr>
        <w:t>-</w:t>
      </w:r>
      <w:r w:rsidRPr="00A17601">
        <w:rPr>
          <w:rStyle w:val="af"/>
          <w:color w:val="auto"/>
          <w:u w:val="none"/>
        </w:rPr>
        <w:t>monitoring</w:t>
      </w:r>
      <w:r w:rsidRPr="00A17601">
        <w:rPr>
          <w:rStyle w:val="af"/>
          <w:color w:val="auto"/>
          <w:u w:val="none"/>
          <w:lang w:val="ru-RU"/>
        </w:rPr>
        <w:t>-</w:t>
      </w:r>
      <w:r w:rsidRPr="00A17601">
        <w:rPr>
          <w:rStyle w:val="af"/>
          <w:color w:val="auto"/>
          <w:u w:val="none"/>
        </w:rPr>
        <w:t>and</w:t>
      </w:r>
      <w:r w:rsidRPr="00A17601">
        <w:rPr>
          <w:rStyle w:val="af"/>
          <w:color w:val="auto"/>
          <w:u w:val="none"/>
          <w:lang w:val="ru-RU"/>
        </w:rPr>
        <w:t>-</w:t>
      </w:r>
      <w:r w:rsidRPr="00A17601">
        <w:rPr>
          <w:rStyle w:val="af"/>
          <w:color w:val="auto"/>
          <w:u w:val="none"/>
        </w:rPr>
        <w:t>assessment</w:t>
      </w:r>
      <w:r w:rsidRPr="00A17601">
        <w:rPr>
          <w:rStyle w:val="af"/>
          <w:color w:val="auto"/>
          <w:u w:val="none"/>
          <w:lang w:val="ru-RU"/>
        </w:rPr>
        <w:t>/</w:t>
      </w:r>
      <w:r w:rsidRPr="00A17601">
        <w:rPr>
          <w:rStyle w:val="af"/>
          <w:color w:val="auto"/>
          <w:u w:val="none"/>
        </w:rPr>
        <w:t>meetings</w:t>
      </w:r>
      <w:r w:rsidRPr="00A17601">
        <w:rPr>
          <w:rStyle w:val="af"/>
          <w:color w:val="auto"/>
          <w:u w:val="none"/>
          <w:lang w:val="ru-RU"/>
        </w:rPr>
        <w:t>-</w:t>
      </w:r>
      <w:r w:rsidRPr="00A17601">
        <w:rPr>
          <w:rStyle w:val="af"/>
          <w:color w:val="auto"/>
          <w:u w:val="none"/>
        </w:rPr>
        <w:t>and</w:t>
      </w:r>
      <w:r w:rsidRPr="00A17601">
        <w:rPr>
          <w:rStyle w:val="af"/>
          <w:color w:val="auto"/>
          <w:u w:val="none"/>
          <w:lang w:val="ru-RU"/>
        </w:rPr>
        <w:t>-</w:t>
      </w:r>
      <w:r w:rsidRPr="00A17601">
        <w:rPr>
          <w:rStyle w:val="af"/>
          <w:color w:val="auto"/>
          <w:u w:val="none"/>
        </w:rPr>
        <w:t>events</w:t>
      </w:r>
      <w:r>
        <w:rPr>
          <w:rStyle w:val="af"/>
          <w:color w:val="auto"/>
          <w:u w:val="none"/>
        </w:rPr>
        <w:fldChar w:fldCharType="end"/>
      </w:r>
      <w:r w:rsidRPr="00A17601">
        <w:rPr>
          <w:lang w:val="ru-RU"/>
        </w:rPr>
        <w:t xml:space="preserve">. </w:t>
      </w:r>
    </w:p>
  </w:footnote>
  <w:footnote w:id="12">
    <w:p w:rsidR="00C7349A" w:rsidRPr="006E0E60" w:rsidRDefault="00C7349A" w:rsidP="005A5BCC">
      <w:pPr>
        <w:pStyle w:val="aa"/>
        <w:widowControl w:val="0"/>
        <w:tabs>
          <w:tab w:val="clear" w:pos="1021"/>
          <w:tab w:val="right" w:pos="1020"/>
        </w:tabs>
        <w:rPr>
          <w:lang w:val="ru-RU"/>
        </w:rPr>
      </w:pPr>
      <w:r w:rsidRPr="006E0E60">
        <w:rPr>
          <w:lang w:val="ru-RU"/>
        </w:rPr>
        <w:tab/>
      </w:r>
      <w:r>
        <w:rPr>
          <w:rStyle w:val="a6"/>
        </w:rPr>
        <w:footnoteRef/>
      </w:r>
      <w:r w:rsidRPr="006E0E60">
        <w:rPr>
          <w:lang w:val="ru-RU"/>
        </w:rPr>
        <w:tab/>
        <w:t>С дополнительной информацией о</w:t>
      </w:r>
      <w:r>
        <w:rPr>
          <w:lang w:val="ru-RU"/>
        </w:rPr>
        <w:t xml:space="preserve"> симпозиуме</w:t>
      </w:r>
      <w:r w:rsidRPr="006E0E60">
        <w:rPr>
          <w:lang w:val="ru-RU"/>
        </w:rPr>
        <w:t xml:space="preserve"> можно ознакомиться по адресу</w:t>
      </w:r>
      <w:r>
        <w:rPr>
          <w:lang w:val="ru-RU"/>
        </w:rPr>
        <w:t xml:space="preserve"> </w:t>
      </w:r>
      <w:r>
        <w:fldChar w:fldCharType="begin"/>
      </w:r>
      <w:r w:rsidRPr="00C7349A">
        <w:rPr>
          <w:lang w:val="ru-RU"/>
        </w:rPr>
        <w:instrText xml:space="preserve"> </w:instrText>
      </w:r>
      <w:r>
        <w:instrText>HYPERLINK</w:instrText>
      </w:r>
      <w:r w:rsidRPr="00C7349A">
        <w:rPr>
          <w:lang w:val="ru-RU"/>
        </w:rPr>
        <w:instrText xml:space="preserve"> "</w:instrText>
      </w:r>
      <w:r>
        <w:instrText>http</w:instrText>
      </w:r>
      <w:r w:rsidRPr="00C7349A">
        <w:rPr>
          <w:lang w:val="ru-RU"/>
        </w:rPr>
        <w:instrText>://</w:instrText>
      </w:r>
      <w:r>
        <w:instrText>www</w:instrText>
      </w:r>
      <w:r w:rsidRPr="00C7349A">
        <w:rPr>
          <w:lang w:val="ru-RU"/>
        </w:rPr>
        <w:instrText>.</w:instrText>
      </w:r>
      <w:r>
        <w:instrText>unece</w:instrText>
      </w:r>
      <w:r w:rsidRPr="00C7349A">
        <w:rPr>
          <w:lang w:val="ru-RU"/>
        </w:rPr>
        <w:instrText>.</w:instrText>
      </w:r>
      <w:r>
        <w:instrText>org</w:instrText>
      </w:r>
      <w:r w:rsidRPr="00C7349A">
        <w:rPr>
          <w:lang w:val="ru-RU"/>
        </w:rPr>
        <w:instrText>/</w:instrText>
      </w:r>
      <w:r>
        <w:instrText>index</w:instrText>
      </w:r>
      <w:r w:rsidRPr="00C7349A">
        <w:rPr>
          <w:lang w:val="ru-RU"/>
        </w:rPr>
        <w:instrText>.</w:instrText>
      </w:r>
      <w:r>
        <w:instrText>php</w:instrText>
      </w:r>
      <w:r w:rsidRPr="00C7349A">
        <w:rPr>
          <w:lang w:val="ru-RU"/>
        </w:rPr>
        <w:instrText>?</w:instrText>
      </w:r>
      <w:r>
        <w:instrText>id</w:instrText>
      </w:r>
      <w:r w:rsidRPr="00C7349A">
        <w:rPr>
          <w:lang w:val="ru-RU"/>
        </w:rPr>
        <w:instrText xml:space="preserve">=37910" </w:instrText>
      </w:r>
      <w:r>
        <w:fldChar w:fldCharType="separate"/>
      </w:r>
      <w:r w:rsidRPr="00A17601">
        <w:rPr>
          <w:rStyle w:val="af"/>
          <w:color w:val="000000" w:themeColor="text1"/>
          <w:u w:val="none"/>
        </w:rPr>
        <w:t>http</w:t>
      </w:r>
      <w:r w:rsidRPr="00A17601">
        <w:rPr>
          <w:rStyle w:val="af"/>
          <w:color w:val="000000" w:themeColor="text1"/>
          <w:u w:val="none"/>
          <w:lang w:val="ru-RU"/>
        </w:rPr>
        <w:t>://</w:t>
      </w:r>
      <w:r w:rsidRPr="00A17601">
        <w:rPr>
          <w:rStyle w:val="af"/>
          <w:color w:val="000000" w:themeColor="text1"/>
          <w:u w:val="none"/>
        </w:rPr>
        <w:t>www</w:t>
      </w:r>
      <w:r w:rsidRPr="00A17601">
        <w:rPr>
          <w:rStyle w:val="af"/>
          <w:color w:val="000000" w:themeColor="text1"/>
          <w:u w:val="none"/>
          <w:lang w:val="ru-RU"/>
        </w:rPr>
        <w:t>.</w:t>
      </w:r>
      <w:r w:rsidRPr="00A17601">
        <w:rPr>
          <w:rStyle w:val="af"/>
          <w:color w:val="000000" w:themeColor="text1"/>
          <w:u w:val="none"/>
        </w:rPr>
        <w:t>unece</w:t>
      </w:r>
      <w:r w:rsidRPr="00A17601">
        <w:rPr>
          <w:rStyle w:val="af"/>
          <w:color w:val="000000" w:themeColor="text1"/>
          <w:u w:val="none"/>
          <w:lang w:val="ru-RU"/>
        </w:rPr>
        <w:t>.</w:t>
      </w:r>
      <w:r w:rsidRPr="00A17601">
        <w:rPr>
          <w:rStyle w:val="af"/>
          <w:color w:val="000000" w:themeColor="text1"/>
          <w:u w:val="none"/>
        </w:rPr>
        <w:t>org</w:t>
      </w:r>
      <w:r w:rsidRPr="00A17601">
        <w:rPr>
          <w:rStyle w:val="af"/>
          <w:color w:val="000000" w:themeColor="text1"/>
          <w:u w:val="none"/>
          <w:lang w:val="ru-RU"/>
        </w:rPr>
        <w:t>/</w:t>
      </w:r>
      <w:r w:rsidRPr="00A17601">
        <w:rPr>
          <w:rStyle w:val="af"/>
          <w:color w:val="000000" w:themeColor="text1"/>
          <w:u w:val="none"/>
        </w:rPr>
        <w:t>index</w:t>
      </w:r>
      <w:r w:rsidRPr="00A17601">
        <w:rPr>
          <w:rStyle w:val="af"/>
          <w:color w:val="000000" w:themeColor="text1"/>
          <w:u w:val="none"/>
          <w:lang w:val="ru-RU"/>
        </w:rPr>
        <w:t>.</w:t>
      </w:r>
      <w:r w:rsidRPr="00A17601">
        <w:rPr>
          <w:rStyle w:val="af"/>
          <w:color w:val="000000" w:themeColor="text1"/>
          <w:u w:val="none"/>
        </w:rPr>
        <w:t>php</w:t>
      </w:r>
      <w:r w:rsidRPr="00A17601">
        <w:rPr>
          <w:rStyle w:val="af"/>
          <w:color w:val="000000" w:themeColor="text1"/>
          <w:u w:val="none"/>
          <w:lang w:val="ru-RU"/>
        </w:rPr>
        <w:t>?</w:t>
      </w:r>
      <w:r w:rsidRPr="00A17601">
        <w:rPr>
          <w:rStyle w:val="af"/>
          <w:color w:val="000000" w:themeColor="text1"/>
          <w:u w:val="none"/>
        </w:rPr>
        <w:t>id</w:t>
      </w:r>
      <w:r w:rsidRPr="00A17601">
        <w:rPr>
          <w:rStyle w:val="af"/>
          <w:color w:val="000000" w:themeColor="text1"/>
          <w:u w:val="none"/>
          <w:lang w:val="ru-RU"/>
        </w:rPr>
        <w:t>=37910</w:t>
      </w:r>
      <w:r>
        <w:rPr>
          <w:rStyle w:val="af"/>
          <w:color w:val="000000" w:themeColor="text1"/>
          <w:u w:val="none"/>
          <w:lang w:val="ru-RU"/>
        </w:rPr>
        <w:fldChar w:fldCharType="end"/>
      </w:r>
      <w:r w:rsidRPr="00A17601">
        <w:rPr>
          <w:color w:val="000000" w:themeColor="text1"/>
          <w:lang w:val="ru-RU"/>
        </w:rPr>
        <w:t>.</w:t>
      </w:r>
      <w:r>
        <w:rPr>
          <w:color w:val="000000" w:themeColor="text1"/>
          <w:u w:val="single"/>
          <w:lang w:val="ru-RU"/>
        </w:rPr>
        <w:t xml:space="preserve"> </w:t>
      </w:r>
    </w:p>
  </w:footnote>
  <w:footnote w:id="13">
    <w:p w:rsidR="00C7349A" w:rsidRPr="00836F28" w:rsidRDefault="00C7349A" w:rsidP="005A5BCC">
      <w:pPr>
        <w:pStyle w:val="aa"/>
        <w:rPr>
          <w:lang w:val="ru-RU"/>
        </w:rPr>
      </w:pPr>
      <w:r w:rsidRPr="00C7349A">
        <w:rPr>
          <w:lang w:val="ru-RU"/>
        </w:rPr>
        <w:tab/>
      </w:r>
      <w:r>
        <w:rPr>
          <w:rStyle w:val="a6"/>
        </w:rPr>
        <w:footnoteRef/>
      </w:r>
      <w:r w:rsidRPr="00836F28">
        <w:rPr>
          <w:lang w:val="ru-RU"/>
        </w:rPr>
        <w:tab/>
      </w:r>
      <w:r>
        <w:rPr>
          <w:lang w:val="ru-RU"/>
        </w:rPr>
        <w:t>См.</w:t>
      </w:r>
      <w:r w:rsidRPr="00836F28">
        <w:rPr>
          <w:lang w:val="ru-RU"/>
        </w:rPr>
        <w:t xml:space="preserve"> </w:t>
      </w:r>
      <w:hyperlink r:id="rId2" w:history="1">
        <w:r w:rsidRPr="000959D8">
          <w:rPr>
            <w:lang w:val="en-US"/>
          </w:rPr>
          <w:t>http</w:t>
        </w:r>
        <w:r w:rsidRPr="00836F28">
          <w:rPr>
            <w:lang w:val="ru-RU"/>
          </w:rPr>
          <w:t>://</w:t>
        </w:r>
        <w:r w:rsidRPr="000959D8">
          <w:rPr>
            <w:lang w:val="en-US"/>
          </w:rPr>
          <w:t>www</w:t>
        </w:r>
        <w:r w:rsidRPr="00836F28">
          <w:rPr>
            <w:lang w:val="ru-RU"/>
          </w:rPr>
          <w:t>.</w:t>
        </w:r>
        <w:r w:rsidRPr="000959D8">
          <w:rPr>
            <w:lang w:val="en-US"/>
          </w:rPr>
          <w:t>unece</w:t>
        </w:r>
        <w:r w:rsidRPr="00836F28">
          <w:rPr>
            <w:lang w:val="ru-RU"/>
          </w:rPr>
          <w:t>.</w:t>
        </w:r>
        <w:r w:rsidRPr="000959D8">
          <w:rPr>
            <w:lang w:val="en-US"/>
          </w:rPr>
          <w:t>org</w:t>
        </w:r>
        <w:r w:rsidRPr="00836F28">
          <w:rPr>
            <w:lang w:val="ru-RU"/>
          </w:rPr>
          <w:t>/</w:t>
        </w:r>
        <w:r w:rsidRPr="000959D8">
          <w:rPr>
            <w:lang w:val="en-US"/>
          </w:rPr>
          <w:t>index</w:t>
        </w:r>
        <w:r w:rsidRPr="00836F28">
          <w:rPr>
            <w:lang w:val="ru-RU"/>
          </w:rPr>
          <w:t>.</w:t>
        </w:r>
        <w:r w:rsidRPr="000959D8">
          <w:rPr>
            <w:lang w:val="en-US"/>
          </w:rPr>
          <w:t>php</w:t>
        </w:r>
        <w:r w:rsidRPr="00836F28">
          <w:rPr>
            <w:lang w:val="ru-RU"/>
          </w:rPr>
          <w:t>?</w:t>
        </w:r>
        <w:r w:rsidRPr="000959D8">
          <w:rPr>
            <w:lang w:val="en-US"/>
          </w:rPr>
          <w:t>id</w:t>
        </w:r>
        <w:r w:rsidRPr="00836F28">
          <w:rPr>
            <w:lang w:val="ru-RU"/>
          </w:rPr>
          <w:t>=36755</w:t>
        </w:r>
      </w:hyperlink>
      <w:r w:rsidRPr="00836F28">
        <w:rPr>
          <w:lang w:val="ru-RU"/>
        </w:rPr>
        <w:t>.</w:t>
      </w:r>
    </w:p>
  </w:footnote>
  <w:footnote w:id="14">
    <w:p w:rsidR="00C7349A" w:rsidRPr="00836F28" w:rsidRDefault="00C7349A" w:rsidP="005A5BCC">
      <w:pPr>
        <w:pStyle w:val="aa"/>
        <w:rPr>
          <w:lang w:val="ru-RU"/>
        </w:rPr>
      </w:pPr>
      <w:r w:rsidRPr="00836F28">
        <w:rPr>
          <w:lang w:val="ru-RU"/>
        </w:rPr>
        <w:tab/>
      </w:r>
      <w:r>
        <w:rPr>
          <w:rStyle w:val="a6"/>
        </w:rPr>
        <w:footnoteRef/>
      </w:r>
      <w:r w:rsidRPr="00836F28">
        <w:rPr>
          <w:lang w:val="ru-RU"/>
        </w:rPr>
        <w:tab/>
      </w:r>
      <w:r>
        <w:rPr>
          <w:lang w:val="ru-RU"/>
        </w:rPr>
        <w:t>Дополнительную информацию см. по адресу</w:t>
      </w:r>
      <w:r w:rsidRPr="00836F28">
        <w:rPr>
          <w:lang w:val="ru-RU"/>
        </w:rPr>
        <w:t xml:space="preserve"> </w:t>
      </w:r>
      <w:r>
        <w:fldChar w:fldCharType="begin"/>
      </w:r>
      <w:r w:rsidRPr="00C7349A">
        <w:rPr>
          <w:lang w:val="ru-RU"/>
        </w:rPr>
        <w:instrText xml:space="preserve"> </w:instrText>
      </w:r>
      <w:r>
        <w:instrText>HYPERLINK</w:instrText>
      </w:r>
      <w:r w:rsidRPr="00C7349A">
        <w:rPr>
          <w:lang w:val="ru-RU"/>
        </w:rPr>
        <w:instrText xml:space="preserve"> "</w:instrText>
      </w:r>
      <w:r>
        <w:instrText>http</w:instrText>
      </w:r>
      <w:r w:rsidRPr="00C7349A">
        <w:rPr>
          <w:lang w:val="ru-RU"/>
        </w:rPr>
        <w:instrText>://</w:instrText>
      </w:r>
      <w:r>
        <w:instrText>www</w:instrText>
      </w:r>
      <w:r w:rsidRPr="00C7349A">
        <w:rPr>
          <w:lang w:val="ru-RU"/>
        </w:rPr>
        <w:instrText>.</w:instrText>
      </w:r>
      <w:r>
        <w:instrText>euro</w:instrText>
      </w:r>
      <w:r w:rsidRPr="00C7349A">
        <w:rPr>
          <w:lang w:val="ru-RU"/>
        </w:rPr>
        <w:instrText>.</w:instrText>
      </w:r>
      <w:r>
        <w:instrText>who</w:instrText>
      </w:r>
      <w:r w:rsidRPr="00C7349A">
        <w:rPr>
          <w:lang w:val="ru-RU"/>
        </w:rPr>
        <w:instrText>.</w:instrText>
      </w:r>
      <w:r>
        <w:instrText>int</w:instrText>
      </w:r>
      <w:r w:rsidRPr="00C7349A">
        <w:rPr>
          <w:lang w:val="ru-RU"/>
        </w:rPr>
        <w:instrText>/</w:instrText>
      </w:r>
      <w:r>
        <w:instrText>en</w:instrText>
      </w:r>
      <w:r w:rsidRPr="00C7349A">
        <w:rPr>
          <w:lang w:val="ru-RU"/>
        </w:rPr>
        <w:instrText>/</w:instrText>
      </w:r>
      <w:r>
        <w:instrText>media</w:instrText>
      </w:r>
      <w:r w:rsidRPr="00C7349A">
        <w:rPr>
          <w:lang w:val="ru-RU"/>
        </w:rPr>
        <w:instrText>-</w:instrText>
      </w:r>
      <w:r>
        <w:instrText>centre</w:instrText>
      </w:r>
      <w:r w:rsidRPr="00C7349A">
        <w:rPr>
          <w:lang w:val="ru-RU"/>
        </w:rPr>
        <w:instrText>/</w:instrText>
      </w:r>
      <w:r>
        <w:instrText>events</w:instrText>
      </w:r>
      <w:r w:rsidRPr="00C7349A">
        <w:rPr>
          <w:lang w:val="ru-RU"/>
        </w:rPr>
        <w:instrText>/</w:instrText>
      </w:r>
      <w:r>
        <w:instrText>events</w:instrText>
      </w:r>
      <w:r w:rsidRPr="00C7349A">
        <w:rPr>
          <w:lang w:val="ru-RU"/>
        </w:rPr>
        <w:instrText>/2015/04/</w:instrText>
      </w:r>
      <w:r>
        <w:instrText>ehp</w:instrText>
      </w:r>
      <w:r w:rsidRPr="00C7349A">
        <w:rPr>
          <w:lang w:val="ru-RU"/>
        </w:rPr>
        <w:instrText>-</w:instrText>
      </w:r>
      <w:r>
        <w:instrText>mid</w:instrText>
      </w:r>
      <w:r w:rsidRPr="00C7349A">
        <w:rPr>
          <w:lang w:val="ru-RU"/>
        </w:rPr>
        <w:instrText>-</w:instrText>
      </w:r>
      <w:r>
        <w:instrText>term</w:instrText>
      </w:r>
      <w:r w:rsidRPr="00C7349A">
        <w:rPr>
          <w:lang w:val="ru-RU"/>
        </w:rPr>
        <w:instrText>-</w:instrText>
      </w:r>
      <w:r>
        <w:instrText>review</w:instrText>
      </w:r>
      <w:r w:rsidRPr="00C7349A">
        <w:rPr>
          <w:lang w:val="ru-RU"/>
        </w:rPr>
        <w:instrText xml:space="preserve">" </w:instrText>
      </w:r>
      <w:r>
        <w:fldChar w:fldCharType="separate"/>
      </w:r>
      <w:r w:rsidRPr="000959D8">
        <w:rPr>
          <w:lang w:val="en-US"/>
        </w:rPr>
        <w:t>http</w:t>
      </w:r>
      <w:r w:rsidRPr="00836F28">
        <w:rPr>
          <w:lang w:val="ru-RU"/>
        </w:rPr>
        <w:t>://</w:t>
      </w:r>
      <w:r w:rsidRPr="000959D8">
        <w:rPr>
          <w:lang w:val="en-US"/>
        </w:rPr>
        <w:t>www</w:t>
      </w:r>
      <w:r w:rsidRPr="00836F28">
        <w:rPr>
          <w:lang w:val="ru-RU"/>
        </w:rPr>
        <w:t>.</w:t>
      </w:r>
      <w:r w:rsidRPr="000959D8">
        <w:rPr>
          <w:lang w:val="en-US"/>
        </w:rPr>
        <w:t>euro</w:t>
      </w:r>
      <w:r w:rsidRPr="00836F28">
        <w:rPr>
          <w:lang w:val="ru-RU"/>
        </w:rPr>
        <w:t>.</w:t>
      </w:r>
      <w:r w:rsidRPr="000959D8">
        <w:rPr>
          <w:lang w:val="en-US"/>
        </w:rPr>
        <w:t>who</w:t>
      </w:r>
      <w:r w:rsidRPr="00836F28">
        <w:rPr>
          <w:lang w:val="ru-RU"/>
        </w:rPr>
        <w:t>.</w:t>
      </w:r>
      <w:r w:rsidRPr="000959D8">
        <w:rPr>
          <w:lang w:val="en-US"/>
        </w:rPr>
        <w:t>int</w:t>
      </w:r>
      <w:r w:rsidRPr="00836F28">
        <w:rPr>
          <w:lang w:val="ru-RU"/>
        </w:rPr>
        <w:t>/</w:t>
      </w:r>
      <w:r w:rsidRPr="000959D8">
        <w:rPr>
          <w:lang w:val="en-US"/>
        </w:rPr>
        <w:t>en</w:t>
      </w:r>
      <w:r w:rsidRPr="00836F28">
        <w:rPr>
          <w:lang w:val="ru-RU"/>
        </w:rPr>
        <w:t>/</w:t>
      </w:r>
      <w:r w:rsidRPr="000959D8">
        <w:rPr>
          <w:lang w:val="en-US"/>
        </w:rPr>
        <w:t>media</w:t>
      </w:r>
      <w:r w:rsidRPr="00836F28">
        <w:rPr>
          <w:lang w:val="ru-RU"/>
        </w:rPr>
        <w:t>-</w:t>
      </w:r>
      <w:r w:rsidRPr="000959D8">
        <w:rPr>
          <w:lang w:val="en-US"/>
        </w:rPr>
        <w:t>centre</w:t>
      </w:r>
      <w:r w:rsidRPr="00836F28">
        <w:rPr>
          <w:lang w:val="ru-RU"/>
        </w:rPr>
        <w:t>/</w:t>
      </w:r>
      <w:r w:rsidRPr="000959D8">
        <w:rPr>
          <w:lang w:val="en-US"/>
        </w:rPr>
        <w:t>events</w:t>
      </w:r>
      <w:r w:rsidRPr="00836F28">
        <w:rPr>
          <w:lang w:val="ru-RU"/>
        </w:rPr>
        <w:t>/</w:t>
      </w:r>
      <w:r w:rsidRPr="000959D8">
        <w:rPr>
          <w:lang w:val="en-US"/>
        </w:rPr>
        <w:t>events</w:t>
      </w:r>
      <w:r w:rsidRPr="00836F28">
        <w:rPr>
          <w:lang w:val="ru-RU"/>
        </w:rPr>
        <w:t>/2015/04/</w:t>
      </w:r>
      <w:r w:rsidRPr="000959D8">
        <w:rPr>
          <w:lang w:val="en-US"/>
        </w:rPr>
        <w:t>ehp</w:t>
      </w:r>
      <w:r w:rsidRPr="00836F28">
        <w:rPr>
          <w:lang w:val="ru-RU"/>
        </w:rPr>
        <w:t>-</w:t>
      </w:r>
      <w:r w:rsidRPr="000959D8">
        <w:rPr>
          <w:lang w:val="en-US"/>
        </w:rPr>
        <w:t>mid</w:t>
      </w:r>
      <w:r w:rsidRPr="00836F28">
        <w:rPr>
          <w:lang w:val="ru-RU"/>
        </w:rPr>
        <w:t>-</w:t>
      </w:r>
      <w:r w:rsidRPr="000959D8">
        <w:rPr>
          <w:lang w:val="en-US"/>
        </w:rPr>
        <w:t>term</w:t>
      </w:r>
      <w:r w:rsidRPr="00836F28">
        <w:rPr>
          <w:lang w:val="ru-RU"/>
        </w:rPr>
        <w:t>-</w:t>
      </w:r>
      <w:r w:rsidRPr="000959D8">
        <w:rPr>
          <w:lang w:val="en-US"/>
        </w:rPr>
        <w:t>review</w:t>
      </w:r>
      <w:r>
        <w:rPr>
          <w:lang w:val="en-US"/>
        </w:rPr>
        <w:fldChar w:fldCharType="end"/>
      </w:r>
      <w:r w:rsidRPr="00836F28">
        <w:rPr>
          <w:lang w:val="ru-RU"/>
        </w:rPr>
        <w:t>.</w:t>
      </w:r>
    </w:p>
  </w:footnote>
  <w:footnote w:id="15">
    <w:p w:rsidR="00C7349A" w:rsidRPr="005A5BCC" w:rsidRDefault="00C7349A" w:rsidP="005A5BCC">
      <w:pPr>
        <w:pStyle w:val="aa"/>
        <w:rPr>
          <w:lang w:val="ru-RU"/>
        </w:rPr>
      </w:pPr>
      <w:r w:rsidRPr="00836F28">
        <w:rPr>
          <w:lang w:val="ru-RU"/>
        </w:rPr>
        <w:tab/>
      </w:r>
      <w:r>
        <w:rPr>
          <w:rStyle w:val="a6"/>
        </w:rPr>
        <w:footnoteRef/>
      </w:r>
      <w:r w:rsidRPr="005A5BCC">
        <w:rPr>
          <w:lang w:val="ru-RU"/>
        </w:rPr>
        <w:tab/>
      </w:r>
      <w:r>
        <w:rPr>
          <w:lang w:val="ru-RU"/>
        </w:rPr>
        <w:t>См</w:t>
      </w:r>
      <w:r w:rsidRPr="00BB5CFC">
        <w:rPr>
          <w:lang w:val="ru-RU"/>
        </w:rPr>
        <w:t xml:space="preserve">. </w:t>
      </w:r>
      <w:r>
        <w:fldChar w:fldCharType="begin"/>
      </w:r>
      <w:r w:rsidRPr="00C7349A">
        <w:rPr>
          <w:lang w:val="ru-RU"/>
        </w:rPr>
        <w:instrText xml:space="preserve"> </w:instrText>
      </w:r>
      <w:r>
        <w:instrText>HYPERLINK</w:instrText>
      </w:r>
      <w:r w:rsidRPr="00C7349A">
        <w:rPr>
          <w:lang w:val="ru-RU"/>
        </w:rPr>
        <w:instrText xml:space="preserve"> "</w:instrText>
      </w:r>
      <w:r>
        <w:instrText>http</w:instrText>
      </w:r>
      <w:r w:rsidRPr="00C7349A">
        <w:rPr>
          <w:lang w:val="ru-RU"/>
        </w:rPr>
        <w:instrText>://</w:instrText>
      </w:r>
      <w:r>
        <w:instrText>www</w:instrText>
      </w:r>
      <w:r w:rsidRPr="00C7349A">
        <w:rPr>
          <w:lang w:val="ru-RU"/>
        </w:rPr>
        <w:instrText>.</w:instrText>
      </w:r>
      <w:r>
        <w:instrText>unece</w:instrText>
      </w:r>
      <w:r w:rsidRPr="00C7349A">
        <w:rPr>
          <w:lang w:val="ru-RU"/>
        </w:rPr>
        <w:instrText>.</w:instrText>
      </w:r>
      <w:r>
        <w:instrText>org</w:instrText>
      </w:r>
      <w:r w:rsidRPr="00C7349A">
        <w:rPr>
          <w:lang w:val="ru-RU"/>
        </w:rPr>
        <w:instrText>/</w:instrText>
      </w:r>
      <w:r>
        <w:instrText>housing</w:instrText>
      </w:r>
      <w:r w:rsidRPr="00C7349A">
        <w:rPr>
          <w:lang w:val="ru-RU"/>
        </w:rPr>
        <w:instrText>/</w:instrText>
      </w:r>
      <w:r>
        <w:instrText>eestandardsinbuildings</w:instrText>
      </w:r>
      <w:r w:rsidRPr="00C7349A">
        <w:rPr>
          <w:lang w:val="ru-RU"/>
        </w:rPr>
        <w:instrText xml:space="preserve">" </w:instrText>
      </w:r>
      <w:r>
        <w:fldChar w:fldCharType="separate"/>
      </w:r>
      <w:r w:rsidRPr="002442FE">
        <w:rPr>
          <w:lang w:val="ru-RU"/>
        </w:rPr>
        <w:t>http</w:t>
      </w:r>
      <w:r w:rsidRPr="005A5BCC">
        <w:rPr>
          <w:lang w:val="ru-RU"/>
        </w:rPr>
        <w:t>://</w:t>
      </w:r>
      <w:r w:rsidRPr="002442FE">
        <w:rPr>
          <w:lang w:val="ru-RU"/>
        </w:rPr>
        <w:t>www</w:t>
      </w:r>
      <w:r w:rsidRPr="005A5BCC">
        <w:rPr>
          <w:lang w:val="ru-RU"/>
        </w:rPr>
        <w:t>.</w:t>
      </w:r>
      <w:r w:rsidRPr="002442FE">
        <w:rPr>
          <w:lang w:val="ru-RU"/>
        </w:rPr>
        <w:t>unece</w:t>
      </w:r>
      <w:r w:rsidRPr="005A5BCC">
        <w:rPr>
          <w:lang w:val="ru-RU"/>
        </w:rPr>
        <w:t>.</w:t>
      </w:r>
      <w:r w:rsidRPr="002442FE">
        <w:rPr>
          <w:lang w:val="ru-RU"/>
        </w:rPr>
        <w:t>org</w:t>
      </w:r>
      <w:r w:rsidRPr="005A5BCC">
        <w:rPr>
          <w:lang w:val="ru-RU"/>
        </w:rPr>
        <w:t>/</w:t>
      </w:r>
      <w:r w:rsidRPr="002442FE">
        <w:rPr>
          <w:lang w:val="ru-RU"/>
        </w:rPr>
        <w:t>housing</w:t>
      </w:r>
      <w:r w:rsidRPr="005A5BCC">
        <w:rPr>
          <w:lang w:val="ru-RU"/>
        </w:rPr>
        <w:t>/</w:t>
      </w:r>
      <w:r w:rsidRPr="002442FE">
        <w:rPr>
          <w:lang w:val="ru-RU"/>
        </w:rPr>
        <w:t>eestandardsinbuildings</w:t>
      </w:r>
      <w:r>
        <w:rPr>
          <w:lang w:val="ru-RU"/>
        </w:rPr>
        <w:fldChar w:fldCharType="end"/>
      </w:r>
      <w:r w:rsidRPr="00BB5CFC">
        <w:rPr>
          <w:lang w:val="ru-RU"/>
        </w:rPr>
        <w:t>.</w:t>
      </w:r>
    </w:p>
  </w:footnote>
  <w:footnote w:id="16">
    <w:p w:rsidR="00C7349A" w:rsidRPr="002442FE" w:rsidRDefault="00C7349A" w:rsidP="005A5BCC">
      <w:pPr>
        <w:pStyle w:val="aa"/>
        <w:rPr>
          <w:lang w:val="ru-RU"/>
        </w:rPr>
      </w:pPr>
      <w:r w:rsidRPr="005A5BCC">
        <w:rPr>
          <w:lang w:val="ru-RU"/>
        </w:rPr>
        <w:tab/>
      </w:r>
      <w:r>
        <w:rPr>
          <w:rStyle w:val="a6"/>
        </w:rPr>
        <w:footnoteRef/>
      </w:r>
      <w:r w:rsidRPr="002442FE">
        <w:rPr>
          <w:lang w:val="ru-RU"/>
        </w:rPr>
        <w:tab/>
      </w:r>
      <w:r>
        <w:rPr>
          <w:lang w:val="ru-RU"/>
        </w:rPr>
        <w:t>См.</w:t>
      </w:r>
      <w:r w:rsidRPr="00B46CF7">
        <w:rPr>
          <w:lang w:val="ru-RU"/>
        </w:rPr>
        <w:t xml:space="preserve"> </w:t>
      </w:r>
      <w:r>
        <w:t>http</w:t>
      </w:r>
      <w:r w:rsidRPr="00B46CF7">
        <w:rPr>
          <w:lang w:val="ru-RU"/>
        </w:rPr>
        <w:t>://</w:t>
      </w:r>
      <w:r w:rsidRPr="00D11588">
        <w:t>www</w:t>
      </w:r>
      <w:r w:rsidRPr="00B46CF7">
        <w:rPr>
          <w:lang w:val="ru-RU"/>
        </w:rPr>
        <w:t>.</w:t>
      </w:r>
      <w:r w:rsidRPr="00D11588">
        <w:t>unece</w:t>
      </w:r>
      <w:r w:rsidRPr="00B46CF7">
        <w:rPr>
          <w:lang w:val="ru-RU"/>
        </w:rPr>
        <w:t>.</w:t>
      </w:r>
      <w:r w:rsidRPr="00D11588">
        <w:t>org</w:t>
      </w:r>
      <w:r w:rsidRPr="00B46CF7">
        <w:rPr>
          <w:lang w:val="ru-RU"/>
        </w:rPr>
        <w:t>/</w:t>
      </w:r>
      <w:r w:rsidRPr="00D11588">
        <w:t>index</w:t>
      </w:r>
      <w:r w:rsidRPr="00B46CF7">
        <w:rPr>
          <w:lang w:val="ru-RU"/>
        </w:rPr>
        <w:t>.</w:t>
      </w:r>
      <w:r w:rsidRPr="00D11588">
        <w:t>php</w:t>
      </w:r>
      <w:r w:rsidRPr="00B46CF7">
        <w:rPr>
          <w:lang w:val="ru-RU"/>
        </w:rPr>
        <w:t>?</w:t>
      </w:r>
      <w:r w:rsidRPr="00D11588">
        <w:t>id</w:t>
      </w:r>
      <w:r w:rsidRPr="00B46CF7">
        <w:rPr>
          <w:lang w:val="ru-RU"/>
        </w:rPr>
        <w:t>=37180&amp;</w:t>
      </w:r>
      <w:r w:rsidRPr="00CA64C4">
        <w:t>L</w:t>
      </w:r>
      <w:r w:rsidRPr="00B46CF7">
        <w:rPr>
          <w:lang w:val="ru-RU"/>
        </w:rPr>
        <w:t>=0.</w:t>
      </w:r>
    </w:p>
  </w:footnote>
  <w:footnote w:id="17">
    <w:p w:rsidR="00C7349A" w:rsidRPr="00FC2FA2" w:rsidRDefault="00C7349A" w:rsidP="005A5BCC">
      <w:pPr>
        <w:pStyle w:val="aa"/>
        <w:rPr>
          <w:lang w:val="ru-RU"/>
        </w:rPr>
      </w:pPr>
      <w:r w:rsidRPr="005A5BCC">
        <w:rPr>
          <w:lang w:val="ru-RU"/>
        </w:rPr>
        <w:tab/>
      </w:r>
      <w:r>
        <w:rPr>
          <w:rStyle w:val="a6"/>
        </w:rPr>
        <w:footnoteRef/>
      </w:r>
      <w:r w:rsidRPr="00FC2FA2">
        <w:rPr>
          <w:lang w:val="ru-RU"/>
        </w:rPr>
        <w:tab/>
      </w:r>
      <w:r w:rsidRPr="002442FE">
        <w:rPr>
          <w:lang w:val="ru-RU"/>
        </w:rPr>
        <w:t>См</w:t>
      </w:r>
      <w:r w:rsidRPr="00FC2FA2">
        <w:rPr>
          <w:lang w:val="ru-RU"/>
        </w:rPr>
        <w:t xml:space="preserve">. </w:t>
      </w:r>
      <w:r>
        <w:fldChar w:fldCharType="begin"/>
      </w:r>
      <w:r w:rsidRPr="00C7349A">
        <w:rPr>
          <w:lang w:val="ru-RU"/>
        </w:rPr>
        <w:instrText xml:space="preserve"> </w:instrText>
      </w:r>
      <w:r>
        <w:instrText>HYPERLINK</w:instrText>
      </w:r>
      <w:r w:rsidRPr="00C7349A">
        <w:rPr>
          <w:lang w:val="ru-RU"/>
        </w:rPr>
        <w:instrText xml:space="preserve"> "</w:instrText>
      </w:r>
      <w:r>
        <w:instrText>http</w:instrText>
      </w:r>
      <w:r w:rsidRPr="00C7349A">
        <w:rPr>
          <w:lang w:val="ru-RU"/>
        </w:rPr>
        <w:instrText>://</w:instrText>
      </w:r>
      <w:r>
        <w:instrText>www</w:instrText>
      </w:r>
      <w:r w:rsidRPr="00C7349A">
        <w:rPr>
          <w:lang w:val="ru-RU"/>
        </w:rPr>
        <w:instrText>.</w:instrText>
      </w:r>
      <w:r>
        <w:instrText>unece</w:instrText>
      </w:r>
      <w:r w:rsidRPr="00C7349A">
        <w:rPr>
          <w:lang w:val="ru-RU"/>
        </w:rPr>
        <w:instrText>.</w:instrText>
      </w:r>
      <w:r>
        <w:instrText>org</w:instrText>
      </w:r>
      <w:r w:rsidRPr="00C7349A">
        <w:rPr>
          <w:lang w:val="ru-RU"/>
        </w:rPr>
        <w:instrText>/</w:instrText>
      </w:r>
      <w:r>
        <w:instrText>environmental</w:instrText>
      </w:r>
      <w:r w:rsidRPr="00C7349A">
        <w:rPr>
          <w:lang w:val="ru-RU"/>
        </w:rPr>
        <w:instrText>-</w:instrText>
      </w:r>
      <w:r>
        <w:instrText>policy</w:instrText>
      </w:r>
      <w:r w:rsidRPr="00C7349A">
        <w:rPr>
          <w:lang w:val="ru-RU"/>
        </w:rPr>
        <w:instrText>/</w:instrText>
      </w:r>
      <w:r>
        <w:instrText>environmental</w:instrText>
      </w:r>
      <w:r w:rsidRPr="00C7349A">
        <w:rPr>
          <w:lang w:val="ru-RU"/>
        </w:rPr>
        <w:instrText>-</w:instrText>
      </w:r>
      <w:r>
        <w:instrText>monitoring</w:instrText>
      </w:r>
      <w:r w:rsidRPr="00C7349A">
        <w:rPr>
          <w:lang w:val="ru-RU"/>
        </w:rPr>
        <w:instrText>-</w:instrText>
      </w:r>
      <w:r>
        <w:instrText>and</w:instrText>
      </w:r>
      <w:r w:rsidRPr="00C7349A">
        <w:rPr>
          <w:lang w:val="ru-RU"/>
        </w:rPr>
        <w:instrText>-</w:instrText>
      </w:r>
      <w:r>
        <w:instrText>assessment</w:instrText>
      </w:r>
      <w:r w:rsidRPr="00C7349A">
        <w:rPr>
          <w:lang w:val="ru-RU"/>
        </w:rPr>
        <w:instrText>/</w:instrText>
      </w:r>
      <w:r>
        <w:instrText>meetings</w:instrText>
      </w:r>
      <w:r w:rsidRPr="00C7349A">
        <w:rPr>
          <w:lang w:val="ru-RU"/>
        </w:rPr>
        <w:instrText>-</w:instrText>
      </w:r>
      <w:r>
        <w:instrText>and</w:instrText>
      </w:r>
      <w:r w:rsidRPr="00C7349A">
        <w:rPr>
          <w:lang w:val="ru-RU"/>
        </w:rPr>
        <w:instrText>-</w:instrText>
      </w:r>
      <w:r>
        <w:instrText>events</w:instrText>
      </w:r>
      <w:r w:rsidRPr="00C7349A">
        <w:rPr>
          <w:lang w:val="ru-RU"/>
        </w:rPr>
        <w:instrText xml:space="preserve">" </w:instrText>
      </w:r>
      <w:r>
        <w:fldChar w:fldCharType="separate"/>
      </w:r>
      <w:r w:rsidRPr="00FC2FA2">
        <w:rPr>
          <w:lang w:val="ru-RU"/>
        </w:rPr>
        <w:t>http://www.unece.org/environmental-policy/environmental-monitoring-and-assessment/meetings-and-events</w:t>
      </w:r>
      <w:r>
        <w:rPr>
          <w:lang w:val="ru-RU"/>
        </w:rPr>
        <w:fldChar w:fldCharType="end"/>
      </w:r>
      <w:r w:rsidRPr="00FC2FA2">
        <w:rPr>
          <w:lang w:val="ru-RU"/>
        </w:rPr>
        <w:t>.</w:t>
      </w:r>
    </w:p>
  </w:footnote>
  <w:footnote w:id="18">
    <w:p w:rsidR="00C7349A" w:rsidRPr="00FC2FA2" w:rsidRDefault="00C7349A" w:rsidP="005A5BCC">
      <w:pPr>
        <w:pStyle w:val="aa"/>
        <w:rPr>
          <w:lang w:val="ru-RU"/>
        </w:rPr>
      </w:pPr>
      <w:r w:rsidRPr="005A5BCC">
        <w:rPr>
          <w:lang w:val="ru-RU"/>
        </w:rPr>
        <w:tab/>
      </w:r>
      <w:r>
        <w:rPr>
          <w:rStyle w:val="a6"/>
        </w:rPr>
        <w:footnoteRef/>
      </w:r>
      <w:r w:rsidRPr="00FC2FA2">
        <w:rPr>
          <w:lang w:val="ru-RU"/>
        </w:rPr>
        <w:tab/>
      </w:r>
      <w:r w:rsidRPr="003216DF">
        <w:rPr>
          <w:lang w:val="ru-RU"/>
        </w:rPr>
        <w:t xml:space="preserve">На своем совещании 21 и 22 октября 2015 года Бюро Конференции европейских статистиков обсудило </w:t>
      </w:r>
      <w:r>
        <w:rPr>
          <w:lang w:val="ru-RU"/>
        </w:rPr>
        <w:t>воз</w:t>
      </w:r>
      <w:r w:rsidRPr="003216DF">
        <w:rPr>
          <w:lang w:val="ru-RU"/>
        </w:rPr>
        <w:t>обновленный круг ведения Совместной целевой группы (2016–2021</w:t>
      </w:r>
      <w:r>
        <w:rPr>
          <w:lang w:val="ru-RU"/>
        </w:rPr>
        <w:t xml:space="preserve"> годы</w:t>
      </w:r>
      <w:r w:rsidRPr="003216DF">
        <w:rPr>
          <w:lang w:val="ru-RU"/>
        </w:rPr>
        <w:t xml:space="preserve">). </w:t>
      </w:r>
      <w:r w:rsidRPr="00086838">
        <w:rPr>
          <w:lang w:val="ru-RU"/>
        </w:rPr>
        <w:t xml:space="preserve">Бюро поддержало </w:t>
      </w:r>
      <w:r>
        <w:rPr>
          <w:lang w:val="ru-RU"/>
        </w:rPr>
        <w:t>лучшее</w:t>
      </w:r>
      <w:r w:rsidRPr="00086838">
        <w:rPr>
          <w:lang w:val="ru-RU"/>
        </w:rPr>
        <w:t xml:space="preserve"> согласование </w:t>
      </w:r>
      <w:r>
        <w:rPr>
          <w:lang w:val="ru-RU"/>
        </w:rPr>
        <w:t xml:space="preserve">деятельности </w:t>
      </w:r>
      <w:r w:rsidRPr="00086838">
        <w:rPr>
          <w:lang w:val="ru-RU"/>
        </w:rPr>
        <w:t xml:space="preserve">Целевой группы </w:t>
      </w:r>
      <w:r>
        <w:rPr>
          <w:lang w:val="ru-RU"/>
        </w:rPr>
        <w:t xml:space="preserve">с </w:t>
      </w:r>
      <w:r w:rsidRPr="00086838">
        <w:rPr>
          <w:lang w:val="ru-RU"/>
        </w:rPr>
        <w:t>работ</w:t>
      </w:r>
      <w:r>
        <w:rPr>
          <w:lang w:val="ru-RU"/>
        </w:rPr>
        <w:t xml:space="preserve">ой </w:t>
      </w:r>
      <w:r w:rsidRPr="00086838">
        <w:rPr>
          <w:lang w:val="ru-RU"/>
        </w:rPr>
        <w:t>в области экологического учета и утвердил</w:t>
      </w:r>
      <w:r>
        <w:rPr>
          <w:lang w:val="ru-RU"/>
        </w:rPr>
        <w:t>о</w:t>
      </w:r>
      <w:r w:rsidRPr="00086838">
        <w:rPr>
          <w:lang w:val="ru-RU"/>
        </w:rPr>
        <w:t xml:space="preserve"> круг ве</w:t>
      </w:r>
      <w:r>
        <w:rPr>
          <w:lang w:val="ru-RU"/>
        </w:rPr>
        <w:t xml:space="preserve">дения Совместной целевой группы </w:t>
      </w:r>
      <w:r w:rsidRPr="00086838">
        <w:rPr>
          <w:lang w:val="ru-RU"/>
        </w:rPr>
        <w:t>(</w:t>
      </w:r>
      <w:r w:rsidRPr="00413BB0">
        <w:t>ECE</w:t>
      </w:r>
      <w:r w:rsidRPr="00086838">
        <w:rPr>
          <w:lang w:val="ru-RU"/>
        </w:rPr>
        <w:t>/</w:t>
      </w:r>
      <w:r>
        <w:t>CES</w:t>
      </w:r>
      <w:r w:rsidRPr="00086838">
        <w:rPr>
          <w:lang w:val="ru-RU"/>
        </w:rPr>
        <w:t>/2016/15/</w:t>
      </w:r>
      <w:r>
        <w:t>Add</w:t>
      </w:r>
      <w:r w:rsidRPr="00086838">
        <w:rPr>
          <w:lang w:val="ru-RU"/>
        </w:rPr>
        <w:t>.7).</w:t>
      </w:r>
    </w:p>
  </w:footnote>
  <w:footnote w:id="19">
    <w:p w:rsidR="00C7349A" w:rsidRPr="00FC2FA2" w:rsidRDefault="00C7349A" w:rsidP="005A5BCC">
      <w:pPr>
        <w:pStyle w:val="aa"/>
        <w:rPr>
          <w:lang w:val="ru-RU"/>
        </w:rPr>
      </w:pPr>
      <w:r w:rsidRPr="00FC2FA2">
        <w:rPr>
          <w:lang w:val="ru-RU"/>
        </w:rPr>
        <w:tab/>
      </w:r>
      <w:r>
        <w:rPr>
          <w:rStyle w:val="a6"/>
        </w:rPr>
        <w:footnoteRef/>
      </w:r>
      <w:r w:rsidRPr="00FC2FA2">
        <w:rPr>
          <w:lang w:val="ru-RU"/>
        </w:rPr>
        <w:tab/>
      </w:r>
      <w:r>
        <w:rPr>
          <w:lang w:val="ru-RU"/>
        </w:rPr>
        <w:t>Доступен по адресу</w:t>
      </w:r>
      <w:r w:rsidRPr="00783FBD">
        <w:rPr>
          <w:lang w:val="ru-RU"/>
        </w:rPr>
        <w:t xml:space="preserve"> </w:t>
      </w:r>
      <w:r>
        <w:fldChar w:fldCharType="begin"/>
      </w:r>
      <w:r w:rsidRPr="00C7349A">
        <w:rPr>
          <w:lang w:val="ru-RU"/>
        </w:rPr>
        <w:instrText xml:space="preserve"> </w:instrText>
      </w:r>
      <w:r>
        <w:instrText>HYPERLINK</w:instrText>
      </w:r>
      <w:r w:rsidRPr="00C7349A">
        <w:rPr>
          <w:lang w:val="ru-RU"/>
        </w:rPr>
        <w:instrText xml:space="preserve"> "</w:instrText>
      </w:r>
      <w:r>
        <w:instrText>http</w:instrText>
      </w:r>
      <w:r w:rsidRPr="00C7349A">
        <w:rPr>
          <w:lang w:val="ru-RU"/>
        </w:rPr>
        <w:instrText>://</w:instrText>
      </w:r>
      <w:r>
        <w:instrText>www</w:instrText>
      </w:r>
      <w:r w:rsidRPr="00C7349A">
        <w:rPr>
          <w:lang w:val="ru-RU"/>
        </w:rPr>
        <w:instrText>.</w:instrText>
      </w:r>
      <w:r>
        <w:instrText>unece</w:instrText>
      </w:r>
      <w:r w:rsidRPr="00C7349A">
        <w:rPr>
          <w:lang w:val="ru-RU"/>
        </w:rPr>
        <w:instrText>.</w:instrText>
      </w:r>
      <w:r>
        <w:instrText>org</w:instrText>
      </w:r>
      <w:r w:rsidRPr="00C7349A">
        <w:rPr>
          <w:lang w:val="ru-RU"/>
        </w:rPr>
        <w:instrText>/</w:instrText>
      </w:r>
      <w:r>
        <w:instrText>index</w:instrText>
      </w:r>
      <w:r w:rsidRPr="00C7349A">
        <w:rPr>
          <w:lang w:val="ru-RU"/>
        </w:rPr>
        <w:instrText>.</w:instrText>
      </w:r>
      <w:r>
        <w:instrText>php</w:instrText>
      </w:r>
      <w:r w:rsidRPr="00C7349A">
        <w:rPr>
          <w:lang w:val="ru-RU"/>
        </w:rPr>
        <w:instrText>?</w:instrText>
      </w:r>
      <w:r>
        <w:instrText>id</w:instrText>
      </w:r>
      <w:r w:rsidRPr="00C7349A">
        <w:rPr>
          <w:lang w:val="ru-RU"/>
        </w:rPr>
        <w:instrText xml:space="preserve">=24004" </w:instrText>
      </w:r>
      <w:r>
        <w:fldChar w:fldCharType="separate"/>
      </w:r>
      <w:r w:rsidRPr="00FC2FA2">
        <w:rPr>
          <w:lang w:val="ru-RU"/>
        </w:rPr>
        <w:t>http</w:t>
      </w:r>
      <w:r w:rsidRPr="005A5BCC">
        <w:rPr>
          <w:lang w:val="ru-RU"/>
        </w:rPr>
        <w:t>://</w:t>
      </w:r>
      <w:r w:rsidRPr="00FC2FA2">
        <w:rPr>
          <w:lang w:val="ru-RU"/>
        </w:rPr>
        <w:t>www</w:t>
      </w:r>
      <w:r w:rsidRPr="005A5BCC">
        <w:rPr>
          <w:lang w:val="ru-RU"/>
        </w:rPr>
        <w:t>.</w:t>
      </w:r>
      <w:r w:rsidRPr="00FC2FA2">
        <w:rPr>
          <w:lang w:val="ru-RU"/>
        </w:rPr>
        <w:t>unece</w:t>
      </w:r>
      <w:r w:rsidRPr="005A5BCC">
        <w:rPr>
          <w:lang w:val="ru-RU"/>
        </w:rPr>
        <w:t>.</w:t>
      </w:r>
      <w:r w:rsidRPr="00FC2FA2">
        <w:rPr>
          <w:lang w:val="ru-RU"/>
        </w:rPr>
        <w:t>org</w:t>
      </w:r>
      <w:r w:rsidRPr="005A5BCC">
        <w:rPr>
          <w:lang w:val="ru-RU"/>
        </w:rPr>
        <w:t>/</w:t>
      </w:r>
      <w:r w:rsidRPr="00FC2FA2">
        <w:rPr>
          <w:lang w:val="ru-RU"/>
        </w:rPr>
        <w:t>index</w:t>
      </w:r>
      <w:r w:rsidRPr="005A5BCC">
        <w:rPr>
          <w:lang w:val="ru-RU"/>
        </w:rPr>
        <w:t>.</w:t>
      </w:r>
      <w:r w:rsidRPr="00FC2FA2">
        <w:rPr>
          <w:lang w:val="ru-RU"/>
        </w:rPr>
        <w:t>php</w:t>
      </w:r>
      <w:r w:rsidRPr="005A5BCC">
        <w:rPr>
          <w:lang w:val="ru-RU"/>
        </w:rPr>
        <w:t>?</w:t>
      </w:r>
      <w:r w:rsidRPr="00FC2FA2">
        <w:rPr>
          <w:lang w:val="ru-RU"/>
        </w:rPr>
        <w:t>id</w:t>
      </w:r>
      <w:r w:rsidRPr="005A5BCC">
        <w:rPr>
          <w:lang w:val="ru-RU"/>
        </w:rPr>
        <w:t>=24004</w:t>
      </w:r>
      <w:r>
        <w:rPr>
          <w:lang w:val="ru-RU"/>
        </w:rPr>
        <w:fldChar w:fldCharType="end"/>
      </w:r>
      <w:r w:rsidRPr="00783FBD">
        <w:rPr>
          <w:lang w:val="ru-RU"/>
        </w:rPr>
        <w:t>.</w:t>
      </w:r>
    </w:p>
  </w:footnote>
  <w:footnote w:id="20">
    <w:p w:rsidR="00C7349A" w:rsidRPr="00537CBF" w:rsidRDefault="00C7349A" w:rsidP="005A5BCC">
      <w:pPr>
        <w:pStyle w:val="aa"/>
        <w:rPr>
          <w:lang w:val="ru-RU"/>
        </w:rPr>
      </w:pPr>
      <w:r w:rsidRPr="005A5BCC">
        <w:rPr>
          <w:lang w:val="ru-RU"/>
        </w:rPr>
        <w:tab/>
      </w:r>
      <w:r>
        <w:rPr>
          <w:rStyle w:val="a6"/>
        </w:rPr>
        <w:footnoteRef/>
      </w:r>
      <w:r w:rsidRPr="00537CBF">
        <w:rPr>
          <w:lang w:val="ru-RU"/>
        </w:rPr>
        <w:tab/>
      </w:r>
      <w:r>
        <w:rPr>
          <w:lang w:val="ru-RU"/>
        </w:rPr>
        <w:t>Доступен на веб-сайте ЕЭК по адресу</w:t>
      </w:r>
      <w:r w:rsidRPr="00E65891">
        <w:rPr>
          <w:lang w:val="ru-RU"/>
        </w:rPr>
        <w:t xml:space="preserve"> </w:t>
      </w:r>
      <w:r>
        <w:fldChar w:fldCharType="begin"/>
      </w:r>
      <w:r w:rsidRPr="00C7349A">
        <w:rPr>
          <w:lang w:val="ru-RU"/>
        </w:rPr>
        <w:instrText xml:space="preserve"> </w:instrText>
      </w:r>
      <w:r>
        <w:instrText>HYPERLINK</w:instrText>
      </w:r>
      <w:r w:rsidRPr="00C7349A">
        <w:rPr>
          <w:lang w:val="ru-RU"/>
        </w:rPr>
        <w:instrText xml:space="preserve"> "</w:instrText>
      </w:r>
      <w:r>
        <w:instrText>http</w:instrText>
      </w:r>
      <w:r w:rsidRPr="00C7349A">
        <w:rPr>
          <w:lang w:val="ru-RU"/>
        </w:rPr>
        <w:instrText>://</w:instrText>
      </w:r>
      <w:r>
        <w:instrText>www</w:instrText>
      </w:r>
      <w:r w:rsidRPr="00C7349A">
        <w:rPr>
          <w:lang w:val="ru-RU"/>
        </w:rPr>
        <w:instrText>.</w:instrText>
      </w:r>
      <w:r>
        <w:instrText>unece</w:instrText>
      </w:r>
      <w:r w:rsidRPr="00C7349A">
        <w:rPr>
          <w:lang w:val="ru-RU"/>
        </w:rPr>
        <w:instrText>.</w:instrText>
      </w:r>
      <w:r>
        <w:instrText>org</w:instrText>
      </w:r>
      <w:r w:rsidRPr="00C7349A">
        <w:rPr>
          <w:lang w:val="ru-RU"/>
        </w:rPr>
        <w:instrText>/</w:instrText>
      </w:r>
      <w:r>
        <w:instrText>oes</w:instrText>
      </w:r>
      <w:r w:rsidRPr="00C7349A">
        <w:rPr>
          <w:lang w:val="ru-RU"/>
        </w:rPr>
        <w:instrText>/</w:instrText>
      </w:r>
      <w:r>
        <w:instrText>mou</w:instrText>
      </w:r>
      <w:r w:rsidRPr="00C7349A">
        <w:rPr>
          <w:lang w:val="ru-RU"/>
        </w:rPr>
        <w:instrText>/</w:instrText>
      </w:r>
      <w:r>
        <w:instrText>mou</w:instrText>
      </w:r>
      <w:r w:rsidRPr="00C7349A">
        <w:rPr>
          <w:lang w:val="ru-RU"/>
        </w:rPr>
        <w:instrText>_</w:instrText>
      </w:r>
      <w:r>
        <w:instrText>toc</w:instrText>
      </w:r>
      <w:r w:rsidRPr="00C7349A">
        <w:rPr>
          <w:lang w:val="ru-RU"/>
        </w:rPr>
        <w:instrText xml:space="preserve">" </w:instrText>
      </w:r>
      <w:r>
        <w:fldChar w:fldCharType="separate"/>
      </w:r>
      <w:r w:rsidRPr="00537CBF">
        <w:rPr>
          <w:lang w:val="ru-RU"/>
        </w:rPr>
        <w:t>http</w:t>
      </w:r>
      <w:r w:rsidRPr="005A5BCC">
        <w:rPr>
          <w:lang w:val="ru-RU"/>
        </w:rPr>
        <w:t>://</w:t>
      </w:r>
      <w:r w:rsidRPr="00537CBF">
        <w:rPr>
          <w:lang w:val="ru-RU"/>
        </w:rPr>
        <w:t>www</w:t>
      </w:r>
      <w:r w:rsidRPr="005A5BCC">
        <w:rPr>
          <w:lang w:val="ru-RU"/>
        </w:rPr>
        <w:t>.</w:t>
      </w:r>
      <w:r w:rsidRPr="00537CBF">
        <w:rPr>
          <w:lang w:val="ru-RU"/>
        </w:rPr>
        <w:t>unece</w:t>
      </w:r>
      <w:r w:rsidRPr="005A5BCC">
        <w:rPr>
          <w:lang w:val="ru-RU"/>
        </w:rPr>
        <w:t>.</w:t>
      </w:r>
      <w:r w:rsidRPr="00537CBF">
        <w:rPr>
          <w:lang w:val="ru-RU"/>
        </w:rPr>
        <w:t>org</w:t>
      </w:r>
      <w:r w:rsidRPr="005A5BCC">
        <w:rPr>
          <w:lang w:val="ru-RU"/>
        </w:rPr>
        <w:t>/</w:t>
      </w:r>
      <w:r w:rsidRPr="00537CBF">
        <w:rPr>
          <w:lang w:val="ru-RU"/>
        </w:rPr>
        <w:t>oes</w:t>
      </w:r>
      <w:r w:rsidRPr="005A5BCC">
        <w:rPr>
          <w:lang w:val="ru-RU"/>
        </w:rPr>
        <w:t>/</w:t>
      </w:r>
      <w:r w:rsidRPr="00537CBF">
        <w:rPr>
          <w:lang w:val="ru-RU"/>
        </w:rPr>
        <w:t>mou</w:t>
      </w:r>
      <w:r w:rsidRPr="005A5BCC">
        <w:rPr>
          <w:lang w:val="ru-RU"/>
        </w:rPr>
        <w:t>/</w:t>
      </w:r>
      <w:r w:rsidRPr="00537CBF">
        <w:rPr>
          <w:lang w:val="ru-RU"/>
        </w:rPr>
        <w:t>mou</w:t>
      </w:r>
      <w:r w:rsidRPr="005A5BCC">
        <w:rPr>
          <w:lang w:val="ru-RU"/>
        </w:rPr>
        <w:t>_</w:t>
      </w:r>
      <w:r w:rsidRPr="00537CBF">
        <w:rPr>
          <w:lang w:val="ru-RU"/>
        </w:rPr>
        <w:t>toc</w:t>
      </w:r>
      <w:r>
        <w:rPr>
          <w:lang w:val="ru-RU"/>
        </w:rPr>
        <w:fldChar w:fldCharType="end"/>
      </w:r>
      <w:r w:rsidRPr="00E65891">
        <w:rPr>
          <w:lang w:val="ru-RU"/>
        </w:rPr>
        <w:t>.</w:t>
      </w:r>
    </w:p>
  </w:footnote>
  <w:footnote w:id="21">
    <w:p w:rsidR="00C7349A" w:rsidRPr="005A5BCC" w:rsidRDefault="00C7349A" w:rsidP="005A5BCC">
      <w:pPr>
        <w:pStyle w:val="aa"/>
        <w:rPr>
          <w:lang w:val="ru-RU"/>
        </w:rPr>
      </w:pPr>
      <w:r w:rsidRPr="005A5BCC">
        <w:rPr>
          <w:lang w:val="ru-RU"/>
        </w:rPr>
        <w:tab/>
      </w:r>
      <w:r>
        <w:rPr>
          <w:rStyle w:val="a6"/>
        </w:rPr>
        <w:footnoteRef/>
      </w:r>
      <w:r w:rsidRPr="00537CBF">
        <w:rPr>
          <w:lang w:val="ru-RU"/>
        </w:rPr>
        <w:tab/>
      </w:r>
      <w:r w:rsidRPr="00E65891">
        <w:rPr>
          <w:lang w:val="ru-RU"/>
        </w:rPr>
        <w:t xml:space="preserve">Утвержденное резюме было </w:t>
      </w:r>
      <w:r>
        <w:rPr>
          <w:lang w:val="ru-RU"/>
        </w:rPr>
        <w:t>распространено среди членов</w:t>
      </w:r>
      <w:r w:rsidRPr="00E65891">
        <w:rPr>
          <w:lang w:val="ru-RU"/>
        </w:rPr>
        <w:t xml:space="preserve"> Комитет</w:t>
      </w:r>
      <w:r>
        <w:rPr>
          <w:lang w:val="ru-RU"/>
        </w:rPr>
        <w:t xml:space="preserve">а </w:t>
      </w:r>
      <w:r w:rsidRPr="00E65891">
        <w:rPr>
          <w:lang w:val="ru-RU"/>
        </w:rPr>
        <w:t>по электронной почте в среду, 4 ноября 2015 года, и был</w:t>
      </w:r>
      <w:r>
        <w:rPr>
          <w:lang w:val="ru-RU"/>
        </w:rPr>
        <w:t>о</w:t>
      </w:r>
      <w:r w:rsidRPr="00E65891">
        <w:rPr>
          <w:lang w:val="ru-RU"/>
        </w:rPr>
        <w:t xml:space="preserve"> также размещен</w:t>
      </w:r>
      <w:r>
        <w:rPr>
          <w:lang w:val="ru-RU"/>
        </w:rPr>
        <w:t>о</w:t>
      </w:r>
      <w:r w:rsidRPr="00E65891">
        <w:rPr>
          <w:lang w:val="ru-RU"/>
        </w:rPr>
        <w:t xml:space="preserve"> на веб-сайте ЕЭК.</w:t>
      </w:r>
      <w:r w:rsidRPr="006B0969">
        <w:rPr>
          <w:lang w:val="ru-RU"/>
        </w:rPr>
        <w:t xml:space="preserve"> Настоящий доклад был подготовлен на основе утвержденного резюме. Текст был официально отредактирован после утверждения.</w:t>
      </w:r>
      <w:r>
        <w:rPr>
          <w:lang w:val="ru-RU"/>
        </w:rPr>
        <w:t xml:space="preserve"> </w:t>
      </w:r>
      <w:r w:rsidRPr="006B0969">
        <w:rPr>
          <w:lang w:val="ru-RU"/>
        </w:rPr>
        <w:t>Любые изменения носят исключительно редакционный характер и не влияют на существо решений.</w:t>
      </w:r>
    </w:p>
  </w:footnote>
  <w:footnote w:id="22">
    <w:p w:rsidR="00C7349A" w:rsidRPr="00C46E63" w:rsidRDefault="00C7349A" w:rsidP="005A5BCC">
      <w:pPr>
        <w:pStyle w:val="aa"/>
        <w:rPr>
          <w:lang w:val="ru-RU"/>
        </w:rPr>
      </w:pPr>
      <w:r w:rsidRPr="005A5BCC">
        <w:rPr>
          <w:lang w:val="ru-RU"/>
        </w:rPr>
        <w:tab/>
      </w:r>
      <w:r>
        <w:rPr>
          <w:rStyle w:val="a6"/>
        </w:rPr>
        <w:footnoteRef/>
      </w:r>
      <w:r w:rsidRPr="00C46E63">
        <w:rPr>
          <w:lang w:val="ru-RU"/>
        </w:rPr>
        <w:tab/>
      </w:r>
      <w:r w:rsidRPr="0036474C">
        <w:rPr>
          <w:lang w:val="ru-RU"/>
        </w:rPr>
        <w:t>Путевые ра</w:t>
      </w:r>
      <w:r>
        <w:rPr>
          <w:lang w:val="ru-RU"/>
        </w:rPr>
        <w:t>сходы и суточные</w:t>
      </w:r>
      <w:r w:rsidRPr="0036474C">
        <w:rPr>
          <w:lang w:val="ru-RU"/>
        </w:rPr>
        <w:t xml:space="preserve"> при условии наличия внебюджетных ресурсов для этой цели.</w:t>
      </w:r>
    </w:p>
  </w:footnote>
  <w:footnote w:id="23">
    <w:p w:rsidR="00C7349A" w:rsidRPr="00A06541" w:rsidRDefault="00C7349A" w:rsidP="005A5BCC">
      <w:pPr>
        <w:pStyle w:val="aa"/>
        <w:widowControl w:val="0"/>
        <w:tabs>
          <w:tab w:val="clear" w:pos="1021"/>
          <w:tab w:val="right" w:pos="1020"/>
        </w:tabs>
        <w:rPr>
          <w:lang w:val="ru-RU"/>
        </w:rPr>
      </w:pPr>
      <w:r w:rsidRPr="0036474C">
        <w:rPr>
          <w:lang w:val="ru-RU"/>
        </w:rPr>
        <w:tab/>
      </w:r>
      <w:r>
        <w:rPr>
          <w:rStyle w:val="a6"/>
        </w:rPr>
        <w:t>b</w:t>
      </w:r>
      <w:r w:rsidRPr="00A06541">
        <w:rPr>
          <w:lang w:val="ru-RU"/>
        </w:rPr>
        <w:tab/>
      </w:r>
      <w:r>
        <w:rPr>
          <w:lang w:val="ru-RU"/>
        </w:rPr>
        <w:t>Только суточные</w:t>
      </w:r>
      <w:r w:rsidRPr="00A06541">
        <w:rPr>
          <w:lang w:val="ru-RU"/>
        </w:rPr>
        <w:t xml:space="preserve"> при условии наличия внебюджетных ресурсов для этой цели.</w:t>
      </w:r>
      <w:r>
        <w:rPr>
          <w:lang w:val="ru-RU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49A" w:rsidRPr="007005EE" w:rsidRDefault="00C7349A">
    <w:pPr>
      <w:pStyle w:val="a3"/>
      <w:rPr>
        <w:lang w:val="en-US"/>
      </w:rPr>
    </w:pPr>
    <w:r>
      <w:rPr>
        <w:lang w:val="en-US"/>
      </w:rPr>
      <w:t>ECE/</w:t>
    </w:r>
    <w:r w:rsidRPr="007B0806">
      <w:rPr>
        <w:lang w:val="en-US"/>
      </w:rPr>
      <w:t>CEP/2015/2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49A" w:rsidRPr="004D639B" w:rsidRDefault="00C7349A" w:rsidP="007005EE">
    <w:pPr>
      <w:pStyle w:val="a3"/>
      <w:jc w:val="right"/>
      <w:rPr>
        <w:lang w:val="en-US"/>
      </w:rPr>
    </w:pPr>
    <w:r>
      <w:rPr>
        <w:lang w:val="en-US"/>
      </w:rPr>
      <w:t>ECE/</w:t>
    </w:r>
    <w:r w:rsidRPr="007B0806">
      <w:rPr>
        <w:lang w:val="en-US"/>
      </w:rPr>
      <w:t>CEP/2015/2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49A" w:rsidRDefault="00C7349A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49A" w:rsidRDefault="00C7349A">
    <w:pPr>
      <w:pStyle w:val="a3"/>
    </w:pPr>
    <w:r>
      <w:rPr>
        <w:lang w:val="en-US"/>
      </w:rPr>
      <w:t>ECE/</w:t>
    </w:r>
    <w:r w:rsidRPr="007B0806">
      <w:rPr>
        <w:lang w:val="en-US"/>
      </w:rPr>
      <w:t>CEP/2015/2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attachedTemplate r:id="rId1"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C04"/>
    <w:rsid w:val="00002A57"/>
    <w:rsid w:val="000450D1"/>
    <w:rsid w:val="0006590B"/>
    <w:rsid w:val="00096BC3"/>
    <w:rsid w:val="000B1FD5"/>
    <w:rsid w:val="000F2A4F"/>
    <w:rsid w:val="00126300"/>
    <w:rsid w:val="0019541B"/>
    <w:rsid w:val="001C106C"/>
    <w:rsid w:val="001E09CA"/>
    <w:rsid w:val="001E0C96"/>
    <w:rsid w:val="001E3DB7"/>
    <w:rsid w:val="001E74E9"/>
    <w:rsid w:val="00203F84"/>
    <w:rsid w:val="00255DA7"/>
    <w:rsid w:val="00275188"/>
    <w:rsid w:val="0028687D"/>
    <w:rsid w:val="002B091C"/>
    <w:rsid w:val="002B3D40"/>
    <w:rsid w:val="002C0210"/>
    <w:rsid w:val="002C5DF6"/>
    <w:rsid w:val="002D0CCB"/>
    <w:rsid w:val="002D21A6"/>
    <w:rsid w:val="00345C79"/>
    <w:rsid w:val="00366A39"/>
    <w:rsid w:val="0048005C"/>
    <w:rsid w:val="00480740"/>
    <w:rsid w:val="004B36E3"/>
    <w:rsid w:val="004D639B"/>
    <w:rsid w:val="004E242B"/>
    <w:rsid w:val="004E39D4"/>
    <w:rsid w:val="0052222A"/>
    <w:rsid w:val="0054122F"/>
    <w:rsid w:val="00544379"/>
    <w:rsid w:val="005659D2"/>
    <w:rsid w:val="00566944"/>
    <w:rsid w:val="005A5BCC"/>
    <w:rsid w:val="005D2DCB"/>
    <w:rsid w:val="005D56BF"/>
    <w:rsid w:val="0062027E"/>
    <w:rsid w:val="006375E0"/>
    <w:rsid w:val="00641F6F"/>
    <w:rsid w:val="00643644"/>
    <w:rsid w:val="00665D8D"/>
    <w:rsid w:val="0069319F"/>
    <w:rsid w:val="006A7A3B"/>
    <w:rsid w:val="006B6B57"/>
    <w:rsid w:val="006E3113"/>
    <w:rsid w:val="006E68D8"/>
    <w:rsid w:val="006F49F1"/>
    <w:rsid w:val="007005EE"/>
    <w:rsid w:val="00705394"/>
    <w:rsid w:val="00743F62"/>
    <w:rsid w:val="00760D3A"/>
    <w:rsid w:val="00773BA8"/>
    <w:rsid w:val="00785AD5"/>
    <w:rsid w:val="007A1F42"/>
    <w:rsid w:val="007B0806"/>
    <w:rsid w:val="007D76DD"/>
    <w:rsid w:val="007E4E0F"/>
    <w:rsid w:val="007F0560"/>
    <w:rsid w:val="008717E8"/>
    <w:rsid w:val="008C2A75"/>
    <w:rsid w:val="008D01AE"/>
    <w:rsid w:val="008E0423"/>
    <w:rsid w:val="009141DC"/>
    <w:rsid w:val="009174A1"/>
    <w:rsid w:val="0098674D"/>
    <w:rsid w:val="00997ACA"/>
    <w:rsid w:val="009A4EE8"/>
    <w:rsid w:val="00A03FB7"/>
    <w:rsid w:val="00A55C56"/>
    <w:rsid w:val="00A658DB"/>
    <w:rsid w:val="00A75A11"/>
    <w:rsid w:val="00A9606E"/>
    <w:rsid w:val="00AD5413"/>
    <w:rsid w:val="00AD7EAD"/>
    <w:rsid w:val="00AE6DB4"/>
    <w:rsid w:val="00B35A32"/>
    <w:rsid w:val="00B432C6"/>
    <w:rsid w:val="00B471C5"/>
    <w:rsid w:val="00B6474A"/>
    <w:rsid w:val="00B71C61"/>
    <w:rsid w:val="00BE1742"/>
    <w:rsid w:val="00C7349A"/>
    <w:rsid w:val="00CE042B"/>
    <w:rsid w:val="00D1261C"/>
    <w:rsid w:val="00D21DDA"/>
    <w:rsid w:val="00D26030"/>
    <w:rsid w:val="00D36BA2"/>
    <w:rsid w:val="00D75DCE"/>
    <w:rsid w:val="00DA3B15"/>
    <w:rsid w:val="00DD35AC"/>
    <w:rsid w:val="00DD479F"/>
    <w:rsid w:val="00E15C04"/>
    <w:rsid w:val="00E15E48"/>
    <w:rsid w:val="00E3745D"/>
    <w:rsid w:val="00E96C53"/>
    <w:rsid w:val="00EB0723"/>
    <w:rsid w:val="00EB2957"/>
    <w:rsid w:val="00EE6F37"/>
    <w:rsid w:val="00EF4249"/>
    <w:rsid w:val="00F1599F"/>
    <w:rsid w:val="00F160B2"/>
    <w:rsid w:val="00F31EF2"/>
    <w:rsid w:val="00FC487A"/>
    <w:rsid w:val="00FD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1">
    <w:name w:val="heading 1"/>
    <w:aliases w:val="Table_GR"/>
    <w:basedOn w:val="a"/>
    <w:next w:val="a"/>
    <w:link w:val="10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MGR">
    <w:name w:val="_ H __M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a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a"/>
    <w:next w:val="a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a"/>
    <w:next w:val="a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a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a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a"/>
    <w:next w:val="a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a1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3">
    <w:name w:val="header"/>
    <w:aliases w:val="6_GR"/>
    <w:basedOn w:val="a"/>
    <w:next w:val="a"/>
    <w:link w:val="a4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a4">
    <w:name w:val="Верхний колонтитул Знак"/>
    <w:aliases w:val="6_GR Знак"/>
    <w:basedOn w:val="a0"/>
    <w:link w:val="a3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a5">
    <w:name w:val="endnote reference"/>
    <w:aliases w:val="1_GR"/>
    <w:basedOn w:val="a6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a6">
    <w:name w:val="footnote reference"/>
    <w:aliases w:val="4_GR"/>
    <w:basedOn w:val="a0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a7">
    <w:name w:val="footer"/>
    <w:aliases w:val="3_GR"/>
    <w:basedOn w:val="a"/>
    <w:link w:val="a8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a8">
    <w:name w:val="Нижний колонтитул Знак"/>
    <w:aliases w:val="3_GR Знак"/>
    <w:basedOn w:val="a0"/>
    <w:link w:val="a7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a9">
    <w:name w:val="page number"/>
    <w:aliases w:val="7_GR"/>
    <w:basedOn w:val="a0"/>
    <w:qFormat/>
    <w:rsid w:val="00BE1742"/>
    <w:rPr>
      <w:rFonts w:ascii="Times New Roman" w:hAnsi="Times New Roman"/>
      <w:b/>
      <w:sz w:val="18"/>
    </w:rPr>
  </w:style>
  <w:style w:type="paragraph" w:styleId="aa">
    <w:name w:val="footnote text"/>
    <w:aliases w:val="5_GR"/>
    <w:basedOn w:val="a"/>
    <w:link w:val="ab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ab">
    <w:name w:val="Текст сноски Знак"/>
    <w:aliases w:val="5_GR Знак"/>
    <w:basedOn w:val="a0"/>
    <w:link w:val="aa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ac">
    <w:name w:val="endnote text"/>
    <w:aliases w:val="2_GR"/>
    <w:basedOn w:val="aa"/>
    <w:link w:val="ad"/>
    <w:qFormat/>
    <w:rsid w:val="00BE1742"/>
  </w:style>
  <w:style w:type="character" w:customStyle="1" w:styleId="ad">
    <w:name w:val="Текст концевой сноски Знак"/>
    <w:aliases w:val="2_GR Знак"/>
    <w:basedOn w:val="a0"/>
    <w:link w:val="ac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ae">
    <w:name w:val="Table Grid"/>
    <w:basedOn w:val="a1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uiPriority w:val="99"/>
    <w:rsid w:val="006E31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1">
    <w:name w:val="heading 1"/>
    <w:aliases w:val="Table_GR"/>
    <w:basedOn w:val="a"/>
    <w:next w:val="a"/>
    <w:link w:val="10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MGR">
    <w:name w:val="_ H __M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a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a"/>
    <w:next w:val="a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a"/>
    <w:next w:val="a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a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a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a"/>
    <w:next w:val="a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a1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3">
    <w:name w:val="header"/>
    <w:aliases w:val="6_GR"/>
    <w:basedOn w:val="a"/>
    <w:next w:val="a"/>
    <w:link w:val="a4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a4">
    <w:name w:val="Верхний колонтитул Знак"/>
    <w:aliases w:val="6_GR Знак"/>
    <w:basedOn w:val="a0"/>
    <w:link w:val="a3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a5">
    <w:name w:val="endnote reference"/>
    <w:aliases w:val="1_GR"/>
    <w:basedOn w:val="a6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a6">
    <w:name w:val="footnote reference"/>
    <w:aliases w:val="4_GR"/>
    <w:basedOn w:val="a0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a7">
    <w:name w:val="footer"/>
    <w:aliases w:val="3_GR"/>
    <w:basedOn w:val="a"/>
    <w:link w:val="a8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a8">
    <w:name w:val="Нижний колонтитул Знак"/>
    <w:aliases w:val="3_GR Знак"/>
    <w:basedOn w:val="a0"/>
    <w:link w:val="a7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a9">
    <w:name w:val="page number"/>
    <w:aliases w:val="7_GR"/>
    <w:basedOn w:val="a0"/>
    <w:qFormat/>
    <w:rsid w:val="00BE1742"/>
    <w:rPr>
      <w:rFonts w:ascii="Times New Roman" w:hAnsi="Times New Roman"/>
      <w:b/>
      <w:sz w:val="18"/>
    </w:rPr>
  </w:style>
  <w:style w:type="paragraph" w:styleId="aa">
    <w:name w:val="footnote text"/>
    <w:aliases w:val="5_GR"/>
    <w:basedOn w:val="a"/>
    <w:link w:val="ab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ab">
    <w:name w:val="Текст сноски Знак"/>
    <w:aliases w:val="5_GR Знак"/>
    <w:basedOn w:val="a0"/>
    <w:link w:val="aa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ac">
    <w:name w:val="endnote text"/>
    <w:aliases w:val="2_GR"/>
    <w:basedOn w:val="aa"/>
    <w:link w:val="ad"/>
    <w:qFormat/>
    <w:rsid w:val="00BE1742"/>
  </w:style>
  <w:style w:type="character" w:customStyle="1" w:styleId="ad">
    <w:name w:val="Текст концевой сноски Знак"/>
    <w:aliases w:val="2_GR Знак"/>
    <w:basedOn w:val="a0"/>
    <w:link w:val="ac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ae">
    <w:name w:val="Table Grid"/>
    <w:basedOn w:val="a1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uiPriority w:val="99"/>
    <w:rsid w:val="006E31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ece.org/index.php?id=36755" TargetMode="External"/><Relationship Id="rId1" Type="http://schemas.openxmlformats.org/officeDocument/2006/relationships/hyperlink" Target="http://www.unece.org/index.php?id=3847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0\TEMPLATES\ECE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B8B0A-C6B6-4BBB-A398-0136A72B3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6</TotalTime>
  <Pages>29</Pages>
  <Words>10763</Words>
  <Characters>61353</Characters>
  <Application>Microsoft Office Word</Application>
  <DocSecurity>0</DocSecurity>
  <Lines>511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71973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Korotkova</dc:creator>
  <cp:lastModifiedBy>Izotova Elena</cp:lastModifiedBy>
  <cp:revision>3</cp:revision>
  <cp:lastPrinted>2016-11-28T14:29:00Z</cp:lastPrinted>
  <dcterms:created xsi:type="dcterms:W3CDTF">2016-11-28T14:29:00Z</dcterms:created>
  <dcterms:modified xsi:type="dcterms:W3CDTF">2016-11-28T14:34:00Z</dcterms:modified>
</cp:coreProperties>
</file>