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17" w:rsidRPr="00333F46" w:rsidRDefault="005E6617" w:rsidP="005E6617">
      <w:pPr>
        <w:spacing w:line="240" w:lineRule="auto"/>
        <w:rPr>
          <w:sz w:val="2"/>
          <w:lang w:val="fr-CH"/>
        </w:rPr>
        <w:sectPr w:rsidR="005E6617" w:rsidRPr="00333F46" w:rsidSect="005E661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5E6617" w:rsidRPr="00333F46" w:rsidRDefault="005E6617" w:rsidP="00BB1AA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lastRenderedPageBreak/>
        <w:t>Commission économique pour l</w:t>
      </w:r>
      <w:r w:rsidR="00333F46">
        <w:rPr>
          <w:lang w:val="fr-CH"/>
        </w:rPr>
        <w:t>’</w:t>
      </w:r>
      <w:r w:rsidRPr="00333F46">
        <w:rPr>
          <w:lang w:val="fr-CH"/>
        </w:rPr>
        <w:t>Europe</w:t>
      </w:r>
    </w:p>
    <w:p w:rsidR="00BB1AAC" w:rsidRPr="00333F46" w:rsidRDefault="00BB1AAC" w:rsidP="00BB1AA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E6617" w:rsidRPr="00333F46" w:rsidRDefault="005E6617" w:rsidP="00BB1AA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333F46">
        <w:rPr>
          <w:b w:val="0"/>
          <w:bCs/>
          <w:lang w:val="fr-CH"/>
        </w:rPr>
        <w:t>Comité des politiques de l</w:t>
      </w:r>
      <w:r w:rsidR="00333F46">
        <w:rPr>
          <w:b w:val="0"/>
          <w:bCs/>
          <w:lang w:val="fr-CH"/>
        </w:rPr>
        <w:t>’</w:t>
      </w:r>
      <w:r w:rsidRPr="00333F46">
        <w:rPr>
          <w:b w:val="0"/>
          <w:bCs/>
          <w:lang w:val="fr-CH"/>
        </w:rPr>
        <w:t>environnement</w:t>
      </w:r>
    </w:p>
    <w:p w:rsidR="005E6617" w:rsidRPr="00333F46" w:rsidRDefault="005E6617" w:rsidP="00BB1AAC">
      <w:pPr>
        <w:pStyle w:val="H1"/>
        <w:spacing w:line="120" w:lineRule="exact"/>
        <w:rPr>
          <w:b w:val="0"/>
          <w:sz w:val="10"/>
          <w:lang w:val="fr-CH"/>
        </w:rPr>
      </w:pPr>
    </w:p>
    <w:p w:rsidR="00BB1AAC" w:rsidRPr="00333F46" w:rsidRDefault="00BB1AAC" w:rsidP="00BB1AA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t>Vingt et unième session</w:t>
      </w:r>
    </w:p>
    <w:p w:rsidR="00BB1AAC" w:rsidRPr="00333F46" w:rsidRDefault="00BB1AAC" w:rsidP="00BB1AA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t>Genève, 27-30 octobre 2015</w:t>
      </w:r>
    </w:p>
    <w:p w:rsidR="00BB1AAC" w:rsidRPr="00333F46" w:rsidRDefault="00BB1AAC" w:rsidP="00BB1AA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t>Point 5 g) de l</w:t>
      </w:r>
      <w:r w:rsidR="00333F46">
        <w:rPr>
          <w:lang w:val="fr-CH"/>
        </w:rPr>
        <w:t>’</w:t>
      </w:r>
      <w:r w:rsidRPr="00333F46">
        <w:rPr>
          <w:lang w:val="fr-CH"/>
        </w:rPr>
        <w:t>ordre du jour provisoire</w:t>
      </w:r>
    </w:p>
    <w:p w:rsidR="00BB1AAC" w:rsidRPr="00333F46" w:rsidRDefault="00BB1AAC" w:rsidP="00BB1AA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t>Huitième Conférence ministérielle « Un environnement pour l</w:t>
      </w:r>
      <w:r w:rsidR="00333F46">
        <w:rPr>
          <w:lang w:val="fr-CH"/>
        </w:rPr>
        <w:t>’</w:t>
      </w:r>
      <w:r w:rsidRPr="00333F46">
        <w:rPr>
          <w:lang w:val="fr-CH"/>
        </w:rPr>
        <w:t>Europe »</w:t>
      </w:r>
    </w:p>
    <w:p w:rsidR="00BB1AAC" w:rsidRPr="00333F46" w:rsidRDefault="00BB1AAC" w:rsidP="00BB1AA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F46">
        <w:rPr>
          <w:lang w:val="fr-CH"/>
        </w:rPr>
        <w:t>Projet d</w:t>
      </w:r>
      <w:r w:rsidR="00333F46">
        <w:rPr>
          <w:lang w:val="fr-CH"/>
        </w:rPr>
        <w:t>’</w:t>
      </w:r>
      <w:r w:rsidRPr="00333F46">
        <w:rPr>
          <w:lang w:val="fr-CH"/>
        </w:rPr>
        <w:t>ordre du jour de la Conférence</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F46">
        <w:rPr>
          <w:lang w:val="fr-CH"/>
        </w:rPr>
        <w:tab/>
      </w:r>
      <w:r w:rsidRPr="00333F46">
        <w:rPr>
          <w:lang w:val="fr-CH"/>
        </w:rPr>
        <w:tab/>
        <w:t xml:space="preserve">Forme du débat interactif : divers choix possibles </w:t>
      </w:r>
    </w:p>
    <w:p w:rsidR="00BB1AAC" w:rsidRPr="00333F46" w:rsidRDefault="00BB1AAC" w:rsidP="00BB1AAC">
      <w:pPr>
        <w:pStyle w:val="SingleTxt"/>
        <w:spacing w:after="0" w:line="120" w:lineRule="exact"/>
        <w:rPr>
          <w:b/>
          <w:sz w:val="10"/>
          <w:lang w:val="fr-CH"/>
        </w:rPr>
      </w:pPr>
      <w:bookmarkStart w:id="0" w:name="_GoBack"/>
      <w:bookmarkEnd w:id="0"/>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F46">
        <w:rPr>
          <w:lang w:val="fr-CH"/>
        </w:rPr>
        <w:tab/>
      </w:r>
      <w:r w:rsidRPr="00333F46">
        <w:rPr>
          <w:lang w:val="fr-CH"/>
        </w:rPr>
        <w:tab/>
        <w:t>Note du secrétariat</w:t>
      </w:r>
    </w:p>
    <w:p w:rsidR="005E6617" w:rsidRPr="00333F46" w:rsidRDefault="005E6617" w:rsidP="00BB1AAC">
      <w:pPr>
        <w:pStyle w:val="SingleTxt"/>
        <w:spacing w:after="0" w:line="120" w:lineRule="exact"/>
        <w:rPr>
          <w:sz w:val="10"/>
          <w:lang w:val="fr-CH"/>
        </w:rPr>
      </w:pPr>
    </w:p>
    <w:p w:rsidR="00BB1AAC" w:rsidRPr="00333F46" w:rsidRDefault="00BB1AAC" w:rsidP="00BB1AAC">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BB1AAC" w:rsidRPr="00333F46" w:rsidTr="00BB1AAC">
        <w:tc>
          <w:tcPr>
            <w:tcW w:w="10051" w:type="dxa"/>
            <w:tcBorders>
              <w:top w:val="single" w:sz="2" w:space="0" w:color="auto"/>
            </w:tcBorders>
            <w:shd w:val="clear" w:color="auto" w:fill="auto"/>
          </w:tcPr>
          <w:p w:rsidR="00BB1AAC" w:rsidRPr="00333F46" w:rsidRDefault="00BB1AAC" w:rsidP="00BB1AAC">
            <w:pPr>
              <w:tabs>
                <w:tab w:val="left" w:pos="240"/>
              </w:tabs>
              <w:spacing w:before="240" w:after="120"/>
              <w:rPr>
                <w:bCs/>
                <w:i/>
                <w:sz w:val="24"/>
                <w:lang w:val="fr-CH"/>
              </w:rPr>
            </w:pPr>
            <w:r w:rsidRPr="00333F46">
              <w:rPr>
                <w:bCs/>
                <w:i/>
                <w:sz w:val="24"/>
                <w:lang w:val="fr-CH"/>
              </w:rPr>
              <w:tab/>
              <w:t>Résumé</w:t>
            </w:r>
          </w:p>
        </w:tc>
      </w:tr>
      <w:tr w:rsidR="00BB1AAC" w:rsidRPr="00333F46" w:rsidTr="00BB1AAC">
        <w:tc>
          <w:tcPr>
            <w:tcW w:w="10051" w:type="dxa"/>
            <w:shd w:val="clear" w:color="auto" w:fill="auto"/>
          </w:tcPr>
          <w:p w:rsidR="00BB1AAC" w:rsidRPr="00333F46" w:rsidRDefault="00BB1AAC" w:rsidP="00333F46">
            <w:pPr>
              <w:pStyle w:val="SingleTxt"/>
              <w:rPr>
                <w:lang w:val="fr-CH"/>
              </w:rPr>
            </w:pPr>
            <w:r w:rsidRPr="00333F46">
              <w:rPr>
                <w:lang w:val="fr-CH"/>
              </w:rPr>
              <w:tab/>
              <w:t>À sa v</w:t>
            </w:r>
            <w:r w:rsidR="00333F46" w:rsidRPr="00333F46">
              <w:rPr>
                <w:lang w:val="fr-CH"/>
              </w:rPr>
              <w:t>ingtième session (Genève, 28-31 </w:t>
            </w:r>
            <w:r w:rsidRPr="00333F46">
              <w:rPr>
                <w:lang w:val="fr-CH"/>
              </w:rPr>
              <w:t>octobre 2014</w:t>
            </w:r>
            <w:r w:rsidR="00333F46" w:rsidRPr="00333F46">
              <w:rPr>
                <w:lang w:val="fr-CH"/>
              </w:rPr>
              <w:t>)</w:t>
            </w:r>
            <w:r w:rsidRPr="00333F46">
              <w:rPr>
                <w:lang w:val="fr-CH"/>
              </w:rPr>
              <w:t>, le Comité des politiques de l</w:t>
            </w:r>
            <w:r w:rsidR="00333F46">
              <w:rPr>
                <w:lang w:val="fr-CH"/>
              </w:rPr>
              <w:t>’</w:t>
            </w:r>
            <w:r w:rsidRPr="00333F46">
              <w:rPr>
                <w:lang w:val="fr-CH"/>
              </w:rPr>
              <w:t>environnement (CPE) de la Commission économique pour l</w:t>
            </w:r>
            <w:r w:rsidR="00333F46">
              <w:rPr>
                <w:lang w:val="fr-CH"/>
              </w:rPr>
              <w:t>’</w:t>
            </w:r>
            <w:r w:rsidRPr="00333F46">
              <w:rPr>
                <w:lang w:val="fr-CH"/>
              </w:rPr>
              <w:t>Europe (CEE) a chargé son bureau, avec l</w:t>
            </w:r>
            <w:r w:rsidR="00333F46">
              <w:rPr>
                <w:lang w:val="fr-CH"/>
              </w:rPr>
              <w:t>’</w:t>
            </w:r>
            <w:r w:rsidRPr="00333F46">
              <w:rPr>
                <w:lang w:val="fr-CH"/>
              </w:rPr>
              <w:t>appui du secrétariat de la CEE et en coopération avec d</w:t>
            </w:r>
            <w:r w:rsidR="00333F46">
              <w:rPr>
                <w:lang w:val="fr-CH"/>
              </w:rPr>
              <w:t>’</w:t>
            </w:r>
            <w:r w:rsidRPr="00333F46">
              <w:rPr>
                <w:lang w:val="fr-CH"/>
              </w:rPr>
              <w:t>autres parties prenantes intéressées, d</w:t>
            </w:r>
            <w:r w:rsidR="00333F46">
              <w:rPr>
                <w:lang w:val="fr-CH"/>
              </w:rPr>
              <w:t>’</w:t>
            </w:r>
            <w:r w:rsidRPr="00333F46">
              <w:rPr>
                <w:lang w:val="fr-CH"/>
              </w:rPr>
              <w:t>engager les préparatifs de la huitième Conférence ministérielle « Un environnement pour l</w:t>
            </w:r>
            <w:r w:rsidR="00333F46">
              <w:rPr>
                <w:lang w:val="fr-CH"/>
              </w:rPr>
              <w:t>’</w:t>
            </w:r>
            <w:r w:rsidRPr="00333F46">
              <w:rPr>
                <w:lang w:val="fr-CH"/>
              </w:rPr>
              <w:t xml:space="preserve">Europe » (Batumi, Géorgie, </w:t>
            </w:r>
            <w:r w:rsidR="00333F46" w:rsidRPr="00333F46">
              <w:rPr>
                <w:lang w:val="fr-CH"/>
              </w:rPr>
              <w:t>8-10 </w:t>
            </w:r>
            <w:r w:rsidRPr="00333F46">
              <w:rPr>
                <w:lang w:val="fr-CH"/>
              </w:rPr>
              <w:t>juin 2016), s</w:t>
            </w:r>
            <w:r w:rsidR="00333F46">
              <w:rPr>
                <w:lang w:val="fr-CH"/>
              </w:rPr>
              <w:t>’</w:t>
            </w:r>
            <w:r w:rsidRPr="00333F46">
              <w:rPr>
                <w:lang w:val="fr-CH"/>
              </w:rPr>
              <w:t>agissant en particulier de la préparation des documents de la vingt et unième session du CPE dont le Bureau po</w:t>
            </w:r>
            <w:r w:rsidR="00333F46" w:rsidRPr="00333F46">
              <w:rPr>
                <w:lang w:val="fr-CH"/>
              </w:rPr>
              <w:t>urrait lui recommander l</w:t>
            </w:r>
            <w:r w:rsidR="00333F46">
              <w:rPr>
                <w:lang w:val="fr-CH"/>
              </w:rPr>
              <w:t>’</w:t>
            </w:r>
            <w:r w:rsidR="00333F46" w:rsidRPr="00333F46">
              <w:rPr>
                <w:lang w:val="fr-CH"/>
              </w:rPr>
              <w:t>examen [</w:t>
            </w:r>
            <w:r w:rsidRPr="00333F46">
              <w:rPr>
                <w:lang w:val="fr-CH"/>
              </w:rPr>
              <w:t>ECE/CEP/2014</w:t>
            </w:r>
            <w:r w:rsidR="00333F46" w:rsidRPr="00333F46">
              <w:rPr>
                <w:lang w:val="fr-CH"/>
              </w:rPr>
              <w:t>/2, par. 84 c) et 98 gg) xi) </w:t>
            </w:r>
            <w:r w:rsidRPr="00333F46">
              <w:rPr>
                <w:lang w:val="fr-CH"/>
              </w:rPr>
              <w:t>c)</w:t>
            </w:r>
            <w:r w:rsidR="00333F46" w:rsidRPr="00333F46">
              <w:rPr>
                <w:lang w:val="fr-CH"/>
              </w:rPr>
              <w:t>]</w:t>
            </w:r>
            <w:r w:rsidRPr="00333F46">
              <w:rPr>
                <w:lang w:val="fr-CH"/>
              </w:rPr>
              <w:t>. Conformément à ce mandat, le Bureau a recommandé de donner un aperçu général des différentes formes sous lesquelles pourraient se dérouler le débat interactif de la Conférence ministérielle.</w:t>
            </w:r>
          </w:p>
        </w:tc>
      </w:tr>
      <w:tr w:rsidR="00BB1AAC" w:rsidRPr="00333F46" w:rsidTr="00BB1AAC">
        <w:tc>
          <w:tcPr>
            <w:tcW w:w="10051" w:type="dxa"/>
            <w:shd w:val="clear" w:color="auto" w:fill="auto"/>
          </w:tcPr>
          <w:p w:rsidR="00BB1AAC" w:rsidRPr="00333F46" w:rsidRDefault="00BB1AAC" w:rsidP="00BB1AAC">
            <w:pPr>
              <w:pStyle w:val="SingleTxt"/>
              <w:rPr>
                <w:lang w:val="fr-CH"/>
              </w:rPr>
            </w:pPr>
            <w:r w:rsidRPr="00333F46">
              <w:rPr>
                <w:lang w:val="fr-CH"/>
              </w:rPr>
              <w:tab/>
              <w:t>Le présent document a été élaboré par le secrétariat en consultation avec le Bureau du CPE. Il donne un aperçu d</w:t>
            </w:r>
            <w:r w:rsidR="00333F46">
              <w:rPr>
                <w:lang w:val="fr-CH"/>
              </w:rPr>
              <w:t>’</w:t>
            </w:r>
            <w:r w:rsidRPr="00333F46">
              <w:rPr>
                <w:lang w:val="fr-CH"/>
              </w:rPr>
              <w:t>ensemble des différentes formes de débat interactif pouvant être envisagées pour le traitement des différents points pertinents de l</w:t>
            </w:r>
            <w:r w:rsidR="00333F46">
              <w:rPr>
                <w:lang w:val="fr-CH"/>
              </w:rPr>
              <w:t>’</w:t>
            </w:r>
            <w:r w:rsidRPr="00333F46">
              <w:rPr>
                <w:lang w:val="fr-CH"/>
              </w:rPr>
              <w:t>ordre du jour de cette huitième Conférence ministérielle. Son objet est de faciliter les débats du CPE concernant l</w:t>
            </w:r>
            <w:r w:rsidR="00333F46">
              <w:rPr>
                <w:lang w:val="fr-CH"/>
              </w:rPr>
              <w:t>’</w:t>
            </w:r>
            <w:r w:rsidRPr="00333F46">
              <w:rPr>
                <w:lang w:val="fr-CH"/>
              </w:rPr>
              <w:t>ordre du jour et l</w:t>
            </w:r>
            <w:r w:rsidR="00333F46">
              <w:rPr>
                <w:lang w:val="fr-CH"/>
              </w:rPr>
              <w:t>’</w:t>
            </w:r>
            <w:r w:rsidRPr="00333F46">
              <w:rPr>
                <w:lang w:val="fr-CH"/>
              </w:rPr>
              <w:t>organisation de la Conférence.</w:t>
            </w:r>
          </w:p>
        </w:tc>
      </w:tr>
      <w:tr w:rsidR="00BB1AAC" w:rsidRPr="00333F46" w:rsidTr="00BB1AAC">
        <w:tc>
          <w:tcPr>
            <w:tcW w:w="10051" w:type="dxa"/>
            <w:tcBorders>
              <w:bottom w:val="single" w:sz="2" w:space="0" w:color="auto"/>
            </w:tcBorders>
            <w:shd w:val="clear" w:color="auto" w:fill="auto"/>
          </w:tcPr>
          <w:p w:rsidR="00BB1AAC" w:rsidRPr="00333F46" w:rsidRDefault="00BB1AAC" w:rsidP="00BB1AAC">
            <w:pPr>
              <w:pStyle w:val="SingleTxt"/>
              <w:rPr>
                <w:lang w:val="fr-CH"/>
              </w:rPr>
            </w:pPr>
          </w:p>
        </w:tc>
      </w:tr>
    </w:tbl>
    <w:p w:rsidR="00BB1AAC" w:rsidRPr="00333F46" w:rsidRDefault="00BB1AAC" w:rsidP="00BB1AAC">
      <w:pPr>
        <w:pStyle w:val="SingleTxt"/>
        <w:rPr>
          <w:lang w:val="fr-CH"/>
        </w:rPr>
      </w:pPr>
    </w:p>
    <w:p w:rsidR="00BB1AAC" w:rsidRPr="00333F46" w:rsidRDefault="00BB1AAC">
      <w:pPr>
        <w:spacing w:line="240" w:lineRule="auto"/>
        <w:rPr>
          <w:lang w:val="fr-CH"/>
        </w:rPr>
      </w:pPr>
      <w:r w:rsidRPr="00333F46">
        <w:rPr>
          <w:lang w:val="fr-CH"/>
        </w:rPr>
        <w:br w:type="page"/>
      </w:r>
    </w:p>
    <w:p w:rsidR="00BB1AAC" w:rsidRPr="00333F46" w:rsidRDefault="00BB1AAC" w:rsidP="00BB1A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F46">
        <w:rPr>
          <w:lang w:val="fr-CH"/>
        </w:rPr>
        <w:lastRenderedPageBreak/>
        <w:tab/>
      </w:r>
      <w:r w:rsidRPr="00333F46">
        <w:rPr>
          <w:lang w:val="fr-CH"/>
        </w:rPr>
        <w:tab/>
        <w:t>Introduction</w:t>
      </w:r>
    </w:p>
    <w:p w:rsidR="00BB1AAC" w:rsidRPr="00333F46" w:rsidRDefault="00BB1AAC" w:rsidP="00BB1AAC">
      <w:pPr>
        <w:pStyle w:val="SingleTxt"/>
        <w:spacing w:after="0" w:line="120" w:lineRule="exact"/>
        <w:rPr>
          <w:sz w:val="10"/>
          <w:lang w:val="fr-CH"/>
        </w:rPr>
      </w:pPr>
    </w:p>
    <w:p w:rsidR="00BB1AAC" w:rsidRPr="00333F46" w:rsidRDefault="00BB1AAC" w:rsidP="00BB1AAC">
      <w:pPr>
        <w:pStyle w:val="SingleTxt"/>
        <w:spacing w:after="0" w:line="120" w:lineRule="exact"/>
        <w:rPr>
          <w:sz w:val="10"/>
          <w:lang w:val="fr-CH"/>
        </w:rPr>
      </w:pPr>
    </w:p>
    <w:p w:rsidR="00BB1AAC" w:rsidRPr="00333F46" w:rsidRDefault="00BB1AAC" w:rsidP="00333F46">
      <w:pPr>
        <w:pStyle w:val="SingleTxt"/>
        <w:numPr>
          <w:ilvl w:val="0"/>
          <w:numId w:val="6"/>
        </w:numPr>
        <w:tabs>
          <w:tab w:val="clear" w:pos="475"/>
          <w:tab w:val="num" w:pos="1742"/>
        </w:tabs>
        <w:ind w:left="1267"/>
        <w:rPr>
          <w:lang w:val="fr-CH"/>
        </w:rPr>
      </w:pPr>
      <w:r w:rsidRPr="00333F46">
        <w:rPr>
          <w:lang w:val="fr-CH"/>
        </w:rPr>
        <w:t>Le plan de réforme « Un environnement pour l</w:t>
      </w:r>
      <w:r w:rsidR="00333F46">
        <w:rPr>
          <w:lang w:val="fr-CH"/>
        </w:rPr>
        <w:t>’</w:t>
      </w:r>
      <w:r w:rsidRPr="00333F46">
        <w:rPr>
          <w:lang w:val="fr-CH"/>
        </w:rPr>
        <w:t>Europe » contient des dispositions spécifiques à propos de la forme des conférences ministérielles, destinées entre autres à rehausser le débat interactif de haut niveau. À cet égard, le plan prévoit que les débats dans le cadre de ces conférences auront un caractère interactif et mêleront différents types de séances, c</w:t>
      </w:r>
      <w:r w:rsidR="00333F46">
        <w:rPr>
          <w:lang w:val="fr-CH"/>
        </w:rPr>
        <w:t>’</w:t>
      </w:r>
      <w:r w:rsidRPr="00333F46">
        <w:rPr>
          <w:lang w:val="fr-CH"/>
        </w:rPr>
        <w:t>est-à-dire des séances plénières, des tables rondes et des débats animés par un modérateur et faisant intervenir un nombre limité d</w:t>
      </w:r>
      <w:r w:rsidR="00333F46">
        <w:rPr>
          <w:lang w:val="fr-CH"/>
        </w:rPr>
        <w:t>’</w:t>
      </w:r>
      <w:r w:rsidRPr="00333F46">
        <w:rPr>
          <w:lang w:val="fr-CH"/>
        </w:rPr>
        <w:t>orateurs principaux représentant différentes parties prenantes (par exemple des États membres de la CEE, des partenaires du processus « Un environnement pour l</w:t>
      </w:r>
      <w:r w:rsidR="00333F46">
        <w:rPr>
          <w:lang w:val="fr-CH"/>
        </w:rPr>
        <w:t>’</w:t>
      </w:r>
      <w:r w:rsidRPr="00333F46">
        <w:rPr>
          <w:lang w:val="fr-CH"/>
        </w:rPr>
        <w:t xml:space="preserve">Europe » et des représentants de groupes influents). Dans la mesure du possible, des séances interactives, des tables rondes par exemple, se tiendront en parallèle </w:t>
      </w:r>
      <w:r w:rsidR="00333F46">
        <w:rPr>
          <w:lang w:val="fr-CH"/>
        </w:rPr>
        <w:t>[ECE/CEP/S/152 et Corr.1, annexe I, par. 13 </w:t>
      </w:r>
      <w:r w:rsidRPr="00333F46">
        <w:rPr>
          <w:lang w:val="fr-CH"/>
        </w:rPr>
        <w:t>c)</w:t>
      </w:r>
      <w:r w:rsidR="00333F46">
        <w:rPr>
          <w:lang w:val="fr-CH"/>
        </w:rPr>
        <w:t>]</w:t>
      </w:r>
      <w:r w:rsidRPr="00333F46">
        <w:rPr>
          <w:lang w:val="fr-CH"/>
        </w:rPr>
        <w:t>.</w:t>
      </w:r>
    </w:p>
    <w:p w:rsidR="00BB1AAC" w:rsidRPr="00333F46" w:rsidRDefault="00BB1AAC" w:rsidP="0019333C">
      <w:pPr>
        <w:pStyle w:val="SingleTxt"/>
        <w:numPr>
          <w:ilvl w:val="0"/>
          <w:numId w:val="6"/>
        </w:numPr>
        <w:tabs>
          <w:tab w:val="clear" w:pos="475"/>
          <w:tab w:val="num" w:pos="1742"/>
        </w:tabs>
        <w:ind w:left="1267"/>
        <w:rPr>
          <w:lang w:val="fr-CH"/>
        </w:rPr>
      </w:pPr>
      <w:r w:rsidRPr="00333F46">
        <w:rPr>
          <w:lang w:val="fr-CH"/>
        </w:rPr>
        <w:t>En outre, les résultats de l</w:t>
      </w:r>
      <w:r w:rsidR="00333F46">
        <w:rPr>
          <w:lang w:val="fr-CH"/>
        </w:rPr>
        <w:t>’</w:t>
      </w:r>
      <w:r w:rsidRPr="00333F46">
        <w:rPr>
          <w:lang w:val="fr-CH"/>
        </w:rPr>
        <w:t>enquête sur la promotion du processus « Un environnement pour l</w:t>
      </w:r>
      <w:r w:rsidR="00333F46">
        <w:rPr>
          <w:lang w:val="fr-CH"/>
        </w:rPr>
        <w:t>’</w:t>
      </w:r>
      <w:r w:rsidRPr="00333F46">
        <w:rPr>
          <w:lang w:val="fr-CH"/>
        </w:rPr>
        <w:t>Europe » et les conclusions des conférences ministérielles (ECE/CEP/</w:t>
      </w:r>
      <w:r w:rsidR="00333F46">
        <w:rPr>
          <w:lang w:val="fr-CH"/>
        </w:rPr>
        <w:t>2013/21, annexe II, sect. 6.1-</w:t>
      </w:r>
      <w:r w:rsidRPr="00333F46">
        <w:rPr>
          <w:lang w:val="fr-CH"/>
        </w:rPr>
        <w:t>6.1.3</w:t>
      </w:r>
      <w:r w:rsidR="00333F46">
        <w:rPr>
          <w:lang w:val="fr-CH"/>
        </w:rPr>
        <w:t>, et annexe </w:t>
      </w:r>
      <w:r w:rsidRPr="00333F46">
        <w:rPr>
          <w:lang w:val="fr-CH"/>
        </w:rPr>
        <w:t>III, sect</w:t>
      </w:r>
      <w:r w:rsidR="00333F46">
        <w:rPr>
          <w:lang w:val="fr-CH"/>
        </w:rPr>
        <w:t>. </w:t>
      </w:r>
      <w:r w:rsidRPr="00333F46">
        <w:rPr>
          <w:lang w:val="fr-CH"/>
        </w:rPr>
        <w:t>6.1</w:t>
      </w:r>
      <w:r w:rsidR="00333F46">
        <w:rPr>
          <w:lang w:val="fr-CH"/>
        </w:rPr>
        <w:t>-</w:t>
      </w:r>
      <w:r w:rsidRPr="00333F46">
        <w:rPr>
          <w:lang w:val="fr-CH"/>
        </w:rPr>
        <w:t>6.1.3), ainsi que le cadre proposé pour la préparation de la huitième Conférence ministérielle (ECE/CEP/2014</w:t>
      </w:r>
      <w:r w:rsidR="00333F46">
        <w:rPr>
          <w:lang w:val="fr-CH"/>
        </w:rPr>
        <w:t>/9, par. 44</w:t>
      </w:r>
      <w:r w:rsidR="0019333C">
        <w:rPr>
          <w:lang w:val="fr-CH"/>
        </w:rPr>
        <w:t xml:space="preserve"> à </w:t>
      </w:r>
      <w:r w:rsidRPr="00333F46">
        <w:rPr>
          <w:lang w:val="fr-CH"/>
        </w:rPr>
        <w:t>46</w:t>
      </w:r>
      <w:r w:rsidR="00333F46">
        <w:rPr>
          <w:lang w:val="fr-CH"/>
        </w:rPr>
        <w:t>,</w:t>
      </w:r>
      <w:r w:rsidRPr="00333F46">
        <w:rPr>
          <w:lang w:val="fr-CH"/>
        </w:rPr>
        <w:t xml:space="preserve"> et annexe) contenaient des suggestions émises par des États membres participants et des parties prenantes visant à améliorer la forme des débats interactifs à l</w:t>
      </w:r>
      <w:r w:rsidR="00333F46">
        <w:rPr>
          <w:lang w:val="fr-CH"/>
        </w:rPr>
        <w:t>’</w:t>
      </w:r>
      <w:r w:rsidRPr="00333F46">
        <w:rPr>
          <w:lang w:val="fr-CH"/>
        </w:rPr>
        <w:t xml:space="preserve">occasion des conférences ministérielles futures.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Plusieurs de ces suggestions sont reprises, avec un certain nombre d</w:t>
      </w:r>
      <w:r w:rsidR="00333F46">
        <w:rPr>
          <w:lang w:val="fr-CH"/>
        </w:rPr>
        <w:t>’</w:t>
      </w:r>
      <w:r w:rsidRPr="00333F46">
        <w:rPr>
          <w:lang w:val="fr-CH"/>
        </w:rPr>
        <w:t xml:space="preserve">autres, dans le présent document. Celui-ci donne une liste de différents types de débat interactif, dont certains pourraient se révéler particulièrement avantageux pour la tenue de la huitième Conférence ministérielle.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En fonction de l</w:t>
      </w:r>
      <w:r w:rsidR="00333F46">
        <w:rPr>
          <w:lang w:val="fr-CH"/>
        </w:rPr>
        <w:t>’</w:t>
      </w:r>
      <w:r w:rsidRPr="00333F46">
        <w:rPr>
          <w:lang w:val="fr-CH"/>
        </w:rPr>
        <w:t>espace et des capacités technologiques dont dispose le centre de conférences, mais aussi du budget du pays hôte, la durée prévue pour les différentes formes de débat et le nombre de participants dans chaque cas pourront faire l</w:t>
      </w:r>
      <w:r w:rsidR="00333F46">
        <w:rPr>
          <w:lang w:val="fr-CH"/>
        </w:rPr>
        <w:t>’</w:t>
      </w:r>
      <w:r w:rsidRPr="00333F46">
        <w:rPr>
          <w:lang w:val="fr-CH"/>
        </w:rPr>
        <w:t>objet d</w:t>
      </w:r>
      <w:r w:rsidR="00333F46">
        <w:rPr>
          <w:lang w:val="fr-CH"/>
        </w:rPr>
        <w:t>’</w:t>
      </w:r>
      <w:r w:rsidRPr="00333F46">
        <w:rPr>
          <w:lang w:val="fr-CH"/>
        </w:rPr>
        <w:t xml:space="preserve">adaptations. Plusieurs des options présentées pourront également être combinées pour être mises en œuvre en parallèle.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 xml:space="preserve">Il est à noter que les séances plénières resteront structurées comme par le passé et que les options qui sont ici présentées ne concernent que la partie de la Conférence relative au débat interactif.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33F46">
        <w:rPr>
          <w:lang w:val="fr-CH"/>
        </w:rPr>
        <w:tab/>
        <w:t>I.</w:t>
      </w:r>
      <w:r w:rsidRPr="00333F46">
        <w:rPr>
          <w:lang w:val="fr-CH"/>
        </w:rPr>
        <w:tab/>
        <w:t xml:space="preserve">Formes proposées </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0B0100">
      <w:pPr>
        <w:pStyle w:val="SingleTxt"/>
        <w:numPr>
          <w:ilvl w:val="0"/>
          <w:numId w:val="6"/>
        </w:numPr>
        <w:tabs>
          <w:tab w:val="clear" w:pos="475"/>
          <w:tab w:val="num" w:pos="1742"/>
        </w:tabs>
        <w:ind w:left="1267"/>
        <w:rPr>
          <w:bCs/>
          <w:lang w:val="fr-CH"/>
        </w:rPr>
      </w:pPr>
      <w:r w:rsidRPr="00333F46">
        <w:rPr>
          <w:lang w:val="fr-CH"/>
        </w:rPr>
        <w:t xml:space="preserve">Les </w:t>
      </w:r>
      <w:r w:rsidR="000B0100">
        <w:rPr>
          <w:lang w:val="fr-CH"/>
        </w:rPr>
        <w:t>12 </w:t>
      </w:r>
      <w:r w:rsidRPr="00333F46">
        <w:rPr>
          <w:lang w:val="fr-CH"/>
        </w:rPr>
        <w:t>formes de d</w:t>
      </w:r>
      <w:r w:rsidR="00333F46">
        <w:rPr>
          <w:lang w:val="fr-CH"/>
        </w:rPr>
        <w:t>ébat présentées sous les points </w:t>
      </w:r>
      <w:r w:rsidRPr="00333F46">
        <w:rPr>
          <w:lang w:val="fr-CH"/>
        </w:rPr>
        <w:t>A à L ci-dessous ne représentent qu</w:t>
      </w:r>
      <w:r w:rsidR="00333F46">
        <w:rPr>
          <w:lang w:val="fr-CH"/>
        </w:rPr>
        <w:t>’</w:t>
      </w:r>
      <w:r w:rsidRPr="00333F46">
        <w:rPr>
          <w:lang w:val="fr-CH"/>
        </w:rPr>
        <w:t>une partie des options envisageables en termes de débats interactifs. Certaines ont déjà été testées à l</w:t>
      </w:r>
      <w:r w:rsidR="00333F46">
        <w:rPr>
          <w:lang w:val="fr-CH"/>
        </w:rPr>
        <w:t>’</w:t>
      </w:r>
      <w:r w:rsidRPr="00333F46">
        <w:rPr>
          <w:lang w:val="fr-CH"/>
        </w:rPr>
        <w:t>occasion de réunions du CPE et sont donc plus familières des membres du CPE que d</w:t>
      </w:r>
      <w:r w:rsidR="00333F46">
        <w:rPr>
          <w:lang w:val="fr-CH"/>
        </w:rPr>
        <w:t>’</w:t>
      </w:r>
      <w:r w:rsidRPr="00333F46">
        <w:rPr>
          <w:lang w:val="fr-CH"/>
        </w:rPr>
        <w:t xml:space="preserve">autres. Les détails concernant les participants et les besoins technologiques pour chaque type de débat dont il est question ci-après sont repris dans une annexe.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Par ailleurs, les États membres et autres parties prenantes du processus « Un environnement pour l</w:t>
      </w:r>
      <w:r w:rsidR="00333F46">
        <w:rPr>
          <w:lang w:val="fr-CH"/>
        </w:rPr>
        <w:t>’</w:t>
      </w:r>
      <w:r w:rsidRPr="00333F46">
        <w:rPr>
          <w:lang w:val="fr-CH"/>
        </w:rPr>
        <w:t>Europe » sont encouragés à faire parvenir au secrétariat d</w:t>
      </w:r>
      <w:r w:rsidR="00333F46">
        <w:rPr>
          <w:lang w:val="fr-CH"/>
        </w:rPr>
        <w:t>’</w:t>
      </w:r>
      <w:r w:rsidRPr="00333F46">
        <w:rPr>
          <w:lang w:val="fr-CH"/>
        </w:rPr>
        <w:t>autres idées éventuelles concernant les formes que pourrait prendre un débat interactif, particulièrement si elles ont fait la preuve de leur efficacité dans le cadre d</w:t>
      </w:r>
      <w:r w:rsidR="00333F46">
        <w:rPr>
          <w:lang w:val="fr-CH"/>
        </w:rPr>
        <w:t>’</w:t>
      </w:r>
      <w:r w:rsidRPr="00333F46">
        <w:rPr>
          <w:lang w:val="fr-CH"/>
        </w:rPr>
        <w:t xml:space="preserve">un débat ministériel ou autre débat de haut niveau faisant intervenir de multiples parties prenantes.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AF25E7"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A.</w:t>
      </w:r>
      <w:r w:rsidR="00BB1AAC" w:rsidRPr="00333F46">
        <w:rPr>
          <w:lang w:val="fr-CH"/>
        </w:rPr>
        <w:tab/>
        <w:t>Réunion-débat</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FB0A70">
      <w:pPr>
        <w:pStyle w:val="SingleTxt"/>
        <w:numPr>
          <w:ilvl w:val="0"/>
          <w:numId w:val="6"/>
        </w:numPr>
        <w:tabs>
          <w:tab w:val="clear" w:pos="475"/>
          <w:tab w:val="num" w:pos="1742"/>
        </w:tabs>
        <w:spacing w:after="100"/>
        <w:ind w:left="1267"/>
        <w:rPr>
          <w:lang w:val="fr-CH"/>
        </w:rPr>
      </w:pPr>
      <w:r w:rsidRPr="00333F46">
        <w:rPr>
          <w:lang w:val="fr-CH"/>
        </w:rPr>
        <w:t>La première option est celle de la réunion-débat, de structure similaire à celle des réunions-débats ayant eu lieu à l</w:t>
      </w:r>
      <w:r w:rsidR="00333F46">
        <w:rPr>
          <w:lang w:val="fr-CH"/>
        </w:rPr>
        <w:t>’</w:t>
      </w:r>
      <w:r w:rsidRPr="00333F46">
        <w:rPr>
          <w:lang w:val="fr-CH"/>
        </w:rPr>
        <w:t>occasion de la consultation ministérielle de la région de la CEE sur le suivi et la responsabilité dans le cadre du programme de développement pour l</w:t>
      </w:r>
      <w:r w:rsidR="00333F46">
        <w:rPr>
          <w:lang w:val="fr-CH"/>
        </w:rPr>
        <w:t>’</w:t>
      </w:r>
      <w:r w:rsidRPr="00333F46">
        <w:rPr>
          <w:lang w:val="fr-CH"/>
        </w:rPr>
        <w:t>après-2015, qui s</w:t>
      </w:r>
      <w:r w:rsidR="00333F46">
        <w:rPr>
          <w:lang w:val="fr-CH"/>
        </w:rPr>
        <w:t>’</w:t>
      </w:r>
      <w:r w:rsidRPr="00333F46">
        <w:rPr>
          <w:lang w:val="fr-CH"/>
        </w:rPr>
        <w:t>est</w:t>
      </w:r>
      <w:r w:rsidR="00333F46">
        <w:rPr>
          <w:lang w:val="fr-CH"/>
        </w:rPr>
        <w:t xml:space="preserve"> tenue récemment (Genève, 15-16 </w:t>
      </w:r>
      <w:r w:rsidRPr="00333F46">
        <w:rPr>
          <w:lang w:val="fr-CH"/>
        </w:rPr>
        <w:t>septembre 2014). Dans ce type de débat, un modérateur présente le ou les thèmes dont les participants seront amenés à débattre. Un maximum de cinq experts (</w:t>
      </w:r>
      <w:r w:rsidR="00FB0A70">
        <w:rPr>
          <w:lang w:val="fr-CH"/>
        </w:rPr>
        <w:t>3 </w:t>
      </w:r>
      <w:r w:rsidRPr="00333F46">
        <w:rPr>
          <w:lang w:val="fr-CH"/>
        </w:rPr>
        <w:t xml:space="preserve">ministres, </w:t>
      </w:r>
      <w:r w:rsidR="00FB0A70">
        <w:rPr>
          <w:lang w:val="fr-CH"/>
        </w:rPr>
        <w:t>1 </w:t>
      </w:r>
      <w:r w:rsidRPr="00333F46">
        <w:rPr>
          <w:lang w:val="fr-CH"/>
        </w:rPr>
        <w:t>représentant d</w:t>
      </w:r>
      <w:r w:rsidR="00333F46">
        <w:rPr>
          <w:lang w:val="fr-CH"/>
        </w:rPr>
        <w:t>’</w:t>
      </w:r>
      <w:r w:rsidRPr="00333F46">
        <w:rPr>
          <w:lang w:val="fr-CH"/>
        </w:rPr>
        <w:t xml:space="preserve">une organisation non-gouvernementale (ONG) et </w:t>
      </w:r>
      <w:r w:rsidR="00FB0A70">
        <w:rPr>
          <w:lang w:val="fr-CH"/>
        </w:rPr>
        <w:t>1 </w:t>
      </w:r>
      <w:r w:rsidRPr="00333F46">
        <w:rPr>
          <w:lang w:val="fr-CH"/>
        </w:rPr>
        <w:t>représentant du monde de l</w:t>
      </w:r>
      <w:r w:rsidR="00333F46">
        <w:rPr>
          <w:lang w:val="fr-CH"/>
        </w:rPr>
        <w:t>’</w:t>
      </w:r>
      <w:r w:rsidRPr="00333F46">
        <w:rPr>
          <w:lang w:val="fr-CH"/>
        </w:rPr>
        <w:t>entreprise), prennent successivement la parole pendant dix minutes au maximum pour s</w:t>
      </w:r>
      <w:r w:rsidR="00333F46">
        <w:rPr>
          <w:lang w:val="fr-CH"/>
        </w:rPr>
        <w:t>’</w:t>
      </w:r>
      <w:r w:rsidRPr="00333F46">
        <w:rPr>
          <w:lang w:val="fr-CH"/>
        </w:rPr>
        <w:t xml:space="preserve">exprimer sur le thème où la question abordé(e). </w:t>
      </w:r>
    </w:p>
    <w:p w:rsidR="00BB1AAC" w:rsidRPr="00333F46" w:rsidRDefault="00BB1AAC" w:rsidP="0019333C">
      <w:pPr>
        <w:pStyle w:val="SingleTxt"/>
        <w:numPr>
          <w:ilvl w:val="0"/>
          <w:numId w:val="6"/>
        </w:numPr>
        <w:tabs>
          <w:tab w:val="clear" w:pos="475"/>
          <w:tab w:val="num" w:pos="1742"/>
        </w:tabs>
        <w:spacing w:after="100"/>
        <w:ind w:left="1267"/>
        <w:rPr>
          <w:lang w:val="fr-CH"/>
        </w:rPr>
      </w:pPr>
      <w:r w:rsidRPr="00333F46">
        <w:rPr>
          <w:lang w:val="fr-CH"/>
        </w:rPr>
        <w:t>À l</w:t>
      </w:r>
      <w:r w:rsidR="00333F46">
        <w:rPr>
          <w:lang w:val="fr-CH"/>
        </w:rPr>
        <w:t>’</w:t>
      </w:r>
      <w:r w:rsidRPr="00333F46">
        <w:rPr>
          <w:lang w:val="fr-CH"/>
        </w:rPr>
        <w:t>issue de chaque intervention, le modérateur en résume brièvement (en une minute ou deux) les points saillants, avant de présenter l</w:t>
      </w:r>
      <w:r w:rsidR="00333F46">
        <w:rPr>
          <w:lang w:val="fr-CH"/>
        </w:rPr>
        <w:t>’</w:t>
      </w:r>
      <w:r w:rsidRPr="00333F46">
        <w:rPr>
          <w:lang w:val="fr-CH"/>
        </w:rPr>
        <w:t>expert suivant. Lorsque les cinq experts se sont exprimés, la parole est donnée aux autres ministres et aux parties prenantes présentes, et un débat interactif s</w:t>
      </w:r>
      <w:r w:rsidR="00333F46">
        <w:rPr>
          <w:lang w:val="fr-CH"/>
        </w:rPr>
        <w:t>’</w:t>
      </w:r>
      <w:r w:rsidRPr="00333F46">
        <w:rPr>
          <w:lang w:val="fr-CH"/>
        </w:rPr>
        <w:t>installe, pour une durée d</w:t>
      </w:r>
      <w:r w:rsidR="00333F46">
        <w:rPr>
          <w:lang w:val="fr-CH"/>
        </w:rPr>
        <w:t>’</w:t>
      </w:r>
      <w:r w:rsidRPr="00333F46">
        <w:rPr>
          <w:lang w:val="fr-CH"/>
        </w:rPr>
        <w:t xml:space="preserve">environ </w:t>
      </w:r>
      <w:r w:rsidR="00333F46">
        <w:rPr>
          <w:lang w:val="fr-CH"/>
        </w:rPr>
        <w:t xml:space="preserve">quarante-cinq </w:t>
      </w:r>
      <w:r w:rsidRPr="00333F46">
        <w:rPr>
          <w:lang w:val="fr-CH"/>
        </w:rPr>
        <w:t>minutes. Il peut également être décidé de donner deux fois la parole à l</w:t>
      </w:r>
      <w:r w:rsidR="00333F46">
        <w:rPr>
          <w:lang w:val="fr-CH"/>
        </w:rPr>
        <w:t>’</w:t>
      </w:r>
      <w:r w:rsidRPr="00333F46">
        <w:rPr>
          <w:lang w:val="fr-CH"/>
        </w:rPr>
        <w:t>assistance, soit pour une vingtaine de minutes au maximum après l</w:t>
      </w:r>
      <w:r w:rsidR="00333F46">
        <w:rPr>
          <w:lang w:val="fr-CH"/>
        </w:rPr>
        <w:t>’</w:t>
      </w:r>
      <w:r w:rsidRPr="00333F46">
        <w:rPr>
          <w:lang w:val="fr-CH"/>
        </w:rPr>
        <w:t xml:space="preserve">exposé des trois premiers experts, puis à nouveau pour un maximum de </w:t>
      </w:r>
      <w:r w:rsidR="00333F46">
        <w:rPr>
          <w:lang w:val="fr-CH"/>
        </w:rPr>
        <w:t xml:space="preserve">vingt-cinq </w:t>
      </w:r>
      <w:r w:rsidRPr="00333F46">
        <w:rPr>
          <w:lang w:val="fr-CH"/>
        </w:rPr>
        <w:t>minutes après les deux derniers exposés, avec dans le même laps de temps une synthèse de l</w:t>
      </w:r>
      <w:r w:rsidR="00333F46">
        <w:rPr>
          <w:lang w:val="fr-CH"/>
        </w:rPr>
        <w:t>’</w:t>
      </w:r>
      <w:r w:rsidRPr="00333F46">
        <w:rPr>
          <w:lang w:val="fr-CH"/>
        </w:rPr>
        <w:t xml:space="preserve">ensemble des points développés par les experts.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AF25E7"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sidR="00BB1AAC" w:rsidRPr="00333F46">
        <w:rPr>
          <w:lang w:val="fr-CH"/>
        </w:rPr>
        <w:tab/>
        <w:t>Tables rondes parallèles</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19333C">
      <w:pPr>
        <w:pStyle w:val="SingleTxt"/>
        <w:numPr>
          <w:ilvl w:val="0"/>
          <w:numId w:val="6"/>
        </w:numPr>
        <w:tabs>
          <w:tab w:val="clear" w:pos="475"/>
          <w:tab w:val="num" w:pos="1742"/>
        </w:tabs>
        <w:spacing w:after="100"/>
        <w:ind w:left="1267"/>
        <w:rPr>
          <w:lang w:val="fr-CH"/>
        </w:rPr>
      </w:pPr>
      <w:r w:rsidRPr="00333F46">
        <w:rPr>
          <w:lang w:val="fr-CH"/>
        </w:rPr>
        <w:t>Une deuxième option est celle des tables rondes parallèles, à savoir un maximum de deux tables rondes se tenant simultanément, l</w:t>
      </w:r>
      <w:r w:rsidR="00333F46">
        <w:rPr>
          <w:lang w:val="fr-CH"/>
        </w:rPr>
        <w:t>’</w:t>
      </w:r>
      <w:r w:rsidRPr="00333F46">
        <w:rPr>
          <w:lang w:val="fr-CH"/>
        </w:rPr>
        <w:t>une avec services d</w:t>
      </w:r>
      <w:r w:rsidR="00333F46">
        <w:rPr>
          <w:lang w:val="fr-CH"/>
        </w:rPr>
        <w:t>’</w:t>
      </w:r>
      <w:r w:rsidRPr="00333F46">
        <w:rPr>
          <w:lang w:val="fr-CH"/>
        </w:rPr>
        <w:t>interprétation dans les trois langues officielles de la CEE (anglais, français et russe) et l</w:t>
      </w:r>
      <w:r w:rsidR="00333F46">
        <w:rPr>
          <w:lang w:val="fr-CH"/>
        </w:rPr>
        <w:t>’</w:t>
      </w:r>
      <w:r w:rsidRPr="00333F46">
        <w:rPr>
          <w:lang w:val="fr-CH"/>
        </w:rPr>
        <w:t>autre en anglais seulement (compte tenu des contraintes du pays hôte en termes de ressources, qui nécessiteraient de prévoir des équipes supplémentaires d</w:t>
      </w:r>
      <w:r w:rsidR="00333F46">
        <w:rPr>
          <w:lang w:val="fr-CH"/>
        </w:rPr>
        <w:t>’</w:t>
      </w:r>
      <w:r w:rsidRPr="00333F46">
        <w:rPr>
          <w:lang w:val="fr-CH"/>
        </w:rPr>
        <w:t>interprètes et un équipement technique adéquat). Chaque table r</w:t>
      </w:r>
      <w:r w:rsidR="00333F46">
        <w:rPr>
          <w:lang w:val="fr-CH"/>
        </w:rPr>
        <w:t>onde pourrait réunir jusqu’à 30 </w:t>
      </w:r>
      <w:r w:rsidRPr="00333F46">
        <w:rPr>
          <w:lang w:val="fr-CH"/>
        </w:rPr>
        <w:t>participants, dont des ministres et des chefs de délégation des État</w:t>
      </w:r>
      <w:r w:rsidR="00333F46">
        <w:rPr>
          <w:lang w:val="fr-CH"/>
        </w:rPr>
        <w:t>s membres de la CEE (jusqu’à 19 sièges), des OIG (jusqu’à 2 sièges), des ONG (jusqu’à 4 </w:t>
      </w:r>
      <w:r w:rsidRPr="00333F46">
        <w:rPr>
          <w:lang w:val="fr-CH"/>
        </w:rPr>
        <w:t>sièges), des centres régionaux pour l</w:t>
      </w:r>
      <w:r w:rsidR="00333F46">
        <w:rPr>
          <w:lang w:val="fr-CH"/>
        </w:rPr>
        <w:t>’environnement (CRE) (jusqu’à 2 </w:t>
      </w:r>
      <w:r w:rsidRPr="00333F46">
        <w:rPr>
          <w:lang w:val="fr-CH"/>
        </w:rPr>
        <w:t>sièges) et des représentants du secteur privé (jus</w:t>
      </w:r>
      <w:r w:rsidR="00333F46">
        <w:rPr>
          <w:lang w:val="fr-CH"/>
        </w:rPr>
        <w:t>qu’à 4 </w:t>
      </w:r>
      <w:r w:rsidRPr="00333F46">
        <w:rPr>
          <w:lang w:val="fr-CH"/>
        </w:rPr>
        <w:t xml:space="preserve">sièges). </w:t>
      </w:r>
    </w:p>
    <w:p w:rsidR="00BB1AAC" w:rsidRPr="00333F46" w:rsidRDefault="00BB1AAC" w:rsidP="0019333C">
      <w:pPr>
        <w:pStyle w:val="SingleTxt"/>
        <w:numPr>
          <w:ilvl w:val="0"/>
          <w:numId w:val="6"/>
        </w:numPr>
        <w:tabs>
          <w:tab w:val="clear" w:pos="475"/>
          <w:tab w:val="num" w:pos="1742"/>
        </w:tabs>
        <w:spacing w:after="100"/>
        <w:ind w:left="1267"/>
        <w:rPr>
          <w:lang w:val="fr-CH"/>
        </w:rPr>
      </w:pPr>
      <w:r w:rsidRPr="00333F46">
        <w:rPr>
          <w:lang w:val="fr-CH"/>
        </w:rPr>
        <w:t>Les deux tables rondes s</w:t>
      </w:r>
      <w:r w:rsidR="00333F46">
        <w:rPr>
          <w:lang w:val="fr-CH"/>
        </w:rPr>
        <w:t>’</w:t>
      </w:r>
      <w:r w:rsidRPr="00333F46">
        <w:rPr>
          <w:lang w:val="fr-CH"/>
        </w:rPr>
        <w:t>ouvriraient par les observations liminaires d</w:t>
      </w:r>
      <w:r w:rsidR="00333F46">
        <w:rPr>
          <w:lang w:val="fr-CH"/>
        </w:rPr>
        <w:t>’</w:t>
      </w:r>
      <w:r w:rsidRPr="00333F46">
        <w:rPr>
          <w:lang w:val="fr-CH"/>
        </w:rPr>
        <w:t>un modérateur. Les participants seraient ensuite invités à engager activement le débat en abordant les questions préalablement convenues. Dans leurs interventions, les participants pourraient tout à la fois aborder une ou plusieurs questions et réagir aux interventions d</w:t>
      </w:r>
      <w:r w:rsidR="00333F46">
        <w:rPr>
          <w:lang w:val="fr-CH"/>
        </w:rPr>
        <w:t>’</w:t>
      </w:r>
      <w:r w:rsidRPr="00333F46">
        <w:rPr>
          <w:lang w:val="fr-CH"/>
        </w:rPr>
        <w:t xml:space="preserve">autres participants. </w:t>
      </w:r>
    </w:p>
    <w:p w:rsidR="00BB1AAC" w:rsidRPr="00333F46" w:rsidRDefault="00BB1AAC" w:rsidP="0019333C">
      <w:pPr>
        <w:pStyle w:val="SingleTxt"/>
        <w:numPr>
          <w:ilvl w:val="0"/>
          <w:numId w:val="6"/>
        </w:numPr>
        <w:tabs>
          <w:tab w:val="clear" w:pos="475"/>
          <w:tab w:val="num" w:pos="1742"/>
        </w:tabs>
        <w:spacing w:after="100"/>
        <w:ind w:left="1267"/>
        <w:rPr>
          <w:lang w:val="fr-CH"/>
        </w:rPr>
      </w:pPr>
      <w:r w:rsidRPr="00333F46">
        <w:rPr>
          <w:lang w:val="fr-CH"/>
        </w:rPr>
        <w:t>Au lieu de déclarations préparées à l</w:t>
      </w:r>
      <w:r w:rsidR="00333F46">
        <w:rPr>
          <w:lang w:val="fr-CH"/>
        </w:rPr>
        <w:t>’</w:t>
      </w:r>
      <w:r w:rsidRPr="00333F46">
        <w:rPr>
          <w:lang w:val="fr-CH"/>
        </w:rPr>
        <w:t>avance, vivement déconseillées, les participants seraient encouragés à procéder à des échanges de vues sur le ou les thèmes faisant l</w:t>
      </w:r>
      <w:r w:rsidR="00333F46">
        <w:rPr>
          <w:lang w:val="fr-CH"/>
        </w:rPr>
        <w:t>’</w:t>
      </w:r>
      <w:r w:rsidRPr="00333F46">
        <w:rPr>
          <w:lang w:val="fr-CH"/>
        </w:rPr>
        <w:t>objet du débat. Pour permettre à chaque participant d</w:t>
      </w:r>
      <w:r w:rsidR="00333F46">
        <w:rPr>
          <w:lang w:val="fr-CH"/>
        </w:rPr>
        <w:t>’</w:t>
      </w:r>
      <w:r w:rsidRPr="00333F46">
        <w:rPr>
          <w:lang w:val="fr-CH"/>
        </w:rPr>
        <w:t xml:space="preserve">intervenir au moins une fois au cours du débat, le temps de parole pour chaque intervention serait limité à </w:t>
      </w:r>
      <w:r w:rsidR="00333F46">
        <w:rPr>
          <w:lang w:val="fr-CH"/>
        </w:rPr>
        <w:t>trois</w:t>
      </w:r>
      <w:r w:rsidRPr="00333F46">
        <w:rPr>
          <w:lang w:val="fr-CH"/>
        </w:rPr>
        <w:t xml:space="preserve"> minutes. Au terme du débat, le modérateur mettrait en lumière les points essentiels méritant d</w:t>
      </w:r>
      <w:r w:rsidR="00333F46">
        <w:rPr>
          <w:lang w:val="fr-CH"/>
        </w:rPr>
        <w:t>’</w:t>
      </w:r>
      <w:r w:rsidRPr="00333F46">
        <w:rPr>
          <w:lang w:val="fr-CH"/>
        </w:rPr>
        <w:t>être portés à l</w:t>
      </w:r>
      <w:r w:rsidR="00333F46">
        <w:rPr>
          <w:lang w:val="fr-CH"/>
        </w:rPr>
        <w:t>’</w:t>
      </w:r>
      <w:r w:rsidRPr="00333F46">
        <w:rPr>
          <w:lang w:val="fr-CH"/>
        </w:rPr>
        <w:t xml:space="preserve">attention de la plénière. </w:t>
      </w:r>
    </w:p>
    <w:p w:rsidR="00BB1AAC" w:rsidRPr="00333F46" w:rsidRDefault="00BB1AAC" w:rsidP="000B0100">
      <w:pPr>
        <w:pStyle w:val="SingleTxt"/>
        <w:numPr>
          <w:ilvl w:val="0"/>
          <w:numId w:val="6"/>
        </w:numPr>
        <w:tabs>
          <w:tab w:val="clear" w:pos="475"/>
          <w:tab w:val="num" w:pos="1742"/>
        </w:tabs>
        <w:spacing w:after="100"/>
        <w:ind w:left="1267"/>
        <w:rPr>
          <w:lang w:val="fr-CH"/>
        </w:rPr>
      </w:pPr>
      <w:r w:rsidRPr="00333F46">
        <w:rPr>
          <w:lang w:val="fr-CH"/>
        </w:rPr>
        <w:t>Dans leurs réponses à l</w:t>
      </w:r>
      <w:r w:rsidR="00333F46">
        <w:rPr>
          <w:lang w:val="fr-CH"/>
        </w:rPr>
        <w:t>’</w:t>
      </w:r>
      <w:r w:rsidRPr="00333F46">
        <w:rPr>
          <w:lang w:val="fr-CH"/>
        </w:rPr>
        <w:t>enquête sur le processus « Un en</w:t>
      </w:r>
      <w:r w:rsidR="00333F46">
        <w:rPr>
          <w:lang w:val="fr-CH"/>
        </w:rPr>
        <w:t>vironnement pour l’Europe », 20 pays et 2 </w:t>
      </w:r>
      <w:r w:rsidRPr="00333F46">
        <w:rPr>
          <w:lang w:val="fr-CH"/>
        </w:rPr>
        <w:t>autres parties prenantes se sont dit « tout à fait d</w:t>
      </w:r>
      <w:r w:rsidR="00333F46">
        <w:rPr>
          <w:lang w:val="fr-CH"/>
        </w:rPr>
        <w:t>’</w:t>
      </w:r>
      <w:r w:rsidRPr="00333F46">
        <w:rPr>
          <w:lang w:val="fr-CH"/>
        </w:rPr>
        <w:t xml:space="preserve">accord » pour conserver la formule </w:t>
      </w:r>
      <w:r w:rsidR="00333F46">
        <w:rPr>
          <w:lang w:val="fr-CH"/>
        </w:rPr>
        <w:t xml:space="preserve">des tables rondes, tandis que </w:t>
      </w:r>
      <w:r w:rsidR="000B0100">
        <w:rPr>
          <w:lang w:val="fr-CH"/>
        </w:rPr>
        <w:t xml:space="preserve">cinq </w:t>
      </w:r>
      <w:r w:rsidR="00333F46">
        <w:rPr>
          <w:lang w:val="fr-CH"/>
        </w:rPr>
        <w:t xml:space="preserve">pays et </w:t>
      </w:r>
      <w:r w:rsidR="000B0100">
        <w:rPr>
          <w:lang w:val="fr-CH"/>
        </w:rPr>
        <w:t xml:space="preserve">trois </w:t>
      </w:r>
      <w:r w:rsidRPr="00333F46">
        <w:rPr>
          <w:lang w:val="fr-CH"/>
        </w:rPr>
        <w:t>autres parties prenantes se sont dit « plutôt d</w:t>
      </w:r>
      <w:r w:rsidR="00333F46">
        <w:rPr>
          <w:lang w:val="fr-CH"/>
        </w:rPr>
        <w:t>’</w:t>
      </w:r>
      <w:r w:rsidRPr="00333F46">
        <w:rPr>
          <w:lang w:val="fr-CH"/>
        </w:rPr>
        <w:t>accord », une autre partie prenante étant pour sa part « plutôt pas d</w:t>
      </w:r>
      <w:r w:rsidR="00333F46">
        <w:rPr>
          <w:lang w:val="fr-CH"/>
        </w:rPr>
        <w:t>’</w:t>
      </w:r>
      <w:r w:rsidRPr="00333F46">
        <w:rPr>
          <w:lang w:val="fr-CH"/>
        </w:rPr>
        <w:t>accord »</w:t>
      </w:r>
      <w:r w:rsidRPr="00333F46">
        <w:rPr>
          <w:rStyle w:val="FootnoteReference"/>
          <w:lang w:val="fr-CH"/>
        </w:rPr>
        <w:footnoteReference w:id="1"/>
      </w:r>
      <w:r w:rsidRPr="00333F46">
        <w:rPr>
          <w:lang w:val="fr-CH"/>
        </w:rPr>
        <w:t>.</w:t>
      </w:r>
    </w:p>
    <w:p w:rsidR="00BB1AAC" w:rsidRPr="00333F46" w:rsidRDefault="00AF25E7"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sidR="00BB1AAC" w:rsidRPr="00333F46">
        <w:rPr>
          <w:lang w:val="fr-CH"/>
        </w:rPr>
        <w:tab/>
        <w:t xml:space="preserve">Commissions thématiques </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La formule de la « commission thématique » suppose d</w:t>
      </w:r>
      <w:r w:rsidR="00333F46">
        <w:rPr>
          <w:lang w:val="fr-CH"/>
        </w:rPr>
        <w:t>’</w:t>
      </w:r>
      <w:r w:rsidRPr="00333F46">
        <w:rPr>
          <w:lang w:val="fr-CH"/>
        </w:rPr>
        <w:t>aborder un ou plusieurs thèmes (éventuellement les deux thèmes principaux de la conférence) et de créer dans le cadre de chaque thème deux « commissi</w:t>
      </w:r>
      <w:r w:rsidR="00333F46">
        <w:rPr>
          <w:lang w:val="fr-CH"/>
        </w:rPr>
        <w:t>ons » réunissant entre 15 et 20 </w:t>
      </w:r>
      <w:r w:rsidRPr="00333F46">
        <w:rPr>
          <w:lang w:val="fr-CH"/>
        </w:rPr>
        <w:t>parties prenantes (la majorité des sièges allant aux ministres ou à leurs représentants directs) pour examiner un aspect donné du thème central (on pourrait ainsi envisager que chaque commission traite un aspect particulier des thèmes principaux de la conférence par exemple). À titre d</w:t>
      </w:r>
      <w:r w:rsidR="00333F46">
        <w:rPr>
          <w:lang w:val="fr-CH"/>
        </w:rPr>
        <w:t>’</w:t>
      </w:r>
      <w:r w:rsidRPr="00333F46">
        <w:rPr>
          <w:lang w:val="fr-CH"/>
        </w:rPr>
        <w:t>illustration, on trouvera ci-après une partie de l</w:t>
      </w:r>
      <w:r w:rsidR="00333F46">
        <w:rPr>
          <w:lang w:val="fr-CH"/>
        </w:rPr>
        <w:t>’</w:t>
      </w:r>
      <w:r w:rsidRPr="00333F46">
        <w:rPr>
          <w:lang w:val="fr-CH"/>
        </w:rPr>
        <w:t>ordre du jour d</w:t>
      </w:r>
      <w:r w:rsidR="00333F46">
        <w:rPr>
          <w:lang w:val="fr-CH"/>
        </w:rPr>
        <w:t>’</w:t>
      </w:r>
      <w:r w:rsidRPr="00333F46">
        <w:rPr>
          <w:lang w:val="fr-CH"/>
        </w:rPr>
        <w:t>une conférence qu</w:t>
      </w:r>
      <w:r w:rsidR="00333F46">
        <w:rPr>
          <w:lang w:val="fr-CH"/>
        </w:rPr>
        <w:t>’</w:t>
      </w:r>
      <w:r w:rsidRPr="00333F46">
        <w:rPr>
          <w:lang w:val="fr-CH"/>
        </w:rPr>
        <w:t>a tenue récemment le Comité international de la Croix-Rouge. Il se présente comme suit</w:t>
      </w:r>
      <w:r w:rsidR="00333F46">
        <w:rPr>
          <w:lang w:val="fr-CH"/>
        </w:rPr>
        <w:t> </w:t>
      </w:r>
      <w:r w:rsidRPr="00333F46">
        <w:rPr>
          <w:lang w:val="fr-CH"/>
        </w:rPr>
        <w:t xml:space="preserve">: </w:t>
      </w:r>
    </w:p>
    <w:p w:rsidR="00BB1AAC" w:rsidRPr="00333F46" w:rsidRDefault="00333F46" w:rsidP="00BB1AAC">
      <w:pPr>
        <w:pStyle w:val="SingleTxt"/>
        <w:rPr>
          <w:lang w:val="fr-CH"/>
        </w:rPr>
      </w:pPr>
      <w:r>
        <w:rPr>
          <w:lang w:val="fr-CH"/>
        </w:rPr>
        <w:tab/>
        <w:t>a)</w:t>
      </w:r>
      <w:r>
        <w:rPr>
          <w:lang w:val="fr-CH"/>
        </w:rPr>
        <w:tab/>
        <w:t>Thème </w:t>
      </w:r>
      <w:r w:rsidR="00BB1AAC" w:rsidRPr="00333F46">
        <w:rPr>
          <w:lang w:val="fr-CH"/>
        </w:rPr>
        <w:t>5.2. Renforcer l</w:t>
      </w:r>
      <w:r>
        <w:rPr>
          <w:lang w:val="fr-CH"/>
        </w:rPr>
        <w:t>’</w:t>
      </w:r>
      <w:r w:rsidR="00BB1AAC" w:rsidRPr="00333F46">
        <w:rPr>
          <w:lang w:val="fr-CH"/>
        </w:rPr>
        <w:t>action humanitaire au niveau local</w:t>
      </w:r>
      <w:r>
        <w:rPr>
          <w:lang w:val="fr-CH"/>
        </w:rPr>
        <w:t> </w:t>
      </w:r>
      <w:r w:rsidR="00BB1AAC" w:rsidRPr="00333F46">
        <w:rPr>
          <w:lang w:val="fr-CH"/>
        </w:rPr>
        <w:t>:</w:t>
      </w:r>
    </w:p>
    <w:p w:rsidR="00BB1AAC" w:rsidRPr="00333F46" w:rsidRDefault="00333F46" w:rsidP="00333F46">
      <w:pPr>
        <w:pStyle w:val="SingleTxt"/>
        <w:ind w:left="2218" w:hanging="951"/>
        <w:rPr>
          <w:lang w:val="fr-CH"/>
        </w:rPr>
      </w:pPr>
      <w:r>
        <w:rPr>
          <w:lang w:val="fr-CH"/>
        </w:rPr>
        <w:tab/>
      </w:r>
      <w:r>
        <w:rPr>
          <w:lang w:val="fr-CH"/>
        </w:rPr>
        <w:tab/>
        <w:t>Commission </w:t>
      </w:r>
      <w:r w:rsidR="00BB1AAC" w:rsidRPr="00333F46">
        <w:rPr>
          <w:lang w:val="fr-CH"/>
        </w:rPr>
        <w:t xml:space="preserve">A </w:t>
      </w:r>
      <w:r>
        <w:rPr>
          <w:lang w:val="fr-CH"/>
        </w:rPr>
        <w:t xml:space="preserve">– </w:t>
      </w:r>
      <w:r w:rsidR="00BB1AAC" w:rsidRPr="00333F46">
        <w:rPr>
          <w:lang w:val="fr-CH"/>
        </w:rPr>
        <w:t>Migration</w:t>
      </w:r>
      <w:r w:rsidR="0019333C">
        <w:rPr>
          <w:lang w:val="fr-CH"/>
        </w:rPr>
        <w:t> </w:t>
      </w:r>
      <w:r w:rsidR="00BB1AAC" w:rsidRPr="00333F46">
        <w:rPr>
          <w:lang w:val="fr-CH"/>
        </w:rPr>
        <w:t>: garantir l</w:t>
      </w:r>
      <w:r>
        <w:rPr>
          <w:lang w:val="fr-CH"/>
        </w:rPr>
        <w:t>’</w:t>
      </w:r>
      <w:r w:rsidR="00BB1AAC" w:rsidRPr="00333F46">
        <w:rPr>
          <w:lang w:val="fr-CH"/>
        </w:rPr>
        <w:t>accès, la dignité, le respect de la diversité et l</w:t>
      </w:r>
      <w:r>
        <w:rPr>
          <w:lang w:val="fr-CH"/>
        </w:rPr>
        <w:t>’</w:t>
      </w:r>
      <w:r w:rsidR="00BB1AAC" w:rsidRPr="00333F46">
        <w:rPr>
          <w:lang w:val="fr-CH"/>
        </w:rPr>
        <w:t xml:space="preserve">intégration sociale; </w:t>
      </w:r>
    </w:p>
    <w:p w:rsidR="00BB1AAC" w:rsidRPr="00333F46" w:rsidRDefault="00333F46" w:rsidP="00FB0A70">
      <w:pPr>
        <w:pStyle w:val="SingleTxt"/>
        <w:ind w:left="2218" w:hanging="951"/>
        <w:rPr>
          <w:lang w:val="fr-CH"/>
        </w:rPr>
      </w:pPr>
      <w:r>
        <w:rPr>
          <w:lang w:val="fr-CH"/>
        </w:rPr>
        <w:tab/>
      </w:r>
      <w:r>
        <w:rPr>
          <w:lang w:val="fr-CH"/>
        </w:rPr>
        <w:tab/>
        <w:t xml:space="preserve">Commission B – </w:t>
      </w:r>
      <w:r w:rsidR="00BB1AAC" w:rsidRPr="00333F46">
        <w:rPr>
          <w:lang w:val="fr-CH"/>
        </w:rPr>
        <w:t>Le renforcement du rôle d</w:t>
      </w:r>
      <w:r>
        <w:rPr>
          <w:lang w:val="fr-CH"/>
        </w:rPr>
        <w:t>’</w:t>
      </w:r>
      <w:r w:rsidR="00BB1AAC" w:rsidRPr="00333F46">
        <w:rPr>
          <w:lang w:val="fr-CH"/>
        </w:rPr>
        <w:t>auxiliaire</w:t>
      </w:r>
      <w:r w:rsidR="0019333C">
        <w:rPr>
          <w:lang w:val="fr-CH"/>
        </w:rPr>
        <w:t> </w:t>
      </w:r>
      <w:r w:rsidR="00BB1AAC" w:rsidRPr="00333F46">
        <w:rPr>
          <w:lang w:val="fr-CH"/>
        </w:rPr>
        <w:t xml:space="preserve">: partenariats pour des </w:t>
      </w:r>
      <w:r w:rsidR="00FB0A70">
        <w:rPr>
          <w:lang w:val="fr-CH"/>
        </w:rPr>
        <w:t>s</w:t>
      </w:r>
      <w:r w:rsidR="00BB1AAC" w:rsidRPr="00333F46">
        <w:rPr>
          <w:lang w:val="fr-CH"/>
        </w:rPr>
        <w:t>ociétés nationales plus fortes et développement du volontariat;</w:t>
      </w:r>
    </w:p>
    <w:p w:rsidR="00BB1AAC" w:rsidRPr="00333F46" w:rsidRDefault="00333F46" w:rsidP="00BB1AAC">
      <w:pPr>
        <w:pStyle w:val="SingleTxt"/>
        <w:rPr>
          <w:lang w:val="fr-CH"/>
        </w:rPr>
      </w:pPr>
      <w:r>
        <w:rPr>
          <w:lang w:val="fr-CH"/>
        </w:rPr>
        <w:tab/>
        <w:t>b)</w:t>
      </w:r>
      <w:r>
        <w:rPr>
          <w:lang w:val="fr-CH"/>
        </w:rPr>
        <w:tab/>
        <w:t>Thème </w:t>
      </w:r>
      <w:r w:rsidR="00BB1AAC" w:rsidRPr="00333F46">
        <w:rPr>
          <w:lang w:val="fr-CH"/>
        </w:rPr>
        <w:t>5.3. Lever les obstacles aux soins de santé</w:t>
      </w:r>
      <w:r>
        <w:rPr>
          <w:lang w:val="fr-CH"/>
        </w:rPr>
        <w:t> </w:t>
      </w:r>
      <w:r w:rsidR="00BB1AAC" w:rsidRPr="00333F46">
        <w:rPr>
          <w:lang w:val="fr-CH"/>
        </w:rPr>
        <w:t>:</w:t>
      </w:r>
    </w:p>
    <w:p w:rsidR="00BB1AAC" w:rsidRPr="00333F46" w:rsidRDefault="00333F46" w:rsidP="00333F46">
      <w:pPr>
        <w:pStyle w:val="SingleTxt"/>
        <w:ind w:left="2218" w:hanging="951"/>
        <w:rPr>
          <w:lang w:val="fr-CH"/>
        </w:rPr>
      </w:pPr>
      <w:r>
        <w:rPr>
          <w:lang w:val="fr-CH"/>
        </w:rPr>
        <w:tab/>
      </w:r>
      <w:r w:rsidR="00BB1AAC" w:rsidRPr="00333F46">
        <w:rPr>
          <w:lang w:val="fr-CH"/>
        </w:rPr>
        <w:tab/>
        <w:t>Commis</w:t>
      </w:r>
      <w:r>
        <w:rPr>
          <w:lang w:val="fr-CH"/>
        </w:rPr>
        <w:t>sion </w:t>
      </w:r>
      <w:r w:rsidR="00BB1AAC" w:rsidRPr="00333F46">
        <w:rPr>
          <w:lang w:val="fr-CH"/>
        </w:rPr>
        <w:t xml:space="preserve">C </w:t>
      </w:r>
      <w:r>
        <w:rPr>
          <w:lang w:val="fr-CH"/>
        </w:rPr>
        <w:t>–</w:t>
      </w:r>
      <w:r w:rsidR="00BB1AAC" w:rsidRPr="00333F46">
        <w:rPr>
          <w:lang w:val="fr-CH"/>
        </w:rPr>
        <w:t xml:space="preserve"> Les soins de santé en danger</w:t>
      </w:r>
      <w:r w:rsidR="0019333C">
        <w:rPr>
          <w:lang w:val="fr-CH"/>
        </w:rPr>
        <w:t> </w:t>
      </w:r>
      <w:r w:rsidR="00BB1AAC" w:rsidRPr="00333F46">
        <w:rPr>
          <w:lang w:val="fr-CH"/>
        </w:rPr>
        <w:t>: respecter et protéger les soins de santé dans les conflits armés et autres situations de violence;</w:t>
      </w:r>
    </w:p>
    <w:p w:rsidR="00BB1AAC" w:rsidRPr="00333F46" w:rsidRDefault="00333F46" w:rsidP="00333F46">
      <w:pPr>
        <w:pStyle w:val="SingleTxt"/>
        <w:ind w:left="2218" w:hanging="951"/>
        <w:rPr>
          <w:lang w:val="fr-CH"/>
        </w:rPr>
      </w:pPr>
      <w:r>
        <w:rPr>
          <w:lang w:val="fr-CH"/>
        </w:rPr>
        <w:tab/>
      </w:r>
      <w:r w:rsidR="00BB1AAC" w:rsidRPr="00333F46">
        <w:rPr>
          <w:lang w:val="fr-CH"/>
        </w:rPr>
        <w:tab/>
      </w:r>
      <w:r>
        <w:rPr>
          <w:lang w:val="fr-CH"/>
        </w:rPr>
        <w:t>Commission </w:t>
      </w:r>
      <w:r w:rsidR="00BB1AAC" w:rsidRPr="00333F46">
        <w:rPr>
          <w:lang w:val="fr-CH"/>
        </w:rPr>
        <w:t xml:space="preserve">D </w:t>
      </w:r>
      <w:r>
        <w:rPr>
          <w:lang w:val="fr-CH"/>
        </w:rPr>
        <w:t>–</w:t>
      </w:r>
      <w:r w:rsidR="00BB1AAC" w:rsidRPr="00333F46">
        <w:rPr>
          <w:lang w:val="fr-CH"/>
        </w:rPr>
        <w:t xml:space="preserve"> Réduire les inégalités en matière de santé dont sont victimes les femmes et les enfants.</w:t>
      </w:r>
    </w:p>
    <w:p w:rsidR="00BB1AAC" w:rsidRPr="00333F46" w:rsidRDefault="00BB1AAC" w:rsidP="00333F46">
      <w:pPr>
        <w:pStyle w:val="SingleTxt"/>
        <w:numPr>
          <w:ilvl w:val="0"/>
          <w:numId w:val="6"/>
        </w:numPr>
        <w:tabs>
          <w:tab w:val="clear" w:pos="475"/>
          <w:tab w:val="num" w:pos="1742"/>
        </w:tabs>
        <w:ind w:left="1267"/>
        <w:rPr>
          <w:lang w:val="fr-CH"/>
        </w:rPr>
      </w:pPr>
      <w:r w:rsidRPr="00333F46">
        <w:rPr>
          <w:lang w:val="fr-CH"/>
        </w:rPr>
        <w:t>Chaque commission se réunirait séparément e</w:t>
      </w:r>
      <w:r w:rsidR="00333F46">
        <w:rPr>
          <w:lang w:val="fr-CH"/>
        </w:rPr>
        <w:t xml:space="preserve">t débattrait pendant quelque quarante-cinq </w:t>
      </w:r>
      <w:r w:rsidRPr="00333F46">
        <w:rPr>
          <w:lang w:val="fr-CH"/>
        </w:rPr>
        <w:t>minutes de la question ou du thème qu</w:t>
      </w:r>
      <w:r w:rsidR="00333F46">
        <w:rPr>
          <w:lang w:val="fr-CH"/>
        </w:rPr>
        <w:t>’</w:t>
      </w:r>
      <w:r w:rsidRPr="00333F46">
        <w:rPr>
          <w:lang w:val="fr-CH"/>
        </w:rPr>
        <w:t xml:space="preserve">il lui aurait été dévolu(e). Ce temps étant écoulé, toutes les commissions se réuniraient dans un espace central où un porte-parole désigné pour chacune des commissions présenterait pendant </w:t>
      </w:r>
      <w:r w:rsidR="00333F46">
        <w:rPr>
          <w:lang w:val="fr-CH"/>
        </w:rPr>
        <w:t>sept à dix</w:t>
      </w:r>
      <w:r w:rsidRPr="00333F46">
        <w:rPr>
          <w:lang w:val="fr-CH"/>
        </w:rPr>
        <w:t xml:space="preserve"> minutes les conclusions, les solutions, les questions additionnelles et les points essentiels de débat. Lorsque tous les porte-parole se seraient exprimés, un débat général pourrait alors s</w:t>
      </w:r>
      <w:r w:rsidR="00333F46">
        <w:rPr>
          <w:lang w:val="fr-CH"/>
        </w:rPr>
        <w:t>’</w:t>
      </w:r>
      <w:r w:rsidRPr="00333F46">
        <w:rPr>
          <w:lang w:val="fr-CH"/>
        </w:rPr>
        <w:t xml:space="preserve">installer pendant </w:t>
      </w:r>
      <w:r w:rsidR="00333F46">
        <w:rPr>
          <w:lang w:val="fr-CH"/>
        </w:rPr>
        <w:t xml:space="preserve">trente </w:t>
      </w:r>
      <w:r w:rsidRPr="00333F46">
        <w:rPr>
          <w:lang w:val="fr-CH"/>
        </w:rPr>
        <w:t>minutes environ, ce temps englobant les questions des observateurs n</w:t>
      </w:r>
      <w:r w:rsidR="00333F46">
        <w:rPr>
          <w:lang w:val="fr-CH"/>
        </w:rPr>
        <w:t>’</w:t>
      </w:r>
      <w:r w:rsidRPr="00333F46">
        <w:rPr>
          <w:lang w:val="fr-CH"/>
        </w:rPr>
        <w:t xml:space="preserve">ayant pas pris part aux commissions.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AF25E7"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D.</w:t>
      </w:r>
      <w:r w:rsidR="00BB1AAC" w:rsidRPr="00333F46">
        <w:rPr>
          <w:lang w:val="fr-CH"/>
        </w:rPr>
        <w:tab/>
        <w:t>Discussions-perspectives</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FA319C">
      <w:pPr>
        <w:pStyle w:val="SingleTxt"/>
        <w:numPr>
          <w:ilvl w:val="0"/>
          <w:numId w:val="6"/>
        </w:numPr>
        <w:tabs>
          <w:tab w:val="clear" w:pos="475"/>
          <w:tab w:val="num" w:pos="1742"/>
        </w:tabs>
        <w:ind w:left="1267"/>
        <w:rPr>
          <w:bCs/>
          <w:lang w:val="fr-CH"/>
        </w:rPr>
      </w:pPr>
      <w:r w:rsidRPr="00333F46">
        <w:rPr>
          <w:lang w:val="fr-CH"/>
        </w:rPr>
        <w:t>Une autre option consiste à organiser simultanément plusieurs « discussions-perspectives », qu</w:t>
      </w:r>
      <w:r w:rsidR="00333F46">
        <w:rPr>
          <w:lang w:val="fr-CH"/>
        </w:rPr>
        <w:t>’</w:t>
      </w:r>
      <w:r w:rsidRPr="00333F46">
        <w:rPr>
          <w:lang w:val="fr-CH"/>
        </w:rPr>
        <w:t>il appartient à différents groupes de parties prenantes de conduire seuls (les ONG sont par exemple chargées d</w:t>
      </w:r>
      <w:r w:rsidR="00333F46">
        <w:rPr>
          <w:lang w:val="fr-CH"/>
        </w:rPr>
        <w:t>’</w:t>
      </w:r>
      <w:r w:rsidRPr="00333F46">
        <w:rPr>
          <w:lang w:val="fr-CH"/>
        </w:rPr>
        <w:t>un thème, les entreprises d</w:t>
      </w:r>
      <w:r w:rsidR="00333F46">
        <w:rPr>
          <w:lang w:val="fr-CH"/>
        </w:rPr>
        <w:t>’</w:t>
      </w:r>
      <w:r w:rsidRPr="00333F46">
        <w:rPr>
          <w:lang w:val="fr-CH"/>
        </w:rPr>
        <w:t>un autre, les ministres d</w:t>
      </w:r>
      <w:r w:rsidR="00333F46">
        <w:rPr>
          <w:lang w:val="fr-CH"/>
        </w:rPr>
        <w:t>’</w:t>
      </w:r>
      <w:r w:rsidRPr="00333F46">
        <w:rPr>
          <w:lang w:val="fr-CH"/>
        </w:rPr>
        <w:t>un troisième, etc.). Dans cette configuration, la discussion reflète la perspective du groupe de parties prenantes concerné sur un thème, une question ou un ensemble de questions donné. Les débats ainsi menés au sein des différents groupes débouchent ensuite sur un déb</w:t>
      </w:r>
      <w:r w:rsidR="00333F46">
        <w:rPr>
          <w:lang w:val="fr-CH"/>
        </w:rPr>
        <w:t>at ouvert entre quelque 20 à 30 </w:t>
      </w:r>
      <w:r w:rsidRPr="00333F46">
        <w:rPr>
          <w:lang w:val="fr-CH"/>
        </w:rPr>
        <w:t>participants d</w:t>
      </w:r>
      <w:r w:rsidR="00333F46">
        <w:rPr>
          <w:lang w:val="fr-CH"/>
        </w:rPr>
        <w:t>’</w:t>
      </w:r>
      <w:r w:rsidRPr="00333F46">
        <w:rPr>
          <w:lang w:val="fr-CH"/>
        </w:rPr>
        <w:t>autres groupes, auquel se joignent d</w:t>
      </w:r>
      <w:r w:rsidR="00333F46">
        <w:rPr>
          <w:lang w:val="fr-CH"/>
        </w:rPr>
        <w:t>’</w:t>
      </w:r>
      <w:r w:rsidRPr="00333F46">
        <w:rPr>
          <w:lang w:val="fr-CH"/>
        </w:rPr>
        <w:t>autres parties prenantes en qualité d</w:t>
      </w:r>
      <w:r w:rsidR="00333F46">
        <w:rPr>
          <w:lang w:val="fr-CH"/>
        </w:rPr>
        <w:t>’</w:t>
      </w:r>
      <w:r w:rsidRPr="00333F46">
        <w:rPr>
          <w:lang w:val="fr-CH"/>
        </w:rPr>
        <w:t xml:space="preserve">observateurs. </w:t>
      </w:r>
    </w:p>
    <w:p w:rsidR="00BB1AAC" w:rsidRPr="00333F46" w:rsidRDefault="00BB1AAC" w:rsidP="00333F46">
      <w:pPr>
        <w:pStyle w:val="SingleTxt"/>
        <w:numPr>
          <w:ilvl w:val="0"/>
          <w:numId w:val="6"/>
        </w:numPr>
        <w:tabs>
          <w:tab w:val="clear" w:pos="475"/>
          <w:tab w:val="num" w:pos="1742"/>
        </w:tabs>
        <w:ind w:left="1267"/>
        <w:rPr>
          <w:bCs/>
          <w:lang w:val="fr-CH"/>
        </w:rPr>
      </w:pPr>
      <w:r w:rsidRPr="00333F46">
        <w:rPr>
          <w:lang w:val="fr-CH"/>
        </w:rPr>
        <w:t xml:space="preserve">Les </w:t>
      </w:r>
      <w:r w:rsidR="00333F46">
        <w:rPr>
          <w:lang w:val="fr-CH"/>
        </w:rPr>
        <w:t xml:space="preserve">vingt </w:t>
      </w:r>
      <w:r w:rsidRPr="00333F46">
        <w:rPr>
          <w:lang w:val="fr-CH"/>
        </w:rPr>
        <w:t xml:space="preserve">à </w:t>
      </w:r>
      <w:r w:rsidR="00333F46">
        <w:rPr>
          <w:lang w:val="fr-CH"/>
        </w:rPr>
        <w:t>trente</w:t>
      </w:r>
      <w:r w:rsidRPr="00333F46">
        <w:rPr>
          <w:lang w:val="fr-CH"/>
        </w:rPr>
        <w:t xml:space="preserve"> dernières minutes du temps imparti pour chaque discussion sont réservées aux questions des observateurs à l</w:t>
      </w:r>
      <w:r w:rsidR="00333F46">
        <w:rPr>
          <w:lang w:val="fr-CH"/>
        </w:rPr>
        <w:t>’</w:t>
      </w:r>
      <w:r w:rsidRPr="00333F46">
        <w:rPr>
          <w:lang w:val="fr-CH"/>
        </w:rPr>
        <w:t>adresse du groupe de parties prenantes concerné. Aucun exposé préparé n</w:t>
      </w:r>
      <w:r w:rsidR="00333F46">
        <w:rPr>
          <w:lang w:val="fr-CH"/>
        </w:rPr>
        <w:t>’</w:t>
      </w:r>
      <w:r w:rsidRPr="00333F46">
        <w:rPr>
          <w:lang w:val="fr-CH"/>
        </w:rPr>
        <w:t xml:space="preserve">est admis, hormis celui de la partie prenante ayant conduit la discussion. Cette formule peut être envisagée pour permettre plusieurs débats concomitants (en fonction du nombre de salles disponibles), à moins de prévoir une réunion de deux heures pour deux groupes de parties prenantes la première journée, et une autre pour deux autres groupes la journée suivante. </w:t>
      </w:r>
    </w:p>
    <w:p w:rsidR="00BB1AAC" w:rsidRPr="00333F46" w:rsidRDefault="0020529B"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E.</w:t>
      </w:r>
      <w:r w:rsidR="00BB1AAC" w:rsidRPr="00333F46">
        <w:rPr>
          <w:lang w:val="fr-CH"/>
        </w:rPr>
        <w:tab/>
        <w:t xml:space="preserve">Débat-spectacle </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numPr>
          <w:ilvl w:val="0"/>
          <w:numId w:val="6"/>
        </w:numPr>
        <w:tabs>
          <w:tab w:val="clear" w:pos="475"/>
          <w:tab w:val="num" w:pos="1742"/>
        </w:tabs>
        <w:ind w:left="1267"/>
        <w:rPr>
          <w:bCs/>
          <w:lang w:val="fr-CH"/>
        </w:rPr>
      </w:pPr>
      <w:r w:rsidRPr="00333F46">
        <w:rPr>
          <w:lang w:val="fr-CH"/>
        </w:rPr>
        <w:t>Dans cette formule, des parties prenantes et des représentants de différents pays se voient offrir l</w:t>
      </w:r>
      <w:r w:rsidR="00333F46">
        <w:rPr>
          <w:lang w:val="fr-CH"/>
        </w:rPr>
        <w:t>’</w:t>
      </w:r>
      <w:r w:rsidRPr="00333F46">
        <w:rPr>
          <w:lang w:val="fr-CH"/>
        </w:rPr>
        <w:t>occasion de s</w:t>
      </w:r>
      <w:r w:rsidR="00333F46">
        <w:rPr>
          <w:lang w:val="fr-CH"/>
        </w:rPr>
        <w:t>’</w:t>
      </w:r>
      <w:r w:rsidRPr="00333F46">
        <w:rPr>
          <w:lang w:val="fr-CH"/>
        </w:rPr>
        <w:t>exprimer dans le cadre d</w:t>
      </w:r>
      <w:r w:rsidR="00333F46">
        <w:rPr>
          <w:lang w:val="fr-CH"/>
        </w:rPr>
        <w:t>’</w:t>
      </w:r>
      <w:r w:rsidRPr="00333F46">
        <w:rPr>
          <w:lang w:val="fr-CH"/>
        </w:rPr>
        <w:t>une conversation informelle. Comme dans un débat-spectacle comparable à ceux qu</w:t>
      </w:r>
      <w:r w:rsidR="00333F46">
        <w:rPr>
          <w:lang w:val="fr-CH"/>
        </w:rPr>
        <w:t>’</w:t>
      </w:r>
      <w:r w:rsidRPr="00333F46">
        <w:rPr>
          <w:lang w:val="fr-CH"/>
        </w:rPr>
        <w:t>offre la télévision, un « hôte » ou modérateur s</w:t>
      </w:r>
      <w:r w:rsidR="00333F46">
        <w:rPr>
          <w:lang w:val="fr-CH"/>
        </w:rPr>
        <w:t>’</w:t>
      </w:r>
      <w:r w:rsidRPr="00333F46">
        <w:rPr>
          <w:lang w:val="fr-CH"/>
        </w:rPr>
        <w:t>entretient avec des « invités », qui, dans ce cas-ci, pourraient être des ministres ou des représentants de différents groupes de parties prenantes. Chaque « invité » converserait ainsi avec l</w:t>
      </w:r>
      <w:r w:rsidR="00333F46">
        <w:rPr>
          <w:lang w:val="fr-CH"/>
        </w:rPr>
        <w:t>’« </w:t>
      </w:r>
      <w:r w:rsidRPr="00333F46">
        <w:rPr>
          <w:lang w:val="fr-CH"/>
        </w:rPr>
        <w:t xml:space="preserve">hôte » du débat pendant quelque </w:t>
      </w:r>
      <w:r w:rsidR="00333F46">
        <w:rPr>
          <w:lang w:val="fr-CH"/>
        </w:rPr>
        <w:t xml:space="preserve">quinze </w:t>
      </w:r>
      <w:r w:rsidRPr="00333F46">
        <w:rPr>
          <w:lang w:val="fr-CH"/>
        </w:rPr>
        <w:t>minutes sur un ton informel, dans un dialogue libre tournant autour d</w:t>
      </w:r>
      <w:r w:rsidR="00333F46">
        <w:rPr>
          <w:lang w:val="fr-CH"/>
        </w:rPr>
        <w:t>’</w:t>
      </w:r>
      <w:r w:rsidRPr="00333F46">
        <w:rPr>
          <w:lang w:val="fr-CH"/>
        </w:rPr>
        <w:t>une question ou d</w:t>
      </w:r>
      <w:r w:rsidR="00333F46">
        <w:rPr>
          <w:lang w:val="fr-CH"/>
        </w:rPr>
        <w:t>’</w:t>
      </w:r>
      <w:r w:rsidRPr="00333F46">
        <w:rPr>
          <w:lang w:val="fr-CH"/>
        </w:rPr>
        <w:t>un thème particulier. À l</w:t>
      </w:r>
      <w:r w:rsidR="00333F46">
        <w:rPr>
          <w:lang w:val="fr-CH"/>
        </w:rPr>
        <w:t>’</w:t>
      </w:r>
      <w:r w:rsidRPr="00333F46">
        <w:rPr>
          <w:lang w:val="fr-CH"/>
        </w:rPr>
        <w:t>issue de l</w:t>
      </w:r>
      <w:r w:rsidR="00333F46">
        <w:rPr>
          <w:lang w:val="fr-CH"/>
        </w:rPr>
        <w:t>’</w:t>
      </w:r>
      <w:r w:rsidRPr="00333F46">
        <w:rPr>
          <w:lang w:val="fr-CH"/>
        </w:rPr>
        <w:t>entretien, l</w:t>
      </w:r>
      <w:r w:rsidR="00333F46">
        <w:rPr>
          <w:lang w:val="fr-CH"/>
        </w:rPr>
        <w:t>’</w:t>
      </w:r>
      <w:r w:rsidRPr="00333F46">
        <w:rPr>
          <w:lang w:val="fr-CH"/>
        </w:rPr>
        <w:t>invité quitterait la scène ou le devant de la salle et céderait la place à l</w:t>
      </w:r>
      <w:r w:rsidR="00333F46">
        <w:rPr>
          <w:lang w:val="fr-CH"/>
        </w:rPr>
        <w:t>’</w:t>
      </w:r>
      <w:r w:rsidRPr="00333F46">
        <w:rPr>
          <w:lang w:val="fr-CH"/>
        </w:rPr>
        <w:t xml:space="preserve">invité suivant. </w:t>
      </w:r>
    </w:p>
    <w:p w:rsidR="00BB1AAC" w:rsidRPr="00333F46" w:rsidRDefault="00BB1AAC" w:rsidP="00BB1AAC">
      <w:pPr>
        <w:pStyle w:val="SingleTxt"/>
        <w:numPr>
          <w:ilvl w:val="0"/>
          <w:numId w:val="6"/>
        </w:numPr>
        <w:tabs>
          <w:tab w:val="clear" w:pos="475"/>
          <w:tab w:val="num" w:pos="1742"/>
        </w:tabs>
        <w:ind w:left="1267"/>
        <w:rPr>
          <w:bCs/>
          <w:lang w:val="fr-CH"/>
        </w:rPr>
      </w:pPr>
      <w:r w:rsidRPr="00333F46">
        <w:rPr>
          <w:lang w:val="fr-CH"/>
        </w:rPr>
        <w:t>Selon le choix des organisateurs, le thème traité serait poursuivi, ou, au contraire, un autre thème serait abordé. Lorsque les quatre ou cinq invités se seraient exprimés, ils se réuniraient pour tenir ensemble une réunion-débat à laquelle se joindraient l</w:t>
      </w:r>
      <w:r w:rsidR="00333F46">
        <w:rPr>
          <w:lang w:val="fr-CH"/>
        </w:rPr>
        <w:t>’</w:t>
      </w:r>
      <w:r w:rsidRPr="00333F46">
        <w:rPr>
          <w:lang w:val="fr-CH"/>
        </w:rPr>
        <w:t>hôte et les observateurs. Cette réunion-débat pourrait avoir une durée d</w:t>
      </w:r>
      <w:r w:rsidR="00333F46">
        <w:rPr>
          <w:lang w:val="fr-CH"/>
        </w:rPr>
        <w:t>’</w:t>
      </w:r>
      <w:r w:rsidRPr="00333F46">
        <w:rPr>
          <w:lang w:val="fr-CH"/>
        </w:rPr>
        <w:t>une heure. Selon le nombre de salles disponibles et l</w:t>
      </w:r>
      <w:r w:rsidR="00333F46">
        <w:rPr>
          <w:lang w:val="fr-CH"/>
        </w:rPr>
        <w:t>’</w:t>
      </w:r>
      <w:r w:rsidRPr="00333F46">
        <w:rPr>
          <w:lang w:val="fr-CH"/>
        </w:rPr>
        <w:t xml:space="preserve">organisation générale de la conférence, celle-ci pourrait accueillir simultanément plusieurs débats-spectacle sur différents thèmes.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20529B"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F.</w:t>
      </w:r>
      <w:r w:rsidR="00BB1AAC" w:rsidRPr="00333F46">
        <w:rPr>
          <w:lang w:val="fr-CH"/>
        </w:rPr>
        <w:tab/>
        <w:t>Colloque thématique</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numPr>
          <w:ilvl w:val="0"/>
          <w:numId w:val="6"/>
        </w:numPr>
        <w:tabs>
          <w:tab w:val="clear" w:pos="475"/>
          <w:tab w:val="num" w:pos="1742"/>
        </w:tabs>
        <w:ind w:left="1267"/>
        <w:rPr>
          <w:lang w:val="fr-CH"/>
        </w:rPr>
      </w:pPr>
      <w:r w:rsidRPr="00333F46">
        <w:rPr>
          <w:lang w:val="fr-CH"/>
        </w:rPr>
        <w:t>Autre option envisageable</w:t>
      </w:r>
      <w:r w:rsidR="0019333C">
        <w:rPr>
          <w:lang w:val="fr-CH"/>
        </w:rPr>
        <w:t> </w:t>
      </w:r>
      <w:r w:rsidRPr="00333F46">
        <w:rPr>
          <w:lang w:val="fr-CH"/>
        </w:rPr>
        <w:t>: celle du « colloque thématique », plus classique, qui permet d</w:t>
      </w:r>
      <w:r w:rsidR="00333F46">
        <w:rPr>
          <w:lang w:val="fr-CH"/>
        </w:rPr>
        <w:t>’</w:t>
      </w:r>
      <w:r w:rsidRPr="00333F46">
        <w:rPr>
          <w:lang w:val="fr-CH"/>
        </w:rPr>
        <w:t>entendre des exposés ciblés et de portée limitée sur un thème en particulier. Un débat sous cette forme serait placé sous la conduite d</w:t>
      </w:r>
      <w:r w:rsidR="00333F46">
        <w:rPr>
          <w:lang w:val="fr-CH"/>
        </w:rPr>
        <w:t>’</w:t>
      </w:r>
      <w:r w:rsidRPr="00333F46">
        <w:rPr>
          <w:lang w:val="fr-CH"/>
        </w:rPr>
        <w:t>un modérateur et mettrait sur le devant de la scène trois orateurs et un commentateur. Il pourrait avoir une durée de deux heures, incluant le temps de parole accordé à chaque orateur, d</w:t>
      </w:r>
      <w:r w:rsidR="00333F46">
        <w:rPr>
          <w:lang w:val="fr-CH"/>
        </w:rPr>
        <w:t>’</w:t>
      </w:r>
      <w:r w:rsidRPr="00333F46">
        <w:rPr>
          <w:lang w:val="fr-CH"/>
        </w:rPr>
        <w:t xml:space="preserve">une durée de </w:t>
      </w:r>
      <w:r w:rsidR="00333F46">
        <w:rPr>
          <w:lang w:val="fr-CH"/>
        </w:rPr>
        <w:t>vingt</w:t>
      </w:r>
      <w:r w:rsidRPr="00333F46">
        <w:rPr>
          <w:lang w:val="fr-CH"/>
        </w:rPr>
        <w:t xml:space="preserve"> minutes, un exposé de </w:t>
      </w:r>
      <w:r w:rsidR="00333F46">
        <w:rPr>
          <w:lang w:val="fr-CH"/>
        </w:rPr>
        <w:t xml:space="preserve">quinze </w:t>
      </w:r>
      <w:r w:rsidRPr="00333F46">
        <w:rPr>
          <w:lang w:val="fr-CH"/>
        </w:rPr>
        <w:t xml:space="preserve">minutes par le commentateur et un débat ouvert de </w:t>
      </w:r>
      <w:r w:rsidR="00333F46">
        <w:rPr>
          <w:lang w:val="fr-CH"/>
        </w:rPr>
        <w:t xml:space="preserve">quarante-cinq </w:t>
      </w:r>
      <w:r w:rsidRPr="00333F46">
        <w:rPr>
          <w:lang w:val="fr-CH"/>
        </w:rPr>
        <w:t>minutes entre les participants, le modérateur et les observateurs présents dans l</w:t>
      </w:r>
      <w:r w:rsidR="00333F46">
        <w:rPr>
          <w:lang w:val="fr-CH"/>
        </w:rPr>
        <w:t>’</w:t>
      </w:r>
      <w:r w:rsidRPr="00333F46">
        <w:rPr>
          <w:lang w:val="fr-CH"/>
        </w:rPr>
        <w:t xml:space="preserve">assistance.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20529B"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G.</w:t>
      </w:r>
      <w:r w:rsidR="00BB1AAC" w:rsidRPr="00333F46">
        <w:rPr>
          <w:lang w:val="fr-CH"/>
        </w:rPr>
        <w:tab/>
        <w:t>Table ronde tournante</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0B0100">
      <w:pPr>
        <w:pStyle w:val="SingleTxt"/>
        <w:numPr>
          <w:ilvl w:val="0"/>
          <w:numId w:val="6"/>
        </w:numPr>
        <w:tabs>
          <w:tab w:val="clear" w:pos="475"/>
          <w:tab w:val="num" w:pos="1742"/>
        </w:tabs>
        <w:ind w:left="1267"/>
        <w:rPr>
          <w:bCs/>
          <w:lang w:val="fr-CH"/>
        </w:rPr>
      </w:pPr>
      <w:r w:rsidRPr="00333F46">
        <w:rPr>
          <w:lang w:val="fr-CH"/>
        </w:rPr>
        <w:t>Sous la forme d</w:t>
      </w:r>
      <w:r w:rsidR="00333F46">
        <w:rPr>
          <w:lang w:val="fr-CH"/>
        </w:rPr>
        <w:t>’</w:t>
      </w:r>
      <w:r w:rsidRPr="00333F46">
        <w:rPr>
          <w:lang w:val="fr-CH"/>
        </w:rPr>
        <w:t xml:space="preserve">une « table ronde tournante », un </w:t>
      </w:r>
      <w:r w:rsidR="00333F46">
        <w:rPr>
          <w:lang w:val="fr-CH"/>
        </w:rPr>
        <w:t xml:space="preserve">débat verrait intervenir </w:t>
      </w:r>
      <w:r w:rsidR="000B0100">
        <w:rPr>
          <w:lang w:val="fr-CH"/>
        </w:rPr>
        <w:t>cinq</w:t>
      </w:r>
      <w:r w:rsidR="00333F46">
        <w:rPr>
          <w:lang w:val="fr-CH"/>
        </w:rPr>
        <w:t xml:space="preserve"> ou </w:t>
      </w:r>
      <w:r w:rsidR="000B0100">
        <w:rPr>
          <w:lang w:val="fr-CH"/>
        </w:rPr>
        <w:t xml:space="preserve">six </w:t>
      </w:r>
      <w:r w:rsidR="00333F46">
        <w:rPr>
          <w:lang w:val="fr-CH"/>
        </w:rPr>
        <w:t>petits groupes de 10 à 12 </w:t>
      </w:r>
      <w:r w:rsidRPr="00333F46">
        <w:rPr>
          <w:lang w:val="fr-CH"/>
        </w:rPr>
        <w:t>personnes (parmi lesquelles des ministres, des représentants d</w:t>
      </w:r>
      <w:r w:rsidR="00333F46">
        <w:rPr>
          <w:lang w:val="fr-CH"/>
        </w:rPr>
        <w:t>’</w:t>
      </w:r>
      <w:r w:rsidRPr="00333F46">
        <w:rPr>
          <w:lang w:val="fr-CH"/>
        </w:rPr>
        <w:t>ONG et d</w:t>
      </w:r>
      <w:r w:rsidR="00333F46">
        <w:rPr>
          <w:lang w:val="fr-CH"/>
        </w:rPr>
        <w:t>’</w:t>
      </w:r>
      <w:r w:rsidRPr="00333F46">
        <w:rPr>
          <w:lang w:val="fr-CH"/>
        </w:rPr>
        <w:t>OIG et des membres du monde de l</w:t>
      </w:r>
      <w:r w:rsidR="00333F46">
        <w:rPr>
          <w:lang w:val="fr-CH"/>
        </w:rPr>
        <w:t>’</w:t>
      </w:r>
      <w:r w:rsidRPr="00333F46">
        <w:rPr>
          <w:lang w:val="fr-CH"/>
        </w:rPr>
        <w:t xml:space="preserve">entreprise), chaque groupe passant successivement quelque </w:t>
      </w:r>
      <w:r w:rsidR="00333F46">
        <w:rPr>
          <w:lang w:val="fr-CH"/>
        </w:rPr>
        <w:t xml:space="preserve">quinze </w:t>
      </w:r>
      <w:r w:rsidRPr="00333F46">
        <w:rPr>
          <w:lang w:val="fr-CH"/>
        </w:rPr>
        <w:t>minutes à la table d</w:t>
      </w:r>
      <w:r w:rsidR="00333F46">
        <w:rPr>
          <w:lang w:val="fr-CH"/>
        </w:rPr>
        <w:t>’</w:t>
      </w:r>
      <w:r w:rsidRPr="00333F46">
        <w:rPr>
          <w:lang w:val="fr-CH"/>
        </w:rPr>
        <w:t xml:space="preserve">un modérateur chargé de consigner les points principaux de la discussion. Chaque table ronde examinerait une question particulière en rapport avec les thèmes de la conférence, cette question étant elle-même liée aux autres. </w:t>
      </w:r>
    </w:p>
    <w:p w:rsidR="00BB1AAC" w:rsidRPr="00333F46" w:rsidRDefault="00BB1AAC" w:rsidP="00333F46">
      <w:pPr>
        <w:pStyle w:val="SingleTxt"/>
        <w:numPr>
          <w:ilvl w:val="0"/>
          <w:numId w:val="6"/>
        </w:numPr>
        <w:tabs>
          <w:tab w:val="clear" w:pos="475"/>
          <w:tab w:val="num" w:pos="1742"/>
        </w:tabs>
        <w:ind w:left="1267"/>
        <w:rPr>
          <w:bCs/>
          <w:lang w:val="fr-CH"/>
        </w:rPr>
      </w:pPr>
      <w:r w:rsidRPr="00333F46">
        <w:rPr>
          <w:lang w:val="fr-CH"/>
        </w:rPr>
        <w:t>À chaque rotation, les modérateurs résumeraient brièvement les points soulevés, permettant ainsi au nouveau groupe d</w:t>
      </w:r>
      <w:r w:rsidR="00333F46">
        <w:rPr>
          <w:lang w:val="fr-CH"/>
        </w:rPr>
        <w:t>’</w:t>
      </w:r>
      <w:r w:rsidRPr="00333F46">
        <w:rPr>
          <w:lang w:val="fr-CH"/>
        </w:rPr>
        <w:t>embrayer à partir des points sur lesquels s</w:t>
      </w:r>
      <w:r w:rsidR="00333F46">
        <w:rPr>
          <w:lang w:val="fr-CH"/>
        </w:rPr>
        <w:t>’</w:t>
      </w:r>
      <w:r w:rsidRPr="00333F46">
        <w:rPr>
          <w:lang w:val="fr-CH"/>
        </w:rPr>
        <w:t>est arrêtée la discussion précédente. Lorsque les différentes tables auraient suffisamment donné l</w:t>
      </w:r>
      <w:r w:rsidR="00333F46">
        <w:rPr>
          <w:lang w:val="fr-CH"/>
        </w:rPr>
        <w:t>’</w:t>
      </w:r>
      <w:r w:rsidRPr="00333F46">
        <w:rPr>
          <w:lang w:val="fr-CH"/>
        </w:rPr>
        <w:t>occasion à l</w:t>
      </w:r>
      <w:r w:rsidR="00333F46">
        <w:rPr>
          <w:lang w:val="fr-CH"/>
        </w:rPr>
        <w:t>’</w:t>
      </w:r>
      <w:r w:rsidRPr="00333F46">
        <w:rPr>
          <w:lang w:val="fr-CH"/>
        </w:rPr>
        <w:t>ensemble des groupes de s</w:t>
      </w:r>
      <w:r w:rsidR="00333F46">
        <w:rPr>
          <w:lang w:val="fr-CH"/>
        </w:rPr>
        <w:t>’</w:t>
      </w:r>
      <w:r w:rsidRPr="00333F46">
        <w:rPr>
          <w:lang w:val="fr-CH"/>
        </w:rPr>
        <w:t>exprimer sur les thèmes proposés, les points essentiels consignés au terme de chaque discussion seraient présentés à l</w:t>
      </w:r>
      <w:r w:rsidR="00333F46">
        <w:rPr>
          <w:lang w:val="fr-CH"/>
        </w:rPr>
        <w:t>’</w:t>
      </w:r>
      <w:r w:rsidRPr="00333F46">
        <w:rPr>
          <w:lang w:val="fr-CH"/>
        </w:rPr>
        <w:t>ensemble de l</w:t>
      </w:r>
      <w:r w:rsidR="00333F46">
        <w:rPr>
          <w:lang w:val="fr-CH"/>
        </w:rPr>
        <w:t>’</w:t>
      </w:r>
      <w:r w:rsidRPr="00333F46">
        <w:rPr>
          <w:lang w:val="fr-CH"/>
        </w:rPr>
        <w:t>assistance par chacun des modérateurs, après quoi viendrait un débat général d</w:t>
      </w:r>
      <w:r w:rsidR="00333F46">
        <w:rPr>
          <w:lang w:val="fr-CH"/>
        </w:rPr>
        <w:t>’</w:t>
      </w:r>
      <w:r w:rsidRPr="00333F46">
        <w:rPr>
          <w:lang w:val="fr-CH"/>
        </w:rPr>
        <w:t xml:space="preserve">environ </w:t>
      </w:r>
      <w:r w:rsidR="00333F46">
        <w:rPr>
          <w:lang w:val="fr-CH"/>
        </w:rPr>
        <w:t xml:space="preserve">trente </w:t>
      </w:r>
      <w:r w:rsidRPr="00333F46">
        <w:rPr>
          <w:lang w:val="fr-CH"/>
        </w:rPr>
        <w:t xml:space="preserve">minutes.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32420E"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H.</w:t>
      </w:r>
      <w:r w:rsidR="00BB1AAC" w:rsidRPr="00333F46">
        <w:rPr>
          <w:lang w:val="fr-CH"/>
        </w:rPr>
        <w:tab/>
        <w:t>Séance de questions/réponses</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593B50">
      <w:pPr>
        <w:pStyle w:val="SingleTxt"/>
        <w:numPr>
          <w:ilvl w:val="0"/>
          <w:numId w:val="6"/>
        </w:numPr>
        <w:tabs>
          <w:tab w:val="clear" w:pos="475"/>
          <w:tab w:val="num" w:pos="1742"/>
        </w:tabs>
        <w:ind w:left="1267"/>
        <w:rPr>
          <w:lang w:val="fr-CH"/>
        </w:rPr>
      </w:pPr>
      <w:r w:rsidRPr="00333F46">
        <w:rPr>
          <w:lang w:val="fr-CH"/>
        </w:rPr>
        <w:t>L</w:t>
      </w:r>
      <w:r w:rsidR="00333F46">
        <w:rPr>
          <w:lang w:val="fr-CH"/>
        </w:rPr>
        <w:t>’</w:t>
      </w:r>
      <w:r w:rsidRPr="00333F46">
        <w:rPr>
          <w:lang w:val="fr-CH"/>
        </w:rPr>
        <w:t>une des suggestions formulées dans le cadre de l</w:t>
      </w:r>
      <w:r w:rsidR="00333F46">
        <w:rPr>
          <w:lang w:val="fr-CH"/>
        </w:rPr>
        <w:t>’</w:t>
      </w:r>
      <w:r w:rsidRPr="00333F46">
        <w:rPr>
          <w:lang w:val="fr-CH"/>
        </w:rPr>
        <w:t>enquête de 2013 sur le processus « Un environnement pour l</w:t>
      </w:r>
      <w:r w:rsidR="00333F46">
        <w:rPr>
          <w:lang w:val="fr-CH"/>
        </w:rPr>
        <w:t>’</w:t>
      </w:r>
      <w:r w:rsidRPr="00333F46">
        <w:rPr>
          <w:lang w:val="fr-CH"/>
        </w:rPr>
        <w:t>Europe », prise en compte dans le cadre proposé pour la préparation de la huitième Conférence ministérielle, portait sur un mode d</w:t>
      </w:r>
      <w:r w:rsidR="00333F46">
        <w:rPr>
          <w:lang w:val="fr-CH"/>
        </w:rPr>
        <w:t>’</w:t>
      </w:r>
      <w:r w:rsidRPr="00333F46">
        <w:rPr>
          <w:lang w:val="fr-CH"/>
        </w:rPr>
        <w:t>organisation de la conférence calqué sur le show télévisé de la BBC intitulé « Question Time ». Dans ce type de configuration, le panel de la conférence est constitué d</w:t>
      </w:r>
      <w:r w:rsidR="00333F46">
        <w:rPr>
          <w:lang w:val="fr-CH"/>
        </w:rPr>
        <w:t>’</w:t>
      </w:r>
      <w:r w:rsidRPr="00333F46">
        <w:rPr>
          <w:lang w:val="fr-CH"/>
        </w:rPr>
        <w:t>un modérateur et de quatre experts d</w:t>
      </w:r>
      <w:r w:rsidR="00333F46">
        <w:rPr>
          <w:lang w:val="fr-CH"/>
        </w:rPr>
        <w:t>’</w:t>
      </w:r>
      <w:r w:rsidRPr="00333F46">
        <w:rPr>
          <w:lang w:val="fr-CH"/>
        </w:rPr>
        <w:t>appartenances différentes. Avant la discussion, des questions sont préparées par les membres de l</w:t>
      </w:r>
      <w:r w:rsidR="00333F46">
        <w:rPr>
          <w:lang w:val="fr-CH"/>
        </w:rPr>
        <w:t>’</w:t>
      </w:r>
      <w:r w:rsidRPr="00333F46">
        <w:rPr>
          <w:lang w:val="fr-CH"/>
        </w:rPr>
        <w:t>assistance sur deux ou trois thèmes préalablement convenus. Le modérateur en retient un certain nombre, qui fer</w:t>
      </w:r>
      <w:r w:rsidR="00593B50">
        <w:rPr>
          <w:lang w:val="fr-CH"/>
        </w:rPr>
        <w:t>a</w:t>
      </w:r>
      <w:r w:rsidRPr="00333F46">
        <w:rPr>
          <w:lang w:val="fr-CH"/>
        </w:rPr>
        <w:t xml:space="preserve"> l</w:t>
      </w:r>
      <w:r w:rsidR="00333F46">
        <w:rPr>
          <w:lang w:val="fr-CH"/>
        </w:rPr>
        <w:t>’</w:t>
      </w:r>
      <w:r w:rsidRPr="00333F46">
        <w:rPr>
          <w:lang w:val="fr-CH"/>
        </w:rPr>
        <w:t>objet d</w:t>
      </w:r>
      <w:r w:rsidR="00333F46">
        <w:rPr>
          <w:lang w:val="fr-CH"/>
        </w:rPr>
        <w:t>’</w:t>
      </w:r>
      <w:r w:rsidRPr="00333F46">
        <w:rPr>
          <w:lang w:val="fr-CH"/>
        </w:rPr>
        <w:t>un débat d</w:t>
      </w:r>
      <w:r w:rsidR="00333F46">
        <w:rPr>
          <w:lang w:val="fr-CH"/>
        </w:rPr>
        <w:t>’</w:t>
      </w:r>
      <w:r w:rsidRPr="00333F46">
        <w:rPr>
          <w:lang w:val="fr-CH"/>
        </w:rPr>
        <w:t>une durée d</w:t>
      </w:r>
      <w:r w:rsidR="00333F46">
        <w:rPr>
          <w:lang w:val="fr-CH"/>
        </w:rPr>
        <w:t>’</w:t>
      </w:r>
      <w:r w:rsidRPr="00333F46">
        <w:rPr>
          <w:lang w:val="fr-CH"/>
        </w:rPr>
        <w:t xml:space="preserve">une heure. </w:t>
      </w:r>
    </w:p>
    <w:p w:rsidR="00BB1AAC" w:rsidRPr="00333F46" w:rsidRDefault="00BB1AAC" w:rsidP="00333F46">
      <w:pPr>
        <w:pStyle w:val="SingleTxt"/>
        <w:numPr>
          <w:ilvl w:val="0"/>
          <w:numId w:val="6"/>
        </w:numPr>
        <w:tabs>
          <w:tab w:val="clear" w:pos="475"/>
          <w:tab w:val="num" w:pos="1742"/>
        </w:tabs>
        <w:ind w:left="1267"/>
        <w:rPr>
          <w:lang w:val="fr-CH"/>
        </w:rPr>
      </w:pPr>
      <w:r w:rsidRPr="00333F46">
        <w:rPr>
          <w:lang w:val="fr-CH"/>
        </w:rPr>
        <w:t xml:space="preserve">Les experts ne sont pas informés des questions qui leur seront posées et doivent donc y répondre sans aucune préparation. Leur réponse ne doit pas prendre plus de </w:t>
      </w:r>
      <w:r w:rsidR="00333F46">
        <w:rPr>
          <w:lang w:val="fr-CH"/>
        </w:rPr>
        <w:t>deux</w:t>
      </w:r>
      <w:r w:rsidRPr="00333F46">
        <w:rPr>
          <w:lang w:val="fr-CH"/>
        </w:rPr>
        <w:t xml:space="preserve"> à </w:t>
      </w:r>
      <w:r w:rsidR="00333F46">
        <w:rPr>
          <w:lang w:val="fr-CH"/>
        </w:rPr>
        <w:t xml:space="preserve">trois </w:t>
      </w:r>
      <w:r w:rsidRPr="00333F46">
        <w:rPr>
          <w:lang w:val="fr-CH"/>
        </w:rPr>
        <w:t>minutes. Lorsqu</w:t>
      </w:r>
      <w:r w:rsidR="00333F46">
        <w:rPr>
          <w:lang w:val="fr-CH"/>
        </w:rPr>
        <w:t>’</w:t>
      </w:r>
      <w:r w:rsidRPr="00333F46">
        <w:rPr>
          <w:lang w:val="fr-CH"/>
        </w:rPr>
        <w:t xml:space="preserve">ils se sont tous exprimés, leurs homologues peuvent formuler des commentaires ou réagir pendant </w:t>
      </w:r>
      <w:r w:rsidR="00333F46">
        <w:rPr>
          <w:lang w:val="fr-CH"/>
        </w:rPr>
        <w:t xml:space="preserve">trois </w:t>
      </w:r>
      <w:r w:rsidRPr="00333F46">
        <w:rPr>
          <w:lang w:val="fr-CH"/>
        </w:rPr>
        <w:t xml:space="preserve">à </w:t>
      </w:r>
      <w:r w:rsidR="00333F46">
        <w:rPr>
          <w:lang w:val="fr-CH"/>
        </w:rPr>
        <w:t>quatre</w:t>
      </w:r>
      <w:r w:rsidRPr="00333F46">
        <w:rPr>
          <w:lang w:val="fr-CH"/>
        </w:rPr>
        <w:t xml:space="preserve"> minutes, après quoi l</w:t>
      </w:r>
      <w:r w:rsidR="00333F46">
        <w:rPr>
          <w:lang w:val="fr-CH"/>
        </w:rPr>
        <w:t>’</w:t>
      </w:r>
      <w:r w:rsidRPr="00333F46">
        <w:rPr>
          <w:lang w:val="fr-CH"/>
        </w:rPr>
        <w:t xml:space="preserve">assistance se voit accorder </w:t>
      </w:r>
      <w:r w:rsidR="00333F46">
        <w:rPr>
          <w:lang w:val="fr-CH"/>
        </w:rPr>
        <w:t>cinq</w:t>
      </w:r>
      <w:r w:rsidRPr="00333F46">
        <w:rPr>
          <w:lang w:val="fr-CH"/>
        </w:rPr>
        <w:t xml:space="preserve"> minutes au maximum pour faire part à son tour de ses commentaires. Il en va ainsi pour le traitement de chaque question ou thème abordé jusqu</w:t>
      </w:r>
      <w:r w:rsidR="00333F46">
        <w:rPr>
          <w:lang w:val="fr-CH"/>
        </w:rPr>
        <w:t>’</w:t>
      </w:r>
      <w:r w:rsidRPr="00333F46">
        <w:rPr>
          <w:lang w:val="fr-CH"/>
        </w:rPr>
        <w:t>à épuisement de l</w:t>
      </w:r>
      <w:r w:rsidR="00333F46">
        <w:rPr>
          <w:lang w:val="fr-CH"/>
        </w:rPr>
        <w:t>’</w:t>
      </w:r>
      <w:r w:rsidRPr="00333F46">
        <w:rPr>
          <w:lang w:val="fr-CH"/>
        </w:rPr>
        <w:t xml:space="preserve">heure impartie pour la discussion.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En fonction du temps et des locaux mis à la disposition de la conférence, la durée du débat peut être portée à deux heures, à moins qu</w:t>
      </w:r>
      <w:r w:rsidR="00333F46">
        <w:rPr>
          <w:lang w:val="fr-CH"/>
        </w:rPr>
        <w:t>’</w:t>
      </w:r>
      <w:r w:rsidRPr="00333F46">
        <w:rPr>
          <w:lang w:val="fr-CH"/>
        </w:rPr>
        <w:t>il ne soit décidé de faire place à d</w:t>
      </w:r>
      <w:r w:rsidR="00333F46">
        <w:rPr>
          <w:lang w:val="fr-CH"/>
        </w:rPr>
        <w:t>’</w:t>
      </w:r>
      <w:r w:rsidRPr="00333F46">
        <w:rPr>
          <w:lang w:val="fr-CH"/>
        </w:rPr>
        <w:t>autres experts et/ou à un autre modérateur pour entamer une seconde série de questions, soit sur le même thème, soit sur un nouveau thème. Il est possible également de tenir simultanément plusieurs séances de questions/réponses pour autant que le lieu de la conférence soit suffisamment pourvu en locaux et en services d</w:t>
      </w:r>
      <w:r w:rsidR="00333F46">
        <w:rPr>
          <w:lang w:val="fr-CH"/>
        </w:rPr>
        <w:t>’</w:t>
      </w:r>
      <w:r w:rsidRPr="00333F46">
        <w:rPr>
          <w:lang w:val="fr-CH"/>
        </w:rPr>
        <w:t xml:space="preserve">appui technologique. </w:t>
      </w:r>
    </w:p>
    <w:p w:rsidR="00BB1AAC" w:rsidRPr="00333F46" w:rsidRDefault="00BB1AAC" w:rsidP="000B0100">
      <w:pPr>
        <w:pStyle w:val="SingleTxt"/>
        <w:numPr>
          <w:ilvl w:val="0"/>
          <w:numId w:val="6"/>
        </w:numPr>
        <w:tabs>
          <w:tab w:val="clear" w:pos="475"/>
          <w:tab w:val="num" w:pos="1742"/>
        </w:tabs>
        <w:ind w:left="1267"/>
        <w:rPr>
          <w:lang w:val="fr-CH"/>
        </w:rPr>
      </w:pPr>
      <w:r w:rsidRPr="00333F46">
        <w:rPr>
          <w:lang w:val="fr-CH"/>
        </w:rPr>
        <w:t>En réponse à l</w:t>
      </w:r>
      <w:r w:rsidR="00333F46">
        <w:rPr>
          <w:lang w:val="fr-CH"/>
        </w:rPr>
        <w:t>’</w:t>
      </w:r>
      <w:r w:rsidRPr="00333F46">
        <w:rPr>
          <w:lang w:val="fr-CH"/>
        </w:rPr>
        <w:t>enquête sur le processus « Un environnement pour l</w:t>
      </w:r>
      <w:r w:rsidR="00333F46">
        <w:rPr>
          <w:lang w:val="fr-CH"/>
        </w:rPr>
        <w:t>’Europe », 11 </w:t>
      </w:r>
      <w:r w:rsidRPr="00333F46">
        <w:rPr>
          <w:lang w:val="fr-CH"/>
        </w:rPr>
        <w:t>pays se sont dits « tout à fait d</w:t>
      </w:r>
      <w:r w:rsidR="00333F46">
        <w:rPr>
          <w:lang w:val="fr-CH"/>
        </w:rPr>
        <w:t>’</w:t>
      </w:r>
      <w:r w:rsidRPr="00333F46">
        <w:rPr>
          <w:lang w:val="fr-CH"/>
        </w:rPr>
        <w:t>accord » avec la proposition portant sur la tenue d</w:t>
      </w:r>
      <w:r w:rsidR="00333F46">
        <w:rPr>
          <w:lang w:val="fr-CH"/>
        </w:rPr>
        <w:t>’</w:t>
      </w:r>
      <w:r w:rsidRPr="00333F46">
        <w:rPr>
          <w:lang w:val="fr-CH"/>
        </w:rPr>
        <w:t xml:space="preserve">un débat de type </w:t>
      </w:r>
      <w:r w:rsidR="00333F46">
        <w:rPr>
          <w:lang w:val="fr-CH"/>
        </w:rPr>
        <w:t xml:space="preserve">« Question Time », tandis que </w:t>
      </w:r>
      <w:r w:rsidR="000B0100">
        <w:rPr>
          <w:lang w:val="fr-CH"/>
        </w:rPr>
        <w:t xml:space="preserve">sept </w:t>
      </w:r>
      <w:r w:rsidRPr="00333F46">
        <w:rPr>
          <w:lang w:val="fr-CH"/>
        </w:rPr>
        <w:t xml:space="preserve">autres pays </w:t>
      </w:r>
      <w:r w:rsidR="00333F46">
        <w:rPr>
          <w:lang w:val="fr-CH"/>
        </w:rPr>
        <w:t xml:space="preserve">et </w:t>
      </w:r>
      <w:r w:rsidR="000B0100">
        <w:rPr>
          <w:lang w:val="fr-CH"/>
        </w:rPr>
        <w:t xml:space="preserve">six </w:t>
      </w:r>
      <w:r w:rsidRPr="00333F46">
        <w:rPr>
          <w:lang w:val="fr-CH"/>
        </w:rPr>
        <w:t>autres parties prenantes se sont dits « plutôt d</w:t>
      </w:r>
      <w:r w:rsidR="00333F46">
        <w:rPr>
          <w:lang w:val="fr-CH"/>
        </w:rPr>
        <w:t>’</w:t>
      </w:r>
      <w:r w:rsidRPr="00333F46">
        <w:rPr>
          <w:lang w:val="fr-CH"/>
        </w:rPr>
        <w:t>accord »</w:t>
      </w:r>
      <w:r w:rsidRPr="00333F46">
        <w:rPr>
          <w:vertAlign w:val="superscript"/>
          <w:lang w:val="fr-CH"/>
        </w:rPr>
        <w:footnoteReference w:id="2"/>
      </w:r>
      <w:r w:rsidRPr="00333F46">
        <w:rPr>
          <w:lang w:val="fr-CH"/>
        </w:rPr>
        <w:t>.</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081F5A"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sidR="00BB1AAC" w:rsidRPr="00333F46">
        <w:rPr>
          <w:lang w:val="fr-CH"/>
        </w:rPr>
        <w:tab/>
        <w:t xml:space="preserve">Discussion en cercles </w:t>
      </w:r>
    </w:p>
    <w:p w:rsidR="00BB1AAC" w:rsidRPr="00333F46" w:rsidRDefault="00BB1AAC" w:rsidP="00333F46">
      <w:pPr>
        <w:pStyle w:val="SingleTxt"/>
        <w:keepNext/>
        <w:spacing w:after="0" w:line="120" w:lineRule="exact"/>
        <w:rPr>
          <w:sz w:val="10"/>
          <w:lang w:val="fr-CH"/>
        </w:rPr>
      </w:pPr>
    </w:p>
    <w:p w:rsidR="00BB1AAC" w:rsidRPr="00333F46" w:rsidRDefault="00BB1AAC" w:rsidP="00333F46">
      <w:pPr>
        <w:pStyle w:val="SingleTxt"/>
        <w:keepNext/>
        <w:spacing w:after="0" w:line="120" w:lineRule="exact"/>
        <w:rPr>
          <w:sz w:val="10"/>
          <w:lang w:val="fr-CH"/>
        </w:rPr>
      </w:pP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Dans une configuration de discussion « en cercles », deux cercles concentriques de sièges sont formés dans une salle de conférence</w:t>
      </w:r>
      <w:r w:rsidR="0019333C">
        <w:rPr>
          <w:lang w:val="fr-CH"/>
        </w:rPr>
        <w:t> </w:t>
      </w:r>
      <w:r w:rsidRPr="00333F46">
        <w:rPr>
          <w:lang w:val="fr-CH"/>
        </w:rPr>
        <w:t>: le premier est un petit cer</w:t>
      </w:r>
      <w:r w:rsidR="00333F46">
        <w:rPr>
          <w:lang w:val="fr-CH"/>
        </w:rPr>
        <w:t>cle qui ne compte que cinq </w:t>
      </w:r>
      <w:r w:rsidRPr="00333F46">
        <w:rPr>
          <w:lang w:val="fr-CH"/>
        </w:rPr>
        <w:t>sièges, tandis que le second accueille le reste des participants (le nombre de sièges peut ici ne pas dépasser 15, mais il peut aller jusqu</w:t>
      </w:r>
      <w:r w:rsidR="00333F46">
        <w:rPr>
          <w:lang w:val="fr-CH"/>
        </w:rPr>
        <w:t>’</w:t>
      </w:r>
      <w:r w:rsidRPr="00333F46">
        <w:rPr>
          <w:lang w:val="fr-CH"/>
        </w:rPr>
        <w:t xml:space="preserve">à 100 si besoin est). Dans la configuration du « cercle fermé », </w:t>
      </w:r>
      <w:r w:rsidR="00333F46">
        <w:rPr>
          <w:lang w:val="fr-CH"/>
        </w:rPr>
        <w:t>cinq</w:t>
      </w:r>
      <w:r w:rsidRPr="00333F46">
        <w:rPr>
          <w:lang w:val="fr-CH"/>
        </w:rPr>
        <w:t xml:space="preserve"> ministres et parties prenantes sont choisis parmi les participants pour engager une discussion après avoir pris place sur les sièges du cercle intérieur. Un modérateur se charge de présenter le thème ou la question à débattre, tandis que les occupants du cercle extérieur observent. Au bout de </w:t>
      </w:r>
      <w:r w:rsidR="008A160E">
        <w:rPr>
          <w:lang w:val="fr-CH"/>
        </w:rPr>
        <w:t xml:space="preserve">trente </w:t>
      </w:r>
      <w:r w:rsidRPr="00333F46">
        <w:rPr>
          <w:lang w:val="fr-CH"/>
        </w:rPr>
        <w:t>minutes, il est mis un terme à la discussion, et l</w:t>
      </w:r>
      <w:r w:rsidR="00333F46">
        <w:rPr>
          <w:lang w:val="fr-CH"/>
        </w:rPr>
        <w:t>’</w:t>
      </w:r>
      <w:r w:rsidRPr="00333F46">
        <w:rPr>
          <w:lang w:val="fr-CH"/>
        </w:rPr>
        <w:t xml:space="preserve">assistance dispose de </w:t>
      </w:r>
      <w:r w:rsidR="008A160E">
        <w:rPr>
          <w:lang w:val="fr-CH"/>
        </w:rPr>
        <w:t xml:space="preserve">cinq </w:t>
      </w:r>
      <w:r w:rsidRPr="00333F46">
        <w:rPr>
          <w:lang w:val="fr-CH"/>
        </w:rPr>
        <w:t xml:space="preserve">à </w:t>
      </w:r>
      <w:r w:rsidR="008A160E">
        <w:rPr>
          <w:lang w:val="fr-CH"/>
        </w:rPr>
        <w:t>sept</w:t>
      </w:r>
      <w:r w:rsidRPr="00333F46">
        <w:rPr>
          <w:lang w:val="fr-CH"/>
        </w:rPr>
        <w:t xml:space="preserve"> minutes pour faire part de ses réactions. Un autre groupe de </w:t>
      </w:r>
      <w:r w:rsidR="008A160E">
        <w:rPr>
          <w:lang w:val="fr-CH"/>
        </w:rPr>
        <w:t xml:space="preserve">cinq </w:t>
      </w:r>
      <w:r w:rsidRPr="00333F46">
        <w:rPr>
          <w:lang w:val="fr-CH"/>
        </w:rPr>
        <w:t>ministres et parties prenantes est alors choisi pour occuper le cercle intérieur. Le processus se poursuit de la même façon jusqu</w:t>
      </w:r>
      <w:r w:rsidR="00333F46">
        <w:rPr>
          <w:lang w:val="fr-CH"/>
        </w:rPr>
        <w:t>’</w:t>
      </w:r>
      <w:r w:rsidRPr="00333F46">
        <w:rPr>
          <w:lang w:val="fr-CH"/>
        </w:rPr>
        <w:t>à épuisement du temps imparti pour la discussion ou de l</w:t>
      </w:r>
      <w:r w:rsidR="00333F46">
        <w:rPr>
          <w:lang w:val="fr-CH"/>
        </w:rPr>
        <w:t>’</w:t>
      </w:r>
      <w:r w:rsidRPr="00333F46">
        <w:rPr>
          <w:lang w:val="fr-CH"/>
        </w:rPr>
        <w:t xml:space="preserve">ensemble des thèmes à traiter. </w:t>
      </w: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Une variante est celle du « cercle ouvert », où l</w:t>
      </w:r>
      <w:r w:rsidR="00333F46">
        <w:rPr>
          <w:lang w:val="fr-CH"/>
        </w:rPr>
        <w:t>’</w:t>
      </w:r>
      <w:r w:rsidRPr="00333F46">
        <w:rPr>
          <w:lang w:val="fr-CH"/>
        </w:rPr>
        <w:t xml:space="preserve">un des </w:t>
      </w:r>
      <w:r w:rsidR="008A160E">
        <w:rPr>
          <w:lang w:val="fr-CH"/>
        </w:rPr>
        <w:t xml:space="preserve">cinq </w:t>
      </w:r>
      <w:r w:rsidRPr="00333F46">
        <w:rPr>
          <w:lang w:val="fr-CH"/>
        </w:rPr>
        <w:t>sièges du cercle intérieur reste inoccupé. Les membres de l</w:t>
      </w:r>
      <w:r w:rsidR="00333F46">
        <w:rPr>
          <w:lang w:val="fr-CH"/>
        </w:rPr>
        <w:t>’</w:t>
      </w:r>
      <w:r w:rsidRPr="00333F46">
        <w:rPr>
          <w:lang w:val="fr-CH"/>
        </w:rPr>
        <w:t>assistance dans le cercle extérieur peuvent se joindre à la discussion des occupants du cercle intérieur en venant occuper le siège vacant. Dans ce cas, l</w:t>
      </w:r>
      <w:r w:rsidR="00333F46">
        <w:rPr>
          <w:lang w:val="fr-CH"/>
        </w:rPr>
        <w:t>’</w:t>
      </w:r>
      <w:r w:rsidRPr="00333F46">
        <w:rPr>
          <w:lang w:val="fr-CH"/>
        </w:rPr>
        <w:t>un des autres occupants du cercle intérieur quitte volontairement celui-ci de façon à laisser en permanence un siège libre dans le cercle intérieur. Si l</w:t>
      </w:r>
      <w:r w:rsidR="00333F46">
        <w:rPr>
          <w:lang w:val="fr-CH"/>
        </w:rPr>
        <w:t>’</w:t>
      </w:r>
      <w:r w:rsidRPr="00333F46">
        <w:rPr>
          <w:lang w:val="fr-CH"/>
        </w:rPr>
        <w:t>on veut, on peut poursuivre en s</w:t>
      </w:r>
      <w:r w:rsidR="00333F46">
        <w:rPr>
          <w:lang w:val="fr-CH"/>
        </w:rPr>
        <w:t>’</w:t>
      </w:r>
      <w:r w:rsidRPr="00333F46">
        <w:rPr>
          <w:lang w:val="fr-CH"/>
        </w:rPr>
        <w:t xml:space="preserve">en tenant à la variante du « cercle fermé ».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Cette formule peut également être adaptée pour en faire un cercle d</w:t>
      </w:r>
      <w:r w:rsidR="00333F46">
        <w:rPr>
          <w:lang w:val="fr-CH"/>
        </w:rPr>
        <w:t>’</w:t>
      </w:r>
      <w:r w:rsidRPr="00333F46">
        <w:rPr>
          <w:lang w:val="fr-CH"/>
        </w:rPr>
        <w:t>experts. Dans ce cas, le débat classique de début est suivi non pas de l</w:t>
      </w:r>
      <w:r w:rsidR="00333F46">
        <w:rPr>
          <w:lang w:val="fr-CH"/>
        </w:rPr>
        <w:t>’</w:t>
      </w:r>
      <w:r w:rsidRPr="00333F46">
        <w:rPr>
          <w:lang w:val="fr-CH"/>
        </w:rPr>
        <w:t>habituelle discussion de clôture à laquelle prend part l</w:t>
      </w:r>
      <w:r w:rsidR="00333F46">
        <w:rPr>
          <w:lang w:val="fr-CH"/>
        </w:rPr>
        <w:t>’</w:t>
      </w:r>
      <w:r w:rsidRPr="00333F46">
        <w:rPr>
          <w:lang w:val="fr-CH"/>
        </w:rPr>
        <w:t>assistance, mais d</w:t>
      </w:r>
      <w:r w:rsidR="00333F46">
        <w:rPr>
          <w:lang w:val="fr-CH"/>
        </w:rPr>
        <w:t>’</w:t>
      </w:r>
      <w:r w:rsidRPr="00333F46">
        <w:rPr>
          <w:lang w:val="fr-CH"/>
        </w:rPr>
        <w:t>une autre forme de discussion où l</w:t>
      </w:r>
      <w:r w:rsidR="00333F46">
        <w:rPr>
          <w:lang w:val="fr-CH"/>
        </w:rPr>
        <w:t>’</w:t>
      </w:r>
      <w:r w:rsidRPr="00333F46">
        <w:rPr>
          <w:lang w:val="fr-CH"/>
        </w:rPr>
        <w:t>on voit les membres du panel s</w:t>
      </w:r>
      <w:r w:rsidR="00333F46">
        <w:rPr>
          <w:lang w:val="fr-CH"/>
        </w:rPr>
        <w:t>’</w:t>
      </w:r>
      <w:r w:rsidRPr="00333F46">
        <w:rPr>
          <w:lang w:val="fr-CH"/>
        </w:rPr>
        <w:t>asseoir en cercle pour échanger les uns avec les autres, face à l</w:t>
      </w:r>
      <w:r w:rsidR="00333F46">
        <w:rPr>
          <w:lang w:val="fr-CH"/>
        </w:rPr>
        <w:t>’</w:t>
      </w:r>
      <w:r w:rsidRPr="00333F46">
        <w:rPr>
          <w:lang w:val="fr-CH"/>
        </w:rPr>
        <w:t xml:space="preserve">assistance, et répondre aux interventions faites par leurs homologues au cours du débat initial. </w:t>
      </w:r>
    </w:p>
    <w:p w:rsidR="00BB1AAC" w:rsidRPr="00333F46" w:rsidRDefault="00BB1AAC" w:rsidP="000B0100">
      <w:pPr>
        <w:pStyle w:val="SingleTxt"/>
        <w:numPr>
          <w:ilvl w:val="0"/>
          <w:numId w:val="6"/>
        </w:numPr>
        <w:tabs>
          <w:tab w:val="clear" w:pos="475"/>
          <w:tab w:val="num" w:pos="1742"/>
        </w:tabs>
        <w:ind w:left="1267"/>
        <w:rPr>
          <w:lang w:val="fr-CH"/>
        </w:rPr>
      </w:pPr>
      <w:r w:rsidRPr="00333F46">
        <w:rPr>
          <w:lang w:val="fr-CH"/>
        </w:rPr>
        <w:t>Une autre variante encore est celle</w:t>
      </w:r>
      <w:r w:rsidR="008A160E">
        <w:rPr>
          <w:lang w:val="fr-CH"/>
        </w:rPr>
        <w:t xml:space="preserve"> du cercle hétérogène, où les </w:t>
      </w:r>
      <w:r w:rsidR="000B0100">
        <w:rPr>
          <w:lang w:val="fr-CH"/>
        </w:rPr>
        <w:t xml:space="preserve">cinq </w:t>
      </w:r>
      <w:r w:rsidRPr="00333F46">
        <w:rPr>
          <w:lang w:val="fr-CH"/>
        </w:rPr>
        <w:t>sièges du cercle intérieur sont occupés par un représentant de chaque groupe de parties prenantes (ministres, ONG, OIG et représentants du monde de l</w:t>
      </w:r>
      <w:r w:rsidR="00333F46">
        <w:rPr>
          <w:lang w:val="fr-CH"/>
        </w:rPr>
        <w:t>’</w:t>
      </w:r>
      <w:r w:rsidRPr="00333F46">
        <w:rPr>
          <w:lang w:val="fr-CH"/>
        </w:rPr>
        <w:t>entreprise, auxquels viendra s</w:t>
      </w:r>
      <w:r w:rsidR="00333F46">
        <w:rPr>
          <w:lang w:val="fr-CH"/>
        </w:rPr>
        <w:t>’</w:t>
      </w:r>
      <w:r w:rsidRPr="00333F46">
        <w:rPr>
          <w:lang w:val="fr-CH"/>
        </w:rPr>
        <w:t>ajouter un éducateur ou un expert). Il s</w:t>
      </w:r>
      <w:r w:rsidR="00333F46">
        <w:rPr>
          <w:lang w:val="fr-CH"/>
        </w:rPr>
        <w:t>’</w:t>
      </w:r>
      <w:r w:rsidRPr="00333F46">
        <w:rPr>
          <w:lang w:val="fr-CH"/>
        </w:rPr>
        <w:t>agit d</w:t>
      </w:r>
      <w:r w:rsidR="00333F46">
        <w:rPr>
          <w:lang w:val="fr-CH"/>
        </w:rPr>
        <w:t>’</w:t>
      </w:r>
      <w:r w:rsidRPr="00333F46">
        <w:rPr>
          <w:lang w:val="fr-CH"/>
        </w:rPr>
        <w:t xml:space="preserve">une variante proche de celle du « cercle fermé », qui peut être utile pour tenter de rapprocher des points de vue différents.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081F5A"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J.</w:t>
      </w:r>
      <w:r w:rsidR="00BB1AAC" w:rsidRPr="00333F46">
        <w:rPr>
          <w:lang w:val="fr-CH"/>
        </w:rPr>
        <w:tab/>
        <w:t xml:space="preserve">Affichage de contenus dans une approche privilégiant </w:t>
      </w:r>
      <w:r w:rsidR="00BB1AAC" w:rsidRPr="00333F46">
        <w:rPr>
          <w:lang w:val="fr-CH"/>
        </w:rPr>
        <w:br/>
        <w:t xml:space="preserve">la recherche de solutions </w:t>
      </w:r>
    </w:p>
    <w:p w:rsidR="00BB1AAC" w:rsidRPr="00333F46" w:rsidRDefault="00BB1AAC" w:rsidP="008A160E">
      <w:pPr>
        <w:pStyle w:val="SingleTxt"/>
        <w:keepNext/>
        <w:spacing w:after="0" w:line="120" w:lineRule="exact"/>
        <w:rPr>
          <w:sz w:val="10"/>
          <w:lang w:val="fr-CH"/>
        </w:rPr>
      </w:pPr>
    </w:p>
    <w:p w:rsidR="00BB1AAC" w:rsidRPr="00333F46" w:rsidRDefault="00BB1AAC" w:rsidP="008A160E">
      <w:pPr>
        <w:pStyle w:val="SingleTxt"/>
        <w:keepNext/>
        <w:spacing w:after="0" w:line="120" w:lineRule="exact"/>
        <w:rPr>
          <w:sz w:val="10"/>
          <w:lang w:val="fr-CH"/>
        </w:rPr>
      </w:pP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Une autre option possible est celle qui consiste à susciter le débat de manière informelle en présentant les questions à traiter par voie d</w:t>
      </w:r>
      <w:r w:rsidR="00333F46">
        <w:rPr>
          <w:lang w:val="fr-CH"/>
        </w:rPr>
        <w:t>’</w:t>
      </w:r>
      <w:r w:rsidRPr="00333F46">
        <w:rPr>
          <w:lang w:val="fr-CH"/>
        </w:rPr>
        <w:t>affiches en vue de faciliter la reche</w:t>
      </w:r>
      <w:r w:rsidR="008A160E">
        <w:rPr>
          <w:lang w:val="fr-CH"/>
        </w:rPr>
        <w:t xml:space="preserve">rche de solutions. Entre quatre et six </w:t>
      </w:r>
      <w:r w:rsidRPr="00333F46">
        <w:rPr>
          <w:lang w:val="fr-CH"/>
        </w:rPr>
        <w:t>représentants appartenant à différents groupes de parties prenantes sont ainsi invités à présenter une question donnée sous la forme d</w:t>
      </w:r>
      <w:r w:rsidR="00333F46">
        <w:rPr>
          <w:lang w:val="fr-CH"/>
        </w:rPr>
        <w:t>’</w:t>
      </w:r>
      <w:r w:rsidRPr="00333F46">
        <w:rPr>
          <w:lang w:val="fr-CH"/>
        </w:rPr>
        <w:t>affiches ou autres support de présentation détaillant des recherches, des études de cas particulières ou d</w:t>
      </w:r>
      <w:r w:rsidR="00333F46">
        <w:rPr>
          <w:lang w:val="fr-CH"/>
        </w:rPr>
        <w:t>’</w:t>
      </w:r>
      <w:r w:rsidRPr="00333F46">
        <w:rPr>
          <w:lang w:val="fr-CH"/>
        </w:rPr>
        <w:t xml:space="preserve">autres situations de la vie réelle en liaison avec un thème ou un ensemble de questions donné. </w:t>
      </w: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 xml:space="preserve">Cet affichage peut être disposé de façon à occuper une vaste salle de conférence, que les participants peuvent parcourir durant </w:t>
      </w:r>
      <w:r w:rsidR="008A160E">
        <w:rPr>
          <w:lang w:val="fr-CH"/>
        </w:rPr>
        <w:t>vingt à vingt-cinq</w:t>
      </w:r>
      <w:r w:rsidRPr="00333F46">
        <w:rPr>
          <w:lang w:val="fr-CH"/>
        </w:rPr>
        <w:t xml:space="preserve"> minutes en prenant connaissance du contenu des affiches et en en débattant les uns avec les autres. Lorsque ce temps est écoulé, chaque représentant dispose de sept minutes pour présenter ses recherches, ses études de cas, etc. </w:t>
      </w: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 xml:space="preserve">Les observateurs disposent à leur tour de quelque </w:t>
      </w:r>
      <w:r w:rsidR="008A160E">
        <w:rPr>
          <w:lang w:val="fr-CH"/>
        </w:rPr>
        <w:t>cinq</w:t>
      </w:r>
      <w:r w:rsidRPr="00333F46">
        <w:rPr>
          <w:lang w:val="fr-CH"/>
        </w:rPr>
        <w:t xml:space="preserve"> à </w:t>
      </w:r>
      <w:r w:rsidR="008A160E">
        <w:rPr>
          <w:lang w:val="fr-CH"/>
        </w:rPr>
        <w:t xml:space="preserve">dix </w:t>
      </w:r>
      <w:r w:rsidRPr="00333F46">
        <w:rPr>
          <w:lang w:val="fr-CH"/>
        </w:rPr>
        <w:t>minutes pour en débattre, lui poser des questions et lui soumettre des solutions possibles, avant de suivre la présentation suivante. Le temps restant est mis à profit pour une conversation informelle de groupe sous la conduite d</w:t>
      </w:r>
      <w:r w:rsidR="00333F46">
        <w:rPr>
          <w:lang w:val="fr-CH"/>
        </w:rPr>
        <w:t>’</w:t>
      </w:r>
      <w:r w:rsidRPr="00333F46">
        <w:rPr>
          <w:lang w:val="fr-CH"/>
        </w:rPr>
        <w:t>un modérateur, qui offre l</w:t>
      </w:r>
      <w:r w:rsidR="00333F46">
        <w:rPr>
          <w:lang w:val="fr-CH"/>
        </w:rPr>
        <w:t>’</w:t>
      </w:r>
      <w:r w:rsidRPr="00333F46">
        <w:rPr>
          <w:lang w:val="fr-CH"/>
        </w:rPr>
        <w:t>occasion d</w:t>
      </w:r>
      <w:r w:rsidR="00333F46">
        <w:rPr>
          <w:lang w:val="fr-CH"/>
        </w:rPr>
        <w:t>’</w:t>
      </w:r>
      <w:r w:rsidRPr="00333F46">
        <w:rPr>
          <w:lang w:val="fr-CH"/>
        </w:rPr>
        <w:t xml:space="preserve">exprimer des avis et de poser des questions en rapport avec les exposés ou les affiches.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L</w:t>
      </w:r>
      <w:r w:rsidR="00333F46">
        <w:rPr>
          <w:lang w:val="fr-CH"/>
        </w:rPr>
        <w:t>’</w:t>
      </w:r>
      <w:r w:rsidRPr="00333F46">
        <w:rPr>
          <w:lang w:val="fr-CH"/>
        </w:rPr>
        <w:t>idée derrière cette forme de discussion est d</w:t>
      </w:r>
      <w:r w:rsidR="00333F46">
        <w:rPr>
          <w:lang w:val="fr-CH"/>
        </w:rPr>
        <w:t>’</w:t>
      </w:r>
      <w:r w:rsidRPr="00333F46">
        <w:rPr>
          <w:lang w:val="fr-CH"/>
        </w:rPr>
        <w:t>apporter collectivement aux représentants des parties prenantes des solutions potentielles aux questions soulevées par eux dans leur présentation et de conduire les groupes à s</w:t>
      </w:r>
      <w:r w:rsidR="00333F46">
        <w:rPr>
          <w:lang w:val="fr-CH"/>
        </w:rPr>
        <w:t>’</w:t>
      </w:r>
      <w:r w:rsidRPr="00333F46">
        <w:rPr>
          <w:lang w:val="fr-CH"/>
        </w:rPr>
        <w:t>entendre sur des recommandations générales qui soient susceptibles d</w:t>
      </w:r>
      <w:r w:rsidR="00333F46">
        <w:rPr>
          <w:lang w:val="fr-CH"/>
        </w:rPr>
        <w:t>’</w:t>
      </w:r>
      <w:r w:rsidRPr="00333F46">
        <w:rPr>
          <w:lang w:val="fr-CH"/>
        </w:rPr>
        <w:t>éviter dans le futur la reproduction de situations du même type et que puissent suivre l</w:t>
      </w:r>
      <w:r w:rsidR="00333F46">
        <w:rPr>
          <w:lang w:val="fr-CH"/>
        </w:rPr>
        <w:t>’</w:t>
      </w:r>
      <w:r w:rsidRPr="00333F46">
        <w:rPr>
          <w:lang w:val="fr-CH"/>
        </w:rPr>
        <w:t xml:space="preserve">ensemble des parties prenantes et des États membres. </w:t>
      </w:r>
    </w:p>
    <w:p w:rsidR="00BB1AAC" w:rsidRPr="00333F46" w:rsidRDefault="00BB1AAC" w:rsidP="00BB1AAC">
      <w:pPr>
        <w:pStyle w:val="SingleTxt"/>
        <w:spacing w:after="0" w:line="120" w:lineRule="exact"/>
        <w:rPr>
          <w:b/>
          <w:sz w:val="10"/>
          <w:lang w:val="fr-CH"/>
        </w:rPr>
      </w:pPr>
    </w:p>
    <w:p w:rsidR="00BB1AAC" w:rsidRPr="00333F46" w:rsidRDefault="00BB1AAC" w:rsidP="00BB1AAC">
      <w:pPr>
        <w:pStyle w:val="SingleTxt"/>
        <w:spacing w:after="0" w:line="120" w:lineRule="exact"/>
        <w:rPr>
          <w:b/>
          <w:sz w:val="10"/>
          <w:lang w:val="fr-CH"/>
        </w:rPr>
      </w:pPr>
    </w:p>
    <w:p w:rsidR="00BB1AAC" w:rsidRPr="00333F46" w:rsidRDefault="00081F5A" w:rsidP="00BB1A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K.</w:t>
      </w:r>
      <w:r w:rsidR="00BB1AAC" w:rsidRPr="00333F46">
        <w:rPr>
          <w:lang w:val="fr-CH"/>
        </w:rPr>
        <w:tab/>
        <w:t>Café mondial</w:t>
      </w:r>
    </w:p>
    <w:p w:rsidR="00BB1AAC" w:rsidRPr="00333F46" w:rsidRDefault="00BB1AAC" w:rsidP="008A160E">
      <w:pPr>
        <w:pStyle w:val="SingleTxt"/>
        <w:keepNext/>
        <w:spacing w:after="0" w:line="120" w:lineRule="exact"/>
        <w:rPr>
          <w:sz w:val="10"/>
          <w:lang w:val="fr-CH"/>
        </w:rPr>
      </w:pPr>
    </w:p>
    <w:p w:rsidR="00BB1AAC" w:rsidRPr="00333F46" w:rsidRDefault="00BB1AAC" w:rsidP="008A160E">
      <w:pPr>
        <w:pStyle w:val="SingleTxt"/>
        <w:keepNext/>
        <w:spacing w:after="0" w:line="120" w:lineRule="exact"/>
        <w:rPr>
          <w:sz w:val="10"/>
          <w:lang w:val="fr-CH"/>
        </w:rPr>
      </w:pPr>
    </w:p>
    <w:p w:rsidR="00BB1AAC" w:rsidRPr="00333F46" w:rsidRDefault="00BB1AAC" w:rsidP="008A160E">
      <w:pPr>
        <w:pStyle w:val="SingleTxt"/>
        <w:numPr>
          <w:ilvl w:val="0"/>
          <w:numId w:val="6"/>
        </w:numPr>
        <w:tabs>
          <w:tab w:val="clear" w:pos="475"/>
          <w:tab w:val="num" w:pos="1742"/>
        </w:tabs>
        <w:ind w:left="1267"/>
        <w:rPr>
          <w:lang w:val="fr-CH"/>
        </w:rPr>
      </w:pPr>
      <w:r w:rsidRPr="00333F46">
        <w:rPr>
          <w:lang w:val="fr-CH"/>
        </w:rPr>
        <w:t>Une autre option est celle du « café mondial ». Dans ce scénario, à l</w:t>
      </w:r>
      <w:r w:rsidR="00333F46">
        <w:rPr>
          <w:lang w:val="fr-CH"/>
        </w:rPr>
        <w:t>’</w:t>
      </w:r>
      <w:r w:rsidRPr="00333F46">
        <w:rPr>
          <w:lang w:val="fr-CH"/>
        </w:rPr>
        <w:t>issue d</w:t>
      </w:r>
      <w:r w:rsidR="00333F46">
        <w:rPr>
          <w:lang w:val="fr-CH"/>
        </w:rPr>
        <w:t>’</w:t>
      </w:r>
      <w:r w:rsidRPr="00333F46">
        <w:rPr>
          <w:lang w:val="fr-CH"/>
        </w:rPr>
        <w:t xml:space="preserve">une séance plénière initiale, les participants se répartissent entre </w:t>
      </w:r>
      <w:r w:rsidR="008A160E">
        <w:rPr>
          <w:lang w:val="fr-CH"/>
        </w:rPr>
        <w:t>trois</w:t>
      </w:r>
      <w:r w:rsidRPr="00333F46">
        <w:rPr>
          <w:lang w:val="fr-CH"/>
        </w:rPr>
        <w:t xml:space="preserve"> ou </w:t>
      </w:r>
      <w:r w:rsidR="008A160E">
        <w:rPr>
          <w:lang w:val="fr-CH"/>
        </w:rPr>
        <w:t xml:space="preserve">quatre </w:t>
      </w:r>
      <w:r w:rsidRPr="00333F46">
        <w:rPr>
          <w:lang w:val="fr-CH"/>
        </w:rPr>
        <w:t>groupes pour entamer une séance thématique. Chaque groupe dispose d</w:t>
      </w:r>
      <w:r w:rsidR="00333F46">
        <w:rPr>
          <w:lang w:val="fr-CH"/>
        </w:rPr>
        <w:t>’</w:t>
      </w:r>
      <w:r w:rsidRPr="00333F46">
        <w:rPr>
          <w:lang w:val="fr-CH"/>
        </w:rPr>
        <w:t xml:space="preserve">environ </w:t>
      </w:r>
      <w:r w:rsidR="008A160E">
        <w:rPr>
          <w:lang w:val="fr-CH"/>
        </w:rPr>
        <w:t xml:space="preserve">quatre-vingt-dix </w:t>
      </w:r>
      <w:r w:rsidRPr="00333F46">
        <w:rPr>
          <w:lang w:val="fr-CH"/>
        </w:rPr>
        <w:t>minutes pour traiter séparément d</w:t>
      </w:r>
      <w:r w:rsidR="00333F46">
        <w:rPr>
          <w:lang w:val="fr-CH"/>
        </w:rPr>
        <w:t>’</w:t>
      </w:r>
      <w:r w:rsidR="008A160E">
        <w:rPr>
          <w:lang w:val="fr-CH"/>
        </w:rPr>
        <w:t>un ensemble de questions clefs</w:t>
      </w:r>
      <w:r w:rsidRPr="00333F46">
        <w:rPr>
          <w:lang w:val="fr-CH"/>
        </w:rPr>
        <w:t xml:space="preserve"> (</w:t>
      </w:r>
      <w:r w:rsidR="008A160E">
        <w:rPr>
          <w:lang w:val="fr-CH"/>
        </w:rPr>
        <w:t>trois ou quatre</w:t>
      </w:r>
      <w:r w:rsidRPr="00333F46">
        <w:rPr>
          <w:lang w:val="fr-CH"/>
        </w:rPr>
        <w:t>) de manière informelle et interactive. Ces discussions de groupe ont essentiellement pour but de susciter la formulation de propositions quant à la manière d</w:t>
      </w:r>
      <w:r w:rsidR="00333F46">
        <w:rPr>
          <w:lang w:val="fr-CH"/>
        </w:rPr>
        <w:t>’</w:t>
      </w:r>
      <w:r w:rsidRPr="00333F46">
        <w:rPr>
          <w:lang w:val="fr-CH"/>
        </w:rPr>
        <w:t>aborder les problèmes liés aux différents thèmes abordés et de leur apporter des solutions.</w:t>
      </w:r>
    </w:p>
    <w:p w:rsidR="00BB1AAC" w:rsidRDefault="00BB1AAC" w:rsidP="008A160E">
      <w:pPr>
        <w:pStyle w:val="SingleTxt"/>
        <w:numPr>
          <w:ilvl w:val="0"/>
          <w:numId w:val="6"/>
        </w:numPr>
        <w:tabs>
          <w:tab w:val="clear" w:pos="475"/>
          <w:tab w:val="num" w:pos="1742"/>
        </w:tabs>
        <w:ind w:left="1267"/>
        <w:rPr>
          <w:lang w:val="fr-CH"/>
        </w:rPr>
      </w:pPr>
      <w:r w:rsidRPr="00333F46">
        <w:rPr>
          <w:lang w:val="fr-CH"/>
        </w:rPr>
        <w:t xml:space="preserve">Durant les </w:t>
      </w:r>
      <w:r w:rsidR="008A160E">
        <w:rPr>
          <w:lang w:val="fr-CH"/>
        </w:rPr>
        <w:t xml:space="preserve">trente </w:t>
      </w:r>
      <w:r w:rsidRPr="00333F46">
        <w:rPr>
          <w:lang w:val="fr-CH"/>
        </w:rPr>
        <w:t>dernières minutes d</w:t>
      </w:r>
      <w:r w:rsidR="00333F46">
        <w:rPr>
          <w:lang w:val="fr-CH"/>
        </w:rPr>
        <w:t>’</w:t>
      </w:r>
      <w:r w:rsidRPr="00333F46">
        <w:rPr>
          <w:lang w:val="fr-CH"/>
        </w:rPr>
        <w:t>une séance de deux heures, une synthèse des conclusions auxquelles est parvenu chaque groupe est ensuite communiquée à la plénière par un modérateur. Un bref résumé des conclusions de l</w:t>
      </w:r>
      <w:r w:rsidR="00333F46">
        <w:rPr>
          <w:lang w:val="fr-CH"/>
        </w:rPr>
        <w:t>’</w:t>
      </w:r>
      <w:r w:rsidRPr="00333F46">
        <w:rPr>
          <w:lang w:val="fr-CH"/>
        </w:rPr>
        <w:t>ensemble des groupes est également soumis par écrit à la plénière afin qu</w:t>
      </w:r>
      <w:r w:rsidR="00333F46">
        <w:rPr>
          <w:lang w:val="fr-CH"/>
        </w:rPr>
        <w:t>’</w:t>
      </w:r>
      <w:r w:rsidRPr="00333F46">
        <w:rPr>
          <w:lang w:val="fr-CH"/>
        </w:rPr>
        <w:t>elle puisse l</w:t>
      </w:r>
      <w:r w:rsidR="00333F46">
        <w:rPr>
          <w:lang w:val="fr-CH"/>
        </w:rPr>
        <w:t>’</w:t>
      </w:r>
      <w:r w:rsidRPr="00333F46">
        <w:rPr>
          <w:lang w:val="fr-CH"/>
        </w:rPr>
        <w:t xml:space="preserve">examiner et en tirer parti. </w:t>
      </w:r>
    </w:p>
    <w:p w:rsidR="008A160E" w:rsidRPr="008A160E" w:rsidRDefault="008A160E" w:rsidP="008A160E">
      <w:pPr>
        <w:pStyle w:val="SingleTxt"/>
        <w:spacing w:after="0" w:line="120" w:lineRule="exact"/>
        <w:rPr>
          <w:sz w:val="10"/>
          <w:lang w:val="fr-CH"/>
        </w:rPr>
      </w:pPr>
    </w:p>
    <w:p w:rsidR="008A160E" w:rsidRPr="008A160E" w:rsidRDefault="008A160E" w:rsidP="008A160E">
      <w:pPr>
        <w:pStyle w:val="SingleTxt"/>
        <w:spacing w:after="0" w:line="120" w:lineRule="exact"/>
        <w:rPr>
          <w:sz w:val="10"/>
          <w:lang w:val="fr-CH"/>
        </w:rPr>
      </w:pPr>
    </w:p>
    <w:p w:rsidR="00BB1AAC" w:rsidRPr="00333F46" w:rsidRDefault="008A160E" w:rsidP="008A16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81F5A">
        <w:rPr>
          <w:lang w:val="fr-CH"/>
        </w:rPr>
        <w:t>L.</w:t>
      </w:r>
      <w:r w:rsidR="00BB1AAC" w:rsidRPr="00333F46">
        <w:rPr>
          <w:lang w:val="fr-CH"/>
        </w:rPr>
        <w:tab/>
        <w:t>Jeu sérieux</w:t>
      </w:r>
    </w:p>
    <w:p w:rsidR="00BB1AAC" w:rsidRPr="008A160E" w:rsidRDefault="00BB1AAC" w:rsidP="0019333C">
      <w:pPr>
        <w:pStyle w:val="SingleTxt"/>
        <w:keepNext/>
        <w:spacing w:after="0" w:line="120" w:lineRule="exact"/>
        <w:rPr>
          <w:sz w:val="10"/>
          <w:lang w:val="fr-CH"/>
        </w:rPr>
      </w:pPr>
    </w:p>
    <w:p w:rsidR="00BB1AAC" w:rsidRPr="00333F46" w:rsidRDefault="00BB1AAC" w:rsidP="0019333C">
      <w:pPr>
        <w:pStyle w:val="SingleTxt"/>
        <w:keepNext/>
        <w:spacing w:after="0" w:line="120" w:lineRule="exact"/>
        <w:rPr>
          <w:sz w:val="10"/>
          <w:lang w:val="fr-CH"/>
        </w:rPr>
      </w:pP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 xml:space="preserve">Une dernière option, celle du « jeu sérieux », a été suggérée par un membre du Bureau du CPE et a reçu le soutien de plusieurs autres membres.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Les jeux dits « sérieux » sont des simulations de situations ou de processus du monde réel imaginées dans le but de résoudre un problème. Ils peuvent être adaptés à un large éventail de publics. Les jeux sérieux peuvent toucher à tous les types de genre, faire appel à différentes technologies et être conçus pour tout type de plate-forme. Ils sont faits pour instaurer un cadre motivant et autogène, de nature à susciter l</w:t>
      </w:r>
      <w:r w:rsidR="00333F46">
        <w:rPr>
          <w:lang w:val="fr-CH"/>
        </w:rPr>
        <w:t>’</w:t>
      </w:r>
      <w:r w:rsidRPr="00333F46">
        <w:rPr>
          <w:lang w:val="fr-CH"/>
        </w:rPr>
        <w:t xml:space="preserve">intérêt des joueurs, les éduquer et les former. </w:t>
      </w: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Pour la conférence « Un environnement pour l</w:t>
      </w:r>
      <w:r w:rsidR="00333F46">
        <w:rPr>
          <w:lang w:val="fr-CH"/>
        </w:rPr>
        <w:t>’</w:t>
      </w:r>
      <w:r w:rsidRPr="00333F46">
        <w:rPr>
          <w:lang w:val="fr-CH"/>
        </w:rPr>
        <w:t>Europe », la méthode du jeu sérieux pourrait être adaptée au contexte des deux thèmes de la conférence et des parties prenantes, à savoir les ministres, les ONG, le monde de l</w:t>
      </w:r>
      <w:r w:rsidR="00333F46">
        <w:rPr>
          <w:lang w:val="fr-CH"/>
        </w:rPr>
        <w:t>’</w:t>
      </w:r>
      <w:r w:rsidRPr="00333F46">
        <w:rPr>
          <w:lang w:val="fr-CH"/>
        </w:rPr>
        <w:t>entreprise et les OIG, en élaborant soit un scénario simulant une situation pouvant exister dans le monde réel (par exemple celle dans laquelle, pendant une durée de temps donnée, les normes concernant les concentrations de polluants spécifiques dans l</w:t>
      </w:r>
      <w:r w:rsidR="00333F46">
        <w:rPr>
          <w:lang w:val="fr-CH"/>
        </w:rPr>
        <w:t>’</w:t>
      </w:r>
      <w:r w:rsidRPr="00333F46">
        <w:rPr>
          <w:lang w:val="fr-CH"/>
        </w:rPr>
        <w:t>atmosphère seraient largement dépassées, induisant des effets néfastes pour la santé et se traduisant par une augmentation de la mortalité dans la population d</w:t>
      </w:r>
      <w:r w:rsidR="00333F46">
        <w:rPr>
          <w:lang w:val="fr-CH"/>
        </w:rPr>
        <w:t>’</w:t>
      </w:r>
      <w:r w:rsidRPr="00333F46">
        <w:rPr>
          <w:lang w:val="fr-CH"/>
        </w:rPr>
        <w:t>une ville fictive), soit un processus donné (par exemple l</w:t>
      </w:r>
      <w:r w:rsidR="00333F46">
        <w:rPr>
          <w:lang w:val="fr-CH"/>
        </w:rPr>
        <w:t>’</w:t>
      </w:r>
      <w:r w:rsidRPr="00333F46">
        <w:rPr>
          <w:lang w:val="fr-CH"/>
        </w:rPr>
        <w:t>écologisation de l</w:t>
      </w:r>
      <w:r w:rsidR="00333F46">
        <w:rPr>
          <w:lang w:val="fr-CH"/>
        </w:rPr>
        <w:t>’</w:t>
      </w:r>
      <w:r w:rsidRPr="00333F46">
        <w:rPr>
          <w:lang w:val="fr-CH"/>
        </w:rPr>
        <w:t>économie d</w:t>
      </w:r>
      <w:r w:rsidR="00333F46">
        <w:rPr>
          <w:lang w:val="fr-CH"/>
        </w:rPr>
        <w:t>’</w:t>
      </w:r>
      <w:r w:rsidRPr="00333F46">
        <w:rPr>
          <w:lang w:val="fr-CH"/>
        </w:rPr>
        <w:t xml:space="preserve">un pays fictif). </w:t>
      </w:r>
    </w:p>
    <w:p w:rsidR="00BB1AAC" w:rsidRPr="0019333C" w:rsidRDefault="00BB1AAC" w:rsidP="00BB1AAC">
      <w:pPr>
        <w:pStyle w:val="SingleTxt"/>
        <w:numPr>
          <w:ilvl w:val="0"/>
          <w:numId w:val="6"/>
        </w:numPr>
        <w:tabs>
          <w:tab w:val="clear" w:pos="475"/>
          <w:tab w:val="num" w:pos="1742"/>
        </w:tabs>
        <w:ind w:left="1267"/>
        <w:rPr>
          <w:b/>
          <w:spacing w:val="2"/>
          <w:lang w:val="fr-CH"/>
        </w:rPr>
      </w:pPr>
      <w:r w:rsidRPr="0019333C">
        <w:rPr>
          <w:spacing w:val="2"/>
          <w:lang w:val="fr-CH"/>
        </w:rPr>
        <w:t>L</w:t>
      </w:r>
      <w:r w:rsidR="00333F46" w:rsidRPr="0019333C">
        <w:rPr>
          <w:spacing w:val="2"/>
          <w:lang w:val="fr-CH"/>
        </w:rPr>
        <w:t>’</w:t>
      </w:r>
      <w:r w:rsidRPr="0019333C">
        <w:rPr>
          <w:spacing w:val="2"/>
          <w:lang w:val="fr-CH"/>
        </w:rPr>
        <w:t>élaboration d</w:t>
      </w:r>
      <w:r w:rsidR="00333F46" w:rsidRPr="0019333C">
        <w:rPr>
          <w:spacing w:val="2"/>
          <w:lang w:val="fr-CH"/>
        </w:rPr>
        <w:t>’</w:t>
      </w:r>
      <w:r w:rsidRPr="0019333C">
        <w:rPr>
          <w:spacing w:val="2"/>
          <w:lang w:val="fr-CH"/>
        </w:rPr>
        <w:t>un scénario approprié dans la perspective de la Conférence ministérielle de Batumi pourrait être confiée au Bureau du CPE, avec l</w:t>
      </w:r>
      <w:r w:rsidR="00333F46" w:rsidRPr="0019333C">
        <w:rPr>
          <w:spacing w:val="2"/>
          <w:lang w:val="fr-CH"/>
        </w:rPr>
        <w:t>’</w:t>
      </w:r>
      <w:r w:rsidRPr="0019333C">
        <w:rPr>
          <w:spacing w:val="2"/>
          <w:lang w:val="fr-CH"/>
        </w:rPr>
        <w:t>appui du secrétariat et en consultation avec les partenaires intéressés, en vue d</w:t>
      </w:r>
      <w:r w:rsidR="00333F46" w:rsidRPr="0019333C">
        <w:rPr>
          <w:spacing w:val="2"/>
          <w:lang w:val="fr-CH"/>
        </w:rPr>
        <w:t>’</w:t>
      </w:r>
      <w:r w:rsidRPr="0019333C">
        <w:rPr>
          <w:spacing w:val="2"/>
          <w:lang w:val="fr-CH"/>
        </w:rPr>
        <w:t>un examen et d</w:t>
      </w:r>
      <w:r w:rsidR="00333F46" w:rsidRPr="0019333C">
        <w:rPr>
          <w:spacing w:val="2"/>
          <w:lang w:val="fr-CH"/>
        </w:rPr>
        <w:t>’</w:t>
      </w:r>
      <w:r w:rsidRPr="0019333C">
        <w:rPr>
          <w:spacing w:val="2"/>
          <w:lang w:val="fr-CH"/>
        </w:rPr>
        <w:t>un essai ultérieurs par le CPE à l</w:t>
      </w:r>
      <w:r w:rsidR="00333F46" w:rsidRPr="0019333C">
        <w:rPr>
          <w:spacing w:val="2"/>
          <w:lang w:val="fr-CH"/>
        </w:rPr>
        <w:t>’</w:t>
      </w:r>
      <w:r w:rsidRPr="0019333C">
        <w:rPr>
          <w:spacing w:val="2"/>
          <w:lang w:val="fr-CH"/>
        </w:rPr>
        <w:t xml:space="preserve">occasion de sa session extraordinaire en février 2016. </w:t>
      </w:r>
    </w:p>
    <w:p w:rsidR="00BB1AAC" w:rsidRPr="008A160E" w:rsidRDefault="00BB1AAC" w:rsidP="008A160E">
      <w:pPr>
        <w:pStyle w:val="SingleTxt"/>
        <w:spacing w:after="0" w:line="120" w:lineRule="exact"/>
        <w:rPr>
          <w:sz w:val="10"/>
          <w:lang w:val="fr-CH"/>
        </w:rPr>
      </w:pPr>
    </w:p>
    <w:p w:rsidR="008A160E" w:rsidRPr="008A160E" w:rsidRDefault="008A160E" w:rsidP="008A160E">
      <w:pPr>
        <w:pStyle w:val="SingleTxt"/>
        <w:spacing w:after="0" w:line="120" w:lineRule="exact"/>
        <w:rPr>
          <w:sz w:val="10"/>
          <w:lang w:val="fr-CH"/>
        </w:rPr>
      </w:pPr>
    </w:p>
    <w:p w:rsidR="00BB1AAC" w:rsidRPr="00333F46" w:rsidRDefault="00081F5A" w:rsidP="008A16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w:t>
      </w:r>
      <w:r w:rsidR="00BB1AAC" w:rsidRPr="00333F46">
        <w:rPr>
          <w:lang w:val="fr-CH"/>
        </w:rPr>
        <w:tab/>
        <w:t xml:space="preserve">Autres commentaires et suggestions </w:t>
      </w:r>
    </w:p>
    <w:p w:rsidR="00BB1AAC" w:rsidRPr="00333F46" w:rsidRDefault="00BB1AAC" w:rsidP="0019333C">
      <w:pPr>
        <w:pStyle w:val="SingleTxt"/>
        <w:keepNext/>
        <w:spacing w:after="0" w:line="120" w:lineRule="exact"/>
        <w:rPr>
          <w:sz w:val="10"/>
          <w:lang w:val="fr-CH"/>
        </w:rPr>
      </w:pPr>
    </w:p>
    <w:p w:rsidR="00BB1AAC" w:rsidRPr="00333F46" w:rsidRDefault="00BB1AAC" w:rsidP="0019333C">
      <w:pPr>
        <w:pStyle w:val="SingleTxt"/>
        <w:keepNext/>
        <w:spacing w:after="0" w:line="120" w:lineRule="exact"/>
        <w:rPr>
          <w:sz w:val="10"/>
          <w:lang w:val="fr-CH"/>
        </w:rPr>
      </w:pPr>
    </w:p>
    <w:p w:rsidR="00BB1AAC" w:rsidRPr="00333F46" w:rsidRDefault="00BB1AAC" w:rsidP="00BB1AAC">
      <w:pPr>
        <w:pStyle w:val="SingleTxt"/>
        <w:numPr>
          <w:ilvl w:val="0"/>
          <w:numId w:val="6"/>
        </w:numPr>
        <w:tabs>
          <w:tab w:val="clear" w:pos="475"/>
          <w:tab w:val="num" w:pos="1742"/>
        </w:tabs>
        <w:ind w:left="1267"/>
        <w:rPr>
          <w:lang w:val="fr-CH"/>
        </w:rPr>
      </w:pPr>
      <w:r w:rsidRPr="00333F46">
        <w:rPr>
          <w:lang w:val="fr-CH"/>
        </w:rPr>
        <w:t>Parmi les réponses qu</w:t>
      </w:r>
      <w:r w:rsidR="00333F46">
        <w:rPr>
          <w:lang w:val="fr-CH"/>
        </w:rPr>
        <w:t>’</w:t>
      </w:r>
      <w:r w:rsidRPr="00333F46">
        <w:rPr>
          <w:lang w:val="fr-CH"/>
        </w:rPr>
        <w:t>ont apportées les États membres à l</w:t>
      </w:r>
      <w:r w:rsidR="00333F46">
        <w:rPr>
          <w:lang w:val="fr-CH"/>
        </w:rPr>
        <w:t>’</w:t>
      </w:r>
      <w:r w:rsidRPr="00333F46">
        <w:rPr>
          <w:lang w:val="fr-CH"/>
        </w:rPr>
        <w:t>enquête à propos de la forme du débat interactif devant se dérouler dans le cadre de la Conférence ministérielle, on citera notamment celles-ci</w:t>
      </w:r>
      <w:r w:rsidR="008A160E">
        <w:rPr>
          <w:lang w:val="fr-CH"/>
        </w:rPr>
        <w:t> </w:t>
      </w:r>
      <w:r w:rsidRPr="00333F46">
        <w:rPr>
          <w:lang w:val="fr-CH"/>
        </w:rPr>
        <w:t xml:space="preserve">: </w:t>
      </w:r>
    </w:p>
    <w:p w:rsidR="00BB1AAC" w:rsidRPr="00333F46" w:rsidRDefault="00BB1AAC" w:rsidP="00BB1AAC">
      <w:pPr>
        <w:pStyle w:val="SingleTxt"/>
        <w:rPr>
          <w:lang w:val="fr-CH"/>
        </w:rPr>
      </w:pPr>
      <w:r w:rsidRPr="00333F46">
        <w:rPr>
          <w:lang w:val="fr-CH"/>
        </w:rPr>
        <w:tab/>
        <w:t>a)</w:t>
      </w:r>
      <w:r w:rsidRPr="00333F46">
        <w:rPr>
          <w:lang w:val="fr-CH"/>
        </w:rPr>
        <w:tab/>
      </w:r>
      <w:r w:rsidR="008A160E" w:rsidRPr="00333F46">
        <w:rPr>
          <w:lang w:val="fr-CH"/>
        </w:rPr>
        <w:t xml:space="preserve">La </w:t>
      </w:r>
      <w:r w:rsidRPr="00333F46">
        <w:rPr>
          <w:lang w:val="fr-CH"/>
        </w:rPr>
        <w:t>Slovénie a suggéré des tables rondes ou des ateliers à caractère régional ou sous-régional, afin de permettre aux ministres respectifs de s</w:t>
      </w:r>
      <w:r w:rsidR="00333F46">
        <w:rPr>
          <w:lang w:val="fr-CH"/>
        </w:rPr>
        <w:t>’</w:t>
      </w:r>
      <w:r w:rsidRPr="00333F46">
        <w:rPr>
          <w:lang w:val="fr-CH"/>
        </w:rPr>
        <w:t>exprimer dans leur propre langue ou dans une autre langue de la région qu</w:t>
      </w:r>
      <w:r w:rsidR="00333F46">
        <w:rPr>
          <w:lang w:val="fr-CH"/>
        </w:rPr>
        <w:t>’</w:t>
      </w:r>
      <w:r w:rsidRPr="00333F46">
        <w:rPr>
          <w:lang w:val="fr-CH"/>
        </w:rPr>
        <w:t xml:space="preserve">ils pratiquent également; </w:t>
      </w:r>
    </w:p>
    <w:p w:rsidR="00BB1AAC" w:rsidRPr="00333F46" w:rsidRDefault="00BB1AAC" w:rsidP="00BB1AAC">
      <w:pPr>
        <w:pStyle w:val="SingleTxt"/>
        <w:rPr>
          <w:lang w:val="fr-CH"/>
        </w:rPr>
      </w:pPr>
      <w:r w:rsidRPr="00333F46">
        <w:rPr>
          <w:lang w:val="fr-CH"/>
        </w:rPr>
        <w:tab/>
        <w:t>b)</w:t>
      </w:r>
      <w:r w:rsidRPr="00333F46">
        <w:rPr>
          <w:lang w:val="fr-CH"/>
        </w:rPr>
        <w:tab/>
      </w:r>
      <w:r w:rsidR="008A160E" w:rsidRPr="00333F46">
        <w:rPr>
          <w:lang w:val="fr-CH"/>
        </w:rPr>
        <w:t xml:space="preserve">La </w:t>
      </w:r>
      <w:r w:rsidRPr="00333F46">
        <w:rPr>
          <w:lang w:val="fr-CH"/>
        </w:rPr>
        <w:t>République tchèque a exprimé l</w:t>
      </w:r>
      <w:r w:rsidR="00333F46">
        <w:rPr>
          <w:lang w:val="fr-CH"/>
        </w:rPr>
        <w:t>’</w:t>
      </w:r>
      <w:r w:rsidRPr="00333F46">
        <w:rPr>
          <w:lang w:val="fr-CH"/>
        </w:rPr>
        <w:t>avis que le processus « Un environnement pour l</w:t>
      </w:r>
      <w:r w:rsidR="00333F46">
        <w:rPr>
          <w:lang w:val="fr-CH"/>
        </w:rPr>
        <w:t>’</w:t>
      </w:r>
      <w:r w:rsidRPr="00333F46">
        <w:rPr>
          <w:lang w:val="fr-CH"/>
        </w:rPr>
        <w:t>Europe » bénéficierait d</w:t>
      </w:r>
      <w:r w:rsidR="00333F46">
        <w:rPr>
          <w:lang w:val="fr-CH"/>
        </w:rPr>
        <w:t>’</w:t>
      </w:r>
      <w:r w:rsidRPr="00333F46">
        <w:rPr>
          <w:lang w:val="fr-CH"/>
        </w:rPr>
        <w:t>un engagement politique plus marqué et de la participation d</w:t>
      </w:r>
      <w:r w:rsidR="00333F46">
        <w:rPr>
          <w:lang w:val="fr-CH"/>
        </w:rPr>
        <w:t>’</w:t>
      </w:r>
      <w:r w:rsidRPr="00333F46">
        <w:rPr>
          <w:lang w:val="fr-CH"/>
        </w:rPr>
        <w:t xml:space="preserve">experts; </w:t>
      </w:r>
    </w:p>
    <w:p w:rsidR="00BB1AAC" w:rsidRPr="00333F46" w:rsidRDefault="00BB1AAC" w:rsidP="00BB1AAC">
      <w:pPr>
        <w:pStyle w:val="SingleTxt"/>
        <w:rPr>
          <w:lang w:val="fr-CH"/>
        </w:rPr>
      </w:pPr>
      <w:r w:rsidRPr="00333F46">
        <w:rPr>
          <w:lang w:val="fr-CH"/>
        </w:rPr>
        <w:tab/>
        <w:t>c)</w:t>
      </w:r>
      <w:r w:rsidRPr="00333F46">
        <w:rPr>
          <w:lang w:val="fr-CH"/>
        </w:rPr>
        <w:tab/>
      </w:r>
      <w:r w:rsidR="008A160E" w:rsidRPr="00333F46">
        <w:rPr>
          <w:lang w:val="fr-CH"/>
        </w:rPr>
        <w:t>L</w:t>
      </w:r>
      <w:r w:rsidR="008A160E">
        <w:rPr>
          <w:lang w:val="fr-CH"/>
        </w:rPr>
        <w:t>’</w:t>
      </w:r>
      <w:r w:rsidR="008A160E" w:rsidRPr="00333F46">
        <w:rPr>
          <w:lang w:val="fr-CH"/>
        </w:rPr>
        <w:t xml:space="preserve">ONG </w:t>
      </w:r>
      <w:r w:rsidRPr="00333F46">
        <w:rPr>
          <w:lang w:val="fr-CH"/>
        </w:rPr>
        <w:t xml:space="preserve">BIOTICA a suggéré que les ONG se voient accorder une plus large place dans les tables rondes; </w:t>
      </w:r>
    </w:p>
    <w:p w:rsidR="00BB1AAC" w:rsidRPr="00333F46" w:rsidRDefault="00BB1AAC" w:rsidP="00BB1AAC">
      <w:pPr>
        <w:pStyle w:val="SingleTxt"/>
        <w:rPr>
          <w:lang w:val="fr-CH"/>
        </w:rPr>
      </w:pPr>
      <w:r w:rsidRPr="00333F46">
        <w:rPr>
          <w:lang w:val="fr-CH"/>
        </w:rPr>
        <w:tab/>
        <w:t>d)</w:t>
      </w:r>
      <w:r w:rsidRPr="00333F46">
        <w:rPr>
          <w:lang w:val="fr-CH"/>
        </w:rPr>
        <w:tab/>
      </w:r>
      <w:r w:rsidR="008A160E" w:rsidRPr="00333F46">
        <w:rPr>
          <w:lang w:val="fr-CH"/>
        </w:rPr>
        <w:t xml:space="preserve">La </w:t>
      </w:r>
      <w:r w:rsidRPr="00333F46">
        <w:rPr>
          <w:lang w:val="fr-CH"/>
        </w:rPr>
        <w:t xml:space="preserve">Pologne a fait part de son intérêt pour un débat sous la forme de questions/réponses, avec une réserve, à savoir de bien tenir compte des aspects organisationnels de la formule. </w:t>
      </w:r>
    </w:p>
    <w:p w:rsidR="00BB1AAC" w:rsidRPr="00333F46" w:rsidRDefault="00BB1AAC" w:rsidP="00BB1AAC">
      <w:pPr>
        <w:pStyle w:val="SingleTxt"/>
        <w:rPr>
          <w:lang w:val="fr-CH"/>
        </w:rPr>
        <w:sectPr w:rsidR="00BB1AAC" w:rsidRPr="00333F46" w:rsidSect="005E6617">
          <w:endnotePr>
            <w:numFmt w:val="decimal"/>
          </w:endnotePr>
          <w:type w:val="continuous"/>
          <w:pgSz w:w="11909" w:h="16834"/>
          <w:pgMar w:top="1742" w:right="936" w:bottom="1898" w:left="936" w:header="576" w:footer="1030" w:gutter="0"/>
          <w:cols w:space="720"/>
          <w:noEndnote/>
          <w:docGrid w:linePitch="360"/>
        </w:sectPr>
      </w:pPr>
    </w:p>
    <w:p w:rsidR="00BB1AAC" w:rsidRPr="00333F46" w:rsidRDefault="00BB1AAC" w:rsidP="00BB1AA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pacing w:val="4"/>
          <w:sz w:val="20"/>
          <w:lang w:val="fr-CH"/>
        </w:rPr>
      </w:pPr>
      <w:r w:rsidRPr="00333F46">
        <w:rPr>
          <w:lang w:val="fr-CH"/>
        </w:rPr>
        <w:t xml:space="preserve">Annexe </w:t>
      </w:r>
    </w:p>
    <w:p w:rsidR="00BB1AAC" w:rsidRPr="00333F46" w:rsidRDefault="00BB1AAC" w:rsidP="00BB1AAC">
      <w:pPr>
        <w:spacing w:line="120" w:lineRule="exact"/>
        <w:rPr>
          <w:sz w:val="10"/>
          <w:lang w:val="fr-CH"/>
        </w:rPr>
      </w:pPr>
    </w:p>
    <w:p w:rsidR="00BB1AAC" w:rsidRPr="00333F46" w:rsidRDefault="00BB1AAC" w:rsidP="00E3415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333F46">
        <w:rPr>
          <w:lang w:val="fr-CH"/>
        </w:rPr>
        <w:tab/>
      </w:r>
      <w:r w:rsidRPr="00333F46">
        <w:rPr>
          <w:lang w:val="fr-CH"/>
        </w:rPr>
        <w:tab/>
        <w:t xml:space="preserve">Détails concernant les participants et les besoins technologiques </w:t>
      </w:r>
      <w:r w:rsidR="00E34150" w:rsidRPr="00333F46">
        <w:rPr>
          <w:lang w:val="fr-CH"/>
        </w:rPr>
        <w:br/>
      </w:r>
      <w:r w:rsidRPr="00333F46">
        <w:rPr>
          <w:lang w:val="fr-CH"/>
        </w:rPr>
        <w:t>pour chaque forme de débat</w:t>
      </w:r>
    </w:p>
    <w:p w:rsidR="00E34150" w:rsidRPr="00333F46" w:rsidRDefault="00E34150" w:rsidP="00E34150">
      <w:pPr>
        <w:spacing w:line="120" w:lineRule="exact"/>
        <w:rPr>
          <w:sz w:val="10"/>
          <w:lang w:val="fr-CH"/>
        </w:rPr>
      </w:pPr>
    </w:p>
    <w:p w:rsidR="00E34150" w:rsidRPr="00333F46" w:rsidRDefault="00E34150" w:rsidP="00E34150">
      <w:pPr>
        <w:spacing w:line="120" w:lineRule="exact"/>
        <w:rPr>
          <w:sz w:val="10"/>
          <w:lang w:val="fr-CH"/>
        </w:rPr>
      </w:pPr>
    </w:p>
    <w:tbl>
      <w:tblPr>
        <w:tblW w:w="13194" w:type="dxa"/>
        <w:tblLayout w:type="fixed"/>
        <w:tblCellMar>
          <w:left w:w="0" w:type="dxa"/>
          <w:right w:w="0" w:type="dxa"/>
        </w:tblCellMar>
        <w:tblLook w:val="04A0" w:firstRow="1" w:lastRow="0" w:firstColumn="1" w:lastColumn="0" w:noHBand="0" w:noVBand="1"/>
      </w:tblPr>
      <w:tblGrid>
        <w:gridCol w:w="1261"/>
        <w:gridCol w:w="1829"/>
        <w:gridCol w:w="1830"/>
        <w:gridCol w:w="1830"/>
        <w:gridCol w:w="1260"/>
        <w:gridCol w:w="1728"/>
        <w:gridCol w:w="1728"/>
        <w:gridCol w:w="1728"/>
      </w:tblGrid>
      <w:tr w:rsidR="00E34150" w:rsidRPr="00333F46" w:rsidTr="008A160E">
        <w:trPr>
          <w:trHeight w:val="507"/>
          <w:tblHeader/>
        </w:trPr>
        <w:tc>
          <w:tcPr>
            <w:tcW w:w="1261"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Forme</w:t>
            </w:r>
          </w:p>
        </w:tc>
        <w:tc>
          <w:tcPr>
            <w:tcW w:w="1829"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 xml:space="preserve">Total des participants et des observateurs inactifs </w:t>
            </w:r>
          </w:p>
        </w:tc>
        <w:tc>
          <w:tcPr>
            <w:tcW w:w="1830"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Nombre de participants actifs</w:t>
            </w:r>
          </w:p>
        </w:tc>
        <w:tc>
          <w:tcPr>
            <w:tcW w:w="1830"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Participants principaux</w:t>
            </w:r>
          </w:p>
        </w:tc>
        <w:tc>
          <w:tcPr>
            <w:tcW w:w="1260"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 xml:space="preserve">Faut-il un modérateur? </w:t>
            </w:r>
          </w:p>
        </w:tc>
        <w:tc>
          <w:tcPr>
            <w:tcW w:w="1728"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Faut-il un rapporteur?</w:t>
            </w:r>
          </w:p>
        </w:tc>
        <w:tc>
          <w:tcPr>
            <w:tcW w:w="1728" w:type="dxa"/>
            <w:tcBorders>
              <w:top w:val="single" w:sz="4" w:space="0" w:color="auto"/>
              <w:bottom w:val="single" w:sz="12" w:space="0" w:color="auto"/>
            </w:tcBorders>
            <w:shd w:val="clear" w:color="auto" w:fill="auto"/>
            <w:vAlign w:val="bottom"/>
            <w:hideMark/>
          </w:tcPr>
          <w:p w:rsidR="00BB1AAC" w:rsidRPr="00333F46" w:rsidRDefault="00BB1AAC" w:rsidP="00E34150">
            <w:pPr>
              <w:suppressAutoHyphens/>
              <w:spacing w:before="81" w:after="81" w:line="160" w:lineRule="exact"/>
              <w:ind w:right="115"/>
              <w:rPr>
                <w:i/>
                <w:sz w:val="14"/>
                <w:lang w:val="fr-CH"/>
              </w:rPr>
            </w:pPr>
            <w:r w:rsidRPr="00333F46">
              <w:rPr>
                <w:i/>
                <w:sz w:val="14"/>
                <w:lang w:val="fr-CH"/>
              </w:rPr>
              <w:t>Besoins en termes de technologie</w:t>
            </w:r>
          </w:p>
        </w:tc>
        <w:tc>
          <w:tcPr>
            <w:tcW w:w="1728" w:type="dxa"/>
            <w:tcBorders>
              <w:top w:val="single" w:sz="4" w:space="0" w:color="auto"/>
              <w:bottom w:val="single" w:sz="12" w:space="0" w:color="auto"/>
            </w:tcBorders>
            <w:shd w:val="clear" w:color="auto" w:fill="auto"/>
            <w:vAlign w:val="bottom"/>
            <w:hideMark/>
          </w:tcPr>
          <w:p w:rsidR="00BB1AAC" w:rsidRPr="00333F46" w:rsidRDefault="00BB1AAC" w:rsidP="00FD117B">
            <w:pPr>
              <w:suppressAutoHyphens/>
              <w:spacing w:before="81" w:after="81" w:line="160" w:lineRule="exact"/>
              <w:rPr>
                <w:i/>
                <w:sz w:val="14"/>
                <w:lang w:val="fr-CH"/>
              </w:rPr>
            </w:pPr>
            <w:r w:rsidRPr="00333F46">
              <w:rPr>
                <w:i/>
                <w:sz w:val="14"/>
                <w:lang w:val="fr-CH"/>
              </w:rPr>
              <w:t>Langues</w:t>
            </w:r>
          </w:p>
        </w:tc>
      </w:tr>
      <w:tr w:rsidR="00E34150" w:rsidRPr="00333F46" w:rsidTr="008A160E">
        <w:trPr>
          <w:trHeight w:hRule="exact" w:val="113"/>
          <w:tblHeader/>
        </w:trPr>
        <w:tc>
          <w:tcPr>
            <w:tcW w:w="1261"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829"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830"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830"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260"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728"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728" w:type="dxa"/>
            <w:tcBorders>
              <w:top w:val="single" w:sz="12" w:space="0" w:color="auto"/>
            </w:tcBorders>
            <w:shd w:val="clear" w:color="auto" w:fill="auto"/>
            <w:vAlign w:val="bottom"/>
          </w:tcPr>
          <w:p w:rsidR="00BB1AAC" w:rsidRPr="00333F46" w:rsidRDefault="00BB1AAC" w:rsidP="00E34150">
            <w:pPr>
              <w:suppressAutoHyphens/>
              <w:spacing w:before="40" w:after="120"/>
              <w:ind w:right="43"/>
              <w:rPr>
                <w:lang w:val="fr-CH"/>
              </w:rPr>
            </w:pPr>
          </w:p>
        </w:tc>
        <w:tc>
          <w:tcPr>
            <w:tcW w:w="1728" w:type="dxa"/>
            <w:tcBorders>
              <w:top w:val="single" w:sz="12" w:space="0" w:color="auto"/>
            </w:tcBorders>
            <w:shd w:val="clear" w:color="auto" w:fill="auto"/>
            <w:vAlign w:val="bottom"/>
          </w:tcPr>
          <w:p w:rsidR="00BB1AAC" w:rsidRPr="00333F46" w:rsidRDefault="00BB1AAC" w:rsidP="00FD117B">
            <w:pPr>
              <w:suppressAutoHyphens/>
              <w:spacing w:before="40" w:after="120"/>
              <w:rPr>
                <w:lang w:val="fr-CH"/>
              </w:rPr>
            </w:pP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Réunion-débat</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 salle est la seule limite</w:t>
            </w:r>
          </w:p>
        </w:tc>
        <w:tc>
          <w:tcPr>
            <w:tcW w:w="1830" w:type="dxa"/>
            <w:shd w:val="clear" w:color="auto" w:fill="FFFFFF" w:themeFill="background1"/>
            <w:hideMark/>
          </w:tcPr>
          <w:p w:rsidR="00BB1AAC" w:rsidRPr="008A160E" w:rsidRDefault="00E34150"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5, plus 150 à 200 </w:t>
            </w:r>
            <w:r w:rsidR="00BB1AAC" w:rsidRPr="008A160E">
              <w:rPr>
                <w:rFonts w:asciiTheme="majorBidi" w:hAnsiTheme="majorBidi" w:cstheme="majorBidi"/>
                <w:sz w:val="18"/>
                <w:szCs w:val="18"/>
                <w:lang w:val="fr-CH"/>
              </w:rPr>
              <w:t>membres actifs dans l</w:t>
            </w:r>
            <w:r w:rsidR="00333F46" w:rsidRPr="008A160E">
              <w:rPr>
                <w:rFonts w:asciiTheme="majorBidi" w:hAnsiTheme="majorBidi" w:cstheme="majorBidi"/>
                <w:sz w:val="18"/>
                <w:szCs w:val="18"/>
                <w:lang w:val="fr-CH"/>
              </w:rPr>
              <w:t>’</w:t>
            </w:r>
            <w:r w:rsidR="00BB1AAC" w:rsidRPr="008A160E">
              <w:rPr>
                <w:rFonts w:asciiTheme="majorBidi" w:hAnsiTheme="majorBidi" w:cstheme="majorBidi"/>
                <w:sz w:val="18"/>
                <w:szCs w:val="18"/>
                <w:lang w:val="fr-CH"/>
              </w:rPr>
              <w:t>assistance</w:t>
            </w:r>
          </w:p>
        </w:tc>
        <w:tc>
          <w:tcPr>
            <w:tcW w:w="1830" w:type="dxa"/>
            <w:shd w:val="clear" w:color="auto" w:fill="FFFFFF" w:themeFill="background1"/>
            <w:hideMark/>
          </w:tcPr>
          <w:p w:rsidR="00BB1AAC" w:rsidRPr="008A160E" w:rsidRDefault="00E34150"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Ministres (3), ONG </w:t>
            </w:r>
            <w:r w:rsidR="008A160E" w:rsidRPr="008A160E">
              <w:rPr>
                <w:rFonts w:asciiTheme="majorBidi" w:hAnsiTheme="majorBidi" w:cstheme="majorBidi"/>
                <w:sz w:val="18"/>
                <w:szCs w:val="18"/>
                <w:lang w:val="fr-CH"/>
              </w:rPr>
              <w:t>(1), entreprises </w:t>
            </w:r>
            <w:r w:rsidR="00BB1AAC" w:rsidRPr="008A160E">
              <w:rPr>
                <w:rFonts w:asciiTheme="majorBidi" w:hAnsiTheme="majorBidi" w:cstheme="majorBidi"/>
                <w:sz w:val="18"/>
                <w:szCs w:val="18"/>
                <w:lang w:val="fr-CH"/>
              </w:rPr>
              <w:t>(1)</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 le </w:t>
            </w:r>
            <w:r w:rsidR="00BB1AAC" w:rsidRPr="008A160E">
              <w:rPr>
                <w:rFonts w:asciiTheme="majorBidi" w:hAnsiTheme="majorBidi" w:cstheme="majorBidi"/>
                <w:sz w:val="18"/>
                <w:szCs w:val="18"/>
                <w:lang w:val="fr-CH"/>
              </w:rPr>
              <w:t xml:space="preserve">modérateur est également le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Anglais, français, russe </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Tables rondes parallèles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150 </w:t>
            </w:r>
            <w:r w:rsidRPr="008A160E">
              <w:rPr>
                <w:rFonts w:asciiTheme="majorBidi" w:hAnsiTheme="majorBidi" w:cstheme="majorBidi"/>
                <w:sz w:val="18"/>
                <w:szCs w:val="18"/>
                <w:lang w:val="fr-CH"/>
              </w:rPr>
              <w:t xml:space="preserve">personnes au minimum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Jusqu</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à 30</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Ministr</w:t>
            </w:r>
            <w:r w:rsidR="008A160E">
              <w:rPr>
                <w:rFonts w:asciiTheme="majorBidi" w:hAnsiTheme="majorBidi" w:cstheme="majorBidi"/>
                <w:sz w:val="18"/>
                <w:szCs w:val="18"/>
                <w:lang w:val="fr-CH"/>
              </w:rPr>
              <w:t>es et chefs de délégation (</w:t>
            </w:r>
            <w:r w:rsidR="007D473E">
              <w:rPr>
                <w:rFonts w:asciiTheme="majorBidi" w:hAnsiTheme="majorBidi" w:cstheme="majorBidi"/>
                <w:sz w:val="18"/>
                <w:szCs w:val="18"/>
                <w:lang w:val="fr-CH"/>
              </w:rPr>
              <w:t>maximum</w:t>
            </w:r>
            <w:r w:rsidR="008A160E">
              <w:rPr>
                <w:rFonts w:asciiTheme="majorBidi" w:hAnsiTheme="majorBidi" w:cstheme="majorBidi"/>
                <w:sz w:val="18"/>
                <w:szCs w:val="18"/>
                <w:lang w:val="fr-CH"/>
              </w:rPr>
              <w:t> 19), OIG (</w:t>
            </w:r>
            <w:r w:rsidR="007D473E">
              <w:rPr>
                <w:rFonts w:asciiTheme="majorBidi" w:hAnsiTheme="majorBidi" w:cstheme="majorBidi"/>
                <w:sz w:val="18"/>
                <w:szCs w:val="18"/>
                <w:lang w:val="fr-CH"/>
              </w:rPr>
              <w:t>maximum</w:t>
            </w:r>
            <w:r w:rsidR="008A160E">
              <w:rPr>
                <w:rFonts w:asciiTheme="majorBidi" w:hAnsiTheme="majorBidi" w:cstheme="majorBidi"/>
                <w:sz w:val="18"/>
                <w:szCs w:val="18"/>
                <w:lang w:val="fr-CH"/>
              </w:rPr>
              <w:t> 2), ONG </w:t>
            </w:r>
            <w:r w:rsidRPr="008A160E">
              <w:rPr>
                <w:rFonts w:asciiTheme="majorBidi" w:hAnsiTheme="majorBidi" w:cstheme="majorBidi"/>
                <w:sz w:val="18"/>
                <w:szCs w:val="18"/>
                <w:lang w:val="fr-CH"/>
              </w:rPr>
              <w:t>(</w:t>
            </w:r>
            <w:r w:rsidR="007D473E">
              <w:rPr>
                <w:rFonts w:asciiTheme="majorBidi" w:hAnsiTheme="majorBidi" w:cstheme="majorBidi"/>
                <w:sz w:val="18"/>
                <w:szCs w:val="18"/>
                <w:lang w:val="fr-CH"/>
              </w:rPr>
              <w:t>maximum</w:t>
            </w:r>
            <w:r w:rsidR="008A160E">
              <w:rPr>
                <w:rFonts w:asciiTheme="majorBidi" w:hAnsiTheme="majorBidi" w:cstheme="majorBidi"/>
                <w:sz w:val="18"/>
                <w:szCs w:val="18"/>
                <w:lang w:val="fr-CH"/>
              </w:rPr>
              <w:t> 4), CRE (</w:t>
            </w:r>
            <w:r w:rsidR="007D473E">
              <w:rPr>
                <w:rFonts w:asciiTheme="majorBidi" w:hAnsiTheme="majorBidi" w:cstheme="majorBidi"/>
                <w:sz w:val="18"/>
                <w:szCs w:val="18"/>
                <w:lang w:val="fr-CH"/>
              </w:rPr>
              <w:t>maximum</w:t>
            </w:r>
            <w:r w:rsidR="008A160E">
              <w:rPr>
                <w:rFonts w:asciiTheme="majorBidi" w:hAnsiTheme="majorBidi" w:cstheme="majorBidi"/>
                <w:sz w:val="18"/>
                <w:szCs w:val="18"/>
                <w:lang w:val="fr-CH"/>
              </w:rPr>
              <w:t> </w:t>
            </w:r>
            <w:r w:rsidRPr="008A160E">
              <w:rPr>
                <w:rFonts w:asciiTheme="majorBidi" w:hAnsiTheme="majorBidi" w:cstheme="majorBidi"/>
                <w:sz w:val="18"/>
                <w:szCs w:val="18"/>
                <w:lang w:val="fr-CH"/>
              </w:rPr>
              <w:t>2)</w:t>
            </w:r>
            <w:r w:rsidR="008A160E">
              <w:rPr>
                <w:rFonts w:asciiTheme="majorBidi" w:hAnsiTheme="majorBidi" w:cstheme="majorBidi"/>
                <w:sz w:val="18"/>
                <w:szCs w:val="18"/>
                <w:lang w:val="fr-CH"/>
              </w:rPr>
              <w:t>, entreprises (</w:t>
            </w:r>
            <w:r w:rsidR="007D473E">
              <w:rPr>
                <w:rFonts w:asciiTheme="majorBidi" w:hAnsiTheme="majorBidi" w:cstheme="majorBidi"/>
                <w:sz w:val="18"/>
                <w:szCs w:val="18"/>
                <w:lang w:val="fr-CH"/>
              </w:rPr>
              <w:t>maximum</w:t>
            </w:r>
            <w:r w:rsidR="008A160E">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3)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Oui, un pour chaque table ronde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Oui, un pour chaque table ronde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Une séance en anglais, français, russe;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 xml:space="preserve">autre en anglais seulement </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Commissions thématiques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300</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personnes au maximum, à répartir dans quatre salles; sinon, une ou deux grandes salles permettant de réunir séparément plusieurs petits groupes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15 à 20 dans chaqu</w:t>
            </w:r>
            <w:r w:rsidR="008A160E" w:rsidRPr="008A160E">
              <w:rPr>
                <w:rFonts w:asciiTheme="majorBidi" w:hAnsiTheme="majorBidi" w:cstheme="majorBidi"/>
                <w:sz w:val="18"/>
                <w:szCs w:val="18"/>
                <w:lang w:val="fr-CH"/>
              </w:rPr>
              <w:t>e groupe, plus un maximum de 50 </w:t>
            </w:r>
            <w:r w:rsidRPr="008A160E">
              <w:rPr>
                <w:rFonts w:asciiTheme="majorBidi" w:hAnsiTheme="majorBidi" w:cstheme="majorBidi"/>
                <w:sz w:val="18"/>
                <w:szCs w:val="18"/>
                <w:lang w:val="fr-CH"/>
              </w:rPr>
              <w:t xml:space="preserve">observateurs dans chacune des quatre commissions </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Ministres (</w:t>
            </w:r>
            <w:r w:rsidR="007D473E">
              <w:rPr>
                <w:rFonts w:asciiTheme="majorBidi" w:hAnsiTheme="majorBidi" w:cstheme="majorBidi"/>
                <w:sz w:val="18"/>
                <w:szCs w:val="18"/>
                <w:lang w:val="fr-CH"/>
              </w:rPr>
              <w:t>maximum</w:t>
            </w:r>
            <w:r w:rsidRPr="008A160E">
              <w:rPr>
                <w:rFonts w:asciiTheme="majorBidi" w:hAnsiTheme="majorBidi" w:cstheme="majorBidi"/>
                <w:sz w:val="18"/>
                <w:szCs w:val="18"/>
                <w:lang w:val="fr-CH"/>
              </w:rPr>
              <w:t> </w:t>
            </w:r>
            <w:r w:rsidR="00BB1AAC" w:rsidRPr="008A160E">
              <w:rPr>
                <w:rFonts w:asciiTheme="majorBidi" w:hAnsiTheme="majorBidi" w:cstheme="majorBidi"/>
                <w:sz w:val="18"/>
                <w:szCs w:val="18"/>
                <w:lang w:val="fr-CH"/>
              </w:rPr>
              <w:t>15), ONG, OIG, entreprises (</w:t>
            </w:r>
            <w:r w:rsidR="007D473E">
              <w:rPr>
                <w:rFonts w:asciiTheme="majorBidi" w:hAnsiTheme="majorBidi" w:cstheme="majorBidi"/>
                <w:sz w:val="18"/>
                <w:szCs w:val="18"/>
                <w:lang w:val="fr-CH"/>
              </w:rPr>
              <w:t>maximum</w:t>
            </w:r>
            <w:r w:rsidRPr="008A160E">
              <w:rPr>
                <w:rFonts w:asciiTheme="majorBidi" w:hAnsiTheme="majorBidi" w:cstheme="majorBidi"/>
                <w:sz w:val="18"/>
                <w:szCs w:val="18"/>
                <w:lang w:val="fr-CH"/>
              </w:rPr>
              <w:t> </w:t>
            </w:r>
            <w:r w:rsidR="00BB1AAC" w:rsidRPr="008A160E">
              <w:rPr>
                <w:rFonts w:asciiTheme="majorBidi" w:hAnsiTheme="majorBidi" w:cstheme="majorBidi"/>
                <w:sz w:val="18"/>
                <w:szCs w:val="18"/>
                <w:lang w:val="fr-CH"/>
              </w:rPr>
              <w:t xml:space="preserve">5 au total pour chacune des trois catégories)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Non</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 chaque commission choisit en son sein un porte-parole/</w:t>
            </w:r>
            <w:r w:rsidR="0032257C">
              <w:rPr>
                <w:rFonts w:asciiTheme="majorBidi" w:hAnsiTheme="majorBidi" w:cstheme="majorBidi"/>
                <w:sz w:val="18"/>
                <w:szCs w:val="18"/>
                <w:lang w:val="fr-CH"/>
              </w:rPr>
              <w:t xml:space="preserve"> </w:t>
            </w:r>
            <w:r w:rsidRPr="008A160E">
              <w:rPr>
                <w:rFonts w:asciiTheme="majorBidi" w:hAnsiTheme="majorBidi" w:cstheme="majorBidi"/>
                <w:sz w:val="18"/>
                <w:szCs w:val="18"/>
                <w:lang w:val="fr-CH"/>
              </w:rPr>
              <w:t xml:space="preserve">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Aucun, à moins que chaque commission ne souhaite disposer de microphones pour ses débats (interprètes et écouteurs pour une commission si nécessaire)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Anglais seulement, sinon une des quatre commissions avec interprétation en anglais, français et russe si nécessaire </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Séances-perspectives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limite est fixée par le nombre et la dimension des salles disponibles; au minimum quatre salles pouvant ac</w:t>
            </w:r>
            <w:r w:rsidR="008A160E" w:rsidRPr="008A160E">
              <w:rPr>
                <w:rFonts w:asciiTheme="majorBidi" w:hAnsiTheme="majorBidi" w:cstheme="majorBidi"/>
                <w:sz w:val="18"/>
                <w:szCs w:val="18"/>
                <w:lang w:val="fr-CH"/>
              </w:rPr>
              <w:t>cueillir chacune entre 50 et 75 </w:t>
            </w:r>
            <w:r w:rsidRPr="008A160E">
              <w:rPr>
                <w:rFonts w:asciiTheme="majorBidi" w:hAnsiTheme="majorBidi" w:cstheme="majorBidi"/>
                <w:sz w:val="18"/>
                <w:szCs w:val="18"/>
                <w:lang w:val="fr-CH"/>
              </w:rPr>
              <w:t xml:space="preserve">personnes </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8 à 10 </w:t>
            </w:r>
            <w:r w:rsidR="00BB1AAC" w:rsidRPr="008A160E">
              <w:rPr>
                <w:rFonts w:asciiTheme="majorBidi" w:hAnsiTheme="majorBidi" w:cstheme="majorBidi"/>
                <w:sz w:val="18"/>
                <w:szCs w:val="18"/>
                <w:lang w:val="fr-CH"/>
              </w:rPr>
              <w:t>représe</w:t>
            </w:r>
            <w:r w:rsidRPr="008A160E">
              <w:rPr>
                <w:rFonts w:asciiTheme="majorBidi" w:hAnsiTheme="majorBidi" w:cstheme="majorBidi"/>
                <w:sz w:val="18"/>
                <w:szCs w:val="18"/>
                <w:lang w:val="fr-CH"/>
              </w:rPr>
              <w:t>ntants de groupes, plus 30 à 40 </w:t>
            </w:r>
            <w:r w:rsidR="00BB1AAC" w:rsidRPr="008A160E">
              <w:rPr>
                <w:rFonts w:asciiTheme="majorBidi" w:hAnsiTheme="majorBidi" w:cstheme="majorBidi"/>
                <w:sz w:val="18"/>
                <w:szCs w:val="18"/>
                <w:lang w:val="fr-CH"/>
              </w:rPr>
              <w:t>participants à raison d</w:t>
            </w:r>
            <w:r w:rsidR="00333F46" w:rsidRPr="008A160E">
              <w:rPr>
                <w:rFonts w:asciiTheme="majorBidi" w:hAnsiTheme="majorBidi" w:cstheme="majorBidi"/>
                <w:sz w:val="18"/>
                <w:szCs w:val="18"/>
                <w:lang w:val="fr-CH"/>
              </w:rPr>
              <w:t>’</w:t>
            </w:r>
            <w:r w:rsidR="00BB1AAC" w:rsidRPr="008A160E">
              <w:rPr>
                <w:rFonts w:asciiTheme="majorBidi" w:hAnsiTheme="majorBidi" w:cstheme="majorBidi"/>
                <w:sz w:val="18"/>
                <w:szCs w:val="18"/>
                <w:lang w:val="fr-CH"/>
              </w:rPr>
              <w:t xml:space="preserve">un maximum de 50 par groupe; quatre groupes au maximum </w:t>
            </w:r>
          </w:p>
        </w:tc>
        <w:tc>
          <w:tcPr>
            <w:tcW w:w="1830" w:type="dxa"/>
            <w:shd w:val="clear" w:color="auto" w:fill="FFFFFF" w:themeFill="background1"/>
            <w:hideMark/>
          </w:tcPr>
          <w:p w:rsidR="00BB1AAC" w:rsidRPr="008A160E" w:rsidRDefault="008A160E" w:rsidP="00FD117B">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8 à 10 </w:t>
            </w:r>
            <w:r w:rsidR="00BB1AAC" w:rsidRPr="008A160E">
              <w:rPr>
                <w:rFonts w:asciiTheme="majorBidi" w:hAnsiTheme="majorBidi" w:cstheme="majorBidi"/>
                <w:sz w:val="18"/>
                <w:szCs w:val="18"/>
                <w:lang w:val="fr-CH"/>
              </w:rPr>
              <w:t>membres représentant un groupe de parties prenantes (ONG, ministres, entreprises, OIG, pour un max</w:t>
            </w:r>
            <w:r w:rsidR="00FD117B">
              <w:rPr>
                <w:rFonts w:asciiTheme="majorBidi" w:hAnsiTheme="majorBidi" w:cstheme="majorBidi"/>
                <w:sz w:val="18"/>
                <w:szCs w:val="18"/>
                <w:lang w:val="fr-CH"/>
              </w:rPr>
              <w:t>imum</w:t>
            </w:r>
            <w:r w:rsidR="00BB1AAC" w:rsidRPr="008A160E">
              <w:rPr>
                <w:rFonts w:asciiTheme="majorBidi" w:hAnsiTheme="majorBidi" w:cstheme="majorBidi"/>
                <w:sz w:val="18"/>
                <w:szCs w:val="18"/>
                <w:lang w:val="fr-CH"/>
              </w:rPr>
              <w:t xml:space="preserve"> de quatre groupes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Non</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 un pour chaque séance en groupe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pour une commission si nécessaire)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Anglais seulement, sinon un des groupes avec interprétation en anglais, français et russe si nécessaire </w:t>
            </w:r>
          </w:p>
        </w:tc>
      </w:tr>
      <w:tr w:rsidR="00E34150" w:rsidRPr="008A160E" w:rsidTr="007D473E">
        <w:trPr>
          <w:cantSplit/>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Débat-spectacle </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 salle est la seule limite</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6 à la tribune, avec un aud</w:t>
            </w:r>
            <w:r w:rsidR="008A160E" w:rsidRPr="008A160E">
              <w:rPr>
                <w:rFonts w:asciiTheme="majorBidi" w:hAnsiTheme="majorBidi" w:cstheme="majorBidi"/>
                <w:sz w:val="18"/>
                <w:szCs w:val="18"/>
                <w:lang w:val="fr-CH"/>
              </w:rPr>
              <w:t>itoire de non moins de 80 à 100 </w:t>
            </w:r>
            <w:r w:rsidRPr="008A160E">
              <w:rPr>
                <w:rFonts w:asciiTheme="majorBidi" w:hAnsiTheme="majorBidi" w:cstheme="majorBidi"/>
                <w:sz w:val="18"/>
                <w:szCs w:val="18"/>
                <w:lang w:val="fr-CH"/>
              </w:rPr>
              <w:t xml:space="preserve">participants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5 </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invités</w:t>
            </w:r>
            <w:r w:rsidR="008A160E" w:rsidRPr="008A160E">
              <w:rPr>
                <w:rFonts w:asciiTheme="majorBidi" w:hAnsiTheme="majorBidi" w:cstheme="majorBidi"/>
                <w:sz w:val="18"/>
                <w:szCs w:val="18"/>
                <w:lang w:val="fr-CH"/>
              </w:rPr>
              <w:t> » (3 ministres, 1 ONG, 1 </w:t>
            </w:r>
            <w:r w:rsidRPr="008A160E">
              <w:rPr>
                <w:rFonts w:asciiTheme="majorBidi" w:hAnsiTheme="majorBidi" w:cstheme="majorBidi"/>
                <w:sz w:val="18"/>
                <w:szCs w:val="18"/>
                <w:lang w:val="fr-CH"/>
              </w:rPr>
              <w:t>OIG ou entreprise)</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le modérateur est également le rapporteur</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(si nécessaire)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 français et russe si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interprétation est nécessaire</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Colloques thématiques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La dimension de la salle est la seule limite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4 à la tribune, avec u</w:t>
            </w:r>
            <w:r w:rsidR="008A160E" w:rsidRPr="008A160E">
              <w:rPr>
                <w:rFonts w:asciiTheme="majorBidi" w:hAnsiTheme="majorBidi" w:cstheme="majorBidi"/>
                <w:sz w:val="18"/>
                <w:szCs w:val="18"/>
                <w:lang w:val="fr-CH"/>
              </w:rPr>
              <w:t>n auditoire de non moins de 150 </w:t>
            </w:r>
            <w:r w:rsidRPr="008A160E">
              <w:rPr>
                <w:rFonts w:asciiTheme="majorBidi" w:hAnsiTheme="majorBidi" w:cstheme="majorBidi"/>
                <w:sz w:val="18"/>
                <w:szCs w:val="18"/>
                <w:lang w:val="fr-CH"/>
              </w:rPr>
              <w:t xml:space="preserve">participants </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3 orateurs (1 ministre, 1 ONG, 1 </w:t>
            </w:r>
            <w:r w:rsidR="00BB1AAC" w:rsidRPr="008A160E">
              <w:rPr>
                <w:rFonts w:asciiTheme="majorBidi" w:hAnsiTheme="majorBidi" w:cstheme="majorBidi"/>
                <w:sz w:val="18"/>
                <w:szCs w:val="18"/>
                <w:lang w:val="fr-CH"/>
              </w:rPr>
              <w:t>OIG ou entreprise), 1 commentateur</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 le modérateur est également le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(si nécessaire)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 français et russe si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 xml:space="preserve">interprétation est nécessaire </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Table ronde tournante</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100 </w:t>
            </w:r>
            <w:r w:rsidRPr="008A160E">
              <w:rPr>
                <w:rFonts w:asciiTheme="majorBidi" w:hAnsiTheme="majorBidi" w:cstheme="majorBidi"/>
                <w:sz w:val="18"/>
                <w:szCs w:val="18"/>
                <w:lang w:val="fr-CH"/>
              </w:rPr>
              <w:t>personnes au minimum</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10 à 12 </w:t>
            </w:r>
            <w:r w:rsidR="00BB1AAC" w:rsidRPr="008A160E">
              <w:rPr>
                <w:rFonts w:asciiTheme="majorBidi" w:hAnsiTheme="majorBidi" w:cstheme="majorBidi"/>
                <w:sz w:val="18"/>
                <w:szCs w:val="18"/>
                <w:lang w:val="fr-CH"/>
              </w:rPr>
              <w:t>personnes réparties entre 5 à 6</w:t>
            </w:r>
            <w:r w:rsidRPr="008A160E">
              <w:rPr>
                <w:rFonts w:asciiTheme="majorBidi" w:hAnsiTheme="majorBidi" w:cstheme="majorBidi"/>
                <w:sz w:val="18"/>
                <w:szCs w:val="18"/>
                <w:lang w:val="fr-CH"/>
              </w:rPr>
              <w:t> </w:t>
            </w:r>
            <w:r w:rsidR="00BB1AAC" w:rsidRPr="008A160E">
              <w:rPr>
                <w:rFonts w:asciiTheme="majorBidi" w:hAnsiTheme="majorBidi" w:cstheme="majorBidi"/>
                <w:sz w:val="18"/>
                <w:szCs w:val="18"/>
                <w:lang w:val="fr-CH"/>
              </w:rPr>
              <w:t>petits groupes; un modérateur</w:t>
            </w:r>
            <w:r w:rsidRPr="008A160E">
              <w:rPr>
                <w:rFonts w:asciiTheme="majorBidi" w:hAnsiTheme="majorBidi" w:cstheme="majorBidi"/>
                <w:sz w:val="18"/>
                <w:szCs w:val="18"/>
                <w:lang w:val="fr-CH"/>
              </w:rPr>
              <w:t xml:space="preserve"> par table, pour un total de 80 </w:t>
            </w:r>
            <w:r w:rsidR="00BB1AAC" w:rsidRPr="008A160E">
              <w:rPr>
                <w:rFonts w:asciiTheme="majorBidi" w:hAnsiTheme="majorBidi" w:cstheme="majorBidi"/>
                <w:sz w:val="18"/>
                <w:szCs w:val="18"/>
                <w:lang w:val="fr-CH"/>
              </w:rPr>
              <w:t xml:space="preserve">personnes au maximum </w:t>
            </w:r>
          </w:p>
        </w:tc>
        <w:tc>
          <w:tcPr>
            <w:tcW w:w="1830"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Jusqu</w:t>
            </w:r>
            <w:r w:rsidR="00333F46" w:rsidRPr="008A160E">
              <w:rPr>
                <w:rFonts w:asciiTheme="majorBidi" w:hAnsiTheme="majorBidi" w:cstheme="majorBidi"/>
                <w:sz w:val="18"/>
                <w:szCs w:val="18"/>
                <w:lang w:val="fr-CH"/>
              </w:rPr>
              <w:t>’</w:t>
            </w:r>
            <w:r w:rsidR="008A160E" w:rsidRPr="008A160E">
              <w:rPr>
                <w:rFonts w:asciiTheme="majorBidi" w:hAnsiTheme="majorBidi" w:cstheme="majorBidi"/>
                <w:sz w:val="18"/>
                <w:szCs w:val="18"/>
                <w:lang w:val="fr-CH"/>
              </w:rPr>
              <w:t>à 50 ministres, max</w:t>
            </w:r>
            <w:r w:rsidR="00FD117B">
              <w:rPr>
                <w:rFonts w:asciiTheme="majorBidi" w:hAnsiTheme="majorBidi" w:cstheme="majorBidi"/>
                <w:sz w:val="18"/>
                <w:szCs w:val="18"/>
                <w:lang w:val="fr-CH"/>
              </w:rPr>
              <w:t>imum</w:t>
            </w:r>
            <w:r w:rsidR="008A160E" w:rsidRPr="008A160E">
              <w:rPr>
                <w:rFonts w:asciiTheme="majorBidi" w:hAnsiTheme="majorBidi" w:cstheme="majorBidi"/>
                <w:sz w:val="18"/>
                <w:szCs w:val="18"/>
                <w:lang w:val="fr-CH"/>
              </w:rPr>
              <w:t xml:space="preserve"> 10 </w:t>
            </w:r>
            <w:r w:rsidRPr="008A160E">
              <w:rPr>
                <w:rFonts w:asciiTheme="majorBidi" w:hAnsiTheme="majorBidi" w:cstheme="majorBidi"/>
                <w:sz w:val="18"/>
                <w:szCs w:val="18"/>
                <w:lang w:val="fr-CH"/>
              </w:rPr>
              <w:t>représentants d</w:t>
            </w:r>
            <w:r w:rsidR="00333F46" w:rsidRPr="008A160E">
              <w:rPr>
                <w:rFonts w:asciiTheme="majorBidi" w:hAnsiTheme="majorBidi" w:cstheme="majorBidi"/>
                <w:sz w:val="18"/>
                <w:szCs w:val="18"/>
                <w:lang w:val="fr-CH"/>
              </w:rPr>
              <w:t>’</w:t>
            </w:r>
            <w:r w:rsidR="00FD117B">
              <w:rPr>
                <w:rFonts w:asciiTheme="majorBidi" w:hAnsiTheme="majorBidi" w:cstheme="majorBidi"/>
                <w:sz w:val="18"/>
                <w:szCs w:val="18"/>
                <w:lang w:val="fr-CH"/>
              </w:rPr>
              <w:t xml:space="preserve">ONG, maximum 8 entreprises, maximum </w:t>
            </w:r>
            <w:r w:rsidR="008A160E" w:rsidRPr="008A160E">
              <w:rPr>
                <w:rFonts w:asciiTheme="majorBidi" w:hAnsiTheme="majorBidi" w:cstheme="majorBidi"/>
                <w:sz w:val="18"/>
                <w:szCs w:val="18"/>
                <w:lang w:val="fr-CH"/>
              </w:rPr>
              <w:t>5 </w:t>
            </w:r>
            <w:r w:rsidRPr="008A160E">
              <w:rPr>
                <w:rFonts w:asciiTheme="majorBidi" w:hAnsiTheme="majorBidi" w:cstheme="majorBidi"/>
                <w:sz w:val="18"/>
                <w:szCs w:val="18"/>
                <w:lang w:val="fr-CH"/>
              </w:rPr>
              <w:t xml:space="preserve">autres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un mo</w:t>
            </w:r>
            <w:r w:rsidR="008A160E" w:rsidRPr="008A160E">
              <w:rPr>
                <w:rFonts w:asciiTheme="majorBidi" w:hAnsiTheme="majorBidi" w:cstheme="majorBidi"/>
                <w:sz w:val="18"/>
                <w:szCs w:val="18"/>
                <w:lang w:val="fr-CH"/>
              </w:rPr>
              <w:t>dérateur pour chacune des 5 à 6 </w:t>
            </w:r>
            <w:r w:rsidRPr="008A160E">
              <w:rPr>
                <w:rFonts w:asciiTheme="majorBidi" w:hAnsiTheme="majorBidi" w:cstheme="majorBidi"/>
                <w:sz w:val="18"/>
                <w:szCs w:val="18"/>
                <w:lang w:val="fr-CH"/>
              </w:rPr>
              <w:t xml:space="preserve">tables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Non</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 les modérateurs feront également office de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(si nécessaire)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 français et russe si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interprétation est nécessaire</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Séance de questions/</w:t>
            </w:r>
            <w:r w:rsidR="000B0100">
              <w:rPr>
                <w:rFonts w:asciiTheme="majorBidi" w:hAnsiTheme="majorBidi" w:cstheme="majorBidi"/>
                <w:sz w:val="18"/>
                <w:szCs w:val="18"/>
                <w:lang w:val="fr-CH"/>
              </w:rPr>
              <w:t xml:space="preserve"> </w:t>
            </w:r>
            <w:r w:rsidRPr="008A160E">
              <w:rPr>
                <w:rFonts w:asciiTheme="majorBidi" w:hAnsiTheme="majorBidi" w:cstheme="majorBidi"/>
                <w:sz w:val="18"/>
                <w:szCs w:val="18"/>
                <w:lang w:val="fr-CH"/>
              </w:rPr>
              <w:t>réponses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100 </w:t>
            </w:r>
            <w:r w:rsidRPr="008A160E">
              <w:rPr>
                <w:rFonts w:asciiTheme="majorBidi" w:hAnsiTheme="majorBidi" w:cstheme="majorBidi"/>
                <w:sz w:val="18"/>
                <w:szCs w:val="18"/>
                <w:lang w:val="fr-CH"/>
              </w:rPr>
              <w:t>personnes au minimum</w:t>
            </w:r>
          </w:p>
        </w:tc>
        <w:tc>
          <w:tcPr>
            <w:tcW w:w="1830" w:type="dxa"/>
            <w:shd w:val="clear" w:color="auto" w:fill="FFFFFF" w:themeFill="background1"/>
            <w:hideMark/>
          </w:tcPr>
          <w:p w:rsidR="00BB1AAC" w:rsidRPr="008A160E" w:rsidRDefault="008A160E" w:rsidP="00A44155">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5 à la tribune, plus 100 </w:t>
            </w:r>
            <w:r w:rsidR="00BB1AAC" w:rsidRPr="008A160E">
              <w:rPr>
                <w:rFonts w:asciiTheme="majorBidi" w:hAnsiTheme="majorBidi" w:cstheme="majorBidi"/>
                <w:sz w:val="18"/>
                <w:szCs w:val="18"/>
                <w:lang w:val="fr-CH"/>
              </w:rPr>
              <w:t>membres actifs au maximum dans l</w:t>
            </w:r>
            <w:r w:rsidR="00333F46" w:rsidRPr="008A160E">
              <w:rPr>
                <w:rFonts w:asciiTheme="majorBidi" w:hAnsiTheme="majorBidi" w:cstheme="majorBidi"/>
                <w:sz w:val="18"/>
                <w:szCs w:val="18"/>
                <w:lang w:val="fr-CH"/>
              </w:rPr>
              <w:t>’</w:t>
            </w:r>
            <w:r w:rsidR="00BB1AAC" w:rsidRPr="008A160E">
              <w:rPr>
                <w:rFonts w:asciiTheme="majorBidi" w:hAnsiTheme="majorBidi" w:cstheme="majorBidi"/>
                <w:sz w:val="18"/>
                <w:szCs w:val="18"/>
                <w:lang w:val="fr-CH"/>
              </w:rPr>
              <w:t>assistance</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4 experts (2 ministres, 1</w:t>
            </w:r>
            <w:r w:rsidR="00E7684D">
              <w:rPr>
                <w:rFonts w:asciiTheme="majorBidi" w:hAnsiTheme="majorBidi" w:cstheme="majorBidi"/>
                <w:sz w:val="18"/>
                <w:szCs w:val="18"/>
                <w:lang w:val="fr-CH"/>
              </w:rPr>
              <w:t> ONG, </w:t>
            </w:r>
            <w:r w:rsidRPr="008A160E">
              <w:rPr>
                <w:rFonts w:asciiTheme="majorBidi" w:hAnsiTheme="majorBidi" w:cstheme="majorBidi"/>
                <w:sz w:val="18"/>
                <w:szCs w:val="18"/>
                <w:lang w:val="fr-CH"/>
              </w:rPr>
              <w:t>1 </w:t>
            </w:r>
            <w:r w:rsidR="00E7684D">
              <w:rPr>
                <w:rFonts w:asciiTheme="majorBidi" w:hAnsiTheme="majorBidi" w:cstheme="majorBidi"/>
                <w:sz w:val="18"/>
                <w:szCs w:val="18"/>
                <w:lang w:val="fr-CH"/>
              </w:rPr>
              <w:t>OIG ou </w:t>
            </w:r>
            <w:r w:rsidR="00BB1AAC" w:rsidRPr="008A160E">
              <w:rPr>
                <w:rFonts w:asciiTheme="majorBidi" w:hAnsiTheme="majorBidi" w:cstheme="majorBidi"/>
                <w:sz w:val="18"/>
                <w:szCs w:val="18"/>
                <w:lang w:val="fr-CH"/>
              </w:rPr>
              <w:t>représentant d</w:t>
            </w:r>
            <w:r w:rsidR="00333F46" w:rsidRPr="008A160E">
              <w:rPr>
                <w:rFonts w:asciiTheme="majorBidi" w:hAnsiTheme="majorBidi" w:cstheme="majorBidi"/>
                <w:sz w:val="18"/>
                <w:szCs w:val="18"/>
                <w:lang w:val="fr-CH"/>
              </w:rPr>
              <w:t>’</w:t>
            </w:r>
            <w:r w:rsidR="00BB1AAC" w:rsidRPr="008A160E">
              <w:rPr>
                <w:rFonts w:asciiTheme="majorBidi" w:hAnsiTheme="majorBidi" w:cstheme="majorBidi"/>
                <w:sz w:val="18"/>
                <w:szCs w:val="18"/>
                <w:lang w:val="fr-CH"/>
              </w:rPr>
              <w:t xml:space="preserve">entreprise)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Oui, sinon le modérateur pourra faire office de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 français, russe</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Discussion en cercles</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100 </w:t>
            </w:r>
            <w:r w:rsidRPr="008A160E">
              <w:rPr>
                <w:rFonts w:asciiTheme="majorBidi" w:hAnsiTheme="majorBidi" w:cstheme="majorBidi"/>
                <w:sz w:val="18"/>
                <w:szCs w:val="18"/>
                <w:lang w:val="fr-CH"/>
              </w:rPr>
              <w:t xml:space="preserve">personnes au minimum </w:t>
            </w:r>
          </w:p>
        </w:tc>
        <w:tc>
          <w:tcPr>
            <w:tcW w:w="1830" w:type="dxa"/>
            <w:shd w:val="clear" w:color="auto" w:fill="FFFFFF" w:themeFill="background1"/>
            <w:hideMark/>
          </w:tcPr>
          <w:p w:rsidR="00BB1AAC" w:rsidRPr="008A160E" w:rsidRDefault="00BB1AAC" w:rsidP="00E7684D">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Pas plus de 15 et non moins de 100 membres actifs dans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assistance selon la configuration, plus 6</w:t>
            </w:r>
            <w:r w:rsidR="00E7684D">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personnes dans le cercle intérieur </w:t>
            </w:r>
          </w:p>
        </w:tc>
        <w:tc>
          <w:tcPr>
            <w:tcW w:w="1830" w:type="dxa"/>
            <w:shd w:val="clear" w:color="auto" w:fill="FFFFFF" w:themeFill="background1"/>
            <w:hideMark/>
          </w:tcPr>
          <w:p w:rsidR="00BB1AAC" w:rsidRPr="008A160E" w:rsidRDefault="00BB1AAC" w:rsidP="00E7684D">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5</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participants (mélange de ministres, ONG, OIG</w:t>
            </w:r>
            <w:r w:rsidR="00E7684D">
              <w:rPr>
                <w:rFonts w:asciiTheme="majorBidi" w:hAnsiTheme="majorBidi" w:cstheme="majorBidi"/>
                <w:sz w:val="18"/>
                <w:szCs w:val="18"/>
                <w:lang w:val="fr-CH"/>
              </w:rPr>
              <w:t> </w:t>
            </w:r>
            <w:r w:rsidRPr="008A160E">
              <w:rPr>
                <w:rFonts w:asciiTheme="majorBidi" w:hAnsiTheme="majorBidi" w:cstheme="majorBidi"/>
                <w:sz w:val="18"/>
                <w:szCs w:val="18"/>
                <w:lang w:val="fr-CH"/>
              </w:rPr>
              <w:t xml:space="preserve">et entreprises)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Oui, sinon le modérateur pourra faire office de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Microphones, interprètes et écouteurs</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 français, russe</w:t>
            </w:r>
          </w:p>
        </w:tc>
      </w:tr>
      <w:tr w:rsidR="00E34150" w:rsidRPr="008A160E" w:rsidTr="008A160E">
        <w:trPr>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Affichage</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100 </w:t>
            </w:r>
            <w:r w:rsidRPr="008A160E">
              <w:rPr>
                <w:rFonts w:asciiTheme="majorBidi" w:hAnsiTheme="majorBidi" w:cstheme="majorBidi"/>
                <w:sz w:val="18"/>
                <w:szCs w:val="18"/>
                <w:lang w:val="fr-CH"/>
              </w:rPr>
              <w:t xml:space="preserve">personnes au minimum </w:t>
            </w:r>
          </w:p>
        </w:tc>
        <w:tc>
          <w:tcPr>
            <w:tcW w:w="1830"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80 à 100 </w:t>
            </w:r>
            <w:r w:rsidR="00BB1AAC" w:rsidRPr="008A160E">
              <w:rPr>
                <w:rFonts w:asciiTheme="majorBidi" w:hAnsiTheme="majorBidi" w:cstheme="majorBidi"/>
                <w:sz w:val="18"/>
                <w:szCs w:val="18"/>
                <w:lang w:val="fr-CH"/>
              </w:rPr>
              <w:t xml:space="preserve">participants actifs (surtout des ministres)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1</w:t>
            </w:r>
            <w:r w:rsidR="008A160E" w:rsidRPr="008A160E">
              <w:rPr>
                <w:rFonts w:asciiTheme="majorBidi" w:hAnsiTheme="majorBidi" w:cstheme="majorBidi"/>
                <w:sz w:val="18"/>
                <w:szCs w:val="18"/>
                <w:lang w:val="fr-CH"/>
              </w:rPr>
              <w:t> </w:t>
            </w:r>
            <w:r w:rsidRPr="008A160E">
              <w:rPr>
                <w:rFonts w:asciiTheme="majorBidi" w:hAnsiTheme="majorBidi" w:cstheme="majorBidi"/>
                <w:sz w:val="18"/>
                <w:szCs w:val="18"/>
                <w:lang w:val="fr-CH"/>
              </w:rPr>
              <w:t>représentant de chaque groupe de parties prenantes, jusqu</w:t>
            </w:r>
            <w:r w:rsidR="00333F46" w:rsidRPr="008A160E">
              <w:rPr>
                <w:rFonts w:asciiTheme="majorBidi" w:hAnsiTheme="majorBidi" w:cstheme="majorBidi"/>
                <w:sz w:val="18"/>
                <w:szCs w:val="18"/>
                <w:lang w:val="fr-CH"/>
              </w:rPr>
              <w:t>’</w:t>
            </w:r>
            <w:r w:rsidR="008A160E" w:rsidRPr="008A160E">
              <w:rPr>
                <w:rFonts w:asciiTheme="majorBidi" w:hAnsiTheme="majorBidi" w:cstheme="majorBidi"/>
                <w:sz w:val="18"/>
                <w:szCs w:val="18"/>
                <w:lang w:val="fr-CH"/>
              </w:rPr>
              <w:t>à 6 </w:t>
            </w:r>
            <w:r w:rsidRPr="008A160E">
              <w:rPr>
                <w:rFonts w:asciiTheme="majorBidi" w:hAnsiTheme="majorBidi" w:cstheme="majorBidi"/>
                <w:sz w:val="18"/>
                <w:szCs w:val="18"/>
                <w:lang w:val="fr-CH"/>
              </w:rPr>
              <w:t xml:space="preserve">représentants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Non</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Or</w:t>
            </w:r>
            <w:r w:rsidR="000B0100">
              <w:rPr>
                <w:rFonts w:asciiTheme="majorBidi" w:hAnsiTheme="majorBidi" w:cstheme="majorBidi"/>
                <w:sz w:val="18"/>
                <w:szCs w:val="18"/>
                <w:lang w:val="fr-CH"/>
              </w:rPr>
              <w:t>dinateur, projecteur, écran (si </w:t>
            </w:r>
            <w:r w:rsidRPr="008A160E">
              <w:rPr>
                <w:rFonts w:asciiTheme="majorBidi" w:hAnsiTheme="majorBidi" w:cstheme="majorBidi"/>
                <w:sz w:val="18"/>
                <w:szCs w:val="18"/>
                <w:lang w:val="fr-CH"/>
              </w:rPr>
              <w:t>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un des représentants a recours à des moyens numériques), microphone</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Anglais</w:t>
            </w:r>
          </w:p>
        </w:tc>
      </w:tr>
      <w:tr w:rsidR="00E34150" w:rsidRPr="008A160E" w:rsidTr="00E7684D">
        <w:trPr>
          <w:cantSplit/>
          <w:trHeight w:val="20"/>
        </w:trPr>
        <w:tc>
          <w:tcPr>
            <w:tcW w:w="1261"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Café mondial</w:t>
            </w:r>
          </w:p>
        </w:tc>
        <w:tc>
          <w:tcPr>
            <w:tcW w:w="1829"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de la</w:t>
            </w:r>
            <w:r w:rsidR="008A160E" w:rsidRPr="008A160E">
              <w:rPr>
                <w:rFonts w:asciiTheme="majorBidi" w:hAnsiTheme="majorBidi" w:cstheme="majorBidi"/>
                <w:sz w:val="18"/>
                <w:szCs w:val="18"/>
                <w:lang w:val="fr-CH"/>
              </w:rPr>
              <w:t xml:space="preserve"> salle est la seule limite; 200 </w:t>
            </w:r>
            <w:r w:rsidRPr="008A160E">
              <w:rPr>
                <w:rFonts w:asciiTheme="majorBidi" w:hAnsiTheme="majorBidi" w:cstheme="majorBidi"/>
                <w:sz w:val="18"/>
                <w:szCs w:val="18"/>
                <w:lang w:val="fr-CH"/>
              </w:rPr>
              <w:t xml:space="preserve">personnes au minimum </w:t>
            </w:r>
          </w:p>
        </w:tc>
        <w:tc>
          <w:tcPr>
            <w:tcW w:w="183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200 participants actifs et plus, répartis entre 4 à 6 groupes </w:t>
            </w:r>
          </w:p>
        </w:tc>
        <w:tc>
          <w:tcPr>
            <w:tcW w:w="1830" w:type="dxa"/>
            <w:shd w:val="clear" w:color="auto" w:fill="FFFFFF" w:themeFill="background1"/>
            <w:hideMark/>
          </w:tcPr>
          <w:p w:rsidR="00BB1AAC" w:rsidRPr="008A160E" w:rsidRDefault="008A160E" w:rsidP="00E7684D">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Chacun des 4 à 6 </w:t>
            </w:r>
            <w:r w:rsidR="00BB1AAC" w:rsidRPr="008A160E">
              <w:rPr>
                <w:rFonts w:asciiTheme="majorBidi" w:hAnsiTheme="majorBidi" w:cstheme="majorBidi"/>
                <w:sz w:val="18"/>
                <w:szCs w:val="18"/>
                <w:lang w:val="fr-CH"/>
              </w:rPr>
              <w:t>groupes est composé de ministres et chefs de délégation et de membres d</w:t>
            </w:r>
            <w:r w:rsidR="00333F46" w:rsidRPr="008A160E">
              <w:rPr>
                <w:rFonts w:asciiTheme="majorBidi" w:hAnsiTheme="majorBidi" w:cstheme="majorBidi"/>
                <w:sz w:val="18"/>
                <w:szCs w:val="18"/>
                <w:lang w:val="fr-CH"/>
              </w:rPr>
              <w:t>’</w:t>
            </w:r>
            <w:r w:rsidR="00BB1AAC" w:rsidRPr="008A160E">
              <w:rPr>
                <w:rFonts w:asciiTheme="majorBidi" w:hAnsiTheme="majorBidi" w:cstheme="majorBidi"/>
                <w:sz w:val="18"/>
                <w:szCs w:val="18"/>
                <w:lang w:val="fr-CH"/>
              </w:rPr>
              <w:t>OIG, ONG, CRE et</w:t>
            </w:r>
            <w:r w:rsidR="00E7684D">
              <w:rPr>
                <w:rFonts w:asciiTheme="majorBidi" w:hAnsiTheme="majorBidi" w:cstheme="majorBidi"/>
                <w:sz w:val="18"/>
                <w:szCs w:val="18"/>
                <w:lang w:val="fr-CH"/>
              </w:rPr>
              <w:t> </w:t>
            </w:r>
            <w:r w:rsidR="00BB1AAC" w:rsidRPr="008A160E">
              <w:rPr>
                <w:rFonts w:asciiTheme="majorBidi" w:hAnsiTheme="majorBidi" w:cstheme="majorBidi"/>
                <w:sz w:val="18"/>
                <w:szCs w:val="18"/>
                <w:lang w:val="fr-CH"/>
              </w:rPr>
              <w:t xml:space="preserve">entreprises </w:t>
            </w:r>
          </w:p>
        </w:tc>
        <w:tc>
          <w:tcPr>
            <w:tcW w:w="1260"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shd w:val="clear" w:color="auto" w:fill="FFFFFF" w:themeFill="background1"/>
            <w:hideMark/>
          </w:tcPr>
          <w:p w:rsidR="00BB1AAC" w:rsidRPr="008A160E" w:rsidRDefault="008A160E"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 : chacun des 4 à 6 </w:t>
            </w:r>
            <w:r w:rsidR="00BB1AAC" w:rsidRPr="008A160E">
              <w:rPr>
                <w:rFonts w:asciiTheme="majorBidi" w:hAnsiTheme="majorBidi" w:cstheme="majorBidi"/>
                <w:sz w:val="18"/>
                <w:szCs w:val="18"/>
                <w:lang w:val="fr-CH"/>
              </w:rPr>
              <w:t xml:space="preserve">groupes choisira en son sein un rapporteur </w:t>
            </w:r>
          </w:p>
        </w:tc>
        <w:tc>
          <w:tcPr>
            <w:tcW w:w="1728" w:type="dxa"/>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(pour les débats de clôture) </w:t>
            </w:r>
          </w:p>
        </w:tc>
        <w:tc>
          <w:tcPr>
            <w:tcW w:w="1728" w:type="dxa"/>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Anglais, Français, russe (encore que chaque groupe puisse être constitué par langue ou par région pour éviter les besoins de traduction) </w:t>
            </w:r>
          </w:p>
        </w:tc>
      </w:tr>
      <w:tr w:rsidR="00E34150" w:rsidRPr="008A160E" w:rsidTr="008A160E">
        <w:trPr>
          <w:trHeight w:val="20"/>
        </w:trPr>
        <w:tc>
          <w:tcPr>
            <w:tcW w:w="1261"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Jeu sérieux</w:t>
            </w:r>
          </w:p>
        </w:tc>
        <w:tc>
          <w:tcPr>
            <w:tcW w:w="1829"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La dimension et le nombre des salles et le nombre de ministres participants sont les seules limites; selon le scénario du jeu, l</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ens</w:t>
            </w:r>
            <w:r w:rsidR="00E7684D">
              <w:rPr>
                <w:rFonts w:asciiTheme="majorBidi" w:hAnsiTheme="majorBidi" w:cstheme="majorBidi"/>
                <w:sz w:val="18"/>
                <w:szCs w:val="18"/>
                <w:lang w:val="fr-CH"/>
              </w:rPr>
              <w:t>emble des ministres présents et </w:t>
            </w:r>
            <w:r w:rsidRPr="008A160E">
              <w:rPr>
                <w:rFonts w:asciiTheme="majorBidi" w:hAnsiTheme="majorBidi" w:cstheme="majorBidi"/>
                <w:sz w:val="18"/>
                <w:szCs w:val="18"/>
                <w:lang w:val="fr-CH"/>
              </w:rPr>
              <w:t>plusieurs représentants d</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ONG et d</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 xml:space="preserve">autres parties prenantes peuvent participer </w:t>
            </w:r>
          </w:p>
        </w:tc>
        <w:tc>
          <w:tcPr>
            <w:tcW w:w="1830"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Nombre de participants adaptable en fonction du scénario (surtout des ministres)</w:t>
            </w:r>
          </w:p>
        </w:tc>
        <w:tc>
          <w:tcPr>
            <w:tcW w:w="1830"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Chacun des groupes formés est composé de ministres et de membres d</w:t>
            </w:r>
            <w:r w:rsidR="00333F46" w:rsidRPr="008A160E">
              <w:rPr>
                <w:rFonts w:asciiTheme="majorBidi" w:hAnsiTheme="majorBidi" w:cstheme="majorBidi"/>
                <w:sz w:val="18"/>
                <w:szCs w:val="18"/>
                <w:lang w:val="fr-CH"/>
              </w:rPr>
              <w:t>’</w:t>
            </w:r>
            <w:r w:rsidRPr="008A160E">
              <w:rPr>
                <w:rFonts w:asciiTheme="majorBidi" w:hAnsiTheme="majorBidi" w:cstheme="majorBidi"/>
                <w:sz w:val="18"/>
                <w:szCs w:val="18"/>
                <w:lang w:val="fr-CH"/>
              </w:rPr>
              <w:t>ONG et d</w:t>
            </w:r>
            <w:r w:rsidR="00333F46" w:rsidRPr="008A160E">
              <w:rPr>
                <w:rFonts w:asciiTheme="majorBidi" w:hAnsiTheme="majorBidi" w:cstheme="majorBidi"/>
                <w:sz w:val="18"/>
                <w:szCs w:val="18"/>
                <w:lang w:val="fr-CH"/>
              </w:rPr>
              <w:t>’</w:t>
            </w:r>
            <w:r w:rsidR="00E7684D">
              <w:rPr>
                <w:rFonts w:asciiTheme="majorBidi" w:hAnsiTheme="majorBidi" w:cstheme="majorBidi"/>
                <w:sz w:val="18"/>
                <w:szCs w:val="18"/>
                <w:lang w:val="fr-CH"/>
              </w:rPr>
              <w:t>entreprises</w:t>
            </w:r>
            <w:r w:rsidRPr="008A160E">
              <w:rPr>
                <w:rFonts w:asciiTheme="majorBidi" w:hAnsiTheme="majorBidi" w:cstheme="majorBidi"/>
                <w:sz w:val="18"/>
                <w:szCs w:val="18"/>
                <w:lang w:val="fr-CH"/>
              </w:rPr>
              <w:t xml:space="preserve"> </w:t>
            </w:r>
          </w:p>
        </w:tc>
        <w:tc>
          <w:tcPr>
            <w:tcW w:w="1260"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Oui</w:t>
            </w:r>
          </w:p>
        </w:tc>
        <w:tc>
          <w:tcPr>
            <w:tcW w:w="1728"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Oui, pour chaque groupe constitué </w:t>
            </w:r>
          </w:p>
        </w:tc>
        <w:tc>
          <w:tcPr>
            <w:tcW w:w="1728" w:type="dxa"/>
            <w:tcBorders>
              <w:bottom w:val="single" w:sz="12" w:space="0" w:color="auto"/>
            </w:tcBorders>
            <w:shd w:val="clear" w:color="auto" w:fill="FFFFFF" w:themeFill="background1"/>
            <w:hideMark/>
          </w:tcPr>
          <w:p w:rsidR="00BB1AAC" w:rsidRPr="008A160E" w:rsidRDefault="00BB1AAC" w:rsidP="008A160E">
            <w:pPr>
              <w:tabs>
                <w:tab w:val="left" w:pos="288"/>
                <w:tab w:val="left" w:pos="576"/>
                <w:tab w:val="left" w:pos="864"/>
                <w:tab w:val="left" w:pos="1152"/>
              </w:tabs>
              <w:suppressAutoHyphens/>
              <w:spacing w:before="40" w:after="80" w:line="220" w:lineRule="exact"/>
              <w:ind w:right="117"/>
              <w:rPr>
                <w:rFonts w:asciiTheme="majorBidi" w:hAnsiTheme="majorBidi" w:cstheme="majorBidi"/>
                <w:sz w:val="18"/>
                <w:szCs w:val="18"/>
                <w:lang w:val="fr-CH"/>
              </w:rPr>
            </w:pPr>
            <w:r w:rsidRPr="008A160E">
              <w:rPr>
                <w:rFonts w:asciiTheme="majorBidi" w:hAnsiTheme="majorBidi" w:cstheme="majorBidi"/>
                <w:sz w:val="18"/>
                <w:szCs w:val="18"/>
                <w:lang w:val="fr-CH"/>
              </w:rPr>
              <w:t xml:space="preserve">Microphones, interprètes et écouteurs (pour les débats de clôture) </w:t>
            </w:r>
          </w:p>
        </w:tc>
        <w:tc>
          <w:tcPr>
            <w:tcW w:w="1728" w:type="dxa"/>
            <w:tcBorders>
              <w:bottom w:val="single" w:sz="12" w:space="0" w:color="auto"/>
            </w:tcBorders>
            <w:shd w:val="clear" w:color="auto" w:fill="FFFFFF" w:themeFill="background1"/>
            <w:hideMark/>
          </w:tcPr>
          <w:p w:rsidR="00BB1AAC" w:rsidRPr="008A160E" w:rsidRDefault="00BB1AAC" w:rsidP="00FD117B">
            <w:pPr>
              <w:tabs>
                <w:tab w:val="left" w:pos="288"/>
                <w:tab w:val="left" w:pos="576"/>
                <w:tab w:val="left" w:pos="864"/>
                <w:tab w:val="left" w:pos="1152"/>
              </w:tabs>
              <w:suppressAutoHyphens/>
              <w:spacing w:before="40" w:after="80" w:line="220" w:lineRule="exact"/>
              <w:rPr>
                <w:rFonts w:asciiTheme="majorBidi" w:hAnsiTheme="majorBidi" w:cstheme="majorBidi"/>
                <w:sz w:val="18"/>
                <w:szCs w:val="18"/>
                <w:lang w:val="fr-CH"/>
              </w:rPr>
            </w:pPr>
            <w:r w:rsidRPr="008A160E">
              <w:rPr>
                <w:rFonts w:asciiTheme="majorBidi" w:hAnsiTheme="majorBidi" w:cstheme="majorBidi"/>
                <w:sz w:val="18"/>
                <w:szCs w:val="18"/>
                <w:lang w:val="fr-CH"/>
              </w:rPr>
              <w:t xml:space="preserve">Anglais, français, russe (encore que chaque groupe puisse être constitué par langue ou par région pour éviter les besoins de traduction) </w:t>
            </w:r>
          </w:p>
        </w:tc>
      </w:tr>
    </w:tbl>
    <w:p w:rsidR="00BB1AAC" w:rsidRPr="00333F46" w:rsidRDefault="00BB1AAC" w:rsidP="00BB1AAC">
      <w:pPr>
        <w:pStyle w:val="SingleTxt"/>
        <w:rPr>
          <w:lang w:val="fr-CH"/>
        </w:rPr>
      </w:pPr>
    </w:p>
    <w:p w:rsidR="00BB1AAC" w:rsidRPr="00333F46" w:rsidRDefault="00BB1AAC" w:rsidP="00BB1AAC">
      <w:pPr>
        <w:pStyle w:val="SingleTxt"/>
        <w:rPr>
          <w:lang w:val="fr-CH"/>
        </w:rPr>
        <w:sectPr w:rsidR="00BB1AAC" w:rsidRPr="00333F46" w:rsidSect="00BB1AAC">
          <w:headerReference w:type="even" r:id="rId15"/>
          <w:headerReference w:type="default" r:id="rId16"/>
          <w:footerReference w:type="even" r:id="rId17"/>
          <w:footerReference w:type="default" r:id="rId18"/>
          <w:pgSz w:w="16834" w:h="11909" w:orient="landscape"/>
          <w:pgMar w:top="1195" w:right="1742" w:bottom="1195" w:left="1901" w:header="576" w:footer="1037" w:gutter="0"/>
          <w:cols w:space="720"/>
          <w:noEndnote/>
          <w:bidi/>
          <w:rtlGutter/>
          <w:docGrid w:linePitch="360"/>
        </w:sectPr>
      </w:pPr>
    </w:p>
    <w:p w:rsidR="00BB1AAC" w:rsidRPr="00333F46" w:rsidRDefault="00E34150" w:rsidP="00BB1AAC">
      <w:pPr>
        <w:spacing w:line="240" w:lineRule="auto"/>
        <w:rPr>
          <w:lang w:val="fr-CH"/>
        </w:rPr>
      </w:pPr>
      <w:r w:rsidRPr="00333F46">
        <w:rPr>
          <w:noProof/>
          <w:w w:val="100"/>
          <w:lang w:val="en-GB" w:eastAsia="en-GB"/>
        </w:rPr>
        <mc:AlternateContent>
          <mc:Choice Requires="wps">
            <w:drawing>
              <wp:anchor distT="0" distB="0" distL="114300" distR="114300" simplePos="0" relativeHeight="251659264" behindDoc="0" locked="0" layoutInCell="1" allowOverlap="1" wp14:anchorId="57B2B3AB" wp14:editId="7DA38D8B">
                <wp:simplePos x="0" y="0"/>
                <wp:positionH relativeFrom="page">
                  <wp:posOffset>960120</wp:posOffset>
                </wp:positionH>
                <wp:positionV relativeFrom="page">
                  <wp:posOffset>3566160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sectPr w:rsidR="00BB1AAC" w:rsidRPr="00333F46" w:rsidSect="00BB1AAC">
      <w:headerReference w:type="even" r:id="rId19"/>
      <w:headerReference w:type="default" r:id="rId20"/>
      <w:footerReference w:type="even" r:id="rId21"/>
      <w:footerReference w:type="default" r:id="rId22"/>
      <w:type w:val="continuous"/>
      <w:pgSz w:w="16834" w:h="11909" w:orient="landscape"/>
      <w:pgMar w:top="936" w:right="1742" w:bottom="936" w:left="1898"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46" w:rsidRDefault="00333F46" w:rsidP="00F3330B">
      <w:pPr>
        <w:spacing w:line="240" w:lineRule="auto"/>
      </w:pPr>
      <w:r>
        <w:separator/>
      </w:r>
    </w:p>
  </w:endnote>
  <w:endnote w:type="continuationSeparator" w:id="0">
    <w:p w:rsidR="00333F46" w:rsidRDefault="00333F4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33F46" w:rsidTr="005E6617">
      <w:trPr>
        <w:jc w:val="center"/>
      </w:trPr>
      <w:tc>
        <w:tcPr>
          <w:tcW w:w="5088" w:type="dxa"/>
          <w:shd w:val="clear" w:color="auto" w:fill="auto"/>
        </w:tcPr>
        <w:p w:rsidR="00333F46" w:rsidRPr="005E6617" w:rsidRDefault="00333F46" w:rsidP="005E66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c>
        <w:tcPr>
          <w:tcW w:w="5089" w:type="dxa"/>
          <w:shd w:val="clear" w:color="auto" w:fill="auto"/>
        </w:tcPr>
        <w:p w:rsidR="00333F46" w:rsidRPr="005E6617" w:rsidRDefault="00333F46" w:rsidP="005E6617">
          <w:pPr>
            <w:pStyle w:val="Footer"/>
            <w:rPr>
              <w:w w:val="103"/>
            </w:rPr>
          </w:pPr>
          <w:r>
            <w:rPr>
              <w:w w:val="103"/>
            </w:rPr>
            <w:fldChar w:fldCharType="begin"/>
          </w:r>
          <w:r>
            <w:rPr>
              <w:w w:val="103"/>
            </w:rPr>
            <w:instrText xml:space="preserve"> PAGE  \* Arabic  \* MERGEFORMAT </w:instrText>
          </w:r>
          <w:r>
            <w:rPr>
              <w:w w:val="103"/>
            </w:rPr>
            <w:fldChar w:fldCharType="separate"/>
          </w:r>
          <w:r w:rsidR="00DC555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553">
            <w:rPr>
              <w:noProof/>
              <w:w w:val="103"/>
            </w:rPr>
            <w:t>11</w:t>
          </w:r>
          <w:r>
            <w:rPr>
              <w:w w:val="103"/>
            </w:rPr>
            <w:fldChar w:fldCharType="end"/>
          </w:r>
        </w:p>
      </w:tc>
    </w:tr>
  </w:tbl>
  <w:p w:rsidR="00333F46" w:rsidRPr="005E6617" w:rsidRDefault="00333F46" w:rsidP="005E6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33F46" w:rsidTr="005E6617">
      <w:trPr>
        <w:jc w:val="center"/>
      </w:trPr>
      <w:tc>
        <w:tcPr>
          <w:tcW w:w="5088" w:type="dxa"/>
          <w:shd w:val="clear" w:color="auto" w:fill="auto"/>
        </w:tcPr>
        <w:p w:rsidR="00333F46" w:rsidRPr="005E6617" w:rsidRDefault="00333F46" w:rsidP="005E661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C5553">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553">
            <w:rPr>
              <w:noProof/>
              <w:w w:val="103"/>
            </w:rPr>
            <w:t>7</w:t>
          </w:r>
          <w:r>
            <w:rPr>
              <w:w w:val="103"/>
            </w:rPr>
            <w:fldChar w:fldCharType="end"/>
          </w:r>
        </w:p>
      </w:tc>
      <w:tc>
        <w:tcPr>
          <w:tcW w:w="5089" w:type="dxa"/>
          <w:shd w:val="clear" w:color="auto" w:fill="auto"/>
        </w:tcPr>
        <w:p w:rsidR="00333F46" w:rsidRPr="005E6617" w:rsidRDefault="00333F46" w:rsidP="005E66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r>
  </w:tbl>
  <w:p w:rsidR="00333F46" w:rsidRPr="005E6617" w:rsidRDefault="00333F46" w:rsidP="005E6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46" w:rsidRDefault="00333F46">
    <w:pPr>
      <w:pStyle w:val="Footer"/>
    </w:pPr>
    <w:r>
      <w:rPr>
        <w:noProof/>
        <w:lang w:val="en-GB" w:eastAsia="en-GB"/>
      </w:rPr>
      <w:drawing>
        <wp:anchor distT="0" distB="0" distL="114300" distR="114300" simplePos="0" relativeHeight="251658240" behindDoc="0" locked="0" layoutInCell="1" allowOverlap="1" wp14:anchorId="032BFA07" wp14:editId="49237E2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333F46" w:rsidTr="005E6617">
      <w:tc>
        <w:tcPr>
          <w:tcW w:w="3859" w:type="dxa"/>
        </w:tcPr>
        <w:p w:rsidR="00333F46" w:rsidRDefault="00333F46" w:rsidP="000B010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64F2">
            <w:rPr>
              <w:b w:val="0"/>
              <w:sz w:val="20"/>
            </w:rPr>
            <w:t>GE.15-13976 (F)</w:t>
          </w:r>
          <w:r>
            <w:rPr>
              <w:b w:val="0"/>
              <w:sz w:val="20"/>
            </w:rPr>
            <w:fldChar w:fldCharType="end"/>
          </w:r>
          <w:r>
            <w:rPr>
              <w:b w:val="0"/>
              <w:sz w:val="20"/>
            </w:rPr>
            <w:t xml:space="preserve">    231015    2</w:t>
          </w:r>
          <w:r w:rsidR="000B0100">
            <w:rPr>
              <w:b w:val="0"/>
              <w:sz w:val="20"/>
            </w:rPr>
            <w:t>7</w:t>
          </w:r>
          <w:r>
            <w:rPr>
              <w:b w:val="0"/>
              <w:sz w:val="20"/>
            </w:rPr>
            <w:t>1015</w:t>
          </w:r>
        </w:p>
        <w:p w:rsidR="00333F46" w:rsidRPr="005E6617" w:rsidRDefault="00333F46" w:rsidP="005E661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864F2">
            <w:rPr>
              <w:rFonts w:ascii="Barcode 3 of 9 by request" w:hAnsi="Barcode 3 of 9 by request"/>
              <w:b w:val="0"/>
              <w:spacing w:val="0"/>
              <w:w w:val="100"/>
              <w:sz w:val="24"/>
            </w:rPr>
            <w:t>*1513976*</w:t>
          </w:r>
          <w:r>
            <w:rPr>
              <w:rFonts w:ascii="Barcode 3 of 9 by request" w:hAnsi="Barcode 3 of 9 by request"/>
              <w:b w:val="0"/>
              <w:spacing w:val="0"/>
              <w:w w:val="100"/>
              <w:sz w:val="24"/>
            </w:rPr>
            <w:fldChar w:fldCharType="end"/>
          </w:r>
        </w:p>
      </w:tc>
      <w:tc>
        <w:tcPr>
          <w:tcW w:w="5089" w:type="dxa"/>
        </w:tcPr>
        <w:p w:rsidR="00333F46" w:rsidRDefault="00333F46" w:rsidP="005E6617">
          <w:pPr>
            <w:pStyle w:val="Footer"/>
            <w:spacing w:line="240" w:lineRule="atLeast"/>
            <w:jc w:val="right"/>
            <w:rPr>
              <w:b w:val="0"/>
              <w:sz w:val="20"/>
            </w:rPr>
          </w:pPr>
          <w:r>
            <w:rPr>
              <w:b w:val="0"/>
              <w:noProof/>
              <w:sz w:val="20"/>
              <w:lang w:val="en-GB" w:eastAsia="en-GB"/>
            </w:rPr>
            <w:drawing>
              <wp:inline distT="0" distB="0" distL="0" distR="0" wp14:anchorId="71ABDDC2" wp14:editId="69675D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33F46" w:rsidRPr="005E6617" w:rsidRDefault="00333F46" w:rsidP="005E6617">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33F46" w:rsidRPr="00BB1AAC" w:rsidTr="00BB1AAC">
      <w:trPr>
        <w:cantSplit/>
        <w:trHeight w:val="4781"/>
      </w:trPr>
      <w:tc>
        <w:tcPr>
          <w:tcW w:w="13331" w:type="dxa"/>
          <w:shd w:val="clear" w:color="auto" w:fill="auto"/>
          <w:textDirection w:val="tbRl"/>
        </w:tcPr>
        <w:p w:rsidR="00333F46" w:rsidRPr="00BB1AAC" w:rsidRDefault="00333F46" w:rsidP="00BB1AAC">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DC5553">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553">
            <w:rPr>
              <w:noProof/>
              <w:w w:val="103"/>
            </w:rPr>
            <w:t>10</w:t>
          </w:r>
          <w:r>
            <w:rPr>
              <w:w w:val="103"/>
            </w:rPr>
            <w:fldChar w:fldCharType="end"/>
          </w:r>
        </w:p>
      </w:tc>
    </w:tr>
    <w:tr w:rsidR="00333F46" w:rsidRPr="00BB1AAC" w:rsidTr="00BB1AAC">
      <w:trPr>
        <w:cantSplit/>
        <w:trHeight w:val="4781"/>
      </w:trPr>
      <w:tc>
        <w:tcPr>
          <w:tcW w:w="13331" w:type="dxa"/>
          <w:shd w:val="clear" w:color="auto" w:fill="auto"/>
          <w:textDirection w:val="tbRl"/>
        </w:tcPr>
        <w:p w:rsidR="00333F46" w:rsidRPr="00BB1AAC" w:rsidRDefault="00333F46" w:rsidP="00BB1AAC">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r>
  </w:tbl>
  <w:p w:rsidR="00333F46" w:rsidRPr="00BB1AAC" w:rsidRDefault="00333F46" w:rsidP="00BB1A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333F46" w:rsidRPr="00BB1AAC" w:rsidTr="00BB1AAC">
      <w:trPr>
        <w:cantSplit/>
        <w:trHeight w:val="4781"/>
      </w:trPr>
      <w:tc>
        <w:tcPr>
          <w:tcW w:w="13331" w:type="dxa"/>
          <w:shd w:val="clear" w:color="auto" w:fill="auto"/>
          <w:textDirection w:val="tbRl"/>
        </w:tcPr>
        <w:p w:rsidR="00333F46" w:rsidRPr="00BB1AAC" w:rsidRDefault="00333F46" w:rsidP="00BB1AAC">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r>
    <w:tr w:rsidR="00333F46" w:rsidRPr="00BB1AAC" w:rsidTr="00BB1AAC">
      <w:trPr>
        <w:cantSplit/>
        <w:trHeight w:val="4781"/>
      </w:trPr>
      <w:tc>
        <w:tcPr>
          <w:tcW w:w="13331" w:type="dxa"/>
          <w:shd w:val="clear" w:color="auto" w:fill="auto"/>
          <w:textDirection w:val="tbRl"/>
        </w:tcPr>
        <w:p w:rsidR="00333F46" w:rsidRPr="00BB1AAC" w:rsidRDefault="00333F46" w:rsidP="00BB1AAC">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DC5553">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C5553">
            <w:rPr>
              <w:noProof/>
              <w:w w:val="103"/>
            </w:rPr>
            <w:t>11</w:t>
          </w:r>
          <w:r>
            <w:rPr>
              <w:w w:val="103"/>
            </w:rPr>
            <w:fldChar w:fldCharType="end"/>
          </w:r>
        </w:p>
      </w:tc>
    </w:tr>
  </w:tbl>
  <w:p w:rsidR="00333F46" w:rsidRPr="00BB1AAC" w:rsidRDefault="00333F46" w:rsidP="00BB1A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33F46" w:rsidTr="005E6617">
      <w:trPr>
        <w:jc w:val="center"/>
      </w:trPr>
      <w:tc>
        <w:tcPr>
          <w:tcW w:w="5088" w:type="dxa"/>
          <w:shd w:val="clear" w:color="auto" w:fill="auto"/>
        </w:tcPr>
        <w:p w:rsidR="00333F46" w:rsidRPr="005E6617" w:rsidRDefault="00333F46" w:rsidP="005E66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c>
        <w:tcPr>
          <w:tcW w:w="5089" w:type="dxa"/>
          <w:shd w:val="clear" w:color="auto" w:fill="auto"/>
        </w:tcPr>
        <w:p w:rsidR="00333F46" w:rsidRPr="005E6617" w:rsidRDefault="00333F46" w:rsidP="005E6617">
          <w:pPr>
            <w:pStyle w:val="Footer"/>
            <w:rPr>
              <w:w w:val="103"/>
            </w:rPr>
          </w:pPr>
          <w:r>
            <w:rPr>
              <w:w w:val="103"/>
            </w:rPr>
            <w:fldChar w:fldCharType="begin"/>
          </w:r>
          <w:r>
            <w:rPr>
              <w:w w:val="103"/>
            </w:rPr>
            <w:instrText xml:space="preserve"> PAGE  \* Arabic  \* MERGEFORMAT </w:instrText>
          </w:r>
          <w:r>
            <w:rPr>
              <w:w w:val="103"/>
            </w:rPr>
            <w:fldChar w:fldCharType="separate"/>
          </w:r>
          <w:r w:rsidR="002864F2">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64F2">
            <w:rPr>
              <w:noProof/>
              <w:w w:val="103"/>
            </w:rPr>
            <w:t>11</w:t>
          </w:r>
          <w:r>
            <w:rPr>
              <w:w w:val="103"/>
            </w:rPr>
            <w:fldChar w:fldCharType="end"/>
          </w:r>
        </w:p>
      </w:tc>
    </w:tr>
  </w:tbl>
  <w:p w:rsidR="00333F46" w:rsidRPr="005E6617" w:rsidRDefault="00333F46" w:rsidP="005E66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333F46" w:rsidTr="005E6617">
      <w:trPr>
        <w:jc w:val="center"/>
      </w:trPr>
      <w:tc>
        <w:tcPr>
          <w:tcW w:w="5088" w:type="dxa"/>
          <w:shd w:val="clear" w:color="auto" w:fill="auto"/>
        </w:tcPr>
        <w:p w:rsidR="00333F46" w:rsidRPr="005E6617" w:rsidRDefault="00333F46" w:rsidP="005E661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864F2">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864F2">
            <w:rPr>
              <w:noProof/>
              <w:w w:val="103"/>
            </w:rPr>
            <w:t>11</w:t>
          </w:r>
          <w:r>
            <w:rPr>
              <w:w w:val="103"/>
            </w:rPr>
            <w:fldChar w:fldCharType="end"/>
          </w:r>
        </w:p>
      </w:tc>
      <w:tc>
        <w:tcPr>
          <w:tcW w:w="5089" w:type="dxa"/>
          <w:shd w:val="clear" w:color="auto" w:fill="auto"/>
        </w:tcPr>
        <w:p w:rsidR="00333F46" w:rsidRPr="005E6617" w:rsidRDefault="00333F46" w:rsidP="005E661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64F2">
            <w:rPr>
              <w:b w:val="0"/>
              <w:w w:val="103"/>
              <w:sz w:val="14"/>
            </w:rPr>
            <w:t>GE.15-13976</w:t>
          </w:r>
          <w:r>
            <w:rPr>
              <w:b w:val="0"/>
              <w:w w:val="103"/>
              <w:sz w:val="14"/>
            </w:rPr>
            <w:fldChar w:fldCharType="end"/>
          </w:r>
        </w:p>
      </w:tc>
    </w:tr>
  </w:tbl>
  <w:p w:rsidR="00333F46" w:rsidRPr="005E6617" w:rsidRDefault="00333F46" w:rsidP="005E6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46" w:rsidRPr="00333F46" w:rsidRDefault="00333F46" w:rsidP="00333F46">
      <w:pPr>
        <w:pStyle w:val="Footer"/>
        <w:spacing w:after="80"/>
        <w:ind w:left="792"/>
        <w:rPr>
          <w:sz w:val="16"/>
        </w:rPr>
      </w:pPr>
      <w:r w:rsidRPr="00333F46">
        <w:rPr>
          <w:sz w:val="16"/>
        </w:rPr>
        <w:t>__________________</w:t>
      </w:r>
    </w:p>
  </w:footnote>
  <w:footnote w:type="continuationSeparator" w:id="0">
    <w:p w:rsidR="00333F46" w:rsidRPr="00333F46" w:rsidRDefault="00333F46" w:rsidP="00333F46">
      <w:pPr>
        <w:pStyle w:val="Footer"/>
        <w:spacing w:after="80"/>
        <w:ind w:left="792"/>
        <w:rPr>
          <w:sz w:val="16"/>
        </w:rPr>
      </w:pPr>
      <w:r w:rsidRPr="00333F46">
        <w:rPr>
          <w:sz w:val="16"/>
        </w:rPr>
        <w:t>__________________</w:t>
      </w:r>
    </w:p>
  </w:footnote>
  <w:footnote w:id="1">
    <w:p w:rsidR="00333F46" w:rsidRDefault="00333F46" w:rsidP="00333F4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Pour plus de détails, voir ECE/CEP/2013/21, annexes II et III, disponible à l’adresse www.unece.org/index.php?id=32257.</w:t>
      </w:r>
    </w:p>
  </w:footnote>
  <w:footnote w:id="2">
    <w:p w:rsidR="00333F46" w:rsidRDefault="00333F46" w:rsidP="00333F46">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Pour plus de détails</w:t>
      </w:r>
      <w:r w:rsidR="008A160E">
        <w:t>, voir ECE/CEP/2013/21, annexes </w:t>
      </w:r>
      <w:r>
        <w:t>II et III, disponible à l’adresse www.unece.org/index.php?id=32257.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33F46" w:rsidTr="005E6617">
      <w:trPr>
        <w:trHeight w:hRule="exact" w:val="864"/>
        <w:jc w:val="center"/>
      </w:trPr>
      <w:tc>
        <w:tcPr>
          <w:tcW w:w="4882" w:type="dxa"/>
          <w:shd w:val="clear" w:color="auto" w:fill="auto"/>
          <w:vAlign w:val="bottom"/>
        </w:tcPr>
        <w:p w:rsidR="00333F46" w:rsidRPr="005E6617" w:rsidRDefault="00333F46" w:rsidP="005E661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64F2">
            <w:rPr>
              <w:b/>
              <w:color w:val="000000"/>
            </w:rPr>
            <w:t>ECE/CEP/2015/14</w:t>
          </w:r>
          <w:r>
            <w:rPr>
              <w:b/>
              <w:color w:val="000000"/>
            </w:rPr>
            <w:fldChar w:fldCharType="end"/>
          </w:r>
        </w:p>
      </w:tc>
      <w:tc>
        <w:tcPr>
          <w:tcW w:w="5089" w:type="dxa"/>
          <w:shd w:val="clear" w:color="auto" w:fill="auto"/>
          <w:vAlign w:val="bottom"/>
        </w:tcPr>
        <w:p w:rsidR="00333F46" w:rsidRDefault="00333F46" w:rsidP="005E6617">
          <w:pPr>
            <w:pStyle w:val="Header"/>
          </w:pPr>
        </w:p>
      </w:tc>
    </w:tr>
  </w:tbl>
  <w:p w:rsidR="00333F46" w:rsidRPr="005E6617" w:rsidRDefault="00333F46" w:rsidP="005E661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33F46" w:rsidTr="005E6617">
      <w:trPr>
        <w:trHeight w:hRule="exact" w:val="864"/>
        <w:jc w:val="center"/>
      </w:trPr>
      <w:tc>
        <w:tcPr>
          <w:tcW w:w="4882" w:type="dxa"/>
          <w:shd w:val="clear" w:color="auto" w:fill="auto"/>
          <w:vAlign w:val="bottom"/>
        </w:tcPr>
        <w:p w:rsidR="00333F46" w:rsidRDefault="00333F46" w:rsidP="005E6617">
          <w:pPr>
            <w:pStyle w:val="Header"/>
          </w:pPr>
        </w:p>
      </w:tc>
      <w:tc>
        <w:tcPr>
          <w:tcW w:w="5089" w:type="dxa"/>
          <w:shd w:val="clear" w:color="auto" w:fill="auto"/>
          <w:vAlign w:val="bottom"/>
        </w:tcPr>
        <w:p w:rsidR="00333F46" w:rsidRPr="005E6617" w:rsidRDefault="00333F46" w:rsidP="005E661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64F2">
            <w:rPr>
              <w:b/>
              <w:color w:val="000000"/>
            </w:rPr>
            <w:t>ECE/CEP/2015/14</w:t>
          </w:r>
          <w:r>
            <w:rPr>
              <w:b/>
              <w:color w:val="000000"/>
            </w:rPr>
            <w:fldChar w:fldCharType="end"/>
          </w:r>
        </w:p>
      </w:tc>
    </w:tr>
  </w:tbl>
  <w:p w:rsidR="00333F46" w:rsidRPr="005E6617" w:rsidRDefault="00333F46" w:rsidP="005E661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33F46" w:rsidRPr="00333F46" w:rsidTr="005E6617">
      <w:trPr>
        <w:trHeight w:hRule="exact" w:val="864"/>
      </w:trPr>
      <w:tc>
        <w:tcPr>
          <w:tcW w:w="1267" w:type="dxa"/>
          <w:tcBorders>
            <w:bottom w:val="single" w:sz="4" w:space="0" w:color="auto"/>
          </w:tcBorders>
          <w:shd w:val="clear" w:color="auto" w:fill="auto"/>
          <w:vAlign w:val="bottom"/>
        </w:tcPr>
        <w:p w:rsidR="00333F46" w:rsidRPr="00333F46" w:rsidRDefault="00333F46" w:rsidP="005E6617">
          <w:pPr>
            <w:pStyle w:val="Header"/>
            <w:spacing w:after="120"/>
            <w:rPr>
              <w:lang w:val="fr-CH"/>
            </w:rPr>
          </w:pPr>
        </w:p>
      </w:tc>
      <w:tc>
        <w:tcPr>
          <w:tcW w:w="2059" w:type="dxa"/>
          <w:tcBorders>
            <w:bottom w:val="single" w:sz="4" w:space="0" w:color="auto"/>
          </w:tcBorders>
          <w:shd w:val="clear" w:color="auto" w:fill="auto"/>
          <w:vAlign w:val="bottom"/>
        </w:tcPr>
        <w:p w:rsidR="00333F46" w:rsidRPr="00333F46" w:rsidRDefault="00333F46" w:rsidP="005E6617">
          <w:pPr>
            <w:pStyle w:val="HCH"/>
            <w:spacing w:after="80"/>
            <w:rPr>
              <w:b w:val="0"/>
              <w:color w:val="010000"/>
              <w:spacing w:val="2"/>
              <w:w w:val="96"/>
              <w:lang w:val="fr-CH"/>
            </w:rPr>
          </w:pPr>
          <w:r w:rsidRPr="00333F46">
            <w:rPr>
              <w:b w:val="0"/>
              <w:color w:val="010000"/>
              <w:spacing w:val="2"/>
              <w:w w:val="96"/>
              <w:lang w:val="fr-CH"/>
            </w:rPr>
            <w:t>Nations Unies</w:t>
          </w:r>
        </w:p>
      </w:tc>
      <w:tc>
        <w:tcPr>
          <w:tcW w:w="58" w:type="dxa"/>
          <w:tcBorders>
            <w:bottom w:val="single" w:sz="4" w:space="0" w:color="auto"/>
          </w:tcBorders>
          <w:shd w:val="clear" w:color="auto" w:fill="auto"/>
          <w:vAlign w:val="bottom"/>
        </w:tcPr>
        <w:p w:rsidR="00333F46" w:rsidRPr="00333F46" w:rsidRDefault="00333F46" w:rsidP="005E6617">
          <w:pPr>
            <w:pStyle w:val="Header"/>
            <w:spacing w:after="120"/>
            <w:rPr>
              <w:lang w:val="fr-CH"/>
            </w:rPr>
          </w:pPr>
        </w:p>
      </w:tc>
      <w:tc>
        <w:tcPr>
          <w:tcW w:w="6653" w:type="dxa"/>
          <w:gridSpan w:val="4"/>
          <w:tcBorders>
            <w:bottom w:val="single" w:sz="4" w:space="0" w:color="auto"/>
          </w:tcBorders>
          <w:shd w:val="clear" w:color="auto" w:fill="auto"/>
          <w:vAlign w:val="bottom"/>
        </w:tcPr>
        <w:p w:rsidR="00333F46" w:rsidRPr="00333F46" w:rsidRDefault="00333F46" w:rsidP="005E6617">
          <w:pPr>
            <w:spacing w:after="80" w:line="240" w:lineRule="auto"/>
            <w:jc w:val="right"/>
            <w:rPr>
              <w:position w:val="-4"/>
              <w:lang w:val="fr-CH"/>
            </w:rPr>
          </w:pPr>
          <w:r w:rsidRPr="00333F46">
            <w:rPr>
              <w:position w:val="-4"/>
              <w:sz w:val="40"/>
              <w:lang w:val="fr-CH"/>
            </w:rPr>
            <w:t>ECE</w:t>
          </w:r>
          <w:r w:rsidRPr="00333F46">
            <w:rPr>
              <w:position w:val="-4"/>
              <w:lang w:val="fr-CH"/>
            </w:rPr>
            <w:t>/CEP/2015/14</w:t>
          </w:r>
        </w:p>
      </w:tc>
    </w:tr>
    <w:tr w:rsidR="00333F46" w:rsidRPr="00333F46" w:rsidTr="005E6617">
      <w:trPr>
        <w:gridAfter w:val="1"/>
        <w:wAfter w:w="18" w:type="dxa"/>
        <w:trHeight w:hRule="exact" w:val="2880"/>
      </w:trPr>
      <w:tc>
        <w:tcPr>
          <w:tcW w:w="1267" w:type="dxa"/>
          <w:tcBorders>
            <w:top w:val="single" w:sz="4" w:space="0" w:color="auto"/>
            <w:bottom w:val="single" w:sz="12" w:space="0" w:color="auto"/>
          </w:tcBorders>
          <w:shd w:val="clear" w:color="auto" w:fill="auto"/>
        </w:tcPr>
        <w:p w:rsidR="00333F46" w:rsidRPr="00333F46" w:rsidRDefault="00333F46" w:rsidP="005E6617">
          <w:pPr>
            <w:pStyle w:val="Header"/>
            <w:spacing w:before="120" w:line="240" w:lineRule="auto"/>
            <w:ind w:left="-72"/>
            <w:jc w:val="center"/>
            <w:rPr>
              <w:lang w:val="fr-CH"/>
            </w:rPr>
          </w:pPr>
          <w:r w:rsidRPr="00333F46">
            <w:rPr>
              <w:lang w:val="fr-CH"/>
            </w:rPr>
            <w:t xml:space="preserve">  </w:t>
          </w:r>
          <w:r w:rsidRPr="00333F46">
            <w:rPr>
              <w:noProof/>
              <w:lang w:val="en-GB" w:eastAsia="en-GB"/>
            </w:rPr>
            <w:drawing>
              <wp:inline distT="0" distB="0" distL="0" distR="0" wp14:anchorId="2C06D628" wp14:editId="1D528E5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33F46" w:rsidRPr="00333F46" w:rsidRDefault="00333F46" w:rsidP="005E6617">
          <w:pPr>
            <w:pStyle w:val="XLarge"/>
            <w:spacing w:before="109"/>
            <w:rPr>
              <w:lang w:val="fr-CH"/>
            </w:rPr>
          </w:pPr>
          <w:r w:rsidRPr="00333F46">
            <w:rPr>
              <w:lang w:val="fr-CH"/>
            </w:rPr>
            <w:t>Conseil économique et social</w:t>
          </w:r>
        </w:p>
      </w:tc>
      <w:tc>
        <w:tcPr>
          <w:tcW w:w="245" w:type="dxa"/>
          <w:tcBorders>
            <w:top w:val="single" w:sz="4" w:space="0" w:color="auto"/>
            <w:bottom w:val="single" w:sz="12" w:space="0" w:color="auto"/>
          </w:tcBorders>
          <w:shd w:val="clear" w:color="auto" w:fill="auto"/>
        </w:tcPr>
        <w:p w:rsidR="00333F46" w:rsidRPr="00333F46" w:rsidRDefault="00333F46" w:rsidP="005E6617">
          <w:pPr>
            <w:pStyle w:val="Header"/>
            <w:spacing w:before="109"/>
            <w:rPr>
              <w:lang w:val="fr-CH"/>
            </w:rPr>
          </w:pPr>
        </w:p>
      </w:tc>
      <w:tc>
        <w:tcPr>
          <w:tcW w:w="3280" w:type="dxa"/>
          <w:tcBorders>
            <w:top w:val="single" w:sz="4" w:space="0" w:color="auto"/>
            <w:bottom w:val="single" w:sz="12" w:space="0" w:color="auto"/>
          </w:tcBorders>
          <w:shd w:val="clear" w:color="auto" w:fill="auto"/>
        </w:tcPr>
        <w:p w:rsidR="00333F46" w:rsidRPr="00333F46" w:rsidRDefault="00333F46" w:rsidP="005E6617">
          <w:pPr>
            <w:pStyle w:val="Distribution"/>
            <w:rPr>
              <w:color w:val="000000"/>
              <w:lang w:val="fr-CH"/>
            </w:rPr>
          </w:pPr>
          <w:r w:rsidRPr="00333F46">
            <w:rPr>
              <w:color w:val="000000"/>
              <w:lang w:val="fr-CH"/>
            </w:rPr>
            <w:t>Distr. générale</w:t>
          </w:r>
        </w:p>
        <w:p w:rsidR="00333F46" w:rsidRPr="00333F46" w:rsidRDefault="00333F46" w:rsidP="005E6617">
          <w:pPr>
            <w:pStyle w:val="Publication"/>
            <w:rPr>
              <w:color w:val="000000"/>
              <w:lang w:val="fr-CH"/>
            </w:rPr>
          </w:pPr>
          <w:r w:rsidRPr="00333F46">
            <w:rPr>
              <w:color w:val="000000"/>
              <w:lang w:val="fr-CH"/>
            </w:rPr>
            <w:t>18 août 2015</w:t>
          </w:r>
        </w:p>
        <w:p w:rsidR="00333F46" w:rsidRPr="00333F46" w:rsidRDefault="00333F46" w:rsidP="005E6617">
          <w:pPr>
            <w:rPr>
              <w:lang w:val="fr-CH"/>
            </w:rPr>
          </w:pPr>
          <w:r w:rsidRPr="00333F46">
            <w:rPr>
              <w:lang w:val="fr-CH"/>
            </w:rPr>
            <w:t>Français</w:t>
          </w:r>
        </w:p>
        <w:p w:rsidR="00333F46" w:rsidRPr="00333F46" w:rsidRDefault="0019333C" w:rsidP="005E6617">
          <w:pPr>
            <w:pStyle w:val="Original"/>
            <w:rPr>
              <w:color w:val="000000"/>
              <w:lang w:val="fr-CH"/>
            </w:rPr>
          </w:pPr>
          <w:r>
            <w:rPr>
              <w:color w:val="000000"/>
              <w:lang w:val="fr-CH"/>
            </w:rPr>
            <w:t>Original </w:t>
          </w:r>
          <w:r w:rsidR="00333F46" w:rsidRPr="00333F46">
            <w:rPr>
              <w:color w:val="000000"/>
              <w:lang w:val="fr-CH"/>
            </w:rPr>
            <w:t>: anglais</w:t>
          </w:r>
        </w:p>
      </w:tc>
    </w:tr>
  </w:tbl>
  <w:p w:rsidR="00333F46" w:rsidRPr="00333F46" w:rsidRDefault="00333F46" w:rsidP="005E6617">
    <w:pPr>
      <w:pStyle w:val="Header"/>
      <w:spacing w:line="240" w:lineRule="auto"/>
      <w:rPr>
        <w:sz w:val="2"/>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33F46" w:rsidRPr="00BB1AAC" w:rsidTr="00BB1AAC">
      <w:trPr>
        <w:cantSplit/>
        <w:trHeight w:val="4781"/>
      </w:trPr>
      <w:tc>
        <w:tcPr>
          <w:tcW w:w="13331" w:type="dxa"/>
          <w:shd w:val="clear" w:color="auto" w:fill="auto"/>
          <w:textDirection w:val="tbRl"/>
          <w:vAlign w:val="bottom"/>
        </w:tcPr>
        <w:p w:rsidR="00333F46" w:rsidRPr="00BB1AAC" w:rsidRDefault="00333F46" w:rsidP="00BB1AAC">
          <w:pPr>
            <w:pStyle w:val="Header"/>
            <w:spacing w:line="240" w:lineRule="auto"/>
            <w:ind w:left="14" w:right="14"/>
            <w:rPr>
              <w:b/>
              <w:w w:val="103"/>
            </w:rPr>
          </w:pPr>
          <w:r w:rsidRPr="00BB1AAC">
            <w:rPr>
              <w:b/>
              <w:w w:val="103"/>
            </w:rPr>
            <w:fldChar w:fldCharType="begin"/>
          </w:r>
          <w:r w:rsidRPr="00BB1AAC">
            <w:rPr>
              <w:b/>
              <w:w w:val="103"/>
            </w:rPr>
            <w:instrText xml:space="preserve"> DOCVARIABLE "sss1" \* MERGEFORMAT </w:instrText>
          </w:r>
          <w:r w:rsidRPr="00BB1AAC">
            <w:rPr>
              <w:b/>
              <w:w w:val="103"/>
            </w:rPr>
            <w:fldChar w:fldCharType="separate"/>
          </w:r>
          <w:r w:rsidR="002864F2">
            <w:rPr>
              <w:b/>
              <w:w w:val="103"/>
            </w:rPr>
            <w:t>ECE/CEP/2015/14</w:t>
          </w:r>
          <w:r w:rsidRPr="00BB1AAC">
            <w:rPr>
              <w:b/>
              <w:w w:val="103"/>
            </w:rPr>
            <w:fldChar w:fldCharType="end"/>
          </w:r>
        </w:p>
      </w:tc>
    </w:tr>
    <w:tr w:rsidR="00333F46" w:rsidRPr="00BB1AAC" w:rsidTr="00BB1AAC">
      <w:trPr>
        <w:cantSplit/>
        <w:trHeight w:val="4781"/>
      </w:trPr>
      <w:tc>
        <w:tcPr>
          <w:tcW w:w="13331" w:type="dxa"/>
          <w:shd w:val="clear" w:color="auto" w:fill="auto"/>
          <w:textDirection w:val="tbRl"/>
          <w:vAlign w:val="bottom"/>
        </w:tcPr>
        <w:p w:rsidR="00333F46" w:rsidRPr="00BB1AAC" w:rsidRDefault="00333F46" w:rsidP="00BB1AAC">
          <w:pPr>
            <w:pStyle w:val="Header"/>
            <w:spacing w:line="240" w:lineRule="auto"/>
            <w:ind w:left="14" w:right="14"/>
            <w:rPr>
              <w:w w:val="103"/>
            </w:rPr>
          </w:pPr>
        </w:p>
      </w:tc>
    </w:tr>
  </w:tbl>
  <w:p w:rsidR="00333F46" w:rsidRPr="00BB1AAC" w:rsidRDefault="00333F46" w:rsidP="00BB1A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333F46" w:rsidRPr="00BB1AAC" w:rsidTr="00BB1AAC">
      <w:trPr>
        <w:trHeight w:val="4781"/>
      </w:trPr>
      <w:tc>
        <w:tcPr>
          <w:tcW w:w="13331" w:type="dxa"/>
          <w:shd w:val="clear" w:color="auto" w:fill="auto"/>
          <w:vAlign w:val="bottom"/>
        </w:tcPr>
        <w:p w:rsidR="00333F46" w:rsidRPr="00BB1AAC" w:rsidRDefault="00333F46" w:rsidP="00BB1AAC">
          <w:pPr>
            <w:pStyle w:val="Header"/>
            <w:spacing w:line="240" w:lineRule="auto"/>
            <w:ind w:left="14" w:right="14"/>
            <w:jc w:val="right"/>
            <w:rPr>
              <w:bCs/>
              <w:w w:val="103"/>
              <w:szCs w:val="26"/>
            </w:rPr>
          </w:pPr>
        </w:p>
      </w:tc>
    </w:tr>
    <w:tr w:rsidR="00333F46" w:rsidRPr="00BB1AAC" w:rsidTr="00BB1AAC">
      <w:trPr>
        <w:cantSplit/>
        <w:trHeight w:val="4781"/>
      </w:trPr>
      <w:tc>
        <w:tcPr>
          <w:tcW w:w="13331" w:type="dxa"/>
          <w:shd w:val="clear" w:color="auto" w:fill="auto"/>
          <w:textDirection w:val="tbRl"/>
          <w:vAlign w:val="bottom"/>
        </w:tcPr>
        <w:p w:rsidR="00333F46" w:rsidRPr="00BB1AAC" w:rsidRDefault="00333F46" w:rsidP="00BB1AAC">
          <w:pPr>
            <w:pStyle w:val="Header"/>
            <w:spacing w:line="240" w:lineRule="auto"/>
            <w:ind w:left="14" w:right="14"/>
            <w:jc w:val="right"/>
            <w:rPr>
              <w:b/>
              <w:bCs/>
              <w:w w:val="103"/>
              <w:szCs w:val="26"/>
            </w:rPr>
          </w:pPr>
          <w:r w:rsidRPr="00BB1AAC">
            <w:rPr>
              <w:b/>
              <w:bCs/>
              <w:w w:val="103"/>
              <w:szCs w:val="26"/>
            </w:rPr>
            <w:fldChar w:fldCharType="begin"/>
          </w:r>
          <w:r w:rsidRPr="00BB1AAC">
            <w:rPr>
              <w:b/>
              <w:bCs/>
              <w:w w:val="103"/>
              <w:szCs w:val="26"/>
            </w:rPr>
            <w:instrText xml:space="preserve"> DOCVARIABLE "sss1" \* MERGEFORMAT </w:instrText>
          </w:r>
          <w:r w:rsidRPr="00BB1AAC">
            <w:rPr>
              <w:b/>
              <w:bCs/>
              <w:w w:val="103"/>
              <w:szCs w:val="26"/>
            </w:rPr>
            <w:fldChar w:fldCharType="separate"/>
          </w:r>
          <w:r w:rsidR="002864F2">
            <w:rPr>
              <w:b/>
              <w:bCs/>
              <w:w w:val="103"/>
              <w:szCs w:val="26"/>
            </w:rPr>
            <w:t>ECE/CEP/2015/14</w:t>
          </w:r>
          <w:r w:rsidRPr="00BB1AAC">
            <w:rPr>
              <w:b/>
              <w:bCs/>
              <w:w w:val="103"/>
              <w:szCs w:val="26"/>
            </w:rPr>
            <w:fldChar w:fldCharType="end"/>
          </w:r>
        </w:p>
      </w:tc>
    </w:tr>
  </w:tbl>
  <w:p w:rsidR="00333F46" w:rsidRPr="00BB1AAC" w:rsidRDefault="00333F46" w:rsidP="00BB1A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33F46" w:rsidTr="005E6617">
      <w:trPr>
        <w:trHeight w:hRule="exact" w:val="864"/>
        <w:jc w:val="center"/>
      </w:trPr>
      <w:tc>
        <w:tcPr>
          <w:tcW w:w="4882" w:type="dxa"/>
          <w:shd w:val="clear" w:color="auto" w:fill="auto"/>
          <w:vAlign w:val="bottom"/>
        </w:tcPr>
        <w:p w:rsidR="00333F46" w:rsidRPr="005E6617" w:rsidRDefault="00333F46" w:rsidP="005E661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64F2">
            <w:rPr>
              <w:b/>
              <w:color w:val="000000"/>
            </w:rPr>
            <w:t>ECE/CEP/2015/14</w:t>
          </w:r>
          <w:r>
            <w:rPr>
              <w:b/>
              <w:color w:val="000000"/>
            </w:rPr>
            <w:fldChar w:fldCharType="end"/>
          </w:r>
        </w:p>
      </w:tc>
      <w:tc>
        <w:tcPr>
          <w:tcW w:w="5089" w:type="dxa"/>
          <w:shd w:val="clear" w:color="auto" w:fill="auto"/>
          <w:vAlign w:val="bottom"/>
        </w:tcPr>
        <w:p w:rsidR="00333F46" w:rsidRDefault="00333F46" w:rsidP="005E6617">
          <w:pPr>
            <w:pStyle w:val="Header"/>
          </w:pPr>
        </w:p>
      </w:tc>
    </w:tr>
  </w:tbl>
  <w:p w:rsidR="00333F46" w:rsidRPr="005E6617" w:rsidRDefault="00333F46" w:rsidP="005E6617">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333F46" w:rsidTr="005E6617">
      <w:trPr>
        <w:trHeight w:hRule="exact" w:val="864"/>
        <w:jc w:val="center"/>
      </w:trPr>
      <w:tc>
        <w:tcPr>
          <w:tcW w:w="4882" w:type="dxa"/>
          <w:shd w:val="clear" w:color="auto" w:fill="auto"/>
          <w:vAlign w:val="bottom"/>
        </w:tcPr>
        <w:p w:rsidR="00333F46" w:rsidRDefault="00333F46" w:rsidP="005E6617">
          <w:pPr>
            <w:pStyle w:val="Header"/>
          </w:pPr>
        </w:p>
      </w:tc>
      <w:tc>
        <w:tcPr>
          <w:tcW w:w="5089" w:type="dxa"/>
          <w:shd w:val="clear" w:color="auto" w:fill="auto"/>
          <w:vAlign w:val="bottom"/>
        </w:tcPr>
        <w:p w:rsidR="00333F46" w:rsidRPr="005E6617" w:rsidRDefault="00333F46" w:rsidP="005E661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64F2">
            <w:rPr>
              <w:b/>
              <w:color w:val="000000"/>
            </w:rPr>
            <w:t>ECE/CEP/2015/14</w:t>
          </w:r>
          <w:r>
            <w:rPr>
              <w:b/>
              <w:color w:val="000000"/>
            </w:rPr>
            <w:fldChar w:fldCharType="end"/>
          </w:r>
        </w:p>
      </w:tc>
    </w:tr>
  </w:tbl>
  <w:p w:rsidR="00333F46" w:rsidRPr="005E6617" w:rsidRDefault="00333F46" w:rsidP="005E66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A24FB"/>
    <w:multiLevelType w:val="singleLevel"/>
    <w:tmpl w:val="9FBA0E46"/>
    <w:lvl w:ilvl="0">
      <w:start w:val="1"/>
      <w:numFmt w:val="decimal"/>
      <w:lvlRestart w:val="0"/>
      <w:lvlText w:val="%1."/>
      <w:lvlJc w:val="left"/>
      <w:pPr>
        <w:tabs>
          <w:tab w:val="num" w:pos="475"/>
        </w:tabs>
        <w:ind w:left="0" w:firstLine="0"/>
      </w:pPr>
      <w:rPr>
        <w:b w:val="0"/>
        <w:bCs/>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hyphenationZone w:val="425"/>
  <w:doNotHyphenateCaps/>
  <w:evenAndOddHeaders/>
  <w:characterSpacingControl w:val="doNotCompress"/>
  <w:hdrShapeDefaults>
    <o:shapedefaults v:ext="edit" spidmax="22529"/>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76*"/>
    <w:docVar w:name="CreationDt" w:val="10/26/2015 4:04: PM"/>
    <w:docVar w:name="DocCategory" w:val="Doc"/>
    <w:docVar w:name="DocType" w:val="Final"/>
    <w:docVar w:name="DutyStation" w:val="Geneva"/>
    <w:docVar w:name="FooterJN" w:val="GE.15-13976"/>
    <w:docVar w:name="jobn" w:val="GE.15-13976 (F)"/>
    <w:docVar w:name="jobnDT" w:val="GE.15-13976 (F)   261015"/>
    <w:docVar w:name="jobnDTDT" w:val="GE.15-13976 (F)   261015   261015"/>
    <w:docVar w:name="JobNo" w:val="GE.1513976F"/>
    <w:docVar w:name="JobNo2" w:val="GE.1518434F"/>
    <w:docVar w:name="LocalDrive" w:val="0"/>
    <w:docVar w:name="OandT" w:val="N.Morin"/>
    <w:docVar w:name="PaperSize" w:val="A4"/>
    <w:docVar w:name="sss1" w:val="ECE/CEP/2015/14"/>
    <w:docVar w:name="sss2" w:val="-"/>
    <w:docVar w:name="Symbol1" w:val="ECE/CEP/2015/14"/>
    <w:docVar w:name="Symbol2" w:val="-"/>
  </w:docVars>
  <w:rsids>
    <w:rsidRoot w:val="004F1B95"/>
    <w:rsid w:val="000015B8"/>
    <w:rsid w:val="000046A5"/>
    <w:rsid w:val="000055FB"/>
    <w:rsid w:val="00010C97"/>
    <w:rsid w:val="00016483"/>
    <w:rsid w:val="00022173"/>
    <w:rsid w:val="0002226F"/>
    <w:rsid w:val="00022B4A"/>
    <w:rsid w:val="00023E37"/>
    <w:rsid w:val="000249FF"/>
    <w:rsid w:val="00025DE5"/>
    <w:rsid w:val="000274C2"/>
    <w:rsid w:val="00033DC9"/>
    <w:rsid w:val="00034FE3"/>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1F5A"/>
    <w:rsid w:val="00083D89"/>
    <w:rsid w:val="00085112"/>
    <w:rsid w:val="0008708F"/>
    <w:rsid w:val="00091BC1"/>
    <w:rsid w:val="00091DBD"/>
    <w:rsid w:val="00096B3C"/>
    <w:rsid w:val="000A18B6"/>
    <w:rsid w:val="000A24DE"/>
    <w:rsid w:val="000A2612"/>
    <w:rsid w:val="000A3AB1"/>
    <w:rsid w:val="000A4A47"/>
    <w:rsid w:val="000A74D1"/>
    <w:rsid w:val="000B0100"/>
    <w:rsid w:val="000B0E9A"/>
    <w:rsid w:val="000B1A18"/>
    <w:rsid w:val="000B2CD0"/>
    <w:rsid w:val="000B3ED4"/>
    <w:rsid w:val="000B5AF0"/>
    <w:rsid w:val="000B6B84"/>
    <w:rsid w:val="000B7004"/>
    <w:rsid w:val="000C085A"/>
    <w:rsid w:val="000C349B"/>
    <w:rsid w:val="000C683C"/>
    <w:rsid w:val="000C783D"/>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33C"/>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529B"/>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4F2"/>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257C"/>
    <w:rsid w:val="003235C7"/>
    <w:rsid w:val="0032420E"/>
    <w:rsid w:val="00326270"/>
    <w:rsid w:val="0032685C"/>
    <w:rsid w:val="0032728E"/>
    <w:rsid w:val="00332A87"/>
    <w:rsid w:val="00333703"/>
    <w:rsid w:val="00333F46"/>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2E62"/>
    <w:rsid w:val="004C304C"/>
    <w:rsid w:val="004C38FF"/>
    <w:rsid w:val="004C5C41"/>
    <w:rsid w:val="004D13C8"/>
    <w:rsid w:val="004D4F44"/>
    <w:rsid w:val="004D5D20"/>
    <w:rsid w:val="004D6212"/>
    <w:rsid w:val="004D789D"/>
    <w:rsid w:val="004E0FB8"/>
    <w:rsid w:val="004E272F"/>
    <w:rsid w:val="004E2B64"/>
    <w:rsid w:val="004E4258"/>
    <w:rsid w:val="004E47A4"/>
    <w:rsid w:val="004F1B95"/>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3B50"/>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E6617"/>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48B1"/>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288C"/>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473E"/>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160E"/>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4155"/>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3E77"/>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25E7"/>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1AAC"/>
    <w:rsid w:val="00BC05C8"/>
    <w:rsid w:val="00BC0F63"/>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47EFA"/>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2EFF"/>
    <w:rsid w:val="00D6375A"/>
    <w:rsid w:val="00D64A77"/>
    <w:rsid w:val="00D66AB5"/>
    <w:rsid w:val="00D676A0"/>
    <w:rsid w:val="00D70856"/>
    <w:rsid w:val="00D73117"/>
    <w:rsid w:val="00D73D86"/>
    <w:rsid w:val="00D82985"/>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B79AD"/>
    <w:rsid w:val="00DC23FE"/>
    <w:rsid w:val="00DC38B9"/>
    <w:rsid w:val="00DC5553"/>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150"/>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684D"/>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19C"/>
    <w:rsid w:val="00FA34DF"/>
    <w:rsid w:val="00FA3F4D"/>
    <w:rsid w:val="00FA3FBD"/>
    <w:rsid w:val="00FA62B4"/>
    <w:rsid w:val="00FA70CF"/>
    <w:rsid w:val="00FA71DD"/>
    <w:rsid w:val="00FB0A70"/>
    <w:rsid w:val="00FB3AA4"/>
    <w:rsid w:val="00FB3C35"/>
    <w:rsid w:val="00FB4627"/>
    <w:rsid w:val="00FC0F57"/>
    <w:rsid w:val="00FC1BC9"/>
    <w:rsid w:val="00FC4133"/>
    <w:rsid w:val="00FC41DA"/>
    <w:rsid w:val="00FC5C65"/>
    <w:rsid w:val="00FC75B8"/>
    <w:rsid w:val="00FC75D3"/>
    <w:rsid w:val="00FD117B"/>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E6617"/>
    <w:rPr>
      <w:sz w:val="16"/>
      <w:szCs w:val="16"/>
    </w:rPr>
  </w:style>
  <w:style w:type="paragraph" w:styleId="CommentText">
    <w:name w:val="annotation text"/>
    <w:basedOn w:val="Normal"/>
    <w:link w:val="CommentTextChar"/>
    <w:uiPriority w:val="99"/>
    <w:semiHidden/>
    <w:unhideWhenUsed/>
    <w:rsid w:val="005E6617"/>
    <w:pPr>
      <w:spacing w:line="240" w:lineRule="auto"/>
    </w:pPr>
    <w:rPr>
      <w:szCs w:val="20"/>
    </w:rPr>
  </w:style>
  <w:style w:type="character" w:customStyle="1" w:styleId="CommentTextChar">
    <w:name w:val="Comment Text Char"/>
    <w:basedOn w:val="DefaultParagraphFont"/>
    <w:link w:val="CommentText"/>
    <w:uiPriority w:val="99"/>
    <w:semiHidden/>
    <w:rsid w:val="005E661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E6617"/>
    <w:rPr>
      <w:b/>
      <w:bCs/>
    </w:rPr>
  </w:style>
  <w:style w:type="character" w:customStyle="1" w:styleId="CommentSubjectChar">
    <w:name w:val="Comment Subject Char"/>
    <w:basedOn w:val="CommentTextChar"/>
    <w:link w:val="CommentSubject"/>
    <w:uiPriority w:val="99"/>
    <w:semiHidden/>
    <w:rsid w:val="005E6617"/>
    <w:rPr>
      <w:rFonts w:ascii="Times New Roman" w:hAnsi="Times New Roman"/>
      <w:b/>
      <w:bCs/>
      <w:spacing w:val="4"/>
      <w:w w:val="103"/>
      <w:kern w:val="14"/>
      <w:lang w:val="fr-CA"/>
    </w:rPr>
  </w:style>
  <w:style w:type="table" w:styleId="TableGrid">
    <w:name w:val="Table Grid"/>
    <w:basedOn w:val="TableNormal"/>
    <w:uiPriority w:val="59"/>
    <w:rsid w:val="00BB1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E6617"/>
    <w:rPr>
      <w:sz w:val="16"/>
      <w:szCs w:val="16"/>
    </w:rPr>
  </w:style>
  <w:style w:type="paragraph" w:styleId="CommentText">
    <w:name w:val="annotation text"/>
    <w:basedOn w:val="Normal"/>
    <w:link w:val="CommentTextChar"/>
    <w:uiPriority w:val="99"/>
    <w:semiHidden/>
    <w:unhideWhenUsed/>
    <w:rsid w:val="005E6617"/>
    <w:pPr>
      <w:spacing w:line="240" w:lineRule="auto"/>
    </w:pPr>
    <w:rPr>
      <w:szCs w:val="20"/>
    </w:rPr>
  </w:style>
  <w:style w:type="character" w:customStyle="1" w:styleId="CommentTextChar">
    <w:name w:val="Comment Text Char"/>
    <w:basedOn w:val="DefaultParagraphFont"/>
    <w:link w:val="CommentText"/>
    <w:uiPriority w:val="99"/>
    <w:semiHidden/>
    <w:rsid w:val="005E661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E6617"/>
    <w:rPr>
      <w:b/>
      <w:bCs/>
    </w:rPr>
  </w:style>
  <w:style w:type="character" w:customStyle="1" w:styleId="CommentSubjectChar">
    <w:name w:val="Comment Subject Char"/>
    <w:basedOn w:val="CommentTextChar"/>
    <w:link w:val="CommentSubject"/>
    <w:uiPriority w:val="99"/>
    <w:semiHidden/>
    <w:rsid w:val="005E6617"/>
    <w:rPr>
      <w:rFonts w:ascii="Times New Roman" w:hAnsi="Times New Roman"/>
      <w:b/>
      <w:bCs/>
      <w:spacing w:val="4"/>
      <w:w w:val="103"/>
      <w:kern w:val="14"/>
      <w:lang w:val="fr-CA"/>
    </w:rPr>
  </w:style>
  <w:style w:type="table" w:styleId="TableGrid">
    <w:name w:val="Table Grid"/>
    <w:basedOn w:val="TableNormal"/>
    <w:uiPriority w:val="59"/>
    <w:rsid w:val="00BB1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20294">
      <w:bodyDiv w:val="1"/>
      <w:marLeft w:val="0"/>
      <w:marRight w:val="0"/>
      <w:marTop w:val="0"/>
      <w:marBottom w:val="0"/>
      <w:divBdr>
        <w:top w:val="none" w:sz="0" w:space="0" w:color="auto"/>
        <w:left w:val="none" w:sz="0" w:space="0" w:color="auto"/>
        <w:bottom w:val="none" w:sz="0" w:space="0" w:color="auto"/>
        <w:right w:val="none" w:sz="0" w:space="0" w:color="auto"/>
      </w:divBdr>
    </w:div>
    <w:div w:id="708651422">
      <w:bodyDiv w:val="1"/>
      <w:marLeft w:val="0"/>
      <w:marRight w:val="0"/>
      <w:marTop w:val="0"/>
      <w:marBottom w:val="0"/>
      <w:divBdr>
        <w:top w:val="none" w:sz="0" w:space="0" w:color="auto"/>
        <w:left w:val="none" w:sz="0" w:space="0" w:color="auto"/>
        <w:bottom w:val="none" w:sz="0" w:space="0" w:color="auto"/>
        <w:right w:val="none" w:sz="0" w:space="0" w:color="auto"/>
      </w:divBdr>
    </w:div>
    <w:div w:id="804128926">
      <w:bodyDiv w:val="1"/>
      <w:marLeft w:val="0"/>
      <w:marRight w:val="0"/>
      <w:marTop w:val="0"/>
      <w:marBottom w:val="0"/>
      <w:divBdr>
        <w:top w:val="none" w:sz="0" w:space="0" w:color="auto"/>
        <w:left w:val="none" w:sz="0" w:space="0" w:color="auto"/>
        <w:bottom w:val="none" w:sz="0" w:space="0" w:color="auto"/>
        <w:right w:val="none" w:sz="0" w:space="0" w:color="auto"/>
      </w:divBdr>
    </w:div>
    <w:div w:id="821507986">
      <w:bodyDiv w:val="1"/>
      <w:marLeft w:val="0"/>
      <w:marRight w:val="0"/>
      <w:marTop w:val="0"/>
      <w:marBottom w:val="0"/>
      <w:divBdr>
        <w:top w:val="none" w:sz="0" w:space="0" w:color="auto"/>
        <w:left w:val="none" w:sz="0" w:space="0" w:color="auto"/>
        <w:bottom w:val="none" w:sz="0" w:space="0" w:color="auto"/>
        <w:right w:val="none" w:sz="0" w:space="0" w:color="auto"/>
      </w:divBdr>
    </w:div>
    <w:div w:id="838420962">
      <w:bodyDiv w:val="1"/>
      <w:marLeft w:val="0"/>
      <w:marRight w:val="0"/>
      <w:marTop w:val="0"/>
      <w:marBottom w:val="0"/>
      <w:divBdr>
        <w:top w:val="none" w:sz="0" w:space="0" w:color="auto"/>
        <w:left w:val="none" w:sz="0" w:space="0" w:color="auto"/>
        <w:bottom w:val="none" w:sz="0" w:space="0" w:color="auto"/>
        <w:right w:val="none" w:sz="0" w:space="0" w:color="auto"/>
      </w:divBdr>
    </w:div>
    <w:div w:id="13536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EC01-74E9-440E-A6C2-C972E52B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Morin</dc:creator>
  <cp:keywords/>
  <dc:description/>
  <cp:lastModifiedBy>sochirca</cp:lastModifiedBy>
  <cp:revision>4</cp:revision>
  <cp:lastPrinted>2015-10-27T12:55:00Z</cp:lastPrinted>
  <dcterms:created xsi:type="dcterms:W3CDTF">2015-10-27T12:55:00Z</dcterms:created>
  <dcterms:modified xsi:type="dcterms:W3CDTF">2015-11-09T14:45:00Z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1513976F</vt:lpwstr>
  </property>
  <property fmtid="{D5CDD505-2E9C-101B-9397-08002B2CF9AE}" pid="3" name="ODSRefJobNo">
    <vt:lpwstr>1518434F</vt:lpwstr>
  </property>
  <property fmtid="{D5CDD505-2E9C-101B-9397-08002B2CF9AE}" pid="4" name="Symbol1">
    <vt:lpwstr>ECE/CEP/2015/14</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261015</vt:lpwstr>
  </property>
</Properties>
</file>