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6C" w:rsidRPr="00FC2CCF" w:rsidRDefault="0005756C" w:rsidP="0005756C">
      <w:pPr>
        <w:spacing w:line="60" w:lineRule="exact"/>
        <w:rPr>
          <w:color w:val="010000"/>
          <w:sz w:val="6"/>
        </w:rPr>
        <w:sectPr w:rsidR="0005756C" w:rsidRPr="00FC2CCF" w:rsidSect="000575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C2CCF" w:rsidRPr="00FC2CCF" w:rsidRDefault="00FC2CCF" w:rsidP="00FC2C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CCF">
        <w:lastRenderedPageBreak/>
        <w:t>Европейская экономическая комиссия</w:t>
      </w:r>
    </w:p>
    <w:p w:rsidR="00FC2CCF" w:rsidRPr="00FC2CCF" w:rsidRDefault="00FC2CCF" w:rsidP="00FC2C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C2CCF" w:rsidRPr="00FC2CCF" w:rsidRDefault="00FC2CCF" w:rsidP="00FC2C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FC2CCF">
        <w:rPr>
          <w:b w:val="0"/>
          <w:bCs/>
        </w:rPr>
        <w:t>Комитет по экологической политике</w:t>
      </w:r>
    </w:p>
    <w:p w:rsidR="00FC2CCF" w:rsidRPr="00201287" w:rsidRDefault="00FC2CCF" w:rsidP="00FC2C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bCs/>
          <w:sz w:val="10"/>
        </w:rPr>
      </w:pPr>
    </w:p>
    <w:p w:rsidR="00FC2CCF" w:rsidRPr="00201287" w:rsidRDefault="00FC2CCF" w:rsidP="00FC2C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201287">
        <w:rPr>
          <w:b/>
          <w:bCs/>
        </w:rPr>
        <w:t>Двадцать первая сессия</w:t>
      </w:r>
    </w:p>
    <w:p w:rsidR="00FC2CCF" w:rsidRPr="00FC2CCF" w:rsidRDefault="00FC2CCF" w:rsidP="00FC2C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2CCF">
        <w:t>Женева, 27–30 октября 2015 года</w:t>
      </w:r>
    </w:p>
    <w:p w:rsidR="00FC2CCF" w:rsidRPr="00FC2CCF" w:rsidRDefault="00FC2CCF" w:rsidP="00FC2C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C2CCF">
        <w:t>Пункт 5 е) предварительной повестки дня</w:t>
      </w:r>
    </w:p>
    <w:p w:rsidR="00FC2CCF" w:rsidRPr="00FC2CCF" w:rsidRDefault="00FC2CCF" w:rsidP="00FC2C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C2CCF">
        <w:rPr>
          <w:b/>
          <w:bCs/>
        </w:rPr>
        <w:t xml:space="preserve">Восьмая Конференция министров </w:t>
      </w:r>
      <w:r>
        <w:rPr>
          <w:b/>
          <w:bCs/>
        </w:rPr>
        <w:br/>
        <w:t>«</w:t>
      </w:r>
      <w:r w:rsidRPr="00FC2CCF">
        <w:rPr>
          <w:b/>
          <w:bCs/>
        </w:rPr>
        <w:t>Окружающая среда для Европы</w:t>
      </w:r>
      <w:r>
        <w:rPr>
          <w:b/>
          <w:bCs/>
        </w:rPr>
        <w:t>»</w:t>
      </w:r>
      <w:r w:rsidRPr="00FC2CCF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FC2CCF">
        <w:rPr>
          <w:b/>
          <w:bCs/>
        </w:rPr>
        <w:t xml:space="preserve">Разработка Общей системы экологической </w:t>
      </w:r>
      <w:r>
        <w:rPr>
          <w:b/>
          <w:bCs/>
        </w:rPr>
        <w:br/>
      </w:r>
      <w:r w:rsidRPr="00FC2CCF">
        <w:rPr>
          <w:b/>
          <w:bCs/>
        </w:rPr>
        <w:t xml:space="preserve">информации и налаживание регулярной </w:t>
      </w:r>
      <w:r>
        <w:rPr>
          <w:b/>
          <w:bCs/>
        </w:rPr>
        <w:br/>
      </w:r>
      <w:r w:rsidRPr="00FC2CCF">
        <w:rPr>
          <w:b/>
          <w:bCs/>
        </w:rPr>
        <w:t>экологической оценки в общеевропейском регионе</w:t>
      </w:r>
    </w:p>
    <w:p w:rsidR="00FC2CCF" w:rsidRPr="00FC2CCF" w:rsidRDefault="00FC2CCF" w:rsidP="00FC2CCF">
      <w:pPr>
        <w:pStyle w:val="SingleTxt"/>
        <w:spacing w:after="0" w:line="120" w:lineRule="exact"/>
        <w:rPr>
          <w:b/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b/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b/>
          <w:sz w:val="10"/>
        </w:rPr>
      </w:pPr>
    </w:p>
    <w:p w:rsidR="00FC2CCF" w:rsidRPr="00FC2CCF" w:rsidRDefault="00FC2CCF" w:rsidP="00FC2C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CCF">
        <w:tab/>
      </w:r>
      <w:r w:rsidRPr="00FC2CCF">
        <w:tab/>
        <w:t>Первый доклад о прогрессе в создании Общей системы экологической информации в общеевропейском регионе</w:t>
      </w:r>
    </w:p>
    <w:p w:rsidR="00FC2CCF" w:rsidRPr="00FC2CCF" w:rsidRDefault="00FC2CCF" w:rsidP="00FC2CCF">
      <w:pPr>
        <w:pStyle w:val="SingleTxt"/>
        <w:spacing w:after="0" w:line="120" w:lineRule="exact"/>
        <w:rPr>
          <w:b/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b/>
          <w:sz w:val="10"/>
        </w:rPr>
      </w:pPr>
    </w:p>
    <w:p w:rsidR="00FC2CCF" w:rsidRPr="00FC2CCF" w:rsidRDefault="00FC2CCF" w:rsidP="00FC2C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CCF">
        <w:tab/>
      </w:r>
      <w:r w:rsidRPr="00FC2CCF">
        <w:tab/>
        <w:t>Записка Рабочей группы по мониторингу и оценке окружающей среды</w:t>
      </w:r>
      <w:r w:rsidRPr="001C4F04">
        <w:rPr>
          <w:b w:val="0"/>
          <w:bCs/>
          <w:sz w:val="20"/>
          <w:szCs w:val="20"/>
        </w:rPr>
        <w:footnoteReference w:customMarkFollows="1" w:id="1"/>
        <w:t>*</w:t>
      </w:r>
    </w:p>
    <w:p w:rsidR="0005756C" w:rsidRPr="00FC2CCF" w:rsidRDefault="0005756C" w:rsidP="00FC2CC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201287" w:rsidRDefault="00FC2CCF" w:rsidP="00FC2CCF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C2CCF" w:rsidTr="00FC2CC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C2CCF" w:rsidRPr="00FC2CCF" w:rsidRDefault="00FC2CCF" w:rsidP="00FC2CCF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201287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FC2CCF" w:rsidTr="00FC2CCF">
        <w:tc>
          <w:tcPr>
            <w:tcW w:w="10051" w:type="dxa"/>
            <w:shd w:val="clear" w:color="auto" w:fill="auto"/>
          </w:tcPr>
          <w:p w:rsidR="00FC2CCF" w:rsidRPr="00FC2CCF" w:rsidRDefault="00FC2CCF" w:rsidP="000023BF">
            <w:pPr>
              <w:pStyle w:val="SingleTxt"/>
              <w:rPr>
                <w:lang w:val="en-US"/>
              </w:rPr>
            </w:pPr>
            <w:r w:rsidRPr="00FC2CCF">
              <w:tab/>
              <w:t xml:space="preserve">В ходе седьмой Конференции министров </w:t>
            </w:r>
            <w:r w:rsidR="000023BF">
              <w:t>«</w:t>
            </w:r>
            <w:r w:rsidRPr="00FC2CCF">
              <w:t>Окружающая среда для Европы</w:t>
            </w:r>
            <w:r w:rsidR="000023BF">
              <w:t>»</w:t>
            </w:r>
            <w:r w:rsidRPr="00FC2CCF">
              <w:t xml:space="preserve"> в Астане (2011 год) министры приняли решение постоянно держать под контр</w:t>
            </w:r>
            <w:r w:rsidRPr="00FC2CCF">
              <w:t>о</w:t>
            </w:r>
            <w:r w:rsidRPr="00FC2CCF">
              <w:t>лем состояние окружающей среды в Европе путем налаживания регулярного процесса экологической оценки и разработки Общей системы экологической и</w:t>
            </w:r>
            <w:r w:rsidRPr="00FC2CCF">
              <w:t>н</w:t>
            </w:r>
            <w:r w:rsidRPr="00FC2CCF">
              <w:t>формации (СЕИС) в регионе. Во исполнение этого решения Комитет по эколог</w:t>
            </w:r>
            <w:r w:rsidRPr="00FC2CCF">
              <w:t>и</w:t>
            </w:r>
            <w:r w:rsidRPr="00FC2CCF">
              <w:t xml:space="preserve">ческой политике Европейской экономической комиссии (ЕЭК) поручил Рабочей группе по мониторингу и оценке окружающей среды провести обзор прогресса в создании СЕИС на основе целей и показателей эффективности СЕИС, принятых Комитетом. </w:t>
            </w:r>
            <w:proofErr w:type="gramStart"/>
            <w:r w:rsidRPr="00FC2CCF">
              <w:t>Кроме того, Рабочей группе было поручено подготовить доклад об оценке прогресса, достигнутого странами общеевропейского региона в деле с</w:t>
            </w:r>
            <w:r w:rsidRPr="00FC2CCF">
              <w:t>о</w:t>
            </w:r>
            <w:r w:rsidRPr="00FC2CCF">
              <w:t>здания СЕИС (</w:t>
            </w:r>
            <w:r w:rsidR="007462D0">
              <w:t>см. ECE/CEP/2014/2, пункты 76</w:t>
            </w:r>
            <w:r w:rsidRPr="00FC2CCF">
              <w:t xml:space="preserve"> и 98 j) </w:t>
            </w:r>
            <w:r w:rsidR="007462D0">
              <w:rPr>
                <w:lang w:val="en-US"/>
              </w:rPr>
              <w:t xml:space="preserve">ii) </w:t>
            </w:r>
            <w:r w:rsidRPr="00FC2CCF">
              <w:t xml:space="preserve">и </w:t>
            </w:r>
            <w:proofErr w:type="spellStart"/>
            <w:r w:rsidRPr="00FC2CCF">
              <w:t>ff</w:t>
            </w:r>
            <w:proofErr w:type="spellEnd"/>
            <w:r w:rsidRPr="00FC2CCF">
              <w:t xml:space="preserve">) </w:t>
            </w:r>
            <w:proofErr w:type="spellStart"/>
            <w:r w:rsidRPr="00FC2CCF">
              <w:t>iii</w:t>
            </w:r>
            <w:proofErr w:type="spellEnd"/>
            <w:r w:rsidRPr="00FC2CCF">
              <w:t>)).</w:t>
            </w:r>
            <w:proofErr w:type="gramEnd"/>
          </w:p>
        </w:tc>
      </w:tr>
      <w:tr w:rsidR="00FC2CCF" w:rsidRPr="00FC2CCF" w:rsidTr="00FC2CCF">
        <w:tc>
          <w:tcPr>
            <w:tcW w:w="10051" w:type="dxa"/>
            <w:shd w:val="clear" w:color="auto" w:fill="auto"/>
          </w:tcPr>
          <w:p w:rsidR="00FC2CCF" w:rsidRPr="002F5C83" w:rsidRDefault="00FC2CCF" w:rsidP="007462D0">
            <w:pPr>
              <w:pStyle w:val="SingleTxt"/>
            </w:pPr>
            <w:r w:rsidRPr="002F5C83">
              <w:tab/>
              <w:t xml:space="preserve">Предварительный проект </w:t>
            </w:r>
            <w:r>
              <w:t>настоящего</w:t>
            </w:r>
            <w:r w:rsidRPr="002F5C83">
              <w:t xml:space="preserve"> доклада о прогрессе был подготовлен секретариатом </w:t>
            </w:r>
            <w:r>
              <w:t xml:space="preserve">по результатам </w:t>
            </w:r>
            <w:r w:rsidRPr="002F5C83">
              <w:t>кабинетного исследования. Впоследствии Рабочая группа на его основе подготовила свой собственный доклад, принимая во вним</w:t>
            </w:r>
            <w:r w:rsidRPr="002F5C83">
              <w:t>а</w:t>
            </w:r>
            <w:r w:rsidRPr="002F5C83">
              <w:t>ние также обсуждения в ходе ее семнадцатой сессии (Женева, 7 и 8 сентября 2016 года) и последующие материалы, полученные от стран (странам было пре</w:t>
            </w:r>
            <w:r w:rsidRPr="002F5C83">
              <w:t>д</w:t>
            </w:r>
            <w:r w:rsidRPr="002F5C83">
              <w:t>ложено представлять свои замечания до 3 октября 2015 года).</w:t>
            </w:r>
          </w:p>
          <w:p w:rsidR="00FC2CCF" w:rsidRPr="00FC2CCF" w:rsidRDefault="00FC2CCF" w:rsidP="007462D0">
            <w:pPr>
              <w:pStyle w:val="SingleTxt"/>
            </w:pPr>
            <w:r w:rsidRPr="00FC2CCF">
              <w:lastRenderedPageBreak/>
              <w:tab/>
              <w:t>Настоящий доклад представляется на рассмотрение Комитету по экологич</w:t>
            </w:r>
            <w:r w:rsidRPr="00FC2CCF">
              <w:t>е</w:t>
            </w:r>
            <w:r w:rsidRPr="00FC2CCF">
              <w:t>ской политике с целью дать Рабочей группе дальнейшие указания в отношении завершения подготовки доклада для представления министрам на восьмой Ко</w:t>
            </w:r>
            <w:r w:rsidRPr="00FC2CCF">
              <w:t>н</w:t>
            </w:r>
            <w:r w:rsidRPr="00FC2CCF">
              <w:t xml:space="preserve">ференции министров </w:t>
            </w:r>
            <w:r w:rsidR="000023BF">
              <w:t>«</w:t>
            </w:r>
            <w:r w:rsidRPr="00FC2CCF">
              <w:t>Окружающая среда для Европы</w:t>
            </w:r>
            <w:r w:rsidR="000023BF">
              <w:t>»</w:t>
            </w:r>
            <w:r w:rsidRPr="00FC2CCF">
              <w:t xml:space="preserve"> в Батуми, Грузия, в</w:t>
            </w:r>
            <w:r w:rsidR="007462D0">
              <w:t> </w:t>
            </w:r>
            <w:r w:rsidRPr="00FC2CCF">
              <w:t>2016</w:t>
            </w:r>
            <w:r w:rsidR="007462D0">
              <w:t> </w:t>
            </w:r>
            <w:r w:rsidRPr="00FC2CCF">
              <w:t>году.</w:t>
            </w:r>
          </w:p>
        </w:tc>
      </w:tr>
      <w:tr w:rsidR="00FC2CCF" w:rsidRPr="00FC2CCF" w:rsidTr="00FC2CCF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FC2CCF" w:rsidRPr="00FC2CCF" w:rsidRDefault="00FC2CCF" w:rsidP="00FC2CCF">
            <w:pPr>
              <w:pStyle w:val="SingleTxt"/>
            </w:pPr>
          </w:p>
        </w:tc>
      </w:tr>
    </w:tbl>
    <w:p w:rsidR="00FC2CCF" w:rsidRPr="00FC2CCF" w:rsidRDefault="00FC2CCF" w:rsidP="001C4F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C2CCF">
        <w:lastRenderedPageBreak/>
        <w:tab/>
        <w:t>I.</w:t>
      </w:r>
      <w:r w:rsidRPr="00FC2CCF">
        <w:tab/>
        <w:t>Введение</w:t>
      </w:r>
    </w:p>
    <w:p w:rsidR="001C4F04" w:rsidRPr="001C4F04" w:rsidRDefault="001C4F04" w:rsidP="001C4F04">
      <w:pPr>
        <w:pStyle w:val="SingleTxt"/>
        <w:spacing w:after="0" w:line="120" w:lineRule="exact"/>
        <w:rPr>
          <w:sz w:val="10"/>
        </w:rPr>
      </w:pPr>
    </w:p>
    <w:p w:rsidR="001C4F04" w:rsidRPr="001C4F04" w:rsidRDefault="001C4F04" w:rsidP="001C4F04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7462D0">
      <w:pPr>
        <w:pStyle w:val="SingleTxt"/>
      </w:pPr>
      <w:r w:rsidRPr="00FC2CCF">
        <w:t>1.</w:t>
      </w:r>
      <w:r w:rsidRPr="00FC2CCF">
        <w:tab/>
        <w:t xml:space="preserve">Присутствовавшие на седьмой Конференции министров </w:t>
      </w:r>
      <w:r w:rsidR="000023BF">
        <w:t>«</w:t>
      </w:r>
      <w:r w:rsidRPr="00FC2CCF">
        <w:t>Окружающая ср</w:t>
      </w:r>
      <w:r w:rsidRPr="00FC2CCF">
        <w:t>е</w:t>
      </w:r>
      <w:r w:rsidRPr="00FC2CCF">
        <w:t>да для Европы</w:t>
      </w:r>
      <w:r w:rsidR="000023BF">
        <w:t>»</w:t>
      </w:r>
      <w:r w:rsidRPr="00FC2CCF">
        <w:t xml:space="preserve"> (Астана, 21</w:t>
      </w:r>
      <w:r w:rsidR="007462D0">
        <w:t>–</w:t>
      </w:r>
      <w:r w:rsidRPr="00FC2CCF">
        <w:t>23 сентября 2011 года) министры по окружающей среде стран общеевропейского региона признали наличие ряда проблем в отн</w:t>
      </w:r>
      <w:r w:rsidRPr="00FC2CCF">
        <w:t>о</w:t>
      </w:r>
      <w:r w:rsidRPr="00FC2CCF">
        <w:t>шении доступа к данным и информации, необходимой для подготовки экологич</w:t>
      </w:r>
      <w:r w:rsidRPr="00FC2CCF">
        <w:t>е</w:t>
      </w:r>
      <w:r w:rsidRPr="00FC2CCF">
        <w:t>ских оценок, и постановили принять меры для их решения. Они обязались нал</w:t>
      </w:r>
      <w:r w:rsidRPr="00FC2CCF">
        <w:t>а</w:t>
      </w:r>
      <w:r w:rsidRPr="00FC2CCF">
        <w:t>дить регулярный процесс экологической оценки для общеевропейского региона</w:t>
      </w:r>
      <w:r w:rsidRPr="001C4F04">
        <w:rPr>
          <w:vertAlign w:val="superscript"/>
        </w:rPr>
        <w:footnoteReference w:id="2"/>
      </w:r>
      <w:r w:rsidRPr="00FC2CCF">
        <w:t xml:space="preserve"> на основе Общей системы экологической информации (СЕИС). </w:t>
      </w:r>
      <w:proofErr w:type="gramStart"/>
      <w:r w:rsidRPr="00FC2CCF">
        <w:t>Данный подход предполагает, что с помощью таких современных технологий, как Интернет, б</w:t>
      </w:r>
      <w:r w:rsidRPr="00FC2CCF">
        <w:t>у</w:t>
      </w:r>
      <w:r w:rsidRPr="00FC2CCF">
        <w:t>дут увязаны все существующие данные и информационные потоки, значимые для национального и международного уровней, в поддержку регулярного процесса экологической оценки.</w:t>
      </w:r>
      <w:proofErr w:type="gramEnd"/>
    </w:p>
    <w:p w:rsidR="00FC2CCF" w:rsidRPr="00FC2CCF" w:rsidRDefault="00FC2CCF" w:rsidP="007462D0">
      <w:pPr>
        <w:pStyle w:val="SingleTxt"/>
      </w:pPr>
      <w:r w:rsidRPr="00FC2CCF">
        <w:t>2.</w:t>
      </w:r>
      <w:r w:rsidRPr="00FC2CCF">
        <w:tab/>
        <w:t>Комитет по экологической политике Европейской экономической комиссии Организации Объединенных Наций (ЕЭК) осуществляет надзор за усилиями, предпринятыми в общеевропейском регионе по налаживанию регулярного пр</w:t>
      </w:r>
      <w:r w:rsidRPr="00FC2CCF">
        <w:t>о</w:t>
      </w:r>
      <w:r w:rsidRPr="00FC2CCF">
        <w:t>цесса экологической оценки и созданию СЕИС. На своей двадцатой сессии (Ж</w:t>
      </w:r>
      <w:r w:rsidRPr="00FC2CCF">
        <w:t>е</w:t>
      </w:r>
      <w:r w:rsidRPr="00FC2CCF">
        <w:t>нева, 28</w:t>
      </w:r>
      <w:r w:rsidR="007462D0">
        <w:t>–</w:t>
      </w:r>
      <w:r w:rsidRPr="00FC2CCF">
        <w:t>31 октября 2014 года) Комитет принял цели и показатели результати</w:t>
      </w:r>
      <w:r w:rsidRPr="00FC2CCF">
        <w:t>в</w:t>
      </w:r>
      <w:r w:rsidRPr="00FC2CCF">
        <w:t xml:space="preserve">ности для измерения прогресса в деле создания и использования СЕИС </w:t>
      </w:r>
      <w:r w:rsidR="007462D0">
        <w:br/>
      </w:r>
      <w:r w:rsidRPr="00FC2CCF">
        <w:t xml:space="preserve">(см. ECE/CEP/2014/8). </w:t>
      </w:r>
      <w:proofErr w:type="gramStart"/>
      <w:r w:rsidRPr="00FC2CCF">
        <w:t>Кроме того, он поручил Рабочей группе по мониторингу и оценке окружающей среды провести обзор прогресса в деле создания СЕИС, о</w:t>
      </w:r>
      <w:r w:rsidRPr="00FC2CCF">
        <w:t>с</w:t>
      </w:r>
      <w:r w:rsidRPr="00FC2CCF">
        <w:t>новываясь на принятых целях и показателях эффективности, с целью подготовки доклада о прогрессе, достигнутом в разработке СЕИС в общеевропейском рег</w:t>
      </w:r>
      <w:r w:rsidRPr="00FC2CCF">
        <w:t>и</w:t>
      </w:r>
      <w:r w:rsidRPr="00FC2CCF">
        <w:t xml:space="preserve">оне, для восьмой Конференции министров </w:t>
      </w:r>
      <w:r w:rsidR="000023BF">
        <w:t>«</w:t>
      </w:r>
      <w:r w:rsidRPr="00FC2CCF">
        <w:t>Окружающая среда для Европы</w:t>
      </w:r>
      <w:r w:rsidR="000023BF">
        <w:t>»</w:t>
      </w:r>
      <w:r w:rsidRPr="00FC2CCF">
        <w:t xml:space="preserve"> (Б</w:t>
      </w:r>
      <w:r w:rsidRPr="00FC2CCF">
        <w:t>а</w:t>
      </w:r>
      <w:r w:rsidRPr="00FC2CCF">
        <w:t>туми, Грузия, 8-10 июня 2016 года).</w:t>
      </w:r>
      <w:proofErr w:type="gramEnd"/>
      <w:r w:rsidRPr="00FC2CCF">
        <w:t xml:space="preserve"> </w:t>
      </w:r>
      <w:proofErr w:type="gramStart"/>
      <w:r w:rsidRPr="00FC2CCF">
        <w:t>Комитет просил Рабочую группу предст</w:t>
      </w:r>
      <w:r w:rsidRPr="00FC2CCF">
        <w:t>а</w:t>
      </w:r>
      <w:r w:rsidRPr="00FC2CCF">
        <w:t>вить ему первоначальный вариант этого доклада для рассмотрения на его дв</w:t>
      </w:r>
      <w:r w:rsidRPr="00FC2CCF">
        <w:t>а</w:t>
      </w:r>
      <w:r w:rsidRPr="00FC2CCF">
        <w:t xml:space="preserve">дцать первой сессии (ECE/CEP/2014/2, пункты 76 и 98 j) </w:t>
      </w:r>
      <w:r w:rsidRPr="00FC2CCF">
        <w:rPr>
          <w:lang w:val="en-US"/>
        </w:rPr>
        <w:t>ii</w:t>
      </w:r>
      <w:r w:rsidRPr="00FC2CCF">
        <w:t xml:space="preserve">) и </w:t>
      </w:r>
      <w:proofErr w:type="spellStart"/>
      <w:r w:rsidRPr="00FC2CCF">
        <w:t>ff</w:t>
      </w:r>
      <w:proofErr w:type="spellEnd"/>
      <w:r w:rsidRPr="00FC2CCF">
        <w:t xml:space="preserve">) </w:t>
      </w:r>
      <w:proofErr w:type="spellStart"/>
      <w:r w:rsidRPr="00FC2CCF">
        <w:t>iii</w:t>
      </w:r>
      <w:proofErr w:type="spellEnd"/>
      <w:r w:rsidRPr="00FC2CCF">
        <w:t>)).</w:t>
      </w:r>
      <w:proofErr w:type="gramEnd"/>
    </w:p>
    <w:p w:rsidR="00FC2CCF" w:rsidRPr="00FC2CCF" w:rsidRDefault="00FC2CCF" w:rsidP="00FC2CCF">
      <w:pPr>
        <w:pStyle w:val="SingleTxt"/>
      </w:pPr>
      <w:r w:rsidRPr="00FC2CCF">
        <w:t>3.</w:t>
      </w:r>
      <w:r w:rsidRPr="00FC2CCF">
        <w:tab/>
        <w:t>Для подготовки доклада о достигнутом прогрессе Рабочей группе необх</w:t>
      </w:r>
      <w:r w:rsidRPr="00FC2CCF">
        <w:t>о</w:t>
      </w:r>
      <w:r w:rsidRPr="00FC2CCF">
        <w:t xml:space="preserve">димо было первоначально определить его </w:t>
      </w:r>
      <w:proofErr w:type="gramStart"/>
      <w:r w:rsidRPr="00FC2CCF">
        <w:t>содержание</w:t>
      </w:r>
      <w:proofErr w:type="gramEnd"/>
      <w:r w:rsidRPr="00FC2CCF">
        <w:t xml:space="preserve"> − т. е. наборы данных – для общеевропейской СЕИС и предоставить странам механизм отчетности, п</w:t>
      </w:r>
      <w:r w:rsidRPr="00FC2CCF">
        <w:t>о</w:t>
      </w:r>
      <w:r w:rsidRPr="00FC2CCF">
        <w:t>средством которого может производиться сбор информации, необходимой для оценки хода создания СЕИС в соответствии с ее целями и показателями эффе</w:t>
      </w:r>
      <w:r w:rsidRPr="00FC2CCF">
        <w:t>к</w:t>
      </w:r>
      <w:r w:rsidRPr="00FC2CCF">
        <w:t>тивности.</w:t>
      </w:r>
    </w:p>
    <w:p w:rsidR="00FC2CCF" w:rsidRPr="00FC2CCF" w:rsidRDefault="00FC2CCF" w:rsidP="00FC2CCF">
      <w:pPr>
        <w:pStyle w:val="SingleTxt"/>
      </w:pPr>
      <w:r w:rsidRPr="00FC2CCF">
        <w:t>4.</w:t>
      </w:r>
      <w:r w:rsidRPr="00FC2CCF">
        <w:tab/>
        <w:t>На своей шестнадцатой сессии (Стамбул, 16 и 17 апреля 2015 года) Рабочая группа согласовала содержание СЕИС на начальном этапе в количестве 67 конкретных наборов данных. Из них 25 касались загрязнения воздуха и ра</w:t>
      </w:r>
      <w:r w:rsidRPr="00FC2CCF">
        <w:t>з</w:t>
      </w:r>
      <w:r w:rsidRPr="00FC2CCF">
        <w:t>рушения озонового слоя, 4 – изменения климата, 20 – водных ресурсов, 4 – би</w:t>
      </w:r>
      <w:r w:rsidRPr="00FC2CCF">
        <w:t>о</w:t>
      </w:r>
      <w:r w:rsidRPr="00FC2CCF">
        <w:t xml:space="preserve">логического разнообразия, 2 – земельных ресурсов и почв, 4 – энергетики и </w:t>
      </w:r>
      <w:r w:rsidR="007E0D27">
        <w:br/>
      </w:r>
      <w:r w:rsidRPr="00FC2CCF">
        <w:t>8 – отходов. Кроме того, Рабочая группа приняла решение в 2015 году провести обзор достижений стран общеевропейского региона в деле создания СЕИС путем проверки того, как осуществляется производство 67 согласованных наборов да</w:t>
      </w:r>
      <w:r w:rsidRPr="00FC2CCF">
        <w:t>н</w:t>
      </w:r>
      <w:r w:rsidRPr="00FC2CCF">
        <w:t>ных и обмен ими в режиме онлайн.</w:t>
      </w:r>
    </w:p>
    <w:p w:rsidR="00FC2CCF" w:rsidRPr="00FC2CCF" w:rsidRDefault="00FC2CCF" w:rsidP="00FC2CCF">
      <w:pPr>
        <w:pStyle w:val="SingleTxt"/>
      </w:pPr>
      <w:r w:rsidRPr="00FC2CCF">
        <w:t>5.</w:t>
      </w:r>
      <w:r w:rsidRPr="00FC2CCF">
        <w:tab/>
        <w:t>Рабочая группа также утвердила концепцию механизма отчетности для о</w:t>
      </w:r>
      <w:r w:rsidRPr="00FC2CCF">
        <w:t>б</w:t>
      </w:r>
      <w:r w:rsidRPr="00FC2CCF">
        <w:t>зора эффективности производства наборов данных и обмена ими в режиме о</w:t>
      </w:r>
      <w:r w:rsidRPr="00FC2CCF">
        <w:t>н</w:t>
      </w:r>
      <w:r w:rsidRPr="00FC2CCF">
        <w:t>лайн в соответствии с целями СЕИС и показателями эффективности. Такой мех</w:t>
      </w:r>
      <w:r w:rsidRPr="00FC2CCF">
        <w:t>а</w:t>
      </w:r>
      <w:r w:rsidRPr="00FC2CCF">
        <w:t xml:space="preserve">низм отчетности требует, чтобы каждый набор данных СЕИС рассматривался с точки зрения пяти элементов: онлайновая доступность; регулярное обновление; применение стандартной методологии производства; возможность толкования данных; наличие информации об источниках данных. Такой обзор должен быть </w:t>
      </w:r>
      <w:r w:rsidRPr="00FC2CCF">
        <w:lastRenderedPageBreak/>
        <w:t>проведен координаторами СЕИС в странах ЕЭК и рассмотрен Европейским агентством по окружающей среде (</w:t>
      </w:r>
      <w:proofErr w:type="gramStart"/>
      <w:r w:rsidRPr="00FC2CCF">
        <w:t>EA</w:t>
      </w:r>
      <w:proofErr w:type="gramEnd"/>
      <w:r w:rsidRPr="00FC2CCF">
        <w:t>ОС)</w:t>
      </w:r>
      <w:r w:rsidRPr="001C4F04">
        <w:rPr>
          <w:vertAlign w:val="superscript"/>
        </w:rPr>
        <w:footnoteReference w:id="3"/>
      </w:r>
      <w:r w:rsidRPr="00FC2CCF">
        <w:t xml:space="preserve"> для его государств-членов из числа европейских стран и секретариатом ЕЭК для государств-членов из региона Ка</w:t>
      </w:r>
      <w:r w:rsidRPr="00FC2CCF">
        <w:t>в</w:t>
      </w:r>
      <w:r w:rsidRPr="00FC2CCF">
        <w:t>каза, Центральной Азии и Восточной и Юго-Восточной Европы, а также других европейских стран, не охватываемых EAОС.</w:t>
      </w:r>
    </w:p>
    <w:p w:rsidR="00FC2CCF" w:rsidRDefault="00FC2CCF" w:rsidP="00FC2CCF">
      <w:pPr>
        <w:pStyle w:val="SingleTxt"/>
      </w:pPr>
      <w:r w:rsidRPr="00FC2CCF">
        <w:t>6.</w:t>
      </w:r>
      <w:r w:rsidRPr="00FC2CCF">
        <w:tab/>
        <w:t>Настоящий доклад был подготовлен Рабочей группой при поддержке секр</w:t>
      </w:r>
      <w:r w:rsidRPr="00FC2CCF">
        <w:t>е</w:t>
      </w:r>
      <w:r w:rsidRPr="00FC2CCF">
        <w:t>тариата ЕЭК. В нем показано, в какой степени СЕИС, как она определена Раб</w:t>
      </w:r>
      <w:r w:rsidRPr="00FC2CCF">
        <w:t>о</w:t>
      </w:r>
      <w:r w:rsidRPr="00FC2CCF">
        <w:t>чей группой, была создана в странах общеевропейского региона.</w:t>
      </w:r>
    </w:p>
    <w:p w:rsidR="000023BF" w:rsidRPr="000023BF" w:rsidRDefault="000023BF" w:rsidP="000023BF">
      <w:pPr>
        <w:pStyle w:val="SingleTxt"/>
        <w:spacing w:after="0" w:line="120" w:lineRule="exact"/>
        <w:rPr>
          <w:sz w:val="10"/>
        </w:rPr>
      </w:pPr>
    </w:p>
    <w:p w:rsidR="000023BF" w:rsidRPr="000023BF" w:rsidRDefault="000023BF" w:rsidP="000023B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0023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CCF">
        <w:tab/>
        <w:t>II.</w:t>
      </w:r>
      <w:r w:rsidRPr="00FC2CCF">
        <w:tab/>
        <w:t>Обзор результатов в деле создания Общей системы экологической информации в общеевропейском регионе</w:t>
      </w:r>
    </w:p>
    <w:p w:rsidR="000023BF" w:rsidRPr="000023BF" w:rsidRDefault="000023BF" w:rsidP="000023BF">
      <w:pPr>
        <w:pStyle w:val="SingleTxt"/>
        <w:spacing w:after="0" w:line="120" w:lineRule="exact"/>
        <w:rPr>
          <w:sz w:val="10"/>
        </w:rPr>
      </w:pPr>
    </w:p>
    <w:p w:rsidR="000023BF" w:rsidRPr="000023BF" w:rsidRDefault="000023BF" w:rsidP="000023B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FC2CCF">
      <w:pPr>
        <w:pStyle w:val="SingleTxt"/>
      </w:pPr>
      <w:r w:rsidRPr="00FC2CCF">
        <w:t>7.</w:t>
      </w:r>
      <w:r w:rsidRPr="00FC2CCF">
        <w:tab/>
        <w:t>Обзор результатов в деле создания СЕИС проводился в рамках проверки механизма отчетности СЕИС. В ходе этой проверки были оценены наличие и д</w:t>
      </w:r>
      <w:r w:rsidRPr="00FC2CCF">
        <w:t>о</w:t>
      </w:r>
      <w:r w:rsidRPr="00FC2CCF">
        <w:t xml:space="preserve">ступность 67 наборов данных СЕИС и соответствующей информации для 53  стран общеевропейского региона: </w:t>
      </w:r>
      <w:proofErr w:type="gramStart"/>
      <w:r w:rsidRPr="00FC2CCF">
        <w:t>Австрия, Азербайджан, Албания, Армения, Беларусь, Бельгия, Болгария, Босния и Герцеговина, бывшая югославская Ре</w:t>
      </w:r>
      <w:r w:rsidRPr="00FC2CCF">
        <w:t>с</w:t>
      </w:r>
      <w:r w:rsidRPr="00FC2CCF">
        <w:t>публика Македония, Венгрия, Германия, Греция, Грузия, Дания, Израиль, Ирла</w:t>
      </w:r>
      <w:r w:rsidRPr="00FC2CCF">
        <w:t>н</w:t>
      </w:r>
      <w:r w:rsidRPr="00FC2CCF">
        <w:t>дия, Исландия, Испания, Италия, Казахстан, Канада, Кипр, Кыргызстан, Латвия, Литва, Лихтенштейн, Люксембург, Мальта, Нидерланды, Норвегия, Польша, Португалия, Республика Молдова, Российская Федерация, Румыния, Сербия, Словакия, Словения, Соединенное Королевство Великобритании и Северной И</w:t>
      </w:r>
      <w:r w:rsidRPr="00FC2CCF">
        <w:t>р</w:t>
      </w:r>
      <w:r w:rsidRPr="00FC2CCF">
        <w:t>ландии, Соединенные Штаты Америки, Таджикистан, Туркменистан, Турция, Узбекистан, Украина, Финляндия</w:t>
      </w:r>
      <w:proofErr w:type="gramEnd"/>
      <w:r w:rsidRPr="00FC2CCF">
        <w:t>, Франция, Хорватия, Черногория, Чешская Ре</w:t>
      </w:r>
      <w:r w:rsidRPr="00FC2CCF">
        <w:t>с</w:t>
      </w:r>
      <w:r w:rsidRPr="00FC2CCF">
        <w:t>публика, Швейцария, Швеция, и Эстония. Кроме того, были оценены показатели Косово</w:t>
      </w:r>
      <w:r w:rsidRPr="001C4F04">
        <w:rPr>
          <w:vertAlign w:val="superscript"/>
        </w:rPr>
        <w:footnoteReference w:id="4"/>
      </w:r>
      <w:r w:rsidRPr="00FC2CCF">
        <w:t>. Каждый набор данных был оценен по пяти элементам обзора, пред</w:t>
      </w:r>
      <w:r w:rsidRPr="00FC2CCF">
        <w:t>у</w:t>
      </w:r>
      <w:r w:rsidRPr="00FC2CCF">
        <w:t>смотренного механизмом отчетности СЕИС. Однако по остальным четырем эл</w:t>
      </w:r>
      <w:r w:rsidRPr="00FC2CCF">
        <w:t>е</w:t>
      </w:r>
      <w:r w:rsidRPr="00FC2CCF">
        <w:t>ментам были оценены только наборы данных, опубликованные онлайн, т.е. д</w:t>
      </w:r>
      <w:r w:rsidRPr="00FC2CCF">
        <w:t>о</w:t>
      </w:r>
      <w:r w:rsidRPr="00FC2CCF">
        <w:t>ступные в режиме онлайн, что является первым элементом обзора, предусмо</w:t>
      </w:r>
      <w:r w:rsidRPr="00FC2CCF">
        <w:t>т</w:t>
      </w:r>
      <w:r w:rsidRPr="00FC2CCF">
        <w:t>ренного механизмом отчетности.</w:t>
      </w:r>
    </w:p>
    <w:p w:rsidR="00FC2CCF" w:rsidRPr="00FC2CCF" w:rsidRDefault="00FC2CCF" w:rsidP="00FC2CCF">
      <w:pPr>
        <w:pStyle w:val="SingleTxt"/>
      </w:pPr>
      <w:r w:rsidRPr="00FC2CCF">
        <w:t>8.</w:t>
      </w:r>
      <w:r w:rsidRPr="00FC2CCF">
        <w:tab/>
        <w:t xml:space="preserve">Данный механизм отчетности был </w:t>
      </w:r>
      <w:proofErr w:type="gramStart"/>
      <w:r w:rsidRPr="00FC2CCF">
        <w:t>разработан</w:t>
      </w:r>
      <w:proofErr w:type="gramEnd"/>
      <w:r w:rsidRPr="00FC2CCF">
        <w:t xml:space="preserve"> в том числе с целью помочь странам выявить пробелы в производстве и обмене данными в соответствии с целями и показателями эффективности СЕИС и оценить во временном плане прогресс в ликвидации таких пробелов. Указанная функция будет доступна для использования странами после того, как механизм отчетности будет полностью внедрен в качестве простой прикладной программы.</w:t>
      </w:r>
    </w:p>
    <w:p w:rsidR="00FC2CCF" w:rsidRPr="00FC2CCF" w:rsidRDefault="00FC2CCF" w:rsidP="00FC2CCF">
      <w:pPr>
        <w:pStyle w:val="SingleTxt"/>
      </w:pPr>
      <w:r w:rsidRPr="00FC2CCF">
        <w:t>9.</w:t>
      </w:r>
      <w:r w:rsidRPr="00FC2CCF">
        <w:tab/>
        <w:t>Для проверки механизма отчетности секретариат</w:t>
      </w:r>
      <w:r w:rsidRPr="001C4F04">
        <w:rPr>
          <w:vertAlign w:val="superscript"/>
        </w:rPr>
        <w:footnoteReference w:id="5"/>
      </w:r>
      <w:r w:rsidRPr="00FC2CCF">
        <w:t xml:space="preserve"> разработал и предвар</w:t>
      </w:r>
      <w:r w:rsidRPr="00FC2CCF">
        <w:t>и</w:t>
      </w:r>
      <w:r w:rsidRPr="00FC2CCF">
        <w:t xml:space="preserve">тельно заполнил таблицу </w:t>
      </w:r>
      <w:proofErr w:type="spellStart"/>
      <w:r w:rsidRPr="00FC2CCF">
        <w:t>Excel</w:t>
      </w:r>
      <w:proofErr w:type="spellEnd"/>
      <w:r w:rsidRPr="00FC2CCF">
        <w:t xml:space="preserve"> для каждого набора данных и каждого из пяти элементов оценки. По причине нехватки времени проверка была выполнена се</w:t>
      </w:r>
      <w:r w:rsidRPr="00FC2CCF">
        <w:t>к</w:t>
      </w:r>
      <w:r w:rsidRPr="00FC2CCF">
        <w:t>ретариатом, а странам было просто предложено изучить и подтвердить получе</w:t>
      </w:r>
      <w:r w:rsidRPr="00FC2CCF">
        <w:t>н</w:t>
      </w:r>
      <w:r w:rsidRPr="00FC2CCF">
        <w:t>ные результаты. На момент подготовки настоящего документа секретариат пол</w:t>
      </w:r>
      <w:r w:rsidRPr="00FC2CCF">
        <w:t>у</w:t>
      </w:r>
      <w:r w:rsidRPr="00FC2CCF">
        <w:t xml:space="preserve">чил отзывы на таблицы </w:t>
      </w:r>
      <w:proofErr w:type="spellStart"/>
      <w:r w:rsidRPr="00FC2CCF">
        <w:t>Excel</w:t>
      </w:r>
      <w:proofErr w:type="spellEnd"/>
      <w:r w:rsidRPr="00FC2CCF">
        <w:t xml:space="preserve"> от 17 стран</w:t>
      </w:r>
      <w:r w:rsidRPr="001C4F04">
        <w:rPr>
          <w:vertAlign w:val="superscript"/>
        </w:rPr>
        <w:footnoteReference w:id="6"/>
      </w:r>
      <w:r w:rsidRPr="00FC2CCF">
        <w:t>, которые тем самым подтвердили п</w:t>
      </w:r>
      <w:r w:rsidRPr="00FC2CCF">
        <w:t>о</w:t>
      </w:r>
      <w:r w:rsidRPr="00FC2CCF">
        <w:lastRenderedPageBreak/>
        <w:t>ложение дел в плане создания СЕИС в сравнении с 67 наборами данных по с</w:t>
      </w:r>
      <w:r w:rsidRPr="00FC2CCF">
        <w:t>о</w:t>
      </w:r>
      <w:r w:rsidRPr="00FC2CCF">
        <w:t>стоянию на август 2015 года. Еще 13 стран</w:t>
      </w:r>
      <w:r w:rsidRPr="001C4F04">
        <w:rPr>
          <w:vertAlign w:val="superscript"/>
        </w:rPr>
        <w:footnoteReference w:id="7"/>
      </w:r>
      <w:r w:rsidRPr="00FC2CCF">
        <w:t xml:space="preserve"> изучают результаты этой оценки, о</w:t>
      </w:r>
      <w:r w:rsidRPr="00FC2CCF">
        <w:t>д</w:t>
      </w:r>
      <w:r w:rsidRPr="00FC2CCF">
        <w:t>нако они еще не сообщили секретариату о своих выводах.</w:t>
      </w:r>
    </w:p>
    <w:p w:rsidR="00FC2CCF" w:rsidRPr="00FC2CCF" w:rsidRDefault="00FC2CCF" w:rsidP="00FC2CCF">
      <w:pPr>
        <w:pStyle w:val="SingleTxt"/>
      </w:pPr>
      <w:r w:rsidRPr="00FC2CCF">
        <w:t>10.</w:t>
      </w:r>
      <w:r w:rsidRPr="00FC2CCF">
        <w:tab/>
        <w:t>Каждый набор данных в первую очередь рассматривался на предмет его о</w:t>
      </w:r>
      <w:r w:rsidRPr="00FC2CCF">
        <w:t>н</w:t>
      </w:r>
      <w:r w:rsidRPr="00FC2CCF">
        <w:t>лайновой доступности, а в случае положительного ответа далее проводилась его оценка по остальным четырем элементам. Наборы данных, которые не были д</w:t>
      </w:r>
      <w:r w:rsidRPr="00FC2CCF">
        <w:t>о</w:t>
      </w:r>
      <w:r w:rsidRPr="00FC2CCF">
        <w:t>ступны в режиме онлайн, не могли быть оценены, поскольку секретариат не имел доступа к таким данным и соответствующей информации. В этой связи важно отметить, что все страны-члены ЕАОС направляют свои данные по СЕИС неп</w:t>
      </w:r>
      <w:r w:rsidRPr="00FC2CCF">
        <w:t>о</w:t>
      </w:r>
      <w:r w:rsidRPr="00FC2CCF">
        <w:t xml:space="preserve">средственно ЕАОС, часто без их публикации на </w:t>
      </w:r>
      <w:proofErr w:type="gramStart"/>
      <w:r w:rsidRPr="00FC2CCF">
        <w:t>своих</w:t>
      </w:r>
      <w:proofErr w:type="gramEnd"/>
      <w:r w:rsidRPr="00FC2CCF">
        <w:t xml:space="preserve"> национальных веб-сайтах. Однако такая отчетность для целей обзора прогресса в деле создания общеевр</w:t>
      </w:r>
      <w:r w:rsidRPr="00FC2CCF">
        <w:t>о</w:t>
      </w:r>
      <w:r w:rsidRPr="00FC2CCF">
        <w:t>пейской СЕИС рассмотрена не была, поскольку данный подход не соответствует подходу, который был утвержден Комитетом по экологической политике при принятии им целей и показателей эффективности СЕИС.</w:t>
      </w:r>
    </w:p>
    <w:p w:rsidR="00FC2CCF" w:rsidRDefault="00FC2CCF" w:rsidP="00FD2E15">
      <w:pPr>
        <w:pStyle w:val="SingleTxt"/>
      </w:pPr>
      <w:r w:rsidRPr="00FC2CCF">
        <w:t>11.</w:t>
      </w:r>
      <w:r w:rsidRPr="00FC2CCF">
        <w:tab/>
        <w:t>В ходе оценки СЕИС значение 1 присуждалось тогда, когда секретариат подтверждал наличие в режиме онлайн необходимой информации по конкретн</w:t>
      </w:r>
      <w:r w:rsidRPr="00FC2CCF">
        <w:t>о</w:t>
      </w:r>
      <w:r w:rsidRPr="00FC2CCF">
        <w:t>му элементу оценки, а значение 0 − в случае отсутствия такой информации. В</w:t>
      </w:r>
      <w:r w:rsidR="00FD2E15">
        <w:t> </w:t>
      </w:r>
      <w:r w:rsidRPr="00FC2CCF">
        <w:t>приводимой ниже таблице указаны пять элементов, которые Рабочая группа определила в качестве основы для проведения оценки (т. е. те положительные критерии, при соблюдении которых может быть присвоено значение 1).</w:t>
      </w: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tbl>
      <w:tblPr>
        <w:tblW w:w="7479" w:type="dxa"/>
        <w:tblInd w:w="1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4520"/>
      </w:tblGrid>
      <w:tr w:rsidR="00FC2CCF" w:rsidRPr="00FC2CCF" w:rsidTr="00FC2CCF">
        <w:trPr>
          <w:tblHeader/>
        </w:trPr>
        <w:tc>
          <w:tcPr>
            <w:tcW w:w="2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2CCF" w:rsidRPr="00FC2CCF" w:rsidRDefault="00FC2CCF" w:rsidP="00FC2CC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left="29" w:right="40"/>
              <w:rPr>
                <w:i/>
                <w:sz w:val="14"/>
              </w:rPr>
            </w:pPr>
            <w:r w:rsidRPr="00FC2CCF">
              <w:rPr>
                <w:i/>
                <w:sz w:val="14"/>
              </w:rPr>
              <w:t>Элемент оценки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2CCF" w:rsidRPr="00FC2CCF" w:rsidRDefault="00FC2CCF" w:rsidP="00FC2CC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left="29" w:right="113"/>
              <w:rPr>
                <w:i/>
                <w:sz w:val="14"/>
              </w:rPr>
            </w:pPr>
            <w:r w:rsidRPr="00FC2CCF">
              <w:rPr>
                <w:i/>
                <w:sz w:val="14"/>
              </w:rPr>
              <w:t>Положительные критерии</w:t>
            </w:r>
          </w:p>
        </w:tc>
      </w:tr>
      <w:tr w:rsidR="00FC2CCF" w:rsidRPr="00FC2CCF" w:rsidTr="00FC2CCF">
        <w:trPr>
          <w:trHeight w:hRule="exact" w:val="113"/>
          <w:tblHeader/>
        </w:trPr>
        <w:tc>
          <w:tcPr>
            <w:tcW w:w="29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2CCF" w:rsidRPr="00FC2CCF" w:rsidRDefault="00FC2CCF" w:rsidP="00FC2CC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9" w:right="40"/>
              <w:rPr>
                <w:sz w:val="17"/>
              </w:rPr>
            </w:pPr>
          </w:p>
        </w:tc>
        <w:tc>
          <w:tcPr>
            <w:tcW w:w="45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2CCF" w:rsidRPr="00FC2CCF" w:rsidRDefault="00FC2CCF" w:rsidP="00FC2CCF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29" w:right="113"/>
              <w:rPr>
                <w:sz w:val="17"/>
              </w:rPr>
            </w:pPr>
          </w:p>
        </w:tc>
      </w:tr>
      <w:tr w:rsidR="00FC2CCF" w:rsidRPr="00FC2CCF" w:rsidTr="00FC2CCF">
        <w:tc>
          <w:tcPr>
            <w:tcW w:w="2959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9" w:right="40"/>
              <w:rPr>
                <w:sz w:val="17"/>
              </w:rPr>
            </w:pPr>
            <w:r w:rsidRPr="00FC2CCF">
              <w:rPr>
                <w:sz w:val="17"/>
              </w:rPr>
              <w:t>Доступность в режиме онлайн</w:t>
            </w:r>
          </w:p>
        </w:tc>
        <w:tc>
          <w:tcPr>
            <w:tcW w:w="4520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29" w:right="113"/>
              <w:rPr>
                <w:sz w:val="17"/>
              </w:rPr>
            </w:pPr>
            <w:r w:rsidRPr="00FC2CCF">
              <w:rPr>
                <w:sz w:val="17"/>
              </w:rPr>
              <w:t>Набор данных может быть легко получен любым лицом в любое время в режиме онлайн</w:t>
            </w:r>
          </w:p>
        </w:tc>
      </w:tr>
      <w:tr w:rsidR="00FC2CCF" w:rsidRPr="00FC2CCF" w:rsidTr="00FC2CCF">
        <w:tc>
          <w:tcPr>
            <w:tcW w:w="2959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9" w:right="40"/>
              <w:rPr>
                <w:sz w:val="17"/>
              </w:rPr>
            </w:pPr>
            <w:r w:rsidRPr="00FC2CCF">
              <w:rPr>
                <w:sz w:val="17"/>
              </w:rPr>
              <w:t>Регулярное обновление</w:t>
            </w:r>
          </w:p>
        </w:tc>
        <w:tc>
          <w:tcPr>
            <w:tcW w:w="4520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29" w:right="113"/>
              <w:rPr>
                <w:sz w:val="17"/>
              </w:rPr>
            </w:pPr>
            <w:r w:rsidRPr="00FC2CCF">
              <w:rPr>
                <w:sz w:val="17"/>
              </w:rPr>
              <w:t>Набор данных обновляется с использованием показ</w:t>
            </w:r>
            <w:r w:rsidRPr="00FC2CCF">
              <w:rPr>
                <w:sz w:val="17"/>
              </w:rPr>
              <w:t>а</w:t>
            </w:r>
            <w:r w:rsidRPr="00FC2CCF">
              <w:rPr>
                <w:sz w:val="17"/>
              </w:rPr>
              <w:t>телей последнего согласованного периода произво</w:t>
            </w:r>
            <w:r w:rsidRPr="00FC2CCF">
              <w:rPr>
                <w:sz w:val="17"/>
              </w:rPr>
              <w:t>д</w:t>
            </w:r>
            <w:r w:rsidRPr="00FC2CCF">
              <w:rPr>
                <w:sz w:val="17"/>
              </w:rPr>
              <w:t>ства</w:t>
            </w:r>
          </w:p>
        </w:tc>
      </w:tr>
      <w:tr w:rsidR="00FC2CCF" w:rsidRPr="00FC2CCF" w:rsidTr="00FC2CCF">
        <w:tc>
          <w:tcPr>
            <w:tcW w:w="2959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9" w:right="40"/>
              <w:rPr>
                <w:sz w:val="17"/>
              </w:rPr>
            </w:pPr>
            <w:r w:rsidRPr="00FC2CCF">
              <w:rPr>
                <w:sz w:val="17"/>
              </w:rPr>
              <w:t>Применение стандартной методики производства</w:t>
            </w:r>
          </w:p>
        </w:tc>
        <w:tc>
          <w:tcPr>
            <w:tcW w:w="4520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29" w:right="113"/>
              <w:rPr>
                <w:sz w:val="17"/>
              </w:rPr>
            </w:pPr>
            <w:r w:rsidRPr="00FC2CCF">
              <w:rPr>
                <w:sz w:val="17"/>
              </w:rPr>
              <w:t>Любое лицо может получить доступ к подробной и</w:t>
            </w:r>
            <w:r w:rsidRPr="00FC2CCF">
              <w:rPr>
                <w:sz w:val="17"/>
              </w:rPr>
              <w:t>н</w:t>
            </w:r>
            <w:r w:rsidRPr="00FC2CCF">
              <w:rPr>
                <w:sz w:val="17"/>
              </w:rPr>
              <w:t>формации о применяемой методологии и методах ра</w:t>
            </w:r>
            <w:r w:rsidRPr="00FC2CCF">
              <w:rPr>
                <w:sz w:val="17"/>
              </w:rPr>
              <w:t>с</w:t>
            </w:r>
            <w:r w:rsidRPr="00FC2CCF">
              <w:rPr>
                <w:sz w:val="17"/>
              </w:rPr>
              <w:t>чета для производства набора данных. На основе п</w:t>
            </w:r>
            <w:r w:rsidRPr="00FC2CCF">
              <w:rPr>
                <w:sz w:val="17"/>
              </w:rPr>
              <w:t>о</w:t>
            </w:r>
            <w:r w:rsidRPr="00FC2CCF">
              <w:rPr>
                <w:sz w:val="17"/>
              </w:rPr>
              <w:t>дробной информации подтверждается, что применя</w:t>
            </w:r>
            <w:r w:rsidRPr="00FC2CCF">
              <w:rPr>
                <w:sz w:val="17"/>
              </w:rPr>
              <w:t>е</w:t>
            </w:r>
            <w:r w:rsidRPr="00FC2CCF">
              <w:rPr>
                <w:sz w:val="17"/>
              </w:rPr>
              <w:t>мая методология является согласованной методологией для производства этого конкретного набора данных</w:t>
            </w:r>
          </w:p>
        </w:tc>
      </w:tr>
      <w:tr w:rsidR="00FC2CCF" w:rsidRPr="00FC2CCF" w:rsidTr="00FC2CCF">
        <w:tc>
          <w:tcPr>
            <w:tcW w:w="2959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9" w:right="40"/>
              <w:rPr>
                <w:sz w:val="17"/>
              </w:rPr>
            </w:pPr>
            <w:r w:rsidRPr="00FC2CCF">
              <w:rPr>
                <w:sz w:val="17"/>
              </w:rPr>
              <w:t>Возможность толкования данных</w:t>
            </w:r>
          </w:p>
        </w:tc>
        <w:tc>
          <w:tcPr>
            <w:tcW w:w="4520" w:type="dxa"/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29" w:right="113"/>
              <w:rPr>
                <w:sz w:val="17"/>
              </w:rPr>
            </w:pPr>
            <w:r w:rsidRPr="00FC2CCF">
              <w:rPr>
                <w:sz w:val="17"/>
              </w:rPr>
              <w:t>Набор данных дополняется информацией о том, что он отражает и как понимать изменения в показателях во временном плане, в том числе применительно к во</w:t>
            </w:r>
            <w:r w:rsidRPr="00FC2CCF">
              <w:rPr>
                <w:sz w:val="17"/>
              </w:rPr>
              <w:t>з</w:t>
            </w:r>
            <w:r w:rsidRPr="00FC2CCF">
              <w:rPr>
                <w:sz w:val="17"/>
              </w:rPr>
              <w:t>можным целям политики. Эта информация должна предоставляться на национальном языке для населения страны и на международном языке – английском и/или русском – для представителей международного соо</w:t>
            </w:r>
            <w:r w:rsidRPr="00FC2CCF">
              <w:rPr>
                <w:sz w:val="17"/>
              </w:rPr>
              <w:t>б</w:t>
            </w:r>
            <w:r w:rsidRPr="00FC2CCF">
              <w:rPr>
                <w:sz w:val="17"/>
              </w:rPr>
              <w:t>щества</w:t>
            </w:r>
          </w:p>
        </w:tc>
      </w:tr>
      <w:tr w:rsidR="00FC2CCF" w:rsidRPr="00FC2CCF" w:rsidTr="00FC2CCF">
        <w:tc>
          <w:tcPr>
            <w:tcW w:w="2959" w:type="dxa"/>
            <w:tcBorders>
              <w:bottom w:val="single" w:sz="12" w:space="0" w:color="auto"/>
            </w:tcBorders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29" w:right="40"/>
              <w:rPr>
                <w:sz w:val="17"/>
              </w:rPr>
            </w:pPr>
            <w:r w:rsidRPr="00FC2CCF">
              <w:rPr>
                <w:sz w:val="17"/>
              </w:rPr>
              <w:t>Информация об источнике данных</w:t>
            </w:r>
          </w:p>
        </w:tc>
        <w:tc>
          <w:tcPr>
            <w:tcW w:w="4520" w:type="dxa"/>
            <w:tcBorders>
              <w:bottom w:val="single" w:sz="12" w:space="0" w:color="auto"/>
            </w:tcBorders>
            <w:shd w:val="clear" w:color="auto" w:fill="auto"/>
          </w:tcPr>
          <w:p w:rsidR="00FC2CCF" w:rsidRPr="00FC2CCF" w:rsidRDefault="00FC2CCF" w:rsidP="00FC2CCF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210" w:lineRule="exact"/>
              <w:ind w:left="29" w:right="113"/>
              <w:rPr>
                <w:sz w:val="17"/>
              </w:rPr>
            </w:pPr>
            <w:r w:rsidRPr="00FC2CCF">
              <w:rPr>
                <w:sz w:val="17"/>
              </w:rPr>
              <w:t>Известно учреждение, ответственное за производство набора данных, и его контактные данные.</w:t>
            </w:r>
          </w:p>
        </w:tc>
      </w:tr>
    </w:tbl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2F5C83" w:rsidRDefault="00FC2CCF" w:rsidP="00FC2CCF">
      <w:pPr>
        <w:pStyle w:val="SingleTxt"/>
      </w:pPr>
      <w:r w:rsidRPr="002F5C83">
        <w:t>12.</w:t>
      </w:r>
      <w:r w:rsidRPr="002F5C83">
        <w:tab/>
      </w:r>
      <w:r w:rsidRPr="00A518B0">
        <w:t xml:space="preserve">В ходе проверки для некоторых элементов </w:t>
      </w:r>
      <w:r>
        <w:t>положительных критериев, с</w:t>
      </w:r>
      <w:r>
        <w:t>о</w:t>
      </w:r>
      <w:r>
        <w:t xml:space="preserve">гласованных Рабочей группой, </w:t>
      </w:r>
      <w:r w:rsidRPr="00A518B0">
        <w:t xml:space="preserve">применялись другие виды оценки. В частности, </w:t>
      </w:r>
      <w:r>
        <w:t>в отношении</w:t>
      </w:r>
      <w:r w:rsidRPr="00A518B0">
        <w:t xml:space="preserve"> применения стандартной методологии производства до сих пор не проверялось, соответствует ли применяемая страной методология междунаро</w:t>
      </w:r>
      <w:r w:rsidRPr="00A518B0">
        <w:t>д</w:t>
      </w:r>
      <w:r w:rsidRPr="00A518B0">
        <w:t xml:space="preserve">но-признанной методологии для конкретного набора данных. </w:t>
      </w:r>
      <w:proofErr w:type="gramStart"/>
      <w:r w:rsidRPr="00A518B0">
        <w:t>Значение 1 присв</w:t>
      </w:r>
      <w:r w:rsidRPr="00A518B0">
        <w:t>а</w:t>
      </w:r>
      <w:r w:rsidRPr="00A518B0">
        <w:lastRenderedPageBreak/>
        <w:t>ивалось в случае наличия подробной информация о методологии производства.</w:t>
      </w:r>
      <w:proofErr w:type="gramEnd"/>
      <w:r w:rsidRPr="00A518B0">
        <w:t xml:space="preserve"> При оценке элемента толкования данных содержание не учитывалось, т</w:t>
      </w:r>
      <w:r>
        <w:t>. </w:t>
      </w:r>
      <w:r w:rsidRPr="00A518B0">
        <w:t>е</w:t>
      </w:r>
      <w:r>
        <w:t xml:space="preserve">. </w:t>
      </w:r>
      <w:r w:rsidRPr="00A518B0">
        <w:t xml:space="preserve">не оценивалось, включал ли он оценку данных в сравнении с целями политики и имелось ли такое </w:t>
      </w:r>
      <w:proofErr w:type="gramStart"/>
      <w:r w:rsidRPr="00A518B0">
        <w:t>толкование</w:t>
      </w:r>
      <w:proofErr w:type="gramEnd"/>
      <w:r w:rsidRPr="00A518B0">
        <w:t xml:space="preserve"> как на местном языке, так и на международном языке (английском или русском). Критери</w:t>
      </w:r>
      <w:r>
        <w:t>й</w:t>
      </w:r>
      <w:r w:rsidRPr="00A518B0">
        <w:t xml:space="preserve"> оценки был довольно прост, т.е. пр</w:t>
      </w:r>
      <w:r w:rsidRPr="00A518B0">
        <w:t>о</w:t>
      </w:r>
      <w:r w:rsidRPr="00A518B0">
        <w:t>верялось, предоставлялась ли такая информация или нет.</w:t>
      </w:r>
    </w:p>
    <w:p w:rsidR="00FC2CCF" w:rsidRPr="002F5C83" w:rsidRDefault="00FC2CCF" w:rsidP="00FC2CCF">
      <w:pPr>
        <w:pStyle w:val="SingleTxt"/>
      </w:pPr>
      <w:r w:rsidRPr="002F5C83">
        <w:t>13.</w:t>
      </w:r>
      <w:r w:rsidRPr="002F5C83">
        <w:tab/>
      </w:r>
      <w:r w:rsidRPr="00A518B0">
        <w:t>При оценке регулярного обновления значение 1 присваивалось в том случае, если временные ряды были предоставлены за несколько лет, при этом по наборам данных, которые подлежат ежегодному обновлению, последний ряд данных был получен не раньше 2013 года.</w:t>
      </w: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2F5C83" w:rsidRDefault="00FC2CCF" w:rsidP="00FC2C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F5C83">
        <w:tab/>
        <w:t>A.</w:t>
      </w:r>
      <w:r w:rsidRPr="002F5C83">
        <w:tab/>
      </w:r>
      <w:r w:rsidRPr="009A5345">
        <w:t>Общие результаты</w:t>
      </w: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FC2CCF" w:rsidRDefault="00FC2CCF" w:rsidP="00FC2CCF">
      <w:pPr>
        <w:pStyle w:val="SingleTxt"/>
        <w:spacing w:after="0" w:line="120" w:lineRule="exact"/>
        <w:rPr>
          <w:sz w:val="10"/>
        </w:rPr>
      </w:pPr>
    </w:p>
    <w:p w:rsidR="00FC2CCF" w:rsidRPr="002F5C83" w:rsidRDefault="00FC2CCF" w:rsidP="00FC2CCF">
      <w:pPr>
        <w:pStyle w:val="SingleTxt"/>
      </w:pPr>
      <w:r w:rsidRPr="002F5C83">
        <w:t>14.</w:t>
      </w:r>
      <w:r w:rsidRPr="002F5C83">
        <w:tab/>
      </w:r>
      <w:r w:rsidRPr="00A518B0">
        <w:t xml:space="preserve">По состоянию на сентябрь 2015 года из 67 </w:t>
      </w:r>
      <w:r>
        <w:t xml:space="preserve">согласованных </w:t>
      </w:r>
      <w:r w:rsidRPr="00A518B0">
        <w:t xml:space="preserve">наборов данных и соответствующей информации СЕИС для 53 стран </w:t>
      </w:r>
      <w:r>
        <w:t>обще</w:t>
      </w:r>
      <w:r w:rsidRPr="00A518B0">
        <w:t>европейск</w:t>
      </w:r>
      <w:r>
        <w:t>ого региона</w:t>
      </w:r>
      <w:r w:rsidRPr="00A518B0">
        <w:t xml:space="preserve"> и Косов</w:t>
      </w:r>
      <w:r>
        <w:t>о данные имелись в среднем в 44</w:t>
      </w:r>
      <w:r w:rsidRPr="00A518B0">
        <w:t>% случаев.</w:t>
      </w:r>
    </w:p>
    <w:p w:rsidR="00FC2CCF" w:rsidRPr="002F5C83" w:rsidRDefault="00FC2CCF" w:rsidP="00FC2CCF">
      <w:pPr>
        <w:pStyle w:val="SingleTxt"/>
      </w:pPr>
      <w:r w:rsidRPr="002F5C83">
        <w:t>15.</w:t>
      </w:r>
      <w:r w:rsidRPr="002F5C83">
        <w:tab/>
      </w:r>
      <w:r w:rsidRPr="00A518B0">
        <w:t>Имеется несколько стран, для которых почти все 67 наборов данных и соо</w:t>
      </w:r>
      <w:r w:rsidRPr="00A518B0">
        <w:t>т</w:t>
      </w:r>
      <w:r w:rsidRPr="00A518B0">
        <w:t>ветствующая информация или их большинство имелись в наличии и были д</w:t>
      </w:r>
      <w:r w:rsidRPr="00A518B0">
        <w:t>о</w:t>
      </w:r>
      <w:r w:rsidRPr="00A518B0">
        <w:t xml:space="preserve">ступны в режиме онлайн. </w:t>
      </w:r>
      <w:r>
        <w:t>Это верно в отношении следующих стран</w:t>
      </w:r>
      <w:r w:rsidRPr="00A518B0">
        <w:t>: Армения, Ирландия, Казахстан, Канада, Республика Молдова, Российская Федерация и Швеция. На другом конце диапазона находятся страны, располагающие огран</w:t>
      </w:r>
      <w:r w:rsidRPr="00A518B0">
        <w:t>и</w:t>
      </w:r>
      <w:r w:rsidRPr="00A518B0">
        <w:t>ченным числом наборов данных, которые доступны в режиме онлайн, или воо</w:t>
      </w:r>
      <w:r w:rsidRPr="00A518B0">
        <w:t>б</w:t>
      </w:r>
      <w:r w:rsidRPr="00A518B0">
        <w:t>ще не имеющие таковых. Наряду с этим ожидается, что все указанные страны еще подтвердят результаты оценки и вместе с ними – положение дел в плане с</w:t>
      </w:r>
      <w:r w:rsidRPr="00A518B0">
        <w:t>о</w:t>
      </w:r>
      <w:r w:rsidRPr="00A518B0">
        <w:t>здания ими СЕИС, которое, как ожидается, улучшится.</w:t>
      </w:r>
    </w:p>
    <w:p w:rsidR="00FC2CCF" w:rsidRPr="002F5C83" w:rsidRDefault="00FC2CCF" w:rsidP="00FC2CCF">
      <w:pPr>
        <w:pStyle w:val="SingleTxt"/>
      </w:pPr>
      <w:r w:rsidRPr="002F5C83">
        <w:t>16.</w:t>
      </w:r>
      <w:r w:rsidRPr="002F5C83">
        <w:tab/>
      </w:r>
      <w:r w:rsidRPr="00A518B0">
        <w:t xml:space="preserve">Нынешний обзор, в случае подтверждения его результатов странами, даст представление о состоянии внедрения СЕИС и </w:t>
      </w:r>
      <w:r>
        <w:t>будет служить основой для сра</w:t>
      </w:r>
      <w:r>
        <w:t>в</w:t>
      </w:r>
      <w:r>
        <w:t xml:space="preserve">нения при проведении </w:t>
      </w:r>
      <w:r w:rsidRPr="00A518B0">
        <w:t>оценки прогресса в будущем.</w:t>
      </w:r>
    </w:p>
    <w:p w:rsidR="00FC2CCF" w:rsidRDefault="00FC2CCF" w:rsidP="00FC2CCF">
      <w:pPr>
        <w:pStyle w:val="SingleTxt"/>
      </w:pPr>
      <w:r w:rsidRPr="002F5C83">
        <w:t>17.</w:t>
      </w:r>
      <w:r w:rsidRPr="002F5C83">
        <w:tab/>
      </w:r>
      <w:r w:rsidRPr="00A518B0">
        <w:t xml:space="preserve">На рис. 1 </w:t>
      </w:r>
      <w:r>
        <w:t xml:space="preserve">ниже </w:t>
      </w:r>
      <w:r w:rsidRPr="00A518B0">
        <w:t>представлен, в качестве примера, базовый показатель для СЕИС по нескольким странам, которые подтвердили оценку СЕИС, проведенную секретариатом. Информация о результатах по каждому набору данных для всех стран, независимо от того, подтвердили они обзор или нет</w:t>
      </w:r>
      <w:r>
        <w:t xml:space="preserve">, </w:t>
      </w:r>
      <w:r w:rsidRPr="00A518B0">
        <w:t>представлена</w:t>
      </w:r>
      <w:r>
        <w:t xml:space="preserve"> на веб-странице семнадцатой сессии </w:t>
      </w:r>
      <w:r w:rsidRPr="00D062F7">
        <w:t>Рабочей группы</w:t>
      </w:r>
      <w:r w:rsidRPr="001C4F04">
        <w:rPr>
          <w:rStyle w:val="FootnoteReference"/>
        </w:rPr>
        <w:footnoteReference w:id="8"/>
      </w:r>
      <w:r w:rsidRPr="00D062F7">
        <w:t>.</w:t>
      </w:r>
    </w:p>
    <w:p w:rsidR="00FC2CCF" w:rsidRDefault="00FC2CCF" w:rsidP="00FC2CCF">
      <w:pPr>
        <w:pStyle w:val="SingleTxt"/>
        <w:jc w:val="left"/>
      </w:pPr>
      <w:r w:rsidRPr="003239F7">
        <w:t>Рис. 1</w:t>
      </w:r>
      <w:r w:rsidRPr="00C14464">
        <w:br/>
      </w:r>
      <w:r w:rsidRPr="009A5345">
        <w:rPr>
          <w:b/>
        </w:rPr>
        <w:t xml:space="preserve">Базовый показатель для СЕИС (в качестве примера </w:t>
      </w:r>
      <w:proofErr w:type="gramStart"/>
      <w:r w:rsidRPr="009A5345">
        <w:rPr>
          <w:b/>
        </w:rPr>
        <w:t>взяты</w:t>
      </w:r>
      <w:proofErr w:type="gramEnd"/>
      <w:r w:rsidRPr="009A5345">
        <w:rPr>
          <w:b/>
        </w:rPr>
        <w:t xml:space="preserve"> Азербайджан, Италия, Кыргызстан, Республика Молдова</w:t>
      </w:r>
      <w:r>
        <w:rPr>
          <w:b/>
        </w:rPr>
        <w:t xml:space="preserve">, </w:t>
      </w:r>
      <w:r w:rsidRPr="009A5345">
        <w:rPr>
          <w:b/>
        </w:rPr>
        <w:t>Сербия</w:t>
      </w:r>
      <w:r>
        <w:rPr>
          <w:b/>
        </w:rPr>
        <w:t xml:space="preserve"> и Швейцария</w:t>
      </w:r>
      <w:r w:rsidRPr="009A5345">
        <w:rPr>
          <w:b/>
        </w:rPr>
        <w:t>)</w:t>
      </w:r>
    </w:p>
    <w:p w:rsidR="00FC2CCF" w:rsidRPr="00B60CBE" w:rsidRDefault="00FC2CCF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425" w:type="dxa"/>
        <w:tblLayout w:type="fixed"/>
        <w:tblLook w:val="04A0" w:firstRow="1" w:lastRow="0" w:firstColumn="1" w:lastColumn="0" w:noHBand="0" w:noVBand="1"/>
      </w:tblPr>
      <w:tblGrid>
        <w:gridCol w:w="3685"/>
        <w:gridCol w:w="5103"/>
      </w:tblGrid>
      <w:tr w:rsidR="00B60CBE" w:rsidRPr="002F5C83" w:rsidTr="00B60CBE">
        <w:trPr>
          <w:trHeight w:val="2143"/>
        </w:trPr>
        <w:tc>
          <w:tcPr>
            <w:tcW w:w="3685" w:type="dxa"/>
            <w:shd w:val="clear" w:color="auto" w:fill="auto"/>
          </w:tcPr>
          <w:p w:rsidR="00B60CBE" w:rsidRPr="002F5C83" w:rsidRDefault="00B60CBE" w:rsidP="00B60CBE">
            <w:pPr>
              <w:pStyle w:val="SingleTxtG"/>
              <w:ind w:left="0"/>
              <w:rPr>
                <w:lang w:val="ru-RU"/>
              </w:rPr>
            </w:pPr>
            <w:r w:rsidRPr="002F5C83">
              <w:rPr>
                <w:noProof/>
                <w:lang w:eastAsia="en-GB"/>
              </w:rPr>
              <w:drawing>
                <wp:inline distT="0" distB="0" distL="0" distR="0" wp14:anchorId="3BCD30E4" wp14:editId="49D95E0A">
                  <wp:extent cx="1930400" cy="1212850"/>
                  <wp:effectExtent l="76200" t="57150" r="69850" b="101600"/>
                  <wp:docPr id="8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B60CBE" w:rsidRPr="002F5C83" w:rsidRDefault="00B60CBE" w:rsidP="00B60CBE">
            <w:pPr>
              <w:pStyle w:val="SingleTxtG"/>
              <w:ind w:left="0"/>
              <w:rPr>
                <w:lang w:val="ru-RU"/>
              </w:rPr>
            </w:pPr>
            <w:r w:rsidRPr="002F5C83">
              <w:rPr>
                <w:noProof/>
                <w:lang w:eastAsia="en-GB"/>
              </w:rPr>
              <w:drawing>
                <wp:inline distT="0" distB="0" distL="0" distR="0" wp14:anchorId="32F97CDA" wp14:editId="28377B28">
                  <wp:extent cx="1866900" cy="1212850"/>
                  <wp:effectExtent l="76200" t="57150" r="76200" b="101600"/>
                  <wp:docPr id="7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B60CBE" w:rsidRPr="002F5C83" w:rsidTr="00B60CBE">
        <w:trPr>
          <w:trHeight w:val="1981"/>
        </w:trPr>
        <w:tc>
          <w:tcPr>
            <w:tcW w:w="3685" w:type="dxa"/>
            <w:shd w:val="clear" w:color="auto" w:fill="auto"/>
          </w:tcPr>
          <w:p w:rsidR="00B60CBE" w:rsidRPr="002F5C83" w:rsidRDefault="00B60CBE" w:rsidP="00B60CBE">
            <w:pPr>
              <w:pStyle w:val="SingleTxtG"/>
              <w:ind w:left="0"/>
              <w:rPr>
                <w:lang w:val="ru-RU"/>
              </w:rPr>
            </w:pPr>
            <w:r w:rsidRPr="002F5C83">
              <w:rPr>
                <w:noProof/>
                <w:lang w:eastAsia="en-GB"/>
              </w:rPr>
              <w:lastRenderedPageBreak/>
              <w:drawing>
                <wp:inline distT="0" distB="0" distL="0" distR="0" wp14:anchorId="3F398E2B" wp14:editId="1E0FEF8D">
                  <wp:extent cx="1930400" cy="1231900"/>
                  <wp:effectExtent l="76200" t="57150" r="69850" b="101600"/>
                  <wp:docPr id="6" name="Cha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B60CBE" w:rsidRPr="002F5C83" w:rsidRDefault="00B60CBE" w:rsidP="00B60CBE">
            <w:pPr>
              <w:pStyle w:val="SingleTxtG"/>
              <w:ind w:left="0"/>
              <w:rPr>
                <w:lang w:val="ru-RU"/>
              </w:rPr>
            </w:pPr>
            <w:r w:rsidRPr="002F5C83">
              <w:rPr>
                <w:noProof/>
                <w:lang w:eastAsia="en-GB"/>
              </w:rPr>
              <w:drawing>
                <wp:inline distT="0" distB="0" distL="0" distR="0" wp14:anchorId="6465A539" wp14:editId="2A8073F8">
                  <wp:extent cx="1866900" cy="1231900"/>
                  <wp:effectExtent l="76200" t="57150" r="76200" b="101600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B60CBE" w:rsidRPr="002F5C83" w:rsidTr="00B60CBE">
        <w:trPr>
          <w:trHeight w:val="2222"/>
        </w:trPr>
        <w:tc>
          <w:tcPr>
            <w:tcW w:w="3685" w:type="dxa"/>
            <w:shd w:val="clear" w:color="auto" w:fill="auto"/>
          </w:tcPr>
          <w:p w:rsidR="00B60CBE" w:rsidRPr="002F5C83" w:rsidRDefault="00B60CBE" w:rsidP="00B60CBE">
            <w:pPr>
              <w:pStyle w:val="SingleTxtG"/>
              <w:ind w:left="0"/>
              <w:rPr>
                <w:lang w:val="ru-RU"/>
              </w:rPr>
            </w:pPr>
            <w:r w:rsidRPr="002F5C83">
              <w:rPr>
                <w:noProof/>
                <w:lang w:eastAsia="en-GB"/>
              </w:rPr>
              <w:drawing>
                <wp:inline distT="0" distB="0" distL="0" distR="0" wp14:anchorId="101B09CF" wp14:editId="785413A0">
                  <wp:extent cx="1930400" cy="1250950"/>
                  <wp:effectExtent l="76200" t="57150" r="69850" b="101600"/>
                  <wp:docPr id="4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B60CBE" w:rsidRPr="002F5C83" w:rsidRDefault="00B60CBE" w:rsidP="00B60CBE">
            <w:pPr>
              <w:pStyle w:val="SingleTxtG"/>
              <w:ind w:left="0"/>
              <w:rPr>
                <w:lang w:val="ru-RU"/>
              </w:rPr>
            </w:pPr>
            <w:r w:rsidRPr="002F5C83">
              <w:rPr>
                <w:noProof/>
                <w:lang w:eastAsia="en-GB"/>
              </w:rPr>
              <w:drawing>
                <wp:inline distT="0" distB="0" distL="0" distR="0" wp14:anchorId="4C81E1A0" wp14:editId="2DB9A4BF">
                  <wp:extent cx="1924050" cy="1250950"/>
                  <wp:effectExtent l="76200" t="57150" r="76200" b="101600"/>
                  <wp:docPr id="9" name="Char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B60CBE" w:rsidRPr="00B60CBE" w:rsidRDefault="00B60CBE" w:rsidP="00B60CBE">
      <w:pPr>
        <w:pStyle w:val="SingleTxt"/>
        <w:spacing w:after="0" w:line="120" w:lineRule="exact"/>
        <w:rPr>
          <w:i/>
          <w:sz w:val="10"/>
          <w:szCs w:val="18"/>
        </w:rPr>
      </w:pPr>
    </w:p>
    <w:p w:rsidR="00B60CBE" w:rsidRPr="002F5C83" w:rsidRDefault="00B60CBE" w:rsidP="00FC2CCF">
      <w:pPr>
        <w:pStyle w:val="SingleTxt"/>
      </w:pPr>
      <w:r w:rsidRPr="002F5C83">
        <w:rPr>
          <w:i/>
          <w:sz w:val="18"/>
          <w:szCs w:val="18"/>
        </w:rPr>
        <w:tab/>
      </w:r>
      <w:r w:rsidRPr="003D6750">
        <w:rPr>
          <w:i/>
          <w:sz w:val="18"/>
          <w:szCs w:val="18"/>
        </w:rPr>
        <w:t>Источник: ЕЭК.</w:t>
      </w: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0CBE">
        <w:tab/>
        <w:t>B.</w:t>
      </w:r>
      <w:r w:rsidRPr="00B60CBE">
        <w:tab/>
        <w:t>Результаты по тематическим областям и наборам данных</w:t>
      </w: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0023BF">
      <w:pPr>
        <w:pStyle w:val="SingleTxt"/>
      </w:pPr>
      <w:r w:rsidRPr="00B60CBE">
        <w:t>18.</w:t>
      </w:r>
      <w:r w:rsidRPr="00B60CBE">
        <w:tab/>
        <w:t>Действительно, наличие и доступность наборов данных и соответствующей информации зависит от тематических областей. В целом, результативность по тематическим областям выше среднего показателя для таких областей, как би</w:t>
      </w:r>
      <w:r w:rsidRPr="00B60CBE">
        <w:t>о</w:t>
      </w:r>
      <w:r w:rsidRPr="00B60CBE">
        <w:t>логическое разнообразие (на 11</w:t>
      </w:r>
      <w:r w:rsidR="000023BF">
        <w:t>-</w:t>
      </w:r>
      <w:r w:rsidRPr="00B60CBE">
        <w:t xml:space="preserve">процентных пунктов), изменение климата </w:t>
      </w:r>
      <w:r w:rsidR="000023BF">
        <w:br/>
      </w:r>
      <w:r w:rsidRPr="00B60CBE">
        <w:t>(на 11</w:t>
      </w:r>
      <w:r w:rsidR="000023BF">
        <w:t>-</w:t>
      </w:r>
      <w:r w:rsidRPr="00B60CBE">
        <w:t>процентных пунктов), энергетика (на 10</w:t>
      </w:r>
      <w:r w:rsidR="000023BF">
        <w:t>-</w:t>
      </w:r>
      <w:r w:rsidRPr="00B60CBE">
        <w:t>процентных пунктов) и загрязн</w:t>
      </w:r>
      <w:r w:rsidRPr="00B60CBE">
        <w:t>е</w:t>
      </w:r>
      <w:r w:rsidRPr="00B60CBE">
        <w:t>ние воздуха и истощение озонового слоя (на 3</w:t>
      </w:r>
      <w:r w:rsidR="000023BF">
        <w:t>-</w:t>
      </w:r>
      <w:r w:rsidRPr="00B60CBE">
        <w:t>процентных пункта).</w:t>
      </w:r>
    </w:p>
    <w:p w:rsidR="00B60CBE" w:rsidRPr="00B60CBE" w:rsidRDefault="00B60CBE" w:rsidP="00FD2E15">
      <w:pPr>
        <w:pStyle w:val="SingleTxt"/>
      </w:pPr>
      <w:r w:rsidRPr="00B60CBE">
        <w:t>19.</w:t>
      </w:r>
      <w:r w:rsidRPr="00B60CBE">
        <w:tab/>
        <w:t>Ниже общего среднего уровня оказались такие тематические области, как</w:t>
      </w:r>
      <w:r w:rsidR="00FD2E15">
        <w:t> </w:t>
      </w:r>
      <w:r w:rsidRPr="00B60CBE">
        <w:t>количество отходов (на 1</w:t>
      </w:r>
      <w:r w:rsidR="000023BF">
        <w:t>-</w:t>
      </w:r>
      <w:r w:rsidRPr="00B60CBE">
        <w:t>процентный пункт), состояние земельных ресурсов и</w:t>
      </w:r>
      <w:r w:rsidR="00FD2E15">
        <w:t> </w:t>
      </w:r>
      <w:r w:rsidRPr="00B60CBE">
        <w:t>почвы (на 8</w:t>
      </w:r>
      <w:r w:rsidR="000023BF">
        <w:t>-</w:t>
      </w:r>
      <w:r w:rsidRPr="00B60CBE">
        <w:t xml:space="preserve">процентных пунктов) и состояние водных ресурсов </w:t>
      </w:r>
      <w:r w:rsidR="00FD2E15">
        <w:br/>
      </w:r>
      <w:r w:rsidRPr="00B60CBE">
        <w:t>(на 7</w:t>
      </w:r>
      <w:r w:rsidR="000023BF">
        <w:t>-</w:t>
      </w:r>
      <w:r w:rsidRPr="00B60CBE">
        <w:t>процентных пунктов).</w:t>
      </w:r>
    </w:p>
    <w:p w:rsidR="00B60CBE" w:rsidRPr="00B60CBE" w:rsidRDefault="00B60CBE" w:rsidP="00B60CBE">
      <w:pPr>
        <w:pStyle w:val="SingleTxt"/>
      </w:pPr>
      <w:r w:rsidRPr="00B60CBE">
        <w:t>20.</w:t>
      </w:r>
      <w:r w:rsidRPr="00B60CBE">
        <w:tab/>
        <w:t>При анализе отдельных наборов данных и соответствующей информации становится ясно, что сведения о выбросах оксидов азота и диоксида серы в атм</w:t>
      </w:r>
      <w:r w:rsidRPr="00B60CBE">
        <w:t>о</w:t>
      </w:r>
      <w:r w:rsidRPr="00B60CBE">
        <w:t>сферу и связанная с ними информация являются наиболее широкодоступными и имеются по всем 67 наборам данных. Было установлено, что в среднем для 8 из 10 ст</w:t>
      </w:r>
      <w:r w:rsidR="000023BF">
        <w:t>ран (т. е. 82% стран для оксидов азота и 78</w:t>
      </w:r>
      <w:r w:rsidRPr="00B60CBE">
        <w:t>% стран для диоксида серы) т</w:t>
      </w:r>
      <w:r w:rsidRPr="00B60CBE">
        <w:t>а</w:t>
      </w:r>
      <w:r w:rsidRPr="00B60CBE">
        <w:t>кие данные о выбросах и соответствующая информация присутствуют и могут быть получены в режиме онлайн. Затем следуют другие данные о выбросах в а</w:t>
      </w:r>
      <w:r w:rsidRPr="00B60CBE">
        <w:t>т</w:t>
      </w:r>
      <w:r w:rsidRPr="00B60CBE">
        <w:t xml:space="preserve">мосферу (для оксида углерода, аммиака и </w:t>
      </w:r>
      <w:proofErr w:type="spellStart"/>
      <w:r w:rsidRPr="00B60CBE">
        <w:t>неметановых</w:t>
      </w:r>
      <w:proofErr w:type="spellEnd"/>
      <w:r w:rsidRPr="00B60CBE">
        <w:t xml:space="preserve"> летучих органических соединений); данные о биологическом разнообразии (общая площадь районов, находящихся под защитой); данные о выбросах парниковых газов (ПГ); данные о качестве воздуха (концентрации диоксида азота и диоксида серы); данные о к</w:t>
      </w:r>
      <w:r w:rsidRPr="00B60CBE">
        <w:t>о</w:t>
      </w:r>
      <w:r w:rsidRPr="00B60CBE">
        <w:t>личестве отходов (общий объем отходов), которые имеются в наличии и досту</w:t>
      </w:r>
      <w:r w:rsidRPr="00B60CBE">
        <w:t>п</w:t>
      </w:r>
      <w:r w:rsidRPr="00B60CBE">
        <w:t xml:space="preserve">ны в среднем более чем </w:t>
      </w:r>
      <w:r w:rsidR="000023BF">
        <w:t>по 6 из 10 стран (чуть более 60</w:t>
      </w:r>
      <w:r w:rsidRPr="00B60CBE">
        <w:t>%). На рис. 2 ниже пре</w:t>
      </w:r>
      <w:r w:rsidRPr="00B60CBE">
        <w:t>д</w:t>
      </w:r>
      <w:r w:rsidRPr="00B60CBE">
        <w:t>ставлен список из 20 наборов данных с наивысшими показателями с точки зр</w:t>
      </w:r>
      <w:r w:rsidRPr="00B60CBE">
        <w:t>е</w:t>
      </w:r>
      <w:r w:rsidRPr="00B60CBE">
        <w:t>ния результатов.</w:t>
      </w:r>
    </w:p>
    <w:p w:rsidR="00B60CBE" w:rsidRPr="00B60CBE" w:rsidRDefault="00B60CBE" w:rsidP="000023BF">
      <w:pPr>
        <w:pStyle w:val="SingleTxt"/>
      </w:pPr>
      <w:r w:rsidRPr="00B60CBE">
        <w:t>21.</w:t>
      </w:r>
      <w:r w:rsidRPr="00B60CBE">
        <w:tab/>
        <w:t>На другом конце диапазона находятс</w:t>
      </w:r>
      <w:r w:rsidR="000023BF">
        <w:t xml:space="preserve">я данные по водным ресурсам </w:t>
      </w:r>
      <w:r w:rsidR="00FD2E15">
        <w:br/>
      </w:r>
      <w:r w:rsidR="000023BF">
        <w:t>(14</w:t>
      </w:r>
      <w:r w:rsidRPr="00B60CBE">
        <w:t>% стран) – численность населения, имеющего и не имеющего доступа к вод</w:t>
      </w:r>
      <w:r w:rsidRPr="00B60CBE">
        <w:t>о</w:t>
      </w:r>
      <w:r w:rsidRPr="00B60CBE">
        <w:t>снабжению, и индекс э</w:t>
      </w:r>
      <w:r w:rsidR="000023BF">
        <w:t>ксплуатации водных ресурсов (20</w:t>
      </w:r>
      <w:r w:rsidRPr="00B60CBE">
        <w:t xml:space="preserve">% стран), для которых </w:t>
      </w:r>
      <w:r w:rsidRPr="00B60CBE">
        <w:lastRenderedPageBreak/>
        <w:t>показатель наличия и доступности данных и связанной с ними информации с</w:t>
      </w:r>
      <w:r w:rsidRPr="00B60CBE">
        <w:t>о</w:t>
      </w:r>
      <w:r w:rsidRPr="00B60CBE">
        <w:t>ставляет порядка 1</w:t>
      </w:r>
      <w:r w:rsidR="000023BF">
        <w:t>–</w:t>
      </w:r>
      <w:r w:rsidRPr="00B60CBE">
        <w:t>2 страны из 10 стран. Затем следуют другие наборы данных о водных ресурсах и отходах, а также данные о выбросах стойких органических загрязнителей (СОЗ) в атмосферу, показатель наличия и доступности для кот</w:t>
      </w:r>
      <w:r w:rsidRPr="00B60CBE">
        <w:t>о</w:t>
      </w:r>
      <w:r w:rsidRPr="00B60CBE">
        <w:t>рых несколько превышает 2 страны из 10 стран (22</w:t>
      </w:r>
      <w:r w:rsidR="000023BF">
        <w:t>–</w:t>
      </w:r>
      <w:r w:rsidRPr="00B60CBE">
        <w:t>25 % стран). На рис. 3 пр</w:t>
      </w:r>
      <w:r w:rsidRPr="00B60CBE">
        <w:t>и</w:t>
      </w:r>
      <w:r w:rsidRPr="00B60CBE">
        <w:t>веден перечень из 20 наборов данных с самым низким числом результатов.</w:t>
      </w: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0CBE">
        <w:tab/>
        <w:t>C.</w:t>
      </w:r>
      <w:r w:rsidRPr="00B60CBE">
        <w:tab/>
        <w:t>Результаты по элементам оценки</w:t>
      </w: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B60CBE">
      <w:pPr>
        <w:pStyle w:val="SingleTxt"/>
        <w:spacing w:after="0" w:line="120" w:lineRule="exact"/>
        <w:rPr>
          <w:sz w:val="10"/>
        </w:rPr>
      </w:pPr>
    </w:p>
    <w:p w:rsidR="00B60CBE" w:rsidRPr="00B60CBE" w:rsidRDefault="00B60CBE" w:rsidP="000023BF">
      <w:pPr>
        <w:pStyle w:val="SingleTxt"/>
      </w:pPr>
      <w:r w:rsidRPr="00B60CBE">
        <w:t>22.</w:t>
      </w:r>
      <w:r w:rsidRPr="00B60CBE">
        <w:tab/>
        <w:t>В том случае, если наборы данных публикуются в режиме онлайн, страны, как правило, также предоставляют информацию о методологии, используемой для их производства и об источниках данных, а также о толковании данных. В</w:t>
      </w:r>
      <w:r w:rsidR="000023BF">
        <w:t> </w:t>
      </w:r>
      <w:r w:rsidRPr="00B60CBE">
        <w:t>среднем, толкование данных и информация об источниках данных предоста</w:t>
      </w:r>
      <w:r w:rsidRPr="00B60CBE">
        <w:t>в</w:t>
      </w:r>
      <w:r w:rsidRPr="00B60CBE">
        <w:t xml:space="preserve">ляются в случае практически каждого опубликованного набора данных и ссылки на примененную методологию </w:t>
      </w:r>
      <w:proofErr w:type="gramStart"/>
      <w:r w:rsidRPr="00B60CBE">
        <w:t>по</w:t>
      </w:r>
      <w:proofErr w:type="gramEnd"/>
      <w:r w:rsidRPr="00B60CBE">
        <w:t xml:space="preserve"> примерно 9 из 10 опубликованных наборов данных.</w:t>
      </w:r>
    </w:p>
    <w:p w:rsidR="00B60CBE" w:rsidRPr="00B60CBE" w:rsidRDefault="00B60CBE" w:rsidP="00B60CBE">
      <w:pPr>
        <w:pStyle w:val="SingleTxt"/>
      </w:pPr>
      <w:r w:rsidRPr="00B60CBE">
        <w:t>23.</w:t>
      </w:r>
      <w:r w:rsidRPr="00B60CBE">
        <w:tab/>
        <w:t xml:space="preserve">В отношении толкования данных самая низкая оценка </w:t>
      </w:r>
      <w:r w:rsidR="000023BF">
        <w:t>для набора данных составляет 88</w:t>
      </w:r>
      <w:r w:rsidRPr="00B60CBE">
        <w:t>% стран, предоставляющих такой элемент, при этом для 35 наборов данных все страны с данными, доступными в режиме онлайн, предоставили да</w:t>
      </w:r>
      <w:r w:rsidRPr="00B60CBE">
        <w:t>н</w:t>
      </w:r>
      <w:r w:rsidRPr="00B60CBE">
        <w:t>ные о толков</w:t>
      </w:r>
      <w:r w:rsidR="000023BF">
        <w:t>ание, т. е. оценка достигла 100</w:t>
      </w:r>
      <w:r w:rsidRPr="00B60CBE">
        <w:t>%.</w:t>
      </w:r>
    </w:p>
    <w:p w:rsidR="00B60CBE" w:rsidRPr="00B60CBE" w:rsidRDefault="00B60CBE" w:rsidP="00B60CBE">
      <w:pPr>
        <w:pStyle w:val="SingleTxt"/>
      </w:pPr>
      <w:r w:rsidRPr="00B60CBE">
        <w:t>24.</w:t>
      </w:r>
      <w:r w:rsidRPr="00B60CBE">
        <w:tab/>
        <w:t>Самый низкий показатель по странам, сообщающим об источ</w:t>
      </w:r>
      <w:r w:rsidR="000023BF">
        <w:t>нике данных, составляет 77</w:t>
      </w:r>
      <w:r w:rsidRPr="00B60CBE">
        <w:t>%. Для 29 наборов данных показатель достиг 100%.</w:t>
      </w:r>
    </w:p>
    <w:p w:rsidR="00B60CBE" w:rsidRPr="00B60CBE" w:rsidRDefault="00B60CBE" w:rsidP="00B60CBE">
      <w:pPr>
        <w:pStyle w:val="SingleTxt"/>
      </w:pPr>
      <w:r w:rsidRPr="00B60CBE">
        <w:t>25.</w:t>
      </w:r>
      <w:r w:rsidRPr="00B60CBE">
        <w:tab/>
        <w:t xml:space="preserve">Аналогичным образом, в отношении ссылок или информации, касающихся методологии производства данных, набор данных с самым низким числом стран, предоставляющих </w:t>
      </w:r>
      <w:r w:rsidR="000023BF">
        <w:t>такую информацию, составляет 74</w:t>
      </w:r>
      <w:r w:rsidRPr="00B60CBE">
        <w:t>%. Для 5 набор</w:t>
      </w:r>
      <w:r w:rsidR="000023BF">
        <w:t>ов данных показатель достиг 100</w:t>
      </w:r>
      <w:r w:rsidRPr="00B60CBE">
        <w:t>%.</w:t>
      </w:r>
    </w:p>
    <w:p w:rsidR="00B60CBE" w:rsidRPr="00B60CBE" w:rsidRDefault="00B60CBE" w:rsidP="00B60CBE">
      <w:pPr>
        <w:pStyle w:val="SingleTxt"/>
      </w:pPr>
      <w:r w:rsidRPr="00B60CBE">
        <w:t>26.</w:t>
      </w:r>
      <w:r w:rsidRPr="00B60CBE">
        <w:tab/>
        <w:t>Оценка показателя применения методологии в отношении стандартных наборов данных может быть более низкой в том случае, если данный показатель оценивается также с точки зрения того, насколько он соответствует принятым на международном уровне стандартам. Аналогичным образом, показатель толков</w:t>
      </w:r>
      <w:r w:rsidRPr="00B60CBE">
        <w:t>а</w:t>
      </w:r>
      <w:r w:rsidRPr="00B60CBE">
        <w:t>ния данных может быть более низким, если принимаются во внимание аспекты доступности толкования на местном и международном языках или соотношения оцениваемых данных с целями политики.</w:t>
      </w:r>
    </w:p>
    <w:p w:rsidR="00FC2CCF" w:rsidRPr="00201287" w:rsidRDefault="00B60CBE" w:rsidP="00B60CBE">
      <w:pPr>
        <w:pStyle w:val="SingleTxt"/>
      </w:pPr>
      <w:r w:rsidRPr="00B60CBE">
        <w:t>27.</w:t>
      </w:r>
      <w:r w:rsidRPr="00B60CBE">
        <w:tab/>
        <w:t>Как представляется, некоторые проблемы возникли в отношении показателя регулярности обновления наборов данных. В среднем, для 1 из 4 опубликова</w:t>
      </w:r>
      <w:r w:rsidRPr="00B60CBE">
        <w:t>н</w:t>
      </w:r>
      <w:r w:rsidRPr="00B60CBE">
        <w:t xml:space="preserve">ных наборов данных представленный временной ряд не был обновлен, т.е. самый последний  временной ряд имеется только за 2012 год. По 10 наборам данных </w:t>
      </w:r>
      <w:r w:rsidR="00FD2E15">
        <w:t>более чем в 30</w:t>
      </w:r>
      <w:r w:rsidRPr="00B60CBE">
        <w:t>% случаев данные обновлены не были. Нет ни одного вида набора данных, по которому все страны представили обновленные временные ряды.</w:t>
      </w:r>
    </w:p>
    <w:p w:rsidR="001B0A77" w:rsidRPr="00201287" w:rsidRDefault="001B0A77" w:rsidP="00B60CBE">
      <w:pPr>
        <w:pStyle w:val="SingleTxt"/>
      </w:pPr>
    </w:p>
    <w:p w:rsidR="001B0A77" w:rsidRPr="00201287" w:rsidRDefault="001B0A77" w:rsidP="00B60CBE">
      <w:pPr>
        <w:pStyle w:val="SingleTxt"/>
        <w:sectPr w:rsidR="001B0A77" w:rsidRPr="00201287" w:rsidSect="0005756C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1B0A77" w:rsidRDefault="00D57B0F" w:rsidP="00AB4CA0">
      <w:pPr>
        <w:pStyle w:val="SingleTxt"/>
        <w:ind w:left="288"/>
        <w:jc w:val="left"/>
        <w:rPr>
          <w:b/>
        </w:rPr>
      </w:pPr>
      <w:r w:rsidRPr="0051207B">
        <w:lastRenderedPageBreak/>
        <w:t>Рис. 2</w:t>
      </w:r>
      <w:r w:rsidRPr="002F5C83">
        <w:br/>
      </w:r>
      <w:r w:rsidRPr="0051207B">
        <w:rPr>
          <w:b/>
        </w:rPr>
        <w:t>Наборы данных СЕИС с самыми высокими результатами</w:t>
      </w:r>
    </w:p>
    <w:p w:rsidR="00FD2E15" w:rsidRPr="00FD2E15" w:rsidRDefault="00FD2E15" w:rsidP="00FD2E15">
      <w:pPr>
        <w:pStyle w:val="SingleTxt"/>
        <w:spacing w:after="0" w:line="120" w:lineRule="exact"/>
        <w:ind w:left="288"/>
        <w:jc w:val="left"/>
        <w:rPr>
          <w:b/>
          <w:sz w:val="10"/>
        </w:rPr>
      </w:pPr>
    </w:p>
    <w:p w:rsidR="00FD2E15" w:rsidRPr="00FD2E15" w:rsidRDefault="00FD2E15" w:rsidP="00FD2E15">
      <w:pPr>
        <w:pStyle w:val="SingleTxt"/>
        <w:spacing w:after="0" w:line="120" w:lineRule="exact"/>
        <w:ind w:left="288"/>
        <w:jc w:val="left"/>
        <w:rPr>
          <w:sz w:val="10"/>
        </w:rPr>
      </w:pPr>
    </w:p>
    <w:p w:rsidR="001B0A77" w:rsidRDefault="00D57B0F" w:rsidP="00AB4CA0">
      <w:pPr>
        <w:pStyle w:val="SingleTxt"/>
        <w:spacing w:line="240" w:lineRule="auto"/>
        <w:ind w:left="288"/>
      </w:pPr>
      <w:r w:rsidRPr="002F5C83">
        <w:rPr>
          <w:noProof/>
          <w:lang w:val="en-GB" w:eastAsia="en-GB"/>
        </w:rPr>
        <w:drawing>
          <wp:inline distT="0" distB="0" distL="0" distR="0" wp14:anchorId="6C80CCCA" wp14:editId="243D4C4F">
            <wp:extent cx="5810250" cy="35909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D2E15" w:rsidRPr="00FD2E15" w:rsidRDefault="00FD2E15" w:rsidP="00FD2E15">
      <w:pPr>
        <w:pStyle w:val="SingleTxt"/>
        <w:spacing w:after="0" w:line="120" w:lineRule="exact"/>
        <w:ind w:left="288"/>
        <w:rPr>
          <w:sz w:val="10"/>
        </w:rPr>
      </w:pPr>
    </w:p>
    <w:p w:rsidR="001B0A77" w:rsidRPr="00201287" w:rsidRDefault="00043225" w:rsidP="00AB4CA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288" w:right="1267" w:hanging="288"/>
      </w:pPr>
      <w:r>
        <w:rPr>
          <w:i/>
          <w:iCs/>
          <w:lang w:val="en-US"/>
        </w:rPr>
        <w:tab/>
      </w:r>
      <w:r w:rsidRPr="00043225">
        <w:rPr>
          <w:i/>
          <w:iCs/>
        </w:rPr>
        <w:t>Источник</w:t>
      </w:r>
      <w:r w:rsidRPr="00292E41">
        <w:t>: ЕЭК.</w:t>
      </w:r>
    </w:p>
    <w:p w:rsidR="00043225" w:rsidRPr="00201287" w:rsidRDefault="00043225" w:rsidP="00AB4CA0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288" w:right="1267" w:hanging="288"/>
        <w:rPr>
          <w:sz w:val="10"/>
        </w:rPr>
      </w:pPr>
    </w:p>
    <w:p w:rsidR="00043225" w:rsidRPr="00AB4CA0" w:rsidRDefault="00043225" w:rsidP="00554C2D">
      <w:pPr>
        <w:pStyle w:val="SingleTxt"/>
        <w:tabs>
          <w:tab w:val="left" w:pos="630"/>
        </w:tabs>
        <w:spacing w:after="0" w:line="220" w:lineRule="exact"/>
        <w:ind w:left="288" w:right="216"/>
        <w:rPr>
          <w:sz w:val="18"/>
          <w:szCs w:val="18"/>
        </w:rPr>
      </w:pPr>
      <w:r w:rsidRPr="00201287">
        <w:rPr>
          <w:i/>
          <w:sz w:val="18"/>
          <w:szCs w:val="18"/>
        </w:rPr>
        <w:tab/>
      </w:r>
      <w:proofErr w:type="gramStart"/>
      <w:r w:rsidRPr="00AB4CA0">
        <w:rPr>
          <w:i/>
          <w:sz w:val="18"/>
          <w:szCs w:val="18"/>
        </w:rPr>
        <w:t>2-Выбросы окислов азота, выраженные в диоксиде азота (общий объем, из стационарных и мобильных и</w:t>
      </w:r>
      <w:r w:rsidRPr="00AB4CA0">
        <w:rPr>
          <w:i/>
          <w:sz w:val="18"/>
          <w:szCs w:val="18"/>
        </w:rPr>
        <w:t>с</w:t>
      </w:r>
      <w:r w:rsidRPr="00AB4CA0">
        <w:rPr>
          <w:i/>
          <w:sz w:val="18"/>
          <w:szCs w:val="18"/>
        </w:rPr>
        <w:t>точников); 1-Выбросы серы, выраженные в двуокиси серы (общий объем, из стационарных и мобильных источн</w:t>
      </w:r>
      <w:r w:rsidRPr="00AB4CA0">
        <w:rPr>
          <w:i/>
          <w:sz w:val="18"/>
          <w:szCs w:val="18"/>
        </w:rPr>
        <w:t>и</w:t>
      </w:r>
      <w:r w:rsidRPr="00AB4CA0">
        <w:rPr>
          <w:i/>
          <w:sz w:val="18"/>
          <w:szCs w:val="18"/>
        </w:rPr>
        <w:t xml:space="preserve">ков); 5-Выбросы </w:t>
      </w:r>
      <w:proofErr w:type="spellStart"/>
      <w:r w:rsidRPr="00AB4CA0">
        <w:rPr>
          <w:i/>
          <w:sz w:val="18"/>
          <w:szCs w:val="18"/>
        </w:rPr>
        <w:t>моноксида</w:t>
      </w:r>
      <w:proofErr w:type="spellEnd"/>
      <w:r w:rsidRPr="00AB4CA0">
        <w:rPr>
          <w:i/>
          <w:sz w:val="18"/>
          <w:szCs w:val="18"/>
        </w:rPr>
        <w:t xml:space="preserve"> углерода (общий объем, из стационарных и мобильных источников); </w:t>
      </w:r>
      <w:r w:rsidR="000023BF">
        <w:rPr>
          <w:i/>
          <w:sz w:val="18"/>
          <w:szCs w:val="18"/>
        </w:rPr>
        <w:br/>
      </w:r>
      <w:r w:rsidRPr="00AB4CA0">
        <w:rPr>
          <w:i/>
          <w:sz w:val="18"/>
          <w:szCs w:val="18"/>
        </w:rPr>
        <w:t>16-Среднегодовой показатель концентрации диоксида азота; 4-Выбросы аммиака (общий объем, из стациона</w:t>
      </w:r>
      <w:r w:rsidRPr="00AB4CA0">
        <w:rPr>
          <w:i/>
          <w:sz w:val="18"/>
          <w:szCs w:val="18"/>
        </w:rPr>
        <w:t>р</w:t>
      </w:r>
      <w:r w:rsidRPr="00AB4CA0">
        <w:rPr>
          <w:i/>
          <w:sz w:val="18"/>
          <w:szCs w:val="18"/>
        </w:rPr>
        <w:t>ных и мобильных источников);</w:t>
      </w:r>
      <w:proofErr w:type="gramEnd"/>
      <w:r w:rsidRPr="00AB4CA0">
        <w:rPr>
          <w:i/>
          <w:sz w:val="18"/>
          <w:szCs w:val="18"/>
        </w:rPr>
        <w:t xml:space="preserve"> 60-Общий объем образования отходов; 3-Выбросы </w:t>
      </w:r>
      <w:proofErr w:type="spellStart"/>
      <w:r w:rsidRPr="00AB4CA0">
        <w:rPr>
          <w:i/>
          <w:sz w:val="18"/>
          <w:szCs w:val="18"/>
        </w:rPr>
        <w:t>неметановых</w:t>
      </w:r>
      <w:proofErr w:type="spellEnd"/>
      <w:r w:rsidRPr="00AB4CA0">
        <w:rPr>
          <w:i/>
          <w:sz w:val="18"/>
          <w:szCs w:val="18"/>
        </w:rPr>
        <w:t xml:space="preserve"> летучих орган</w:t>
      </w:r>
      <w:r w:rsidRPr="00AB4CA0">
        <w:rPr>
          <w:i/>
          <w:sz w:val="18"/>
          <w:szCs w:val="18"/>
        </w:rPr>
        <w:t>и</w:t>
      </w:r>
      <w:r w:rsidRPr="00AB4CA0">
        <w:rPr>
          <w:i/>
          <w:sz w:val="18"/>
          <w:szCs w:val="18"/>
        </w:rPr>
        <w:t>ческих соединений (НЛОС) (общий объем, из стационарных и мобильных источников); 15-Среднегодовой показ</w:t>
      </w:r>
      <w:r w:rsidRPr="00AB4CA0">
        <w:rPr>
          <w:i/>
          <w:sz w:val="18"/>
          <w:szCs w:val="18"/>
        </w:rPr>
        <w:t>а</w:t>
      </w:r>
      <w:r w:rsidRPr="00AB4CA0">
        <w:rPr>
          <w:i/>
          <w:sz w:val="18"/>
          <w:szCs w:val="18"/>
        </w:rPr>
        <w:t>тель концентрации двуокиси серы; 28-Совокупные выбросы парниковых газов, в том числе выбросы/поглощения по категориям ЗИЗЛХ; 50-Общее количество районов, имеющих охраняемый статус (категории Международн</w:t>
      </w:r>
      <w:r w:rsidRPr="00AB4CA0">
        <w:rPr>
          <w:i/>
          <w:sz w:val="18"/>
          <w:szCs w:val="18"/>
        </w:rPr>
        <w:t>о</w:t>
      </w:r>
      <w:r w:rsidRPr="00AB4CA0">
        <w:rPr>
          <w:i/>
          <w:sz w:val="18"/>
          <w:szCs w:val="18"/>
        </w:rPr>
        <w:t xml:space="preserve">го союза охраны природы); 17-Среднегодовой показатель концентрации приземного озона; </w:t>
      </w:r>
      <w:proofErr w:type="gramStart"/>
      <w:r w:rsidRPr="00AB4CA0">
        <w:rPr>
          <w:i/>
          <w:sz w:val="18"/>
          <w:szCs w:val="18"/>
        </w:rPr>
        <w:t>56-Общее конечное энергопотребление; 29-Совокупные выбросы ПГ в разбивке по энергетике, промышленному производству, испол</w:t>
      </w:r>
      <w:r w:rsidRPr="00AB4CA0">
        <w:rPr>
          <w:i/>
          <w:sz w:val="18"/>
          <w:szCs w:val="18"/>
        </w:rPr>
        <w:t>ь</w:t>
      </w:r>
      <w:r w:rsidRPr="00AB4CA0">
        <w:rPr>
          <w:i/>
          <w:sz w:val="18"/>
          <w:szCs w:val="18"/>
        </w:rPr>
        <w:t>зованию растворителей и других продуктов, сельскому хозяйству, землепользованию и лесному хозяйству, удал</w:t>
      </w:r>
      <w:r w:rsidRPr="00AB4CA0">
        <w:rPr>
          <w:i/>
          <w:sz w:val="18"/>
          <w:szCs w:val="18"/>
        </w:rPr>
        <w:t>е</w:t>
      </w:r>
      <w:r w:rsidRPr="00AB4CA0">
        <w:rPr>
          <w:i/>
          <w:sz w:val="18"/>
          <w:szCs w:val="18"/>
        </w:rPr>
        <w:t>нию отходов; 62-Объем образования опасных отходов; 57-Конечное энергопотребление в разбивке по категориям (промышленность, транспорт, домохозяйства, коммерческие и государственные услуги, сельское, лесное и ры</w:t>
      </w:r>
      <w:r w:rsidRPr="00AB4CA0">
        <w:rPr>
          <w:i/>
          <w:sz w:val="18"/>
          <w:szCs w:val="18"/>
        </w:rPr>
        <w:t>б</w:t>
      </w:r>
      <w:r w:rsidRPr="00AB4CA0">
        <w:rPr>
          <w:i/>
          <w:sz w:val="18"/>
          <w:szCs w:val="18"/>
        </w:rPr>
        <w:t>ное хозяйство, другие неопределенные области, не связанные с потреблением энергии);</w:t>
      </w:r>
      <w:proofErr w:type="gramEnd"/>
      <w:r w:rsidRPr="00AB4CA0">
        <w:rPr>
          <w:i/>
          <w:sz w:val="18"/>
          <w:szCs w:val="18"/>
        </w:rPr>
        <w:t xml:space="preserve"> </w:t>
      </w:r>
      <w:proofErr w:type="gramStart"/>
      <w:r w:rsidRPr="00AB4CA0">
        <w:rPr>
          <w:i/>
          <w:sz w:val="18"/>
          <w:szCs w:val="18"/>
        </w:rPr>
        <w:t>51-Общая площадь лесных массивов  (леса и другие лесопокрытые земли); 13-Выбросы ТЧ10 (общий объем, из стационарных и мобильных источников); 18-Среднегодовой показатель концентрации ТЧ; 61-Образование отходов в разбивке по источникам (сельское, лесное и рыбное хозяйство; горная добыча и карьерные разработки; обрабатывающая промышле</w:t>
      </w:r>
      <w:r w:rsidRPr="00AB4CA0">
        <w:rPr>
          <w:i/>
          <w:sz w:val="18"/>
          <w:szCs w:val="18"/>
        </w:rPr>
        <w:t>н</w:t>
      </w:r>
      <w:r w:rsidRPr="00AB4CA0">
        <w:rPr>
          <w:i/>
          <w:sz w:val="18"/>
          <w:szCs w:val="18"/>
        </w:rPr>
        <w:t>ность; снабжение электричеством, газом, паром и кондиционирование воздуха; строительство; другие виды эк</w:t>
      </w:r>
      <w:r w:rsidRPr="00AB4CA0">
        <w:rPr>
          <w:i/>
          <w:sz w:val="18"/>
          <w:szCs w:val="18"/>
        </w:rPr>
        <w:t>о</w:t>
      </w:r>
      <w:r w:rsidRPr="00AB4CA0">
        <w:rPr>
          <w:i/>
          <w:sz w:val="18"/>
          <w:szCs w:val="18"/>
        </w:rPr>
        <w:t>номической деятельности;</w:t>
      </w:r>
      <w:proofErr w:type="gramEnd"/>
      <w:r w:rsidRPr="00AB4CA0">
        <w:rPr>
          <w:i/>
          <w:sz w:val="18"/>
          <w:szCs w:val="18"/>
        </w:rPr>
        <w:t xml:space="preserve"> домашние хозяйства); 26-Среднегодовое отклонение от долгосрочной средней темп</w:t>
      </w:r>
      <w:r w:rsidRPr="00AB4CA0">
        <w:rPr>
          <w:i/>
          <w:sz w:val="18"/>
          <w:szCs w:val="18"/>
        </w:rPr>
        <w:t>е</w:t>
      </w:r>
      <w:r w:rsidRPr="00AB4CA0">
        <w:rPr>
          <w:i/>
          <w:sz w:val="18"/>
          <w:szCs w:val="18"/>
        </w:rPr>
        <w:t>ратуры.</w:t>
      </w:r>
    </w:p>
    <w:p w:rsidR="00043225" w:rsidRDefault="006F338F" w:rsidP="00AB4CA0">
      <w:pPr>
        <w:pStyle w:val="SingleTxt"/>
        <w:ind w:left="288"/>
        <w:jc w:val="left"/>
        <w:rPr>
          <w:b/>
        </w:rPr>
      </w:pPr>
      <w:r>
        <w:br w:type="page"/>
      </w:r>
      <w:r w:rsidR="00C45A41">
        <w:lastRenderedPageBreak/>
        <w:t>Р</w:t>
      </w:r>
      <w:r w:rsidR="00043225" w:rsidRPr="006F4B99">
        <w:t>ис. 3</w:t>
      </w:r>
      <w:r w:rsidR="00043225" w:rsidRPr="002F5C83">
        <w:br/>
      </w:r>
      <w:r w:rsidR="00043225" w:rsidRPr="006F4B99">
        <w:rPr>
          <w:b/>
        </w:rPr>
        <w:t>Наборы данных СЕИС с самыми низкими результатами</w:t>
      </w:r>
    </w:p>
    <w:p w:rsidR="00FD2E15" w:rsidRPr="00FD2E15" w:rsidRDefault="00FD2E15" w:rsidP="00FD2E15">
      <w:pPr>
        <w:pStyle w:val="SingleTxt"/>
        <w:spacing w:after="0" w:line="120" w:lineRule="exact"/>
        <w:ind w:left="288"/>
        <w:jc w:val="left"/>
        <w:rPr>
          <w:b/>
          <w:sz w:val="10"/>
        </w:rPr>
      </w:pPr>
    </w:p>
    <w:p w:rsidR="00FD2E15" w:rsidRPr="00FD2E15" w:rsidRDefault="00FD2E15" w:rsidP="00FD2E15">
      <w:pPr>
        <w:pStyle w:val="SingleTxt"/>
        <w:spacing w:after="0" w:line="120" w:lineRule="exact"/>
        <w:ind w:left="288"/>
        <w:jc w:val="left"/>
        <w:rPr>
          <w:b/>
          <w:sz w:val="10"/>
        </w:rPr>
      </w:pPr>
    </w:p>
    <w:p w:rsidR="00043225" w:rsidRDefault="00043225" w:rsidP="00AB4CA0">
      <w:pPr>
        <w:pStyle w:val="SingleTxt"/>
        <w:spacing w:line="240" w:lineRule="auto"/>
        <w:ind w:left="288"/>
        <w:rPr>
          <w:b/>
          <w:lang w:val="en-US"/>
        </w:rPr>
      </w:pPr>
      <w:r w:rsidRPr="002F5C83">
        <w:rPr>
          <w:noProof/>
          <w:lang w:val="en-GB" w:eastAsia="en-GB"/>
        </w:rPr>
        <w:drawing>
          <wp:inline distT="0" distB="0" distL="0" distR="0" wp14:anchorId="349C4144" wp14:editId="6980AECF">
            <wp:extent cx="6153150" cy="390525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4CA0" w:rsidRPr="00AB4CA0" w:rsidRDefault="00AB4CA0" w:rsidP="00AB4CA0">
      <w:pPr>
        <w:pStyle w:val="SingleTxt"/>
        <w:spacing w:after="0" w:line="120" w:lineRule="exact"/>
        <w:ind w:left="288"/>
        <w:rPr>
          <w:i/>
          <w:sz w:val="10"/>
          <w:szCs w:val="18"/>
        </w:rPr>
      </w:pPr>
    </w:p>
    <w:p w:rsidR="00043225" w:rsidRPr="00201287" w:rsidRDefault="00043225" w:rsidP="00AB4CA0">
      <w:pPr>
        <w:pStyle w:val="SingleTxt"/>
        <w:ind w:left="288"/>
        <w:rPr>
          <w:i/>
          <w:sz w:val="18"/>
          <w:szCs w:val="18"/>
        </w:rPr>
      </w:pPr>
      <w:r w:rsidRPr="006F4B99">
        <w:rPr>
          <w:i/>
          <w:sz w:val="18"/>
          <w:szCs w:val="18"/>
        </w:rPr>
        <w:t>Источник: ЕЭК.</w:t>
      </w:r>
    </w:p>
    <w:p w:rsidR="00043225" w:rsidRPr="00201287" w:rsidRDefault="00043225" w:rsidP="00AB4CA0">
      <w:pPr>
        <w:pStyle w:val="SingleTxt"/>
        <w:spacing w:after="0" w:line="120" w:lineRule="exact"/>
        <w:ind w:left="288"/>
        <w:rPr>
          <w:i/>
          <w:sz w:val="10"/>
          <w:szCs w:val="18"/>
        </w:rPr>
      </w:pPr>
    </w:p>
    <w:p w:rsidR="00AB4CA0" w:rsidRPr="00201287" w:rsidRDefault="00AB4CA0" w:rsidP="00AB4CA0">
      <w:pPr>
        <w:pStyle w:val="SingleTxt"/>
        <w:spacing w:after="0" w:line="100" w:lineRule="exact"/>
        <w:ind w:left="288"/>
        <w:rPr>
          <w:i/>
          <w:sz w:val="10"/>
          <w:szCs w:val="18"/>
        </w:rPr>
      </w:pPr>
    </w:p>
    <w:p w:rsidR="00043225" w:rsidRPr="00AB4CA0" w:rsidRDefault="00043225" w:rsidP="00554C2D">
      <w:pPr>
        <w:pStyle w:val="SingleTxt"/>
        <w:tabs>
          <w:tab w:val="left" w:pos="630"/>
        </w:tabs>
        <w:spacing w:after="0" w:line="220" w:lineRule="exact"/>
        <w:ind w:left="288" w:right="216"/>
        <w:rPr>
          <w:spacing w:val="-8"/>
          <w:sz w:val="18"/>
          <w:szCs w:val="18"/>
        </w:rPr>
      </w:pPr>
      <w:r w:rsidRPr="00201287">
        <w:rPr>
          <w:i/>
          <w:spacing w:val="-8"/>
          <w:sz w:val="18"/>
          <w:szCs w:val="18"/>
        </w:rPr>
        <w:tab/>
      </w:r>
      <w:proofErr w:type="gramStart"/>
      <w:r w:rsidRPr="00AB4CA0">
        <w:rPr>
          <w:i/>
          <w:spacing w:val="-8"/>
          <w:sz w:val="18"/>
          <w:szCs w:val="18"/>
        </w:rPr>
        <w:t>12-Общий объем выбросов взвешенных частиц (ОВЧ) (общий объем, из стационарных и мобильных источников); 9-Выбросы полициклических ароматических углеводородов (ПАУ) (общий объем, из стационарных и мобильных источников); 55-Землеотводы для горнодобывающей промышленности и разработки карьеров, строительства, обрабатывающей промышленности, технич</w:t>
      </w:r>
      <w:r w:rsidRPr="00AB4CA0">
        <w:rPr>
          <w:i/>
          <w:spacing w:val="-8"/>
          <w:sz w:val="18"/>
          <w:szCs w:val="18"/>
        </w:rPr>
        <w:t>е</w:t>
      </w:r>
      <w:r w:rsidRPr="00AB4CA0">
        <w:rPr>
          <w:i/>
          <w:spacing w:val="-8"/>
          <w:sz w:val="18"/>
          <w:szCs w:val="18"/>
        </w:rPr>
        <w:t>ской инфраструктуры, транспортной и складской инфраструктуры, жилищного строительства, включая рекреационные объе</w:t>
      </w:r>
      <w:r w:rsidRPr="00AB4CA0">
        <w:rPr>
          <w:i/>
          <w:spacing w:val="-8"/>
          <w:sz w:val="18"/>
          <w:szCs w:val="18"/>
        </w:rPr>
        <w:t>к</w:t>
      </w:r>
      <w:r w:rsidRPr="00AB4CA0">
        <w:rPr>
          <w:i/>
          <w:spacing w:val="-8"/>
          <w:sz w:val="18"/>
          <w:szCs w:val="18"/>
        </w:rPr>
        <w:t xml:space="preserve">ты, мусорные полигоны, свалки и </w:t>
      </w:r>
      <w:proofErr w:type="spellStart"/>
      <w:r w:rsidRPr="00AB4CA0">
        <w:rPr>
          <w:i/>
          <w:spacing w:val="-8"/>
          <w:sz w:val="18"/>
          <w:szCs w:val="18"/>
        </w:rPr>
        <w:t>хвостохранилища</w:t>
      </w:r>
      <w:proofErr w:type="spellEnd"/>
      <w:r w:rsidRPr="00AB4CA0">
        <w:rPr>
          <w:i/>
          <w:spacing w:val="-8"/>
          <w:sz w:val="18"/>
          <w:szCs w:val="18"/>
        </w:rPr>
        <w:t>;</w:t>
      </w:r>
      <w:proofErr w:type="gramEnd"/>
      <w:r w:rsidRPr="00AB4CA0">
        <w:rPr>
          <w:i/>
          <w:spacing w:val="-8"/>
          <w:sz w:val="18"/>
          <w:szCs w:val="18"/>
        </w:rPr>
        <w:t xml:space="preserve"> </w:t>
      </w:r>
      <w:proofErr w:type="gramStart"/>
      <w:r w:rsidRPr="00AB4CA0">
        <w:rPr>
          <w:i/>
          <w:spacing w:val="-8"/>
          <w:sz w:val="18"/>
          <w:szCs w:val="18"/>
        </w:rPr>
        <w:t xml:space="preserve">34-Общие запасы питьевой воды; 25-Общий потенциал разрушения озонового слоя (ОПРОС) </w:t>
      </w:r>
      <w:proofErr w:type="spellStart"/>
      <w:r w:rsidRPr="00AB4CA0">
        <w:rPr>
          <w:i/>
          <w:spacing w:val="-8"/>
          <w:sz w:val="18"/>
          <w:szCs w:val="18"/>
        </w:rPr>
        <w:t>метилбромида</w:t>
      </w:r>
      <w:proofErr w:type="spellEnd"/>
      <w:r w:rsidRPr="00AB4CA0">
        <w:rPr>
          <w:i/>
          <w:spacing w:val="-8"/>
          <w:sz w:val="18"/>
          <w:szCs w:val="18"/>
        </w:rPr>
        <w:t xml:space="preserve">; 32-Забор пресной воды в разбивке по водоснабжению, домашним хозяйствам, сельскому хозяйству, лесоводству и рыболовству, промышленности, производству электроэнергии и другим видам экономической деятельности; </w:t>
      </w:r>
      <w:r w:rsidR="000023BF">
        <w:rPr>
          <w:i/>
          <w:spacing w:val="-8"/>
          <w:sz w:val="18"/>
          <w:szCs w:val="18"/>
        </w:rPr>
        <w:br/>
      </w:r>
      <w:r w:rsidRPr="00AB4CA0">
        <w:rPr>
          <w:i/>
          <w:spacing w:val="-8"/>
          <w:sz w:val="18"/>
          <w:szCs w:val="18"/>
        </w:rPr>
        <w:t xml:space="preserve">67-Объем опасных отходов на хранении; 36-Потери воды при транспортировке; 11-Выбросы </w:t>
      </w:r>
      <w:proofErr w:type="spellStart"/>
      <w:r w:rsidRPr="00AB4CA0">
        <w:rPr>
          <w:i/>
          <w:spacing w:val="-8"/>
          <w:sz w:val="18"/>
          <w:szCs w:val="18"/>
        </w:rPr>
        <w:t>полихлорированных</w:t>
      </w:r>
      <w:proofErr w:type="spellEnd"/>
      <w:r w:rsidRPr="00AB4CA0">
        <w:rPr>
          <w:i/>
          <w:spacing w:val="-8"/>
          <w:sz w:val="18"/>
          <w:szCs w:val="18"/>
        </w:rPr>
        <w:t xml:space="preserve"> </w:t>
      </w:r>
      <w:proofErr w:type="spellStart"/>
      <w:r w:rsidRPr="00AB4CA0">
        <w:rPr>
          <w:i/>
          <w:spacing w:val="-8"/>
          <w:sz w:val="18"/>
          <w:szCs w:val="18"/>
        </w:rPr>
        <w:t>дибензопаради</w:t>
      </w:r>
      <w:r w:rsidRPr="00AB4CA0">
        <w:rPr>
          <w:i/>
          <w:spacing w:val="-8"/>
          <w:sz w:val="18"/>
          <w:szCs w:val="18"/>
        </w:rPr>
        <w:t>о</w:t>
      </w:r>
      <w:r w:rsidRPr="00AB4CA0">
        <w:rPr>
          <w:i/>
          <w:spacing w:val="-8"/>
          <w:sz w:val="18"/>
          <w:szCs w:val="18"/>
        </w:rPr>
        <w:t>ксинов</w:t>
      </w:r>
      <w:proofErr w:type="spellEnd"/>
      <w:r w:rsidRPr="00AB4CA0">
        <w:rPr>
          <w:i/>
          <w:spacing w:val="-8"/>
          <w:sz w:val="18"/>
          <w:szCs w:val="18"/>
        </w:rPr>
        <w:t xml:space="preserve"> и </w:t>
      </w:r>
      <w:proofErr w:type="spellStart"/>
      <w:r w:rsidRPr="00AB4CA0">
        <w:rPr>
          <w:i/>
          <w:spacing w:val="-8"/>
          <w:sz w:val="18"/>
          <w:szCs w:val="18"/>
        </w:rPr>
        <w:t>полихлорированных</w:t>
      </w:r>
      <w:proofErr w:type="spellEnd"/>
      <w:r w:rsidRPr="00AB4CA0">
        <w:rPr>
          <w:i/>
          <w:spacing w:val="-8"/>
          <w:sz w:val="18"/>
          <w:szCs w:val="18"/>
        </w:rPr>
        <w:t xml:space="preserve"> </w:t>
      </w:r>
      <w:proofErr w:type="spellStart"/>
      <w:r w:rsidRPr="00AB4CA0">
        <w:rPr>
          <w:i/>
          <w:spacing w:val="-8"/>
          <w:sz w:val="18"/>
          <w:szCs w:val="18"/>
        </w:rPr>
        <w:t>дибензофуранов</w:t>
      </w:r>
      <w:proofErr w:type="spellEnd"/>
      <w:r w:rsidRPr="00AB4CA0">
        <w:rPr>
          <w:i/>
          <w:spacing w:val="-8"/>
          <w:sz w:val="18"/>
          <w:szCs w:val="18"/>
        </w:rPr>
        <w:t xml:space="preserve"> (ПХДД/Ф) (общий объем, из стационарных и мобильных источников);</w:t>
      </w:r>
      <w:proofErr w:type="gramEnd"/>
      <w:r w:rsidRPr="00AB4CA0">
        <w:rPr>
          <w:i/>
          <w:spacing w:val="-8"/>
          <w:sz w:val="18"/>
          <w:szCs w:val="18"/>
        </w:rPr>
        <w:t xml:space="preserve"> </w:t>
      </w:r>
      <w:proofErr w:type="gramStart"/>
      <w:r w:rsidRPr="00AB4CA0">
        <w:rPr>
          <w:i/>
          <w:spacing w:val="-8"/>
          <w:sz w:val="18"/>
          <w:szCs w:val="18"/>
        </w:rPr>
        <w:t xml:space="preserve">22-Общий ОПРОС четыреххлористого углерода; 10-Выбросы </w:t>
      </w:r>
      <w:proofErr w:type="spellStart"/>
      <w:r w:rsidRPr="00AB4CA0">
        <w:rPr>
          <w:i/>
          <w:spacing w:val="-8"/>
          <w:sz w:val="18"/>
          <w:szCs w:val="18"/>
        </w:rPr>
        <w:t>полихлорированных</w:t>
      </w:r>
      <w:proofErr w:type="spellEnd"/>
      <w:r w:rsidRPr="00AB4CA0">
        <w:rPr>
          <w:i/>
          <w:spacing w:val="-8"/>
          <w:sz w:val="18"/>
          <w:szCs w:val="18"/>
        </w:rPr>
        <w:t xml:space="preserve"> дифенилов (ПХД) (общий объем, из стационарных и м</w:t>
      </w:r>
      <w:r w:rsidRPr="00AB4CA0">
        <w:rPr>
          <w:i/>
          <w:spacing w:val="-8"/>
          <w:sz w:val="18"/>
          <w:szCs w:val="18"/>
        </w:rPr>
        <w:t>о</w:t>
      </w:r>
      <w:r w:rsidRPr="00AB4CA0">
        <w:rPr>
          <w:i/>
          <w:spacing w:val="-8"/>
          <w:sz w:val="18"/>
          <w:szCs w:val="18"/>
        </w:rPr>
        <w:t xml:space="preserve">бильных источников); 20-Общий ОПРОС </w:t>
      </w:r>
      <w:proofErr w:type="spellStart"/>
      <w:r w:rsidRPr="00AB4CA0">
        <w:rPr>
          <w:i/>
          <w:spacing w:val="-8"/>
          <w:sz w:val="18"/>
          <w:szCs w:val="18"/>
        </w:rPr>
        <w:t>галонов</w:t>
      </w:r>
      <w:proofErr w:type="spellEnd"/>
      <w:r w:rsidRPr="00AB4CA0">
        <w:rPr>
          <w:i/>
          <w:spacing w:val="-8"/>
          <w:sz w:val="18"/>
          <w:szCs w:val="18"/>
        </w:rPr>
        <w:t>; 30-Возобновляемые ресурсы пресной воды; 49-Неочищенные/недостаточно очищенные сточные воды; 47-Сточные воды, очищенные на городских станциях очистки (первичная, вторичная и третичная очистка); 63-Объем ввоза опасных отходов; 64-Объем вывоза опасных отходов; 23-Общий ОПРОС 1,1,1-трихлорэтана;</w:t>
      </w:r>
      <w:proofErr w:type="gramEnd"/>
      <w:r w:rsidRPr="00AB4CA0">
        <w:rPr>
          <w:i/>
          <w:spacing w:val="-8"/>
          <w:sz w:val="18"/>
          <w:szCs w:val="18"/>
        </w:rPr>
        <w:t xml:space="preserve"> </w:t>
      </w:r>
      <w:r w:rsidR="000023BF">
        <w:rPr>
          <w:i/>
          <w:spacing w:val="-8"/>
          <w:sz w:val="18"/>
          <w:szCs w:val="18"/>
        </w:rPr>
        <w:br/>
      </w:r>
      <w:r w:rsidRPr="00AB4CA0">
        <w:rPr>
          <w:i/>
          <w:spacing w:val="-8"/>
          <w:sz w:val="18"/>
          <w:szCs w:val="18"/>
        </w:rPr>
        <w:t xml:space="preserve">21-Общий ОПРОС других полностью </w:t>
      </w:r>
      <w:proofErr w:type="spellStart"/>
      <w:r w:rsidRPr="00AB4CA0">
        <w:rPr>
          <w:i/>
          <w:spacing w:val="-8"/>
          <w:sz w:val="18"/>
          <w:szCs w:val="18"/>
        </w:rPr>
        <w:t>галогенизированных</w:t>
      </w:r>
      <w:proofErr w:type="spellEnd"/>
      <w:r w:rsidRPr="00AB4CA0">
        <w:rPr>
          <w:i/>
          <w:spacing w:val="-8"/>
          <w:sz w:val="18"/>
          <w:szCs w:val="18"/>
        </w:rPr>
        <w:t xml:space="preserve"> ХФУ; 46-Численность населения, имеющего доступ к канализации </w:t>
      </w:r>
      <w:r w:rsidR="00FD2E15">
        <w:rPr>
          <w:i/>
          <w:spacing w:val="-8"/>
          <w:sz w:val="18"/>
          <w:szCs w:val="18"/>
        </w:rPr>
        <w:br/>
      </w:r>
      <w:r w:rsidRPr="00AB4CA0">
        <w:rPr>
          <w:i/>
          <w:spacing w:val="-8"/>
          <w:sz w:val="18"/>
          <w:szCs w:val="18"/>
        </w:rPr>
        <w:t>(с очистными сооружениями и без них); 33-Индекс эксплуатации водных ресурсов; 38-Численность населения, имеющего и не им</w:t>
      </w:r>
      <w:r w:rsidRPr="00AB4CA0">
        <w:rPr>
          <w:i/>
          <w:spacing w:val="-8"/>
          <w:sz w:val="18"/>
          <w:szCs w:val="18"/>
        </w:rPr>
        <w:t>е</w:t>
      </w:r>
      <w:r w:rsidRPr="00AB4CA0">
        <w:rPr>
          <w:i/>
          <w:spacing w:val="-8"/>
          <w:sz w:val="18"/>
          <w:szCs w:val="18"/>
        </w:rPr>
        <w:t>ющего доступа к водоснабжению.</w:t>
      </w:r>
    </w:p>
    <w:p w:rsidR="0050594A" w:rsidRPr="002F5C83" w:rsidRDefault="001B0A77" w:rsidP="005059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0594A">
        <w:br w:type="page"/>
      </w:r>
      <w:r w:rsidR="006F338F" w:rsidRPr="0050594A">
        <w:lastRenderedPageBreak/>
        <w:tab/>
      </w:r>
      <w:r w:rsidR="0050594A" w:rsidRPr="002F5C83">
        <w:t>III.</w:t>
      </w:r>
      <w:r w:rsidR="0050594A" w:rsidRPr="002F5C83">
        <w:tab/>
      </w:r>
      <w:r w:rsidR="0050594A" w:rsidRPr="00A511DF">
        <w:t>Выводы и будущая работа</w:t>
      </w:r>
    </w:p>
    <w:p w:rsidR="0050594A" w:rsidRPr="0050594A" w:rsidRDefault="0050594A" w:rsidP="0050594A">
      <w:pPr>
        <w:pStyle w:val="SingleTxt"/>
        <w:spacing w:after="0" w:line="120" w:lineRule="exact"/>
        <w:rPr>
          <w:sz w:val="10"/>
        </w:rPr>
      </w:pPr>
    </w:p>
    <w:p w:rsidR="0050594A" w:rsidRPr="0050594A" w:rsidRDefault="0050594A" w:rsidP="0050594A">
      <w:pPr>
        <w:pStyle w:val="SingleTxt"/>
        <w:spacing w:after="0" w:line="120" w:lineRule="exact"/>
        <w:rPr>
          <w:sz w:val="10"/>
        </w:rPr>
      </w:pPr>
    </w:p>
    <w:p w:rsidR="0050594A" w:rsidRPr="002F5C83" w:rsidRDefault="0050594A" w:rsidP="0050594A">
      <w:pPr>
        <w:pStyle w:val="SingleTxt"/>
      </w:pPr>
      <w:r w:rsidRPr="002F5C83">
        <w:t>28.</w:t>
      </w:r>
      <w:r w:rsidRPr="002F5C83">
        <w:tab/>
      </w:r>
      <w:r w:rsidRPr="00A511DF">
        <w:t xml:space="preserve">В настоящем докладе показано, что 28 стран достигли удовлетворительных результатов в отношении СЕИС (в режиме онлайн </w:t>
      </w:r>
      <w:r>
        <w:t xml:space="preserve">было </w:t>
      </w:r>
      <w:r w:rsidR="000023BF">
        <w:t>доступно более 50</w:t>
      </w:r>
      <w:r w:rsidRPr="00A511DF">
        <w:t xml:space="preserve">% данных и связанной с ними информации), в то время как существует несколько стран, по которым в режиме онлайн </w:t>
      </w:r>
      <w:r>
        <w:t xml:space="preserve">было </w:t>
      </w:r>
      <w:r w:rsidRPr="00A511DF">
        <w:t>опубликовано небольшое число наб</w:t>
      </w:r>
      <w:r w:rsidRPr="00A511DF">
        <w:t>о</w:t>
      </w:r>
      <w:r w:rsidRPr="00A511DF">
        <w:t>ров данных или они вообще отсутствуют.</w:t>
      </w:r>
    </w:p>
    <w:p w:rsidR="0050594A" w:rsidRPr="002F5C83" w:rsidRDefault="0050594A" w:rsidP="0050594A">
      <w:pPr>
        <w:pStyle w:val="SingleTxt"/>
      </w:pPr>
      <w:r w:rsidRPr="002F5C83">
        <w:t>29.</w:t>
      </w:r>
      <w:r w:rsidRPr="002F5C83">
        <w:tab/>
      </w:r>
      <w:r w:rsidRPr="00A511DF">
        <w:t>Существует несколько наборов данных, которые публикуются лишь огран</w:t>
      </w:r>
      <w:r w:rsidRPr="00A511DF">
        <w:t>и</w:t>
      </w:r>
      <w:r w:rsidRPr="00A511DF">
        <w:t>ченным числом стран. Кроме того, нельзя считать полностью удовлетворител</w:t>
      </w:r>
      <w:r w:rsidRPr="00A511DF">
        <w:t>ь</w:t>
      </w:r>
      <w:r w:rsidRPr="00A511DF">
        <w:t>ным положение с обновлением данных с использованием самых последних вр</w:t>
      </w:r>
      <w:r w:rsidRPr="00A511DF">
        <w:t>е</w:t>
      </w:r>
      <w:r w:rsidRPr="00A511DF">
        <w:t>менных рядов. С другой стороны, у стран, как представляется, не возникают проблемы с предоставлением ссылок на методологии сбора данных, толкованием данных и источниками данных.</w:t>
      </w:r>
    </w:p>
    <w:p w:rsidR="0050594A" w:rsidRPr="002F5C83" w:rsidRDefault="0050594A" w:rsidP="0050594A">
      <w:pPr>
        <w:pStyle w:val="SingleTxt"/>
      </w:pPr>
      <w:r w:rsidRPr="002F5C83">
        <w:t>30.</w:t>
      </w:r>
      <w:r w:rsidRPr="002F5C83">
        <w:tab/>
      </w:r>
      <w:r w:rsidRPr="00D846F9">
        <w:t>Наряду с этим, в настоящей оценке не учитывалось, насколько произво</w:t>
      </w:r>
      <w:r w:rsidRPr="00D846F9">
        <w:t>д</w:t>
      </w:r>
      <w:r w:rsidRPr="00D846F9">
        <w:t xml:space="preserve">ство данных соответствует </w:t>
      </w:r>
      <w:proofErr w:type="spellStart"/>
      <w:r w:rsidRPr="00D846F9">
        <w:t>международно</w:t>
      </w:r>
      <w:proofErr w:type="spellEnd"/>
      <w:r w:rsidRPr="00D846F9">
        <w:t xml:space="preserve"> признанным стандартам. Оценке не подвергались ни вид, ни качество толкования данных (см. пункт 12). </w:t>
      </w:r>
      <w:r>
        <w:t>Такое пол</w:t>
      </w:r>
      <w:r>
        <w:t>о</w:t>
      </w:r>
      <w:r>
        <w:t>жение</w:t>
      </w:r>
      <w:r w:rsidRPr="00D846F9">
        <w:t xml:space="preserve"> необходимо будет исправить в ходе следующего раунда оценки.</w:t>
      </w:r>
    </w:p>
    <w:p w:rsidR="0050594A" w:rsidRPr="002F5C83" w:rsidRDefault="0050594A" w:rsidP="0050594A">
      <w:pPr>
        <w:pStyle w:val="SingleTxt"/>
      </w:pPr>
      <w:r w:rsidRPr="002F5C83">
        <w:t>31.</w:t>
      </w:r>
      <w:r w:rsidRPr="002F5C83">
        <w:tab/>
      </w:r>
      <w:r w:rsidRPr="00D846F9">
        <w:t>Оценка результатов по странам была проведена в рамках испытания мех</w:t>
      </w:r>
      <w:r w:rsidRPr="00D846F9">
        <w:t>а</w:t>
      </w:r>
      <w:r w:rsidRPr="00D846F9">
        <w:t xml:space="preserve">низма отчетности </w:t>
      </w:r>
      <w:r>
        <w:t>СЕИС</w:t>
      </w:r>
      <w:r w:rsidRPr="00D846F9">
        <w:t xml:space="preserve"> путем предварительного заполнения секретариатом д</w:t>
      </w:r>
      <w:r w:rsidRPr="00D846F9">
        <w:t>о</w:t>
      </w:r>
      <w:r w:rsidRPr="00D846F9">
        <w:t>кументов о наличии и доступности в режиме онлайн наборов данных СЕИС и связанной с ними информации. Такое предварительное заполнение требует пр</w:t>
      </w:r>
      <w:r w:rsidRPr="00D846F9">
        <w:t>о</w:t>
      </w:r>
      <w:r w:rsidRPr="00D846F9">
        <w:t xml:space="preserve">верки странами и, одновременно с этим, подтверждения ими состояния </w:t>
      </w:r>
      <w:r>
        <w:t>СЕИС</w:t>
      </w:r>
      <w:r w:rsidRPr="00D846F9">
        <w:t xml:space="preserve"> в сравнении с 67 наборами данных СЕИС. Такую проверку провели только </w:t>
      </w:r>
      <w:r w:rsidR="000023BF">
        <w:br/>
      </w:r>
      <w:r w:rsidRPr="00D846F9">
        <w:t>1</w:t>
      </w:r>
      <w:r>
        <w:t>7</w:t>
      </w:r>
      <w:r w:rsidRPr="00D846F9">
        <w:t xml:space="preserve"> стран общеевропейского региона, в то время как 38 странам, а также Косово еще предстоит это сделать. Ожидается, что после проверки странами показатели СЕИС в целом улучшатся.</w:t>
      </w:r>
    </w:p>
    <w:p w:rsidR="0050594A" w:rsidRPr="002F5C83" w:rsidRDefault="0050594A" w:rsidP="0050594A">
      <w:pPr>
        <w:pStyle w:val="SingleTxt"/>
      </w:pPr>
      <w:r w:rsidRPr="002F5C83">
        <w:t>32.</w:t>
      </w:r>
      <w:r w:rsidRPr="002F5C83">
        <w:tab/>
      </w:r>
      <w:r w:rsidRPr="00D846F9">
        <w:t>После завершения такой проверки всеми странами общеевропейского рег</w:t>
      </w:r>
      <w:r w:rsidRPr="00D846F9">
        <w:t>и</w:t>
      </w:r>
      <w:r w:rsidRPr="00D846F9">
        <w:t xml:space="preserve">она анализ </w:t>
      </w:r>
      <w:r>
        <w:t>будет</w:t>
      </w:r>
      <w:r w:rsidRPr="00D846F9">
        <w:t xml:space="preserve"> обновлен, с </w:t>
      </w:r>
      <w:proofErr w:type="gramStart"/>
      <w:r w:rsidRPr="00D846F9">
        <w:t>тем</w:t>
      </w:r>
      <w:proofErr w:type="gramEnd"/>
      <w:r w:rsidRPr="00D846F9">
        <w:t xml:space="preserve"> чтобы продемонстрировать, на основе по</w:t>
      </w:r>
      <w:r w:rsidRPr="00D846F9">
        <w:t>д</w:t>
      </w:r>
      <w:r w:rsidRPr="00D846F9">
        <w:t>твержденных данных, положение в этих странах в плане создания СЕИС.</w:t>
      </w:r>
    </w:p>
    <w:p w:rsidR="0050594A" w:rsidRPr="002F5C83" w:rsidRDefault="0050594A" w:rsidP="000023BF">
      <w:pPr>
        <w:pStyle w:val="SingleTxt"/>
      </w:pPr>
      <w:r w:rsidRPr="002F5C83">
        <w:t>34.</w:t>
      </w:r>
      <w:r w:rsidRPr="002F5C83">
        <w:tab/>
      </w:r>
      <w:r w:rsidRPr="00D846F9">
        <w:t>Показатели стран всегда будут рассматриваться с учетом их прошлых р</w:t>
      </w:r>
      <w:r w:rsidRPr="00D846F9">
        <w:t>е</w:t>
      </w:r>
      <w:r w:rsidRPr="00D846F9">
        <w:t xml:space="preserve">зультатов в деле создания </w:t>
      </w:r>
      <w:r>
        <w:t>СЕИС. С</w:t>
      </w:r>
      <w:r w:rsidRPr="00D846F9">
        <w:t>транам, уровень деятельности которы</w:t>
      </w:r>
      <w:r>
        <w:t>х в</w:t>
      </w:r>
      <w:r w:rsidR="000023BF">
        <w:t> </w:t>
      </w:r>
      <w:r>
        <w:t>настоящий момент</w:t>
      </w:r>
      <w:r w:rsidRPr="00D846F9">
        <w:t xml:space="preserve"> не</w:t>
      </w:r>
      <w:r>
        <w:t xml:space="preserve"> является </w:t>
      </w:r>
      <w:r w:rsidRPr="00D846F9">
        <w:t>удовлетворительным</w:t>
      </w:r>
      <w:r>
        <w:t xml:space="preserve">, следует добиваться </w:t>
      </w:r>
      <w:r w:rsidRPr="00D846F9">
        <w:t>улу</w:t>
      </w:r>
      <w:r w:rsidRPr="00D846F9">
        <w:t>ч</w:t>
      </w:r>
      <w:r w:rsidRPr="00D846F9">
        <w:t>шени</w:t>
      </w:r>
      <w:r>
        <w:t>я</w:t>
      </w:r>
      <w:r w:rsidRPr="00D846F9">
        <w:t xml:space="preserve"> </w:t>
      </w:r>
      <w:r>
        <w:t xml:space="preserve">из года в год </w:t>
      </w:r>
      <w:r w:rsidRPr="00D846F9">
        <w:t xml:space="preserve">таких показателей, </w:t>
      </w:r>
      <w:r>
        <w:t xml:space="preserve">в то время как </w:t>
      </w:r>
      <w:r w:rsidRPr="00D846F9">
        <w:t>стран</w:t>
      </w:r>
      <w:r>
        <w:t>ы</w:t>
      </w:r>
      <w:r w:rsidRPr="00D846F9">
        <w:t>, которые уже д</w:t>
      </w:r>
      <w:r w:rsidRPr="00D846F9">
        <w:t>о</w:t>
      </w:r>
      <w:r w:rsidRPr="00D846F9">
        <w:t xml:space="preserve">стигли высокого уровня в </w:t>
      </w:r>
      <w:r>
        <w:t>плане создания СЕИС, должны стремиться его по</w:t>
      </w:r>
      <w:r>
        <w:t>д</w:t>
      </w:r>
      <w:r>
        <w:t>держивать.</w:t>
      </w:r>
    </w:p>
    <w:p w:rsidR="006F338F" w:rsidRDefault="0050594A" w:rsidP="0050594A">
      <w:pPr>
        <w:pStyle w:val="SingleTxt"/>
        <w:rPr>
          <w:noProof/>
          <w:w w:val="100"/>
        </w:rPr>
      </w:pPr>
      <w:r w:rsidRPr="002F5C83">
        <w:t>35.</w:t>
      </w:r>
      <w:r w:rsidRPr="002F5C83">
        <w:tab/>
      </w:r>
      <w:r w:rsidRPr="00A511DF">
        <w:t xml:space="preserve">В целом, </w:t>
      </w:r>
      <w:r>
        <w:t xml:space="preserve">ставится </w:t>
      </w:r>
      <w:r w:rsidRPr="00A511DF">
        <w:t>задач</w:t>
      </w:r>
      <w:r>
        <w:t>а</w:t>
      </w:r>
      <w:r w:rsidRPr="00A511DF">
        <w:t xml:space="preserve"> </w:t>
      </w:r>
      <w:r>
        <w:t xml:space="preserve">добиться </w:t>
      </w:r>
      <w:r w:rsidRPr="00A511DF">
        <w:t>достижени</w:t>
      </w:r>
      <w:r>
        <w:t>я</w:t>
      </w:r>
      <w:r w:rsidRPr="00A511DF">
        <w:t xml:space="preserve"> всеми странами общеевр</w:t>
      </w:r>
      <w:r w:rsidRPr="00A511DF">
        <w:t>о</w:t>
      </w:r>
      <w:r w:rsidRPr="00A511DF">
        <w:t xml:space="preserve">пейского региона высокого уровня показателей в деле создания СЕИС, а </w:t>
      </w:r>
      <w:r>
        <w:t>в посл</w:t>
      </w:r>
      <w:r>
        <w:t>е</w:t>
      </w:r>
      <w:r>
        <w:t>дующий период</w:t>
      </w:r>
      <w:r w:rsidRPr="00A511DF">
        <w:t xml:space="preserve"> – поддержи</w:t>
      </w:r>
      <w:r>
        <w:t xml:space="preserve">вать </w:t>
      </w:r>
      <w:r w:rsidRPr="00A511DF">
        <w:t>тако</w:t>
      </w:r>
      <w:r>
        <w:t>й</w:t>
      </w:r>
      <w:r w:rsidRPr="00A511DF">
        <w:t xml:space="preserve"> уров</w:t>
      </w:r>
      <w:r>
        <w:t>е</w:t>
      </w:r>
      <w:r w:rsidRPr="00A511DF">
        <w:t>н</w:t>
      </w:r>
      <w:r>
        <w:t>ь</w:t>
      </w:r>
      <w:r w:rsidRPr="00A511DF">
        <w:t>.</w:t>
      </w:r>
    </w:p>
    <w:p w:rsidR="0050594A" w:rsidRPr="0050594A" w:rsidRDefault="0050594A" w:rsidP="0050594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eTb6/d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50594A" w:rsidRPr="0050594A" w:rsidSect="001B0A77">
      <w:headerReference w:type="even" r:id="rId23"/>
      <w:headerReference w:type="default" r:id="rId24"/>
      <w:footerReference w:type="even" r:id="rId25"/>
      <w:footerReference w:type="default" r:id="rId26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BE" w:rsidRDefault="00B60CBE" w:rsidP="008A1A7A">
      <w:pPr>
        <w:spacing w:line="240" w:lineRule="auto"/>
      </w:pPr>
      <w:r>
        <w:separator/>
      </w:r>
    </w:p>
  </w:endnote>
  <w:endnote w:type="continuationSeparator" w:id="0">
    <w:p w:rsidR="00B60CBE" w:rsidRDefault="00B60CB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60CBE" w:rsidTr="0005756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60CBE" w:rsidRPr="0005756C" w:rsidRDefault="00B60CBE" w:rsidP="0005756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102B">
            <w:rPr>
              <w:noProof/>
            </w:rPr>
            <w:t>8</w:t>
          </w:r>
          <w:r>
            <w:fldChar w:fldCharType="end"/>
          </w:r>
          <w:r>
            <w:t>/</w:t>
          </w:r>
          <w:r w:rsidR="0021102B">
            <w:fldChar w:fldCharType="begin"/>
          </w:r>
          <w:r w:rsidR="0021102B">
            <w:instrText xml:space="preserve"> NUMPAGES  \* Arabic  \* MERGEFORMAT </w:instrText>
          </w:r>
          <w:r w:rsidR="0021102B">
            <w:fldChar w:fldCharType="separate"/>
          </w:r>
          <w:r w:rsidR="0021102B">
            <w:rPr>
              <w:noProof/>
            </w:rPr>
            <w:t>11</w:t>
          </w:r>
          <w:r w:rsidR="0021102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0CBE" w:rsidRPr="0005756C" w:rsidRDefault="00B60CBE" w:rsidP="0005756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1644E">
            <w:rPr>
              <w:b w:val="0"/>
              <w:color w:val="000000"/>
              <w:sz w:val="14"/>
            </w:rPr>
            <w:t>GE.15-18481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60CBE" w:rsidRPr="0005756C" w:rsidRDefault="00B60CBE" w:rsidP="00057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60CBE" w:rsidTr="0005756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60CBE" w:rsidRPr="0005756C" w:rsidRDefault="00B60CBE" w:rsidP="0005756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1644E">
            <w:rPr>
              <w:b w:val="0"/>
              <w:color w:val="000000"/>
              <w:sz w:val="14"/>
            </w:rPr>
            <w:t>GE.15-18481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0CBE" w:rsidRPr="0005756C" w:rsidRDefault="00B60CBE" w:rsidP="0005756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102B">
            <w:rPr>
              <w:noProof/>
            </w:rPr>
            <w:t>7</w:t>
          </w:r>
          <w:r>
            <w:fldChar w:fldCharType="end"/>
          </w:r>
          <w:r>
            <w:t>/</w:t>
          </w:r>
          <w:r w:rsidR="0021102B">
            <w:fldChar w:fldCharType="begin"/>
          </w:r>
          <w:r w:rsidR="0021102B">
            <w:instrText xml:space="preserve"> NUMPAGES  \* Arabic  \* MERGEFORMAT </w:instrText>
          </w:r>
          <w:r w:rsidR="0021102B">
            <w:fldChar w:fldCharType="separate"/>
          </w:r>
          <w:r w:rsidR="0021102B">
            <w:rPr>
              <w:noProof/>
            </w:rPr>
            <w:t>7</w:t>
          </w:r>
          <w:r w:rsidR="0021102B">
            <w:rPr>
              <w:noProof/>
            </w:rPr>
            <w:fldChar w:fldCharType="end"/>
          </w:r>
        </w:p>
      </w:tc>
    </w:tr>
  </w:tbl>
  <w:p w:rsidR="00B60CBE" w:rsidRPr="0005756C" w:rsidRDefault="00B60CBE" w:rsidP="00057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60CBE" w:rsidTr="0005756C">
      <w:tc>
        <w:tcPr>
          <w:tcW w:w="3873" w:type="dxa"/>
        </w:tcPr>
        <w:p w:rsidR="00B60CBE" w:rsidRDefault="00B60CBE" w:rsidP="0005756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B34424A" wp14:editId="4EE0039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GE.15-18481 (R)</w:t>
          </w:r>
          <w:r>
            <w:rPr>
              <w:color w:val="010000"/>
            </w:rPr>
            <w:t xml:space="preserve">    121115    121115</w:t>
          </w:r>
        </w:p>
        <w:p w:rsidR="00B60CBE" w:rsidRPr="0005756C" w:rsidRDefault="00B60CBE" w:rsidP="0005756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*1518481*</w:t>
          </w:r>
        </w:p>
      </w:tc>
      <w:tc>
        <w:tcPr>
          <w:tcW w:w="5127" w:type="dxa"/>
        </w:tcPr>
        <w:p w:rsidR="00B60CBE" w:rsidRDefault="00B60CBE" w:rsidP="0005756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2F6E206" wp14:editId="5449A0B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0CBE" w:rsidRPr="0005756C" w:rsidRDefault="00B60CBE" w:rsidP="0005756C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B0A77" w:rsidTr="0005756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B0A77" w:rsidRPr="0005756C" w:rsidRDefault="001B0A77" w:rsidP="0005756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102B">
            <w:rPr>
              <w:noProof/>
            </w:rPr>
            <w:t>10</w:t>
          </w:r>
          <w:r>
            <w:fldChar w:fldCharType="end"/>
          </w:r>
          <w:r>
            <w:t>/</w:t>
          </w:r>
          <w:r w:rsidR="0021102B">
            <w:fldChar w:fldCharType="begin"/>
          </w:r>
          <w:r w:rsidR="0021102B">
            <w:instrText xml:space="preserve"> NUMPAGES  \* Arabic  \* MERGEFORMAT </w:instrText>
          </w:r>
          <w:r w:rsidR="0021102B">
            <w:fldChar w:fldCharType="separate"/>
          </w:r>
          <w:r w:rsidR="0021102B">
            <w:rPr>
              <w:noProof/>
            </w:rPr>
            <w:t>10</w:t>
          </w:r>
          <w:r w:rsidR="0021102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B0A77" w:rsidRPr="0005756C" w:rsidRDefault="001B0A77" w:rsidP="0005756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1644E">
            <w:rPr>
              <w:b w:val="0"/>
              <w:color w:val="000000"/>
              <w:sz w:val="14"/>
            </w:rPr>
            <w:t>GE.15-18481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B0A77" w:rsidRPr="0005756C" w:rsidRDefault="001B0A77" w:rsidP="0005756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A1CDE" w:rsidTr="00DE3D2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A1CDE" w:rsidRPr="0005756C" w:rsidRDefault="00DA1CDE" w:rsidP="00DE3D2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1644E">
            <w:rPr>
              <w:b w:val="0"/>
              <w:color w:val="000000"/>
              <w:sz w:val="14"/>
            </w:rPr>
            <w:t>GE.15-18481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A1CDE" w:rsidRPr="0005756C" w:rsidRDefault="00DA1CDE" w:rsidP="00DE3D2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102B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21102B">
              <w:rPr>
                <w:noProof/>
              </w:rPr>
              <w:t>11</w:t>
            </w:r>
          </w:fldSimple>
        </w:p>
      </w:tc>
    </w:tr>
  </w:tbl>
  <w:p w:rsidR="001B0A77" w:rsidRPr="001B0A77" w:rsidRDefault="001B0A77" w:rsidP="001B0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BE" w:rsidRPr="001C4F04" w:rsidRDefault="001C4F04" w:rsidP="001C4F04">
      <w:pPr>
        <w:pStyle w:val="Footer"/>
        <w:spacing w:after="80"/>
        <w:ind w:left="792"/>
        <w:rPr>
          <w:sz w:val="16"/>
        </w:rPr>
      </w:pPr>
      <w:r w:rsidRPr="001C4F04">
        <w:rPr>
          <w:sz w:val="16"/>
        </w:rPr>
        <w:t>__________________</w:t>
      </w:r>
    </w:p>
  </w:footnote>
  <w:footnote w:type="continuationSeparator" w:id="0">
    <w:p w:rsidR="00B60CBE" w:rsidRPr="001C4F04" w:rsidRDefault="001C4F04" w:rsidP="001C4F04">
      <w:pPr>
        <w:pStyle w:val="Footer"/>
        <w:spacing w:after="80"/>
        <w:ind w:left="792"/>
        <w:rPr>
          <w:sz w:val="16"/>
        </w:rPr>
      </w:pPr>
      <w:r w:rsidRPr="001C4F04">
        <w:rPr>
          <w:sz w:val="16"/>
        </w:rPr>
        <w:t>__________________</w:t>
      </w:r>
    </w:p>
  </w:footnote>
  <w:footnote w:id="1">
    <w:p w:rsidR="00B60CBE" w:rsidRPr="00DF0CF3" w:rsidRDefault="00B60CBE" w:rsidP="001C4F0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</w:pPr>
      <w:r>
        <w:rPr>
          <w:rStyle w:val="FootnoteReference"/>
        </w:rPr>
        <w:tab/>
      </w:r>
      <w:r w:rsidRPr="001C4F04">
        <w:rPr>
          <w:rStyle w:val="FootnoteReference"/>
          <w:szCs w:val="17"/>
          <w:vertAlign w:val="baseline"/>
        </w:rPr>
        <w:t>*</w:t>
      </w:r>
      <w:r>
        <w:rPr>
          <w:rStyle w:val="FootnoteReference"/>
          <w:sz w:val="20"/>
        </w:rPr>
        <w:tab/>
      </w:r>
      <w:r w:rsidRPr="00B13740">
        <w:t>Настоящий доклад представляется с опозданием ввиду необходимости получения от стран соответствующей информации.</w:t>
      </w:r>
    </w:p>
  </w:footnote>
  <w:footnote w:id="2">
    <w:p w:rsidR="00B60CBE" w:rsidRDefault="00B60CBE" w:rsidP="000023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общеевропейский регион в рамках процесса </w:t>
      </w:r>
      <w:r w:rsidR="000023BF">
        <w:t>«</w:t>
      </w:r>
      <w:r>
        <w:t>Окружающая среда для Европы</w:t>
      </w:r>
      <w:r w:rsidR="000023BF">
        <w:t>»</w:t>
      </w:r>
      <w:r>
        <w:t xml:space="preserve"> входят все члены Европейской экономической комиссии Орг</w:t>
      </w:r>
      <w:r w:rsidR="007E0D27">
        <w:t>анизации Объединенных Наций, т.</w:t>
      </w:r>
      <w:r>
        <w:t>е. 56 ее государств-членов.</w:t>
      </w:r>
    </w:p>
  </w:footnote>
  <w:footnote w:id="3">
    <w:p w:rsidR="00B60CBE" w:rsidRDefault="00B60CBE" w:rsidP="000023B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047E94">
        <w:t>Членами ЕАОС являются входящие в ЕЭК страны</w:t>
      </w:r>
      <w:r w:rsidR="000023BF">
        <w:t xml:space="preserve"> – </w:t>
      </w:r>
      <w:r w:rsidRPr="00047E94">
        <w:t xml:space="preserve">члены Европейского союза, а также Исландия, Лихтенштейн, Норвегия, Турция и Швейцария. Следует рассмотреть вопрос о ресурсах, имеющихся в распоряжении </w:t>
      </w:r>
      <w:r>
        <w:t xml:space="preserve">как </w:t>
      </w:r>
      <w:r w:rsidRPr="00047E94">
        <w:t>ЕАОС</w:t>
      </w:r>
      <w:r>
        <w:t>, так</w:t>
      </w:r>
      <w:r w:rsidRPr="00047E94">
        <w:t xml:space="preserve"> и секретариата ЕЭК для проведения такого обзора.</w:t>
      </w:r>
    </w:p>
  </w:footnote>
  <w:footnote w:id="4">
    <w:p w:rsidR="00B60CBE" w:rsidRPr="00C8710E" w:rsidRDefault="00B60CBE" w:rsidP="007462D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47E94">
        <w:tab/>
      </w:r>
      <w:r>
        <w:rPr>
          <w:rStyle w:val="FootnoteReference"/>
        </w:rPr>
        <w:footnoteRef/>
      </w:r>
      <w:r w:rsidRPr="00047E94">
        <w:tab/>
        <w:t>Все ссылки на Косово в этом докладе следует воспринимать в контексте резолюции</w:t>
      </w:r>
      <w:r w:rsidR="007462D0">
        <w:t> </w:t>
      </w:r>
      <w:r w:rsidRPr="00047E94">
        <w:t>1244 (1999) Совета Безопасности Организации Объединенных Наций.</w:t>
      </w:r>
    </w:p>
  </w:footnote>
  <w:footnote w:id="5">
    <w:p w:rsidR="00B60CBE" w:rsidRPr="00FA71DD" w:rsidRDefault="00B60CBE" w:rsidP="001C4F0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47E94">
        <w:tab/>
      </w:r>
      <w:r>
        <w:rPr>
          <w:rStyle w:val="FootnoteReference"/>
        </w:rPr>
        <w:footnoteRef/>
      </w:r>
      <w:r w:rsidRPr="00047E94">
        <w:tab/>
      </w:r>
      <w:r>
        <w:t xml:space="preserve">Содействие в </w:t>
      </w:r>
      <w:r w:rsidRPr="00047E94">
        <w:t>заполнени</w:t>
      </w:r>
      <w:r>
        <w:t>и</w:t>
      </w:r>
      <w:r w:rsidRPr="00047E94">
        <w:t xml:space="preserve"> таблиц оказала Организация Объединенных Наций по окружающей среде.</w:t>
      </w:r>
    </w:p>
  </w:footnote>
  <w:footnote w:id="6">
    <w:p w:rsidR="00B60CBE" w:rsidRPr="00CD4DBC" w:rsidRDefault="00B60CBE" w:rsidP="001C4F0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47E94">
        <w:tab/>
      </w:r>
      <w:r>
        <w:rPr>
          <w:rStyle w:val="FootnoteReference"/>
        </w:rPr>
        <w:footnoteRef/>
      </w:r>
      <w:r w:rsidRPr="00180E7F">
        <w:tab/>
      </w:r>
      <w:proofErr w:type="gramStart"/>
      <w:r w:rsidRPr="00180E7F">
        <w:t>Азербайджан, Албания, Армения, Беларусь, Босния и Герцеговина, бывшая югославская Республика Македония, Германия, Италия, Кыргызстан, Республика Молдова, Российская Федерация, Румыния Сербия, Украина, Финляндия, Франция и Швейцария.</w:t>
      </w:r>
      <w:proofErr w:type="gramEnd"/>
    </w:p>
  </w:footnote>
  <w:footnote w:id="7">
    <w:p w:rsidR="00B60CBE" w:rsidRPr="00140CD6" w:rsidRDefault="00B60CBE" w:rsidP="001C4F0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80E7F">
        <w:tab/>
      </w:r>
      <w:r>
        <w:rPr>
          <w:rStyle w:val="FootnoteReference"/>
        </w:rPr>
        <w:footnoteRef/>
      </w:r>
      <w:r w:rsidRPr="00047E94">
        <w:tab/>
      </w:r>
      <w:proofErr w:type="gramStart"/>
      <w:r w:rsidRPr="00047E94">
        <w:t>Австрия, Бельгия, Грузия, Дания, Испания, Казахстан, Латвия, Люксембург, Мальта, Словакия, Таджикистан, Узбекистан и Чешская Республика.</w:t>
      </w:r>
      <w:proofErr w:type="gramEnd"/>
    </w:p>
  </w:footnote>
  <w:footnote w:id="8">
    <w:p w:rsidR="00B60CBE" w:rsidRDefault="00B60CBE" w:rsidP="00FD2E1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</w:t>
      </w:r>
      <w:r w:rsidRPr="00114D03">
        <w:t xml:space="preserve">. </w:t>
      </w:r>
      <w:r>
        <w:t>документ</w:t>
      </w:r>
      <w:r w:rsidRPr="00114D03">
        <w:t xml:space="preserve">, </w:t>
      </w:r>
      <w:r>
        <w:t>озаглавленный</w:t>
      </w:r>
      <w:r w:rsidRPr="00114D03">
        <w:t xml:space="preserve"> </w:t>
      </w:r>
      <w:r w:rsidR="000023BF">
        <w:t>«</w:t>
      </w:r>
      <w:r w:rsidRPr="00114D03">
        <w:rPr>
          <w:lang w:val="en-US"/>
        </w:rPr>
        <w:t>SEIS</w:t>
      </w:r>
      <w:r w:rsidRPr="00114D03">
        <w:t xml:space="preserve"> </w:t>
      </w:r>
      <w:r w:rsidRPr="00114D03">
        <w:rPr>
          <w:lang w:val="en-US"/>
        </w:rPr>
        <w:t>performance</w:t>
      </w:r>
      <w:r w:rsidRPr="00114D03">
        <w:t xml:space="preserve"> </w:t>
      </w:r>
      <w:r w:rsidRPr="00114D03">
        <w:rPr>
          <w:lang w:val="en-US"/>
        </w:rPr>
        <w:t>by</w:t>
      </w:r>
      <w:r w:rsidRPr="00114D03">
        <w:t xml:space="preserve"> </w:t>
      </w:r>
      <w:r w:rsidRPr="00114D03">
        <w:rPr>
          <w:lang w:val="en-US"/>
        </w:rPr>
        <w:t>data</w:t>
      </w:r>
      <w:r w:rsidRPr="00114D03">
        <w:t xml:space="preserve"> </w:t>
      </w:r>
      <w:r w:rsidRPr="00114D03">
        <w:rPr>
          <w:lang w:val="en-US"/>
        </w:rPr>
        <w:t>set</w:t>
      </w:r>
      <w:r w:rsidRPr="00114D03">
        <w:t xml:space="preserve"> </w:t>
      </w:r>
      <w:r w:rsidRPr="00114D03">
        <w:rPr>
          <w:lang w:val="en-US"/>
        </w:rPr>
        <w:t>by</w:t>
      </w:r>
      <w:r w:rsidRPr="00114D03">
        <w:t xml:space="preserve"> </w:t>
      </w:r>
      <w:r w:rsidRPr="00114D03">
        <w:rPr>
          <w:lang w:val="en-US"/>
        </w:rPr>
        <w:t>country</w:t>
      </w:r>
      <w:r w:rsidRPr="00114D03">
        <w:t xml:space="preserve"> (</w:t>
      </w:r>
      <w:r w:rsidRPr="00114D03">
        <w:rPr>
          <w:lang w:val="en-US"/>
        </w:rPr>
        <w:t>Table</w:t>
      </w:r>
      <w:r w:rsidRPr="00114D03">
        <w:t>)</w:t>
      </w:r>
      <w:r w:rsidR="000023BF">
        <w:t>»</w:t>
      </w:r>
      <w:r>
        <w:t xml:space="preserve"> (</w:t>
      </w:r>
      <w:r w:rsidR="000023BF">
        <w:t>«</w:t>
      </w:r>
      <w:r>
        <w:t>Показатели СЕИС по наборам данных в разбивке по странам (таблица)</w:t>
      </w:r>
      <w:r w:rsidR="000023BF">
        <w:t>»</w:t>
      </w:r>
      <w:r>
        <w:t>);</w:t>
      </w:r>
      <w:r w:rsidRPr="00114D03">
        <w:t xml:space="preserve"> </w:t>
      </w:r>
      <w:r>
        <w:t xml:space="preserve">имеется по адресу </w:t>
      </w:r>
      <w:hyperlink r:id="rId1" w:history="1">
        <w:r w:rsidR="00FD2E15" w:rsidRPr="00FD2E15">
          <w:rPr>
            <w:rStyle w:val="Hyperlink"/>
            <w:color w:val="auto"/>
            <w:u w:val="none"/>
          </w:rPr>
          <w:t>http://www.unece.org/index.php?id=39929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60CBE" w:rsidTr="0005756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60CBE" w:rsidRPr="0005756C" w:rsidRDefault="00B60CBE" w:rsidP="0005756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1644E">
            <w:rPr>
              <w:b/>
            </w:rPr>
            <w:t>ECE/CEP/2015/11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0CBE" w:rsidRDefault="00B60CBE" w:rsidP="0005756C">
          <w:pPr>
            <w:pStyle w:val="Header"/>
          </w:pPr>
        </w:p>
      </w:tc>
    </w:tr>
  </w:tbl>
  <w:p w:rsidR="00B60CBE" w:rsidRPr="0005756C" w:rsidRDefault="00B60CBE" w:rsidP="00057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60CBE" w:rsidTr="0005756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60CBE" w:rsidRDefault="00B60CBE" w:rsidP="0005756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60CBE" w:rsidRPr="0005756C" w:rsidRDefault="00B60CBE" w:rsidP="0005756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1644E">
            <w:rPr>
              <w:b/>
            </w:rPr>
            <w:t>ECE/CEP/2015/11</w:t>
          </w:r>
          <w:r>
            <w:rPr>
              <w:b/>
            </w:rPr>
            <w:fldChar w:fldCharType="end"/>
          </w:r>
        </w:p>
      </w:tc>
    </w:tr>
  </w:tbl>
  <w:p w:rsidR="00B60CBE" w:rsidRPr="0005756C" w:rsidRDefault="00B60CBE" w:rsidP="00057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60CBE" w:rsidTr="0005756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60CBE" w:rsidRPr="0005756C" w:rsidRDefault="00B60CBE" w:rsidP="0005756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0CBE" w:rsidRDefault="00B60CBE" w:rsidP="0005756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60CBE" w:rsidRPr="0005756C" w:rsidRDefault="00B60CBE" w:rsidP="0005756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/CEP/2015/11</w:t>
          </w:r>
        </w:p>
      </w:tc>
    </w:tr>
    <w:tr w:rsidR="00B60CBE" w:rsidRPr="007E0D27" w:rsidTr="0005756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0CBE" w:rsidRPr="0005756C" w:rsidRDefault="00B60CBE" w:rsidP="0005756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DA09308" wp14:editId="643548B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0CBE" w:rsidRPr="0005756C" w:rsidRDefault="00B60CBE" w:rsidP="0005756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0CBE" w:rsidRPr="0005756C" w:rsidRDefault="00B60CBE" w:rsidP="0005756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0CBE" w:rsidRPr="00FC2CCF" w:rsidRDefault="00B60CBE" w:rsidP="0005756C">
          <w:pPr>
            <w:pStyle w:val="Distribution"/>
            <w:rPr>
              <w:color w:val="000000"/>
              <w:lang w:val="en-US"/>
            </w:rPr>
          </w:pPr>
          <w:r w:rsidRPr="00FC2CCF">
            <w:rPr>
              <w:color w:val="000000"/>
              <w:lang w:val="en-US"/>
            </w:rPr>
            <w:t>Distr.: General</w:t>
          </w:r>
        </w:p>
        <w:p w:rsidR="00B60CBE" w:rsidRPr="00FC2CCF" w:rsidRDefault="00B60CBE" w:rsidP="0005756C">
          <w:pPr>
            <w:pStyle w:val="Publication"/>
            <w:rPr>
              <w:color w:val="000000"/>
              <w:lang w:val="en-US"/>
            </w:rPr>
          </w:pPr>
          <w:r w:rsidRPr="00FC2CCF">
            <w:rPr>
              <w:color w:val="000000"/>
              <w:lang w:val="en-US"/>
            </w:rPr>
            <w:t>23 October 2015</w:t>
          </w:r>
        </w:p>
        <w:p w:rsidR="00B60CBE" w:rsidRPr="00FC2CCF" w:rsidRDefault="00B60CBE" w:rsidP="0005756C">
          <w:pPr>
            <w:rPr>
              <w:color w:val="000000"/>
              <w:lang w:val="en-US"/>
            </w:rPr>
          </w:pPr>
          <w:r w:rsidRPr="00FC2CCF">
            <w:rPr>
              <w:color w:val="000000"/>
              <w:lang w:val="en-US"/>
            </w:rPr>
            <w:t>Russian</w:t>
          </w:r>
        </w:p>
        <w:p w:rsidR="00B60CBE" w:rsidRPr="00FC2CCF" w:rsidRDefault="00B60CBE" w:rsidP="0005756C">
          <w:pPr>
            <w:pStyle w:val="Original"/>
            <w:rPr>
              <w:color w:val="000000"/>
              <w:lang w:val="en-US"/>
            </w:rPr>
          </w:pPr>
          <w:r w:rsidRPr="00FC2CCF">
            <w:rPr>
              <w:color w:val="000000"/>
              <w:lang w:val="en-US"/>
            </w:rPr>
            <w:t xml:space="preserve">Original: </w:t>
          </w:r>
        </w:p>
        <w:p w:rsidR="00B60CBE" w:rsidRPr="00FC2CCF" w:rsidRDefault="00B60CBE" w:rsidP="0005756C">
          <w:pPr>
            <w:rPr>
              <w:lang w:val="en-US"/>
            </w:rPr>
          </w:pPr>
        </w:p>
      </w:tc>
    </w:tr>
  </w:tbl>
  <w:p w:rsidR="00B60CBE" w:rsidRPr="00FC2CCF" w:rsidRDefault="00B60CBE" w:rsidP="0005756C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B0A77" w:rsidTr="0005756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B0A77" w:rsidRPr="0005756C" w:rsidRDefault="001B0A77" w:rsidP="0005756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1644E">
            <w:rPr>
              <w:b/>
            </w:rPr>
            <w:t>ECE/CEP/2015/11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B0A77" w:rsidRDefault="001B0A77" w:rsidP="0005756C">
          <w:pPr>
            <w:pStyle w:val="Header"/>
          </w:pPr>
        </w:p>
      </w:tc>
    </w:tr>
  </w:tbl>
  <w:p w:rsidR="001B0A77" w:rsidRPr="0005756C" w:rsidRDefault="001B0A77" w:rsidP="0005756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B0A77" w:rsidTr="0005756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B0A77" w:rsidRDefault="001B0A77" w:rsidP="0005756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B0A77" w:rsidRPr="0005756C" w:rsidRDefault="001B0A77" w:rsidP="0005756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1644E">
            <w:rPr>
              <w:b/>
            </w:rPr>
            <w:t>ECE/CEP/2015/11</w:t>
          </w:r>
          <w:r>
            <w:rPr>
              <w:b/>
            </w:rPr>
            <w:fldChar w:fldCharType="end"/>
          </w:r>
        </w:p>
      </w:tc>
    </w:tr>
  </w:tbl>
  <w:p w:rsidR="001B0A77" w:rsidRPr="0005756C" w:rsidRDefault="001B0A77" w:rsidP="00057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481*"/>
    <w:docVar w:name="CreationDt" w:val="11/12/2015 11:40 AM"/>
    <w:docVar w:name="DocCategory" w:val="Doc"/>
    <w:docVar w:name="DocType" w:val="Final"/>
    <w:docVar w:name="DutyStation" w:val="Geneva"/>
    <w:docVar w:name="FooterJN" w:val="GE.15-18481"/>
    <w:docVar w:name="jobn" w:val="GE.15-18481 (R)"/>
    <w:docVar w:name="jobnDT" w:val="GE.15-18481 (R)   121115"/>
    <w:docVar w:name="jobnDTDT" w:val="GE.15-18481 (R)   121115   121115"/>
    <w:docVar w:name="JobNo" w:val="GE.1518481R"/>
    <w:docVar w:name="JobNo2" w:val="1524242R"/>
    <w:docVar w:name="LocalDrive" w:val="0"/>
    <w:docVar w:name="OandT" w:val=" "/>
    <w:docVar w:name="PaperSize" w:val="A4"/>
    <w:docVar w:name="sss1" w:val="ECE/CEP/2015/11"/>
    <w:docVar w:name="sss2" w:val="-"/>
    <w:docVar w:name="Symbol1" w:val="ECE/CEP/2015/11"/>
    <w:docVar w:name="Symbol2" w:val="-"/>
  </w:docVars>
  <w:rsids>
    <w:rsidRoot w:val="006C767F"/>
    <w:rsid w:val="000023B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231C"/>
    <w:rsid w:val="00043225"/>
    <w:rsid w:val="000513EF"/>
    <w:rsid w:val="0005420D"/>
    <w:rsid w:val="00055EA2"/>
    <w:rsid w:val="0005756C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4ABE"/>
    <w:rsid w:val="00105B0E"/>
    <w:rsid w:val="00113678"/>
    <w:rsid w:val="0011644E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0A77"/>
    <w:rsid w:val="001C072D"/>
    <w:rsid w:val="001C4F0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1287"/>
    <w:rsid w:val="00205CBD"/>
    <w:rsid w:val="00206603"/>
    <w:rsid w:val="002078A2"/>
    <w:rsid w:val="0021102B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0998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0ACE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7673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6626"/>
    <w:rsid w:val="004E7743"/>
    <w:rsid w:val="00504669"/>
    <w:rsid w:val="005058E0"/>
    <w:rsid w:val="0050594A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4C2D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C767F"/>
    <w:rsid w:val="006D58BE"/>
    <w:rsid w:val="006E1418"/>
    <w:rsid w:val="006F338F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462D0"/>
    <w:rsid w:val="00752E9E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D27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13B8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7F4F"/>
    <w:rsid w:val="00AB2CCF"/>
    <w:rsid w:val="00AB49FD"/>
    <w:rsid w:val="00AB4CA0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0CBE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06A1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1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3A7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B0F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1CDE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C2CCF"/>
    <w:rsid w:val="00FD213B"/>
    <w:rsid w:val="00FD2E15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5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5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56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56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FC2CCF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C2CC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FC2C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C2CC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1B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argeGR">
    <w:name w:val="__XLarge_GR"/>
    <w:basedOn w:val="Normal"/>
    <w:next w:val="Normal"/>
    <w:rsid w:val="0050594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4"/>
      <w:lang w:eastAsia="ru-RU"/>
    </w:rPr>
  </w:style>
  <w:style w:type="paragraph" w:customStyle="1" w:styleId="HChG">
    <w:name w:val="_ H _Ch_G"/>
    <w:basedOn w:val="Normal"/>
    <w:next w:val="Normal"/>
    <w:rsid w:val="0050594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D2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2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5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5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56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56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FC2CCF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C2CC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FC2C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C2CC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1B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argeGR">
    <w:name w:val="__XLarge_GR"/>
    <w:basedOn w:val="Normal"/>
    <w:next w:val="Normal"/>
    <w:rsid w:val="0050594A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4"/>
      <w:lang w:eastAsia="ru-RU"/>
    </w:rPr>
  </w:style>
  <w:style w:type="paragraph" w:customStyle="1" w:styleId="HChG">
    <w:name w:val="_ H _Ch_G"/>
    <w:basedOn w:val="Normal"/>
    <w:next w:val="Normal"/>
    <w:rsid w:val="0050594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D2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2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index.php?id=3992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NECE-DATA\DATA\GROUPS\Ehlm\Environmental%20Monitoring\WGEMA\16th%20follow-up,%20small%20group%20of%20WGEMA\Baseline_example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NECE-DATA\DATA\GROUPS\Ehlm\Environmental%20Monitoring\WGEMA\16th%20follow-up,%20small%20group%20of%20WGEMA\Baseline_example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UNECE-DATA\DATA\GROUPS\Ehlm\Environmental%20Monitoring\WGEMA\16th%20follow-up,%20small%20group%20of%20WGEMA\Baseline_example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NECE-DATA\DATA\GROUPS\Ehlm\Environmental%20Monitoring\WGEMA\16th%20follow-up,%20small%20group%20of%20WGEMA\Baseline_example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UNECE-DATA\DATA\GROUPS\Ehlm\Environmental%20Monitoring\WGEMA\16th%20follow-up,%20small%20group%20of%20WGEMA\Baseline_example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UNECE-DATA\DATA\GROUPS\Ehlm\Environmental%20Monitoring\WGEMA\16th%20follow-up,%20small%20group%20of%20WGEMA\Baseline_examples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yrowski\Documents\luki%20praca\Monitoring%20and%20assessment\WGEMA-17\for%20Am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yrowski\Documents\luki%20praca\Monitoring%20and%20assessment\WGEMA-17\for%20A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Республика Молдова</a:t>
            </a:r>
          </a:p>
        </c:rich>
      </c:tx>
      <c:layout>
        <c:manualLayout>
          <c:xMode val="edge"/>
          <c:yMode val="edge"/>
          <c:x val="0.15595008479457564"/>
          <c:y val="6.2827225130890049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1"/>
            <c:marker>
              <c:symbol val="diamond"/>
              <c:size val="11"/>
            </c:marker>
            <c:bubble3D val="0"/>
          </c:dPt>
          <c:xVal>
            <c:numRef>
              <c:f>Sheet6!$AG$4:$AG$6</c:f>
              <c:numCache>
                <c:formatCode>mmm\-yy</c:formatCode>
                <c:ptCount val="3"/>
                <c:pt idx="0">
                  <c:v>41883</c:v>
                </c:pt>
                <c:pt idx="1">
                  <c:v>42248</c:v>
                </c:pt>
                <c:pt idx="2">
                  <c:v>42614</c:v>
                </c:pt>
              </c:numCache>
            </c:numRef>
          </c:xVal>
          <c:yVal>
            <c:numRef>
              <c:f>Sheet6!$AH$4:$AH$6</c:f>
              <c:numCache>
                <c:formatCode>0%</c:formatCode>
                <c:ptCount val="3"/>
                <c:pt idx="1">
                  <c:v>0.76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091392"/>
        <c:axId val="147090816"/>
      </c:scatterChart>
      <c:valAx>
        <c:axId val="147091392"/>
        <c:scaling>
          <c:orientation val="minMax"/>
          <c:max val="42614"/>
          <c:min val="41883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090816"/>
        <c:crosses val="autoZero"/>
        <c:crossBetween val="midCat"/>
        <c:majorUnit val="365"/>
      </c:valAx>
      <c:valAx>
        <c:axId val="14709081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091392"/>
        <c:crosses val="autoZero"/>
        <c:crossBetween val="midCat"/>
        <c:majorUnit val="0.5"/>
      </c:valAx>
    </c:plotArea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Сербия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1"/>
            <c:marker>
              <c:symbol val="diamond"/>
              <c:size val="11"/>
            </c:marker>
            <c:bubble3D val="0"/>
          </c:dPt>
          <c:xVal>
            <c:numRef>
              <c:f>Sheet6!$M$4:$M$6</c:f>
              <c:numCache>
                <c:formatCode>mmm\-yy</c:formatCode>
                <c:ptCount val="3"/>
                <c:pt idx="0">
                  <c:v>41883</c:v>
                </c:pt>
                <c:pt idx="1">
                  <c:v>42248</c:v>
                </c:pt>
                <c:pt idx="2">
                  <c:v>42614</c:v>
                </c:pt>
              </c:numCache>
            </c:numRef>
          </c:xVal>
          <c:yVal>
            <c:numRef>
              <c:f>Sheet6!$N$4:$N$6</c:f>
              <c:numCache>
                <c:formatCode>0%</c:formatCode>
                <c:ptCount val="3"/>
                <c:pt idx="1">
                  <c:v>0.66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334848"/>
        <c:axId val="147335424"/>
      </c:scatterChart>
      <c:valAx>
        <c:axId val="147334848"/>
        <c:scaling>
          <c:orientation val="minMax"/>
          <c:max val="42614"/>
          <c:min val="41883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335424"/>
        <c:crosses val="autoZero"/>
        <c:crossBetween val="midCat"/>
        <c:majorUnit val="365"/>
      </c:valAx>
      <c:valAx>
        <c:axId val="14733542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334848"/>
        <c:crosses val="autoZero"/>
        <c:crossBetween val="midCat"/>
        <c:majorUnit val="0.5"/>
      </c:valAx>
    </c:plotArea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Швейцария</a:t>
            </a:r>
          </a:p>
        </c:rich>
      </c:tx>
      <c:layout>
        <c:manualLayout>
          <c:xMode val="edge"/>
          <c:yMode val="edge"/>
          <c:x val="0.28900899800602076"/>
          <c:y val="6.1855670103092786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1"/>
            <c:marker>
              <c:symbol val="diamond"/>
              <c:size val="11"/>
            </c:marker>
            <c:bubble3D val="0"/>
          </c:dPt>
          <c:xVal>
            <c:numRef>
              <c:f>Sheet6!$AB$4:$AB$6</c:f>
              <c:numCache>
                <c:formatCode>mmm\-yy</c:formatCode>
                <c:ptCount val="3"/>
                <c:pt idx="0">
                  <c:v>41883</c:v>
                </c:pt>
                <c:pt idx="1">
                  <c:v>42248</c:v>
                </c:pt>
                <c:pt idx="2">
                  <c:v>42614</c:v>
                </c:pt>
              </c:numCache>
            </c:numRef>
          </c:xVal>
          <c:yVal>
            <c:numRef>
              <c:f>Sheet6!$AC$4:$AC$6</c:f>
              <c:numCache>
                <c:formatCode>0%</c:formatCode>
                <c:ptCount val="3"/>
                <c:pt idx="1">
                  <c:v>0.66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337152"/>
        <c:axId val="147337728"/>
      </c:scatterChart>
      <c:valAx>
        <c:axId val="147337152"/>
        <c:scaling>
          <c:orientation val="minMax"/>
          <c:max val="42614"/>
          <c:min val="41883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337728"/>
        <c:crosses val="autoZero"/>
        <c:crossBetween val="midCat"/>
        <c:majorUnit val="365"/>
      </c:valAx>
      <c:valAx>
        <c:axId val="14733772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337152"/>
        <c:crosses val="autoZero"/>
        <c:crossBetween val="midCat"/>
        <c:majorUnit val="0.5"/>
      </c:valAx>
    </c:plotArea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Италия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1"/>
            <c:marker>
              <c:symbol val="diamond"/>
              <c:size val="11"/>
            </c:marker>
            <c:bubble3D val="0"/>
          </c:dPt>
          <c:xVal>
            <c:numRef>
              <c:f>Sheet6!$R$4:$R$6</c:f>
              <c:numCache>
                <c:formatCode>mmm\-yy</c:formatCode>
                <c:ptCount val="3"/>
                <c:pt idx="0">
                  <c:v>41883</c:v>
                </c:pt>
                <c:pt idx="1">
                  <c:v>42248</c:v>
                </c:pt>
                <c:pt idx="2">
                  <c:v>42614</c:v>
                </c:pt>
              </c:numCache>
            </c:numRef>
          </c:xVal>
          <c:yVal>
            <c:numRef>
              <c:f>Sheet6!$S$4:$S$6</c:f>
              <c:numCache>
                <c:formatCode>0%</c:formatCode>
                <c:ptCount val="3"/>
                <c:pt idx="1">
                  <c:v>0.68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340608"/>
        <c:axId val="149323776"/>
      </c:scatterChart>
      <c:valAx>
        <c:axId val="147340608"/>
        <c:scaling>
          <c:orientation val="minMax"/>
          <c:max val="42614"/>
          <c:min val="41883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9323776"/>
        <c:crosses val="autoZero"/>
        <c:crossBetween val="midCat"/>
        <c:majorUnit val="365"/>
      </c:valAx>
      <c:valAx>
        <c:axId val="14932377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7340608"/>
        <c:crosses val="autoZero"/>
        <c:crossBetween val="midCat"/>
        <c:majorUnit val="0.5"/>
      </c:valAx>
    </c:plotArea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Азербайджан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1"/>
            <c:marker>
              <c:symbol val="diamond"/>
              <c:size val="11"/>
            </c:marker>
            <c:bubble3D val="0"/>
          </c:dPt>
          <c:xVal>
            <c:numRef>
              <c:f>Sheet6!$W$4:$W$6</c:f>
              <c:numCache>
                <c:formatCode>mmm\-yy</c:formatCode>
                <c:ptCount val="3"/>
                <c:pt idx="0">
                  <c:v>41883</c:v>
                </c:pt>
                <c:pt idx="1">
                  <c:v>42248</c:v>
                </c:pt>
                <c:pt idx="2">
                  <c:v>42614</c:v>
                </c:pt>
              </c:numCache>
            </c:numRef>
          </c:xVal>
          <c:yVal>
            <c:numRef>
              <c:f>Sheet6!$X$4:$X$6</c:f>
              <c:numCache>
                <c:formatCode>0%</c:formatCode>
                <c:ptCount val="3"/>
                <c:pt idx="1">
                  <c:v>0.66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331264"/>
        <c:axId val="155747456"/>
      </c:scatterChart>
      <c:valAx>
        <c:axId val="149331264"/>
        <c:scaling>
          <c:orientation val="minMax"/>
          <c:max val="42614"/>
          <c:min val="41883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55747456"/>
        <c:crosses val="autoZero"/>
        <c:crossBetween val="midCat"/>
        <c:majorUnit val="365"/>
      </c:valAx>
      <c:valAx>
        <c:axId val="15574745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49331264"/>
        <c:crosses val="autoZero"/>
        <c:crossBetween val="midCat"/>
        <c:majorUnit val="0.5"/>
      </c:valAx>
    </c:plotArea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Кыргызстан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C00000"/>
              </a:solidFill>
            </c:spPr>
          </c:marker>
          <c:dPt>
            <c:idx val="1"/>
            <c:marker>
              <c:symbol val="diamond"/>
              <c:size val="11"/>
            </c:marker>
            <c:bubble3D val="0"/>
            <c:spPr>
              <a:ln w="28575">
                <a:solidFill>
                  <a:srgbClr val="C00000"/>
                </a:solidFill>
              </a:ln>
            </c:spPr>
          </c:dPt>
          <c:xVal>
            <c:numRef>
              <c:f>Sheet6!$C$3:$C$5</c:f>
              <c:numCache>
                <c:formatCode>mmm\-yy</c:formatCode>
                <c:ptCount val="3"/>
                <c:pt idx="0">
                  <c:v>41883</c:v>
                </c:pt>
                <c:pt idx="1">
                  <c:v>42248</c:v>
                </c:pt>
                <c:pt idx="2">
                  <c:v>42614</c:v>
                </c:pt>
              </c:numCache>
            </c:numRef>
          </c:xVal>
          <c:yVal>
            <c:numRef>
              <c:f>Sheet6!$D$3:$D$5</c:f>
              <c:numCache>
                <c:formatCode>0%</c:formatCode>
                <c:ptCount val="3"/>
                <c:pt idx="1">
                  <c:v>0.52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675072"/>
        <c:axId val="236675648"/>
      </c:scatterChart>
      <c:valAx>
        <c:axId val="236675072"/>
        <c:scaling>
          <c:orientation val="minMax"/>
          <c:max val="42614"/>
          <c:min val="41883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36675648"/>
        <c:crosses val="autoZero"/>
        <c:crossBetween val="midCat"/>
        <c:majorUnit val="365"/>
      </c:valAx>
      <c:valAx>
        <c:axId val="23667564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36675072"/>
        <c:crosses val="autoZero"/>
        <c:crossBetween val="midCat"/>
        <c:majorUnit val="0.5"/>
      </c:valAx>
    </c:plotArea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 prstMaterial="matte">
      <a:bevelT w="63500" h="63500" prst="artDeco"/>
      <a:contourClr>
        <a:srgbClr val="000000"/>
      </a:contourClr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cat>
            <c:numRef>
              <c:f>Sheet1!$J$2:$J$21</c:f>
              <c:numCache>
                <c:formatCode>General</c:formatCode>
                <c:ptCount val="20"/>
                <c:pt idx="0">
                  <c:v>26</c:v>
                </c:pt>
                <c:pt idx="1">
                  <c:v>61</c:v>
                </c:pt>
                <c:pt idx="2">
                  <c:v>18</c:v>
                </c:pt>
                <c:pt idx="3">
                  <c:v>13</c:v>
                </c:pt>
                <c:pt idx="4">
                  <c:v>51</c:v>
                </c:pt>
                <c:pt idx="5">
                  <c:v>57</c:v>
                </c:pt>
                <c:pt idx="6">
                  <c:v>62</c:v>
                </c:pt>
                <c:pt idx="7">
                  <c:v>29</c:v>
                </c:pt>
                <c:pt idx="8">
                  <c:v>56</c:v>
                </c:pt>
                <c:pt idx="9">
                  <c:v>17</c:v>
                </c:pt>
                <c:pt idx="10">
                  <c:v>28</c:v>
                </c:pt>
                <c:pt idx="11">
                  <c:v>50</c:v>
                </c:pt>
                <c:pt idx="12">
                  <c:v>15</c:v>
                </c:pt>
                <c:pt idx="13">
                  <c:v>3</c:v>
                </c:pt>
                <c:pt idx="14">
                  <c:v>60</c:v>
                </c:pt>
                <c:pt idx="15">
                  <c:v>4</c:v>
                </c:pt>
                <c:pt idx="16">
                  <c:v>16</c:v>
                </c:pt>
                <c:pt idx="17">
                  <c:v>5</c:v>
                </c:pt>
                <c:pt idx="18">
                  <c:v>1</c:v>
                </c:pt>
                <c:pt idx="19">
                  <c:v>2</c:v>
                </c:pt>
              </c:numCache>
            </c:numRef>
          </c:cat>
          <c:val>
            <c:numRef>
              <c:f>Sheet1!$L$2:$L$21</c:f>
              <c:numCache>
                <c:formatCode>0%</c:formatCode>
                <c:ptCount val="20"/>
                <c:pt idx="0">
                  <c:v>0.53333333333333344</c:v>
                </c:pt>
                <c:pt idx="1">
                  <c:v>0.5370370370370372</c:v>
                </c:pt>
                <c:pt idx="2">
                  <c:v>0.56666666666666676</c:v>
                </c:pt>
                <c:pt idx="3">
                  <c:v>0.56666666666666687</c:v>
                </c:pt>
                <c:pt idx="4">
                  <c:v>0.58518518518518525</c:v>
                </c:pt>
                <c:pt idx="5">
                  <c:v>0.58888888888888891</c:v>
                </c:pt>
                <c:pt idx="6">
                  <c:v>0.58888888888888902</c:v>
                </c:pt>
                <c:pt idx="7">
                  <c:v>0.60000000000000009</c:v>
                </c:pt>
                <c:pt idx="8">
                  <c:v>0.60370370370370374</c:v>
                </c:pt>
                <c:pt idx="9">
                  <c:v>0.61481481481481481</c:v>
                </c:pt>
                <c:pt idx="10">
                  <c:v>0.63333333333333341</c:v>
                </c:pt>
                <c:pt idx="11">
                  <c:v>0.63333333333333341</c:v>
                </c:pt>
                <c:pt idx="12">
                  <c:v>0.63333333333333353</c:v>
                </c:pt>
                <c:pt idx="13">
                  <c:v>0.63703703703703718</c:v>
                </c:pt>
                <c:pt idx="14">
                  <c:v>0.64444444444444449</c:v>
                </c:pt>
                <c:pt idx="15">
                  <c:v>0.65925925925925932</c:v>
                </c:pt>
                <c:pt idx="16">
                  <c:v>0.65925925925925943</c:v>
                </c:pt>
                <c:pt idx="17">
                  <c:v>0.69259259259259265</c:v>
                </c:pt>
                <c:pt idx="18">
                  <c:v>0.78518518518518521</c:v>
                </c:pt>
                <c:pt idx="19">
                  <c:v>0.82592592592592584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364288"/>
        <c:axId val="236676224"/>
      </c:barChart>
      <c:catAx>
        <c:axId val="363642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Наборы данных</a:t>
                </a:r>
                <a:endParaRPr lang="en-US"/>
              </a:p>
            </c:rich>
          </c:tx>
          <c:overlay val="0"/>
        </c:title>
        <c:numFmt formatCode="@" sourceLinked="0"/>
        <c:majorTickMark val="out"/>
        <c:minorTickMark val="none"/>
        <c:tickLblPos val="nextTo"/>
        <c:txPr>
          <a:bodyPr rot="0" anchor="ctr" anchorCtr="0"/>
          <a:lstStyle/>
          <a:p>
            <a:pPr>
              <a:defRPr sz="900"/>
            </a:pPr>
            <a:endParaRPr lang="en-US"/>
          </a:p>
        </c:txPr>
        <c:crossAx val="236676224"/>
        <c:crosses val="autoZero"/>
        <c:auto val="0"/>
        <c:lblAlgn val="ctr"/>
        <c:lblOffset val="100"/>
        <c:noMultiLvlLbl val="0"/>
      </c:catAx>
      <c:valAx>
        <c:axId val="2366762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Результаты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6364288"/>
        <c:crosses val="autoZero"/>
        <c:crossBetween val="between"/>
      </c:valAx>
    </c:plotArea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numRef>
              <c:f>Sheet1!$B$2:$B$23</c:f>
              <c:numCache>
                <c:formatCode>General</c:formatCode>
                <c:ptCount val="22"/>
                <c:pt idx="0">
                  <c:v>38</c:v>
                </c:pt>
                <c:pt idx="1">
                  <c:v>33</c:v>
                </c:pt>
                <c:pt idx="2">
                  <c:v>46</c:v>
                </c:pt>
                <c:pt idx="3">
                  <c:v>21</c:v>
                </c:pt>
                <c:pt idx="4">
                  <c:v>23</c:v>
                </c:pt>
                <c:pt idx="5">
                  <c:v>64</c:v>
                </c:pt>
                <c:pt idx="6">
                  <c:v>63</c:v>
                </c:pt>
                <c:pt idx="7">
                  <c:v>30</c:v>
                </c:pt>
                <c:pt idx="8">
                  <c:v>49</c:v>
                </c:pt>
                <c:pt idx="9">
                  <c:v>47</c:v>
                </c:pt>
                <c:pt idx="10">
                  <c:v>20</c:v>
                </c:pt>
                <c:pt idx="11">
                  <c:v>10</c:v>
                </c:pt>
                <c:pt idx="12">
                  <c:v>22</c:v>
                </c:pt>
                <c:pt idx="13">
                  <c:v>11</c:v>
                </c:pt>
                <c:pt idx="14">
                  <c:v>36</c:v>
                </c:pt>
                <c:pt idx="15">
                  <c:v>67</c:v>
                </c:pt>
                <c:pt idx="16">
                  <c:v>32</c:v>
                </c:pt>
                <c:pt idx="17">
                  <c:v>25</c:v>
                </c:pt>
                <c:pt idx="18">
                  <c:v>34</c:v>
                </c:pt>
                <c:pt idx="19">
                  <c:v>55</c:v>
                </c:pt>
                <c:pt idx="20">
                  <c:v>9</c:v>
                </c:pt>
                <c:pt idx="21">
                  <c:v>12</c:v>
                </c:pt>
              </c:numCache>
            </c:numRef>
          </c:cat>
          <c:val>
            <c:numRef>
              <c:f>Sheet1!$D$2:$D$23</c:f>
              <c:numCache>
                <c:formatCode>0%</c:formatCode>
                <c:ptCount val="22"/>
                <c:pt idx="0">
                  <c:v>0.16296296296296298</c:v>
                </c:pt>
                <c:pt idx="1">
                  <c:v>0.21481481481481485</c:v>
                </c:pt>
                <c:pt idx="2">
                  <c:v>0.22222222222222227</c:v>
                </c:pt>
                <c:pt idx="3">
                  <c:v>0.25925925925925924</c:v>
                </c:pt>
                <c:pt idx="4">
                  <c:v>0.26296296296296295</c:v>
                </c:pt>
                <c:pt idx="5">
                  <c:v>0.26296296296296301</c:v>
                </c:pt>
                <c:pt idx="6">
                  <c:v>0.26666666666666666</c:v>
                </c:pt>
                <c:pt idx="7">
                  <c:v>0.26666666666666672</c:v>
                </c:pt>
                <c:pt idx="8">
                  <c:v>0.26666666666666672</c:v>
                </c:pt>
                <c:pt idx="9">
                  <c:v>0.26666666666666672</c:v>
                </c:pt>
                <c:pt idx="10">
                  <c:v>0.27037037037037037</c:v>
                </c:pt>
                <c:pt idx="11">
                  <c:v>0.27037037037037043</c:v>
                </c:pt>
                <c:pt idx="12">
                  <c:v>0.27407407407407408</c:v>
                </c:pt>
                <c:pt idx="13">
                  <c:v>0.27592592592592591</c:v>
                </c:pt>
                <c:pt idx="14">
                  <c:v>0.28518518518518521</c:v>
                </c:pt>
                <c:pt idx="15">
                  <c:v>0.29259259259259263</c:v>
                </c:pt>
                <c:pt idx="16">
                  <c:v>0.29629629629629634</c:v>
                </c:pt>
                <c:pt idx="17">
                  <c:v>0.3037037037037037</c:v>
                </c:pt>
                <c:pt idx="18">
                  <c:v>0.32592592592592601</c:v>
                </c:pt>
                <c:pt idx="19">
                  <c:v>0.33333333333333331</c:v>
                </c:pt>
                <c:pt idx="20">
                  <c:v>0.3444444444444445</c:v>
                </c:pt>
                <c:pt idx="21">
                  <c:v>0.34814814814814815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65824"/>
        <c:axId val="239419392"/>
      </c:barChart>
      <c:catAx>
        <c:axId val="36365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Наборы данных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39419392"/>
        <c:crosses val="autoZero"/>
        <c:auto val="1"/>
        <c:lblAlgn val="l"/>
        <c:lblOffset val="100"/>
        <c:noMultiLvlLbl val="0"/>
      </c:catAx>
      <c:valAx>
        <c:axId val="2394193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Результаты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6365824"/>
        <c:crosses val="autoZero"/>
        <c:crossBetween val="between"/>
      </c:valAx>
    </c:plotArea>
    <c:plotVisOnly val="1"/>
    <c:dispBlanksAs val="gap"/>
    <c:showDLblsOverMax val="0"/>
  </c:chart>
  <c:spPr>
    <a:effectLst>
      <a:innerShdw blurRad="114300">
        <a:prstClr val="black"/>
      </a:inn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C4E1-C49C-4595-AACE-9AA45E4D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3638</Words>
  <Characters>20448</Characters>
  <Application>Microsoft Office Word</Application>
  <DocSecurity>0</DocSecurity>
  <Lines>435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sochirca</cp:lastModifiedBy>
  <cp:revision>4</cp:revision>
  <cp:lastPrinted>2015-11-12T15:42:00Z</cp:lastPrinted>
  <dcterms:created xsi:type="dcterms:W3CDTF">2015-11-12T15:42:00Z</dcterms:created>
  <dcterms:modified xsi:type="dcterms:W3CDTF">2016-01-27T14:49:00Z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1518481R</vt:lpwstr>
  </property>
  <property fmtid="{D5CDD505-2E9C-101B-9397-08002B2CF9AE}" pid="3" name="ODSRefJobNo">
    <vt:lpwstr>1524242R</vt:lpwstr>
  </property>
  <property fmtid="{D5CDD505-2E9C-101B-9397-08002B2CF9AE}" pid="4" name="Symbol1">
    <vt:lpwstr>ECE/CEP/2015/11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/>
  </property>
  <property fmtid="{D5CDD505-2E9C-101B-9397-08002B2CF9AE}" pid="13" name="Release Date">
    <vt:lpwstr>121115</vt:lpwstr>
  </property>
</Properties>
</file>