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7.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charts/chart8.xml" ContentType="application/vnd.openxmlformats-officedocument.drawingml.chart+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1C4D28" w:rsidTr="00A9137A">
        <w:trPr>
          <w:cantSplit/>
          <w:trHeight w:hRule="exact" w:val="712"/>
        </w:trPr>
        <w:tc>
          <w:tcPr>
            <w:tcW w:w="1276" w:type="dxa"/>
            <w:tcBorders>
              <w:bottom w:val="single" w:sz="4" w:space="0" w:color="auto"/>
            </w:tcBorders>
            <w:vAlign w:val="bottom"/>
          </w:tcPr>
          <w:p w:rsidR="009E6CB7" w:rsidRPr="001E474C" w:rsidRDefault="009E6CB7" w:rsidP="001E474C">
            <w:pPr>
              <w:spacing w:line="20" w:lineRule="exact"/>
              <w:rPr>
                <w:sz w:val="2"/>
              </w:rPr>
            </w:pPr>
          </w:p>
          <w:p w:rsidR="001E474C" w:rsidRPr="001C4D28" w:rsidRDefault="001E474C" w:rsidP="009E6CB7">
            <w:pPr>
              <w:spacing w:after="80"/>
            </w:pPr>
          </w:p>
        </w:tc>
        <w:tc>
          <w:tcPr>
            <w:tcW w:w="2268" w:type="dxa"/>
            <w:tcBorders>
              <w:bottom w:val="single" w:sz="4" w:space="0" w:color="auto"/>
            </w:tcBorders>
            <w:vAlign w:val="bottom"/>
          </w:tcPr>
          <w:p w:rsidR="009E6CB7" w:rsidRPr="001C4D28" w:rsidRDefault="009E6CB7" w:rsidP="009E6CB7">
            <w:pPr>
              <w:spacing w:after="80" w:line="300" w:lineRule="exact"/>
              <w:rPr>
                <w:b/>
                <w:sz w:val="24"/>
                <w:szCs w:val="24"/>
              </w:rPr>
            </w:pPr>
            <w:r w:rsidRPr="001C4D28">
              <w:rPr>
                <w:sz w:val="28"/>
                <w:szCs w:val="28"/>
              </w:rPr>
              <w:t>United Nations</w:t>
            </w:r>
          </w:p>
        </w:tc>
        <w:tc>
          <w:tcPr>
            <w:tcW w:w="6095" w:type="dxa"/>
            <w:gridSpan w:val="2"/>
            <w:tcBorders>
              <w:bottom w:val="single" w:sz="4" w:space="0" w:color="auto"/>
            </w:tcBorders>
            <w:vAlign w:val="bottom"/>
          </w:tcPr>
          <w:p w:rsidR="009E6CB7" w:rsidRPr="001C4D28" w:rsidRDefault="00031229" w:rsidP="00031229">
            <w:pPr>
              <w:jc w:val="right"/>
            </w:pPr>
            <w:r w:rsidRPr="001C4D28">
              <w:rPr>
                <w:sz w:val="40"/>
              </w:rPr>
              <w:t>ECE</w:t>
            </w:r>
            <w:r w:rsidRPr="001C4D28">
              <w:t>/CEP/2015/11</w:t>
            </w:r>
          </w:p>
        </w:tc>
      </w:tr>
      <w:tr w:rsidR="009E6CB7" w:rsidRPr="001C4D28" w:rsidTr="00A9137A">
        <w:trPr>
          <w:cantSplit/>
          <w:trHeight w:hRule="exact" w:val="2419"/>
        </w:trPr>
        <w:tc>
          <w:tcPr>
            <w:tcW w:w="1276" w:type="dxa"/>
            <w:tcBorders>
              <w:top w:val="single" w:sz="4" w:space="0" w:color="auto"/>
              <w:bottom w:val="single" w:sz="12" w:space="0" w:color="auto"/>
            </w:tcBorders>
          </w:tcPr>
          <w:p w:rsidR="009E6CB7" w:rsidRPr="001C4D28" w:rsidRDefault="00BC7F91" w:rsidP="009E6CB7">
            <w:pPr>
              <w:spacing w:before="120"/>
            </w:pPr>
            <w:r w:rsidRPr="001C4D28">
              <w:rPr>
                <w:noProof/>
                <w:lang w:eastAsia="en-GB"/>
              </w:rPr>
              <w:drawing>
                <wp:inline distT="0" distB="0" distL="0" distR="0" wp14:anchorId="2CBA3303" wp14:editId="7E43C7F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1C4D28" w:rsidRDefault="009E6CB7" w:rsidP="009E6CB7">
            <w:pPr>
              <w:spacing w:before="120" w:line="420" w:lineRule="exact"/>
              <w:rPr>
                <w:sz w:val="40"/>
                <w:szCs w:val="40"/>
              </w:rPr>
            </w:pPr>
            <w:r w:rsidRPr="001C4D28">
              <w:rPr>
                <w:b/>
                <w:sz w:val="40"/>
                <w:szCs w:val="40"/>
              </w:rPr>
              <w:t>Economic and Social Council</w:t>
            </w:r>
          </w:p>
        </w:tc>
        <w:tc>
          <w:tcPr>
            <w:tcW w:w="2835" w:type="dxa"/>
            <w:tcBorders>
              <w:top w:val="single" w:sz="4" w:space="0" w:color="auto"/>
              <w:bottom w:val="single" w:sz="12" w:space="0" w:color="auto"/>
            </w:tcBorders>
          </w:tcPr>
          <w:p w:rsidR="009E6CB7" w:rsidRPr="001C4D28" w:rsidRDefault="00031229" w:rsidP="001E474C">
            <w:pPr>
              <w:tabs>
                <w:tab w:val="left" w:pos="2040"/>
              </w:tabs>
              <w:spacing w:before="240" w:line="240" w:lineRule="exact"/>
            </w:pPr>
            <w:r w:rsidRPr="001C4D28">
              <w:t>Distr.: General</w:t>
            </w:r>
          </w:p>
          <w:p w:rsidR="00031229" w:rsidRPr="001C4D28" w:rsidRDefault="00A9137A" w:rsidP="00031229">
            <w:pPr>
              <w:spacing w:line="240" w:lineRule="exact"/>
            </w:pPr>
            <w:r>
              <w:t>2</w:t>
            </w:r>
            <w:r w:rsidR="00865537">
              <w:t>3</w:t>
            </w:r>
            <w:r w:rsidR="00031229" w:rsidRPr="001C4D28">
              <w:t xml:space="preserve"> October 2015</w:t>
            </w:r>
          </w:p>
          <w:p w:rsidR="00031229" w:rsidRDefault="00031229" w:rsidP="00031229">
            <w:pPr>
              <w:spacing w:line="240" w:lineRule="exact"/>
            </w:pPr>
          </w:p>
          <w:p w:rsidR="003C752A" w:rsidRPr="001C4D28" w:rsidRDefault="003C752A" w:rsidP="00031229">
            <w:pPr>
              <w:spacing w:line="240" w:lineRule="exact"/>
            </w:pPr>
            <w:r>
              <w:t xml:space="preserve">Original: English </w:t>
            </w:r>
          </w:p>
          <w:p w:rsidR="00031229" w:rsidRPr="001C4D28" w:rsidRDefault="00031229" w:rsidP="00031229">
            <w:pPr>
              <w:spacing w:line="240" w:lineRule="exact"/>
            </w:pPr>
          </w:p>
        </w:tc>
      </w:tr>
    </w:tbl>
    <w:p w:rsidR="00031229" w:rsidRPr="001C4D28" w:rsidRDefault="00031229" w:rsidP="00A9137A">
      <w:pPr>
        <w:spacing w:before="100" w:line="240" w:lineRule="auto"/>
        <w:rPr>
          <w:b/>
          <w:sz w:val="28"/>
          <w:szCs w:val="28"/>
        </w:rPr>
      </w:pPr>
      <w:r w:rsidRPr="001C4D28">
        <w:rPr>
          <w:b/>
          <w:sz w:val="28"/>
          <w:szCs w:val="28"/>
        </w:rPr>
        <w:t>Economic Commission for Europe</w:t>
      </w:r>
      <w:bookmarkStart w:id="0" w:name="_GoBack"/>
      <w:bookmarkEnd w:id="0"/>
    </w:p>
    <w:p w:rsidR="00031229" w:rsidRPr="001C4D28" w:rsidRDefault="00031229" w:rsidP="00A9137A">
      <w:pPr>
        <w:spacing w:before="100" w:line="240" w:lineRule="auto"/>
        <w:rPr>
          <w:bCs/>
          <w:sz w:val="28"/>
          <w:szCs w:val="28"/>
        </w:rPr>
      </w:pPr>
      <w:r w:rsidRPr="001C4D28">
        <w:rPr>
          <w:bCs/>
          <w:sz w:val="28"/>
          <w:szCs w:val="28"/>
        </w:rPr>
        <w:t>Committee on Environmental Policy</w:t>
      </w:r>
    </w:p>
    <w:p w:rsidR="00031229" w:rsidRPr="001C4D28" w:rsidRDefault="00031229" w:rsidP="00A9137A">
      <w:pPr>
        <w:spacing w:before="100" w:line="240" w:lineRule="auto"/>
        <w:rPr>
          <w:b/>
        </w:rPr>
      </w:pPr>
      <w:r w:rsidRPr="001C4D28">
        <w:rPr>
          <w:b/>
        </w:rPr>
        <w:t xml:space="preserve">Twenty-first </w:t>
      </w:r>
      <w:proofErr w:type="gramStart"/>
      <w:r w:rsidRPr="001C4D28">
        <w:rPr>
          <w:b/>
        </w:rPr>
        <w:t>session</w:t>
      </w:r>
      <w:proofErr w:type="gramEnd"/>
    </w:p>
    <w:p w:rsidR="00031229" w:rsidRPr="001C4D28" w:rsidRDefault="00031229" w:rsidP="008168CF">
      <w:pPr>
        <w:spacing w:line="240" w:lineRule="auto"/>
      </w:pPr>
      <w:r w:rsidRPr="001C4D28">
        <w:t>Geneva, 27–30 October 2015</w:t>
      </w:r>
    </w:p>
    <w:p w:rsidR="00031229" w:rsidRPr="001C4D28" w:rsidRDefault="00031229">
      <w:pPr>
        <w:spacing w:line="240" w:lineRule="auto"/>
      </w:pPr>
      <w:r w:rsidRPr="001C4D28">
        <w:t>Item 5 (e) of the provisional agenda</w:t>
      </w:r>
    </w:p>
    <w:p w:rsidR="00031229" w:rsidRPr="001C4D28" w:rsidRDefault="00031229">
      <w:pPr>
        <w:spacing w:line="240" w:lineRule="auto"/>
      </w:pPr>
      <w:r w:rsidRPr="001C4D28">
        <w:rPr>
          <w:b/>
        </w:rPr>
        <w:t xml:space="preserve">The Eighth Environment for Europe Ministerial Conference: </w:t>
      </w:r>
      <w:r w:rsidRPr="001C4D28">
        <w:rPr>
          <w:b/>
        </w:rPr>
        <w:br/>
        <w:t xml:space="preserve">Developing the Shared Environmental Information System </w:t>
      </w:r>
      <w:r w:rsidR="00DD0DF9">
        <w:rPr>
          <w:b/>
        </w:rPr>
        <w:br/>
      </w:r>
      <w:r w:rsidRPr="001C4D28">
        <w:rPr>
          <w:b/>
        </w:rPr>
        <w:t>and establishing</w:t>
      </w:r>
      <w:r w:rsidR="00DD0DF9">
        <w:rPr>
          <w:b/>
        </w:rPr>
        <w:t xml:space="preserve"> </w:t>
      </w:r>
      <w:r w:rsidRPr="001C4D28">
        <w:rPr>
          <w:b/>
        </w:rPr>
        <w:t xml:space="preserve">a regular environmental assessment in the </w:t>
      </w:r>
      <w:r w:rsidR="00DB3802">
        <w:rPr>
          <w:b/>
        </w:rPr>
        <w:br/>
      </w:r>
      <w:r w:rsidRPr="001C4D28">
        <w:rPr>
          <w:b/>
        </w:rPr>
        <w:t>pan-European region</w:t>
      </w:r>
    </w:p>
    <w:p w:rsidR="00031229" w:rsidRPr="001C4D28" w:rsidRDefault="00031229" w:rsidP="00C95A90">
      <w:pPr>
        <w:pStyle w:val="HChG"/>
        <w:spacing w:before="240" w:after="180" w:line="240" w:lineRule="auto"/>
        <w:ind w:right="850"/>
      </w:pPr>
      <w:r w:rsidRPr="001C4D28">
        <w:tab/>
      </w:r>
      <w:r w:rsidRPr="001C4D28">
        <w:tab/>
      </w:r>
      <w:r w:rsidR="00865537">
        <w:t>First r</w:t>
      </w:r>
      <w:r w:rsidRPr="001C4D28">
        <w:t>eport on progress in establishing the Shared Environmental Information System in the pan-European region</w:t>
      </w:r>
    </w:p>
    <w:p w:rsidR="00031229" w:rsidRDefault="00031229" w:rsidP="00C83246">
      <w:pPr>
        <w:pStyle w:val="H1G"/>
        <w:spacing w:before="240" w:after="180" w:line="240" w:lineRule="auto"/>
        <w:rPr>
          <w:sz w:val="20"/>
        </w:rPr>
      </w:pPr>
      <w:r w:rsidRPr="001C4D28">
        <w:tab/>
      </w:r>
      <w:r w:rsidRPr="001C4D28">
        <w:tab/>
        <w:t>Note by the Working Group on Environmental Monitoring and</w:t>
      </w:r>
      <w:r w:rsidR="003C752A">
        <w:t> </w:t>
      </w:r>
      <w:r w:rsidRPr="001C4D28">
        <w:t>Assessment</w:t>
      </w:r>
      <w:r w:rsidR="00DE1E2E" w:rsidRPr="00C83246">
        <w:rPr>
          <w:rStyle w:val="FootnoteReference"/>
          <w:sz w:val="20"/>
          <w:vertAlign w:val="baseline"/>
        </w:rPr>
        <w:footnoteReference w:customMarkFollows="1" w:id="2"/>
        <w:t>*</w:t>
      </w:r>
    </w:p>
    <w:tbl>
      <w:tblPr>
        <w:tblStyle w:val="TableGrid"/>
        <w:tblW w:w="0" w:type="auto"/>
        <w:jc w:val="center"/>
        <w:tblBorders>
          <w:top w:val="none" w:sz="0" w:space="0" w:color="auto"/>
          <w:bottom w:val="none" w:sz="0" w:space="0" w:color="auto"/>
          <w:insideH w:val="none" w:sz="0" w:space="0" w:color="auto"/>
          <w:insideV w:val="none" w:sz="0" w:space="0" w:color="auto"/>
        </w:tblBorders>
        <w:tblLook w:val="05E0" w:firstRow="1" w:lastRow="1" w:firstColumn="1" w:lastColumn="1" w:noHBand="0" w:noVBand="1"/>
      </w:tblPr>
      <w:tblGrid>
        <w:gridCol w:w="9637"/>
      </w:tblGrid>
      <w:tr w:rsidR="00DD0DF9" w:rsidTr="00DE1E2E">
        <w:trPr>
          <w:jc w:val="center"/>
        </w:trPr>
        <w:tc>
          <w:tcPr>
            <w:tcW w:w="9637" w:type="dxa"/>
            <w:tcBorders>
              <w:top w:val="single" w:sz="4" w:space="0" w:color="auto"/>
            </w:tcBorders>
            <w:shd w:val="clear" w:color="auto" w:fill="auto"/>
          </w:tcPr>
          <w:p w:rsidR="00DD0DF9" w:rsidRPr="00335F28" w:rsidRDefault="00335F28" w:rsidP="00DE1E2E">
            <w:pPr>
              <w:spacing w:before="200" w:after="120" w:line="240" w:lineRule="auto"/>
              <w:ind w:left="255"/>
            </w:pPr>
            <w:r w:rsidRPr="0000224A">
              <w:rPr>
                <w:i/>
                <w:sz w:val="24"/>
              </w:rPr>
              <w:t>Summary</w:t>
            </w:r>
          </w:p>
        </w:tc>
      </w:tr>
      <w:tr w:rsidR="00DD0DF9" w:rsidTr="00DE1E2E">
        <w:trPr>
          <w:jc w:val="center"/>
        </w:trPr>
        <w:tc>
          <w:tcPr>
            <w:tcW w:w="9637" w:type="dxa"/>
            <w:shd w:val="clear" w:color="auto" w:fill="auto"/>
          </w:tcPr>
          <w:p w:rsidR="00361AE9" w:rsidRDefault="00DD0DF9" w:rsidP="00DE1E2E">
            <w:pPr>
              <w:pStyle w:val="SingleTxtG"/>
              <w:spacing w:after="100" w:line="240" w:lineRule="auto"/>
            </w:pPr>
            <w:r w:rsidRPr="001C4D28">
              <w:tab/>
            </w:r>
            <w:r w:rsidR="00361AE9">
              <w:t xml:space="preserve">At the Seventh Environment for Europe Ministerial Conference in </w:t>
            </w:r>
            <w:r w:rsidRPr="001C4D28">
              <w:t xml:space="preserve">Astana </w:t>
            </w:r>
            <w:r w:rsidR="00EA45F7">
              <w:t>(</w:t>
            </w:r>
            <w:r w:rsidR="00361AE9">
              <w:t>2011</w:t>
            </w:r>
            <w:r w:rsidR="00EA45F7">
              <w:t>)</w:t>
            </w:r>
            <w:r w:rsidR="00361AE9">
              <w:t xml:space="preserve"> ministers decided that the </w:t>
            </w:r>
            <w:r w:rsidRPr="001C4D28">
              <w:t xml:space="preserve">pan-European environment </w:t>
            </w:r>
            <w:r w:rsidR="00361AE9">
              <w:t xml:space="preserve">should be kept </w:t>
            </w:r>
            <w:r w:rsidRPr="001C4D28">
              <w:t>under review by establishing a regular process of environmental assessment and develop</w:t>
            </w:r>
            <w:r w:rsidR="00EA45F7">
              <w:t>ing a</w:t>
            </w:r>
            <w:r w:rsidRPr="001C4D28">
              <w:t xml:space="preserve"> Shared Environmental Information S</w:t>
            </w:r>
            <w:r w:rsidR="00361AE9">
              <w:t>ystems (SEIS) across the region. To implement that decision,</w:t>
            </w:r>
            <w:r w:rsidRPr="001C4D28">
              <w:t xml:space="preserve"> the Economic Commission for Europe (ECE) Committee on Environmental Policy mandated the Working Group on Environmental Monitoring and Assessment to review progress in the establishment of SEIS, based on SEIS targets and performance indicators</w:t>
            </w:r>
            <w:r w:rsidR="00EA45F7">
              <w:t xml:space="preserve"> </w:t>
            </w:r>
            <w:r w:rsidR="00335F28">
              <w:t xml:space="preserve">that the Committee </w:t>
            </w:r>
            <w:r w:rsidR="00EA45F7">
              <w:t>adopted</w:t>
            </w:r>
            <w:r w:rsidRPr="001C4D28">
              <w:t>. The Working Group was further mandated to prepare an evaluation report on progress made by the pan-European countries in establishing SEIS</w:t>
            </w:r>
            <w:r w:rsidR="003C752A">
              <w:t xml:space="preserve"> </w:t>
            </w:r>
            <w:r w:rsidR="003C752A" w:rsidRPr="001C4D28">
              <w:t>(see ECE/CEP/2014/2, paras. 76 and 98 (j)</w:t>
            </w:r>
            <w:r w:rsidR="001C2FE3">
              <w:t xml:space="preserve"> (ii)</w:t>
            </w:r>
            <w:r w:rsidR="003C752A" w:rsidRPr="001C4D28">
              <w:t xml:space="preserve"> and (</w:t>
            </w:r>
            <w:proofErr w:type="spellStart"/>
            <w:r w:rsidR="003C752A" w:rsidRPr="001C4D28">
              <w:t>ff</w:t>
            </w:r>
            <w:proofErr w:type="spellEnd"/>
            <w:r w:rsidR="003C752A" w:rsidRPr="001C4D28">
              <w:t>) (iii))</w:t>
            </w:r>
            <w:r w:rsidRPr="001C4D28">
              <w:t>.</w:t>
            </w:r>
          </w:p>
          <w:p w:rsidR="00DD0DF9" w:rsidRDefault="00DD0DF9" w:rsidP="00DE1E2E">
            <w:pPr>
              <w:pStyle w:val="SingleTxtG"/>
              <w:spacing w:after="100" w:line="240" w:lineRule="auto"/>
            </w:pPr>
            <w:r w:rsidRPr="001C4D28">
              <w:tab/>
            </w:r>
            <w:r w:rsidR="00361AE9">
              <w:t xml:space="preserve">A preliminary draft </w:t>
            </w:r>
            <w:r w:rsidR="00EA45F7">
              <w:t xml:space="preserve">of the </w:t>
            </w:r>
            <w:r w:rsidR="00335F28">
              <w:t xml:space="preserve">present </w:t>
            </w:r>
            <w:r w:rsidR="00EA45F7">
              <w:t xml:space="preserve">progress report </w:t>
            </w:r>
            <w:r w:rsidR="00361AE9">
              <w:t xml:space="preserve">was </w:t>
            </w:r>
            <w:r w:rsidRPr="001C4D28">
              <w:t xml:space="preserve">prepared by the secretariat </w:t>
            </w:r>
            <w:r w:rsidR="00361AE9">
              <w:t xml:space="preserve">following </w:t>
            </w:r>
            <w:r w:rsidRPr="001C4D28">
              <w:t>a desk study</w:t>
            </w:r>
            <w:r w:rsidR="00361AE9">
              <w:t>.</w:t>
            </w:r>
            <w:r w:rsidRPr="001C4D28">
              <w:t xml:space="preserve"> </w:t>
            </w:r>
            <w:r w:rsidR="00361AE9">
              <w:t>T</w:t>
            </w:r>
            <w:r w:rsidRPr="001C4D28">
              <w:t xml:space="preserve">he Working Group </w:t>
            </w:r>
            <w:r w:rsidR="00361AE9">
              <w:t xml:space="preserve">subsequently </w:t>
            </w:r>
            <w:r w:rsidR="00EA45F7">
              <w:t xml:space="preserve">elaborated its </w:t>
            </w:r>
            <w:r w:rsidRPr="001C4D28">
              <w:t xml:space="preserve">own </w:t>
            </w:r>
            <w:r w:rsidR="00361AE9">
              <w:t>report</w:t>
            </w:r>
            <w:r w:rsidR="00EA45F7">
              <w:t xml:space="preserve"> on that basis</w:t>
            </w:r>
            <w:r w:rsidR="00361AE9">
              <w:t>, also t</w:t>
            </w:r>
            <w:r w:rsidRPr="001C4D28">
              <w:t xml:space="preserve">aking into account the </w:t>
            </w:r>
            <w:r w:rsidR="00361AE9">
              <w:t xml:space="preserve">discussions at its </w:t>
            </w:r>
            <w:r w:rsidRPr="001C4D28">
              <w:t>seventeenth session (Geneva, 7–8 September 2016) and</w:t>
            </w:r>
            <w:r w:rsidR="00361AE9">
              <w:t xml:space="preserve"> subsequent inputs by countries</w:t>
            </w:r>
            <w:r w:rsidR="00335F28">
              <w:t xml:space="preserve"> (comments were invited until 3 </w:t>
            </w:r>
            <w:r w:rsidR="00361AE9">
              <w:t>October 2015).</w:t>
            </w:r>
            <w:r w:rsidRPr="001C4D28">
              <w:t xml:space="preserve"> </w:t>
            </w:r>
          </w:p>
          <w:p w:rsidR="00F0293A" w:rsidRDefault="00F0293A" w:rsidP="00DE1E2E">
            <w:pPr>
              <w:pStyle w:val="SingleTxtG"/>
              <w:spacing w:after="100" w:line="240" w:lineRule="auto"/>
            </w:pPr>
            <w:r>
              <w:tab/>
              <w:t xml:space="preserve">The present report </w:t>
            </w:r>
            <w:r w:rsidRPr="001C4D28">
              <w:t xml:space="preserve">is </w:t>
            </w:r>
            <w:r>
              <w:t xml:space="preserve">being </w:t>
            </w:r>
            <w:r w:rsidRPr="001C4D28">
              <w:t xml:space="preserve">submitted to </w:t>
            </w:r>
            <w:r>
              <w:t xml:space="preserve">the Committee on Environmental Policy </w:t>
            </w:r>
            <w:r w:rsidRPr="001C4D28">
              <w:t>for consideration with a view to providing further guidance</w:t>
            </w:r>
            <w:r>
              <w:t xml:space="preserve"> to the Working Group in finaliz</w:t>
            </w:r>
            <w:r w:rsidRPr="001C4D28">
              <w:t xml:space="preserve">ing the report for </w:t>
            </w:r>
            <w:r>
              <w:t xml:space="preserve">submission to ministers at </w:t>
            </w:r>
            <w:r w:rsidRPr="001C4D28">
              <w:t xml:space="preserve">the </w:t>
            </w:r>
            <w:r>
              <w:t xml:space="preserve">Eighth Environment for Europe Ministerial </w:t>
            </w:r>
            <w:r w:rsidRPr="001C4D28">
              <w:t>Conference</w:t>
            </w:r>
            <w:r>
              <w:t xml:space="preserve"> in Batumi, Georgia, in 2016</w:t>
            </w:r>
            <w:r w:rsidRPr="001C4D28">
              <w:t>.</w:t>
            </w:r>
          </w:p>
        </w:tc>
      </w:tr>
      <w:tr w:rsidR="00BF62EB" w:rsidTr="00DE1E2E">
        <w:trPr>
          <w:jc w:val="center"/>
        </w:trPr>
        <w:tc>
          <w:tcPr>
            <w:tcW w:w="9637" w:type="dxa"/>
            <w:tcBorders>
              <w:bottom w:val="single" w:sz="4" w:space="0" w:color="auto"/>
            </w:tcBorders>
            <w:shd w:val="clear" w:color="auto" w:fill="auto"/>
          </w:tcPr>
          <w:p w:rsidR="00BF62EB" w:rsidRDefault="00BF62EB" w:rsidP="00DE1E2E">
            <w:pPr>
              <w:spacing w:line="160" w:lineRule="exact"/>
            </w:pPr>
          </w:p>
        </w:tc>
      </w:tr>
    </w:tbl>
    <w:p w:rsidR="00972FA2" w:rsidRPr="00DE1E2E" w:rsidRDefault="00972FA2">
      <w:pPr>
        <w:suppressAutoHyphens w:val="0"/>
        <w:spacing w:line="240" w:lineRule="auto"/>
        <w:rPr>
          <w:b/>
          <w:sz w:val="16"/>
          <w:szCs w:val="16"/>
        </w:rPr>
      </w:pPr>
    </w:p>
    <w:p w:rsidR="00031229" w:rsidRPr="001C4D28" w:rsidRDefault="00031229" w:rsidP="00AD52E5">
      <w:pPr>
        <w:pStyle w:val="HChG"/>
      </w:pPr>
      <w:r w:rsidRPr="001C4D28">
        <w:lastRenderedPageBreak/>
        <w:tab/>
        <w:t>I.</w:t>
      </w:r>
      <w:r w:rsidRPr="001C4D28">
        <w:tab/>
        <w:t>Introduction</w:t>
      </w:r>
    </w:p>
    <w:p w:rsidR="00031229" w:rsidRPr="001C4D28" w:rsidRDefault="00031229" w:rsidP="00031229">
      <w:pPr>
        <w:pStyle w:val="SingleTxtG"/>
      </w:pPr>
      <w:r w:rsidRPr="001C4D28">
        <w:t>1.</w:t>
      </w:r>
      <w:r w:rsidRPr="001C4D28">
        <w:tab/>
        <w:t xml:space="preserve">The ministers of the environment from the pan-European region present at the Seventh Environment for Europe Ministerial Conference (Astana, 21–23 September 2011) recognized </w:t>
      </w:r>
      <w:r w:rsidR="00BF62EB">
        <w:t xml:space="preserve">a number of </w:t>
      </w:r>
      <w:r w:rsidRPr="001C4D28">
        <w:t xml:space="preserve">challenges </w:t>
      </w:r>
      <w:r w:rsidR="00E74173">
        <w:t xml:space="preserve">concerning </w:t>
      </w:r>
      <w:r w:rsidRPr="001C4D28">
        <w:t xml:space="preserve">access to </w:t>
      </w:r>
      <w:r w:rsidR="00E74173">
        <w:t xml:space="preserve">the </w:t>
      </w:r>
      <w:r w:rsidRPr="001C4D28">
        <w:t xml:space="preserve">data and information necessary </w:t>
      </w:r>
      <w:r w:rsidR="00E74173">
        <w:t xml:space="preserve">to </w:t>
      </w:r>
      <w:r w:rsidRPr="001C4D28">
        <w:t>generat</w:t>
      </w:r>
      <w:r w:rsidR="00E74173">
        <w:t>e</w:t>
      </w:r>
      <w:r w:rsidRPr="001C4D28">
        <w:t xml:space="preserve"> environmental assessments and decided to address them. They committed to establish</w:t>
      </w:r>
      <w:r w:rsidR="00E74173">
        <w:t>ing</w:t>
      </w:r>
      <w:r w:rsidRPr="001C4D28">
        <w:t xml:space="preserve"> a regular process of environmental assessment for the pan-European region</w:t>
      </w:r>
      <w:r w:rsidRPr="001C4D28">
        <w:rPr>
          <w:rStyle w:val="FootnoteReference"/>
        </w:rPr>
        <w:footnoteReference w:id="3"/>
      </w:r>
      <w:r w:rsidRPr="001C4D28">
        <w:t xml:space="preserve"> based on </w:t>
      </w:r>
      <w:r w:rsidR="00E74173">
        <w:t xml:space="preserve">a </w:t>
      </w:r>
      <w:r w:rsidRPr="001C4D28">
        <w:t xml:space="preserve">Shared Environmental Information System (SEIS) — an approach that, with the support of modern technologies such as the Internet, </w:t>
      </w:r>
      <w:r w:rsidR="00E74173">
        <w:t xml:space="preserve">will </w:t>
      </w:r>
      <w:r w:rsidRPr="001C4D28">
        <w:t xml:space="preserve">link all existing data and information flows relevant at the country and international levels in support of </w:t>
      </w:r>
      <w:r w:rsidR="00D840A7">
        <w:t xml:space="preserve">a </w:t>
      </w:r>
      <w:r w:rsidRPr="001C4D28">
        <w:t>regular environmental assessment process.</w:t>
      </w:r>
    </w:p>
    <w:p w:rsidR="00031229" w:rsidRPr="001C4D28" w:rsidRDefault="00031229" w:rsidP="00031229">
      <w:pPr>
        <w:pStyle w:val="SingleTxtG"/>
      </w:pPr>
      <w:r w:rsidRPr="001C4D28">
        <w:t>2.</w:t>
      </w:r>
      <w:r w:rsidRPr="001C4D28">
        <w:tab/>
        <w:t xml:space="preserve">The United Nations Economic Commission for Europe (ECE) Committee </w:t>
      </w:r>
      <w:r w:rsidR="001C2FE3">
        <w:t xml:space="preserve">on </w:t>
      </w:r>
      <w:r w:rsidRPr="001C4D28">
        <w:t xml:space="preserve">Environmental Policy has been overseeing the efforts taken in the pan-European region to establish a regular environmental assessment process and to develop SEIS. </w:t>
      </w:r>
      <w:r w:rsidR="001C2FE3">
        <w:t>A</w:t>
      </w:r>
      <w:r w:rsidRPr="001C4D28">
        <w:t>t its twentieth session (Geneva, 28–31 October 2014)</w:t>
      </w:r>
      <w:r w:rsidR="001C2FE3">
        <w:t>, the Committee</w:t>
      </w:r>
      <w:r w:rsidRPr="001C4D28">
        <w:t xml:space="preserve"> adopted targets and performance indicators for measuring the progress in establishing and operating SEIS </w:t>
      </w:r>
      <w:r w:rsidR="001C2FE3">
        <w:t xml:space="preserve">(see </w:t>
      </w:r>
      <w:r w:rsidRPr="001C4D28">
        <w:t>ECE/CEP/2014/8</w:t>
      </w:r>
      <w:r w:rsidR="001C2FE3">
        <w:t>)</w:t>
      </w:r>
      <w:r w:rsidRPr="001C4D28">
        <w:t xml:space="preserve">. It </w:t>
      </w:r>
      <w:r w:rsidR="001C2FE3">
        <w:t xml:space="preserve">also </w:t>
      </w:r>
      <w:r w:rsidRPr="001C4D28">
        <w:t xml:space="preserve">mandated the Working Group on Environmental Monitoring and Assessment to review progress in the establishment of SEIS, based on the adopted targets and performance indicators, with a view to preparing a report on progress made in developing SEIS in the pan-European region for the Eighth </w:t>
      </w:r>
      <w:r w:rsidR="001C2FE3">
        <w:t xml:space="preserve">Environment for Europe </w:t>
      </w:r>
      <w:r w:rsidRPr="001C4D28">
        <w:t xml:space="preserve">Ministerial Conference (Batumi, Georgia, 8–10 June 2016). </w:t>
      </w:r>
      <w:r w:rsidR="00D840A7">
        <w:t>The Committee requested the Working Group to submit a</w:t>
      </w:r>
      <w:r w:rsidRPr="001C4D28">
        <w:t xml:space="preserve">n initial version of that report </w:t>
      </w:r>
      <w:r w:rsidR="001C2FE3">
        <w:t xml:space="preserve">to </w:t>
      </w:r>
      <w:r w:rsidR="00D840A7">
        <w:t xml:space="preserve">it for consideration </w:t>
      </w:r>
      <w:r w:rsidRPr="001C4D28">
        <w:t>at its twenty</w:t>
      </w:r>
      <w:r w:rsidR="001C2FE3">
        <w:t>-</w:t>
      </w:r>
      <w:r w:rsidRPr="001C4D28">
        <w:t>first session (ECE/CEP/2014/2, paras. 76 and 98 (j)</w:t>
      </w:r>
      <w:r w:rsidR="001C2FE3">
        <w:t xml:space="preserve"> (ii)</w:t>
      </w:r>
      <w:r w:rsidRPr="001C4D28">
        <w:t xml:space="preserve"> and (</w:t>
      </w:r>
      <w:proofErr w:type="spellStart"/>
      <w:r w:rsidRPr="001C4D28">
        <w:t>ff</w:t>
      </w:r>
      <w:proofErr w:type="spellEnd"/>
      <w:r w:rsidRPr="001C4D28">
        <w:t>) (iii)).</w:t>
      </w:r>
    </w:p>
    <w:p w:rsidR="00031229" w:rsidRPr="001C4D28" w:rsidRDefault="00031229" w:rsidP="00031229">
      <w:pPr>
        <w:pStyle w:val="SingleTxtG"/>
      </w:pPr>
      <w:r w:rsidRPr="001C4D28">
        <w:t>3.</w:t>
      </w:r>
      <w:r w:rsidRPr="001C4D28">
        <w:tab/>
      </w:r>
      <w:r w:rsidR="001C2FE3">
        <w:t xml:space="preserve">In order to </w:t>
      </w:r>
      <w:r w:rsidRPr="001C4D28">
        <w:t>prepar</w:t>
      </w:r>
      <w:r w:rsidR="001C2FE3">
        <w:t>e</w:t>
      </w:r>
      <w:r w:rsidRPr="001C4D28">
        <w:t xml:space="preserve"> the progress report</w:t>
      </w:r>
      <w:r w:rsidR="001C2FE3">
        <w:t>,</w:t>
      </w:r>
      <w:r w:rsidRPr="001C4D28">
        <w:t xml:space="preserve"> the Working Group </w:t>
      </w:r>
      <w:r w:rsidR="001C2FE3">
        <w:t xml:space="preserve">had first </w:t>
      </w:r>
      <w:r w:rsidRPr="001C4D28">
        <w:t>to define the content</w:t>
      </w:r>
      <w:r w:rsidR="001C2FE3">
        <w:t xml:space="preserve"> — i.e., </w:t>
      </w:r>
      <w:r w:rsidRPr="001C4D28">
        <w:t xml:space="preserve">specific data sets </w:t>
      </w:r>
      <w:r w:rsidR="001C2FE3">
        <w:t>—</w:t>
      </w:r>
      <w:r w:rsidRPr="001C4D28">
        <w:t xml:space="preserve"> for the pan-European SEIS and to provide countries with a reporting mechanism through which information, necessary to evaluate SEIS development in accordance with the SEIS targets and performance indicators, could be collected.</w:t>
      </w:r>
    </w:p>
    <w:p w:rsidR="00031229" w:rsidRPr="001C4D28" w:rsidRDefault="00031229" w:rsidP="00031229">
      <w:pPr>
        <w:pStyle w:val="SingleTxtG"/>
      </w:pPr>
      <w:r w:rsidRPr="001C4D28">
        <w:t>4.</w:t>
      </w:r>
      <w:r w:rsidRPr="001C4D28">
        <w:tab/>
      </w:r>
      <w:r w:rsidR="001C2FE3">
        <w:t>A</w:t>
      </w:r>
      <w:r w:rsidRPr="001C4D28">
        <w:t>t its sixteenth session (Istanbul, 16–17 April 2015)</w:t>
      </w:r>
      <w:r w:rsidR="001C2FE3">
        <w:t>, the Working Group agreed</w:t>
      </w:r>
      <w:r w:rsidRPr="001C4D28">
        <w:t xml:space="preserve"> on the initial SEIS content consisting of 67 specific data sets</w:t>
      </w:r>
      <w:r w:rsidR="00842496">
        <w:t>.</w:t>
      </w:r>
      <w:r w:rsidRPr="001C4D28">
        <w:t xml:space="preserve"> </w:t>
      </w:r>
      <w:r w:rsidR="00842496">
        <w:t>O</w:t>
      </w:r>
      <w:r w:rsidRPr="001C4D28">
        <w:t xml:space="preserve">f </w:t>
      </w:r>
      <w:r w:rsidR="00842496">
        <w:t>those,</w:t>
      </w:r>
      <w:r w:rsidRPr="001C4D28">
        <w:t xml:space="preserve"> 25 refer to the theme of air pollution and ozone depletion</w:t>
      </w:r>
      <w:r w:rsidR="001C2FE3">
        <w:t>;</w:t>
      </w:r>
      <w:r w:rsidRPr="001C4D28">
        <w:t xml:space="preserve"> 4 to climate change</w:t>
      </w:r>
      <w:r w:rsidR="001C2FE3">
        <w:t>;</w:t>
      </w:r>
      <w:r w:rsidRPr="001C4D28">
        <w:t xml:space="preserve"> 20 to water</w:t>
      </w:r>
      <w:r w:rsidR="001C2FE3">
        <w:t>;</w:t>
      </w:r>
      <w:r w:rsidRPr="001C4D28">
        <w:t xml:space="preserve"> 4 to biodiversity</w:t>
      </w:r>
      <w:r w:rsidR="001C2FE3">
        <w:t>;</w:t>
      </w:r>
      <w:r w:rsidRPr="001C4D28">
        <w:t xml:space="preserve"> 2 to land and soil</w:t>
      </w:r>
      <w:r w:rsidR="001C2FE3">
        <w:t>;</w:t>
      </w:r>
      <w:r w:rsidRPr="001C4D28">
        <w:t xml:space="preserve"> 4 to energy</w:t>
      </w:r>
      <w:r w:rsidR="001C2FE3">
        <w:t>;</w:t>
      </w:r>
      <w:r w:rsidRPr="001C4D28">
        <w:t xml:space="preserve"> and 8 to waste. </w:t>
      </w:r>
      <w:r w:rsidR="00D840A7">
        <w:t xml:space="preserve">The Working Group </w:t>
      </w:r>
      <w:r w:rsidRPr="001C4D28">
        <w:t xml:space="preserve">further agreed that it would review the pan-European countries performance in establishing SEIS in 2015 by verifying the production and online sharing of the 67 </w:t>
      </w:r>
      <w:r w:rsidR="00842496">
        <w:t xml:space="preserve">agreed </w:t>
      </w:r>
      <w:r w:rsidRPr="001C4D28">
        <w:t xml:space="preserve">data sets. </w:t>
      </w:r>
    </w:p>
    <w:p w:rsidR="00031229" w:rsidRPr="001C4D28" w:rsidRDefault="00031229" w:rsidP="00031229">
      <w:pPr>
        <w:pStyle w:val="SingleTxtG"/>
      </w:pPr>
      <w:r w:rsidRPr="001C4D28">
        <w:t>5.</w:t>
      </w:r>
      <w:r w:rsidRPr="001C4D28">
        <w:tab/>
        <w:t xml:space="preserve">The Working Group also </w:t>
      </w:r>
      <w:r w:rsidR="00842496">
        <w:t xml:space="preserve">approved </w:t>
      </w:r>
      <w:r w:rsidRPr="001C4D28">
        <w:t xml:space="preserve">a concept </w:t>
      </w:r>
      <w:r w:rsidR="00842496">
        <w:t xml:space="preserve">for </w:t>
      </w:r>
      <w:r w:rsidRPr="001C4D28">
        <w:t xml:space="preserve">a reporting mechanism </w:t>
      </w:r>
      <w:r w:rsidR="00842496">
        <w:t xml:space="preserve">to </w:t>
      </w:r>
      <w:r w:rsidRPr="001C4D28">
        <w:t xml:space="preserve">review the effective production and online sharing of the data sets in accordance with the SEIS targets and performance indicators. The reporting mechanism requires that each SEIS data set </w:t>
      </w:r>
      <w:r w:rsidR="00D840A7">
        <w:t xml:space="preserve">be </w:t>
      </w:r>
      <w:r w:rsidRPr="001C4D28">
        <w:t>reviewed on five elements: online accessibility</w:t>
      </w:r>
      <w:r w:rsidR="00842496">
        <w:t>;</w:t>
      </w:r>
      <w:r w:rsidRPr="001C4D28">
        <w:t xml:space="preserve"> update regularity</w:t>
      </w:r>
      <w:r w:rsidR="00842496">
        <w:t>;</w:t>
      </w:r>
      <w:r w:rsidRPr="001C4D28">
        <w:t xml:space="preserve"> application of a standard production methodology</w:t>
      </w:r>
      <w:r w:rsidR="00842496">
        <w:t>;</w:t>
      </w:r>
      <w:r w:rsidRPr="001C4D28">
        <w:t xml:space="preserve"> data interpretation availability</w:t>
      </w:r>
      <w:r w:rsidR="00842496">
        <w:t>;</w:t>
      </w:r>
      <w:r w:rsidRPr="001C4D28">
        <w:t xml:space="preserve"> and information on </w:t>
      </w:r>
      <w:r w:rsidR="00842496">
        <w:t xml:space="preserve">the </w:t>
      </w:r>
      <w:r w:rsidRPr="001C4D28">
        <w:t>data source. That review is to be done by SEIS focal points in the ECE countries and examined by the European Environment Agency (EEA)</w:t>
      </w:r>
      <w:r w:rsidRPr="001C4D28">
        <w:rPr>
          <w:rStyle w:val="FootnoteReference"/>
        </w:rPr>
        <w:footnoteReference w:id="4"/>
      </w:r>
      <w:r w:rsidRPr="001C4D28">
        <w:t xml:space="preserve"> for its pan-European member States and by the ECE secretariat for member States from the Caucasus, Central Asia and Eastern and South-Eastern Europe</w:t>
      </w:r>
      <w:r w:rsidR="00842496">
        <w:t>,</w:t>
      </w:r>
      <w:r w:rsidRPr="001C4D28">
        <w:t xml:space="preserve"> as well as other pan-European countries not covered by EEA.</w:t>
      </w:r>
    </w:p>
    <w:p w:rsidR="00031229" w:rsidRPr="001C4D28" w:rsidRDefault="00031229" w:rsidP="00031229">
      <w:pPr>
        <w:pStyle w:val="SingleTxtG"/>
      </w:pPr>
      <w:r w:rsidRPr="001C4D28">
        <w:lastRenderedPageBreak/>
        <w:t>6.</w:t>
      </w:r>
      <w:r w:rsidRPr="001C4D28">
        <w:tab/>
        <w:t xml:space="preserve">The current report was prepared by the Working Group with support </w:t>
      </w:r>
      <w:r w:rsidR="000E764B">
        <w:t xml:space="preserve">from </w:t>
      </w:r>
      <w:r w:rsidRPr="001C4D28">
        <w:t>the ECE secretariat</w:t>
      </w:r>
      <w:r w:rsidR="000E764B">
        <w:t>.</w:t>
      </w:r>
      <w:r w:rsidRPr="001C4D28">
        <w:t xml:space="preserve"> </w:t>
      </w:r>
      <w:r w:rsidR="000E764B">
        <w:t>I</w:t>
      </w:r>
      <w:r w:rsidRPr="001C4D28">
        <w:t xml:space="preserve">t shows the degree to which SEIS, as defined by the Working Group, </w:t>
      </w:r>
      <w:r w:rsidR="00D840A7">
        <w:t xml:space="preserve">has been </w:t>
      </w:r>
      <w:r w:rsidRPr="001C4D28">
        <w:t>established in the pan-European countries.</w:t>
      </w:r>
    </w:p>
    <w:p w:rsidR="00031229" w:rsidRPr="001C4D28" w:rsidRDefault="00031229" w:rsidP="00031229">
      <w:pPr>
        <w:pStyle w:val="HChG"/>
      </w:pPr>
      <w:r w:rsidRPr="001C4D28">
        <w:tab/>
        <w:t>II.</w:t>
      </w:r>
      <w:r w:rsidRPr="001C4D28">
        <w:tab/>
        <w:t xml:space="preserve">Review of performance in developing the Shared Environmental Information System in the </w:t>
      </w:r>
      <w:r w:rsidR="00B14649">
        <w:br/>
      </w:r>
      <w:r w:rsidRPr="001C4D28">
        <w:t>pan-European region</w:t>
      </w:r>
    </w:p>
    <w:p w:rsidR="00031229" w:rsidRPr="001C4D28" w:rsidRDefault="00031229" w:rsidP="00031229">
      <w:pPr>
        <w:pStyle w:val="SingleTxtG"/>
      </w:pPr>
      <w:r w:rsidRPr="001C4D28">
        <w:t>7.</w:t>
      </w:r>
      <w:r w:rsidRPr="001C4D28">
        <w:tab/>
        <w:t xml:space="preserve">The review of performance in developing SEIS </w:t>
      </w:r>
      <w:r w:rsidR="004E2FAD">
        <w:t xml:space="preserve">was </w:t>
      </w:r>
      <w:r w:rsidR="00B14649">
        <w:t xml:space="preserve">done </w:t>
      </w:r>
      <w:r w:rsidRPr="001C4D28">
        <w:t xml:space="preserve">as part of an exercise </w:t>
      </w:r>
      <w:r w:rsidRPr="001C4D28">
        <w:rPr>
          <w:color w:val="000000"/>
        </w:rPr>
        <w:t xml:space="preserve">aimed at testing the SEIS reporting mechanism. During the testing, the availability and accessibility of </w:t>
      </w:r>
      <w:r w:rsidR="00B14649">
        <w:rPr>
          <w:color w:val="000000"/>
        </w:rPr>
        <w:t xml:space="preserve">the </w:t>
      </w:r>
      <w:r w:rsidRPr="001C4D28">
        <w:rPr>
          <w:color w:val="000000"/>
        </w:rPr>
        <w:t xml:space="preserve">67 </w:t>
      </w:r>
      <w:r w:rsidR="00B14649">
        <w:rPr>
          <w:color w:val="000000"/>
        </w:rPr>
        <w:t xml:space="preserve">SEIS </w:t>
      </w:r>
      <w:r w:rsidRPr="001C4D28">
        <w:rPr>
          <w:color w:val="000000"/>
        </w:rPr>
        <w:t>data sets and related information were rated for 53 pan</w:t>
      </w:r>
      <w:r w:rsidR="00B14649">
        <w:rPr>
          <w:color w:val="000000"/>
        </w:rPr>
        <w:noBreakHyphen/>
      </w:r>
      <w:r w:rsidRPr="001C4D28">
        <w:rPr>
          <w:color w:val="000000"/>
        </w:rPr>
        <w:t>European countries:</w:t>
      </w:r>
      <w:r w:rsidRPr="001C4D28">
        <w:rPr>
          <w:color w:val="000000"/>
          <w:spacing w:val="-3"/>
        </w:rPr>
        <w:t xml:space="preserve"> Albania, Armenia, Austria, Azerbaijan, Belarus, Belgium, Bosnia and Herzegovina, Bulgaria, Canada, Croatia, Cyprus, Czech Republic, Denmark, Estonia, Finland, France, Georgia, Germany, Greece, Hungary, Iceland, Ireland</w:t>
      </w:r>
      <w:r w:rsidRPr="001C4D28">
        <w:rPr>
          <w:color w:val="000000"/>
        </w:rPr>
        <w:t xml:space="preserve">, </w:t>
      </w:r>
      <w:r w:rsidRPr="001C4D28">
        <w:rPr>
          <w:color w:val="000000"/>
          <w:spacing w:val="-3"/>
        </w:rPr>
        <w:t>Israel, Italy, Kazakhstan, Kyrgyzstan, Latvia, Liechtenstein, Lithuania, Luxembourg, Malta, Montenegro, Netherlands, Norway, Poland, Portugal, Republic of Moldova, Romania, Russian Federation, Serbia, Slovak Republic, Slovenia, Spain</w:t>
      </w:r>
      <w:r w:rsidRPr="001C4D28">
        <w:rPr>
          <w:color w:val="000000"/>
        </w:rPr>
        <w:t>,</w:t>
      </w:r>
      <w:r w:rsidRPr="001C4D28">
        <w:rPr>
          <w:color w:val="000000"/>
          <w:spacing w:val="-3"/>
        </w:rPr>
        <w:t xml:space="preserve"> Sweden, Switzerland, Tajikistan, the former Yugoslav Republic of Macedonia, Turkey, Turkmenistan, Ukraine, United Kingdom</w:t>
      </w:r>
      <w:r w:rsidR="00B14649">
        <w:rPr>
          <w:color w:val="000000"/>
          <w:spacing w:val="-3"/>
        </w:rPr>
        <w:t xml:space="preserve"> of Great Britain and Northern Ireland</w:t>
      </w:r>
      <w:r w:rsidRPr="001C4D28">
        <w:rPr>
          <w:color w:val="000000"/>
          <w:spacing w:val="-3"/>
        </w:rPr>
        <w:t xml:space="preserve">, United States </w:t>
      </w:r>
      <w:r w:rsidR="00B14649">
        <w:rPr>
          <w:color w:val="000000"/>
          <w:spacing w:val="-3"/>
        </w:rPr>
        <w:t xml:space="preserve">of America </w:t>
      </w:r>
      <w:r w:rsidRPr="001C4D28">
        <w:rPr>
          <w:color w:val="000000"/>
          <w:spacing w:val="-3"/>
        </w:rPr>
        <w:t>and Uzbekistan</w:t>
      </w:r>
      <w:r w:rsidR="00B14649">
        <w:rPr>
          <w:color w:val="000000"/>
          <w:spacing w:val="-3"/>
        </w:rPr>
        <w:t>.</w:t>
      </w:r>
      <w:r w:rsidRPr="001C4D28">
        <w:rPr>
          <w:color w:val="000000"/>
          <w:spacing w:val="-3"/>
        </w:rPr>
        <w:t xml:space="preserve"> </w:t>
      </w:r>
      <w:r w:rsidR="00B14649">
        <w:rPr>
          <w:color w:val="000000"/>
          <w:spacing w:val="-3"/>
        </w:rPr>
        <w:t>T</w:t>
      </w:r>
      <w:r w:rsidR="00B14649">
        <w:rPr>
          <w:color w:val="000000"/>
        </w:rPr>
        <w:t xml:space="preserve">he performance of </w:t>
      </w:r>
      <w:r w:rsidRPr="001C4D28">
        <w:rPr>
          <w:color w:val="000000"/>
        </w:rPr>
        <w:t>Kosovo</w:t>
      </w:r>
      <w:r w:rsidRPr="001C4D28">
        <w:rPr>
          <w:rStyle w:val="FootnoteReference"/>
          <w:color w:val="000000"/>
        </w:rPr>
        <w:footnoteReference w:id="5"/>
      </w:r>
      <w:r w:rsidRPr="001C4D28">
        <w:rPr>
          <w:color w:val="000000"/>
        </w:rPr>
        <w:t xml:space="preserve"> </w:t>
      </w:r>
      <w:r w:rsidR="00B14649">
        <w:rPr>
          <w:color w:val="000000"/>
        </w:rPr>
        <w:t xml:space="preserve">was also rated. </w:t>
      </w:r>
      <w:r w:rsidRPr="001C4D28">
        <w:rPr>
          <w:color w:val="000000"/>
        </w:rPr>
        <w:t xml:space="preserve">Each data set was rated </w:t>
      </w:r>
      <w:r w:rsidRPr="00DC39CB">
        <w:rPr>
          <w:color w:val="000000"/>
        </w:rPr>
        <w:t xml:space="preserve">on </w:t>
      </w:r>
      <w:r w:rsidR="00D840A7" w:rsidRPr="00DC39CB">
        <w:rPr>
          <w:color w:val="000000"/>
        </w:rPr>
        <w:t xml:space="preserve">the </w:t>
      </w:r>
      <w:r w:rsidRPr="00DC39CB">
        <w:rPr>
          <w:color w:val="000000"/>
        </w:rPr>
        <w:t xml:space="preserve">five elements </w:t>
      </w:r>
      <w:r w:rsidR="00DC39CB">
        <w:rPr>
          <w:color w:val="000000"/>
        </w:rPr>
        <w:t xml:space="preserve">for review established by </w:t>
      </w:r>
      <w:r w:rsidRPr="00DC39CB">
        <w:rPr>
          <w:color w:val="000000"/>
        </w:rPr>
        <w:t>the SEIS</w:t>
      </w:r>
      <w:r w:rsidRPr="001C4D28">
        <w:rPr>
          <w:color w:val="000000"/>
        </w:rPr>
        <w:t xml:space="preserve"> reporting mechanism</w:t>
      </w:r>
      <w:r w:rsidR="00DC39CB">
        <w:rPr>
          <w:color w:val="000000"/>
        </w:rPr>
        <w:t>; however, o</w:t>
      </w:r>
      <w:r w:rsidRPr="001C4D28">
        <w:rPr>
          <w:color w:val="000000"/>
        </w:rPr>
        <w:t>nly data sets published</w:t>
      </w:r>
      <w:r w:rsidRPr="001C4D28">
        <w:t xml:space="preserve"> online, i.e.</w:t>
      </w:r>
      <w:r w:rsidR="00B14649">
        <w:t>,</w:t>
      </w:r>
      <w:r w:rsidRPr="001C4D28">
        <w:t xml:space="preserve"> accessible online</w:t>
      </w:r>
      <w:r w:rsidR="00B14649">
        <w:t xml:space="preserve"> —</w:t>
      </w:r>
      <w:r w:rsidRPr="001C4D28">
        <w:t xml:space="preserve"> </w:t>
      </w:r>
      <w:r w:rsidRPr="001C4D28">
        <w:rPr>
          <w:color w:val="000000"/>
        </w:rPr>
        <w:t>the first element</w:t>
      </w:r>
      <w:r w:rsidR="00DC39CB">
        <w:rPr>
          <w:color w:val="000000"/>
        </w:rPr>
        <w:t xml:space="preserve"> for review in the reporting mechanism</w:t>
      </w:r>
      <w:r w:rsidR="00B14649">
        <w:rPr>
          <w:color w:val="000000"/>
        </w:rPr>
        <w:t>—</w:t>
      </w:r>
      <w:r w:rsidRPr="001C4D28">
        <w:rPr>
          <w:color w:val="000000"/>
        </w:rPr>
        <w:t xml:space="preserve"> </w:t>
      </w:r>
      <w:r w:rsidRPr="001C4D28">
        <w:t>were assessed on the remaining four elements.</w:t>
      </w:r>
    </w:p>
    <w:p w:rsidR="00031229" w:rsidRPr="001C4D28" w:rsidRDefault="00031229" w:rsidP="00031229">
      <w:pPr>
        <w:pStyle w:val="SingleTxtG"/>
      </w:pPr>
      <w:r w:rsidRPr="001C4D28">
        <w:t>8.</w:t>
      </w:r>
      <w:r w:rsidRPr="001C4D28">
        <w:tab/>
        <w:t xml:space="preserve">The reporting mechanism was </w:t>
      </w:r>
      <w:r w:rsidR="00B14649">
        <w:t xml:space="preserve">also </w:t>
      </w:r>
      <w:r w:rsidRPr="001C4D28">
        <w:t xml:space="preserve">designed to help countries identify performance gaps in data production and sharing in accordance with the SEIS targets and performance indicators and to assess </w:t>
      </w:r>
      <w:r w:rsidR="00B14649">
        <w:t xml:space="preserve">progress </w:t>
      </w:r>
      <w:r w:rsidRPr="001C4D28">
        <w:t>over time in addressing th</w:t>
      </w:r>
      <w:r w:rsidR="00B14649">
        <w:t>o</w:t>
      </w:r>
      <w:r w:rsidRPr="001C4D28">
        <w:t xml:space="preserve">se gaps. This function </w:t>
      </w:r>
      <w:r w:rsidR="00B14649">
        <w:t xml:space="preserve">will </w:t>
      </w:r>
      <w:r w:rsidRPr="001C4D28">
        <w:t xml:space="preserve">be made available for country use once </w:t>
      </w:r>
      <w:r w:rsidR="00B14649">
        <w:t xml:space="preserve">the </w:t>
      </w:r>
      <w:r w:rsidRPr="001C4D28">
        <w:t>reporting mechanism is fully implemented as a simple electronic application.</w:t>
      </w:r>
    </w:p>
    <w:p w:rsidR="005B2DC2" w:rsidRDefault="00031229" w:rsidP="001C2B7F">
      <w:pPr>
        <w:pStyle w:val="SingleTxtG"/>
      </w:pPr>
      <w:r w:rsidRPr="001C4D28">
        <w:t>9.</w:t>
      </w:r>
      <w:r w:rsidRPr="001C4D28">
        <w:tab/>
        <w:t>For the test</w:t>
      </w:r>
      <w:r w:rsidR="004E2FAD">
        <w:t xml:space="preserve"> of the reporting mechanism</w:t>
      </w:r>
      <w:r w:rsidRPr="001C4D28">
        <w:t xml:space="preserve">, an </w:t>
      </w:r>
      <w:r w:rsidR="00DC39CB">
        <w:t>E</w:t>
      </w:r>
      <w:r w:rsidRPr="001C4D28">
        <w:t xml:space="preserve">xcel table was developed and pre-filled </w:t>
      </w:r>
      <w:r w:rsidR="004E2FAD">
        <w:t xml:space="preserve">in </w:t>
      </w:r>
      <w:r w:rsidRPr="001C4D28">
        <w:t>by the secretariat</w:t>
      </w:r>
      <w:r w:rsidRPr="001C4D28">
        <w:rPr>
          <w:rStyle w:val="FootnoteReference"/>
        </w:rPr>
        <w:footnoteReference w:id="6"/>
      </w:r>
      <w:r w:rsidRPr="001C4D28">
        <w:t xml:space="preserve"> for each data set and each of the five rating elements. </w:t>
      </w:r>
      <w:r w:rsidR="004E2FAD">
        <w:t>D</w:t>
      </w:r>
      <w:r w:rsidRPr="001C4D28">
        <w:t xml:space="preserve">ue to time limitations, </w:t>
      </w:r>
      <w:r w:rsidR="004E2FAD">
        <w:t xml:space="preserve">the </w:t>
      </w:r>
      <w:r w:rsidRPr="001C4D28">
        <w:t>secretariat</w:t>
      </w:r>
      <w:r w:rsidR="004E2FAD">
        <w:t xml:space="preserve"> completed the test</w:t>
      </w:r>
      <w:r w:rsidRPr="001C4D28">
        <w:t xml:space="preserve"> and countries were </w:t>
      </w:r>
      <w:r w:rsidR="004E2FAD">
        <w:t xml:space="preserve">simply </w:t>
      </w:r>
      <w:r w:rsidRPr="001C4D28">
        <w:t xml:space="preserve">invited to review </w:t>
      </w:r>
      <w:r w:rsidR="00DC39CB">
        <w:t xml:space="preserve">and validate </w:t>
      </w:r>
      <w:r w:rsidRPr="001C4D28">
        <w:t>the results. At the time of preparation of th</w:t>
      </w:r>
      <w:r w:rsidR="004E2FAD">
        <w:t>e present</w:t>
      </w:r>
      <w:r w:rsidRPr="001C4D28">
        <w:t xml:space="preserve"> document, 17 countries</w:t>
      </w:r>
      <w:r w:rsidRPr="001C4D28">
        <w:rPr>
          <w:rStyle w:val="FootnoteReference"/>
        </w:rPr>
        <w:footnoteReference w:id="7"/>
      </w:r>
      <w:r w:rsidRPr="001C4D28">
        <w:t xml:space="preserve"> </w:t>
      </w:r>
      <w:r w:rsidR="00DC39CB">
        <w:t xml:space="preserve">have </w:t>
      </w:r>
      <w:r w:rsidRPr="001C4D28">
        <w:t xml:space="preserve">provided the secretariat with their review of the </w:t>
      </w:r>
      <w:r w:rsidR="004E2FAD">
        <w:t>E</w:t>
      </w:r>
      <w:r w:rsidRPr="001C4D28">
        <w:t>xcel tables and so validated their status of SEIS establishment related to the list of 67 data sets as of August 2015</w:t>
      </w:r>
      <w:r w:rsidR="00E55A6B">
        <w:t>;</w:t>
      </w:r>
      <w:r w:rsidRPr="001C4D28">
        <w:t xml:space="preserve"> </w:t>
      </w:r>
      <w:r w:rsidR="00E55A6B">
        <w:t>a</w:t>
      </w:r>
      <w:r w:rsidRPr="001C4D28">
        <w:t xml:space="preserve"> further 13</w:t>
      </w:r>
      <w:r w:rsidRPr="001C4D28">
        <w:rPr>
          <w:rStyle w:val="FootnoteReference"/>
        </w:rPr>
        <w:footnoteReference w:id="8"/>
      </w:r>
      <w:r w:rsidRPr="001C4D28">
        <w:t xml:space="preserve"> countries are reviewing the assessment</w:t>
      </w:r>
      <w:r w:rsidR="00DC39CB">
        <w:t>,</w:t>
      </w:r>
      <w:r w:rsidRPr="001C4D28">
        <w:t xml:space="preserve"> but have not sent their feedback to the secretariat</w:t>
      </w:r>
      <w:r w:rsidR="00056C2C">
        <w:t>.</w:t>
      </w:r>
      <w:r w:rsidR="001C2B7F">
        <w:t xml:space="preserve"> </w:t>
      </w:r>
    </w:p>
    <w:p w:rsidR="00031229" w:rsidRPr="001C4D28" w:rsidRDefault="00031229" w:rsidP="00031229">
      <w:pPr>
        <w:pStyle w:val="SingleTxtG"/>
      </w:pPr>
      <w:r w:rsidRPr="001C4D28">
        <w:t>10.</w:t>
      </w:r>
      <w:r w:rsidRPr="001C4D28">
        <w:tab/>
        <w:t xml:space="preserve">Each data set was reviewed first on its online accessibility and, if the set was accessible online, it was further assessed on the remaining four elements. The data sets that were not available online could not be assessed, as the secretariat had no access to the data and related information. It is important therefore to acknowledge that all EEA member countries report their SEIS-related data directly to EEA often without publishing them on </w:t>
      </w:r>
      <w:r w:rsidRPr="001C4D28">
        <w:lastRenderedPageBreak/>
        <w:t>their national websites. Such reporting was</w:t>
      </w:r>
      <w:r w:rsidR="008E7124">
        <w:t>,</w:t>
      </w:r>
      <w:r w:rsidRPr="001C4D28">
        <w:t xml:space="preserve"> however</w:t>
      </w:r>
      <w:r w:rsidR="008E7124">
        <w:t>,</w:t>
      </w:r>
      <w:r w:rsidRPr="001C4D28">
        <w:t xml:space="preserve"> not considered for the review on progress of the establishment of pan-European SEIS, as that approach is not in line with the approach approved by </w:t>
      </w:r>
      <w:r w:rsidR="008E7124">
        <w:t>the Committee on Environmental Policy</w:t>
      </w:r>
      <w:r w:rsidRPr="001C4D28">
        <w:t xml:space="preserve"> when </w:t>
      </w:r>
      <w:r w:rsidR="008E7124">
        <w:t xml:space="preserve">it </w:t>
      </w:r>
      <w:r w:rsidRPr="001C4D28">
        <w:t>adopted the SEIS targets and performance indicators.</w:t>
      </w:r>
    </w:p>
    <w:p w:rsidR="001030B4" w:rsidRPr="001C4D28" w:rsidRDefault="00031229" w:rsidP="00AC0E53">
      <w:pPr>
        <w:pStyle w:val="SingleTxtG"/>
        <w:spacing w:after="240"/>
      </w:pPr>
      <w:r w:rsidRPr="001C4D28">
        <w:t>11.</w:t>
      </w:r>
      <w:r w:rsidRPr="001C4D28">
        <w:tab/>
      </w:r>
      <w:r w:rsidR="008E7124">
        <w:t xml:space="preserve">In the </w:t>
      </w:r>
      <w:r w:rsidRPr="001C4D28">
        <w:t xml:space="preserve">SEIS assessment </w:t>
      </w:r>
      <w:r w:rsidR="008E7124">
        <w:t xml:space="preserve">a </w:t>
      </w:r>
      <w:r w:rsidRPr="001C4D28">
        <w:t xml:space="preserve">value of 1 </w:t>
      </w:r>
      <w:r w:rsidR="008E7124">
        <w:t xml:space="preserve">was assigned </w:t>
      </w:r>
      <w:r w:rsidRPr="001C4D28">
        <w:t xml:space="preserve">when the </w:t>
      </w:r>
      <w:r w:rsidR="008E7124">
        <w:t xml:space="preserve">secretariat ascertained that the </w:t>
      </w:r>
      <w:r w:rsidRPr="001C4D28">
        <w:t xml:space="preserve">necessary information for </w:t>
      </w:r>
      <w:r w:rsidR="00E55A6B">
        <w:t xml:space="preserve">a particular </w:t>
      </w:r>
      <w:r w:rsidRPr="001C4D28">
        <w:t xml:space="preserve">rating element was available online and </w:t>
      </w:r>
      <w:r w:rsidR="008E7124">
        <w:t xml:space="preserve">a </w:t>
      </w:r>
      <w:r w:rsidRPr="001C4D28">
        <w:t xml:space="preserve">value of 0 </w:t>
      </w:r>
      <w:r w:rsidR="008E7124">
        <w:t>when it was not</w:t>
      </w:r>
      <w:r w:rsidRPr="001C4D28">
        <w:t xml:space="preserve">. The table below provides the </w:t>
      </w:r>
      <w:r w:rsidR="008E7124">
        <w:t xml:space="preserve">five elements </w:t>
      </w:r>
      <w:r w:rsidR="00EC045E">
        <w:t xml:space="preserve">the Working Group </w:t>
      </w:r>
      <w:r w:rsidR="0005422E">
        <w:t xml:space="preserve">established </w:t>
      </w:r>
      <w:r w:rsidR="00EC045E">
        <w:t xml:space="preserve">as </w:t>
      </w:r>
      <w:r w:rsidR="008E7124">
        <w:t xml:space="preserve">the basis of the </w:t>
      </w:r>
      <w:r w:rsidRPr="001C4D28">
        <w:t>assessment</w:t>
      </w:r>
      <w:r w:rsidR="00E55A6B">
        <w:t xml:space="preserve"> (i.e., </w:t>
      </w:r>
      <w:r w:rsidR="0005422E">
        <w:t xml:space="preserve">the success criteria for deciding whether </w:t>
      </w:r>
      <w:r w:rsidR="00E55A6B">
        <w:t xml:space="preserve">a value of 1 </w:t>
      </w:r>
      <w:r w:rsidR="0005422E">
        <w:t xml:space="preserve">could </w:t>
      </w:r>
      <w:r w:rsidR="00E55A6B">
        <w:t>be assigned)</w:t>
      </w:r>
      <w:r w:rsidRPr="001C4D28">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21"/>
        <w:gridCol w:w="4249"/>
      </w:tblGrid>
      <w:tr w:rsidR="00B602F5" w:rsidRPr="001C4D28" w:rsidTr="00B602F5">
        <w:trPr>
          <w:tblHeader/>
        </w:trPr>
        <w:tc>
          <w:tcPr>
            <w:tcW w:w="3124" w:type="dxa"/>
            <w:tcBorders>
              <w:top w:val="single" w:sz="4" w:space="0" w:color="auto"/>
              <w:bottom w:val="single" w:sz="12" w:space="0" w:color="auto"/>
            </w:tcBorders>
            <w:shd w:val="clear" w:color="auto" w:fill="auto"/>
            <w:vAlign w:val="bottom"/>
          </w:tcPr>
          <w:p w:rsidR="00B602F5" w:rsidRPr="001C4D28" w:rsidRDefault="00B602F5" w:rsidP="00B602F5">
            <w:pPr>
              <w:pStyle w:val="SingleTxtG"/>
              <w:suppressAutoHyphens w:val="0"/>
              <w:spacing w:before="80" w:after="80" w:line="200" w:lineRule="exact"/>
              <w:ind w:left="0" w:right="113"/>
              <w:jc w:val="left"/>
              <w:rPr>
                <w:i/>
                <w:sz w:val="16"/>
              </w:rPr>
            </w:pPr>
            <w:r w:rsidRPr="001C4D28">
              <w:rPr>
                <w:i/>
                <w:sz w:val="16"/>
              </w:rPr>
              <w:t>Rating element</w:t>
            </w:r>
          </w:p>
        </w:tc>
        <w:tc>
          <w:tcPr>
            <w:tcW w:w="4252" w:type="dxa"/>
            <w:tcBorders>
              <w:top w:val="single" w:sz="4" w:space="0" w:color="auto"/>
              <w:bottom w:val="single" w:sz="12" w:space="0" w:color="auto"/>
            </w:tcBorders>
            <w:shd w:val="clear" w:color="auto" w:fill="auto"/>
            <w:vAlign w:val="bottom"/>
          </w:tcPr>
          <w:p w:rsidR="00B602F5" w:rsidRPr="001C4D28" w:rsidRDefault="00056C2C" w:rsidP="006957BA">
            <w:pPr>
              <w:pStyle w:val="SingleTxtG"/>
              <w:suppressAutoHyphens w:val="0"/>
              <w:spacing w:before="80" w:after="80" w:line="200" w:lineRule="exact"/>
              <w:ind w:left="0" w:right="113"/>
              <w:jc w:val="left"/>
              <w:rPr>
                <w:i/>
                <w:sz w:val="16"/>
              </w:rPr>
            </w:pPr>
            <w:r>
              <w:rPr>
                <w:i/>
                <w:sz w:val="16"/>
              </w:rPr>
              <w:t>S</w:t>
            </w:r>
            <w:r w:rsidR="0005422E">
              <w:rPr>
                <w:i/>
                <w:sz w:val="16"/>
              </w:rPr>
              <w:t>uccess criteria</w:t>
            </w:r>
          </w:p>
        </w:tc>
      </w:tr>
      <w:tr w:rsidR="00B602F5" w:rsidRPr="001C4D28" w:rsidTr="00B602F5">
        <w:trPr>
          <w:trHeight w:hRule="exact" w:val="113"/>
          <w:tblHeader/>
        </w:trPr>
        <w:tc>
          <w:tcPr>
            <w:tcW w:w="3124" w:type="dxa"/>
            <w:tcBorders>
              <w:top w:val="single" w:sz="12" w:space="0" w:color="auto"/>
              <w:bottom w:val="nil"/>
            </w:tcBorders>
            <w:shd w:val="clear" w:color="auto" w:fill="auto"/>
            <w:vAlign w:val="bottom"/>
          </w:tcPr>
          <w:p w:rsidR="00B602F5" w:rsidRPr="001C4D28" w:rsidRDefault="00B602F5" w:rsidP="00B602F5">
            <w:pPr>
              <w:pStyle w:val="SingleTxtG"/>
              <w:suppressAutoHyphens w:val="0"/>
              <w:spacing w:before="80" w:after="80" w:line="200" w:lineRule="exact"/>
              <w:ind w:left="0" w:right="113"/>
              <w:jc w:val="left"/>
              <w:rPr>
                <w:i/>
                <w:sz w:val="16"/>
              </w:rPr>
            </w:pPr>
          </w:p>
        </w:tc>
        <w:tc>
          <w:tcPr>
            <w:tcW w:w="4252" w:type="dxa"/>
            <w:tcBorders>
              <w:top w:val="single" w:sz="12" w:space="0" w:color="auto"/>
              <w:bottom w:val="nil"/>
            </w:tcBorders>
            <w:shd w:val="clear" w:color="auto" w:fill="auto"/>
            <w:vAlign w:val="bottom"/>
          </w:tcPr>
          <w:p w:rsidR="00B602F5" w:rsidRPr="001C4D28" w:rsidRDefault="00B602F5" w:rsidP="00B602F5">
            <w:pPr>
              <w:pStyle w:val="SingleTxtG"/>
              <w:suppressAutoHyphens w:val="0"/>
              <w:spacing w:before="80" w:after="80" w:line="200" w:lineRule="exact"/>
              <w:ind w:left="0" w:right="113"/>
              <w:jc w:val="left"/>
              <w:rPr>
                <w:i/>
                <w:sz w:val="16"/>
              </w:rPr>
            </w:pPr>
          </w:p>
        </w:tc>
      </w:tr>
      <w:tr w:rsidR="00B602F5" w:rsidRPr="001C4D28" w:rsidTr="00B602F5">
        <w:tc>
          <w:tcPr>
            <w:tcW w:w="3124" w:type="dxa"/>
            <w:tcBorders>
              <w:top w:val="nil"/>
            </w:tcBorders>
            <w:shd w:val="clear" w:color="auto" w:fill="auto"/>
          </w:tcPr>
          <w:p w:rsidR="00B602F5" w:rsidRPr="001C4D28" w:rsidRDefault="00B602F5" w:rsidP="00B602F5">
            <w:pPr>
              <w:pStyle w:val="SingleTxtG"/>
              <w:suppressAutoHyphens w:val="0"/>
              <w:spacing w:before="40" w:line="220" w:lineRule="exact"/>
              <w:ind w:left="0" w:right="113"/>
              <w:jc w:val="left"/>
            </w:pPr>
            <w:r w:rsidRPr="001C4D28">
              <w:t>Online accessibility</w:t>
            </w:r>
          </w:p>
        </w:tc>
        <w:tc>
          <w:tcPr>
            <w:tcW w:w="4252" w:type="dxa"/>
            <w:tcBorders>
              <w:top w:val="nil"/>
            </w:tcBorders>
            <w:shd w:val="clear" w:color="auto" w:fill="auto"/>
          </w:tcPr>
          <w:p w:rsidR="00B602F5" w:rsidRPr="001C4D28" w:rsidRDefault="00B602F5" w:rsidP="00B602F5">
            <w:pPr>
              <w:pStyle w:val="SingleTxtG"/>
              <w:suppressAutoHyphens w:val="0"/>
              <w:spacing w:before="40" w:line="220" w:lineRule="exact"/>
              <w:ind w:left="0" w:right="113"/>
              <w:jc w:val="left"/>
            </w:pPr>
            <w:r w:rsidRPr="001C4D28">
              <w:t>The data set can be easily accessed by anybody at any time online</w:t>
            </w:r>
            <w:r w:rsidR="00EC045E">
              <w:t>.</w:t>
            </w:r>
          </w:p>
        </w:tc>
      </w:tr>
      <w:tr w:rsidR="00B602F5" w:rsidRPr="001C4D28" w:rsidTr="00B602F5">
        <w:tc>
          <w:tcPr>
            <w:tcW w:w="3124" w:type="dxa"/>
            <w:shd w:val="clear" w:color="auto" w:fill="auto"/>
          </w:tcPr>
          <w:p w:rsidR="00B602F5" w:rsidRPr="001C4D28" w:rsidRDefault="00B602F5" w:rsidP="00B602F5">
            <w:pPr>
              <w:pStyle w:val="SingleTxtG"/>
              <w:suppressAutoHyphens w:val="0"/>
              <w:spacing w:before="40" w:line="220" w:lineRule="exact"/>
              <w:ind w:left="0" w:right="113"/>
              <w:jc w:val="left"/>
            </w:pPr>
            <w:r w:rsidRPr="001C4D28">
              <w:t>Update regularity</w:t>
            </w:r>
          </w:p>
        </w:tc>
        <w:tc>
          <w:tcPr>
            <w:tcW w:w="4252" w:type="dxa"/>
            <w:shd w:val="clear" w:color="auto" w:fill="auto"/>
          </w:tcPr>
          <w:p w:rsidR="00B602F5" w:rsidRPr="001C4D28" w:rsidRDefault="00B602F5" w:rsidP="00B602F5">
            <w:pPr>
              <w:pStyle w:val="SingleTxtG"/>
              <w:suppressAutoHyphens w:val="0"/>
              <w:spacing w:before="40" w:line="220" w:lineRule="exact"/>
              <w:ind w:left="0" w:right="113"/>
              <w:jc w:val="left"/>
            </w:pPr>
            <w:r w:rsidRPr="001C4D28">
              <w:t>The data set is updated with figures of the latest agreed production period</w:t>
            </w:r>
            <w:r w:rsidR="00EC045E">
              <w:t>.</w:t>
            </w:r>
          </w:p>
        </w:tc>
      </w:tr>
      <w:tr w:rsidR="00B602F5" w:rsidRPr="001C4D28" w:rsidTr="00B602F5">
        <w:tc>
          <w:tcPr>
            <w:tcW w:w="3124" w:type="dxa"/>
            <w:shd w:val="clear" w:color="auto" w:fill="auto"/>
          </w:tcPr>
          <w:p w:rsidR="00B602F5" w:rsidRPr="001C4D28" w:rsidRDefault="00B602F5" w:rsidP="00B602F5">
            <w:pPr>
              <w:pStyle w:val="SingleTxtG"/>
              <w:suppressAutoHyphens w:val="0"/>
              <w:spacing w:before="40" w:line="220" w:lineRule="exact"/>
              <w:ind w:left="0" w:right="113"/>
              <w:jc w:val="left"/>
            </w:pPr>
            <w:r w:rsidRPr="001C4D28">
              <w:t>Application of a standard production methodology</w:t>
            </w:r>
          </w:p>
        </w:tc>
        <w:tc>
          <w:tcPr>
            <w:tcW w:w="4252" w:type="dxa"/>
            <w:shd w:val="clear" w:color="auto" w:fill="auto"/>
          </w:tcPr>
          <w:p w:rsidR="00B602F5" w:rsidRPr="001C4D28" w:rsidRDefault="00B602F5" w:rsidP="00B602F5">
            <w:pPr>
              <w:pStyle w:val="SingleTxtG"/>
              <w:suppressAutoHyphens w:val="0"/>
              <w:spacing w:before="40" w:line="220" w:lineRule="exact"/>
              <w:ind w:left="0" w:right="113"/>
              <w:jc w:val="left"/>
            </w:pPr>
            <w:r w:rsidRPr="001C4D28">
              <w:t>Anybody can access detailed information on the applied methodology and calculation methods for the production of the data set</w:t>
            </w:r>
            <w:r w:rsidR="00EC045E">
              <w:t>.</w:t>
            </w:r>
            <w:r w:rsidRPr="001C4D28">
              <w:t xml:space="preserve"> </w:t>
            </w:r>
            <w:r w:rsidR="00EC045E">
              <w:t>T</w:t>
            </w:r>
            <w:r w:rsidRPr="001C4D28">
              <w:t>he detailed information confirms that the applied methodology is the agreed methodology for the production of the particular data set.</w:t>
            </w:r>
          </w:p>
        </w:tc>
      </w:tr>
      <w:tr w:rsidR="00B602F5" w:rsidRPr="001C4D28" w:rsidTr="00B602F5">
        <w:tc>
          <w:tcPr>
            <w:tcW w:w="3124" w:type="dxa"/>
            <w:shd w:val="clear" w:color="auto" w:fill="auto"/>
          </w:tcPr>
          <w:p w:rsidR="00B602F5" w:rsidRPr="001C4D28" w:rsidRDefault="00B602F5" w:rsidP="00B602F5">
            <w:pPr>
              <w:pStyle w:val="SingleTxtG"/>
              <w:suppressAutoHyphens w:val="0"/>
              <w:spacing w:before="40" w:line="220" w:lineRule="exact"/>
              <w:ind w:left="0" w:right="113"/>
              <w:jc w:val="left"/>
            </w:pPr>
            <w:r w:rsidRPr="001C4D28">
              <w:t>Availability of data interpretation</w:t>
            </w:r>
          </w:p>
        </w:tc>
        <w:tc>
          <w:tcPr>
            <w:tcW w:w="4252" w:type="dxa"/>
            <w:shd w:val="clear" w:color="auto" w:fill="auto"/>
          </w:tcPr>
          <w:p w:rsidR="00B602F5" w:rsidRPr="001C4D28" w:rsidRDefault="00B602F5" w:rsidP="00B602F5">
            <w:pPr>
              <w:pStyle w:val="SingleTxtG"/>
              <w:suppressAutoHyphens w:val="0"/>
              <w:spacing w:before="40" w:line="220" w:lineRule="exact"/>
              <w:ind w:left="0" w:right="113"/>
              <w:jc w:val="left"/>
            </w:pPr>
            <w:r w:rsidRPr="001C4D28">
              <w:t>The data set is supported by information about what it presents and how to understand the changes in figures over time also vis-à-vis possible policy targets</w:t>
            </w:r>
            <w:r w:rsidR="00EC045E">
              <w:t>.</w:t>
            </w:r>
            <w:r w:rsidRPr="001C4D28">
              <w:t xml:space="preserve"> </w:t>
            </w:r>
            <w:r w:rsidR="00EC045E">
              <w:t>T</w:t>
            </w:r>
            <w:r w:rsidRPr="001C4D28">
              <w:t xml:space="preserve">his information should be provided in the national language for the national public and in an international language </w:t>
            </w:r>
            <w:r w:rsidR="00EC045E">
              <w:t>—</w:t>
            </w:r>
            <w:r w:rsidRPr="001C4D28">
              <w:t xml:space="preserve"> English and/or Russian</w:t>
            </w:r>
            <w:r w:rsidR="00EC045E">
              <w:t> —</w:t>
            </w:r>
            <w:r w:rsidRPr="001C4D28">
              <w:t xml:space="preserve"> to be accessible to the international community</w:t>
            </w:r>
            <w:r w:rsidR="00EC045E">
              <w:t>.</w:t>
            </w:r>
          </w:p>
        </w:tc>
      </w:tr>
      <w:tr w:rsidR="00B602F5" w:rsidRPr="001C4D28" w:rsidTr="00B602F5">
        <w:tc>
          <w:tcPr>
            <w:tcW w:w="3124" w:type="dxa"/>
            <w:shd w:val="clear" w:color="auto" w:fill="auto"/>
          </w:tcPr>
          <w:p w:rsidR="00B602F5" w:rsidRPr="001C4D28" w:rsidRDefault="00B602F5" w:rsidP="00B602F5">
            <w:pPr>
              <w:pStyle w:val="SingleTxtG"/>
              <w:suppressAutoHyphens w:val="0"/>
              <w:spacing w:before="40" w:line="220" w:lineRule="exact"/>
              <w:ind w:left="0" w:right="113"/>
              <w:jc w:val="left"/>
            </w:pPr>
            <w:r w:rsidRPr="001C4D28">
              <w:t>Information on data source</w:t>
            </w:r>
          </w:p>
        </w:tc>
        <w:tc>
          <w:tcPr>
            <w:tcW w:w="4252" w:type="dxa"/>
            <w:shd w:val="clear" w:color="auto" w:fill="auto"/>
          </w:tcPr>
          <w:p w:rsidR="00B602F5" w:rsidRPr="001C4D28" w:rsidRDefault="00B602F5" w:rsidP="00B602F5">
            <w:pPr>
              <w:pStyle w:val="SingleTxtG"/>
              <w:suppressAutoHyphens w:val="0"/>
              <w:spacing w:before="40" w:line="220" w:lineRule="exact"/>
              <w:ind w:left="0" w:right="113"/>
              <w:jc w:val="left"/>
            </w:pPr>
            <w:r w:rsidRPr="001C4D28">
              <w:t>The institution responsible for the production of the data set and its contact details are available</w:t>
            </w:r>
            <w:r w:rsidR="00EC045E">
              <w:t>.</w:t>
            </w:r>
          </w:p>
        </w:tc>
      </w:tr>
    </w:tbl>
    <w:p w:rsidR="00031229" w:rsidRPr="001C4D28" w:rsidRDefault="00031229" w:rsidP="00AC0E53">
      <w:pPr>
        <w:pStyle w:val="SingleTxtG"/>
        <w:spacing w:before="240"/>
      </w:pPr>
      <w:r w:rsidRPr="001C4D28">
        <w:t>12.</w:t>
      </w:r>
      <w:r w:rsidRPr="001C4D28">
        <w:tab/>
        <w:t xml:space="preserve">For the test, the assessment differed for certain elements from the </w:t>
      </w:r>
      <w:r w:rsidR="00056C2C">
        <w:t>success criteria</w:t>
      </w:r>
      <w:r w:rsidR="0005422E">
        <w:t xml:space="preserve"> </w:t>
      </w:r>
      <w:r w:rsidRPr="001C4D28">
        <w:t xml:space="preserve">agreed by </w:t>
      </w:r>
      <w:r w:rsidR="00EC045E">
        <w:t>the Working Group</w:t>
      </w:r>
      <w:r w:rsidRPr="001C4D28">
        <w:t xml:space="preserve">. In particular, for the application of </w:t>
      </w:r>
      <w:r w:rsidR="0005422E">
        <w:t xml:space="preserve">a </w:t>
      </w:r>
      <w:r w:rsidRPr="001C4D28">
        <w:t xml:space="preserve">standard production methodology, there has been no verification so far whether the methodology </w:t>
      </w:r>
      <w:r w:rsidR="00B54912">
        <w:t xml:space="preserve">applied by the country </w:t>
      </w:r>
      <w:r w:rsidRPr="001C4D28">
        <w:t>was in line with the internationally</w:t>
      </w:r>
      <w:r w:rsidR="00EC045E">
        <w:t xml:space="preserve"> </w:t>
      </w:r>
      <w:r w:rsidRPr="001C4D28">
        <w:t>accepted methodology for a particular data set. The value of 1 was given if detailed information on the production methodology was made accessible. For the rating element of data interpretation, there has been no evaluation of the content, i.e.</w:t>
      </w:r>
      <w:r w:rsidR="00EC045E">
        <w:t>,</w:t>
      </w:r>
      <w:r w:rsidRPr="001C4D28">
        <w:t xml:space="preserve"> whether it included data assessment versus policy targets and whether such interpretation was available not only in local language but also in an international language (English or Russian). </w:t>
      </w:r>
      <w:r w:rsidR="00F46BEB" w:rsidRPr="001C4D28">
        <w:t>The rating criteri</w:t>
      </w:r>
      <w:r w:rsidR="00F46BEB">
        <w:t>on</w:t>
      </w:r>
      <w:r w:rsidR="00F46BEB" w:rsidRPr="001C4D28">
        <w:t xml:space="preserve"> was rather simple, i.e.</w:t>
      </w:r>
      <w:r w:rsidR="00F46BEB">
        <w:t>,</w:t>
      </w:r>
      <w:r w:rsidR="00F46BEB" w:rsidRPr="001C4D28">
        <w:t xml:space="preserve"> was the information provided or not.</w:t>
      </w:r>
    </w:p>
    <w:p w:rsidR="00031229" w:rsidRPr="001C4D28" w:rsidRDefault="00031229" w:rsidP="00031229">
      <w:pPr>
        <w:pStyle w:val="SingleTxtG"/>
      </w:pPr>
      <w:r w:rsidRPr="001C4D28">
        <w:t>13.</w:t>
      </w:r>
      <w:r w:rsidRPr="001C4D28">
        <w:tab/>
        <w:t xml:space="preserve">With regard to update regularity, </w:t>
      </w:r>
      <w:r w:rsidR="00E8318F">
        <w:t xml:space="preserve">a </w:t>
      </w:r>
      <w:r w:rsidRPr="001C4D28">
        <w:t xml:space="preserve">rating of 1 was provided when </w:t>
      </w:r>
      <w:r w:rsidR="00E8318F">
        <w:t xml:space="preserve">time series for </w:t>
      </w:r>
      <w:r w:rsidRPr="001C4D28">
        <w:t>several years were provided and the last series was not older than 2013 for data sets subject to annual update.</w:t>
      </w:r>
    </w:p>
    <w:p w:rsidR="00031229" w:rsidRPr="001C4D28" w:rsidRDefault="00031229" w:rsidP="00031229">
      <w:pPr>
        <w:pStyle w:val="H1G"/>
      </w:pPr>
      <w:r w:rsidRPr="001C4D28">
        <w:lastRenderedPageBreak/>
        <w:tab/>
        <w:t>A.</w:t>
      </w:r>
      <w:r w:rsidRPr="001C4D28">
        <w:tab/>
        <w:t>Overall performance</w:t>
      </w:r>
    </w:p>
    <w:p w:rsidR="00031229" w:rsidRPr="001C4D28" w:rsidRDefault="00031229" w:rsidP="00031229">
      <w:pPr>
        <w:pStyle w:val="SingleTxtG"/>
      </w:pPr>
      <w:r w:rsidRPr="001C4D28">
        <w:t>14.</w:t>
      </w:r>
      <w:r w:rsidRPr="001C4D28">
        <w:tab/>
      </w:r>
      <w:r w:rsidR="00E8318F">
        <w:t xml:space="preserve">Of </w:t>
      </w:r>
      <w:r w:rsidRPr="001C4D28">
        <w:t xml:space="preserve">the 67 </w:t>
      </w:r>
      <w:r w:rsidR="00E8318F">
        <w:t xml:space="preserve">agreed </w:t>
      </w:r>
      <w:r w:rsidRPr="001C4D28">
        <w:t xml:space="preserve">SEIS data sets and related information, on average, 44 per cent were found </w:t>
      </w:r>
      <w:r w:rsidR="00E8318F">
        <w:t xml:space="preserve">to be </w:t>
      </w:r>
      <w:r w:rsidRPr="001C4D28">
        <w:t>available for 53 pan-European countries and Kosovo as of September 2015.</w:t>
      </w:r>
    </w:p>
    <w:p w:rsidR="00031229" w:rsidRPr="001C4D28" w:rsidRDefault="00031229" w:rsidP="00031229">
      <w:pPr>
        <w:pStyle w:val="SingleTxtG"/>
      </w:pPr>
      <w:r w:rsidRPr="001C4D28">
        <w:t>15.</w:t>
      </w:r>
      <w:r w:rsidRPr="001C4D28">
        <w:tab/>
        <w:t xml:space="preserve">There are several countries for which nearly all or the majority of the 67 data sets and related information were found </w:t>
      </w:r>
      <w:r w:rsidR="00E8318F">
        <w:t xml:space="preserve">to be </w:t>
      </w:r>
      <w:r w:rsidRPr="001C4D28">
        <w:t>available and accessible online</w:t>
      </w:r>
      <w:r w:rsidR="00A44CD8">
        <w:t>:</w:t>
      </w:r>
      <w:r w:rsidRPr="001C4D28">
        <w:t xml:space="preserve"> </w:t>
      </w:r>
      <w:r w:rsidR="00A44CD8">
        <w:t xml:space="preserve">this is true for </w:t>
      </w:r>
      <w:r w:rsidRPr="001C4D28">
        <w:t xml:space="preserve">Armenia, Canada, Ireland, Kazakhstan, </w:t>
      </w:r>
      <w:r w:rsidR="00A44CD8">
        <w:t xml:space="preserve">the </w:t>
      </w:r>
      <w:r w:rsidRPr="001C4D28">
        <w:t>Republic of Moldova</w:t>
      </w:r>
      <w:r w:rsidR="00A44CD8">
        <w:t xml:space="preserve">, the Russian Federation </w:t>
      </w:r>
      <w:r w:rsidRPr="001C4D28">
        <w:t>and Sweden. On the other side of the scale there are several countries for which none</w:t>
      </w:r>
      <w:r w:rsidR="00A44CD8">
        <w:t xml:space="preserve"> of</w:t>
      </w:r>
      <w:r w:rsidRPr="001C4D28">
        <w:t xml:space="preserve"> or only a few data sets </w:t>
      </w:r>
      <w:r w:rsidR="00A44CD8">
        <w:t xml:space="preserve">were </w:t>
      </w:r>
      <w:r w:rsidRPr="001C4D28">
        <w:t xml:space="preserve">available </w:t>
      </w:r>
      <w:r w:rsidR="00E8318F">
        <w:t>online</w:t>
      </w:r>
      <w:r w:rsidRPr="001C4D28">
        <w:t>. All of these countries, however, are still expected to validate the assessment and with it to confirm their SEIS performance status, which is anticipated to improve.</w:t>
      </w:r>
    </w:p>
    <w:p w:rsidR="00031229" w:rsidRPr="001C4D28" w:rsidRDefault="00031229" w:rsidP="00031229">
      <w:pPr>
        <w:pStyle w:val="SingleTxtG"/>
      </w:pPr>
      <w:r w:rsidRPr="001C4D28">
        <w:t>16.</w:t>
      </w:r>
      <w:r w:rsidRPr="001C4D28">
        <w:tab/>
        <w:t xml:space="preserve">The current review, when validated by countries, provides a SEIS establishment status </w:t>
      </w:r>
      <w:r w:rsidR="00982B17">
        <w:t xml:space="preserve">that can </w:t>
      </w:r>
      <w:r w:rsidRPr="001C4D28">
        <w:t xml:space="preserve">serve as a baseline against which </w:t>
      </w:r>
      <w:r w:rsidR="00A44CD8">
        <w:t xml:space="preserve">future </w:t>
      </w:r>
      <w:r w:rsidRPr="001C4D28">
        <w:t xml:space="preserve">progress </w:t>
      </w:r>
      <w:r w:rsidR="00A44CD8">
        <w:t xml:space="preserve">can </w:t>
      </w:r>
      <w:r w:rsidRPr="001C4D28">
        <w:t xml:space="preserve">be assessed. </w:t>
      </w:r>
    </w:p>
    <w:p w:rsidR="00031229" w:rsidRPr="001C4D28" w:rsidRDefault="00031229" w:rsidP="00C572D6">
      <w:pPr>
        <w:pStyle w:val="SingleTxtG"/>
        <w:spacing w:after="240"/>
      </w:pPr>
      <w:r w:rsidRPr="001C4D28">
        <w:t>17.</w:t>
      </w:r>
      <w:r w:rsidRPr="001C4D28">
        <w:tab/>
      </w:r>
      <w:r w:rsidR="00A44CD8">
        <w:t>F</w:t>
      </w:r>
      <w:r w:rsidRPr="001C4D28">
        <w:t xml:space="preserve">igure 1 </w:t>
      </w:r>
      <w:r w:rsidR="00A44CD8">
        <w:t xml:space="preserve">below </w:t>
      </w:r>
      <w:r w:rsidRPr="001C4D28">
        <w:t>presents, as an example, the SEIS baseline for a few countries</w:t>
      </w:r>
      <w:r w:rsidR="00A44CD8">
        <w:t xml:space="preserve"> that </w:t>
      </w:r>
      <w:r w:rsidRPr="001C4D28">
        <w:t xml:space="preserve">validated </w:t>
      </w:r>
      <w:r w:rsidR="00A44CD8">
        <w:t xml:space="preserve">the </w:t>
      </w:r>
      <w:r w:rsidRPr="001C4D28">
        <w:t xml:space="preserve">SEIS assessment done by the secretariat. Information on performance per data set is </w:t>
      </w:r>
      <w:r w:rsidR="00A44CD8">
        <w:t xml:space="preserve">available </w:t>
      </w:r>
      <w:r w:rsidRPr="001C4D28">
        <w:t xml:space="preserve">for all the countries regardless </w:t>
      </w:r>
      <w:r w:rsidR="00982B17">
        <w:t xml:space="preserve">of </w:t>
      </w:r>
      <w:r w:rsidRPr="001C4D28">
        <w:t>whether they have or have not validated the review</w:t>
      </w:r>
      <w:r w:rsidR="00A44CD8">
        <w:t xml:space="preserve"> on the web page for the Working Group’s seventeenth session</w:t>
      </w:r>
      <w:r w:rsidRPr="001C4D28">
        <w:t>.</w:t>
      </w:r>
      <w:r w:rsidR="00A44CD8">
        <w:rPr>
          <w:rStyle w:val="FootnoteReference"/>
        </w:rPr>
        <w:footnoteReference w:id="9"/>
      </w:r>
    </w:p>
    <w:tbl>
      <w:tblPr>
        <w:tblW w:w="0" w:type="auto"/>
        <w:tblInd w:w="851" w:type="dxa"/>
        <w:tblLayout w:type="fixed"/>
        <w:tblCellMar>
          <w:left w:w="0" w:type="dxa"/>
          <w:right w:w="0" w:type="dxa"/>
        </w:tblCellMar>
        <w:tblLook w:val="04A0" w:firstRow="1" w:lastRow="0" w:firstColumn="1" w:lastColumn="0" w:noHBand="0" w:noVBand="1"/>
      </w:tblPr>
      <w:tblGrid>
        <w:gridCol w:w="3685"/>
        <w:gridCol w:w="5103"/>
      </w:tblGrid>
      <w:tr w:rsidR="00031229" w:rsidRPr="001C4D28" w:rsidTr="00AC0E53">
        <w:trPr>
          <w:trHeight w:val="831"/>
        </w:trPr>
        <w:tc>
          <w:tcPr>
            <w:tcW w:w="8788" w:type="dxa"/>
            <w:gridSpan w:val="2"/>
            <w:shd w:val="clear" w:color="auto" w:fill="auto"/>
          </w:tcPr>
          <w:p w:rsidR="00031229" w:rsidRPr="001C4D28" w:rsidRDefault="00031229">
            <w:pPr>
              <w:keepNext/>
              <w:keepLines/>
              <w:tabs>
                <w:tab w:val="right" w:pos="851"/>
              </w:tabs>
              <w:spacing w:after="120" w:line="240" w:lineRule="exact"/>
              <w:ind w:left="284" w:right="1134"/>
            </w:pPr>
            <w:r w:rsidRPr="001C4D28">
              <w:t>Figure 1</w:t>
            </w:r>
            <w:r w:rsidRPr="001C4D28">
              <w:br/>
            </w:r>
            <w:r w:rsidRPr="001C4D28">
              <w:rPr>
                <w:b/>
              </w:rPr>
              <w:t xml:space="preserve">SEIS baseline level, example for Azerbaijan, Italy, Kyrgyzstan, </w:t>
            </w:r>
            <w:r w:rsidR="00DF1701">
              <w:rPr>
                <w:b/>
              </w:rPr>
              <w:br/>
            </w:r>
            <w:r w:rsidR="00A44CD8">
              <w:rPr>
                <w:b/>
              </w:rPr>
              <w:t xml:space="preserve">Republic of Moldova, </w:t>
            </w:r>
            <w:r w:rsidRPr="001C4D28">
              <w:rPr>
                <w:b/>
              </w:rPr>
              <w:t>Serbia</w:t>
            </w:r>
            <w:r w:rsidR="00A44CD8">
              <w:rPr>
                <w:b/>
              </w:rPr>
              <w:t xml:space="preserve"> and</w:t>
            </w:r>
            <w:r w:rsidRPr="001C4D28">
              <w:rPr>
                <w:b/>
              </w:rPr>
              <w:t xml:space="preserve"> Switzerland </w:t>
            </w:r>
          </w:p>
        </w:tc>
      </w:tr>
      <w:tr w:rsidR="00031229" w:rsidRPr="001C4D28" w:rsidTr="00AC0E53">
        <w:tblPrEx>
          <w:tblCellMar>
            <w:left w:w="108" w:type="dxa"/>
            <w:right w:w="108" w:type="dxa"/>
          </w:tblCellMar>
        </w:tblPrEx>
        <w:trPr>
          <w:trHeight w:val="2143"/>
        </w:trPr>
        <w:tc>
          <w:tcPr>
            <w:tcW w:w="3685" w:type="dxa"/>
            <w:shd w:val="clear" w:color="auto" w:fill="auto"/>
          </w:tcPr>
          <w:p w:rsidR="00031229" w:rsidRPr="001C4D28" w:rsidRDefault="00031229" w:rsidP="00E8318F">
            <w:pPr>
              <w:pStyle w:val="SingleTxtG"/>
              <w:ind w:left="0"/>
            </w:pPr>
            <w:r w:rsidRPr="001C4D28">
              <w:rPr>
                <w:noProof/>
                <w:lang w:eastAsia="en-GB"/>
              </w:rPr>
              <w:drawing>
                <wp:inline distT="0" distB="0" distL="0" distR="0" wp14:anchorId="485562D7" wp14:editId="0EBDB7A3">
                  <wp:extent cx="1930400" cy="1212850"/>
                  <wp:effectExtent l="76200" t="57150" r="88900" b="10160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103" w:type="dxa"/>
            <w:shd w:val="clear" w:color="auto" w:fill="auto"/>
          </w:tcPr>
          <w:p w:rsidR="00031229" w:rsidRPr="001C4D28" w:rsidRDefault="00031229" w:rsidP="00E8318F">
            <w:pPr>
              <w:pStyle w:val="SingleTxtG"/>
              <w:ind w:left="0"/>
            </w:pPr>
            <w:r w:rsidRPr="001C4D28">
              <w:rPr>
                <w:noProof/>
                <w:lang w:eastAsia="en-GB"/>
              </w:rPr>
              <w:drawing>
                <wp:inline distT="0" distB="0" distL="0" distR="0" wp14:anchorId="1F3AA06A" wp14:editId="2728BED4">
                  <wp:extent cx="1866900" cy="1212850"/>
                  <wp:effectExtent l="76200" t="57150" r="76200" b="10160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031229" w:rsidRPr="001C4D28" w:rsidTr="00AC0E53">
        <w:tblPrEx>
          <w:tblCellMar>
            <w:left w:w="108" w:type="dxa"/>
            <w:right w:w="108" w:type="dxa"/>
          </w:tblCellMar>
        </w:tblPrEx>
        <w:trPr>
          <w:trHeight w:val="1981"/>
        </w:trPr>
        <w:tc>
          <w:tcPr>
            <w:tcW w:w="3685" w:type="dxa"/>
            <w:shd w:val="clear" w:color="auto" w:fill="auto"/>
          </w:tcPr>
          <w:p w:rsidR="00031229" w:rsidRPr="001C4D28" w:rsidRDefault="00031229" w:rsidP="00E8318F">
            <w:pPr>
              <w:pStyle w:val="SingleTxtG"/>
              <w:ind w:left="0"/>
            </w:pPr>
            <w:r w:rsidRPr="001C4D28">
              <w:rPr>
                <w:noProof/>
                <w:lang w:eastAsia="en-GB"/>
              </w:rPr>
              <w:drawing>
                <wp:inline distT="0" distB="0" distL="0" distR="0" wp14:anchorId="656C8AF9" wp14:editId="101C5644">
                  <wp:extent cx="1930400" cy="1231900"/>
                  <wp:effectExtent l="76200" t="57150" r="88900" b="10160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103" w:type="dxa"/>
            <w:shd w:val="clear" w:color="auto" w:fill="auto"/>
          </w:tcPr>
          <w:p w:rsidR="00031229" w:rsidRPr="001C4D28" w:rsidRDefault="00031229" w:rsidP="00E8318F">
            <w:pPr>
              <w:pStyle w:val="SingleTxtG"/>
              <w:ind w:left="0"/>
            </w:pPr>
            <w:r w:rsidRPr="001C4D28">
              <w:rPr>
                <w:noProof/>
                <w:lang w:eastAsia="en-GB"/>
              </w:rPr>
              <w:drawing>
                <wp:inline distT="0" distB="0" distL="0" distR="0" wp14:anchorId="2A262015" wp14:editId="13A99402">
                  <wp:extent cx="1866900" cy="1231900"/>
                  <wp:effectExtent l="76200" t="57150" r="76200" b="10160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031229" w:rsidRPr="001C4D28" w:rsidTr="00AC0E53">
        <w:tblPrEx>
          <w:tblCellMar>
            <w:left w:w="108" w:type="dxa"/>
            <w:right w:w="108" w:type="dxa"/>
          </w:tblCellMar>
        </w:tblPrEx>
        <w:trPr>
          <w:trHeight w:val="2222"/>
        </w:trPr>
        <w:tc>
          <w:tcPr>
            <w:tcW w:w="3685" w:type="dxa"/>
            <w:shd w:val="clear" w:color="auto" w:fill="auto"/>
          </w:tcPr>
          <w:p w:rsidR="00031229" w:rsidRPr="001C4D28" w:rsidRDefault="00031229" w:rsidP="00E8318F">
            <w:pPr>
              <w:pStyle w:val="SingleTxtG"/>
              <w:ind w:left="0"/>
            </w:pPr>
            <w:r w:rsidRPr="001C4D28">
              <w:rPr>
                <w:noProof/>
                <w:lang w:eastAsia="en-GB"/>
              </w:rPr>
              <w:lastRenderedPageBreak/>
              <w:drawing>
                <wp:inline distT="0" distB="0" distL="0" distR="0" wp14:anchorId="61D81049" wp14:editId="38F59A49">
                  <wp:extent cx="1930400" cy="1250950"/>
                  <wp:effectExtent l="76200" t="57150" r="88900" b="10160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103" w:type="dxa"/>
            <w:shd w:val="clear" w:color="auto" w:fill="auto"/>
          </w:tcPr>
          <w:p w:rsidR="00031229" w:rsidRPr="001C4D28" w:rsidRDefault="00031229" w:rsidP="00E8318F">
            <w:pPr>
              <w:pStyle w:val="SingleTxtG"/>
              <w:ind w:left="0"/>
            </w:pPr>
            <w:r w:rsidRPr="001C4D28">
              <w:rPr>
                <w:noProof/>
                <w:lang w:eastAsia="en-GB"/>
              </w:rPr>
              <w:drawing>
                <wp:inline distT="0" distB="0" distL="0" distR="0" wp14:anchorId="412CAD39" wp14:editId="69FE4137">
                  <wp:extent cx="1924050" cy="1250950"/>
                  <wp:effectExtent l="76200" t="57150" r="95250" b="10160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031229" w:rsidRPr="001C4D28" w:rsidTr="00AC0E53">
        <w:trPr>
          <w:trHeight w:val="143"/>
        </w:trPr>
        <w:tc>
          <w:tcPr>
            <w:tcW w:w="8788" w:type="dxa"/>
            <w:gridSpan w:val="2"/>
            <w:shd w:val="clear" w:color="auto" w:fill="auto"/>
          </w:tcPr>
          <w:p w:rsidR="00031229" w:rsidRPr="001C4D28" w:rsidRDefault="00AA0853" w:rsidP="00DC701A">
            <w:pPr>
              <w:tabs>
                <w:tab w:val="left" w:pos="390"/>
              </w:tabs>
              <w:spacing w:line="220" w:lineRule="exact"/>
              <w:ind w:left="1162" w:hanging="992"/>
            </w:pPr>
            <w:r w:rsidRPr="001C4D28">
              <w:rPr>
                <w:i/>
                <w:sz w:val="18"/>
                <w:szCs w:val="18"/>
              </w:rPr>
              <w:tab/>
            </w:r>
            <w:r w:rsidR="00031229" w:rsidRPr="001C4D28">
              <w:rPr>
                <w:i/>
                <w:sz w:val="18"/>
                <w:szCs w:val="18"/>
              </w:rPr>
              <w:t>Source: ECE.</w:t>
            </w:r>
          </w:p>
        </w:tc>
      </w:tr>
    </w:tbl>
    <w:p w:rsidR="00031229" w:rsidRPr="001C4D28" w:rsidRDefault="00031229" w:rsidP="00031229">
      <w:pPr>
        <w:pStyle w:val="H1G"/>
      </w:pPr>
      <w:r w:rsidRPr="001C4D28">
        <w:tab/>
        <w:t>B.</w:t>
      </w:r>
      <w:r w:rsidRPr="001C4D28">
        <w:tab/>
        <w:t>Performance by thematic areas and data sets</w:t>
      </w:r>
    </w:p>
    <w:p w:rsidR="00031229" w:rsidRPr="001C4D28" w:rsidRDefault="00031229" w:rsidP="00031229">
      <w:pPr>
        <w:pStyle w:val="SingleTxtG"/>
      </w:pPr>
      <w:r w:rsidRPr="001C4D28">
        <w:t>18.</w:t>
      </w:r>
      <w:r w:rsidRPr="001C4D28">
        <w:tab/>
        <w:t>The availability and accessibility of the data sets and related information do vary per thematic areas. The average thematic area performance is above the overall average for biodiversity (11 percentage points above), climate change (11 percentage points above), energy (10 percentage points above) and air pollution and ozone depletion (3 percentage points above).</w:t>
      </w:r>
    </w:p>
    <w:p w:rsidR="00031229" w:rsidRPr="001C4D28" w:rsidRDefault="00031229" w:rsidP="00031229">
      <w:pPr>
        <w:pStyle w:val="SingleTxtG"/>
      </w:pPr>
      <w:r w:rsidRPr="001C4D28">
        <w:t>19.</w:t>
      </w:r>
      <w:r w:rsidRPr="001C4D28">
        <w:tab/>
        <w:t>Below the overall average are the thematic areas of waste (1 percentage point below), land and soil (8 percentage points below) and water (7 percentage points below).</w:t>
      </w:r>
    </w:p>
    <w:p w:rsidR="00031229" w:rsidRPr="001C4D28" w:rsidRDefault="00031229" w:rsidP="00031229">
      <w:pPr>
        <w:pStyle w:val="SingleTxtG"/>
      </w:pPr>
      <w:r w:rsidRPr="001C4D28">
        <w:t>20.</w:t>
      </w:r>
      <w:r w:rsidRPr="001C4D28">
        <w:tab/>
        <w:t xml:space="preserve">Looking at individual data sets and related information, emissions of nitrogen oxides and sulphur dioxide into the air and related information are </w:t>
      </w:r>
      <w:r w:rsidR="008456AA">
        <w:t xml:space="preserve">the </w:t>
      </w:r>
      <w:r w:rsidRPr="001C4D28">
        <w:t xml:space="preserve">most broadly available and accessible </w:t>
      </w:r>
      <w:r w:rsidR="008456AA">
        <w:t xml:space="preserve">of </w:t>
      </w:r>
      <w:r w:rsidRPr="001C4D28">
        <w:t xml:space="preserve">all the 67 data sets. On average, for </w:t>
      </w:r>
      <w:r w:rsidR="008456AA">
        <w:t xml:space="preserve">8 </w:t>
      </w:r>
      <w:r w:rsidRPr="001C4D28">
        <w:t xml:space="preserve">out of </w:t>
      </w:r>
      <w:r w:rsidR="008456AA">
        <w:t xml:space="preserve">10 </w:t>
      </w:r>
      <w:r w:rsidRPr="001C4D28">
        <w:t>countries (</w:t>
      </w:r>
      <w:r w:rsidR="008456AA">
        <w:t xml:space="preserve">i.e., </w:t>
      </w:r>
      <w:r w:rsidRPr="001C4D28">
        <w:t xml:space="preserve">82 </w:t>
      </w:r>
      <w:r w:rsidR="008456AA">
        <w:t xml:space="preserve">per cent of countries for nitrogen oxides </w:t>
      </w:r>
      <w:r w:rsidRPr="001C4D28">
        <w:t xml:space="preserve">and 78 per cent </w:t>
      </w:r>
      <w:r w:rsidR="008456AA">
        <w:t>for sulphur dioxide</w:t>
      </w:r>
      <w:r w:rsidRPr="001C4D28">
        <w:t xml:space="preserve">) these emissions data and related information are available and accessible </w:t>
      </w:r>
      <w:r w:rsidR="00E8318F">
        <w:t>online</w:t>
      </w:r>
      <w:r w:rsidRPr="001C4D28">
        <w:t>. They are followed by other air emission data (</w:t>
      </w:r>
      <w:r w:rsidR="00B61B8D">
        <w:t xml:space="preserve">for </w:t>
      </w:r>
      <w:r w:rsidRPr="001C4D28">
        <w:t>carbon monoxide, ammonia and non-methane volatile organic compounds)</w:t>
      </w:r>
      <w:r w:rsidR="00982B17">
        <w:t>;</w:t>
      </w:r>
      <w:r w:rsidRPr="001C4D28">
        <w:t xml:space="preserve"> biodiversity data (total areas under protection)</w:t>
      </w:r>
      <w:r w:rsidR="00982B17">
        <w:t>;</w:t>
      </w:r>
      <w:r w:rsidRPr="001C4D28">
        <w:t xml:space="preserve"> greenhouse gas </w:t>
      </w:r>
      <w:r w:rsidR="00E442CE">
        <w:t xml:space="preserve">(GHG) </w:t>
      </w:r>
      <w:r w:rsidRPr="001C4D28">
        <w:t>emission data</w:t>
      </w:r>
      <w:r w:rsidR="00982B17">
        <w:t>;</w:t>
      </w:r>
      <w:r w:rsidRPr="001C4D28">
        <w:t xml:space="preserve"> air quality data (concentration</w:t>
      </w:r>
      <w:r w:rsidR="00B61B8D">
        <w:t>s</w:t>
      </w:r>
      <w:r w:rsidRPr="001C4D28">
        <w:t xml:space="preserve"> of nitrogen dioxide and sulphur dioxide)</w:t>
      </w:r>
      <w:r w:rsidR="00982B17">
        <w:t>;</w:t>
      </w:r>
      <w:r w:rsidR="00B61B8D">
        <w:t xml:space="preserve"> and</w:t>
      </w:r>
      <w:r w:rsidRPr="001C4D28">
        <w:t xml:space="preserve"> waste data (total waste generation)</w:t>
      </w:r>
      <w:r w:rsidR="00B61B8D">
        <w:t>, which are</w:t>
      </w:r>
      <w:r w:rsidRPr="001C4D28">
        <w:t xml:space="preserve"> available and accessible on average </w:t>
      </w:r>
      <w:r w:rsidR="00B61B8D">
        <w:t xml:space="preserve">for </w:t>
      </w:r>
      <w:r w:rsidRPr="001C4D28">
        <w:t xml:space="preserve">more than </w:t>
      </w:r>
      <w:r w:rsidR="00B61B8D">
        <w:t xml:space="preserve">6 </w:t>
      </w:r>
      <w:r w:rsidRPr="001C4D28">
        <w:t xml:space="preserve">out of </w:t>
      </w:r>
      <w:r w:rsidR="00B61B8D">
        <w:t xml:space="preserve">10 </w:t>
      </w:r>
      <w:r w:rsidRPr="001C4D28">
        <w:t>countries (</w:t>
      </w:r>
      <w:r w:rsidR="00B61B8D">
        <w:t xml:space="preserve">just over </w:t>
      </w:r>
      <w:r w:rsidRPr="001C4D28">
        <w:t xml:space="preserve">60 per cent). </w:t>
      </w:r>
      <w:r w:rsidR="00B61B8D">
        <w:t>F</w:t>
      </w:r>
      <w:r w:rsidRPr="001C4D28">
        <w:t xml:space="preserve">igure 2 </w:t>
      </w:r>
      <w:r w:rsidR="00B61B8D">
        <w:t xml:space="preserve">below </w:t>
      </w:r>
      <w:r w:rsidRPr="001C4D28">
        <w:t>presents a list of 20 data sets with the highest performance scores.</w:t>
      </w:r>
    </w:p>
    <w:p w:rsidR="00985A21" w:rsidRDefault="00031229" w:rsidP="00657610">
      <w:pPr>
        <w:pStyle w:val="SingleTxtG"/>
        <w:rPr>
          <w:b/>
          <w:sz w:val="24"/>
        </w:rPr>
      </w:pPr>
      <w:r w:rsidRPr="001C4D28">
        <w:t>21.</w:t>
      </w:r>
      <w:r w:rsidRPr="001C4D28">
        <w:tab/>
        <w:t xml:space="preserve">On the other side of the scale, with availability and accessibility of data and related information at the level of </w:t>
      </w:r>
      <w:r w:rsidRPr="00982B17">
        <w:t>1</w:t>
      </w:r>
      <w:r w:rsidR="00B61B8D" w:rsidRPr="00982B17">
        <w:t>–</w:t>
      </w:r>
      <w:r w:rsidRPr="00982B17">
        <w:t>2 out of 10 countries</w:t>
      </w:r>
      <w:r w:rsidR="00982B17">
        <w:t>,</w:t>
      </w:r>
      <w:r w:rsidRPr="00982B17">
        <w:t xml:space="preserve"> are water data: population connected and not</w:t>
      </w:r>
      <w:r w:rsidR="00B61B8D" w:rsidRPr="00982B17">
        <w:t xml:space="preserve"> </w:t>
      </w:r>
      <w:r w:rsidRPr="00982B17">
        <w:t>connected to water supply industry</w:t>
      </w:r>
      <w:r w:rsidR="00B61B8D" w:rsidRPr="00982B17">
        <w:t xml:space="preserve"> (14 per cent of countries);</w:t>
      </w:r>
      <w:r w:rsidRPr="00982B17">
        <w:t xml:space="preserve"> and water exploitation index</w:t>
      </w:r>
      <w:r w:rsidR="00B61B8D" w:rsidRPr="00982B17">
        <w:t xml:space="preserve"> (20 per cent of countries)</w:t>
      </w:r>
      <w:r w:rsidRPr="001C4D28">
        <w:t xml:space="preserve">. These are followed by other water and waste </w:t>
      </w:r>
      <w:r w:rsidR="00B61B8D">
        <w:t xml:space="preserve">data sets </w:t>
      </w:r>
      <w:r w:rsidRPr="001C4D28">
        <w:t xml:space="preserve">as well as air emission data </w:t>
      </w:r>
      <w:r w:rsidR="00B61B8D">
        <w:t xml:space="preserve">on persistent organic pollutants (POPs), </w:t>
      </w:r>
      <w:r w:rsidRPr="001C4D28">
        <w:t>with availability and accessibility at the level of slightly above 2 out of 10 countries (22</w:t>
      </w:r>
      <w:r w:rsidR="00B61B8D">
        <w:t xml:space="preserve"> to </w:t>
      </w:r>
      <w:r w:rsidRPr="001C4D28">
        <w:t>25</w:t>
      </w:r>
      <w:r w:rsidR="00982B17">
        <w:t> </w:t>
      </w:r>
      <w:r w:rsidRPr="001C4D28">
        <w:t>per cent of countries). Figure 3 presents a list of 20 data sets with lowest performance scores.</w:t>
      </w:r>
    </w:p>
    <w:p w:rsidR="00031229" w:rsidRPr="001C4D28" w:rsidRDefault="00031229" w:rsidP="00031229">
      <w:pPr>
        <w:pStyle w:val="H1G"/>
      </w:pPr>
      <w:r w:rsidRPr="001C4D28">
        <w:tab/>
        <w:t>C.</w:t>
      </w:r>
      <w:r w:rsidRPr="001C4D28">
        <w:tab/>
        <w:t>Performance by rating elements</w:t>
      </w:r>
    </w:p>
    <w:p w:rsidR="00031229" w:rsidRPr="001C4D28" w:rsidRDefault="00031229" w:rsidP="00031229">
      <w:pPr>
        <w:pStyle w:val="SingleTxtG"/>
      </w:pPr>
      <w:r w:rsidRPr="001C4D28">
        <w:t>22.</w:t>
      </w:r>
      <w:r w:rsidRPr="001C4D28">
        <w:tab/>
        <w:t xml:space="preserve">When the data sets are published </w:t>
      </w:r>
      <w:r w:rsidR="00E8318F">
        <w:t>online</w:t>
      </w:r>
      <w:r w:rsidRPr="001C4D28">
        <w:t xml:space="preserve">, generally countries also provide information on the methodology used for their production and </w:t>
      </w:r>
      <w:r w:rsidR="00292614">
        <w:t xml:space="preserve">the </w:t>
      </w:r>
      <w:r w:rsidRPr="001C4D28">
        <w:t>data source</w:t>
      </w:r>
      <w:r w:rsidR="00292614">
        <w:t>,</w:t>
      </w:r>
      <w:r w:rsidRPr="001C4D28">
        <w:t xml:space="preserve"> as well </w:t>
      </w:r>
      <w:r w:rsidR="00292614">
        <w:t xml:space="preserve">as </w:t>
      </w:r>
      <w:r w:rsidRPr="001C4D28">
        <w:t xml:space="preserve">data interpretation. On average, the interpretation of data and the information on </w:t>
      </w:r>
      <w:r w:rsidR="00292614">
        <w:t xml:space="preserve">the </w:t>
      </w:r>
      <w:r w:rsidRPr="001C4D28">
        <w:t>data source is provided for nearly every data set published and the link to applied methodology for nearly 9 out of 10 data sets published.</w:t>
      </w:r>
    </w:p>
    <w:p w:rsidR="00031229" w:rsidRPr="001C4D28" w:rsidRDefault="00031229" w:rsidP="00031229">
      <w:pPr>
        <w:pStyle w:val="SingleTxtG"/>
      </w:pPr>
      <w:r w:rsidRPr="001C4D28">
        <w:lastRenderedPageBreak/>
        <w:t>23.</w:t>
      </w:r>
      <w:r w:rsidRPr="001C4D28">
        <w:tab/>
      </w:r>
      <w:r w:rsidR="00985A21">
        <w:t xml:space="preserve">For </w:t>
      </w:r>
      <w:r w:rsidRPr="001C4D28">
        <w:t xml:space="preserve">data interpretation, the lowest score </w:t>
      </w:r>
      <w:r w:rsidR="00982B17">
        <w:t xml:space="preserve">for a data set </w:t>
      </w:r>
      <w:r w:rsidRPr="001C4D28">
        <w:t>is 88 per cent</w:t>
      </w:r>
      <w:r w:rsidR="00982B17">
        <w:t xml:space="preserve"> of countries providing </w:t>
      </w:r>
      <w:r w:rsidR="00065166">
        <w:t>this element</w:t>
      </w:r>
      <w:r w:rsidR="00982B17">
        <w:t xml:space="preserve">, while for </w:t>
      </w:r>
      <w:r w:rsidRPr="001C4D28">
        <w:t xml:space="preserve">35 data sets all the countries with data accessible </w:t>
      </w:r>
      <w:r w:rsidR="00E8318F">
        <w:t>online</w:t>
      </w:r>
      <w:r w:rsidRPr="001C4D28">
        <w:t xml:space="preserve"> provided </w:t>
      </w:r>
      <w:r w:rsidR="00982B17">
        <w:t xml:space="preserve">data </w:t>
      </w:r>
      <w:r w:rsidRPr="001C4D28">
        <w:t>interpretation, i.e.</w:t>
      </w:r>
      <w:r w:rsidR="00292614">
        <w:t>,</w:t>
      </w:r>
      <w:r w:rsidRPr="001C4D28">
        <w:t xml:space="preserve"> the score reached 100 per cent.</w:t>
      </w:r>
    </w:p>
    <w:p w:rsidR="00985A21" w:rsidRPr="00985A21" w:rsidRDefault="00985A21" w:rsidP="00985A21">
      <w:pPr>
        <w:pStyle w:val="SingleTxtG"/>
        <w:spacing w:before="120"/>
      </w:pPr>
      <w:r w:rsidRPr="00065166">
        <w:t>24.</w:t>
      </w:r>
      <w:r w:rsidRPr="00065166">
        <w:tab/>
        <w:t xml:space="preserve">The </w:t>
      </w:r>
      <w:r w:rsidR="00065166">
        <w:t xml:space="preserve">lowest score for countries providing the data source of a </w:t>
      </w:r>
      <w:r w:rsidRPr="00065166">
        <w:t xml:space="preserve">data set </w:t>
      </w:r>
      <w:r w:rsidR="00065166">
        <w:t xml:space="preserve">is </w:t>
      </w:r>
      <w:r w:rsidRPr="00065166">
        <w:t>77 per cent. For 29 data sets the score reached 100 per cent.</w:t>
      </w:r>
    </w:p>
    <w:p w:rsidR="00985A21" w:rsidRPr="001C4D28" w:rsidRDefault="00985A21" w:rsidP="00985A21">
      <w:pPr>
        <w:pStyle w:val="SingleTxtG"/>
      </w:pPr>
      <w:r w:rsidRPr="00985A21">
        <w:t>25.</w:t>
      </w:r>
      <w:r w:rsidRPr="00985A21">
        <w:tab/>
        <w:t xml:space="preserve">Similarly, regarding links to or information about the data production methodologies, </w:t>
      </w:r>
      <w:r w:rsidR="000D0F8A">
        <w:t xml:space="preserve">the data set with the lowest number of countries providing such information had a score of </w:t>
      </w:r>
      <w:r w:rsidRPr="00985A21">
        <w:t xml:space="preserve">74 per cent. For </w:t>
      </w:r>
      <w:r w:rsidR="000D0F8A">
        <w:t xml:space="preserve">five </w:t>
      </w:r>
      <w:r w:rsidRPr="00985A21">
        <w:t>data sets a score of 100 per cent was reached.</w:t>
      </w:r>
    </w:p>
    <w:p w:rsidR="00985A21" w:rsidRPr="001C4D28" w:rsidRDefault="00985A21" w:rsidP="00985A21">
      <w:pPr>
        <w:pStyle w:val="SingleTxtG"/>
      </w:pPr>
      <w:r w:rsidRPr="001C4D28">
        <w:t>26.</w:t>
      </w:r>
      <w:r w:rsidRPr="001C4D28">
        <w:tab/>
        <w:t xml:space="preserve">The rating with regard to </w:t>
      </w:r>
      <w:r>
        <w:t xml:space="preserve">the </w:t>
      </w:r>
      <w:r w:rsidRPr="001C4D28">
        <w:t xml:space="preserve">application of </w:t>
      </w:r>
      <w:r>
        <w:t xml:space="preserve">a standard data </w:t>
      </w:r>
      <w:r w:rsidRPr="001C4D28">
        <w:t>methodology may decline when it is assessed also against its fulfilment of internationally accepted standards. Similarly</w:t>
      </w:r>
      <w:r>
        <w:t>,</w:t>
      </w:r>
      <w:r w:rsidRPr="001C4D28">
        <w:t xml:space="preserve"> for data interpretation, </w:t>
      </w:r>
      <w:r>
        <w:t xml:space="preserve">the rating </w:t>
      </w:r>
      <w:r w:rsidRPr="001C4D28">
        <w:t xml:space="preserve">may </w:t>
      </w:r>
      <w:r>
        <w:t xml:space="preserve">decrease </w:t>
      </w:r>
      <w:r w:rsidRPr="001C4D28">
        <w:t xml:space="preserve">if the aspects of interpretation availability in local and international languages or data assessment versus policy targets are taken into account.  </w:t>
      </w:r>
    </w:p>
    <w:p w:rsidR="00985A21" w:rsidRPr="001C4D28" w:rsidRDefault="00985A21" w:rsidP="00985A21">
      <w:pPr>
        <w:pStyle w:val="SingleTxtG"/>
      </w:pPr>
      <w:r w:rsidRPr="001C4D28">
        <w:t>27.</w:t>
      </w:r>
      <w:r w:rsidRPr="001C4D28">
        <w:tab/>
        <w:t>The regularity of data sets update seems to cause some problems. On average</w:t>
      </w:r>
      <w:r>
        <w:t>,</w:t>
      </w:r>
      <w:r w:rsidRPr="001C4D28">
        <w:t xml:space="preserve"> for </w:t>
      </w:r>
      <w:r>
        <w:t xml:space="preserve">one </w:t>
      </w:r>
      <w:r w:rsidRPr="001C4D28">
        <w:t xml:space="preserve">out of </w:t>
      </w:r>
      <w:r>
        <w:t xml:space="preserve">four </w:t>
      </w:r>
      <w:r w:rsidRPr="001C4D28">
        <w:t xml:space="preserve">published data sets the time series </w:t>
      </w:r>
      <w:r>
        <w:t xml:space="preserve">provided </w:t>
      </w:r>
      <w:r w:rsidRPr="001C4D28">
        <w:t>are not up</w:t>
      </w:r>
      <w:r>
        <w:t xml:space="preserve"> </w:t>
      </w:r>
      <w:r w:rsidRPr="001C4D28">
        <w:t>to</w:t>
      </w:r>
      <w:r>
        <w:t xml:space="preserve"> </w:t>
      </w:r>
      <w:r w:rsidRPr="001C4D28">
        <w:t>date, i.e.</w:t>
      </w:r>
      <w:r>
        <w:t>,</w:t>
      </w:r>
      <w:r w:rsidRPr="001C4D28">
        <w:t xml:space="preserve"> time series more recent than 2012 have not been made available. For as many as </w:t>
      </w:r>
      <w:r>
        <w:t xml:space="preserve">10 </w:t>
      </w:r>
      <w:r w:rsidRPr="001C4D28">
        <w:t xml:space="preserve">data sets, in more than 30 per cent of cases the data were not up to date. There is no single data </w:t>
      </w:r>
      <w:r>
        <w:t xml:space="preserve">set </w:t>
      </w:r>
      <w:r w:rsidRPr="001C4D28">
        <w:t>for which all the countries provided updated time series.</w:t>
      </w:r>
    </w:p>
    <w:p w:rsidR="00581BBB" w:rsidRPr="001C4D28" w:rsidRDefault="00031229" w:rsidP="00031229">
      <w:pPr>
        <w:pStyle w:val="SingleTxtG"/>
        <w:sectPr w:rsidR="00581BBB" w:rsidRPr="001C4D28" w:rsidSect="001E474C">
          <w:headerReference w:type="even" r:id="rId16"/>
          <w:headerReference w:type="default" r:id="rId17"/>
          <w:footerReference w:type="even" r:id="rId18"/>
          <w:footerReference w:type="default" r:id="rId19"/>
          <w:footerReference w:type="first" r:id="rId20"/>
          <w:endnotePr>
            <w:numFmt w:val="decimal"/>
          </w:endnotePr>
          <w:pgSz w:w="11907" w:h="16840" w:code="9"/>
          <w:pgMar w:top="1701" w:right="1134" w:bottom="2268" w:left="1134" w:header="1134" w:footer="1411" w:gutter="0"/>
          <w:cols w:space="720"/>
          <w:titlePg/>
          <w:docGrid w:linePitch="272"/>
        </w:sectPr>
      </w:pPr>
      <w:r w:rsidRPr="001C4D28">
        <w:br w:type="page"/>
      </w:r>
    </w:p>
    <w:tbl>
      <w:tblPr>
        <w:tblpPr w:leftFromText="180" w:rightFromText="180" w:vertAnchor="text" w:horzAnchor="margin" w:tblpXSpec="right" w:tblpY="358"/>
        <w:tblOverlap w:val="never"/>
        <w:tblW w:w="12434" w:type="dxa"/>
        <w:jc w:val="right"/>
        <w:tblLayout w:type="fixed"/>
        <w:tblCellMar>
          <w:left w:w="0" w:type="dxa"/>
          <w:right w:w="0" w:type="dxa"/>
        </w:tblCellMar>
        <w:tblLook w:val="04A0" w:firstRow="1" w:lastRow="0" w:firstColumn="1" w:lastColumn="0" w:noHBand="0" w:noVBand="1"/>
      </w:tblPr>
      <w:tblGrid>
        <w:gridCol w:w="12434"/>
      </w:tblGrid>
      <w:tr w:rsidR="0039322F" w:rsidRPr="001C4D28" w:rsidTr="002364CD">
        <w:trPr>
          <w:trHeight w:val="696"/>
          <w:jc w:val="right"/>
        </w:trPr>
        <w:tc>
          <w:tcPr>
            <w:tcW w:w="12434" w:type="dxa"/>
            <w:shd w:val="clear" w:color="auto" w:fill="auto"/>
          </w:tcPr>
          <w:p w:rsidR="0039322F" w:rsidRPr="001C4D28" w:rsidRDefault="0039322F" w:rsidP="002364CD">
            <w:pPr>
              <w:pStyle w:val="SingleTxtG"/>
              <w:spacing w:after="0"/>
              <w:ind w:left="0"/>
              <w:jc w:val="left"/>
              <w:rPr>
                <w:b/>
              </w:rPr>
            </w:pPr>
            <w:r w:rsidRPr="001C4D28">
              <w:lastRenderedPageBreak/>
              <w:br w:type="page"/>
            </w:r>
            <w:r w:rsidRPr="001C4D28">
              <w:br w:type="page"/>
              <w:t>Figure 2</w:t>
            </w:r>
            <w:r w:rsidRPr="001C4D28">
              <w:br/>
            </w:r>
            <w:r w:rsidRPr="001C4D28">
              <w:rPr>
                <w:b/>
              </w:rPr>
              <w:t xml:space="preserve">SEIS data sets with </w:t>
            </w:r>
            <w:r w:rsidR="00E442CE">
              <w:rPr>
                <w:b/>
              </w:rPr>
              <w:t xml:space="preserve">the </w:t>
            </w:r>
            <w:r w:rsidRPr="001C4D28">
              <w:rPr>
                <w:b/>
              </w:rPr>
              <w:t>highest performance score</w:t>
            </w:r>
            <w:r w:rsidR="00E442CE">
              <w:rPr>
                <w:b/>
              </w:rPr>
              <w:t>s</w:t>
            </w:r>
          </w:p>
        </w:tc>
      </w:tr>
      <w:tr w:rsidR="0039322F" w:rsidRPr="001C4D28" w:rsidTr="002364CD">
        <w:tblPrEx>
          <w:tblCellMar>
            <w:left w:w="108" w:type="dxa"/>
            <w:right w:w="108" w:type="dxa"/>
          </w:tblCellMar>
        </w:tblPrEx>
        <w:trPr>
          <w:jc w:val="right"/>
        </w:trPr>
        <w:tc>
          <w:tcPr>
            <w:tcW w:w="12434" w:type="dxa"/>
            <w:shd w:val="clear" w:color="auto" w:fill="auto"/>
          </w:tcPr>
          <w:p w:rsidR="0039322F" w:rsidRPr="001C4D28" w:rsidRDefault="00F42C7F" w:rsidP="00D30C9B">
            <w:pPr>
              <w:pStyle w:val="SingleTxtG"/>
              <w:ind w:left="0"/>
            </w:pPr>
            <w:r>
              <w:rPr>
                <w:noProof/>
                <w:lang w:eastAsia="en-GB"/>
              </w:rPr>
              <w:drawing>
                <wp:inline distT="0" distB="0" distL="0" distR="0" wp14:anchorId="2A71D5B9" wp14:editId="6C20DB8B">
                  <wp:extent cx="5810250" cy="359092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2364CD" w:rsidRPr="001C4D28">
              <w:rPr>
                <w:i/>
                <w:sz w:val="18"/>
                <w:szCs w:val="18"/>
              </w:rPr>
              <w:t xml:space="preserve"> </w:t>
            </w:r>
            <w:r w:rsidR="002364CD">
              <w:rPr>
                <w:i/>
                <w:sz w:val="18"/>
                <w:szCs w:val="18"/>
              </w:rPr>
              <w:br/>
            </w:r>
            <w:r w:rsidR="002364CD" w:rsidRPr="001C4D28">
              <w:rPr>
                <w:i/>
                <w:sz w:val="18"/>
                <w:szCs w:val="18"/>
              </w:rPr>
              <w:t>Source: ECE.</w:t>
            </w:r>
          </w:p>
        </w:tc>
      </w:tr>
    </w:tbl>
    <w:p w:rsidR="00031229" w:rsidRPr="001C4D28" w:rsidRDefault="00031229" w:rsidP="00581BBB"/>
    <w:p w:rsidR="002364CD" w:rsidRPr="00BF1FEB" w:rsidRDefault="002364CD" w:rsidP="00AC604A">
      <w:pPr>
        <w:spacing w:line="220" w:lineRule="exact"/>
        <w:ind w:left="567" w:firstLine="170"/>
        <w:rPr>
          <w:i/>
        </w:rPr>
      </w:pPr>
      <w:r w:rsidRPr="00BF1FEB">
        <w:rPr>
          <w:i/>
          <w:sz w:val="18"/>
          <w:szCs w:val="18"/>
        </w:rPr>
        <w:t>2-Emissions of nitrogen oxides expressed in nitrogen dioxide (total, stationary and mobile sources); 1-Emissions of sulphur expressed in sulphur dioxide (total, stationary and mobile sources); 5-Emissions of carbon monoxide (total, stationary and mobile sources); 16-Annual average concentration of nitrogen dioxide; 4-Emissions of ammonia (total, stationary and mobile sources); 60-Total waste generation; 3-Emissions of non-methane volatile organic compounds (NMVOCs) (total, stationary and mobile sources); 15-Annual average concentration of sulphur dioxide; 28-Aggregated GHG emissions including emissions/removals from LULUCF; 50-Total areas under protection (International Union for Conservation of Nature categories); 17-Annual average concentration of ground-level ozone; 56-Total final energy consumption; 29-Aggregated GHG emissions by energy, industrial processes, solvent and other product use, agriculture, land use and forestry, waste; 62-Hazardous waste generated; 57-Final energy consumption by category (industry, transport, households, commercial and public services, agriculture forestry and fishery, non-specified, non-energy use); 51-Total forest area (forest and other wooded land); 13-Emissions of PM</w:t>
      </w:r>
      <w:r w:rsidRPr="00BF1FEB">
        <w:rPr>
          <w:i/>
          <w:sz w:val="18"/>
          <w:szCs w:val="18"/>
          <w:vertAlign w:val="subscript"/>
        </w:rPr>
        <w:t>10</w:t>
      </w:r>
      <w:r w:rsidRPr="00BF1FEB">
        <w:rPr>
          <w:i/>
          <w:sz w:val="18"/>
          <w:szCs w:val="18"/>
        </w:rPr>
        <w:t xml:space="preserve"> (total, stationary and mobile sources); 18-Annual average concentration of PM; 61-Waste generation by source (agriculture forestry and fishery; mining and quarrying; manufacturing; electricity, gas, steam and air conditioning supply; construction; other economic activities; households); 26-Average annual deviation from the long-term average temperature.</w:t>
      </w:r>
    </w:p>
    <w:p w:rsidR="002364CD" w:rsidRPr="001C4D28" w:rsidRDefault="002364CD" w:rsidP="002364CD">
      <w:pPr>
        <w:suppressAutoHyphens w:val="0"/>
        <w:spacing w:line="240" w:lineRule="auto"/>
        <w:sectPr w:rsidR="002364CD" w:rsidRPr="001C4D28" w:rsidSect="00581BBB">
          <w:headerReference w:type="even" r:id="rId22"/>
          <w:footerReference w:type="even" r:id="rId23"/>
          <w:headerReference w:type="first" r:id="rId24"/>
          <w:endnotePr>
            <w:numFmt w:val="decimal"/>
          </w:endnotePr>
          <w:pgSz w:w="16840" w:h="11907" w:orient="landscape" w:code="9"/>
          <w:pgMar w:top="1134" w:right="1701" w:bottom="1134" w:left="2268" w:header="567" w:footer="567" w:gutter="0"/>
          <w:cols w:space="720"/>
          <w:docGrid w:linePitch="272"/>
        </w:sectPr>
      </w:pPr>
    </w:p>
    <w:tbl>
      <w:tblPr>
        <w:tblW w:w="12695" w:type="dxa"/>
        <w:jc w:val="right"/>
        <w:tblLayout w:type="fixed"/>
        <w:tblCellMar>
          <w:left w:w="0" w:type="dxa"/>
          <w:right w:w="0" w:type="dxa"/>
        </w:tblCellMar>
        <w:tblLook w:val="04A0" w:firstRow="1" w:lastRow="0" w:firstColumn="1" w:lastColumn="0" w:noHBand="0" w:noVBand="1"/>
      </w:tblPr>
      <w:tblGrid>
        <w:gridCol w:w="108"/>
        <w:gridCol w:w="12466"/>
        <w:gridCol w:w="121"/>
      </w:tblGrid>
      <w:tr w:rsidR="00BF1FEB" w:rsidRPr="001C4D28" w:rsidTr="00BF1FEB">
        <w:trPr>
          <w:gridBefore w:val="1"/>
          <w:wBefore w:w="108" w:type="dxa"/>
          <w:jc w:val="right"/>
        </w:trPr>
        <w:tc>
          <w:tcPr>
            <w:tcW w:w="12587" w:type="dxa"/>
            <w:gridSpan w:val="2"/>
            <w:shd w:val="clear" w:color="auto" w:fill="auto"/>
          </w:tcPr>
          <w:p w:rsidR="00BF1FEB" w:rsidRPr="001C4D28" w:rsidRDefault="00BF1FEB" w:rsidP="00BF1FEB">
            <w:pPr>
              <w:pStyle w:val="SingleTxtG"/>
              <w:ind w:left="141"/>
              <w:jc w:val="left"/>
              <w:rPr>
                <w:b/>
              </w:rPr>
            </w:pPr>
            <w:r w:rsidRPr="001C4D28">
              <w:lastRenderedPageBreak/>
              <w:t>Figure 3</w:t>
            </w:r>
            <w:r w:rsidRPr="001C4D28">
              <w:br/>
            </w:r>
            <w:r w:rsidRPr="001C4D28">
              <w:rPr>
                <w:b/>
              </w:rPr>
              <w:t xml:space="preserve">SEIS data sets with </w:t>
            </w:r>
            <w:r>
              <w:rPr>
                <w:b/>
              </w:rPr>
              <w:t xml:space="preserve">the </w:t>
            </w:r>
            <w:r w:rsidRPr="001C4D28">
              <w:rPr>
                <w:b/>
              </w:rPr>
              <w:t>lowest performance score</w:t>
            </w:r>
          </w:p>
        </w:tc>
      </w:tr>
      <w:tr w:rsidR="00BF1FEB" w:rsidRPr="001C4D28" w:rsidTr="00BF1FEB">
        <w:tblPrEx>
          <w:tblCellMar>
            <w:left w:w="108" w:type="dxa"/>
            <w:right w:w="108" w:type="dxa"/>
          </w:tblCellMar>
        </w:tblPrEx>
        <w:trPr>
          <w:gridAfter w:val="1"/>
          <w:wAfter w:w="121" w:type="dxa"/>
          <w:jc w:val="right"/>
        </w:trPr>
        <w:tc>
          <w:tcPr>
            <w:tcW w:w="12574" w:type="dxa"/>
            <w:gridSpan w:val="2"/>
            <w:shd w:val="clear" w:color="auto" w:fill="auto"/>
          </w:tcPr>
          <w:p w:rsidR="00BF1FEB" w:rsidRPr="001C4D28" w:rsidRDefault="00BF1FEB" w:rsidP="00BF1FEB">
            <w:pPr>
              <w:pStyle w:val="SingleTxtG"/>
              <w:ind w:left="0"/>
            </w:pPr>
            <w:r>
              <w:rPr>
                <w:noProof/>
                <w:lang w:eastAsia="en-GB"/>
              </w:rPr>
              <w:drawing>
                <wp:inline distT="0" distB="0" distL="0" distR="0" wp14:anchorId="047A338E" wp14:editId="5F1873C0">
                  <wp:extent cx="6153150" cy="390525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br/>
            </w:r>
            <w:r w:rsidRPr="001C4D28">
              <w:rPr>
                <w:i/>
                <w:sz w:val="18"/>
                <w:szCs w:val="18"/>
              </w:rPr>
              <w:t>Source: ECE.</w:t>
            </w:r>
          </w:p>
        </w:tc>
      </w:tr>
    </w:tbl>
    <w:p w:rsidR="00692ED5" w:rsidRPr="00BF1FEB" w:rsidRDefault="00BF1FEB" w:rsidP="00AC604A">
      <w:pPr>
        <w:spacing w:line="220" w:lineRule="exact"/>
        <w:ind w:left="426" w:firstLine="170"/>
        <w:rPr>
          <w:i/>
          <w:sz w:val="18"/>
          <w:szCs w:val="18"/>
        </w:rPr>
      </w:pPr>
      <w:r w:rsidRPr="00BF1FEB">
        <w:rPr>
          <w:i/>
          <w:sz w:val="18"/>
          <w:szCs w:val="18"/>
        </w:rPr>
        <w:t xml:space="preserve">12-Emissions of total suspended particles (TSP) (total, stationary and mobile sources); 9-Emissions of polycyclic aromatic hydrocarbon (PAH) (total, stationary and mobile sources); 55-Land uptake by mining and quarrying, construction, manufacturing, technical infrastructure, transport and storage infrastructure, residential including recreational, landfills waste dumps tailing pits; 34-Total freshwater available; 25-Total </w:t>
      </w:r>
      <w:r w:rsidR="001C2B7F">
        <w:rPr>
          <w:i/>
          <w:sz w:val="18"/>
          <w:szCs w:val="18"/>
        </w:rPr>
        <w:t>O</w:t>
      </w:r>
      <w:r w:rsidR="001C2B7F" w:rsidRPr="001C2B7F">
        <w:rPr>
          <w:i/>
          <w:sz w:val="18"/>
          <w:szCs w:val="18"/>
        </w:rPr>
        <w:t xml:space="preserve">zone </w:t>
      </w:r>
      <w:r w:rsidR="001C2B7F">
        <w:rPr>
          <w:i/>
          <w:sz w:val="18"/>
          <w:szCs w:val="18"/>
        </w:rPr>
        <w:t>D</w:t>
      </w:r>
      <w:r w:rsidR="001C2B7F" w:rsidRPr="001C2B7F">
        <w:rPr>
          <w:i/>
          <w:sz w:val="18"/>
          <w:szCs w:val="18"/>
        </w:rPr>
        <w:t xml:space="preserve">epletion </w:t>
      </w:r>
      <w:r w:rsidR="001C2B7F">
        <w:rPr>
          <w:i/>
          <w:sz w:val="18"/>
          <w:szCs w:val="18"/>
        </w:rPr>
        <w:t>P</w:t>
      </w:r>
      <w:r w:rsidR="001C2B7F" w:rsidRPr="001C2B7F">
        <w:rPr>
          <w:i/>
          <w:sz w:val="18"/>
          <w:szCs w:val="18"/>
        </w:rPr>
        <w:t>otential</w:t>
      </w:r>
      <w:r w:rsidR="001C2B7F" w:rsidRPr="00BF1FEB">
        <w:rPr>
          <w:i/>
          <w:sz w:val="18"/>
          <w:szCs w:val="18"/>
        </w:rPr>
        <w:t xml:space="preserve"> </w:t>
      </w:r>
      <w:r w:rsidR="001C2B7F">
        <w:rPr>
          <w:i/>
          <w:sz w:val="18"/>
          <w:szCs w:val="18"/>
        </w:rPr>
        <w:t>(</w:t>
      </w:r>
      <w:r w:rsidRPr="00BF1FEB">
        <w:rPr>
          <w:i/>
          <w:sz w:val="18"/>
          <w:szCs w:val="18"/>
        </w:rPr>
        <w:t>ODP</w:t>
      </w:r>
      <w:r w:rsidR="001C2B7F">
        <w:rPr>
          <w:i/>
          <w:sz w:val="18"/>
          <w:szCs w:val="18"/>
        </w:rPr>
        <w:t>)</w:t>
      </w:r>
      <w:r w:rsidRPr="00BF1FEB">
        <w:rPr>
          <w:i/>
          <w:sz w:val="18"/>
          <w:szCs w:val="18"/>
        </w:rPr>
        <w:t xml:space="preserve"> of methyl bromide; 32-Freshwater abstraction by water supply industry, households, agriculture forestry and fishing, manufacturing, electric industry, other economic activities; 67-Stock of hazardous waste; 36-Losses of water during transport; 11-Emissions of polychlorinated </w:t>
      </w:r>
      <w:proofErr w:type="spellStart"/>
      <w:r w:rsidRPr="00BF1FEB">
        <w:rPr>
          <w:i/>
          <w:sz w:val="18"/>
          <w:szCs w:val="18"/>
        </w:rPr>
        <w:t>dibenzo</w:t>
      </w:r>
      <w:proofErr w:type="spellEnd"/>
      <w:r w:rsidRPr="00BF1FEB">
        <w:rPr>
          <w:i/>
          <w:sz w:val="18"/>
          <w:szCs w:val="18"/>
        </w:rPr>
        <w:t xml:space="preserve">-p-dioxin and polychlorinated </w:t>
      </w:r>
      <w:proofErr w:type="spellStart"/>
      <w:r w:rsidRPr="00BF1FEB">
        <w:rPr>
          <w:i/>
          <w:sz w:val="18"/>
          <w:szCs w:val="18"/>
        </w:rPr>
        <w:t>dibenzofuran</w:t>
      </w:r>
      <w:proofErr w:type="spellEnd"/>
      <w:r w:rsidRPr="00BF1FEB">
        <w:rPr>
          <w:i/>
          <w:sz w:val="18"/>
          <w:szCs w:val="18"/>
        </w:rPr>
        <w:t xml:space="preserve"> (PCDD/F) (total, stationary and mobile sources); 22-Total ODP of carbon tetrachloride; 10-Emissions of polychlorinated biphenyl (PCB) (total, stationary and mobile sources); 20-Total </w:t>
      </w:r>
      <w:r w:rsidR="001C2B7F">
        <w:rPr>
          <w:i/>
          <w:sz w:val="18"/>
          <w:szCs w:val="18"/>
        </w:rPr>
        <w:t>ODP</w:t>
      </w:r>
      <w:r w:rsidRPr="00BF1FEB">
        <w:rPr>
          <w:i/>
          <w:sz w:val="18"/>
          <w:szCs w:val="18"/>
        </w:rPr>
        <w:t xml:space="preserve"> of </w:t>
      </w:r>
      <w:proofErr w:type="spellStart"/>
      <w:r w:rsidRPr="00BF1FEB">
        <w:rPr>
          <w:i/>
          <w:sz w:val="18"/>
          <w:szCs w:val="18"/>
        </w:rPr>
        <w:t>Halons</w:t>
      </w:r>
      <w:proofErr w:type="spellEnd"/>
      <w:r w:rsidRPr="00BF1FEB">
        <w:rPr>
          <w:i/>
          <w:sz w:val="18"/>
          <w:szCs w:val="18"/>
        </w:rPr>
        <w:t xml:space="preserve">; 30-Renewable freshwater resources; 49-Non-treated/not adequately treated wastewater; 47-Wastewater treated in urban wastewater treatment plants (primary, secondary, tertiary); 63-Hazardous waste imported; 64-Hazardous waste exported; 23-Total ODP of 1,1,1-trichloroethane; 21-Total ODP of other fully halogenated </w:t>
      </w:r>
      <w:r w:rsidR="001C2B7F" w:rsidRPr="001C2B7F">
        <w:rPr>
          <w:i/>
          <w:sz w:val="18"/>
          <w:szCs w:val="18"/>
        </w:rPr>
        <w:t>chlorofluorocarbon</w:t>
      </w:r>
      <w:r w:rsidRPr="00BF1FEB">
        <w:rPr>
          <w:i/>
          <w:sz w:val="18"/>
          <w:szCs w:val="18"/>
        </w:rPr>
        <w:t>; 46-Population connected to a wastewater collecting system (with and without treatment facilities); 33-Water exploitation index; 38-Population connected and not-connected to water supply industry</w:t>
      </w:r>
      <w:r w:rsidR="00AC604A">
        <w:rPr>
          <w:i/>
          <w:sz w:val="18"/>
          <w:szCs w:val="18"/>
        </w:rPr>
        <w:t>.</w:t>
      </w:r>
    </w:p>
    <w:p w:rsidR="00BF1FEB" w:rsidRPr="001C4D28" w:rsidRDefault="00BF1FEB" w:rsidP="002364CD">
      <w:pPr>
        <w:ind w:left="426"/>
        <w:jc w:val="both"/>
      </w:pPr>
    </w:p>
    <w:p w:rsidR="00581BBB" w:rsidRPr="001C4D28" w:rsidRDefault="00581BBB" w:rsidP="00031229">
      <w:pPr>
        <w:pStyle w:val="HChG"/>
        <w:sectPr w:rsidR="00581BBB" w:rsidRPr="001C4D28" w:rsidSect="002060E8">
          <w:headerReference w:type="default" r:id="rId26"/>
          <w:footerReference w:type="default" r:id="rId27"/>
          <w:endnotePr>
            <w:numFmt w:val="decimal"/>
          </w:endnotePr>
          <w:pgSz w:w="16840" w:h="11907" w:orient="landscape" w:code="9"/>
          <w:pgMar w:top="1134" w:right="1701" w:bottom="1134" w:left="2268" w:header="567" w:footer="567" w:gutter="0"/>
          <w:cols w:space="720"/>
          <w:docGrid w:linePitch="272"/>
        </w:sectPr>
      </w:pPr>
    </w:p>
    <w:p w:rsidR="00031229" w:rsidRPr="001C4D28" w:rsidRDefault="00031229" w:rsidP="00581BBB">
      <w:pPr>
        <w:pStyle w:val="HChG"/>
      </w:pPr>
      <w:r w:rsidRPr="001C4D28">
        <w:lastRenderedPageBreak/>
        <w:tab/>
        <w:t>III.</w:t>
      </w:r>
      <w:r w:rsidRPr="001C4D28">
        <w:tab/>
        <w:t>Conclusions and the way forward</w:t>
      </w:r>
    </w:p>
    <w:p w:rsidR="00031229" w:rsidRPr="001C4D28" w:rsidRDefault="00031229" w:rsidP="00031229">
      <w:pPr>
        <w:pStyle w:val="SingleTxtG"/>
      </w:pPr>
      <w:r w:rsidRPr="001C4D28">
        <w:t>28.</w:t>
      </w:r>
      <w:r w:rsidRPr="001C4D28">
        <w:tab/>
        <w:t xml:space="preserve">This report shows that </w:t>
      </w:r>
      <w:r w:rsidR="003E732C">
        <w:t xml:space="preserve">28 </w:t>
      </w:r>
      <w:r w:rsidRPr="001C4D28">
        <w:t xml:space="preserve">countries achieved a satisfactory SEIS performance (above 50 per cent of </w:t>
      </w:r>
      <w:r w:rsidR="003E732C">
        <w:t xml:space="preserve">the </w:t>
      </w:r>
      <w:r w:rsidRPr="001C4D28">
        <w:t xml:space="preserve">data and related information </w:t>
      </w:r>
      <w:r w:rsidR="003E732C">
        <w:t xml:space="preserve">were </w:t>
      </w:r>
      <w:r w:rsidRPr="001C4D28">
        <w:t xml:space="preserve">available </w:t>
      </w:r>
      <w:r w:rsidR="00E8318F">
        <w:t>online</w:t>
      </w:r>
      <w:r w:rsidRPr="001C4D28">
        <w:t xml:space="preserve">), while there are a few countries for which only </w:t>
      </w:r>
      <w:r w:rsidR="003E732C">
        <w:t xml:space="preserve">a </w:t>
      </w:r>
      <w:r w:rsidRPr="001C4D28">
        <w:t>few or no data set</w:t>
      </w:r>
      <w:r w:rsidR="003E732C">
        <w:t>s</w:t>
      </w:r>
      <w:r w:rsidRPr="001C4D28">
        <w:t xml:space="preserve"> were published </w:t>
      </w:r>
      <w:r w:rsidR="00E8318F">
        <w:t>online</w:t>
      </w:r>
      <w:r w:rsidRPr="001C4D28">
        <w:t>.</w:t>
      </w:r>
    </w:p>
    <w:p w:rsidR="00031229" w:rsidRPr="001C4D28" w:rsidRDefault="00031229" w:rsidP="00031229">
      <w:pPr>
        <w:pStyle w:val="SingleTxtG"/>
      </w:pPr>
      <w:r w:rsidRPr="001C4D28">
        <w:t>29.</w:t>
      </w:r>
      <w:r w:rsidRPr="001C4D28">
        <w:tab/>
        <w:t>There are several data sets which are published by only a limited number of countries. Also</w:t>
      </w:r>
      <w:r w:rsidR="003E732C">
        <w:t>,</w:t>
      </w:r>
      <w:r w:rsidRPr="001C4D28">
        <w:t xml:space="preserve"> updating the data with </w:t>
      </w:r>
      <w:r w:rsidR="003E732C">
        <w:t xml:space="preserve">the </w:t>
      </w:r>
      <w:r w:rsidRPr="001C4D28">
        <w:t xml:space="preserve">most recent time series can be considered as not fully satisfactory. On the other hand, providing links to data methodologies, data interpretation and </w:t>
      </w:r>
      <w:r w:rsidR="003E732C">
        <w:t xml:space="preserve">the </w:t>
      </w:r>
      <w:r w:rsidRPr="001C4D28">
        <w:t xml:space="preserve">data source does not seem to </w:t>
      </w:r>
      <w:r w:rsidR="003E732C">
        <w:t xml:space="preserve">present any difficulty </w:t>
      </w:r>
      <w:r w:rsidRPr="001C4D28">
        <w:t>for countries.</w:t>
      </w:r>
    </w:p>
    <w:p w:rsidR="00031229" w:rsidRPr="001C4D28" w:rsidRDefault="00031229" w:rsidP="00031229">
      <w:pPr>
        <w:pStyle w:val="SingleTxtG"/>
      </w:pPr>
      <w:r w:rsidRPr="001C4D28">
        <w:t>30.</w:t>
      </w:r>
      <w:r w:rsidRPr="001C4D28">
        <w:tab/>
        <w:t>At the same time, the current evaluation has not considered fulfilment of internationally accepted standards for data set production. Neither the type nor quality of data interpretation was evaluated (see para</w:t>
      </w:r>
      <w:r w:rsidR="003E732C">
        <w:t>.</w:t>
      </w:r>
      <w:r w:rsidRPr="001C4D28">
        <w:t xml:space="preserve"> 12). This needs to be rectified in the next evaluation round.</w:t>
      </w:r>
    </w:p>
    <w:p w:rsidR="00031229" w:rsidRPr="001C4D28" w:rsidRDefault="00031229" w:rsidP="00031229">
      <w:pPr>
        <w:pStyle w:val="SingleTxtG"/>
      </w:pPr>
      <w:r w:rsidRPr="001C4D28">
        <w:t>31.</w:t>
      </w:r>
      <w:r w:rsidRPr="001C4D28">
        <w:tab/>
        <w:t xml:space="preserve">The assessment of country performance was done as part of the testing of the SEIS reporting mechanism by the secretariat pre-filling records on the </w:t>
      </w:r>
      <w:r w:rsidR="00E8318F">
        <w:t>online</w:t>
      </w:r>
      <w:r w:rsidRPr="001C4D28">
        <w:t xml:space="preserve"> availability and accessibility of SEIS data sets and related information. The pre-filling requires a validation by counties and with it their confirmation of their status on SEIS performance vis-à-vis the 67 SEIS data sets. </w:t>
      </w:r>
      <w:r w:rsidRPr="00741F9C">
        <w:t>Only 1</w:t>
      </w:r>
      <w:r w:rsidR="009F11CE" w:rsidRPr="00741F9C">
        <w:t>7</w:t>
      </w:r>
      <w:r w:rsidRPr="00741F9C">
        <w:t xml:space="preserve"> pan</w:t>
      </w:r>
      <w:r w:rsidR="009F11CE" w:rsidRPr="00741F9C">
        <w:t>-</w:t>
      </w:r>
      <w:r w:rsidRPr="00741F9C">
        <w:t>European countries</w:t>
      </w:r>
      <w:r w:rsidRPr="001C4D28">
        <w:t xml:space="preserve"> validat</w:t>
      </w:r>
      <w:r w:rsidR="003E732C">
        <w:t>ed the information</w:t>
      </w:r>
      <w:r w:rsidRPr="001C4D28">
        <w:t xml:space="preserve">, while 38 countries as well as Kosovo still need to do it. It is expected that with the country validation the overall SEIS performance </w:t>
      </w:r>
      <w:r w:rsidR="003E732C">
        <w:t xml:space="preserve">will </w:t>
      </w:r>
      <w:r w:rsidRPr="001C4D28">
        <w:t xml:space="preserve">improve. </w:t>
      </w:r>
    </w:p>
    <w:p w:rsidR="00031229" w:rsidRPr="001C4D28" w:rsidRDefault="00031229" w:rsidP="00031229">
      <w:pPr>
        <w:pStyle w:val="SingleTxtG"/>
      </w:pPr>
      <w:r w:rsidRPr="001C4D28">
        <w:t>32.</w:t>
      </w:r>
      <w:r w:rsidRPr="001C4D28">
        <w:tab/>
        <w:t xml:space="preserve">Once the validation is done by all the pan-European countries, the analysis </w:t>
      </w:r>
      <w:r w:rsidR="00DE0B92">
        <w:t xml:space="preserve">will </w:t>
      </w:r>
      <w:r w:rsidRPr="001C4D28">
        <w:t xml:space="preserve">be updated to show </w:t>
      </w:r>
      <w:r w:rsidR="003E732C" w:rsidRPr="00DE0B92">
        <w:t xml:space="preserve">the </w:t>
      </w:r>
      <w:r w:rsidRPr="00DE0B92">
        <w:t>confirmed status of the pan-European countries performance in establishing SEIS.</w:t>
      </w:r>
      <w:r w:rsidRPr="001C4D28">
        <w:t xml:space="preserve"> That status will </w:t>
      </w:r>
      <w:r w:rsidR="00407DC2">
        <w:t xml:space="preserve">then </w:t>
      </w:r>
      <w:r w:rsidRPr="001C4D28">
        <w:t>serve as a baseline to review countries</w:t>
      </w:r>
      <w:r w:rsidR="00407DC2">
        <w:t>’</w:t>
      </w:r>
      <w:r w:rsidRPr="001C4D28">
        <w:t xml:space="preserve"> progress in establishing SEIS</w:t>
      </w:r>
      <w:r w:rsidR="00407DC2">
        <w:t xml:space="preserve"> in the coming years</w:t>
      </w:r>
      <w:r w:rsidRPr="001C4D28">
        <w:t xml:space="preserve">. The baseline will also serve to review countries performance related to </w:t>
      </w:r>
      <w:r w:rsidR="00407DC2">
        <w:t xml:space="preserve">the </w:t>
      </w:r>
      <w:r w:rsidRPr="001C4D28">
        <w:t xml:space="preserve">effective operation of SEIS for all data sets made available and accessible </w:t>
      </w:r>
      <w:r w:rsidR="00E8318F">
        <w:t>online</w:t>
      </w:r>
      <w:r w:rsidRPr="001C4D28">
        <w:t xml:space="preserve">. </w:t>
      </w:r>
    </w:p>
    <w:p w:rsidR="00031229" w:rsidRPr="001C4D28" w:rsidRDefault="00031229" w:rsidP="00031229">
      <w:pPr>
        <w:pStyle w:val="SingleTxtG"/>
      </w:pPr>
      <w:r w:rsidRPr="001C4D28">
        <w:t>34.</w:t>
      </w:r>
      <w:r w:rsidRPr="001C4D28">
        <w:tab/>
        <w:t xml:space="preserve">Countries will always </w:t>
      </w:r>
      <w:r w:rsidR="00DE0B92">
        <w:t xml:space="preserve">be </w:t>
      </w:r>
      <w:r w:rsidRPr="001C4D28">
        <w:t>reviewed against their past SEIS performance</w:t>
      </w:r>
      <w:r w:rsidR="00407DC2">
        <w:t>.</w:t>
      </w:r>
      <w:r w:rsidRPr="001C4D28">
        <w:t xml:space="preserve"> </w:t>
      </w:r>
      <w:r w:rsidR="00DE0B92">
        <w:t>F</w:t>
      </w:r>
      <w:r w:rsidRPr="001C4D28">
        <w:t>or countries who</w:t>
      </w:r>
      <w:r w:rsidR="00407DC2">
        <w:t>se</w:t>
      </w:r>
      <w:r w:rsidRPr="001C4D28">
        <w:t xml:space="preserve"> performance </w:t>
      </w:r>
      <w:r w:rsidR="00407DC2">
        <w:t xml:space="preserve">is </w:t>
      </w:r>
      <w:r w:rsidRPr="001C4D28">
        <w:t>not yet satisfactory</w:t>
      </w:r>
      <w:r w:rsidR="00407DC2">
        <w:t>,</w:t>
      </w:r>
      <w:r w:rsidRPr="001C4D28">
        <w:t xml:space="preserve"> </w:t>
      </w:r>
      <w:r w:rsidR="00DE0B92">
        <w:t>t</w:t>
      </w:r>
      <w:r w:rsidR="00DE0B92" w:rsidRPr="001C4D28">
        <w:t xml:space="preserve">he goal </w:t>
      </w:r>
      <w:r w:rsidR="00DE0B92">
        <w:t xml:space="preserve">should </w:t>
      </w:r>
      <w:r w:rsidR="00DE0B92" w:rsidRPr="001C4D28">
        <w:t xml:space="preserve">be to improve </w:t>
      </w:r>
      <w:r w:rsidR="00DE0B92">
        <w:t xml:space="preserve">their performance </w:t>
      </w:r>
      <w:r w:rsidR="00DE0B92" w:rsidRPr="001C4D28">
        <w:t>from year to year</w:t>
      </w:r>
      <w:r w:rsidR="00DE0B92">
        <w:t>;</w:t>
      </w:r>
      <w:r w:rsidR="00DE0B92" w:rsidRPr="001C4D28">
        <w:t xml:space="preserve"> </w:t>
      </w:r>
      <w:r w:rsidRPr="001C4D28">
        <w:t xml:space="preserve">for countries </w:t>
      </w:r>
      <w:r w:rsidR="00DE0B92">
        <w:t xml:space="preserve">that have </w:t>
      </w:r>
      <w:r w:rsidRPr="001C4D28">
        <w:t xml:space="preserve">already </w:t>
      </w:r>
      <w:r w:rsidR="00DE0B92">
        <w:t xml:space="preserve">achieved a </w:t>
      </w:r>
      <w:r w:rsidRPr="001C4D28">
        <w:t>high performance level</w:t>
      </w:r>
      <w:r w:rsidR="00DE0B92">
        <w:t xml:space="preserve"> in terms of SEIS establishment, they should strive to maintain that level.</w:t>
      </w:r>
    </w:p>
    <w:p w:rsidR="00031229" w:rsidRPr="001C4D28" w:rsidRDefault="00031229" w:rsidP="00031229">
      <w:pPr>
        <w:pStyle w:val="SingleTxtG"/>
      </w:pPr>
      <w:r w:rsidRPr="001C4D28">
        <w:t>35.</w:t>
      </w:r>
      <w:r w:rsidRPr="001C4D28">
        <w:tab/>
        <w:t xml:space="preserve">Overall, the goal is that all pan-European countries </w:t>
      </w:r>
      <w:r w:rsidR="00407DC2">
        <w:t xml:space="preserve">should </w:t>
      </w:r>
      <w:r w:rsidRPr="001C4D28">
        <w:t xml:space="preserve">first achieve and then maintain </w:t>
      </w:r>
      <w:r w:rsidR="00407DC2">
        <w:t xml:space="preserve">a </w:t>
      </w:r>
      <w:r w:rsidRPr="001C4D28">
        <w:t>high SEIS performance level.</w:t>
      </w:r>
    </w:p>
    <w:p w:rsidR="00031229" w:rsidRPr="001C4D28" w:rsidRDefault="00031229" w:rsidP="00031229">
      <w:pPr>
        <w:pStyle w:val="SingleTxtG"/>
        <w:spacing w:before="240" w:after="0"/>
        <w:jc w:val="center"/>
        <w:rPr>
          <w:u w:val="single"/>
        </w:rPr>
      </w:pPr>
      <w:r w:rsidRPr="001C4D28">
        <w:rPr>
          <w:u w:val="single"/>
        </w:rPr>
        <w:tab/>
      </w:r>
      <w:r w:rsidRPr="001C4D28">
        <w:rPr>
          <w:u w:val="single"/>
        </w:rPr>
        <w:tab/>
      </w:r>
      <w:r w:rsidRPr="001C4D28">
        <w:rPr>
          <w:u w:val="single"/>
        </w:rPr>
        <w:tab/>
      </w:r>
    </w:p>
    <w:sectPr w:rsidR="00031229" w:rsidRPr="001C4D28" w:rsidSect="00581BBB">
      <w:headerReference w:type="even" r:id="rId28"/>
      <w:headerReference w:type="default" r:id="rId29"/>
      <w:footerReference w:type="even" r:id="rId30"/>
      <w:footerReference w:type="default" r:id="rId31"/>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847" w:rsidRDefault="009A7847"/>
  </w:endnote>
  <w:endnote w:type="continuationSeparator" w:id="0">
    <w:p w:rsidR="009A7847" w:rsidRDefault="009A7847"/>
  </w:endnote>
  <w:endnote w:type="continuationNotice" w:id="1">
    <w:p w:rsidR="009A7847" w:rsidRDefault="009A7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70053"/>
      <w:docPartObj>
        <w:docPartGallery w:val="Page Numbers (Bottom of Page)"/>
        <w:docPartUnique/>
      </w:docPartObj>
    </w:sdtPr>
    <w:sdtEndPr>
      <w:rPr>
        <w:b/>
        <w:noProof/>
        <w:sz w:val="18"/>
        <w:szCs w:val="18"/>
      </w:rPr>
    </w:sdtEndPr>
    <w:sdtContent>
      <w:p w:rsidR="00BF1FEB" w:rsidRDefault="00BF1FEB">
        <w:pPr>
          <w:pStyle w:val="Footer"/>
        </w:pPr>
        <w:r w:rsidRPr="001F3AB6">
          <w:rPr>
            <w:b/>
            <w:sz w:val="18"/>
            <w:szCs w:val="18"/>
          </w:rPr>
          <w:fldChar w:fldCharType="begin"/>
        </w:r>
        <w:r w:rsidRPr="001F3AB6">
          <w:rPr>
            <w:b/>
            <w:sz w:val="18"/>
            <w:szCs w:val="18"/>
          </w:rPr>
          <w:instrText xml:space="preserve"> PAGE   \* MERGEFORMAT </w:instrText>
        </w:r>
        <w:r w:rsidRPr="001F3AB6">
          <w:rPr>
            <w:b/>
            <w:sz w:val="18"/>
            <w:szCs w:val="18"/>
          </w:rPr>
          <w:fldChar w:fldCharType="separate"/>
        </w:r>
        <w:r w:rsidR="00B7258A">
          <w:rPr>
            <w:b/>
            <w:noProof/>
            <w:sz w:val="18"/>
            <w:szCs w:val="18"/>
          </w:rPr>
          <w:t>6</w:t>
        </w:r>
        <w:r w:rsidRPr="001F3AB6">
          <w:rPr>
            <w:b/>
            <w:noProof/>
            <w:sz w:val="18"/>
            <w:szCs w:val="18"/>
          </w:rPr>
          <w:fldChar w:fldCharType="end"/>
        </w:r>
      </w:p>
    </w:sdtContent>
  </w:sdt>
  <w:p w:rsidR="00BF1FEB" w:rsidRPr="00581BBB" w:rsidRDefault="00BF1FEB" w:rsidP="00581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EB" w:rsidRPr="00031229" w:rsidRDefault="00BF1FEB" w:rsidP="00031229">
    <w:pPr>
      <w:pStyle w:val="Footer"/>
      <w:tabs>
        <w:tab w:val="right" w:pos="9638"/>
      </w:tabs>
      <w:rPr>
        <w:b/>
        <w:sz w:val="18"/>
      </w:rPr>
    </w:pPr>
    <w:r>
      <w:tab/>
    </w:r>
    <w:r w:rsidRPr="00031229">
      <w:rPr>
        <w:b/>
        <w:sz w:val="18"/>
      </w:rPr>
      <w:fldChar w:fldCharType="begin"/>
    </w:r>
    <w:r w:rsidRPr="00031229">
      <w:rPr>
        <w:b/>
        <w:sz w:val="18"/>
      </w:rPr>
      <w:instrText xml:space="preserve"> PAGE  \* MERGEFORMAT </w:instrText>
    </w:r>
    <w:r w:rsidRPr="00031229">
      <w:rPr>
        <w:b/>
        <w:sz w:val="18"/>
      </w:rPr>
      <w:fldChar w:fldCharType="separate"/>
    </w:r>
    <w:r w:rsidR="00B7258A">
      <w:rPr>
        <w:b/>
        <w:noProof/>
        <w:sz w:val="18"/>
      </w:rPr>
      <w:t>7</w:t>
    </w:r>
    <w:r w:rsidRPr="0003122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4752"/>
    </w:tblGrid>
    <w:tr w:rsidR="001E474C" w:rsidTr="001E474C">
      <w:tc>
        <w:tcPr>
          <w:tcW w:w="3902" w:type="dxa"/>
          <w:shd w:val="clear" w:color="auto" w:fill="auto"/>
        </w:tcPr>
        <w:p w:rsidR="001E474C" w:rsidRDefault="001E474C" w:rsidP="001E474C">
          <w:pPr>
            <w:pStyle w:val="Footer"/>
            <w:rPr>
              <w:sz w:val="20"/>
            </w:rPr>
          </w:pPr>
          <w:r>
            <w:rPr>
              <w:noProof/>
              <w:sz w:val="20"/>
              <w:lang w:eastAsia="en-GB"/>
            </w:rPr>
            <w:drawing>
              <wp:anchor distT="0" distB="0" distL="114300" distR="114300" simplePos="0" relativeHeight="251677696" behindDoc="0" locked="0" layoutInCell="1" allowOverlap="1">
                <wp:simplePos x="0" y="0"/>
                <wp:positionH relativeFrom="column">
                  <wp:posOffset>5440680</wp:posOffset>
                </wp:positionH>
                <wp:positionV relativeFrom="paragraph">
                  <wp:posOffset>-383540</wp:posOffset>
                </wp:positionV>
                <wp:extent cx="694690" cy="694690"/>
                <wp:effectExtent l="0" t="0" r="0" b="0"/>
                <wp:wrapNone/>
                <wp:docPr id="10" name="Picture 10" descr="http://undocs.org/m2/QRCode2.ashx?DS=ECE/CEP/2015/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15-18481(E)</w:t>
          </w:r>
        </w:p>
        <w:p w:rsidR="001E474C" w:rsidRPr="001E474C" w:rsidRDefault="001E474C" w:rsidP="001E474C">
          <w:pPr>
            <w:pStyle w:val="Footer"/>
            <w:rPr>
              <w:rFonts w:ascii="Barcode 3 of 9 by request" w:hAnsi="Barcode 3 of 9 by request"/>
              <w:sz w:val="24"/>
            </w:rPr>
          </w:pPr>
          <w:r>
            <w:rPr>
              <w:rFonts w:ascii="Barcode 3 of 9 by request" w:hAnsi="Barcode 3 of 9 by request"/>
              <w:sz w:val="24"/>
            </w:rPr>
            <w:t>*1518481*</w:t>
          </w:r>
        </w:p>
      </w:tc>
      <w:tc>
        <w:tcPr>
          <w:tcW w:w="4752" w:type="dxa"/>
          <w:shd w:val="clear" w:color="auto" w:fill="auto"/>
        </w:tcPr>
        <w:p w:rsidR="001E474C" w:rsidRDefault="001E474C" w:rsidP="001E474C">
          <w:pPr>
            <w:pStyle w:val="Footer"/>
            <w:spacing w:line="240" w:lineRule="atLeast"/>
            <w:jc w:val="right"/>
            <w:rPr>
              <w:sz w:val="20"/>
            </w:rPr>
          </w:pPr>
          <w:r>
            <w:rPr>
              <w:noProof/>
              <w:sz w:val="20"/>
              <w:lang w:eastAsia="en-GB"/>
            </w:rPr>
            <w:drawing>
              <wp:inline distT="0" distB="0" distL="0" distR="0" wp14:anchorId="4B6ECD06" wp14:editId="74BC2A08">
                <wp:extent cx="929642" cy="231648"/>
                <wp:effectExtent l="0" t="0" r="381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E474C" w:rsidRPr="001E474C" w:rsidRDefault="001E474C" w:rsidP="001E474C">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EB" w:rsidRDefault="00BF1FEB">
    <w:pPr>
      <w:pStyle w:val="Footer"/>
    </w:pPr>
  </w:p>
  <w:p w:rsidR="00BF1FEB" w:rsidRPr="00581BBB" w:rsidRDefault="00BF1FEB" w:rsidP="00581BB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EB" w:rsidRPr="002060E8" w:rsidRDefault="00BF1FEB" w:rsidP="002060E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EB" w:rsidRPr="00581BBB" w:rsidRDefault="00BF1FEB" w:rsidP="00581BBB">
    <w:pPr>
      <w:pStyle w:val="Footer"/>
      <w:tabs>
        <w:tab w:val="right" w:pos="9638"/>
      </w:tabs>
    </w:pPr>
    <w:r w:rsidRPr="00581BBB">
      <w:rPr>
        <w:b/>
        <w:sz w:val="18"/>
      </w:rPr>
      <w:fldChar w:fldCharType="begin"/>
    </w:r>
    <w:r w:rsidRPr="00581BBB">
      <w:rPr>
        <w:b/>
        <w:sz w:val="18"/>
      </w:rPr>
      <w:instrText xml:space="preserve"> PAGE  \* MERGEFORMAT </w:instrText>
    </w:r>
    <w:r w:rsidRPr="00581BBB">
      <w:rPr>
        <w:b/>
        <w:sz w:val="18"/>
      </w:rPr>
      <w:fldChar w:fldCharType="separate"/>
    </w:r>
    <w:r w:rsidR="00B7258A">
      <w:rPr>
        <w:b/>
        <w:noProof/>
        <w:sz w:val="18"/>
      </w:rPr>
      <w:t>10</w:t>
    </w:r>
    <w:r w:rsidRPr="00581BBB">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817096483"/>
      <w:docPartObj>
        <w:docPartGallery w:val="Page Numbers (Bottom of Page)"/>
        <w:docPartUnique/>
      </w:docPartObj>
    </w:sdtPr>
    <w:sdtEndPr>
      <w:rPr>
        <w:b w:val="0"/>
        <w:noProof/>
        <w:sz w:val="16"/>
        <w:szCs w:val="20"/>
      </w:rPr>
    </w:sdtEndPr>
    <w:sdtContent>
      <w:p w:rsidR="00BF1FEB" w:rsidRDefault="00BF1FEB">
        <w:pPr>
          <w:pStyle w:val="Footer"/>
          <w:jc w:val="right"/>
        </w:pPr>
        <w:r w:rsidRPr="008F7ADA">
          <w:rPr>
            <w:b/>
            <w:sz w:val="18"/>
            <w:szCs w:val="18"/>
          </w:rPr>
          <w:fldChar w:fldCharType="begin"/>
        </w:r>
        <w:r w:rsidRPr="008F7ADA">
          <w:rPr>
            <w:b/>
            <w:sz w:val="18"/>
            <w:szCs w:val="18"/>
          </w:rPr>
          <w:instrText xml:space="preserve"> PAGE   \* MERGEFORMAT </w:instrText>
        </w:r>
        <w:r w:rsidRPr="008F7ADA">
          <w:rPr>
            <w:b/>
            <w:sz w:val="18"/>
            <w:szCs w:val="18"/>
          </w:rPr>
          <w:fldChar w:fldCharType="separate"/>
        </w:r>
        <w:r>
          <w:rPr>
            <w:b/>
            <w:noProof/>
            <w:sz w:val="18"/>
            <w:szCs w:val="18"/>
          </w:rPr>
          <w:t>11</w:t>
        </w:r>
        <w:r w:rsidRPr="008F7ADA">
          <w:rPr>
            <w:b/>
            <w:noProof/>
            <w:sz w:val="18"/>
            <w:szCs w:val="18"/>
          </w:rPr>
          <w:fldChar w:fldCharType="end"/>
        </w:r>
      </w:p>
    </w:sdtContent>
  </w:sdt>
  <w:p w:rsidR="00BF1FEB" w:rsidRPr="002060E8" w:rsidRDefault="00BF1FEB" w:rsidP="00206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847" w:rsidRPr="000B175B" w:rsidRDefault="009A7847" w:rsidP="000B175B">
      <w:pPr>
        <w:tabs>
          <w:tab w:val="right" w:pos="2155"/>
        </w:tabs>
        <w:spacing w:after="80"/>
        <w:ind w:left="680"/>
        <w:rPr>
          <w:u w:val="single"/>
        </w:rPr>
      </w:pPr>
      <w:r>
        <w:rPr>
          <w:u w:val="single"/>
        </w:rPr>
        <w:tab/>
      </w:r>
    </w:p>
  </w:footnote>
  <w:footnote w:type="continuationSeparator" w:id="0">
    <w:p w:rsidR="009A7847" w:rsidRPr="00FC68B7" w:rsidRDefault="009A7847" w:rsidP="00FC68B7">
      <w:pPr>
        <w:tabs>
          <w:tab w:val="left" w:pos="2155"/>
        </w:tabs>
        <w:spacing w:after="80"/>
        <w:ind w:left="680"/>
        <w:rPr>
          <w:u w:val="single"/>
        </w:rPr>
      </w:pPr>
      <w:r>
        <w:rPr>
          <w:u w:val="single"/>
        </w:rPr>
        <w:tab/>
      </w:r>
    </w:p>
  </w:footnote>
  <w:footnote w:type="continuationNotice" w:id="1">
    <w:p w:rsidR="009A7847" w:rsidRDefault="009A7847"/>
  </w:footnote>
  <w:footnote w:id="2">
    <w:p w:rsidR="00BF1FEB" w:rsidRPr="00DF0CF3" w:rsidRDefault="00BF1FEB" w:rsidP="00DE1E2E">
      <w:pPr>
        <w:pStyle w:val="FootnoteText"/>
        <w:spacing w:line="240" w:lineRule="auto"/>
      </w:pPr>
      <w:r>
        <w:rPr>
          <w:rStyle w:val="FootnoteReference"/>
        </w:rPr>
        <w:tab/>
      </w:r>
      <w:r w:rsidRPr="00164448">
        <w:rPr>
          <w:rStyle w:val="FootnoteReference"/>
          <w:sz w:val="20"/>
          <w:vertAlign w:val="baseline"/>
        </w:rPr>
        <w:t>*</w:t>
      </w:r>
      <w:r>
        <w:rPr>
          <w:rStyle w:val="FootnoteReference"/>
          <w:sz w:val="20"/>
          <w:vertAlign w:val="baseline"/>
        </w:rPr>
        <w:tab/>
      </w:r>
      <w:r>
        <w:t>The report is a late submission owing to the need to gather information from countries.</w:t>
      </w:r>
    </w:p>
  </w:footnote>
  <w:footnote w:id="3">
    <w:p w:rsidR="00BF1FEB" w:rsidRPr="00B12105" w:rsidRDefault="00BF1FEB" w:rsidP="00031229">
      <w:pPr>
        <w:pStyle w:val="FootnoteText"/>
      </w:pPr>
      <w:r>
        <w:tab/>
      </w:r>
      <w:r w:rsidRPr="00B12105">
        <w:rPr>
          <w:rStyle w:val="FootnoteReference"/>
        </w:rPr>
        <w:footnoteRef/>
      </w:r>
      <w:r w:rsidRPr="00B12105">
        <w:t xml:space="preserve"> </w:t>
      </w:r>
      <w:r>
        <w:tab/>
        <w:t>The p</w:t>
      </w:r>
      <w:r w:rsidRPr="00B12105">
        <w:t xml:space="preserve">an-European region under the </w:t>
      </w:r>
      <w:r>
        <w:t>Environment for Europe</w:t>
      </w:r>
      <w:r w:rsidRPr="00B12105">
        <w:t xml:space="preserve"> </w:t>
      </w:r>
      <w:r>
        <w:t>p</w:t>
      </w:r>
      <w:r w:rsidRPr="00B12105">
        <w:t>rocess cover</w:t>
      </w:r>
      <w:r>
        <w:t>s</w:t>
      </w:r>
      <w:r w:rsidRPr="00B12105">
        <w:t xml:space="preserve"> the full membership of the United Nations Economic Commission for Europe</w:t>
      </w:r>
      <w:r>
        <w:t>, i.e., its 56 member States</w:t>
      </w:r>
      <w:r w:rsidRPr="00B12105">
        <w:t>.</w:t>
      </w:r>
    </w:p>
  </w:footnote>
  <w:footnote w:id="4">
    <w:p w:rsidR="00BF1FEB" w:rsidRPr="009E3C70" w:rsidRDefault="00BF1FEB" w:rsidP="00031229">
      <w:pPr>
        <w:pStyle w:val="FootnoteText"/>
        <w:widowControl w:val="0"/>
        <w:tabs>
          <w:tab w:val="clear" w:pos="1021"/>
          <w:tab w:val="right" w:pos="1020"/>
        </w:tabs>
        <w:rPr>
          <w:lang w:val="en-US"/>
        </w:rPr>
      </w:pPr>
      <w:r>
        <w:tab/>
      </w:r>
      <w:r>
        <w:rPr>
          <w:rStyle w:val="FootnoteReference"/>
        </w:rPr>
        <w:footnoteRef/>
      </w:r>
      <w:r>
        <w:tab/>
        <w:t>EEA members are the ECE countries members of the European Union as well as Iceland, Liechtenstein, Norway, Switzerland and Turkey. The capacity for the review task should be examined for both EEA and ECE secretariat.</w:t>
      </w:r>
    </w:p>
  </w:footnote>
  <w:footnote w:id="5">
    <w:p w:rsidR="00BF1FEB" w:rsidRPr="009E3C70" w:rsidRDefault="00BF1FEB" w:rsidP="00031229">
      <w:pPr>
        <w:pStyle w:val="FootnoteText"/>
        <w:widowControl w:val="0"/>
        <w:tabs>
          <w:tab w:val="clear" w:pos="1021"/>
          <w:tab w:val="right" w:pos="1020"/>
        </w:tabs>
        <w:rPr>
          <w:lang w:val="en-US"/>
        </w:rPr>
      </w:pPr>
      <w:r>
        <w:tab/>
      </w:r>
      <w:r>
        <w:rPr>
          <w:rStyle w:val="FootnoteReference"/>
        </w:rPr>
        <w:footnoteRef/>
      </w:r>
      <w:r>
        <w:tab/>
      </w:r>
      <w:r w:rsidRPr="006065C7">
        <w:t>All references to Kosovo in this report should be understood to be in the context of United Nations Security Council resolution 1244 (1999)</w:t>
      </w:r>
      <w:r>
        <w:t>.</w:t>
      </w:r>
    </w:p>
  </w:footnote>
  <w:footnote w:id="6">
    <w:p w:rsidR="00BF1FEB" w:rsidRPr="00FB468C" w:rsidRDefault="00BF1FEB" w:rsidP="00031229">
      <w:pPr>
        <w:pStyle w:val="FootnoteText"/>
        <w:widowControl w:val="0"/>
        <w:tabs>
          <w:tab w:val="clear" w:pos="1021"/>
          <w:tab w:val="right" w:pos="1020"/>
        </w:tabs>
        <w:rPr>
          <w:lang w:val="en-US"/>
        </w:rPr>
      </w:pPr>
      <w:r>
        <w:tab/>
      </w:r>
      <w:r>
        <w:rPr>
          <w:rStyle w:val="FootnoteReference"/>
        </w:rPr>
        <w:footnoteRef/>
      </w:r>
      <w:r>
        <w:tab/>
        <w:t>The United Nations Environment Programme provided support in filling in the tables.</w:t>
      </w:r>
    </w:p>
  </w:footnote>
  <w:footnote w:id="7">
    <w:p w:rsidR="00BF1FEB" w:rsidRPr="00C06134" w:rsidRDefault="00BF1FEB" w:rsidP="00031229">
      <w:pPr>
        <w:pStyle w:val="FootnoteText"/>
        <w:widowControl w:val="0"/>
        <w:tabs>
          <w:tab w:val="clear" w:pos="1021"/>
          <w:tab w:val="right" w:pos="1020"/>
        </w:tabs>
        <w:rPr>
          <w:lang w:val="en-US"/>
        </w:rPr>
      </w:pPr>
      <w:r>
        <w:tab/>
      </w:r>
      <w:r>
        <w:rPr>
          <w:rStyle w:val="FootnoteReference"/>
        </w:rPr>
        <w:footnoteRef/>
      </w:r>
      <w:r>
        <w:tab/>
        <w:t>Albania, Armenia,</w:t>
      </w:r>
      <w:r w:rsidRPr="00AB08B0">
        <w:t xml:space="preserve"> </w:t>
      </w:r>
      <w:r>
        <w:t xml:space="preserve">Azerbaijan, </w:t>
      </w:r>
      <w:r w:rsidRPr="00AB08B0">
        <w:t xml:space="preserve">Belarus, Bosnia and Herzegovina, </w:t>
      </w:r>
      <w:r>
        <w:t xml:space="preserve">Germany, Finland, France, Italy, Kyrgyzstan, Republic of </w:t>
      </w:r>
      <w:r w:rsidRPr="00AB08B0">
        <w:t xml:space="preserve">Moldova, </w:t>
      </w:r>
      <w:r>
        <w:t xml:space="preserve">Romania, </w:t>
      </w:r>
      <w:r w:rsidRPr="00AB08B0">
        <w:t>Russian Federation, Serbia</w:t>
      </w:r>
      <w:r>
        <w:t xml:space="preserve">, Switzerland, </w:t>
      </w:r>
      <w:r w:rsidRPr="00AB08B0">
        <w:t>the former Yugoslav Republic of Macedonia</w:t>
      </w:r>
      <w:r>
        <w:t xml:space="preserve"> and Ukraine.</w:t>
      </w:r>
    </w:p>
  </w:footnote>
  <w:footnote w:id="8">
    <w:p w:rsidR="00BF1FEB" w:rsidRPr="00C06134" w:rsidRDefault="00BF1FEB" w:rsidP="00031229">
      <w:pPr>
        <w:pStyle w:val="FootnoteText"/>
        <w:widowControl w:val="0"/>
        <w:tabs>
          <w:tab w:val="clear" w:pos="1021"/>
          <w:tab w:val="right" w:pos="1020"/>
        </w:tabs>
        <w:rPr>
          <w:lang w:val="en-US"/>
        </w:rPr>
      </w:pPr>
      <w:r>
        <w:tab/>
      </w:r>
      <w:r>
        <w:rPr>
          <w:rStyle w:val="FootnoteReference"/>
        </w:rPr>
        <w:footnoteRef/>
      </w:r>
      <w:r>
        <w:tab/>
      </w:r>
      <w:proofErr w:type="gramStart"/>
      <w:r w:rsidRPr="003D28C6">
        <w:t xml:space="preserve">Austria, </w:t>
      </w:r>
      <w:r>
        <w:t xml:space="preserve">Belgium, Czech Republic, </w:t>
      </w:r>
      <w:r w:rsidRPr="003D28C6">
        <w:t xml:space="preserve">Denmark, </w:t>
      </w:r>
      <w:r w:rsidRPr="00B415A4">
        <w:t>Georgia</w:t>
      </w:r>
      <w:r>
        <w:t xml:space="preserve">, </w:t>
      </w:r>
      <w:r w:rsidRPr="003D28C6">
        <w:t xml:space="preserve">Kazakhstan, Latvia, Luxembourg, </w:t>
      </w:r>
      <w:r w:rsidRPr="00E553A7">
        <w:t xml:space="preserve">Malta, </w:t>
      </w:r>
      <w:r w:rsidRPr="003D28C6">
        <w:t>Slovakia,</w:t>
      </w:r>
      <w:r>
        <w:t xml:space="preserve"> Spain, Tajikistan and Uzbekistan.</w:t>
      </w:r>
      <w:proofErr w:type="gramEnd"/>
    </w:p>
  </w:footnote>
  <w:footnote w:id="9">
    <w:p w:rsidR="00BF1FEB" w:rsidRDefault="00BF1FEB" w:rsidP="00AC0E53">
      <w:pPr>
        <w:pStyle w:val="FootnoteText"/>
        <w:widowControl w:val="0"/>
      </w:pPr>
      <w:r>
        <w:tab/>
      </w:r>
      <w:r>
        <w:rPr>
          <w:rStyle w:val="FootnoteReference"/>
        </w:rPr>
        <w:footnoteRef/>
      </w:r>
      <w:r>
        <w:tab/>
        <w:t>See document entitled “S</w:t>
      </w:r>
      <w:r w:rsidRPr="00A44CD8">
        <w:t>EIS performance by data set by country (Table)</w:t>
      </w:r>
      <w:r>
        <w:t>”, available from</w:t>
      </w:r>
      <w:r w:rsidRPr="00A44CD8">
        <w:t xml:space="preserve"> </w:t>
      </w:r>
      <w:hyperlink r:id="rId1" w:history="1">
        <w:r w:rsidR="0007539F" w:rsidRPr="00D759F4">
          <w:rPr>
            <w:rStyle w:val="Hyperlink"/>
          </w:rPr>
          <w:t>www.unece.org/index.php?id=39929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EB" w:rsidRPr="00031229" w:rsidRDefault="00BF1FEB">
    <w:pPr>
      <w:pStyle w:val="Header"/>
    </w:pPr>
    <w:r>
      <w:t>ECE/CEP/2015/11</w:t>
    </w:r>
    <w:r w:rsidR="001451C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EB" w:rsidRPr="00031229" w:rsidRDefault="00BF1FEB" w:rsidP="00031229">
    <w:pPr>
      <w:pStyle w:val="Header"/>
      <w:jc w:val="right"/>
    </w:pPr>
    <w:r>
      <w:t>ECE/CEP/2015/11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EB" w:rsidRPr="00581BBB" w:rsidRDefault="00BF1FEB" w:rsidP="00581BBB">
    <w:r>
      <w:rPr>
        <w:noProof/>
        <w:lang w:eastAsia="en-GB"/>
      </w:rPr>
      <mc:AlternateContent>
        <mc:Choice Requires="wps">
          <w:drawing>
            <wp:anchor distT="0" distB="0" distL="114300" distR="114300" simplePos="0" relativeHeight="251676672" behindDoc="0" locked="0" layoutInCell="1" allowOverlap="1" wp14:anchorId="5C73619B" wp14:editId="517471F7">
              <wp:simplePos x="0" y="0"/>
              <wp:positionH relativeFrom="margin">
                <wp:posOffset>-279400</wp:posOffset>
              </wp:positionH>
              <wp:positionV relativeFrom="margin">
                <wp:posOffset>146050</wp:posOffset>
              </wp:positionV>
              <wp:extent cx="222250" cy="6121400"/>
              <wp:effectExtent l="0" t="0" r="2540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6121400"/>
                      </a:xfrm>
                      <a:prstGeom prst="rect">
                        <a:avLst/>
                      </a:prstGeom>
                      <a:noFill/>
                      <a:ln w="9525" cap="flat" cmpd="sng" algn="ctr">
                        <a:solidFill>
                          <a:schemeClr val="bg1"/>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F1FEB" w:rsidRPr="00031229" w:rsidRDefault="00BF1FEB" w:rsidP="00EA53E5">
                          <w:pPr>
                            <w:pStyle w:val="Footer"/>
                            <w:shd w:val="clear" w:color="auto" w:fill="FFFFFF" w:themeFill="background1"/>
                            <w:tabs>
                              <w:tab w:val="right" w:pos="9638"/>
                            </w:tabs>
                            <w:rPr>
                              <w:b/>
                              <w:sz w:val="18"/>
                            </w:rPr>
                          </w:pPr>
                          <w:r w:rsidRPr="00031229">
                            <w:rPr>
                              <w:b/>
                              <w:sz w:val="18"/>
                            </w:rPr>
                            <w:fldChar w:fldCharType="begin"/>
                          </w:r>
                          <w:r w:rsidRPr="00031229">
                            <w:rPr>
                              <w:b/>
                              <w:sz w:val="18"/>
                            </w:rPr>
                            <w:instrText xml:space="preserve"> PAGE  \* MERGEFORMAT </w:instrText>
                          </w:r>
                          <w:r w:rsidRPr="00031229">
                            <w:rPr>
                              <w:b/>
                              <w:sz w:val="18"/>
                            </w:rPr>
                            <w:fldChar w:fldCharType="separate"/>
                          </w:r>
                          <w:r w:rsidR="00B7258A">
                            <w:rPr>
                              <w:b/>
                              <w:noProof/>
                              <w:sz w:val="18"/>
                            </w:rPr>
                            <w:t>8</w:t>
                          </w:r>
                          <w:r w:rsidRPr="00031229">
                            <w:rPr>
                              <w:b/>
                              <w:sz w:val="18"/>
                            </w:rPr>
                            <w:fldChar w:fldCharType="end"/>
                          </w:r>
                          <w:r>
                            <w:tab/>
                          </w:r>
                        </w:p>
                        <w:p w:rsidR="00BF1FEB" w:rsidRDefault="00BF1FEB" w:rsidP="00EA53E5">
                          <w:pPr>
                            <w:shd w:val="clear" w:color="auto" w:fill="FFFFFF" w:themeFill="background1"/>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2pt;margin-top:11.5pt;width:17.5pt;height:482pt;z-index:2516766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" filled="f" strokecolor="white [3212]">
              <v:stroke joinstyle="round"/>
              <v:path arrowok="t"/>
              <v:textbox style="layout-flow:vertical" inset="0,0,0,0">
                <w:txbxContent>
                  <w:p w:rsidR="00BF1FEB" w:rsidRPr="00031229" w:rsidRDefault="00BF1FEB" w:rsidP="00EA53E5">
                    <w:pPr>
                      <w:pStyle w:val="Footer"/>
                      <w:shd w:val="clear" w:color="auto" w:fill="FFFFFF" w:themeFill="background1"/>
                      <w:tabs>
                        <w:tab w:val="right" w:pos="9638"/>
                      </w:tabs>
                      <w:rPr>
                        <w:b/>
                        <w:sz w:val="18"/>
                      </w:rPr>
                    </w:pPr>
                    <w:r w:rsidRPr="00031229">
                      <w:rPr>
                        <w:b/>
                        <w:sz w:val="18"/>
                      </w:rPr>
                      <w:fldChar w:fldCharType="begin"/>
                    </w:r>
                    <w:r w:rsidRPr="00031229">
                      <w:rPr>
                        <w:b/>
                        <w:sz w:val="18"/>
                      </w:rPr>
                      <w:instrText xml:space="preserve"> PAGE  \* MERGEFORMAT </w:instrText>
                    </w:r>
                    <w:r w:rsidRPr="00031229">
                      <w:rPr>
                        <w:b/>
                        <w:sz w:val="18"/>
                      </w:rPr>
                      <w:fldChar w:fldCharType="separate"/>
                    </w:r>
                    <w:r w:rsidR="00B7258A">
                      <w:rPr>
                        <w:b/>
                        <w:noProof/>
                        <w:sz w:val="18"/>
                      </w:rPr>
                      <w:t>8</w:t>
                    </w:r>
                    <w:r w:rsidRPr="00031229">
                      <w:rPr>
                        <w:b/>
                        <w:sz w:val="18"/>
                      </w:rPr>
                      <w:fldChar w:fldCharType="end"/>
                    </w:r>
                    <w:r>
                      <w:tab/>
                    </w:r>
                  </w:p>
                  <w:p w:rsidR="00BF1FEB" w:rsidRDefault="00BF1FEB" w:rsidP="00EA53E5">
                    <w:pPr>
                      <w:shd w:val="clear" w:color="auto" w:fill="FFFFFF" w:themeFill="background1"/>
                    </w:pPr>
                  </w:p>
                </w:txbxContent>
              </v:textbox>
              <w10:wrap anchorx="margin" anchory="margin"/>
            </v:shape>
          </w:pict>
        </mc:Fallback>
      </mc:AlternateContent>
    </w:r>
    <w:r>
      <w:rPr>
        <w:noProof/>
        <w:lang w:eastAsia="en-GB"/>
      </w:rPr>
      <mc:AlternateContent>
        <mc:Choice Requires="wps">
          <w:drawing>
            <wp:anchor distT="0" distB="0" distL="114300" distR="114300" simplePos="0" relativeHeight="251675648" behindDoc="0" locked="0" layoutInCell="1" allowOverlap="1" wp14:anchorId="7B44F7D4" wp14:editId="1FE47DD3">
              <wp:simplePos x="0" y="0"/>
              <wp:positionH relativeFrom="page">
                <wp:posOffset>9944100</wp:posOffset>
              </wp:positionH>
              <wp:positionV relativeFrom="margin">
                <wp:posOffset>152400</wp:posOffset>
              </wp:positionV>
              <wp:extent cx="219456" cy="6122822"/>
              <wp:effectExtent l="0" t="0" r="9525"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F1FEB" w:rsidRDefault="00BF1FEB" w:rsidP="001974F8">
                          <w:pPr>
                            <w:pStyle w:val="Header"/>
                          </w:pPr>
                          <w:r>
                            <w:t>ECE/CEP/2015/11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id="Text Box 14" o:spid="_x0000_s1027" type="#_x0000_t202" style="position:absolute;margin-left:783pt;margin-top:12pt;width:17.3pt;height:482.1pt;z-index:2516756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" filled="f" stroked="f">
              <v:stroke joinstyle="round"/>
              <v:path arrowok="t"/>
              <v:textbox style="layout-flow:vertical" inset="0,0,0,0">
                <w:txbxContent>
                  <w:p w:rsidR="00BF1FEB" w:rsidRDefault="00BF1FEB" w:rsidP="001974F8">
                    <w:pPr>
                      <w:pStyle w:val="Header"/>
                    </w:pPr>
                    <w:r>
                      <w:t>ECE/CEP/2015/11</w:t>
                    </w: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EB" w:rsidRDefault="00BF1F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EB" w:rsidRPr="002060E8" w:rsidRDefault="00BF1FEB" w:rsidP="002060E8">
    <w:r>
      <w:rPr>
        <w:noProof/>
        <w:lang w:eastAsia="en-GB"/>
      </w:rPr>
      <mc:AlternateContent>
        <mc:Choice Requires="wps">
          <w:drawing>
            <wp:anchor distT="0" distB="0" distL="114300" distR="114300" simplePos="0" relativeHeight="251673600" behindDoc="0" locked="0" layoutInCell="1" allowOverlap="1" wp14:anchorId="44E5E901" wp14:editId="43289C36">
              <wp:simplePos x="0" y="0"/>
              <wp:positionH relativeFrom="margin">
                <wp:posOffset>-127000</wp:posOffset>
              </wp:positionH>
              <wp:positionV relativeFrom="margin">
                <wp:posOffset>298450</wp:posOffset>
              </wp:positionV>
              <wp:extent cx="222250" cy="6121400"/>
              <wp:effectExtent l="0" t="0" r="25400"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6121400"/>
                      </a:xfrm>
                      <a:prstGeom prst="rect">
                        <a:avLst/>
                      </a:prstGeom>
                      <a:noFill/>
                      <a:ln w="9525" cap="flat" cmpd="sng" algn="ctr">
                        <a:solidFill>
                          <a:schemeClr val="bg1"/>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F1FEB" w:rsidRPr="00031229" w:rsidRDefault="00BF1FEB" w:rsidP="006D0E4A">
                          <w:pPr>
                            <w:pStyle w:val="Footer"/>
                            <w:shd w:val="clear" w:color="auto" w:fill="FFFFFF" w:themeFill="background1"/>
                            <w:tabs>
                              <w:tab w:val="right" w:pos="9638"/>
                            </w:tabs>
                            <w:jc w:val="right"/>
                            <w:rPr>
                              <w:b/>
                              <w:sz w:val="18"/>
                            </w:rPr>
                          </w:pPr>
                          <w:r>
                            <w:tab/>
                          </w:r>
                          <w:r w:rsidRPr="00031229">
                            <w:rPr>
                              <w:b/>
                              <w:sz w:val="18"/>
                            </w:rPr>
                            <w:fldChar w:fldCharType="begin"/>
                          </w:r>
                          <w:r w:rsidRPr="00031229">
                            <w:rPr>
                              <w:b/>
                              <w:sz w:val="18"/>
                            </w:rPr>
                            <w:instrText xml:space="preserve"> PAGE  \* MERGEFORMAT </w:instrText>
                          </w:r>
                          <w:r w:rsidRPr="00031229">
                            <w:rPr>
                              <w:b/>
                              <w:sz w:val="18"/>
                            </w:rPr>
                            <w:fldChar w:fldCharType="separate"/>
                          </w:r>
                          <w:r w:rsidR="00B7258A">
                            <w:rPr>
                              <w:b/>
                              <w:noProof/>
                              <w:sz w:val="18"/>
                            </w:rPr>
                            <w:t>9</w:t>
                          </w:r>
                          <w:r w:rsidRPr="00031229">
                            <w:rPr>
                              <w:b/>
                              <w:sz w:val="18"/>
                            </w:rPr>
                            <w:fldChar w:fldCharType="end"/>
                          </w:r>
                        </w:p>
                        <w:p w:rsidR="00BF1FEB" w:rsidRDefault="00BF1FEB" w:rsidP="006D0E4A">
                          <w:pPr>
                            <w:shd w:val="clear" w:color="auto" w:fill="FFFFFF" w:themeFill="background1"/>
                            <w:jc w:val="right"/>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10pt;margin-top:23.5pt;width:17.5pt;height:482pt;z-index:25167360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" filled="f" strokecolor="white [3212]">
              <v:stroke joinstyle="round"/>
              <v:path arrowok="t"/>
              <v:textbox style="layout-flow:vertical" inset="0,0,0,0">
                <w:txbxContent>
                  <w:p w:rsidR="00BF1FEB" w:rsidRPr="00031229" w:rsidRDefault="00BF1FEB" w:rsidP="006D0E4A">
                    <w:pPr>
                      <w:pStyle w:val="Footer"/>
                      <w:shd w:val="clear" w:color="auto" w:fill="FFFFFF" w:themeFill="background1"/>
                      <w:tabs>
                        <w:tab w:val="right" w:pos="9638"/>
                      </w:tabs>
                      <w:jc w:val="right"/>
                      <w:rPr>
                        <w:b/>
                        <w:sz w:val="18"/>
                      </w:rPr>
                    </w:pPr>
                    <w:r>
                      <w:tab/>
                    </w:r>
                    <w:r w:rsidRPr="00031229">
                      <w:rPr>
                        <w:b/>
                        <w:sz w:val="18"/>
                      </w:rPr>
                      <w:fldChar w:fldCharType="begin"/>
                    </w:r>
                    <w:r w:rsidRPr="00031229">
                      <w:rPr>
                        <w:b/>
                        <w:sz w:val="18"/>
                      </w:rPr>
                      <w:instrText xml:space="preserve"> PAGE  \* MERGEFORMAT </w:instrText>
                    </w:r>
                    <w:r w:rsidRPr="00031229">
                      <w:rPr>
                        <w:b/>
                        <w:sz w:val="18"/>
                      </w:rPr>
                      <w:fldChar w:fldCharType="separate"/>
                    </w:r>
                    <w:r w:rsidR="00B7258A">
                      <w:rPr>
                        <w:b/>
                        <w:noProof/>
                        <w:sz w:val="18"/>
                      </w:rPr>
                      <w:t>9</w:t>
                    </w:r>
                    <w:r w:rsidRPr="00031229">
                      <w:rPr>
                        <w:b/>
                        <w:sz w:val="18"/>
                      </w:rPr>
                      <w:fldChar w:fldCharType="end"/>
                    </w:r>
                  </w:p>
                  <w:p w:rsidR="00BF1FEB" w:rsidRDefault="00BF1FEB" w:rsidP="006D0E4A">
                    <w:pPr>
                      <w:shd w:val="clear" w:color="auto" w:fill="FFFFFF" w:themeFill="background1"/>
                      <w:jc w:val="right"/>
                    </w:pPr>
                  </w:p>
                </w:txbxContent>
              </v:textbox>
              <w10:wrap anchorx="margin" anchory="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7FD9D16" wp14:editId="278003D3">
              <wp:simplePos x="0" y="0"/>
              <wp:positionH relativeFrom="page">
                <wp:posOffset>10096500</wp:posOffset>
              </wp:positionH>
              <wp:positionV relativeFrom="margin">
                <wp:posOffset>304800</wp:posOffset>
              </wp:positionV>
              <wp:extent cx="219456" cy="6122822"/>
              <wp:effectExtent l="0" t="0" r="9525"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F1FEB" w:rsidRDefault="00BF1FEB" w:rsidP="006D0E4A">
                          <w:pPr>
                            <w:pStyle w:val="Header"/>
                            <w:jc w:val="right"/>
                          </w:pPr>
                          <w:r>
                            <w:t>ECE/CEP/2015/11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795pt;margin-top:24pt;width:17.3pt;height:482.1pt;z-index:2516715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" filled="f" stroked="f">
              <v:stroke joinstyle="round"/>
              <v:path arrowok="t"/>
              <v:textbox style="layout-flow:vertical" inset="0,0,0,0">
                <w:txbxContent>
                  <w:p w:rsidR="00BF1FEB" w:rsidRDefault="00BF1FEB" w:rsidP="006D0E4A">
                    <w:pPr>
                      <w:pStyle w:val="Header"/>
                      <w:jc w:val="right"/>
                    </w:pPr>
                    <w:r>
                      <w:t>ECE/CEP/2015/11</w:t>
                    </w:r>
                  </w:p>
                </w:txbxContent>
              </v:textbox>
              <w10:wrap anchorx="page"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EB" w:rsidRPr="00581BBB" w:rsidRDefault="00BF1FEB" w:rsidP="00581BBB">
    <w:pPr>
      <w:pStyle w:val="Header"/>
    </w:pPr>
    <w:r>
      <w:t>ECE/CEP/2015/11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EB" w:rsidRPr="00031229" w:rsidRDefault="00BF1FEB" w:rsidP="00690765">
    <w:pPr>
      <w:pStyle w:val="Header"/>
      <w:jc w:val="right"/>
    </w:pPr>
    <w:r>
      <w:t>ECE/CEP/2015/11</w:t>
    </w:r>
  </w:p>
  <w:p w:rsidR="00BF1FEB" w:rsidRPr="002060E8" w:rsidRDefault="00BF1FEB" w:rsidP="002060E8">
    <w:r>
      <w:rPr>
        <w:noProof/>
        <w:lang w:eastAsia="en-GB"/>
      </w:rPr>
      <mc:AlternateContent>
        <mc:Choice Requires="wps">
          <w:drawing>
            <wp:anchor distT="0" distB="0" distL="114300" distR="114300" simplePos="0" relativeHeight="251669504" behindDoc="0" locked="0" layoutInCell="1" allowOverlap="1" wp14:anchorId="1FE880F3" wp14:editId="35A7A5EC">
              <wp:simplePos x="0" y="0"/>
              <wp:positionH relativeFrom="page">
                <wp:posOffset>9791700</wp:posOffset>
              </wp:positionH>
              <wp:positionV relativeFrom="margin">
                <wp:posOffset>0</wp:posOffset>
              </wp:positionV>
              <wp:extent cx="215900" cy="61214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accent1"/>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F1FEB" w:rsidRPr="00031229" w:rsidRDefault="00BF1FEB" w:rsidP="00D651A4">
                          <w:pPr>
                            <w:pStyle w:val="Header"/>
                            <w:pBdr>
                              <w:bottom w:val="none" w:sz="0" w:space="0" w:color="auto"/>
                            </w:pBdr>
                            <w:shd w:val="clear" w:color="auto" w:fill="FFFFFF" w:themeFill="background1"/>
                            <w:jc w:val="right"/>
                          </w:pPr>
                          <w:r>
                            <w:t>ECE/CEP/2015/11</w:t>
                          </w:r>
                        </w:p>
                        <w:p w:rsidR="00BF1FEB" w:rsidRDefault="00BF1FEB" w:rsidP="00D651A4">
                          <w:pPr>
                            <w:shd w:val="clear" w:color="auto" w:fill="FFFFFF" w:themeFill="background1"/>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771pt;margin-top:0;width:17pt;height:482pt;z-index:2516695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" fillcolor="#4f81bd [3204]" stroked="f">
              <v:stroke joinstyle="round"/>
              <v:path arrowok="t"/>
              <v:textbox style="layout-flow:vertical" inset="0,0,0,0">
                <w:txbxContent>
                  <w:p w:rsidR="00E8318F" w:rsidRPr="00031229" w:rsidRDefault="00E8318F" w:rsidP="00D651A4">
                    <w:pPr>
                      <w:pStyle w:val="Header"/>
                      <w:pBdr>
                        <w:bottom w:val="none" w:sz="0" w:space="0" w:color="auto"/>
                      </w:pBdr>
                      <w:shd w:val="clear" w:color="auto" w:fill="FFFFFF" w:themeFill="background1"/>
                      <w:jc w:val="right"/>
                    </w:pPr>
                    <w:r>
                      <w:t>ECE/CEP/2015/11</w:t>
                    </w:r>
                  </w:p>
                  <w:p w:rsidR="00E8318F" w:rsidRDefault="00E8318F" w:rsidP="00D651A4">
                    <w:pPr>
                      <w:shd w:val="clear" w:color="auto" w:fill="FFFFFF" w:themeFill="background1"/>
                    </w:pP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29"/>
    <w:rsid w:val="00002A7D"/>
    <w:rsid w:val="000038A8"/>
    <w:rsid w:val="00004F5A"/>
    <w:rsid w:val="000058AF"/>
    <w:rsid w:val="00006790"/>
    <w:rsid w:val="000223E1"/>
    <w:rsid w:val="00027624"/>
    <w:rsid w:val="00031229"/>
    <w:rsid w:val="00050F6B"/>
    <w:rsid w:val="00053B80"/>
    <w:rsid w:val="00053CA9"/>
    <w:rsid w:val="0005422E"/>
    <w:rsid w:val="00056C2C"/>
    <w:rsid w:val="00065166"/>
    <w:rsid w:val="000678CD"/>
    <w:rsid w:val="00072C8C"/>
    <w:rsid w:val="0007539F"/>
    <w:rsid w:val="00081CE0"/>
    <w:rsid w:val="00084D30"/>
    <w:rsid w:val="00090320"/>
    <w:rsid w:val="000931C0"/>
    <w:rsid w:val="000A2E09"/>
    <w:rsid w:val="000B175B"/>
    <w:rsid w:val="000B3A0F"/>
    <w:rsid w:val="000D0F8A"/>
    <w:rsid w:val="000E0415"/>
    <w:rsid w:val="000E764B"/>
    <w:rsid w:val="000F4319"/>
    <w:rsid w:val="000F6338"/>
    <w:rsid w:val="000F7715"/>
    <w:rsid w:val="001030B4"/>
    <w:rsid w:val="001451CF"/>
    <w:rsid w:val="00156B99"/>
    <w:rsid w:val="00166124"/>
    <w:rsid w:val="00184DDA"/>
    <w:rsid w:val="001900CD"/>
    <w:rsid w:val="001974F8"/>
    <w:rsid w:val="001A0452"/>
    <w:rsid w:val="001B4B04"/>
    <w:rsid w:val="001B5875"/>
    <w:rsid w:val="001C2B7F"/>
    <w:rsid w:val="001C2FE3"/>
    <w:rsid w:val="001C4B9C"/>
    <w:rsid w:val="001C4D28"/>
    <w:rsid w:val="001C6663"/>
    <w:rsid w:val="001C7895"/>
    <w:rsid w:val="001D26DF"/>
    <w:rsid w:val="001E474C"/>
    <w:rsid w:val="001F1599"/>
    <w:rsid w:val="001F19C4"/>
    <w:rsid w:val="001F3AB6"/>
    <w:rsid w:val="002043F0"/>
    <w:rsid w:val="002060E8"/>
    <w:rsid w:val="00211E0B"/>
    <w:rsid w:val="00227125"/>
    <w:rsid w:val="00232575"/>
    <w:rsid w:val="002364CD"/>
    <w:rsid w:val="002415C1"/>
    <w:rsid w:val="00247258"/>
    <w:rsid w:val="00257CAC"/>
    <w:rsid w:val="0027237A"/>
    <w:rsid w:val="00291E29"/>
    <w:rsid w:val="00292614"/>
    <w:rsid w:val="002974E9"/>
    <w:rsid w:val="002A0BDB"/>
    <w:rsid w:val="002A7F94"/>
    <w:rsid w:val="002B109A"/>
    <w:rsid w:val="002C6D45"/>
    <w:rsid w:val="002D6E53"/>
    <w:rsid w:val="002F046D"/>
    <w:rsid w:val="002F0D57"/>
    <w:rsid w:val="002F7967"/>
    <w:rsid w:val="00301764"/>
    <w:rsid w:val="00301DE1"/>
    <w:rsid w:val="003229D8"/>
    <w:rsid w:val="00335F28"/>
    <w:rsid w:val="00336C97"/>
    <w:rsid w:val="00337F88"/>
    <w:rsid w:val="00342432"/>
    <w:rsid w:val="0035223F"/>
    <w:rsid w:val="00352D4B"/>
    <w:rsid w:val="0035638C"/>
    <w:rsid w:val="00361AE9"/>
    <w:rsid w:val="003672C4"/>
    <w:rsid w:val="0039322F"/>
    <w:rsid w:val="003A46BB"/>
    <w:rsid w:val="003A4EC7"/>
    <w:rsid w:val="003A7295"/>
    <w:rsid w:val="003B1F60"/>
    <w:rsid w:val="003C2CC4"/>
    <w:rsid w:val="003C752A"/>
    <w:rsid w:val="003D0B94"/>
    <w:rsid w:val="003D4B23"/>
    <w:rsid w:val="003D5CF6"/>
    <w:rsid w:val="003E278A"/>
    <w:rsid w:val="003E2FB4"/>
    <w:rsid w:val="003E732C"/>
    <w:rsid w:val="00407DC2"/>
    <w:rsid w:val="00411457"/>
    <w:rsid w:val="00413520"/>
    <w:rsid w:val="00415174"/>
    <w:rsid w:val="00416D3F"/>
    <w:rsid w:val="004325CB"/>
    <w:rsid w:val="00440A07"/>
    <w:rsid w:val="00447635"/>
    <w:rsid w:val="004549C8"/>
    <w:rsid w:val="00454AE7"/>
    <w:rsid w:val="0045753C"/>
    <w:rsid w:val="00462880"/>
    <w:rsid w:val="00476F24"/>
    <w:rsid w:val="004A2BAA"/>
    <w:rsid w:val="004C2A11"/>
    <w:rsid w:val="004C55B0"/>
    <w:rsid w:val="004E2FAD"/>
    <w:rsid w:val="004E5CA3"/>
    <w:rsid w:val="004F05A2"/>
    <w:rsid w:val="004F4A56"/>
    <w:rsid w:val="004F6BA0"/>
    <w:rsid w:val="00503BEA"/>
    <w:rsid w:val="00511975"/>
    <w:rsid w:val="0052363D"/>
    <w:rsid w:val="00533616"/>
    <w:rsid w:val="00535ABA"/>
    <w:rsid w:val="0053768B"/>
    <w:rsid w:val="005420F2"/>
    <w:rsid w:val="0054285C"/>
    <w:rsid w:val="00563D94"/>
    <w:rsid w:val="00570356"/>
    <w:rsid w:val="00581BBB"/>
    <w:rsid w:val="00584173"/>
    <w:rsid w:val="0058583A"/>
    <w:rsid w:val="00595520"/>
    <w:rsid w:val="005A165A"/>
    <w:rsid w:val="005A44B9"/>
    <w:rsid w:val="005A7B00"/>
    <w:rsid w:val="005B1BA0"/>
    <w:rsid w:val="005B2DC2"/>
    <w:rsid w:val="005B3DB3"/>
    <w:rsid w:val="005B7BD6"/>
    <w:rsid w:val="005D15CA"/>
    <w:rsid w:val="005F3066"/>
    <w:rsid w:val="005F3E61"/>
    <w:rsid w:val="005F656B"/>
    <w:rsid w:val="00604DDD"/>
    <w:rsid w:val="006115CC"/>
    <w:rsid w:val="00611FC4"/>
    <w:rsid w:val="006176FB"/>
    <w:rsid w:val="00630FCB"/>
    <w:rsid w:val="00640B26"/>
    <w:rsid w:val="00657610"/>
    <w:rsid w:val="00676A56"/>
    <w:rsid w:val="006770B2"/>
    <w:rsid w:val="0068278C"/>
    <w:rsid w:val="00690765"/>
    <w:rsid w:val="00692ED5"/>
    <w:rsid w:val="006940E1"/>
    <w:rsid w:val="006957BA"/>
    <w:rsid w:val="006A3C72"/>
    <w:rsid w:val="006A7392"/>
    <w:rsid w:val="006B03A1"/>
    <w:rsid w:val="006B253C"/>
    <w:rsid w:val="006B67D9"/>
    <w:rsid w:val="006C5535"/>
    <w:rsid w:val="006D0589"/>
    <w:rsid w:val="006D0E4A"/>
    <w:rsid w:val="006D6D8F"/>
    <w:rsid w:val="006E564B"/>
    <w:rsid w:val="006E7154"/>
    <w:rsid w:val="007003CD"/>
    <w:rsid w:val="0070701E"/>
    <w:rsid w:val="00717FD8"/>
    <w:rsid w:val="00720278"/>
    <w:rsid w:val="0072632A"/>
    <w:rsid w:val="007358E8"/>
    <w:rsid w:val="00736ECE"/>
    <w:rsid w:val="00741F9C"/>
    <w:rsid w:val="0074533B"/>
    <w:rsid w:val="007643BC"/>
    <w:rsid w:val="0077395B"/>
    <w:rsid w:val="007959FE"/>
    <w:rsid w:val="007A0CF1"/>
    <w:rsid w:val="007A7353"/>
    <w:rsid w:val="007B6BA5"/>
    <w:rsid w:val="007C3390"/>
    <w:rsid w:val="007C42D8"/>
    <w:rsid w:val="007C4F4B"/>
    <w:rsid w:val="007D7362"/>
    <w:rsid w:val="007E28EC"/>
    <w:rsid w:val="007F5CE2"/>
    <w:rsid w:val="007F6611"/>
    <w:rsid w:val="008015E6"/>
    <w:rsid w:val="00810BAC"/>
    <w:rsid w:val="008168CF"/>
    <w:rsid w:val="008175E9"/>
    <w:rsid w:val="008242D7"/>
    <w:rsid w:val="0082577B"/>
    <w:rsid w:val="008342BA"/>
    <w:rsid w:val="00842496"/>
    <w:rsid w:val="008456AA"/>
    <w:rsid w:val="00847CDD"/>
    <w:rsid w:val="00865537"/>
    <w:rsid w:val="00866893"/>
    <w:rsid w:val="00866F02"/>
    <w:rsid w:val="00867D18"/>
    <w:rsid w:val="00871F9A"/>
    <w:rsid w:val="00871FD5"/>
    <w:rsid w:val="00873511"/>
    <w:rsid w:val="0088172E"/>
    <w:rsid w:val="00881EFA"/>
    <w:rsid w:val="008879CB"/>
    <w:rsid w:val="00891034"/>
    <w:rsid w:val="008979B1"/>
    <w:rsid w:val="008A6B25"/>
    <w:rsid w:val="008A6C4F"/>
    <w:rsid w:val="008B389E"/>
    <w:rsid w:val="008B7601"/>
    <w:rsid w:val="008D045E"/>
    <w:rsid w:val="008D3F25"/>
    <w:rsid w:val="008D4D82"/>
    <w:rsid w:val="008E0E46"/>
    <w:rsid w:val="008E7116"/>
    <w:rsid w:val="008E7124"/>
    <w:rsid w:val="008F143B"/>
    <w:rsid w:val="008F3882"/>
    <w:rsid w:val="008F4B7C"/>
    <w:rsid w:val="008F7ADA"/>
    <w:rsid w:val="00926E47"/>
    <w:rsid w:val="0093645E"/>
    <w:rsid w:val="009410F0"/>
    <w:rsid w:val="00947162"/>
    <w:rsid w:val="009610D0"/>
    <w:rsid w:val="0096375C"/>
    <w:rsid w:val="009662E6"/>
    <w:rsid w:val="0097095E"/>
    <w:rsid w:val="00972FA2"/>
    <w:rsid w:val="00982B17"/>
    <w:rsid w:val="0098592B"/>
    <w:rsid w:val="00985A21"/>
    <w:rsid w:val="00985FC4"/>
    <w:rsid w:val="00990766"/>
    <w:rsid w:val="00991261"/>
    <w:rsid w:val="009964C4"/>
    <w:rsid w:val="009A7847"/>
    <w:rsid w:val="009A7B81"/>
    <w:rsid w:val="009D01C0"/>
    <w:rsid w:val="009D6A08"/>
    <w:rsid w:val="009E0A16"/>
    <w:rsid w:val="009E6CB7"/>
    <w:rsid w:val="009E73F2"/>
    <w:rsid w:val="009E7970"/>
    <w:rsid w:val="009F11CE"/>
    <w:rsid w:val="009F2EAC"/>
    <w:rsid w:val="009F57E3"/>
    <w:rsid w:val="00A10F4F"/>
    <w:rsid w:val="00A11067"/>
    <w:rsid w:val="00A1704A"/>
    <w:rsid w:val="00A3622E"/>
    <w:rsid w:val="00A425EB"/>
    <w:rsid w:val="00A44CD8"/>
    <w:rsid w:val="00A72F22"/>
    <w:rsid w:val="00A733BC"/>
    <w:rsid w:val="00A748A6"/>
    <w:rsid w:val="00A76A69"/>
    <w:rsid w:val="00A76F09"/>
    <w:rsid w:val="00A879A4"/>
    <w:rsid w:val="00A87E3D"/>
    <w:rsid w:val="00A9137A"/>
    <w:rsid w:val="00AA0853"/>
    <w:rsid w:val="00AA0FF8"/>
    <w:rsid w:val="00AC0E53"/>
    <w:rsid w:val="00AC0F2C"/>
    <w:rsid w:val="00AC502A"/>
    <w:rsid w:val="00AC604A"/>
    <w:rsid w:val="00AD52E5"/>
    <w:rsid w:val="00AF3961"/>
    <w:rsid w:val="00AF58C1"/>
    <w:rsid w:val="00B04A3F"/>
    <w:rsid w:val="00B06643"/>
    <w:rsid w:val="00B13CBC"/>
    <w:rsid w:val="00B14649"/>
    <w:rsid w:val="00B15055"/>
    <w:rsid w:val="00B30179"/>
    <w:rsid w:val="00B37B15"/>
    <w:rsid w:val="00B45C02"/>
    <w:rsid w:val="00B54912"/>
    <w:rsid w:val="00B602F5"/>
    <w:rsid w:val="00B61B8D"/>
    <w:rsid w:val="00B7258A"/>
    <w:rsid w:val="00B72A1E"/>
    <w:rsid w:val="00B754CC"/>
    <w:rsid w:val="00B803D8"/>
    <w:rsid w:val="00B81E12"/>
    <w:rsid w:val="00B821E5"/>
    <w:rsid w:val="00BA339B"/>
    <w:rsid w:val="00BA667E"/>
    <w:rsid w:val="00BB0221"/>
    <w:rsid w:val="00BC1E7E"/>
    <w:rsid w:val="00BC5C98"/>
    <w:rsid w:val="00BC74E9"/>
    <w:rsid w:val="00BC7F91"/>
    <w:rsid w:val="00BD0A44"/>
    <w:rsid w:val="00BE36A9"/>
    <w:rsid w:val="00BE618E"/>
    <w:rsid w:val="00BE7B7F"/>
    <w:rsid w:val="00BE7BEC"/>
    <w:rsid w:val="00BF0A5A"/>
    <w:rsid w:val="00BF0E63"/>
    <w:rsid w:val="00BF12A3"/>
    <w:rsid w:val="00BF16D7"/>
    <w:rsid w:val="00BF1FEB"/>
    <w:rsid w:val="00BF2373"/>
    <w:rsid w:val="00BF24CD"/>
    <w:rsid w:val="00BF62EB"/>
    <w:rsid w:val="00C03054"/>
    <w:rsid w:val="00C044E2"/>
    <w:rsid w:val="00C048CB"/>
    <w:rsid w:val="00C066F3"/>
    <w:rsid w:val="00C07368"/>
    <w:rsid w:val="00C25C23"/>
    <w:rsid w:val="00C330AD"/>
    <w:rsid w:val="00C43B76"/>
    <w:rsid w:val="00C463DD"/>
    <w:rsid w:val="00C572D6"/>
    <w:rsid w:val="00C62E85"/>
    <w:rsid w:val="00C745C3"/>
    <w:rsid w:val="00C81292"/>
    <w:rsid w:val="00C83246"/>
    <w:rsid w:val="00C84134"/>
    <w:rsid w:val="00C92DEA"/>
    <w:rsid w:val="00C95A90"/>
    <w:rsid w:val="00CA24A4"/>
    <w:rsid w:val="00CB136B"/>
    <w:rsid w:val="00CB348D"/>
    <w:rsid w:val="00CC6A37"/>
    <w:rsid w:val="00CD46F5"/>
    <w:rsid w:val="00CE4A8F"/>
    <w:rsid w:val="00CF071D"/>
    <w:rsid w:val="00CF320C"/>
    <w:rsid w:val="00CF637E"/>
    <w:rsid w:val="00D012DB"/>
    <w:rsid w:val="00D10D58"/>
    <w:rsid w:val="00D15B04"/>
    <w:rsid w:val="00D2031B"/>
    <w:rsid w:val="00D25FE2"/>
    <w:rsid w:val="00D30C9B"/>
    <w:rsid w:val="00D336A2"/>
    <w:rsid w:val="00D35E01"/>
    <w:rsid w:val="00D37DA9"/>
    <w:rsid w:val="00D406A7"/>
    <w:rsid w:val="00D40905"/>
    <w:rsid w:val="00D43252"/>
    <w:rsid w:val="00D44D86"/>
    <w:rsid w:val="00D50B7D"/>
    <w:rsid w:val="00D52012"/>
    <w:rsid w:val="00D651A4"/>
    <w:rsid w:val="00D704E5"/>
    <w:rsid w:val="00D72727"/>
    <w:rsid w:val="00D840A7"/>
    <w:rsid w:val="00D910D6"/>
    <w:rsid w:val="00D978C6"/>
    <w:rsid w:val="00DA0956"/>
    <w:rsid w:val="00DA357F"/>
    <w:rsid w:val="00DA3E12"/>
    <w:rsid w:val="00DA5A03"/>
    <w:rsid w:val="00DB3802"/>
    <w:rsid w:val="00DC18AD"/>
    <w:rsid w:val="00DC39CB"/>
    <w:rsid w:val="00DC701A"/>
    <w:rsid w:val="00DD0DF9"/>
    <w:rsid w:val="00DE0B92"/>
    <w:rsid w:val="00DE1E2E"/>
    <w:rsid w:val="00DF0CF3"/>
    <w:rsid w:val="00DF1701"/>
    <w:rsid w:val="00DF7CAE"/>
    <w:rsid w:val="00E423C0"/>
    <w:rsid w:val="00E442CE"/>
    <w:rsid w:val="00E55A6B"/>
    <w:rsid w:val="00E6414C"/>
    <w:rsid w:val="00E66F16"/>
    <w:rsid w:val="00E7260F"/>
    <w:rsid w:val="00E74173"/>
    <w:rsid w:val="00E8318F"/>
    <w:rsid w:val="00E8702D"/>
    <w:rsid w:val="00E916A9"/>
    <w:rsid w:val="00E916DE"/>
    <w:rsid w:val="00E91D0C"/>
    <w:rsid w:val="00E923AF"/>
    <w:rsid w:val="00E925AD"/>
    <w:rsid w:val="00E96630"/>
    <w:rsid w:val="00EA45F7"/>
    <w:rsid w:val="00EA5089"/>
    <w:rsid w:val="00EA53E5"/>
    <w:rsid w:val="00EC045E"/>
    <w:rsid w:val="00EC52FB"/>
    <w:rsid w:val="00ED18DC"/>
    <w:rsid w:val="00ED6201"/>
    <w:rsid w:val="00ED7A2A"/>
    <w:rsid w:val="00EF1D7F"/>
    <w:rsid w:val="00EF4423"/>
    <w:rsid w:val="00F0137E"/>
    <w:rsid w:val="00F0293A"/>
    <w:rsid w:val="00F21786"/>
    <w:rsid w:val="00F3742B"/>
    <w:rsid w:val="00F41FDB"/>
    <w:rsid w:val="00F42C7F"/>
    <w:rsid w:val="00F46BEB"/>
    <w:rsid w:val="00F471DD"/>
    <w:rsid w:val="00F507EC"/>
    <w:rsid w:val="00F56D63"/>
    <w:rsid w:val="00F609A9"/>
    <w:rsid w:val="00F80C99"/>
    <w:rsid w:val="00F867EC"/>
    <w:rsid w:val="00F91B2B"/>
    <w:rsid w:val="00FB2D40"/>
    <w:rsid w:val="00FC03CD"/>
    <w:rsid w:val="00FC0646"/>
    <w:rsid w:val="00FC68B7"/>
    <w:rsid w:val="00FD5BC8"/>
    <w:rsid w:val="00FD5D49"/>
    <w:rsid w:val="00FE6985"/>
    <w:rsid w:val="00FF17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0312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31229"/>
    <w:rPr>
      <w:rFonts w:ascii="Tahoma" w:hAnsi="Tahoma" w:cs="Tahoma"/>
      <w:sz w:val="16"/>
      <w:szCs w:val="16"/>
      <w:lang w:eastAsia="en-US"/>
    </w:rPr>
  </w:style>
  <w:style w:type="character" w:customStyle="1" w:styleId="FootnoteTextChar">
    <w:name w:val="Footnote Text Char"/>
    <w:aliases w:val="5_G Char,Fußnote Char,Footnote Text Char Char Char,single space Char,footnote text Char"/>
    <w:link w:val="FootnoteText"/>
    <w:rsid w:val="00031229"/>
    <w:rPr>
      <w:sz w:val="18"/>
      <w:lang w:eastAsia="en-US"/>
    </w:rPr>
  </w:style>
  <w:style w:type="character" w:customStyle="1" w:styleId="H1GChar">
    <w:name w:val="_ H_1_G Char"/>
    <w:link w:val="H1G"/>
    <w:rsid w:val="00031229"/>
    <w:rPr>
      <w:b/>
      <w:sz w:val="24"/>
      <w:lang w:eastAsia="en-US"/>
    </w:rPr>
  </w:style>
  <w:style w:type="character" w:customStyle="1" w:styleId="SingleTxtGChar">
    <w:name w:val="_ Single Txt_G Char"/>
    <w:link w:val="SingleTxtG"/>
    <w:rsid w:val="00031229"/>
    <w:rPr>
      <w:lang w:eastAsia="en-US"/>
    </w:rPr>
  </w:style>
  <w:style w:type="character" w:customStyle="1" w:styleId="FooterChar">
    <w:name w:val="Footer Char"/>
    <w:aliases w:val="3_G Char"/>
    <w:basedOn w:val="DefaultParagraphFont"/>
    <w:link w:val="Footer"/>
    <w:uiPriority w:val="99"/>
    <w:rsid w:val="001F3AB6"/>
    <w:rPr>
      <w:sz w:val="16"/>
      <w:lang w:eastAsia="en-US"/>
    </w:rPr>
  </w:style>
  <w:style w:type="character" w:customStyle="1" w:styleId="HeaderChar">
    <w:name w:val="Header Char"/>
    <w:aliases w:val="6_G Char"/>
    <w:basedOn w:val="DefaultParagraphFont"/>
    <w:link w:val="Header"/>
    <w:rsid w:val="001974F8"/>
    <w:rPr>
      <w:b/>
      <w:sz w:val="18"/>
      <w:lang w:eastAsia="en-US"/>
    </w:rPr>
  </w:style>
  <w:style w:type="character" w:styleId="CommentReference">
    <w:name w:val="annotation reference"/>
    <w:basedOn w:val="DefaultParagraphFont"/>
    <w:rsid w:val="00DD0DF9"/>
    <w:rPr>
      <w:sz w:val="16"/>
      <w:szCs w:val="16"/>
    </w:rPr>
  </w:style>
  <w:style w:type="paragraph" w:styleId="CommentText">
    <w:name w:val="annotation text"/>
    <w:basedOn w:val="Normal"/>
    <w:link w:val="CommentTextChar"/>
    <w:rsid w:val="00DD0DF9"/>
    <w:pPr>
      <w:spacing w:line="240" w:lineRule="auto"/>
    </w:pPr>
  </w:style>
  <w:style w:type="character" w:customStyle="1" w:styleId="CommentTextChar">
    <w:name w:val="Comment Text Char"/>
    <w:basedOn w:val="DefaultParagraphFont"/>
    <w:link w:val="CommentText"/>
    <w:rsid w:val="00DD0DF9"/>
    <w:rPr>
      <w:lang w:eastAsia="en-US"/>
    </w:rPr>
  </w:style>
  <w:style w:type="paragraph" w:styleId="CommentSubject">
    <w:name w:val="annotation subject"/>
    <w:basedOn w:val="CommentText"/>
    <w:next w:val="CommentText"/>
    <w:link w:val="CommentSubjectChar"/>
    <w:rsid w:val="00DD0DF9"/>
    <w:rPr>
      <w:b/>
      <w:bCs/>
    </w:rPr>
  </w:style>
  <w:style w:type="character" w:customStyle="1" w:styleId="CommentSubjectChar">
    <w:name w:val="Comment Subject Char"/>
    <w:basedOn w:val="CommentTextChar"/>
    <w:link w:val="CommentSubject"/>
    <w:rsid w:val="00DD0DF9"/>
    <w:rPr>
      <w:b/>
      <w:bCs/>
      <w:lang w:eastAsia="en-US"/>
    </w:rPr>
  </w:style>
  <w:style w:type="paragraph" w:styleId="Revision">
    <w:name w:val="Revision"/>
    <w:hidden/>
    <w:uiPriority w:val="99"/>
    <w:semiHidden/>
    <w:rsid w:val="00DD0DF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0312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31229"/>
    <w:rPr>
      <w:rFonts w:ascii="Tahoma" w:hAnsi="Tahoma" w:cs="Tahoma"/>
      <w:sz w:val="16"/>
      <w:szCs w:val="16"/>
      <w:lang w:eastAsia="en-US"/>
    </w:rPr>
  </w:style>
  <w:style w:type="character" w:customStyle="1" w:styleId="FootnoteTextChar">
    <w:name w:val="Footnote Text Char"/>
    <w:aliases w:val="5_G Char,Fußnote Char,Footnote Text Char Char Char,single space Char,footnote text Char"/>
    <w:link w:val="FootnoteText"/>
    <w:rsid w:val="00031229"/>
    <w:rPr>
      <w:sz w:val="18"/>
      <w:lang w:eastAsia="en-US"/>
    </w:rPr>
  </w:style>
  <w:style w:type="character" w:customStyle="1" w:styleId="H1GChar">
    <w:name w:val="_ H_1_G Char"/>
    <w:link w:val="H1G"/>
    <w:rsid w:val="00031229"/>
    <w:rPr>
      <w:b/>
      <w:sz w:val="24"/>
      <w:lang w:eastAsia="en-US"/>
    </w:rPr>
  </w:style>
  <w:style w:type="character" w:customStyle="1" w:styleId="SingleTxtGChar">
    <w:name w:val="_ Single Txt_G Char"/>
    <w:link w:val="SingleTxtG"/>
    <w:rsid w:val="00031229"/>
    <w:rPr>
      <w:lang w:eastAsia="en-US"/>
    </w:rPr>
  </w:style>
  <w:style w:type="character" w:customStyle="1" w:styleId="FooterChar">
    <w:name w:val="Footer Char"/>
    <w:aliases w:val="3_G Char"/>
    <w:basedOn w:val="DefaultParagraphFont"/>
    <w:link w:val="Footer"/>
    <w:uiPriority w:val="99"/>
    <w:rsid w:val="001F3AB6"/>
    <w:rPr>
      <w:sz w:val="16"/>
      <w:lang w:eastAsia="en-US"/>
    </w:rPr>
  </w:style>
  <w:style w:type="character" w:customStyle="1" w:styleId="HeaderChar">
    <w:name w:val="Header Char"/>
    <w:aliases w:val="6_G Char"/>
    <w:basedOn w:val="DefaultParagraphFont"/>
    <w:link w:val="Header"/>
    <w:rsid w:val="001974F8"/>
    <w:rPr>
      <w:b/>
      <w:sz w:val="18"/>
      <w:lang w:eastAsia="en-US"/>
    </w:rPr>
  </w:style>
  <w:style w:type="character" w:styleId="CommentReference">
    <w:name w:val="annotation reference"/>
    <w:basedOn w:val="DefaultParagraphFont"/>
    <w:rsid w:val="00DD0DF9"/>
    <w:rPr>
      <w:sz w:val="16"/>
      <w:szCs w:val="16"/>
    </w:rPr>
  </w:style>
  <w:style w:type="paragraph" w:styleId="CommentText">
    <w:name w:val="annotation text"/>
    <w:basedOn w:val="Normal"/>
    <w:link w:val="CommentTextChar"/>
    <w:rsid w:val="00DD0DF9"/>
    <w:pPr>
      <w:spacing w:line="240" w:lineRule="auto"/>
    </w:pPr>
  </w:style>
  <w:style w:type="character" w:customStyle="1" w:styleId="CommentTextChar">
    <w:name w:val="Comment Text Char"/>
    <w:basedOn w:val="DefaultParagraphFont"/>
    <w:link w:val="CommentText"/>
    <w:rsid w:val="00DD0DF9"/>
    <w:rPr>
      <w:lang w:eastAsia="en-US"/>
    </w:rPr>
  </w:style>
  <w:style w:type="paragraph" w:styleId="CommentSubject">
    <w:name w:val="annotation subject"/>
    <w:basedOn w:val="CommentText"/>
    <w:next w:val="CommentText"/>
    <w:link w:val="CommentSubjectChar"/>
    <w:rsid w:val="00DD0DF9"/>
    <w:rPr>
      <w:b/>
      <w:bCs/>
    </w:rPr>
  </w:style>
  <w:style w:type="character" w:customStyle="1" w:styleId="CommentSubjectChar">
    <w:name w:val="Comment Subject Char"/>
    <w:basedOn w:val="CommentTextChar"/>
    <w:link w:val="CommentSubject"/>
    <w:rsid w:val="00DD0DF9"/>
    <w:rPr>
      <w:b/>
      <w:bCs/>
      <w:lang w:eastAsia="en-US"/>
    </w:rPr>
  </w:style>
  <w:style w:type="paragraph" w:styleId="Revision">
    <w:name w:val="Revision"/>
    <w:hidden/>
    <w:uiPriority w:val="99"/>
    <w:semiHidden/>
    <w:rsid w:val="00DD0DF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2.xml"/><Relationship Id="rId25" Type="http://schemas.openxmlformats.org/officeDocument/2006/relationships/chart" Target="charts/chart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chart" Target="charts/chart1.xml"/><Relationship Id="rId19" Type="http://schemas.openxmlformats.org/officeDocument/2006/relationships/footer" Target="footer2.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5.xm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oter" Target="footer6.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index.php?id=399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ichuk\AppData\Roaming\Microsoft\Templates\ECE+PlainPage\ECE_E.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UNECE-DATA\DATA\GROUPS\Ehlm\Environmental%20Monitoring\WGEMA\16th%20follow-up,%20small%20group%20of%20WGEMA\Baseline_example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UNECE-DATA\DATA\GROUPS\Ehlm\Environmental%20Monitoring\WGEMA\16th%20follow-up,%20small%20group%20of%20WGEMA\Baseline_example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UNECE-DATA\DATA\GROUPS\Ehlm\Environmental%20Monitoring\WGEMA\16th%20follow-up,%20small%20group%20of%20WGEMA\Baseline_example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UNECE-DATA\DATA\GROUPS\Ehlm\Environmental%20Monitoring\WGEMA\16th%20follow-up,%20small%20group%20of%20WGEMA\Baseline_example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UNECE-DATA\DATA\GROUPS\Ehlm\Environmental%20Monitoring\WGEMA\16th%20follow-up,%20small%20group%20of%20WGEMA\Baseline_example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UNECE-DATA\DATA\GROUPS\Ehlm\Environmental%20Monitoring\WGEMA\16th%20follow-up,%20small%20group%20of%20WGEMA\Baseline_example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wyrowski\Documents\luki%20praca\Monitoring%20and%20assessment\WGEMA-17\for%20Am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wyrowski\Documents\luki%20praca\Monitoring%20and%20assessment\WGEMA-17\for%20Am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Sheet6!$AF$4</c:f>
          <c:strCache>
            <c:ptCount val="1"/>
            <c:pt idx="0">
              <c:v>Republic of Moldova</c:v>
            </c:pt>
          </c:strCache>
        </c:strRef>
      </c:tx>
      <c:overlay val="0"/>
      <c:txPr>
        <a:bodyPr/>
        <a:lstStyle/>
        <a:p>
          <a:pPr>
            <a:defRPr sz="1200"/>
          </a:pPr>
          <a:endParaRPr lang="en-US"/>
        </a:p>
      </c:txPr>
    </c:title>
    <c:autoTitleDeleted val="0"/>
    <c:plotArea>
      <c:layout/>
      <c:scatterChart>
        <c:scatterStyle val="lineMarker"/>
        <c:varyColors val="0"/>
        <c:ser>
          <c:idx val="0"/>
          <c:order val="0"/>
          <c:spPr>
            <a:ln w="28575">
              <a:solidFill>
                <a:srgbClr val="C00000"/>
              </a:solidFill>
            </a:ln>
          </c:spPr>
          <c:marker>
            <c:spPr>
              <a:solidFill>
                <a:srgbClr val="C00000"/>
              </a:solidFill>
            </c:spPr>
          </c:marker>
          <c:dPt>
            <c:idx val="1"/>
            <c:marker>
              <c:symbol val="diamond"/>
              <c:size val="11"/>
            </c:marker>
            <c:bubble3D val="0"/>
          </c:dPt>
          <c:xVal>
            <c:numRef>
              <c:f>Sheet6!$AG$4:$AG$6</c:f>
              <c:numCache>
                <c:formatCode>mmm\-yy</c:formatCode>
                <c:ptCount val="3"/>
                <c:pt idx="0">
                  <c:v>41883</c:v>
                </c:pt>
                <c:pt idx="1">
                  <c:v>42248</c:v>
                </c:pt>
                <c:pt idx="2">
                  <c:v>42614</c:v>
                </c:pt>
              </c:numCache>
            </c:numRef>
          </c:xVal>
          <c:yVal>
            <c:numRef>
              <c:f>Sheet6!$AH$4:$AH$6</c:f>
              <c:numCache>
                <c:formatCode>0%</c:formatCode>
                <c:ptCount val="3"/>
                <c:pt idx="1">
                  <c:v>0.76</c:v>
                </c:pt>
              </c:numCache>
            </c:numRef>
          </c:yVal>
          <c:smooth val="0"/>
        </c:ser>
        <c:dLbls>
          <c:showLegendKey val="0"/>
          <c:showVal val="0"/>
          <c:showCatName val="0"/>
          <c:showSerName val="0"/>
          <c:showPercent val="0"/>
          <c:showBubbleSize val="0"/>
        </c:dLbls>
        <c:axId val="147093696"/>
        <c:axId val="147094848"/>
      </c:scatterChart>
      <c:valAx>
        <c:axId val="147093696"/>
        <c:scaling>
          <c:orientation val="minMax"/>
          <c:max val="42614"/>
          <c:min val="41883"/>
        </c:scaling>
        <c:delete val="0"/>
        <c:axPos val="b"/>
        <c:numFmt formatCode="mmm\-yy" sourceLinked="1"/>
        <c:majorTickMark val="out"/>
        <c:minorTickMark val="none"/>
        <c:tickLblPos val="nextTo"/>
        <c:txPr>
          <a:bodyPr/>
          <a:lstStyle/>
          <a:p>
            <a:pPr>
              <a:defRPr sz="900"/>
            </a:pPr>
            <a:endParaRPr lang="en-US"/>
          </a:p>
        </c:txPr>
        <c:crossAx val="147094848"/>
        <c:crosses val="autoZero"/>
        <c:crossBetween val="midCat"/>
        <c:majorUnit val="365"/>
      </c:valAx>
      <c:valAx>
        <c:axId val="147094848"/>
        <c:scaling>
          <c:orientation val="minMax"/>
        </c:scaling>
        <c:delete val="0"/>
        <c:axPos val="l"/>
        <c:majorGridlines/>
        <c:numFmt formatCode="0%" sourceLinked="0"/>
        <c:majorTickMark val="out"/>
        <c:minorTickMark val="none"/>
        <c:tickLblPos val="nextTo"/>
        <c:txPr>
          <a:bodyPr/>
          <a:lstStyle/>
          <a:p>
            <a:pPr>
              <a:defRPr sz="900"/>
            </a:pPr>
            <a:endParaRPr lang="en-US"/>
          </a:p>
        </c:txPr>
        <c:crossAx val="147093696"/>
        <c:crosses val="autoZero"/>
        <c:crossBetween val="midCat"/>
        <c:majorUnit val="0.5"/>
      </c:valAx>
    </c:plotArea>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prstMaterial="matte">
      <a:bevelT w="63500" h="63500" prst="artDeco"/>
      <a:contourClr>
        <a:srgbClr val="000000"/>
      </a:contourClr>
    </a:sp3d>
  </c:spPr>
  <c:txPr>
    <a:bodyPr/>
    <a:lstStyle/>
    <a:p>
      <a:pPr>
        <a:defRPr>
          <a:solidFill>
            <a:schemeClr val="dk1"/>
          </a:solidFill>
          <a:latin typeface="+mn-lt"/>
          <a:ea typeface="+mn-ea"/>
          <a:cs typeface="+mn-cs"/>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Sheet6!$L$4</c:f>
          <c:strCache>
            <c:ptCount val="1"/>
            <c:pt idx="0">
              <c:v>Serbia</c:v>
            </c:pt>
          </c:strCache>
        </c:strRef>
      </c:tx>
      <c:overlay val="0"/>
      <c:txPr>
        <a:bodyPr/>
        <a:lstStyle/>
        <a:p>
          <a:pPr>
            <a:defRPr sz="1200"/>
          </a:pPr>
          <a:endParaRPr lang="en-US"/>
        </a:p>
      </c:txPr>
    </c:title>
    <c:autoTitleDeleted val="0"/>
    <c:plotArea>
      <c:layout/>
      <c:scatterChart>
        <c:scatterStyle val="lineMarker"/>
        <c:varyColors val="0"/>
        <c:ser>
          <c:idx val="0"/>
          <c:order val="0"/>
          <c:spPr>
            <a:ln w="28575">
              <a:solidFill>
                <a:srgbClr val="C00000"/>
              </a:solidFill>
            </a:ln>
          </c:spPr>
          <c:marker>
            <c:spPr>
              <a:solidFill>
                <a:srgbClr val="C00000"/>
              </a:solidFill>
            </c:spPr>
          </c:marker>
          <c:dPt>
            <c:idx val="1"/>
            <c:marker>
              <c:symbol val="diamond"/>
              <c:size val="11"/>
            </c:marker>
            <c:bubble3D val="0"/>
          </c:dPt>
          <c:xVal>
            <c:numRef>
              <c:f>Sheet6!$M$4:$M$6</c:f>
              <c:numCache>
                <c:formatCode>mmm\-yy</c:formatCode>
                <c:ptCount val="3"/>
                <c:pt idx="0">
                  <c:v>41883</c:v>
                </c:pt>
                <c:pt idx="1">
                  <c:v>42248</c:v>
                </c:pt>
                <c:pt idx="2">
                  <c:v>42614</c:v>
                </c:pt>
              </c:numCache>
            </c:numRef>
          </c:xVal>
          <c:yVal>
            <c:numRef>
              <c:f>Sheet6!$N$4:$N$6</c:f>
              <c:numCache>
                <c:formatCode>0%</c:formatCode>
                <c:ptCount val="3"/>
                <c:pt idx="1">
                  <c:v>0.66</c:v>
                </c:pt>
              </c:numCache>
            </c:numRef>
          </c:yVal>
          <c:smooth val="0"/>
        </c:ser>
        <c:dLbls>
          <c:showLegendKey val="0"/>
          <c:showVal val="0"/>
          <c:showCatName val="0"/>
          <c:showSerName val="0"/>
          <c:showPercent val="0"/>
          <c:showBubbleSize val="0"/>
        </c:dLbls>
        <c:axId val="147334848"/>
        <c:axId val="147336000"/>
      </c:scatterChart>
      <c:valAx>
        <c:axId val="147334848"/>
        <c:scaling>
          <c:orientation val="minMax"/>
          <c:max val="42614"/>
          <c:min val="41883"/>
        </c:scaling>
        <c:delete val="0"/>
        <c:axPos val="b"/>
        <c:numFmt formatCode="mmm\-yy" sourceLinked="1"/>
        <c:majorTickMark val="out"/>
        <c:minorTickMark val="none"/>
        <c:tickLblPos val="nextTo"/>
        <c:txPr>
          <a:bodyPr/>
          <a:lstStyle/>
          <a:p>
            <a:pPr>
              <a:defRPr sz="900"/>
            </a:pPr>
            <a:endParaRPr lang="en-US"/>
          </a:p>
        </c:txPr>
        <c:crossAx val="147336000"/>
        <c:crosses val="autoZero"/>
        <c:crossBetween val="midCat"/>
        <c:majorUnit val="365"/>
      </c:valAx>
      <c:valAx>
        <c:axId val="147336000"/>
        <c:scaling>
          <c:orientation val="minMax"/>
        </c:scaling>
        <c:delete val="0"/>
        <c:axPos val="l"/>
        <c:majorGridlines/>
        <c:numFmt formatCode="0%" sourceLinked="0"/>
        <c:majorTickMark val="out"/>
        <c:minorTickMark val="none"/>
        <c:tickLblPos val="nextTo"/>
        <c:txPr>
          <a:bodyPr/>
          <a:lstStyle/>
          <a:p>
            <a:pPr>
              <a:defRPr sz="900"/>
            </a:pPr>
            <a:endParaRPr lang="en-US"/>
          </a:p>
        </c:txPr>
        <c:crossAx val="147334848"/>
        <c:crosses val="autoZero"/>
        <c:crossBetween val="midCat"/>
        <c:majorUnit val="0.5"/>
      </c:valAx>
    </c:plotArea>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prstMaterial="matte">
      <a:bevelT w="63500" h="63500" prst="artDeco"/>
      <a:contourClr>
        <a:srgbClr val="000000"/>
      </a:contourClr>
    </a:sp3d>
  </c:spPr>
  <c:txPr>
    <a:bodyPr/>
    <a:lstStyle/>
    <a:p>
      <a:pPr>
        <a:defRPr>
          <a:solidFill>
            <a:schemeClr val="dk1"/>
          </a:solidFill>
          <a:latin typeface="+mn-lt"/>
          <a:ea typeface="+mn-ea"/>
          <a:cs typeface="+mn-cs"/>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Sheet6!$AA$4</c:f>
          <c:strCache>
            <c:ptCount val="1"/>
            <c:pt idx="0">
              <c:v>Switzerland</c:v>
            </c:pt>
          </c:strCache>
        </c:strRef>
      </c:tx>
      <c:overlay val="0"/>
      <c:txPr>
        <a:bodyPr/>
        <a:lstStyle/>
        <a:p>
          <a:pPr>
            <a:defRPr sz="1200"/>
          </a:pPr>
          <a:endParaRPr lang="en-US"/>
        </a:p>
      </c:txPr>
    </c:title>
    <c:autoTitleDeleted val="0"/>
    <c:plotArea>
      <c:layout/>
      <c:scatterChart>
        <c:scatterStyle val="lineMarker"/>
        <c:varyColors val="0"/>
        <c:ser>
          <c:idx val="0"/>
          <c:order val="0"/>
          <c:spPr>
            <a:ln w="28575">
              <a:solidFill>
                <a:srgbClr val="C00000"/>
              </a:solidFill>
            </a:ln>
          </c:spPr>
          <c:marker>
            <c:spPr>
              <a:solidFill>
                <a:srgbClr val="C00000"/>
              </a:solidFill>
            </c:spPr>
          </c:marker>
          <c:dPt>
            <c:idx val="1"/>
            <c:marker>
              <c:symbol val="diamond"/>
              <c:size val="11"/>
            </c:marker>
            <c:bubble3D val="0"/>
          </c:dPt>
          <c:xVal>
            <c:numRef>
              <c:f>Sheet6!$AB$4:$AB$6</c:f>
              <c:numCache>
                <c:formatCode>mmm\-yy</c:formatCode>
                <c:ptCount val="3"/>
                <c:pt idx="0">
                  <c:v>41883</c:v>
                </c:pt>
                <c:pt idx="1">
                  <c:v>42248</c:v>
                </c:pt>
                <c:pt idx="2">
                  <c:v>42614</c:v>
                </c:pt>
              </c:numCache>
            </c:numRef>
          </c:xVal>
          <c:yVal>
            <c:numRef>
              <c:f>Sheet6!$AC$4:$AC$6</c:f>
              <c:numCache>
                <c:formatCode>0%</c:formatCode>
                <c:ptCount val="3"/>
                <c:pt idx="1">
                  <c:v>0.66</c:v>
                </c:pt>
              </c:numCache>
            </c:numRef>
          </c:yVal>
          <c:smooth val="0"/>
        </c:ser>
        <c:dLbls>
          <c:showLegendKey val="0"/>
          <c:showVal val="0"/>
          <c:showCatName val="0"/>
          <c:showSerName val="0"/>
          <c:showPercent val="0"/>
          <c:showBubbleSize val="0"/>
        </c:dLbls>
        <c:axId val="149324352"/>
        <c:axId val="149324928"/>
      </c:scatterChart>
      <c:valAx>
        <c:axId val="149324352"/>
        <c:scaling>
          <c:orientation val="minMax"/>
          <c:max val="42614"/>
          <c:min val="41883"/>
        </c:scaling>
        <c:delete val="0"/>
        <c:axPos val="b"/>
        <c:numFmt formatCode="mmm\-yy" sourceLinked="1"/>
        <c:majorTickMark val="out"/>
        <c:minorTickMark val="none"/>
        <c:tickLblPos val="nextTo"/>
        <c:txPr>
          <a:bodyPr/>
          <a:lstStyle/>
          <a:p>
            <a:pPr>
              <a:defRPr sz="900"/>
            </a:pPr>
            <a:endParaRPr lang="en-US"/>
          </a:p>
        </c:txPr>
        <c:crossAx val="149324928"/>
        <c:crosses val="autoZero"/>
        <c:crossBetween val="midCat"/>
        <c:majorUnit val="365"/>
      </c:valAx>
      <c:valAx>
        <c:axId val="149324928"/>
        <c:scaling>
          <c:orientation val="minMax"/>
        </c:scaling>
        <c:delete val="0"/>
        <c:axPos val="l"/>
        <c:majorGridlines/>
        <c:numFmt formatCode="0%" sourceLinked="0"/>
        <c:majorTickMark val="out"/>
        <c:minorTickMark val="none"/>
        <c:tickLblPos val="nextTo"/>
        <c:txPr>
          <a:bodyPr/>
          <a:lstStyle/>
          <a:p>
            <a:pPr>
              <a:defRPr sz="900"/>
            </a:pPr>
            <a:endParaRPr lang="en-US"/>
          </a:p>
        </c:txPr>
        <c:crossAx val="149324352"/>
        <c:crosses val="autoZero"/>
        <c:crossBetween val="midCat"/>
        <c:majorUnit val="0.5"/>
      </c:valAx>
    </c:plotArea>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prstMaterial="matte">
      <a:bevelT w="63500" h="63500" prst="artDeco"/>
      <a:contourClr>
        <a:srgbClr val="000000"/>
      </a:contourClr>
    </a:sp3d>
  </c:spPr>
  <c:txPr>
    <a:bodyPr/>
    <a:lstStyle/>
    <a:p>
      <a:pPr>
        <a:defRPr>
          <a:solidFill>
            <a:schemeClr val="dk1"/>
          </a:solidFill>
          <a:latin typeface="+mn-lt"/>
          <a:ea typeface="+mn-ea"/>
          <a:cs typeface="+mn-cs"/>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Sheet6!$Q$4</c:f>
          <c:strCache>
            <c:ptCount val="1"/>
            <c:pt idx="0">
              <c:v>Italy</c:v>
            </c:pt>
          </c:strCache>
        </c:strRef>
      </c:tx>
      <c:overlay val="0"/>
      <c:txPr>
        <a:bodyPr/>
        <a:lstStyle/>
        <a:p>
          <a:pPr>
            <a:defRPr sz="1200"/>
          </a:pPr>
          <a:endParaRPr lang="en-US"/>
        </a:p>
      </c:txPr>
    </c:title>
    <c:autoTitleDeleted val="0"/>
    <c:plotArea>
      <c:layout/>
      <c:scatterChart>
        <c:scatterStyle val="lineMarker"/>
        <c:varyColors val="0"/>
        <c:ser>
          <c:idx val="0"/>
          <c:order val="0"/>
          <c:spPr>
            <a:ln w="28575">
              <a:solidFill>
                <a:srgbClr val="C00000"/>
              </a:solidFill>
            </a:ln>
          </c:spPr>
          <c:marker>
            <c:spPr>
              <a:solidFill>
                <a:srgbClr val="C00000"/>
              </a:solidFill>
            </c:spPr>
          </c:marker>
          <c:dPt>
            <c:idx val="1"/>
            <c:marker>
              <c:symbol val="diamond"/>
              <c:size val="11"/>
            </c:marker>
            <c:bubble3D val="0"/>
          </c:dPt>
          <c:xVal>
            <c:numRef>
              <c:f>Sheet6!$R$4:$R$6</c:f>
              <c:numCache>
                <c:formatCode>mmm\-yy</c:formatCode>
                <c:ptCount val="3"/>
                <c:pt idx="0">
                  <c:v>41883</c:v>
                </c:pt>
                <c:pt idx="1">
                  <c:v>42248</c:v>
                </c:pt>
                <c:pt idx="2">
                  <c:v>42614</c:v>
                </c:pt>
              </c:numCache>
            </c:numRef>
          </c:xVal>
          <c:yVal>
            <c:numRef>
              <c:f>Sheet6!$S$4:$S$6</c:f>
              <c:numCache>
                <c:formatCode>0%</c:formatCode>
                <c:ptCount val="3"/>
                <c:pt idx="1">
                  <c:v>0.68</c:v>
                </c:pt>
              </c:numCache>
            </c:numRef>
          </c:yVal>
          <c:smooth val="0"/>
        </c:ser>
        <c:dLbls>
          <c:showLegendKey val="0"/>
          <c:showVal val="0"/>
          <c:showCatName val="0"/>
          <c:showSerName val="0"/>
          <c:showPercent val="0"/>
          <c:showBubbleSize val="0"/>
        </c:dLbls>
        <c:axId val="155747456"/>
        <c:axId val="155748608"/>
      </c:scatterChart>
      <c:valAx>
        <c:axId val="155747456"/>
        <c:scaling>
          <c:orientation val="minMax"/>
          <c:max val="42614"/>
          <c:min val="41883"/>
        </c:scaling>
        <c:delete val="0"/>
        <c:axPos val="b"/>
        <c:numFmt formatCode="mmm\-yy" sourceLinked="1"/>
        <c:majorTickMark val="out"/>
        <c:minorTickMark val="none"/>
        <c:tickLblPos val="nextTo"/>
        <c:txPr>
          <a:bodyPr/>
          <a:lstStyle/>
          <a:p>
            <a:pPr>
              <a:defRPr sz="900"/>
            </a:pPr>
            <a:endParaRPr lang="en-US"/>
          </a:p>
        </c:txPr>
        <c:crossAx val="155748608"/>
        <c:crosses val="autoZero"/>
        <c:crossBetween val="midCat"/>
        <c:majorUnit val="365"/>
      </c:valAx>
      <c:valAx>
        <c:axId val="155748608"/>
        <c:scaling>
          <c:orientation val="minMax"/>
        </c:scaling>
        <c:delete val="0"/>
        <c:axPos val="l"/>
        <c:majorGridlines/>
        <c:numFmt formatCode="0%" sourceLinked="0"/>
        <c:majorTickMark val="out"/>
        <c:minorTickMark val="none"/>
        <c:tickLblPos val="nextTo"/>
        <c:txPr>
          <a:bodyPr/>
          <a:lstStyle/>
          <a:p>
            <a:pPr>
              <a:defRPr sz="900"/>
            </a:pPr>
            <a:endParaRPr lang="en-US"/>
          </a:p>
        </c:txPr>
        <c:crossAx val="155747456"/>
        <c:crosses val="autoZero"/>
        <c:crossBetween val="midCat"/>
        <c:majorUnit val="0.5"/>
      </c:valAx>
    </c:plotArea>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prstMaterial="matte">
      <a:bevelT w="63500" h="63500" prst="artDeco"/>
      <a:contourClr>
        <a:srgbClr val="000000"/>
      </a:contourClr>
    </a:sp3d>
  </c:spPr>
  <c:txPr>
    <a:bodyPr/>
    <a:lstStyle/>
    <a:p>
      <a:pPr>
        <a:defRPr>
          <a:solidFill>
            <a:schemeClr val="dk1"/>
          </a:solidFill>
          <a:latin typeface="+mn-lt"/>
          <a:ea typeface="+mn-ea"/>
          <a:cs typeface="+mn-cs"/>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Sheet6!$V$4</c:f>
          <c:strCache>
            <c:ptCount val="1"/>
            <c:pt idx="0">
              <c:v>Azerbaijan</c:v>
            </c:pt>
          </c:strCache>
        </c:strRef>
      </c:tx>
      <c:overlay val="0"/>
      <c:txPr>
        <a:bodyPr/>
        <a:lstStyle/>
        <a:p>
          <a:pPr>
            <a:defRPr sz="1200"/>
          </a:pPr>
          <a:endParaRPr lang="en-US"/>
        </a:p>
      </c:txPr>
    </c:title>
    <c:autoTitleDeleted val="0"/>
    <c:plotArea>
      <c:layout/>
      <c:scatterChart>
        <c:scatterStyle val="lineMarker"/>
        <c:varyColors val="0"/>
        <c:ser>
          <c:idx val="0"/>
          <c:order val="0"/>
          <c:spPr>
            <a:ln w="28575">
              <a:solidFill>
                <a:srgbClr val="C00000"/>
              </a:solidFill>
            </a:ln>
          </c:spPr>
          <c:marker>
            <c:spPr>
              <a:solidFill>
                <a:srgbClr val="C00000"/>
              </a:solidFill>
            </c:spPr>
          </c:marker>
          <c:dPt>
            <c:idx val="1"/>
            <c:marker>
              <c:symbol val="diamond"/>
              <c:size val="11"/>
            </c:marker>
            <c:bubble3D val="0"/>
          </c:dPt>
          <c:xVal>
            <c:numRef>
              <c:f>Sheet6!$W$4:$W$6</c:f>
              <c:numCache>
                <c:formatCode>mmm\-yy</c:formatCode>
                <c:ptCount val="3"/>
                <c:pt idx="0">
                  <c:v>41883</c:v>
                </c:pt>
                <c:pt idx="1">
                  <c:v>42248</c:v>
                </c:pt>
                <c:pt idx="2">
                  <c:v>42614</c:v>
                </c:pt>
              </c:numCache>
            </c:numRef>
          </c:xVal>
          <c:yVal>
            <c:numRef>
              <c:f>Sheet6!$X$4:$X$6</c:f>
              <c:numCache>
                <c:formatCode>0%</c:formatCode>
                <c:ptCount val="3"/>
                <c:pt idx="1">
                  <c:v>0.66</c:v>
                </c:pt>
              </c:numCache>
            </c:numRef>
          </c:yVal>
          <c:smooth val="0"/>
        </c:ser>
        <c:dLbls>
          <c:showLegendKey val="0"/>
          <c:showVal val="0"/>
          <c:showCatName val="0"/>
          <c:showSerName val="0"/>
          <c:showPercent val="0"/>
          <c:showBubbleSize val="0"/>
        </c:dLbls>
        <c:axId val="236675072"/>
        <c:axId val="236675648"/>
      </c:scatterChart>
      <c:valAx>
        <c:axId val="236675072"/>
        <c:scaling>
          <c:orientation val="minMax"/>
          <c:max val="42614"/>
          <c:min val="41883"/>
        </c:scaling>
        <c:delete val="0"/>
        <c:axPos val="b"/>
        <c:numFmt formatCode="mmm\-yy" sourceLinked="1"/>
        <c:majorTickMark val="out"/>
        <c:minorTickMark val="none"/>
        <c:tickLblPos val="nextTo"/>
        <c:txPr>
          <a:bodyPr/>
          <a:lstStyle/>
          <a:p>
            <a:pPr>
              <a:defRPr sz="900"/>
            </a:pPr>
            <a:endParaRPr lang="en-US"/>
          </a:p>
        </c:txPr>
        <c:crossAx val="236675648"/>
        <c:crosses val="autoZero"/>
        <c:crossBetween val="midCat"/>
        <c:majorUnit val="365"/>
      </c:valAx>
      <c:valAx>
        <c:axId val="236675648"/>
        <c:scaling>
          <c:orientation val="minMax"/>
        </c:scaling>
        <c:delete val="0"/>
        <c:axPos val="l"/>
        <c:majorGridlines/>
        <c:numFmt formatCode="0%" sourceLinked="0"/>
        <c:majorTickMark val="out"/>
        <c:minorTickMark val="none"/>
        <c:tickLblPos val="nextTo"/>
        <c:txPr>
          <a:bodyPr/>
          <a:lstStyle/>
          <a:p>
            <a:pPr>
              <a:defRPr sz="900"/>
            </a:pPr>
            <a:endParaRPr lang="en-US"/>
          </a:p>
        </c:txPr>
        <c:crossAx val="236675072"/>
        <c:crosses val="autoZero"/>
        <c:crossBetween val="midCat"/>
        <c:majorUnit val="0.5"/>
      </c:valAx>
    </c:plotArea>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prstMaterial="matte">
      <a:bevelT w="63500" h="63500" prst="artDeco"/>
      <a:contourClr>
        <a:srgbClr val="000000"/>
      </a:contourClr>
    </a:sp3d>
  </c:spPr>
  <c:txPr>
    <a:bodyPr/>
    <a:lstStyle/>
    <a:p>
      <a:pPr>
        <a:defRPr>
          <a:solidFill>
            <a:schemeClr val="dk1"/>
          </a:solidFill>
          <a:latin typeface="+mn-lt"/>
          <a:ea typeface="+mn-ea"/>
          <a:cs typeface="+mn-cs"/>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Kyrgyzstan</a:t>
            </a:r>
          </a:p>
        </c:rich>
      </c:tx>
      <c:overlay val="0"/>
    </c:title>
    <c:autoTitleDeleted val="0"/>
    <c:plotArea>
      <c:layout/>
      <c:scatterChart>
        <c:scatterStyle val="lineMarker"/>
        <c:varyColors val="0"/>
        <c:ser>
          <c:idx val="0"/>
          <c:order val="0"/>
          <c:spPr>
            <a:ln w="28575">
              <a:noFill/>
            </a:ln>
          </c:spPr>
          <c:marker>
            <c:spPr>
              <a:solidFill>
                <a:srgbClr val="C00000"/>
              </a:solidFill>
            </c:spPr>
          </c:marker>
          <c:dPt>
            <c:idx val="1"/>
            <c:marker>
              <c:symbol val="diamond"/>
              <c:size val="11"/>
            </c:marker>
            <c:bubble3D val="0"/>
            <c:spPr>
              <a:ln w="28575">
                <a:solidFill>
                  <a:srgbClr val="C00000"/>
                </a:solidFill>
              </a:ln>
            </c:spPr>
          </c:dPt>
          <c:xVal>
            <c:numRef>
              <c:f>Sheet6!$C$3:$C$5</c:f>
              <c:numCache>
                <c:formatCode>mmm\-yy</c:formatCode>
                <c:ptCount val="3"/>
                <c:pt idx="0">
                  <c:v>41883</c:v>
                </c:pt>
                <c:pt idx="1">
                  <c:v>42248</c:v>
                </c:pt>
                <c:pt idx="2">
                  <c:v>42614</c:v>
                </c:pt>
              </c:numCache>
            </c:numRef>
          </c:xVal>
          <c:yVal>
            <c:numRef>
              <c:f>Sheet6!$D$3:$D$5</c:f>
              <c:numCache>
                <c:formatCode>0%</c:formatCode>
                <c:ptCount val="3"/>
                <c:pt idx="1">
                  <c:v>0.52</c:v>
                </c:pt>
              </c:numCache>
            </c:numRef>
          </c:yVal>
          <c:smooth val="0"/>
        </c:ser>
        <c:dLbls>
          <c:showLegendKey val="0"/>
          <c:showVal val="0"/>
          <c:showCatName val="0"/>
          <c:showSerName val="0"/>
          <c:showPercent val="0"/>
          <c:showBubbleSize val="0"/>
        </c:dLbls>
        <c:axId val="236677376"/>
        <c:axId val="236680256"/>
      </c:scatterChart>
      <c:valAx>
        <c:axId val="236677376"/>
        <c:scaling>
          <c:orientation val="minMax"/>
          <c:max val="42614"/>
          <c:min val="41883"/>
        </c:scaling>
        <c:delete val="0"/>
        <c:axPos val="b"/>
        <c:numFmt formatCode="mmm\-yy" sourceLinked="1"/>
        <c:majorTickMark val="out"/>
        <c:minorTickMark val="none"/>
        <c:tickLblPos val="nextTo"/>
        <c:txPr>
          <a:bodyPr/>
          <a:lstStyle/>
          <a:p>
            <a:pPr>
              <a:defRPr sz="900"/>
            </a:pPr>
            <a:endParaRPr lang="en-US"/>
          </a:p>
        </c:txPr>
        <c:crossAx val="236680256"/>
        <c:crosses val="autoZero"/>
        <c:crossBetween val="midCat"/>
        <c:majorUnit val="365"/>
      </c:valAx>
      <c:valAx>
        <c:axId val="236680256"/>
        <c:scaling>
          <c:orientation val="minMax"/>
        </c:scaling>
        <c:delete val="0"/>
        <c:axPos val="l"/>
        <c:majorGridlines/>
        <c:numFmt formatCode="0%" sourceLinked="0"/>
        <c:majorTickMark val="out"/>
        <c:minorTickMark val="none"/>
        <c:tickLblPos val="nextTo"/>
        <c:txPr>
          <a:bodyPr/>
          <a:lstStyle/>
          <a:p>
            <a:pPr>
              <a:defRPr sz="900"/>
            </a:pPr>
            <a:endParaRPr lang="en-US"/>
          </a:p>
        </c:txPr>
        <c:crossAx val="236677376"/>
        <c:crosses val="autoZero"/>
        <c:crossBetween val="midCat"/>
        <c:majorUnit val="0.5"/>
      </c:valAx>
    </c:plotArea>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prstMaterial="matte">
      <a:bevelT w="63500" h="63500" prst="artDeco"/>
      <a:contourClr>
        <a:srgbClr val="000000"/>
      </a:contourClr>
    </a:sp3d>
  </c:spPr>
  <c:txPr>
    <a:bodyPr/>
    <a:lstStyle/>
    <a:p>
      <a:pPr>
        <a:defRPr>
          <a:solidFill>
            <a:schemeClr val="dk1"/>
          </a:solidFill>
          <a:latin typeface="+mn-lt"/>
          <a:ea typeface="+mn-ea"/>
          <a:cs typeface="+mn-cs"/>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barChart>
        <c:barDir val="bar"/>
        <c:grouping val="stacked"/>
        <c:varyColors val="0"/>
        <c:ser>
          <c:idx val="0"/>
          <c:order val="0"/>
          <c:invertIfNegative val="0"/>
          <c:cat>
            <c:numRef>
              <c:f>Sheet1!$J$2:$J$21</c:f>
              <c:numCache>
                <c:formatCode>General</c:formatCode>
                <c:ptCount val="20"/>
                <c:pt idx="0">
                  <c:v>26</c:v>
                </c:pt>
                <c:pt idx="1">
                  <c:v>61</c:v>
                </c:pt>
                <c:pt idx="2">
                  <c:v>18</c:v>
                </c:pt>
                <c:pt idx="3">
                  <c:v>13</c:v>
                </c:pt>
                <c:pt idx="4">
                  <c:v>51</c:v>
                </c:pt>
                <c:pt idx="5">
                  <c:v>57</c:v>
                </c:pt>
                <c:pt idx="6">
                  <c:v>62</c:v>
                </c:pt>
                <c:pt idx="7">
                  <c:v>29</c:v>
                </c:pt>
                <c:pt idx="8">
                  <c:v>56</c:v>
                </c:pt>
                <c:pt idx="9">
                  <c:v>17</c:v>
                </c:pt>
                <c:pt idx="10">
                  <c:v>28</c:v>
                </c:pt>
                <c:pt idx="11">
                  <c:v>50</c:v>
                </c:pt>
                <c:pt idx="12">
                  <c:v>15</c:v>
                </c:pt>
                <c:pt idx="13">
                  <c:v>3</c:v>
                </c:pt>
                <c:pt idx="14">
                  <c:v>60</c:v>
                </c:pt>
                <c:pt idx="15">
                  <c:v>4</c:v>
                </c:pt>
                <c:pt idx="16">
                  <c:v>16</c:v>
                </c:pt>
                <c:pt idx="17">
                  <c:v>5</c:v>
                </c:pt>
                <c:pt idx="18">
                  <c:v>1</c:v>
                </c:pt>
                <c:pt idx="19">
                  <c:v>2</c:v>
                </c:pt>
              </c:numCache>
            </c:numRef>
          </c:cat>
          <c:val>
            <c:numRef>
              <c:f>Sheet1!$L$2:$L$21</c:f>
              <c:numCache>
                <c:formatCode>0%</c:formatCode>
                <c:ptCount val="20"/>
                <c:pt idx="0">
                  <c:v>0.53333333333333344</c:v>
                </c:pt>
                <c:pt idx="1">
                  <c:v>0.5370370370370372</c:v>
                </c:pt>
                <c:pt idx="2">
                  <c:v>0.56666666666666676</c:v>
                </c:pt>
                <c:pt idx="3">
                  <c:v>0.56666666666666687</c:v>
                </c:pt>
                <c:pt idx="4">
                  <c:v>0.58518518518518525</c:v>
                </c:pt>
                <c:pt idx="5">
                  <c:v>0.58888888888888891</c:v>
                </c:pt>
                <c:pt idx="6">
                  <c:v>0.58888888888888902</c:v>
                </c:pt>
                <c:pt idx="7">
                  <c:v>0.60000000000000009</c:v>
                </c:pt>
                <c:pt idx="8">
                  <c:v>0.60370370370370374</c:v>
                </c:pt>
                <c:pt idx="9">
                  <c:v>0.61481481481481481</c:v>
                </c:pt>
                <c:pt idx="10">
                  <c:v>0.63333333333333341</c:v>
                </c:pt>
                <c:pt idx="11">
                  <c:v>0.63333333333333341</c:v>
                </c:pt>
                <c:pt idx="12">
                  <c:v>0.63333333333333353</c:v>
                </c:pt>
                <c:pt idx="13">
                  <c:v>0.63703703703703718</c:v>
                </c:pt>
                <c:pt idx="14">
                  <c:v>0.64444444444444449</c:v>
                </c:pt>
                <c:pt idx="15">
                  <c:v>0.65925925925925932</c:v>
                </c:pt>
                <c:pt idx="16">
                  <c:v>0.65925925925925943</c:v>
                </c:pt>
                <c:pt idx="17">
                  <c:v>0.69259259259259265</c:v>
                </c:pt>
                <c:pt idx="18">
                  <c:v>0.78518518518518521</c:v>
                </c:pt>
                <c:pt idx="19">
                  <c:v>0.82592592592592584</c:v>
                </c:pt>
              </c:numCache>
            </c:numRef>
          </c:val>
        </c:ser>
        <c:dLbls>
          <c:showLegendKey val="0"/>
          <c:showVal val="0"/>
          <c:showCatName val="0"/>
          <c:showSerName val="0"/>
          <c:showPercent val="0"/>
          <c:showBubbleSize val="0"/>
        </c:dLbls>
        <c:gapWidth val="150"/>
        <c:overlap val="100"/>
        <c:axId val="147165184"/>
        <c:axId val="236680832"/>
      </c:barChart>
      <c:catAx>
        <c:axId val="147165184"/>
        <c:scaling>
          <c:orientation val="minMax"/>
        </c:scaling>
        <c:delete val="0"/>
        <c:axPos val="l"/>
        <c:title>
          <c:tx>
            <c:rich>
              <a:bodyPr rot="-5400000" vert="horz"/>
              <a:lstStyle/>
              <a:p>
                <a:pPr>
                  <a:defRPr/>
                </a:pPr>
                <a:r>
                  <a:rPr lang="en-US"/>
                  <a:t>Data set number</a:t>
                </a:r>
              </a:p>
            </c:rich>
          </c:tx>
          <c:overlay val="0"/>
        </c:title>
        <c:numFmt formatCode="@" sourceLinked="0"/>
        <c:majorTickMark val="out"/>
        <c:minorTickMark val="none"/>
        <c:tickLblPos val="nextTo"/>
        <c:txPr>
          <a:bodyPr rot="0" anchor="ctr" anchorCtr="0"/>
          <a:lstStyle/>
          <a:p>
            <a:pPr>
              <a:defRPr sz="900"/>
            </a:pPr>
            <a:endParaRPr lang="en-US"/>
          </a:p>
        </c:txPr>
        <c:crossAx val="236680832"/>
        <c:crosses val="autoZero"/>
        <c:auto val="0"/>
        <c:lblAlgn val="ctr"/>
        <c:lblOffset val="100"/>
        <c:noMultiLvlLbl val="0"/>
      </c:catAx>
      <c:valAx>
        <c:axId val="236680832"/>
        <c:scaling>
          <c:orientation val="minMax"/>
        </c:scaling>
        <c:delete val="0"/>
        <c:axPos val="b"/>
        <c:majorGridlines/>
        <c:title>
          <c:tx>
            <c:rich>
              <a:bodyPr/>
              <a:lstStyle/>
              <a:p>
                <a:pPr>
                  <a:defRPr/>
                </a:pPr>
                <a:r>
                  <a:rPr lang="en-US"/>
                  <a:t>Performance</a:t>
                </a:r>
              </a:p>
            </c:rich>
          </c:tx>
          <c:overlay val="0"/>
        </c:title>
        <c:numFmt formatCode="0%" sourceLinked="1"/>
        <c:majorTickMark val="out"/>
        <c:minorTickMark val="none"/>
        <c:tickLblPos val="nextTo"/>
        <c:txPr>
          <a:bodyPr/>
          <a:lstStyle/>
          <a:p>
            <a:pPr>
              <a:defRPr sz="900"/>
            </a:pPr>
            <a:endParaRPr lang="en-US"/>
          </a:p>
        </c:txPr>
        <c:crossAx val="147165184"/>
        <c:crosses val="autoZero"/>
        <c:crossBetween val="between"/>
      </c:valAx>
    </c:plotArea>
    <c:plotVisOnly val="1"/>
    <c:dispBlanksAs val="gap"/>
    <c:showDLblsOverMax val="0"/>
  </c:chart>
  <c:spPr>
    <a:effectLst>
      <a:innerShdw blurRad="114300">
        <a:prstClr val="black"/>
      </a:innerShdw>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barChart>
        <c:barDir val="bar"/>
        <c:grouping val="clustered"/>
        <c:varyColors val="0"/>
        <c:ser>
          <c:idx val="0"/>
          <c:order val="0"/>
          <c:invertIfNegative val="0"/>
          <c:cat>
            <c:numRef>
              <c:f>Sheet1!$B$2:$B$23</c:f>
              <c:numCache>
                <c:formatCode>General</c:formatCode>
                <c:ptCount val="22"/>
                <c:pt idx="0">
                  <c:v>38</c:v>
                </c:pt>
                <c:pt idx="1">
                  <c:v>33</c:v>
                </c:pt>
                <c:pt idx="2">
                  <c:v>46</c:v>
                </c:pt>
                <c:pt idx="3">
                  <c:v>21</c:v>
                </c:pt>
                <c:pt idx="4">
                  <c:v>23</c:v>
                </c:pt>
                <c:pt idx="5">
                  <c:v>64</c:v>
                </c:pt>
                <c:pt idx="6">
                  <c:v>63</c:v>
                </c:pt>
                <c:pt idx="7">
                  <c:v>30</c:v>
                </c:pt>
                <c:pt idx="8">
                  <c:v>49</c:v>
                </c:pt>
                <c:pt idx="9">
                  <c:v>47</c:v>
                </c:pt>
                <c:pt idx="10">
                  <c:v>20</c:v>
                </c:pt>
                <c:pt idx="11">
                  <c:v>10</c:v>
                </c:pt>
                <c:pt idx="12">
                  <c:v>22</c:v>
                </c:pt>
                <c:pt idx="13">
                  <c:v>11</c:v>
                </c:pt>
                <c:pt idx="14">
                  <c:v>36</c:v>
                </c:pt>
                <c:pt idx="15">
                  <c:v>67</c:v>
                </c:pt>
                <c:pt idx="16">
                  <c:v>32</c:v>
                </c:pt>
                <c:pt idx="17">
                  <c:v>25</c:v>
                </c:pt>
                <c:pt idx="18">
                  <c:v>34</c:v>
                </c:pt>
                <c:pt idx="19">
                  <c:v>55</c:v>
                </c:pt>
                <c:pt idx="20">
                  <c:v>9</c:v>
                </c:pt>
                <c:pt idx="21">
                  <c:v>12</c:v>
                </c:pt>
              </c:numCache>
            </c:numRef>
          </c:cat>
          <c:val>
            <c:numRef>
              <c:f>Sheet1!$D$2:$D$23</c:f>
              <c:numCache>
                <c:formatCode>0%</c:formatCode>
                <c:ptCount val="22"/>
                <c:pt idx="0">
                  <c:v>0.16296296296296298</c:v>
                </c:pt>
                <c:pt idx="1">
                  <c:v>0.21481481481481485</c:v>
                </c:pt>
                <c:pt idx="2">
                  <c:v>0.22222222222222227</c:v>
                </c:pt>
                <c:pt idx="3">
                  <c:v>0.25925925925925924</c:v>
                </c:pt>
                <c:pt idx="4">
                  <c:v>0.26296296296296295</c:v>
                </c:pt>
                <c:pt idx="5">
                  <c:v>0.26296296296296301</c:v>
                </c:pt>
                <c:pt idx="6">
                  <c:v>0.26666666666666666</c:v>
                </c:pt>
                <c:pt idx="7">
                  <c:v>0.26666666666666672</c:v>
                </c:pt>
                <c:pt idx="8">
                  <c:v>0.26666666666666672</c:v>
                </c:pt>
                <c:pt idx="9">
                  <c:v>0.26666666666666672</c:v>
                </c:pt>
                <c:pt idx="10">
                  <c:v>0.27037037037037037</c:v>
                </c:pt>
                <c:pt idx="11">
                  <c:v>0.27037037037037043</c:v>
                </c:pt>
                <c:pt idx="12">
                  <c:v>0.27407407407407408</c:v>
                </c:pt>
                <c:pt idx="13">
                  <c:v>0.27592592592592591</c:v>
                </c:pt>
                <c:pt idx="14">
                  <c:v>0.28518518518518521</c:v>
                </c:pt>
                <c:pt idx="15">
                  <c:v>0.29259259259259263</c:v>
                </c:pt>
                <c:pt idx="16">
                  <c:v>0.29629629629629634</c:v>
                </c:pt>
                <c:pt idx="17">
                  <c:v>0.3037037037037037</c:v>
                </c:pt>
                <c:pt idx="18">
                  <c:v>0.32592592592592601</c:v>
                </c:pt>
                <c:pt idx="19">
                  <c:v>0.33333333333333331</c:v>
                </c:pt>
                <c:pt idx="20">
                  <c:v>0.3444444444444445</c:v>
                </c:pt>
                <c:pt idx="21">
                  <c:v>0.34814814814814815</c:v>
                </c:pt>
              </c:numCache>
            </c:numRef>
          </c:val>
        </c:ser>
        <c:dLbls>
          <c:showLegendKey val="0"/>
          <c:showVal val="0"/>
          <c:showCatName val="0"/>
          <c:showSerName val="0"/>
          <c:showPercent val="0"/>
          <c:showBubbleSize val="0"/>
        </c:dLbls>
        <c:gapWidth val="150"/>
        <c:axId val="147167232"/>
        <c:axId val="239419392"/>
      </c:barChart>
      <c:catAx>
        <c:axId val="147167232"/>
        <c:scaling>
          <c:orientation val="minMax"/>
        </c:scaling>
        <c:delete val="0"/>
        <c:axPos val="l"/>
        <c:title>
          <c:tx>
            <c:rich>
              <a:bodyPr rot="-5400000" vert="horz"/>
              <a:lstStyle/>
              <a:p>
                <a:pPr>
                  <a:defRPr/>
                </a:pPr>
                <a:r>
                  <a:rPr lang="en-US"/>
                  <a:t>Data set number</a:t>
                </a:r>
              </a:p>
            </c:rich>
          </c:tx>
          <c:overlay val="0"/>
        </c:title>
        <c:numFmt formatCode="General" sourceLinked="1"/>
        <c:majorTickMark val="out"/>
        <c:minorTickMark val="none"/>
        <c:tickLblPos val="nextTo"/>
        <c:txPr>
          <a:bodyPr/>
          <a:lstStyle/>
          <a:p>
            <a:pPr>
              <a:defRPr sz="900"/>
            </a:pPr>
            <a:endParaRPr lang="en-US"/>
          </a:p>
        </c:txPr>
        <c:crossAx val="239419392"/>
        <c:crosses val="autoZero"/>
        <c:auto val="1"/>
        <c:lblAlgn val="l"/>
        <c:lblOffset val="100"/>
        <c:noMultiLvlLbl val="0"/>
      </c:catAx>
      <c:valAx>
        <c:axId val="239419392"/>
        <c:scaling>
          <c:orientation val="minMax"/>
        </c:scaling>
        <c:delete val="0"/>
        <c:axPos val="b"/>
        <c:majorGridlines/>
        <c:title>
          <c:tx>
            <c:rich>
              <a:bodyPr/>
              <a:lstStyle/>
              <a:p>
                <a:pPr>
                  <a:defRPr/>
                </a:pPr>
                <a:r>
                  <a:rPr lang="en-US"/>
                  <a:t>Performance</a:t>
                </a:r>
              </a:p>
            </c:rich>
          </c:tx>
          <c:overlay val="0"/>
        </c:title>
        <c:numFmt formatCode="0%" sourceLinked="1"/>
        <c:majorTickMark val="out"/>
        <c:minorTickMark val="none"/>
        <c:tickLblPos val="nextTo"/>
        <c:txPr>
          <a:bodyPr/>
          <a:lstStyle/>
          <a:p>
            <a:pPr>
              <a:defRPr sz="900"/>
            </a:pPr>
            <a:endParaRPr lang="en-US"/>
          </a:p>
        </c:txPr>
        <c:crossAx val="147167232"/>
        <c:crosses val="autoZero"/>
        <c:crossBetween val="between"/>
      </c:valAx>
    </c:plotArea>
    <c:plotVisOnly val="1"/>
    <c:dispBlanksAs val="gap"/>
    <c:showDLblsOverMax val="0"/>
  </c:chart>
  <c:spPr>
    <a:effectLst>
      <a:innerShdw blurRad="114300">
        <a:prstClr val="black"/>
      </a:innerShd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2003A-C3AB-402F-BB2E-952ECE51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10</Pages>
  <Words>3400</Words>
  <Characters>19109</Characters>
  <Application>Microsoft Office Word</Application>
  <DocSecurity>0</DocSecurity>
  <Lines>406</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Ludmila Boichuk</dc:creator>
  <cp:lastModifiedBy>sochirca</cp:lastModifiedBy>
  <cp:revision>3</cp:revision>
  <cp:lastPrinted>2015-11-02T13:46:00Z</cp:lastPrinted>
  <dcterms:created xsi:type="dcterms:W3CDTF">2015-11-02T13:47:00Z</dcterms:created>
  <dcterms:modified xsi:type="dcterms:W3CDTF">2016-01-27T14:48:00Z</dcterms:modified>
</cp:coreProperties>
</file>