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42" w:rsidRPr="0064027F" w:rsidRDefault="00F84542" w:rsidP="00F84542">
      <w:pPr>
        <w:spacing w:line="60" w:lineRule="exact"/>
        <w:rPr>
          <w:color w:val="010000"/>
          <w:sz w:val="6"/>
        </w:rPr>
        <w:sectPr w:rsidR="00F84542" w:rsidRPr="0064027F" w:rsidSect="00F845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64027F">
        <w:rPr>
          <w:rStyle w:val="CommentReference"/>
        </w:rPr>
        <w:commentReference w:id="0"/>
      </w:r>
    </w:p>
    <w:p w:rsidR="00334F12" w:rsidRPr="00334F12" w:rsidRDefault="00334F12" w:rsidP="00334F12">
      <w:pPr>
        <w:rPr>
          <w:b/>
          <w:bCs/>
          <w:sz w:val="28"/>
          <w:szCs w:val="28"/>
        </w:rPr>
      </w:pPr>
      <w:r w:rsidRPr="00334F12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334F12" w:rsidRPr="00334F12" w:rsidRDefault="00334F12" w:rsidP="00334F12">
      <w:pPr>
        <w:spacing w:line="120" w:lineRule="exact"/>
        <w:rPr>
          <w:sz w:val="10"/>
          <w:szCs w:val="28"/>
        </w:rPr>
      </w:pPr>
    </w:p>
    <w:p w:rsidR="00334F12" w:rsidRPr="00334F12" w:rsidRDefault="00334F12" w:rsidP="00334F12">
      <w:pPr>
        <w:rPr>
          <w:sz w:val="28"/>
          <w:szCs w:val="28"/>
        </w:rPr>
      </w:pPr>
      <w:r w:rsidRPr="00334F12">
        <w:rPr>
          <w:sz w:val="28"/>
          <w:szCs w:val="28"/>
        </w:rPr>
        <w:t>Комитет по экологической политике</w:t>
      </w:r>
    </w:p>
    <w:p w:rsidR="00334F12" w:rsidRPr="00334F12" w:rsidRDefault="00334F12" w:rsidP="00334F12">
      <w:pPr>
        <w:spacing w:line="120" w:lineRule="exact"/>
        <w:rPr>
          <w:b/>
          <w:bCs/>
          <w:sz w:val="10"/>
        </w:rPr>
      </w:pPr>
    </w:p>
    <w:p w:rsidR="00334F12" w:rsidRPr="00334F12" w:rsidRDefault="00334F12" w:rsidP="00334F12">
      <w:pPr>
        <w:rPr>
          <w:b/>
          <w:bCs/>
        </w:rPr>
      </w:pPr>
      <w:r w:rsidRPr="00334F12">
        <w:rPr>
          <w:b/>
          <w:bCs/>
        </w:rPr>
        <w:t>Двадцатая сессия</w:t>
      </w:r>
    </w:p>
    <w:p w:rsidR="00F84542" w:rsidRPr="00334F12" w:rsidRDefault="00334F12" w:rsidP="00334F12">
      <w:r w:rsidRPr="00334F12">
        <w:t>Женева, 28–31 октября 2014 года</w:t>
      </w:r>
    </w:p>
    <w:p w:rsidR="00334F12" w:rsidRPr="00334F12" w:rsidRDefault="00334F12" w:rsidP="00334F12">
      <w:pPr>
        <w:spacing w:line="120" w:lineRule="exact"/>
        <w:rPr>
          <w:sz w:val="10"/>
        </w:rPr>
      </w:pPr>
    </w:p>
    <w:p w:rsidR="00334F12" w:rsidRPr="00334F12" w:rsidRDefault="00334F12" w:rsidP="00334F12">
      <w:pPr>
        <w:spacing w:line="120" w:lineRule="exact"/>
        <w:rPr>
          <w:sz w:val="10"/>
        </w:rPr>
      </w:pPr>
    </w:p>
    <w:p w:rsidR="00334F12" w:rsidRPr="00334F12" w:rsidRDefault="00334F12" w:rsidP="00334F12">
      <w:pPr>
        <w:spacing w:line="120" w:lineRule="exact"/>
        <w:rPr>
          <w:sz w:val="10"/>
        </w:rPr>
      </w:pPr>
    </w:p>
    <w:p w:rsidR="00334F12" w:rsidRPr="00334F12" w:rsidRDefault="00334F12" w:rsidP="00334F1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053AB">
        <w:tab/>
      </w:r>
      <w:r w:rsidRPr="00D053AB">
        <w:tab/>
      </w:r>
      <w:r>
        <w:t xml:space="preserve">Доклад Комитета по экологической политике о работе </w:t>
      </w:r>
      <w:r w:rsidRPr="00334F12">
        <w:br/>
      </w:r>
      <w:r>
        <w:t>его двадцатой сессии</w:t>
      </w:r>
    </w:p>
    <w:p w:rsidR="00334F12" w:rsidRPr="00334F12" w:rsidRDefault="00334F12" w:rsidP="00334F12">
      <w:pPr>
        <w:pStyle w:val="SingleTxt"/>
        <w:spacing w:after="0" w:line="120" w:lineRule="exact"/>
        <w:rPr>
          <w:sz w:val="10"/>
        </w:rPr>
      </w:pPr>
    </w:p>
    <w:p w:rsidR="00334F12" w:rsidRPr="00D053AB" w:rsidRDefault="00334F12" w:rsidP="00334F12">
      <w:pPr>
        <w:pStyle w:val="SingleTxt"/>
        <w:spacing w:after="0" w:line="120" w:lineRule="exact"/>
        <w:rPr>
          <w:sz w:val="10"/>
        </w:rPr>
      </w:pPr>
    </w:p>
    <w:p w:rsidR="00334F12" w:rsidRPr="00334F12" w:rsidRDefault="00334F12" w:rsidP="00334F12">
      <w:pPr>
        <w:pStyle w:val="HCh"/>
        <w:spacing w:after="120"/>
        <w:rPr>
          <w:b w:val="0"/>
          <w:lang w:val="en-US"/>
        </w:rPr>
      </w:pPr>
      <w:proofErr w:type="spellStart"/>
      <w:r>
        <w:rPr>
          <w:b w:val="0"/>
          <w:lang w:val="en-US"/>
        </w:rPr>
        <w:t>Содержание</w:t>
      </w:r>
      <w:proofErr w:type="spellEnd"/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334F12" w:rsidRPr="00334F12" w:rsidTr="00334F12">
        <w:tc>
          <w:tcPr>
            <w:tcW w:w="1060" w:type="dxa"/>
            <w:shd w:val="clear" w:color="auto" w:fill="auto"/>
          </w:tcPr>
          <w:p w:rsidR="00334F12" w:rsidRPr="00334F12" w:rsidRDefault="00334F12" w:rsidP="00334F12">
            <w:pPr>
              <w:spacing w:after="120" w:line="240" w:lineRule="auto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7056" w:type="dxa"/>
            <w:shd w:val="clear" w:color="auto" w:fill="auto"/>
          </w:tcPr>
          <w:p w:rsidR="00334F12" w:rsidRPr="00334F12" w:rsidRDefault="00334F12" w:rsidP="00334F12">
            <w:pPr>
              <w:spacing w:after="12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:rsidR="00334F12" w:rsidRPr="00334F12" w:rsidRDefault="00334F12" w:rsidP="00334F12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334F12" w:rsidRPr="00334F12" w:rsidRDefault="00334F12" w:rsidP="00334F12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  <w:proofErr w:type="spellStart"/>
            <w:r>
              <w:rPr>
                <w:i/>
                <w:sz w:val="14"/>
                <w:lang w:val="en-US"/>
              </w:rPr>
              <w:t>Стр</w:t>
            </w:r>
            <w:proofErr w:type="spellEnd"/>
            <w:r>
              <w:rPr>
                <w:i/>
                <w:sz w:val="14"/>
                <w:lang w:val="en-US"/>
              </w:rPr>
              <w:t>.</w:t>
            </w:r>
          </w:p>
        </w:tc>
      </w:tr>
      <w:tr w:rsidR="00334F12" w:rsidRPr="00334F12" w:rsidTr="00334F12">
        <w:tc>
          <w:tcPr>
            <w:tcW w:w="9110" w:type="dxa"/>
            <w:gridSpan w:val="3"/>
            <w:shd w:val="clear" w:color="auto" w:fill="auto"/>
          </w:tcPr>
          <w:p w:rsidR="00334F12" w:rsidRPr="00334F12" w:rsidRDefault="00334F12" w:rsidP="008A727D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t>Введение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C002C1" w:rsidRDefault="00C002C1" w:rsidP="00334F12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334F12" w:rsidRPr="00334F12" w:rsidTr="00334F12">
        <w:tc>
          <w:tcPr>
            <w:tcW w:w="9110" w:type="dxa"/>
            <w:gridSpan w:val="3"/>
            <w:shd w:val="clear" w:color="auto" w:fill="auto"/>
          </w:tcPr>
          <w:p w:rsidR="00334F12" w:rsidRDefault="00AC021F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  <w:rPr>
                <w:lang w:val="en-US"/>
              </w:rPr>
            </w:pPr>
            <w:r>
              <w:t>Участники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C002C1" w:rsidRDefault="00C002C1" w:rsidP="00334F12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334F12" w:rsidRPr="00AC021F" w:rsidTr="00334F12">
        <w:tc>
          <w:tcPr>
            <w:tcW w:w="9110" w:type="dxa"/>
            <w:gridSpan w:val="3"/>
            <w:shd w:val="clear" w:color="auto" w:fill="auto"/>
          </w:tcPr>
          <w:p w:rsidR="00334F12" w:rsidRPr="00AC021F" w:rsidRDefault="00AC021F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>
              <w:t>Открытие сессии и организационные вопросы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AC021F" w:rsidRDefault="00C002C1" w:rsidP="00334F12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334F12" w:rsidRPr="00AC021F" w:rsidTr="00334F12">
        <w:tc>
          <w:tcPr>
            <w:tcW w:w="9110" w:type="dxa"/>
            <w:gridSpan w:val="3"/>
            <w:shd w:val="clear" w:color="auto" w:fill="auto"/>
          </w:tcPr>
          <w:p w:rsidR="00334F12" w:rsidRPr="00AC021F" w:rsidRDefault="00AC021F" w:rsidP="008A727D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 w:rsidRPr="00D053AB">
              <w:tab/>
            </w:r>
            <w:r>
              <w:t>Итоги работы Президиума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AC021F" w:rsidRDefault="00C002C1" w:rsidP="00334F12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334F12" w:rsidRPr="00AC021F" w:rsidTr="00334F12">
        <w:tc>
          <w:tcPr>
            <w:tcW w:w="9110" w:type="dxa"/>
            <w:gridSpan w:val="3"/>
            <w:shd w:val="clear" w:color="auto" w:fill="auto"/>
          </w:tcPr>
          <w:p w:rsidR="00334F12" w:rsidRPr="00AC021F" w:rsidRDefault="00AC021F" w:rsidP="008A727D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 w:rsidRPr="00D053AB">
              <w:tab/>
            </w:r>
            <w:r>
              <w:t>Устойчивое развитие в регионе Европейской экономической комиссии</w:t>
            </w:r>
            <w:r w:rsidRPr="006443CD">
              <w:t xml:space="preserve"> </w:t>
            </w:r>
            <w:r>
              <w:t>Организации Объединенных Наций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AC021F" w:rsidRDefault="00C002C1" w:rsidP="00334F12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334F12" w:rsidRPr="00AC021F" w:rsidTr="00334F12">
        <w:tc>
          <w:tcPr>
            <w:tcW w:w="9110" w:type="dxa"/>
            <w:gridSpan w:val="3"/>
            <w:shd w:val="clear" w:color="auto" w:fill="auto"/>
          </w:tcPr>
          <w:p w:rsidR="00334F12" w:rsidRPr="00AC021F" w:rsidRDefault="00AC021F" w:rsidP="008A727D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 w:rsidRPr="00AC021F">
              <w:tab/>
            </w:r>
            <w:r>
              <w:t>Многосторонние природоохранные соглашения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AC021F" w:rsidRDefault="00C002C1" w:rsidP="00334F12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334F12" w:rsidRPr="00AC021F" w:rsidTr="00334F12">
        <w:tc>
          <w:tcPr>
            <w:tcW w:w="9110" w:type="dxa"/>
            <w:gridSpan w:val="3"/>
            <w:shd w:val="clear" w:color="auto" w:fill="auto"/>
          </w:tcPr>
          <w:p w:rsidR="00334F12" w:rsidRPr="00AC021F" w:rsidRDefault="00AC021F" w:rsidP="008A727D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 w:rsidRPr="00AC021F">
              <w:tab/>
            </w:r>
            <w:r>
              <w:t>Экологический мониторинг, оценка и отчетность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AC021F" w:rsidRDefault="00C002C1" w:rsidP="00334F12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334F12" w:rsidRPr="00AC021F" w:rsidTr="00334F12">
        <w:tc>
          <w:tcPr>
            <w:tcW w:w="9110" w:type="dxa"/>
            <w:gridSpan w:val="3"/>
            <w:shd w:val="clear" w:color="auto" w:fill="auto"/>
          </w:tcPr>
          <w:p w:rsidR="00334F12" w:rsidRPr="00AC021F" w:rsidRDefault="00AC021F" w:rsidP="008A727D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 w:rsidRPr="00AC021F">
              <w:tab/>
            </w:r>
            <w:proofErr w:type="spellStart"/>
            <w:r>
              <w:t>Межсекторальная</w:t>
            </w:r>
            <w:proofErr w:type="spellEnd"/>
            <w:r>
              <w:t xml:space="preserve"> деятельность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AC021F" w:rsidRDefault="00C002C1" w:rsidP="00334F12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334F12" w:rsidRPr="00AC021F" w:rsidTr="00334F12">
        <w:tc>
          <w:tcPr>
            <w:tcW w:w="9110" w:type="dxa"/>
            <w:gridSpan w:val="3"/>
            <w:shd w:val="clear" w:color="auto" w:fill="auto"/>
          </w:tcPr>
          <w:p w:rsidR="00334F12" w:rsidRPr="00AC021F" w:rsidRDefault="00AC021F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>
              <w:t>Образование в интересах устойчивого развития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AC021F" w:rsidRDefault="00C002C1" w:rsidP="00334F12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334F12" w:rsidRPr="00AC021F" w:rsidTr="00334F12">
        <w:tc>
          <w:tcPr>
            <w:tcW w:w="9110" w:type="dxa"/>
            <w:gridSpan w:val="3"/>
            <w:shd w:val="clear" w:color="auto" w:fill="auto"/>
          </w:tcPr>
          <w:p w:rsidR="00334F12" w:rsidRPr="00AC021F" w:rsidRDefault="008A727D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t>Общеевропейская программа по транспорту, окружающей среде и охране здоровья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AC021F" w:rsidRDefault="00C002C1" w:rsidP="00334F12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334F12" w:rsidRPr="00AC021F" w:rsidTr="00334F12">
        <w:tc>
          <w:tcPr>
            <w:tcW w:w="9110" w:type="dxa"/>
            <w:gridSpan w:val="3"/>
            <w:shd w:val="clear" w:color="auto" w:fill="auto"/>
          </w:tcPr>
          <w:p w:rsidR="00334F12" w:rsidRPr="00AC021F" w:rsidRDefault="008A727D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>
              <w:t>Окружающая среда и безопасность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AC021F" w:rsidRDefault="00C002C1" w:rsidP="00334F12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334F12" w:rsidRPr="00AC021F" w:rsidTr="00334F12">
        <w:tc>
          <w:tcPr>
            <w:tcW w:w="9110" w:type="dxa"/>
            <w:gridSpan w:val="3"/>
            <w:shd w:val="clear" w:color="auto" w:fill="auto"/>
          </w:tcPr>
          <w:p w:rsidR="00334F12" w:rsidRPr="00AC021F" w:rsidRDefault="008A727D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>
              <w:t xml:space="preserve">Европейский процесс </w:t>
            </w:r>
            <w:r w:rsidR="00EC398C">
              <w:t>«</w:t>
            </w:r>
            <w:r>
              <w:t>Окружающая среда и здоровье</w:t>
            </w:r>
            <w:r w:rsidR="00EC398C">
              <w:t>»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AC021F" w:rsidRDefault="00C002C1" w:rsidP="00334F12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334F12" w:rsidRPr="00AC021F" w:rsidTr="00334F12">
        <w:tc>
          <w:tcPr>
            <w:tcW w:w="9110" w:type="dxa"/>
            <w:gridSpan w:val="3"/>
            <w:shd w:val="clear" w:color="auto" w:fill="auto"/>
          </w:tcPr>
          <w:p w:rsidR="00334F12" w:rsidRPr="00AC021F" w:rsidRDefault="00EC398C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«</w:t>
            </w:r>
            <w:r w:rsidR="008A727D">
              <w:t>Зеленое</w:t>
            </w:r>
            <w:r>
              <w:t>»</w:t>
            </w:r>
            <w:r w:rsidR="008A727D">
              <w:t xml:space="preserve"> строительство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AC021F" w:rsidRDefault="00C002C1" w:rsidP="00334F12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334F12" w:rsidRPr="00AC021F" w:rsidTr="00334F12">
        <w:tc>
          <w:tcPr>
            <w:tcW w:w="9110" w:type="dxa"/>
            <w:gridSpan w:val="3"/>
            <w:shd w:val="clear" w:color="auto" w:fill="auto"/>
          </w:tcPr>
          <w:p w:rsidR="00334F12" w:rsidRPr="00AC021F" w:rsidRDefault="00AC021F" w:rsidP="00CC3553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 w:rsidRPr="00AC021F">
              <w:tab/>
            </w:r>
            <w:r w:rsidR="008A727D">
              <w:t>Программа обзор</w:t>
            </w:r>
            <w:r w:rsidR="00EC398C">
              <w:t>ов</w:t>
            </w:r>
            <w:r w:rsidR="008A727D">
              <w:t xml:space="preserve"> результат</w:t>
            </w:r>
            <w:r w:rsidR="00EC398C">
              <w:t>ивности</w:t>
            </w:r>
            <w:r w:rsidR="00CC3553">
              <w:t xml:space="preserve"> экологической</w:t>
            </w:r>
            <w:r w:rsidR="00CC3553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AC021F" w:rsidRDefault="00C002C1" w:rsidP="00334F12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334F12" w:rsidRPr="00AC021F" w:rsidTr="00334F12">
        <w:tc>
          <w:tcPr>
            <w:tcW w:w="9110" w:type="dxa"/>
            <w:gridSpan w:val="3"/>
            <w:shd w:val="clear" w:color="auto" w:fill="auto"/>
          </w:tcPr>
          <w:p w:rsidR="00334F12" w:rsidRPr="00AC021F" w:rsidRDefault="008A727D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leader="dot" w:pos="9245"/>
              </w:tabs>
              <w:suppressAutoHyphens/>
              <w:spacing w:after="120"/>
            </w:pPr>
            <w:r>
              <w:t>Третий обзор результативности экологической деятельности Черногории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AC021F" w:rsidRDefault="00C002C1" w:rsidP="00334F12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334F12" w:rsidRPr="00AC021F" w:rsidTr="00334F12">
        <w:tc>
          <w:tcPr>
            <w:tcW w:w="9110" w:type="dxa"/>
            <w:gridSpan w:val="3"/>
            <w:shd w:val="clear" w:color="auto" w:fill="auto"/>
          </w:tcPr>
          <w:p w:rsidR="00334F12" w:rsidRPr="00AC021F" w:rsidRDefault="008A727D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>
              <w:t>Третий обзор результативности экологической деятельности Сербии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AC021F" w:rsidRDefault="00C002C1" w:rsidP="00334F12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334F12" w:rsidRPr="00AC021F" w:rsidTr="00334F12">
        <w:tc>
          <w:tcPr>
            <w:tcW w:w="9110" w:type="dxa"/>
            <w:gridSpan w:val="3"/>
            <w:shd w:val="clear" w:color="auto" w:fill="auto"/>
          </w:tcPr>
          <w:p w:rsidR="00334F12" w:rsidRPr="00AC021F" w:rsidRDefault="00CC3553" w:rsidP="00CC3553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>Общий о</w:t>
            </w:r>
            <w:r w:rsidR="008A727D">
              <w:t>бзор деятельности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AC021F" w:rsidRDefault="00C002C1" w:rsidP="00334F12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334F12" w:rsidRPr="00AC021F" w:rsidTr="00334F12">
        <w:tc>
          <w:tcPr>
            <w:tcW w:w="9110" w:type="dxa"/>
            <w:gridSpan w:val="3"/>
            <w:shd w:val="clear" w:color="auto" w:fill="auto"/>
          </w:tcPr>
          <w:p w:rsidR="00334F12" w:rsidRPr="00AC021F" w:rsidRDefault="00AC021F" w:rsidP="00D053AB">
            <w:pPr>
              <w:pageBreakBefore/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 w:rsidRPr="00AC021F">
              <w:lastRenderedPageBreak/>
              <w:tab/>
            </w:r>
            <w:r w:rsidR="008A727D">
              <w:t>Уроки, извлеченные из среднесрочного обзора основных итогов</w:t>
            </w:r>
            <w:r w:rsidR="008A727D" w:rsidRPr="006443CD">
              <w:t xml:space="preserve"> </w:t>
            </w:r>
            <w:proofErr w:type="spellStart"/>
            <w:r w:rsidR="008A727D">
              <w:t>Астанинской</w:t>
            </w:r>
            <w:proofErr w:type="spellEnd"/>
            <w:r w:rsidR="008A727D">
              <w:t xml:space="preserve"> Конференции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4F12" w:rsidRPr="00AC021F" w:rsidRDefault="00C002C1" w:rsidP="00334F12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AC021F" w:rsidRPr="00AC021F" w:rsidTr="00334F12">
        <w:tc>
          <w:tcPr>
            <w:tcW w:w="9110" w:type="dxa"/>
            <w:gridSpan w:val="3"/>
            <w:shd w:val="clear" w:color="auto" w:fill="auto"/>
          </w:tcPr>
          <w:p w:rsidR="00AC021F" w:rsidRPr="00AC021F" w:rsidRDefault="00AC021F" w:rsidP="008A727D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 w:rsidRPr="00AC021F">
              <w:tab/>
            </w:r>
            <w:r w:rsidR="008A727D">
              <w:t xml:space="preserve">Восьмая Конференция министров </w:t>
            </w:r>
            <w:r w:rsidR="00EC398C">
              <w:t>«</w:t>
            </w:r>
            <w:r w:rsidR="008A727D">
              <w:t>Окружающая среда для Европы</w:t>
            </w:r>
            <w:r w:rsidR="00EC398C">
              <w:t>»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021F" w:rsidRPr="00AC021F" w:rsidRDefault="00C002C1" w:rsidP="00334F12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AC021F" w:rsidRPr="00AC021F" w:rsidTr="00334F12">
        <w:tc>
          <w:tcPr>
            <w:tcW w:w="9110" w:type="dxa"/>
            <w:gridSpan w:val="3"/>
            <w:shd w:val="clear" w:color="auto" w:fill="auto"/>
          </w:tcPr>
          <w:p w:rsidR="00AC021F" w:rsidRPr="00AC021F" w:rsidRDefault="008A727D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proofErr w:type="spellStart"/>
            <w:r>
              <w:t>Астанинские</w:t>
            </w:r>
            <w:proofErr w:type="spellEnd"/>
            <w:r>
              <w:t xml:space="preserve"> предложения относительно действий по воде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021F" w:rsidRPr="00AC021F" w:rsidRDefault="00C002C1" w:rsidP="00334F12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AC021F" w:rsidRPr="00AC021F" w:rsidTr="00334F12">
        <w:tc>
          <w:tcPr>
            <w:tcW w:w="9110" w:type="dxa"/>
            <w:gridSpan w:val="3"/>
            <w:shd w:val="clear" w:color="auto" w:fill="auto"/>
          </w:tcPr>
          <w:p w:rsidR="00AC021F" w:rsidRPr="00AC021F" w:rsidRDefault="008A727D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proofErr w:type="spellStart"/>
            <w:r>
              <w:t>Экологизация</w:t>
            </w:r>
            <w:proofErr w:type="spellEnd"/>
            <w:r>
              <w:t xml:space="preserve"> экономики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021F" w:rsidRPr="00AC021F" w:rsidRDefault="00C002C1" w:rsidP="00334F12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AC021F" w:rsidRPr="00AC021F" w:rsidTr="00334F12">
        <w:tc>
          <w:tcPr>
            <w:tcW w:w="9110" w:type="dxa"/>
            <w:gridSpan w:val="3"/>
            <w:shd w:val="clear" w:color="auto" w:fill="auto"/>
          </w:tcPr>
          <w:p w:rsidR="00AC021F" w:rsidRPr="00AC021F" w:rsidRDefault="008A727D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>
              <w:t>Разработка Общей системы экологической информации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021F" w:rsidRPr="00AC021F" w:rsidRDefault="00C002C1" w:rsidP="00334F12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AC021F" w:rsidRPr="00AC021F" w:rsidTr="00334F12">
        <w:tc>
          <w:tcPr>
            <w:tcW w:w="9110" w:type="dxa"/>
            <w:gridSpan w:val="3"/>
            <w:shd w:val="clear" w:color="auto" w:fill="auto"/>
          </w:tcPr>
          <w:p w:rsidR="00AC021F" w:rsidRPr="00AC021F" w:rsidRDefault="008A727D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>
              <w:t>Подготовительная работа принимающей страны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021F" w:rsidRPr="00AC021F" w:rsidRDefault="00C002C1" w:rsidP="00334F12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AC021F" w:rsidRPr="00AC021F" w:rsidTr="00334F12">
        <w:tc>
          <w:tcPr>
            <w:tcW w:w="9110" w:type="dxa"/>
            <w:gridSpan w:val="3"/>
            <w:shd w:val="clear" w:color="auto" w:fill="auto"/>
          </w:tcPr>
          <w:p w:rsidR="00AC021F" w:rsidRPr="00AC021F" w:rsidRDefault="008A727D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Отбор тем для Конференции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021F" w:rsidRPr="00AC021F" w:rsidRDefault="00C002C1" w:rsidP="00334F12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AC021F" w:rsidRPr="00AC021F" w:rsidTr="00334F12">
        <w:tc>
          <w:tcPr>
            <w:tcW w:w="9110" w:type="dxa"/>
            <w:gridSpan w:val="3"/>
            <w:shd w:val="clear" w:color="auto" w:fill="auto"/>
          </w:tcPr>
          <w:p w:rsidR="00AC021F" w:rsidRPr="00AC021F" w:rsidRDefault="008A727D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Организационные вопросы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021F" w:rsidRPr="00AC021F" w:rsidRDefault="00C002C1" w:rsidP="00334F12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AC021F" w:rsidRPr="00AC021F" w:rsidTr="00334F12">
        <w:tc>
          <w:tcPr>
            <w:tcW w:w="9110" w:type="dxa"/>
            <w:gridSpan w:val="3"/>
            <w:shd w:val="clear" w:color="auto" w:fill="auto"/>
          </w:tcPr>
          <w:p w:rsidR="00AC021F" w:rsidRPr="00AC021F" w:rsidRDefault="008A727D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Потребности в ресурсах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021F" w:rsidRPr="00AC021F" w:rsidRDefault="00C002C1" w:rsidP="00334F12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AC021F" w:rsidRPr="00AC021F" w:rsidTr="00334F12">
        <w:tc>
          <w:tcPr>
            <w:tcW w:w="9110" w:type="dxa"/>
            <w:gridSpan w:val="3"/>
            <w:shd w:val="clear" w:color="auto" w:fill="auto"/>
          </w:tcPr>
          <w:p w:rsidR="00AC021F" w:rsidRPr="00AC021F" w:rsidRDefault="00AC021F" w:rsidP="008A727D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 w:rsidRPr="00AC021F">
              <w:tab/>
            </w:r>
            <w:r w:rsidR="008A727D">
              <w:t>Программа работы Подпрограммы по окружающей среде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021F" w:rsidRPr="00AC021F" w:rsidRDefault="00C002C1" w:rsidP="00334F12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AC021F" w:rsidRPr="00AC021F" w:rsidTr="00334F12">
        <w:tc>
          <w:tcPr>
            <w:tcW w:w="9110" w:type="dxa"/>
            <w:gridSpan w:val="3"/>
            <w:shd w:val="clear" w:color="auto" w:fill="auto"/>
          </w:tcPr>
          <w:p w:rsidR="00AC021F" w:rsidRPr="00AC021F" w:rsidRDefault="008A727D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>
              <w:t xml:space="preserve">План оценки результативности Подпрограммы по окружающей среде </w:t>
            </w:r>
            <w:r>
              <w:br/>
              <w:t>на двухгодичный период 2014−2015 годов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021F" w:rsidRPr="00AC021F" w:rsidRDefault="00C002C1" w:rsidP="00334F12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AC021F" w:rsidRPr="00AC021F" w:rsidTr="00334F12">
        <w:tc>
          <w:tcPr>
            <w:tcW w:w="9110" w:type="dxa"/>
            <w:gridSpan w:val="3"/>
            <w:shd w:val="clear" w:color="auto" w:fill="auto"/>
          </w:tcPr>
          <w:p w:rsidR="00AC021F" w:rsidRPr="00AC021F" w:rsidRDefault="008A727D" w:rsidP="008A727D">
            <w:pPr>
              <w:numPr>
                <w:ilvl w:val="1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>Критерии оказания финансовой поддержки для участия в совещаниях и мероприятиях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021F" w:rsidRPr="00AC021F" w:rsidRDefault="00C002C1" w:rsidP="00334F12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AC021F" w:rsidRPr="00AC021F" w:rsidTr="00334F12">
        <w:tc>
          <w:tcPr>
            <w:tcW w:w="9110" w:type="dxa"/>
            <w:gridSpan w:val="3"/>
            <w:shd w:val="clear" w:color="auto" w:fill="auto"/>
          </w:tcPr>
          <w:p w:rsidR="00AC021F" w:rsidRPr="00AC021F" w:rsidRDefault="00AC021F" w:rsidP="008A727D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 w:rsidRPr="00AC021F">
              <w:tab/>
            </w:r>
            <w:r w:rsidR="008A727D">
              <w:t>Правила процедуры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021F" w:rsidRPr="00AC021F" w:rsidRDefault="00C002C1" w:rsidP="00334F12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AC021F" w:rsidRPr="00AC021F" w:rsidTr="00334F12">
        <w:tc>
          <w:tcPr>
            <w:tcW w:w="9110" w:type="dxa"/>
            <w:gridSpan w:val="3"/>
            <w:shd w:val="clear" w:color="auto" w:fill="auto"/>
          </w:tcPr>
          <w:p w:rsidR="00AC021F" w:rsidRPr="00AC021F" w:rsidRDefault="00AC021F" w:rsidP="008A727D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 w:rsidRPr="00AC021F">
              <w:tab/>
            </w:r>
            <w:r w:rsidR="008A727D">
              <w:t>Расписание совещаний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021F" w:rsidRPr="00AC021F" w:rsidRDefault="00C002C1" w:rsidP="00334F12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AC021F" w:rsidRPr="00AC021F" w:rsidTr="00334F12">
        <w:tc>
          <w:tcPr>
            <w:tcW w:w="9110" w:type="dxa"/>
            <w:gridSpan w:val="3"/>
            <w:shd w:val="clear" w:color="auto" w:fill="auto"/>
          </w:tcPr>
          <w:p w:rsidR="00AC021F" w:rsidRPr="00AC021F" w:rsidRDefault="00AC021F" w:rsidP="008A727D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</w:pPr>
            <w:r w:rsidRPr="00AC021F">
              <w:tab/>
            </w:r>
            <w:r w:rsidR="008A727D">
              <w:t>Прочие вопросы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021F" w:rsidRPr="00AC021F" w:rsidRDefault="00C002C1" w:rsidP="00334F12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AC021F" w:rsidRPr="00AC021F" w:rsidTr="00334F12">
        <w:tc>
          <w:tcPr>
            <w:tcW w:w="9110" w:type="dxa"/>
            <w:gridSpan w:val="3"/>
            <w:shd w:val="clear" w:color="auto" w:fill="auto"/>
          </w:tcPr>
          <w:p w:rsidR="00AC021F" w:rsidRPr="00AC021F" w:rsidRDefault="00AC021F" w:rsidP="008A727D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</w:pPr>
            <w:r w:rsidRPr="00AC021F">
              <w:tab/>
            </w:r>
            <w:r w:rsidR="008A727D">
              <w:t>Резюме решений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021F" w:rsidRPr="00AC021F" w:rsidRDefault="00C002C1" w:rsidP="00334F12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AC021F" w:rsidRPr="00AC021F" w:rsidTr="00334F12">
        <w:tc>
          <w:tcPr>
            <w:tcW w:w="9110" w:type="dxa"/>
            <w:gridSpan w:val="3"/>
            <w:shd w:val="clear" w:color="auto" w:fill="auto"/>
          </w:tcPr>
          <w:p w:rsidR="00AC021F" w:rsidRPr="00AC021F" w:rsidRDefault="00AC021F" w:rsidP="008A727D">
            <w:pPr>
              <w:numPr>
                <w:ilvl w:val="0"/>
                <w:numId w:val="13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 w:rsidRPr="00AC021F">
              <w:tab/>
            </w:r>
            <w:r w:rsidR="008A727D">
              <w:t>Закрытие совещания</w:t>
            </w:r>
            <w:r w:rsidR="008A727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C021F" w:rsidRPr="00AC021F" w:rsidRDefault="00C002C1" w:rsidP="00334F12">
            <w:pPr>
              <w:spacing w:after="120"/>
              <w:ind w:right="40"/>
              <w:jc w:val="right"/>
            </w:pPr>
            <w:r>
              <w:t>27</w:t>
            </w:r>
          </w:p>
        </w:tc>
      </w:tr>
    </w:tbl>
    <w:p w:rsidR="00334F12" w:rsidRPr="00AC021F" w:rsidRDefault="00334F12" w:rsidP="00334F12"/>
    <w:p w:rsidR="00AC021F" w:rsidRPr="00AC021F" w:rsidRDefault="00AC021F" w:rsidP="008A727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021F">
        <w:rPr>
          <w:sz w:val="10"/>
        </w:rPr>
        <w:br w:type="page"/>
      </w:r>
      <w:r w:rsidR="008A727D">
        <w:rPr>
          <w:sz w:val="10"/>
        </w:rPr>
        <w:lastRenderedPageBreak/>
        <w:tab/>
      </w:r>
      <w:r w:rsidRPr="00AC021F">
        <w:t>I.</w:t>
      </w:r>
      <w:r w:rsidRPr="00AC021F">
        <w:tab/>
        <w:t>Введение</w:t>
      </w:r>
    </w:p>
    <w:p w:rsidR="008A727D" w:rsidRPr="008A727D" w:rsidRDefault="008A727D" w:rsidP="008A727D">
      <w:pPr>
        <w:pStyle w:val="SingleTxt"/>
        <w:spacing w:after="0" w:line="120" w:lineRule="exact"/>
        <w:rPr>
          <w:sz w:val="10"/>
          <w:szCs w:val="20"/>
        </w:rPr>
      </w:pPr>
    </w:p>
    <w:p w:rsidR="008A727D" w:rsidRPr="008A727D" w:rsidRDefault="008A727D" w:rsidP="008A727D">
      <w:pPr>
        <w:pStyle w:val="SingleTxt"/>
        <w:spacing w:after="0" w:line="120" w:lineRule="exact"/>
        <w:rPr>
          <w:sz w:val="10"/>
          <w:szCs w:val="20"/>
        </w:rPr>
      </w:pP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1.</w:t>
      </w:r>
      <w:r w:rsidRPr="00AC021F">
        <w:rPr>
          <w:szCs w:val="20"/>
        </w:rPr>
        <w:tab/>
        <w:t>Двадцатая сессия Комитета по экологической политике (КЭП) состоялась 28−31 октября 2014 года в Женеве, Швейцария.</w:t>
      </w:r>
    </w:p>
    <w:p w:rsidR="008A727D" w:rsidRPr="008A727D" w:rsidRDefault="008A727D" w:rsidP="008A727D">
      <w:pPr>
        <w:pStyle w:val="SingleTxt"/>
        <w:spacing w:after="0" w:line="120" w:lineRule="exact"/>
        <w:rPr>
          <w:b/>
          <w:sz w:val="10"/>
          <w:szCs w:val="20"/>
        </w:rPr>
      </w:pPr>
    </w:p>
    <w:p w:rsidR="008A727D" w:rsidRPr="008A727D" w:rsidRDefault="008A727D" w:rsidP="008A727D">
      <w:pPr>
        <w:pStyle w:val="SingleTxt"/>
        <w:spacing w:after="0" w:line="120" w:lineRule="exact"/>
        <w:rPr>
          <w:b/>
          <w:sz w:val="10"/>
          <w:szCs w:val="20"/>
        </w:rPr>
      </w:pPr>
    </w:p>
    <w:p w:rsidR="00AC021F" w:rsidRPr="00AC021F" w:rsidRDefault="00AC021F" w:rsidP="008A727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021F">
        <w:tab/>
        <w:t>A.</w:t>
      </w:r>
      <w:r w:rsidRPr="00AC021F">
        <w:tab/>
        <w:t>Участники</w:t>
      </w:r>
    </w:p>
    <w:p w:rsidR="008A727D" w:rsidRPr="008A727D" w:rsidRDefault="008A727D" w:rsidP="008A727D">
      <w:pPr>
        <w:pStyle w:val="SingleTxt"/>
        <w:spacing w:after="0" w:line="120" w:lineRule="exact"/>
        <w:rPr>
          <w:sz w:val="10"/>
          <w:szCs w:val="20"/>
        </w:rPr>
      </w:pPr>
    </w:p>
    <w:p w:rsidR="008A727D" w:rsidRPr="008A727D" w:rsidRDefault="008A727D" w:rsidP="008A727D">
      <w:pPr>
        <w:pStyle w:val="SingleTxt"/>
        <w:spacing w:after="0" w:line="120" w:lineRule="exact"/>
        <w:rPr>
          <w:sz w:val="10"/>
          <w:szCs w:val="20"/>
        </w:rPr>
      </w:pP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2.</w:t>
      </w:r>
      <w:r w:rsidRPr="00AC021F">
        <w:rPr>
          <w:szCs w:val="20"/>
        </w:rPr>
        <w:tab/>
        <w:t>На сессии присутствовали делегации 40 госуда</w:t>
      </w:r>
      <w:proofErr w:type="gramStart"/>
      <w:r w:rsidRPr="00AC021F">
        <w:rPr>
          <w:szCs w:val="20"/>
        </w:rPr>
        <w:t>рств − чл</w:t>
      </w:r>
      <w:proofErr w:type="gramEnd"/>
      <w:r w:rsidRPr="00AC021F">
        <w:rPr>
          <w:szCs w:val="20"/>
        </w:rPr>
        <w:t xml:space="preserve">енов Европейской экономической комиссии (ЕЭК) Организации Объединенных Наций: </w:t>
      </w:r>
      <w:proofErr w:type="gramStart"/>
      <w:r w:rsidRPr="00AC021F">
        <w:rPr>
          <w:szCs w:val="20"/>
        </w:rPr>
        <w:t>Армении, Австрии, Азербайджана, Беларуси, Бельгии, Болгарии, Хорватии, Чешской Ре</w:t>
      </w:r>
      <w:r w:rsidRPr="00AC021F">
        <w:rPr>
          <w:szCs w:val="20"/>
        </w:rPr>
        <w:t>с</w:t>
      </w:r>
      <w:r w:rsidRPr="00AC021F">
        <w:rPr>
          <w:szCs w:val="20"/>
        </w:rPr>
        <w:t>публики, Дании, Эстонии, Финляндии, Франции, Грузии, Германии, Греции, Ве</w:t>
      </w:r>
      <w:r w:rsidRPr="00AC021F">
        <w:rPr>
          <w:szCs w:val="20"/>
        </w:rPr>
        <w:t>н</w:t>
      </w:r>
      <w:r w:rsidRPr="00AC021F">
        <w:rPr>
          <w:szCs w:val="20"/>
        </w:rPr>
        <w:t>грии, Италии, Кыргызстана, Латвии, Литвы, Черногории, Нидерландов, Норв</w:t>
      </w:r>
      <w:r w:rsidRPr="00AC021F">
        <w:rPr>
          <w:szCs w:val="20"/>
        </w:rPr>
        <w:t>е</w:t>
      </w:r>
      <w:r w:rsidRPr="00AC021F">
        <w:rPr>
          <w:szCs w:val="20"/>
        </w:rPr>
        <w:t>гии, Польши, Португалии, Республики Молдова, Румынии, Российской Федер</w:t>
      </w:r>
      <w:r w:rsidRPr="00AC021F">
        <w:rPr>
          <w:szCs w:val="20"/>
        </w:rPr>
        <w:t>а</w:t>
      </w:r>
      <w:r w:rsidRPr="00AC021F">
        <w:rPr>
          <w:szCs w:val="20"/>
        </w:rPr>
        <w:t>ции, Сербии, Словакии, Словении, Испании, Швеции, Швейцарии, Таджикист</w:t>
      </w:r>
      <w:r w:rsidRPr="00AC021F">
        <w:rPr>
          <w:szCs w:val="20"/>
        </w:rPr>
        <w:t>а</w:t>
      </w:r>
      <w:r w:rsidRPr="00AC021F">
        <w:rPr>
          <w:szCs w:val="20"/>
        </w:rPr>
        <w:t>на, бывшей югославской Республики Македония, Соединенного Королевства В</w:t>
      </w:r>
      <w:r w:rsidRPr="00AC021F">
        <w:rPr>
          <w:szCs w:val="20"/>
        </w:rPr>
        <w:t>е</w:t>
      </w:r>
      <w:r w:rsidRPr="00AC021F">
        <w:rPr>
          <w:szCs w:val="20"/>
        </w:rPr>
        <w:t>ликобритании и Северной Ирландии, Соединенных Штатов Америки, Украины и Узбекистана.</w:t>
      </w:r>
      <w:proofErr w:type="gramEnd"/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3.</w:t>
      </w:r>
      <w:r w:rsidRPr="00AC021F">
        <w:rPr>
          <w:szCs w:val="20"/>
        </w:rPr>
        <w:tab/>
        <w:t>В сессии КЭП принимали участие Председатели или заместители Предс</w:t>
      </w:r>
      <w:r w:rsidRPr="00AC021F">
        <w:rPr>
          <w:szCs w:val="20"/>
        </w:rPr>
        <w:t>е</w:t>
      </w:r>
      <w:r w:rsidRPr="00AC021F">
        <w:rPr>
          <w:szCs w:val="20"/>
        </w:rPr>
        <w:t xml:space="preserve">дателей следующих многосторонних природоохранных соглашений ЕЭК (МПС): </w:t>
      </w:r>
      <w:proofErr w:type="gramStart"/>
      <w:r w:rsidRPr="00AC021F">
        <w:rPr>
          <w:szCs w:val="20"/>
        </w:rPr>
        <w:t>Конвенции о трансграничном загрязнении воздуха на большие расстояния (Ко</w:t>
      </w:r>
      <w:r w:rsidRPr="00AC021F">
        <w:rPr>
          <w:szCs w:val="20"/>
        </w:rPr>
        <w:t>н</w:t>
      </w:r>
      <w:r w:rsidRPr="00AC021F">
        <w:rPr>
          <w:szCs w:val="20"/>
        </w:rPr>
        <w:t>венция по воздуху); Конвенции по охране и использованию трансграничных в</w:t>
      </w:r>
      <w:r w:rsidRPr="00AC021F">
        <w:rPr>
          <w:szCs w:val="20"/>
        </w:rPr>
        <w:t>о</w:t>
      </w:r>
      <w:r w:rsidRPr="00AC021F">
        <w:rPr>
          <w:szCs w:val="20"/>
        </w:rPr>
        <w:t>дотоков и международных озер (Конвенция по водам); Конвенции о трансгр</w:t>
      </w:r>
      <w:r w:rsidRPr="00AC021F">
        <w:rPr>
          <w:szCs w:val="20"/>
        </w:rPr>
        <w:t>а</w:t>
      </w:r>
      <w:r w:rsidRPr="00AC021F">
        <w:rPr>
          <w:szCs w:val="20"/>
        </w:rPr>
        <w:t>ничном воздействии промышленных аварий (Конвенция о промышленных авар</w:t>
      </w:r>
      <w:r w:rsidRPr="00AC021F">
        <w:rPr>
          <w:szCs w:val="20"/>
        </w:rPr>
        <w:t>и</w:t>
      </w:r>
      <w:r w:rsidRPr="00AC021F">
        <w:rPr>
          <w:szCs w:val="20"/>
        </w:rPr>
        <w:t>ях); Конвенции о доступе к информации, участии общественности в процессе принятия решений и доступе к правосудию по вопросам, касающимся окружа</w:t>
      </w:r>
      <w:r w:rsidRPr="00AC021F">
        <w:rPr>
          <w:szCs w:val="20"/>
        </w:rPr>
        <w:t>ю</w:t>
      </w:r>
      <w:r w:rsidRPr="00AC021F">
        <w:rPr>
          <w:szCs w:val="20"/>
        </w:rPr>
        <w:t>щей среды (</w:t>
      </w:r>
      <w:proofErr w:type="spellStart"/>
      <w:r w:rsidRPr="00AC021F">
        <w:rPr>
          <w:szCs w:val="20"/>
        </w:rPr>
        <w:t>Орхусская</w:t>
      </w:r>
      <w:proofErr w:type="spellEnd"/>
      <w:r w:rsidRPr="00AC021F">
        <w:rPr>
          <w:szCs w:val="20"/>
        </w:rPr>
        <w:t xml:space="preserve"> конвенция);</w:t>
      </w:r>
      <w:proofErr w:type="gramEnd"/>
      <w:r w:rsidRPr="00AC021F">
        <w:rPr>
          <w:szCs w:val="20"/>
        </w:rPr>
        <w:t xml:space="preserve"> и Протокола о регистрах выбросов и переносе загрязнителей (Протокол о РВПЗ).</w:t>
      </w:r>
    </w:p>
    <w:p w:rsidR="00AC021F" w:rsidRPr="00AC021F" w:rsidRDefault="00AC021F" w:rsidP="00CC3553">
      <w:pPr>
        <w:pStyle w:val="SingleTxt"/>
        <w:rPr>
          <w:szCs w:val="20"/>
        </w:rPr>
      </w:pPr>
      <w:r w:rsidRPr="00AC021F">
        <w:rPr>
          <w:szCs w:val="20"/>
        </w:rPr>
        <w:t>4.</w:t>
      </w:r>
      <w:r w:rsidRPr="00AC021F">
        <w:rPr>
          <w:szCs w:val="20"/>
        </w:rPr>
        <w:tab/>
        <w:t>Из системы Организации Объединенных Наций на сессии присутствовали представители Европейского регионального бюро Программы Организации Об</w:t>
      </w:r>
      <w:r w:rsidRPr="00AC021F">
        <w:rPr>
          <w:szCs w:val="20"/>
        </w:rPr>
        <w:t>ъ</w:t>
      </w:r>
      <w:r w:rsidRPr="00AC021F">
        <w:rPr>
          <w:szCs w:val="20"/>
        </w:rPr>
        <w:t>единенных Наций по окружающей среде (ЕРБ/ЮНЕП) и Европейского реги</w:t>
      </w:r>
      <w:r w:rsidRPr="00AC021F">
        <w:rPr>
          <w:szCs w:val="20"/>
        </w:rPr>
        <w:t>о</w:t>
      </w:r>
      <w:r w:rsidRPr="00AC021F">
        <w:rPr>
          <w:szCs w:val="20"/>
        </w:rPr>
        <w:t xml:space="preserve">нального бюро Всемирной организации здравоохранения (Евро/ВОЗ). </w:t>
      </w:r>
      <w:r w:rsidR="00CC3553">
        <w:rPr>
          <w:szCs w:val="20"/>
        </w:rPr>
        <w:t>По</w:t>
      </w:r>
      <w:r w:rsidRPr="00AC021F">
        <w:rPr>
          <w:szCs w:val="20"/>
        </w:rPr>
        <w:t xml:space="preserve"> видео- или телефонн</w:t>
      </w:r>
      <w:r w:rsidR="00CC3553">
        <w:rPr>
          <w:szCs w:val="20"/>
        </w:rPr>
        <w:t>ой</w:t>
      </w:r>
      <w:r w:rsidRPr="00AC021F">
        <w:rPr>
          <w:szCs w:val="20"/>
        </w:rPr>
        <w:t xml:space="preserve"> связ</w:t>
      </w:r>
      <w:r w:rsidR="00CC3553">
        <w:rPr>
          <w:szCs w:val="20"/>
        </w:rPr>
        <w:t>и</w:t>
      </w:r>
      <w:r w:rsidRPr="00AC021F">
        <w:rPr>
          <w:szCs w:val="20"/>
        </w:rPr>
        <w:t xml:space="preserve"> и посредством </w:t>
      </w:r>
      <w:proofErr w:type="spellStart"/>
      <w:r w:rsidRPr="00AC021F">
        <w:rPr>
          <w:szCs w:val="20"/>
        </w:rPr>
        <w:t>видеосообщени</w:t>
      </w:r>
      <w:r w:rsidR="00CC3553">
        <w:rPr>
          <w:szCs w:val="20"/>
        </w:rPr>
        <w:t>й</w:t>
      </w:r>
      <w:proofErr w:type="spellEnd"/>
      <w:r w:rsidRPr="00AC021F">
        <w:rPr>
          <w:szCs w:val="20"/>
        </w:rPr>
        <w:t xml:space="preserve"> в заседании участвовали представители следующих региональных комиссий Организации Объединенных Наций: Экономической и социальной комиссии для Азии и Тихого океана (ЭСКАТО); Экономической и социальной комиссии Организации Объединенных Наций для Западной Азии (ЭСКЗА); и Экономической комиссии для Латинской Америки и Карибского бассейна (ЭКЛАК).</w:t>
      </w: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5.</w:t>
      </w:r>
      <w:r w:rsidRPr="00AC021F">
        <w:rPr>
          <w:szCs w:val="20"/>
        </w:rPr>
        <w:tab/>
        <w:t xml:space="preserve">От Европейского союза (ЕС) в работе сессии </w:t>
      </w:r>
      <w:proofErr w:type="gramStart"/>
      <w:r w:rsidRPr="00AC021F">
        <w:rPr>
          <w:szCs w:val="20"/>
        </w:rPr>
        <w:t>участвовали</w:t>
      </w:r>
      <w:proofErr w:type="gramEnd"/>
      <w:r w:rsidRPr="00AC021F">
        <w:rPr>
          <w:szCs w:val="20"/>
        </w:rPr>
        <w:t xml:space="preserve"> представили С</w:t>
      </w:r>
      <w:r w:rsidRPr="00AC021F">
        <w:rPr>
          <w:szCs w:val="20"/>
        </w:rPr>
        <w:t>о</w:t>
      </w:r>
      <w:r w:rsidRPr="00AC021F">
        <w:rPr>
          <w:szCs w:val="20"/>
        </w:rPr>
        <w:t>вета ЕС, Европейской комиссии, Постоянной делегации ЕС при Отделении Орг</w:t>
      </w:r>
      <w:r w:rsidRPr="00AC021F">
        <w:rPr>
          <w:szCs w:val="20"/>
        </w:rPr>
        <w:t>а</w:t>
      </w:r>
      <w:r w:rsidRPr="00AC021F">
        <w:rPr>
          <w:szCs w:val="20"/>
        </w:rPr>
        <w:t>низации Объединенных Наций в Женеве, Европейского агентства по окружа</w:t>
      </w:r>
      <w:r w:rsidRPr="00AC021F">
        <w:rPr>
          <w:szCs w:val="20"/>
        </w:rPr>
        <w:t>ю</w:t>
      </w:r>
      <w:r w:rsidRPr="00AC021F">
        <w:rPr>
          <w:szCs w:val="20"/>
        </w:rPr>
        <w:t>щей среде (ЕАОС) и Европейского инвестиционного банка.</w:t>
      </w: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6.</w:t>
      </w:r>
      <w:r w:rsidRPr="00AC021F">
        <w:rPr>
          <w:szCs w:val="20"/>
        </w:rPr>
        <w:tab/>
        <w:t>На сессии присутствовали также представители Регионального экологич</w:t>
      </w:r>
      <w:r w:rsidRPr="00AC021F">
        <w:rPr>
          <w:szCs w:val="20"/>
        </w:rPr>
        <w:t>е</w:t>
      </w:r>
      <w:r w:rsidRPr="00AC021F">
        <w:rPr>
          <w:szCs w:val="20"/>
        </w:rPr>
        <w:t>ского центра для Центральной и Восточной Европы, Регионального экологич</w:t>
      </w:r>
      <w:r w:rsidRPr="00AC021F">
        <w:rPr>
          <w:szCs w:val="20"/>
        </w:rPr>
        <w:t>е</w:t>
      </w:r>
      <w:r w:rsidRPr="00AC021F">
        <w:rPr>
          <w:szCs w:val="20"/>
        </w:rPr>
        <w:t>ского центра для Кавказа, Регионального экологического центра для Централ</w:t>
      </w:r>
      <w:r w:rsidRPr="00AC021F">
        <w:rPr>
          <w:szCs w:val="20"/>
        </w:rPr>
        <w:t>ь</w:t>
      </w:r>
      <w:r w:rsidRPr="00AC021F">
        <w:rPr>
          <w:szCs w:val="20"/>
        </w:rPr>
        <w:t>ной Азии и Регионального экологического центра для Республики Молдова.</w:t>
      </w:r>
    </w:p>
    <w:p w:rsidR="00AC021F" w:rsidRPr="00AC021F" w:rsidRDefault="00AC021F" w:rsidP="00CC3553">
      <w:pPr>
        <w:pStyle w:val="SingleTxt"/>
        <w:rPr>
          <w:szCs w:val="20"/>
        </w:rPr>
      </w:pPr>
      <w:r w:rsidRPr="00AC021F">
        <w:rPr>
          <w:szCs w:val="20"/>
        </w:rPr>
        <w:t>7.</w:t>
      </w:r>
      <w:r w:rsidRPr="00AC021F">
        <w:rPr>
          <w:szCs w:val="20"/>
        </w:rPr>
        <w:tab/>
        <w:t>Кроме того, в заседании принимали участие представители следующих природоохранных ассоциаций гражданского общества:</w:t>
      </w:r>
      <w:r w:rsidR="00EC398C">
        <w:rPr>
          <w:szCs w:val="20"/>
        </w:rPr>
        <w:t xml:space="preserve"> «</w:t>
      </w:r>
      <w:r w:rsidRPr="00AC021F">
        <w:rPr>
          <w:szCs w:val="20"/>
        </w:rPr>
        <w:t>Эко-согласие</w:t>
      </w:r>
      <w:r w:rsidR="00EC398C">
        <w:rPr>
          <w:szCs w:val="20"/>
        </w:rPr>
        <w:t>»</w:t>
      </w:r>
      <w:r w:rsidRPr="00AC021F">
        <w:rPr>
          <w:szCs w:val="20"/>
        </w:rPr>
        <w:t>; Европе</w:t>
      </w:r>
      <w:r w:rsidRPr="00AC021F">
        <w:rPr>
          <w:szCs w:val="20"/>
        </w:rPr>
        <w:t>й</w:t>
      </w:r>
      <w:r w:rsidRPr="00AC021F">
        <w:rPr>
          <w:szCs w:val="20"/>
        </w:rPr>
        <w:t>ск</w:t>
      </w:r>
      <w:r w:rsidR="00CC3553">
        <w:rPr>
          <w:szCs w:val="20"/>
        </w:rPr>
        <w:t>ого</w:t>
      </w:r>
      <w:r w:rsidRPr="00AC021F">
        <w:rPr>
          <w:szCs w:val="20"/>
        </w:rPr>
        <w:t xml:space="preserve"> Эко-Форум</w:t>
      </w:r>
      <w:r w:rsidR="00CC3553">
        <w:rPr>
          <w:szCs w:val="20"/>
        </w:rPr>
        <w:t>а</w:t>
      </w:r>
      <w:r w:rsidRPr="00AC021F">
        <w:rPr>
          <w:szCs w:val="20"/>
        </w:rPr>
        <w:t>; Европейского экологического бюро; Альянса по охране зд</w:t>
      </w:r>
      <w:r w:rsidRPr="00AC021F">
        <w:rPr>
          <w:szCs w:val="20"/>
        </w:rPr>
        <w:t>о</w:t>
      </w:r>
      <w:r w:rsidRPr="00AC021F">
        <w:rPr>
          <w:szCs w:val="20"/>
        </w:rPr>
        <w:t>ровья и окружающей среды (АЗОС); Всеукраинской экологической обществе</w:t>
      </w:r>
      <w:r w:rsidRPr="00AC021F">
        <w:rPr>
          <w:szCs w:val="20"/>
        </w:rPr>
        <w:t>н</w:t>
      </w:r>
      <w:r w:rsidRPr="00AC021F">
        <w:rPr>
          <w:szCs w:val="20"/>
        </w:rPr>
        <w:t xml:space="preserve">ной организации </w:t>
      </w:r>
      <w:r w:rsidR="00EC398C">
        <w:rPr>
          <w:szCs w:val="20"/>
        </w:rPr>
        <w:t>«</w:t>
      </w:r>
      <w:r w:rsidRPr="00AC021F">
        <w:rPr>
          <w:szCs w:val="20"/>
        </w:rPr>
        <w:t>МАМА-86</w:t>
      </w:r>
      <w:r w:rsidR="00EC398C">
        <w:rPr>
          <w:szCs w:val="20"/>
        </w:rPr>
        <w:t>»</w:t>
      </w:r>
      <w:r w:rsidRPr="00AC021F">
        <w:rPr>
          <w:szCs w:val="20"/>
        </w:rPr>
        <w:t xml:space="preserve">; и экологической сети </w:t>
      </w:r>
      <w:r w:rsidR="00EC398C">
        <w:rPr>
          <w:szCs w:val="20"/>
        </w:rPr>
        <w:t>«</w:t>
      </w:r>
      <w:r w:rsidRPr="00AC021F">
        <w:rPr>
          <w:szCs w:val="20"/>
        </w:rPr>
        <w:t>Зои</w:t>
      </w:r>
      <w:r w:rsidR="00EC398C">
        <w:rPr>
          <w:szCs w:val="20"/>
        </w:rPr>
        <w:t>»</w:t>
      </w:r>
      <w:r w:rsidRPr="00AC021F">
        <w:rPr>
          <w:szCs w:val="20"/>
        </w:rPr>
        <w:t>.</w:t>
      </w:r>
    </w:p>
    <w:p w:rsidR="008A727D" w:rsidRPr="008A727D" w:rsidRDefault="008A727D" w:rsidP="008A727D">
      <w:pPr>
        <w:pStyle w:val="SingleTxt"/>
        <w:spacing w:after="0" w:line="120" w:lineRule="exact"/>
        <w:rPr>
          <w:b/>
          <w:sz w:val="10"/>
          <w:szCs w:val="20"/>
        </w:rPr>
      </w:pPr>
    </w:p>
    <w:p w:rsidR="008A727D" w:rsidRPr="008A727D" w:rsidRDefault="008A727D" w:rsidP="008A727D">
      <w:pPr>
        <w:pStyle w:val="SingleTxt"/>
        <w:spacing w:after="0" w:line="120" w:lineRule="exact"/>
        <w:rPr>
          <w:b/>
          <w:sz w:val="10"/>
          <w:szCs w:val="20"/>
        </w:rPr>
      </w:pPr>
    </w:p>
    <w:p w:rsidR="00AC021F" w:rsidRPr="00AC021F" w:rsidRDefault="00AC021F" w:rsidP="008A727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021F">
        <w:lastRenderedPageBreak/>
        <w:tab/>
        <w:t>B.</w:t>
      </w:r>
      <w:r w:rsidRPr="00AC021F">
        <w:tab/>
        <w:t>Открытие сессии и организационные вопросы</w:t>
      </w:r>
    </w:p>
    <w:p w:rsidR="008A727D" w:rsidRPr="008A727D" w:rsidRDefault="008A727D" w:rsidP="008A727D">
      <w:pPr>
        <w:pStyle w:val="SingleTxt"/>
        <w:spacing w:after="0" w:line="120" w:lineRule="exact"/>
        <w:rPr>
          <w:sz w:val="10"/>
          <w:szCs w:val="20"/>
        </w:rPr>
      </w:pPr>
    </w:p>
    <w:p w:rsidR="008A727D" w:rsidRPr="008A727D" w:rsidRDefault="008A727D" w:rsidP="008A727D">
      <w:pPr>
        <w:pStyle w:val="SingleTxt"/>
        <w:spacing w:after="0" w:line="120" w:lineRule="exact"/>
        <w:rPr>
          <w:sz w:val="10"/>
          <w:szCs w:val="20"/>
        </w:rPr>
      </w:pPr>
    </w:p>
    <w:p w:rsidR="00AC021F" w:rsidRPr="00AC021F" w:rsidRDefault="00AC021F" w:rsidP="005E337A">
      <w:pPr>
        <w:pStyle w:val="SingleTxt"/>
        <w:rPr>
          <w:szCs w:val="20"/>
        </w:rPr>
      </w:pPr>
      <w:r w:rsidRPr="00AC021F">
        <w:rPr>
          <w:szCs w:val="20"/>
        </w:rPr>
        <w:t>8.</w:t>
      </w:r>
      <w:r w:rsidRPr="00AC021F">
        <w:rPr>
          <w:szCs w:val="20"/>
        </w:rPr>
        <w:tab/>
        <w:t>В своем вступительном обращении к КЭП Исполнительный секретарь ЕЭК подчеркнул, что глобальные цели и задачи</w:t>
      </w:r>
      <w:r w:rsidR="005E337A">
        <w:rPr>
          <w:szCs w:val="20"/>
        </w:rPr>
        <w:t>,</w:t>
      </w:r>
      <w:r w:rsidRPr="00AC021F">
        <w:rPr>
          <w:szCs w:val="20"/>
        </w:rPr>
        <w:t xml:space="preserve"> и в частности цели в области усто</w:t>
      </w:r>
      <w:r w:rsidRPr="00AC021F">
        <w:rPr>
          <w:szCs w:val="20"/>
        </w:rPr>
        <w:t>й</w:t>
      </w:r>
      <w:r w:rsidRPr="00AC021F">
        <w:rPr>
          <w:szCs w:val="20"/>
        </w:rPr>
        <w:t>чивого развития (ЦУР)</w:t>
      </w:r>
      <w:r w:rsidR="005E337A">
        <w:rPr>
          <w:szCs w:val="20"/>
        </w:rPr>
        <w:t>,</w:t>
      </w:r>
      <w:r w:rsidRPr="00AC021F">
        <w:rPr>
          <w:szCs w:val="20"/>
        </w:rPr>
        <w:t xml:space="preserve"> будут иметь реальный эффект только в случае их прео</w:t>
      </w:r>
      <w:r w:rsidRPr="00AC021F">
        <w:rPr>
          <w:szCs w:val="20"/>
        </w:rPr>
        <w:t>б</w:t>
      </w:r>
      <w:r w:rsidRPr="00AC021F">
        <w:rPr>
          <w:szCs w:val="20"/>
        </w:rPr>
        <w:t>разования в конкретные рекомендации, стандарты, статистические данные, ко</w:t>
      </w:r>
      <w:r w:rsidRPr="00AC021F">
        <w:rPr>
          <w:szCs w:val="20"/>
        </w:rPr>
        <w:t>н</w:t>
      </w:r>
      <w:r w:rsidRPr="00AC021F">
        <w:rPr>
          <w:szCs w:val="20"/>
        </w:rPr>
        <w:t xml:space="preserve">венции и инструменты политики, которые могут быть и были использованы странами. В этой связи работа ЕЭК в области окружающей среды имела крайне </w:t>
      </w:r>
      <w:proofErr w:type="gramStart"/>
      <w:r w:rsidRPr="00AC021F">
        <w:rPr>
          <w:szCs w:val="20"/>
        </w:rPr>
        <w:t>важное значение</w:t>
      </w:r>
      <w:proofErr w:type="gramEnd"/>
      <w:r w:rsidRPr="00AC021F">
        <w:rPr>
          <w:szCs w:val="20"/>
        </w:rPr>
        <w:t xml:space="preserve"> как для отдельного региона </w:t>
      </w:r>
      <w:r w:rsidR="00EC398C">
        <w:rPr>
          <w:szCs w:val="20"/>
        </w:rPr>
        <w:t>–</w:t>
      </w:r>
      <w:r w:rsidRPr="00AC021F">
        <w:rPr>
          <w:szCs w:val="20"/>
        </w:rPr>
        <w:t xml:space="preserve"> от Владивостока до Аляски </w:t>
      </w:r>
      <w:r w:rsidR="00EC398C">
        <w:rPr>
          <w:szCs w:val="20"/>
        </w:rPr>
        <w:t>–</w:t>
      </w:r>
      <w:r w:rsidRPr="00AC021F">
        <w:rPr>
          <w:szCs w:val="20"/>
        </w:rPr>
        <w:t xml:space="preserve"> так и для всего остального мира.</w:t>
      </w:r>
    </w:p>
    <w:p w:rsidR="00AC021F" w:rsidRPr="00AC021F" w:rsidRDefault="00AC021F" w:rsidP="00EC398C">
      <w:pPr>
        <w:pStyle w:val="SingleTxt"/>
        <w:rPr>
          <w:szCs w:val="20"/>
        </w:rPr>
      </w:pPr>
      <w:r w:rsidRPr="00AC021F">
        <w:rPr>
          <w:szCs w:val="20"/>
        </w:rPr>
        <w:t>9.</w:t>
      </w:r>
      <w:r w:rsidRPr="00AC021F">
        <w:rPr>
          <w:szCs w:val="20"/>
        </w:rPr>
        <w:tab/>
        <w:t>Директор Отдела окружающей среды отметил основные глобальные экол</w:t>
      </w:r>
      <w:r w:rsidRPr="00AC021F">
        <w:rPr>
          <w:szCs w:val="20"/>
        </w:rPr>
        <w:t>о</w:t>
      </w:r>
      <w:r w:rsidRPr="00AC021F">
        <w:rPr>
          <w:szCs w:val="20"/>
        </w:rPr>
        <w:t>гические вызовы, подчеркнув эффективную работу, проделанную КЭП в целях поддержки усилий стран по укреплению экологического руководства. Что кас</w:t>
      </w:r>
      <w:r w:rsidRPr="00AC021F">
        <w:rPr>
          <w:szCs w:val="20"/>
        </w:rPr>
        <w:t>а</w:t>
      </w:r>
      <w:r w:rsidRPr="00AC021F">
        <w:rPr>
          <w:szCs w:val="20"/>
        </w:rPr>
        <w:t>ется будущего, то была выражена надежда на то, что работа восьмой Конфере</w:t>
      </w:r>
      <w:r w:rsidRPr="00AC021F">
        <w:rPr>
          <w:szCs w:val="20"/>
        </w:rPr>
        <w:t>н</w:t>
      </w:r>
      <w:r w:rsidRPr="00AC021F">
        <w:rPr>
          <w:szCs w:val="20"/>
        </w:rPr>
        <w:t xml:space="preserve">ция министров </w:t>
      </w:r>
      <w:r w:rsidR="00EC398C">
        <w:rPr>
          <w:szCs w:val="20"/>
        </w:rPr>
        <w:t>«</w:t>
      </w:r>
      <w:r w:rsidRPr="00AC021F">
        <w:rPr>
          <w:szCs w:val="20"/>
        </w:rPr>
        <w:t>Окружающая среда для Европы</w:t>
      </w:r>
      <w:r w:rsidR="00EC398C">
        <w:rPr>
          <w:szCs w:val="20"/>
        </w:rPr>
        <w:t>»</w:t>
      </w:r>
      <w:r w:rsidRPr="00AC021F">
        <w:rPr>
          <w:szCs w:val="20"/>
        </w:rPr>
        <w:t xml:space="preserve"> (ОСЕ), которая будет провед</w:t>
      </w:r>
      <w:r w:rsidRPr="00AC021F">
        <w:rPr>
          <w:szCs w:val="20"/>
        </w:rPr>
        <w:t>е</w:t>
      </w:r>
      <w:r w:rsidRPr="00AC021F">
        <w:rPr>
          <w:szCs w:val="20"/>
        </w:rPr>
        <w:t>на в 2016 году в Батуми, Грузия, внесет ценный вклад в улучшение состояния окружающей среды в общеевропейском регионе</w:t>
      </w:r>
      <w:r w:rsidRPr="00EC398C">
        <w:rPr>
          <w:szCs w:val="20"/>
          <w:vertAlign w:val="superscript"/>
        </w:rPr>
        <w:footnoteReference w:id="1"/>
      </w:r>
      <w:r w:rsidRPr="00AC021F">
        <w:rPr>
          <w:szCs w:val="20"/>
        </w:rPr>
        <w:t>.</w:t>
      </w: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 xml:space="preserve">10. </w:t>
      </w:r>
      <w:r w:rsidR="005E337A">
        <w:rPr>
          <w:szCs w:val="20"/>
        </w:rPr>
        <w:tab/>
      </w:r>
      <w:r w:rsidRPr="00AC021F">
        <w:rPr>
          <w:szCs w:val="20"/>
        </w:rPr>
        <w:t>Председатель КЭП приветствовал участников, напомнив им об основных целях сессии, и отметил, что совещание планируется провести с минимальным использованием бумажной документации</w:t>
      </w:r>
      <w:r w:rsidRPr="00EC398C">
        <w:rPr>
          <w:szCs w:val="20"/>
          <w:vertAlign w:val="superscript"/>
        </w:rPr>
        <w:footnoteReference w:id="2"/>
      </w:r>
      <w:r w:rsidRPr="00AC021F">
        <w:rPr>
          <w:szCs w:val="20"/>
        </w:rPr>
        <w:t>.</w:t>
      </w:r>
    </w:p>
    <w:p w:rsidR="00AC021F" w:rsidRPr="00AC021F" w:rsidRDefault="00AC021F" w:rsidP="00EC398C">
      <w:pPr>
        <w:pStyle w:val="SingleTxt"/>
        <w:rPr>
          <w:szCs w:val="20"/>
        </w:rPr>
      </w:pPr>
      <w:r w:rsidRPr="00AC021F">
        <w:rPr>
          <w:szCs w:val="20"/>
        </w:rPr>
        <w:t>11.</w:t>
      </w:r>
      <w:r w:rsidRPr="00AC021F">
        <w:rPr>
          <w:szCs w:val="20"/>
        </w:rPr>
        <w:tab/>
        <w:t>В ходе сессии было проведено два параллельных мероприятия, организ</w:t>
      </w:r>
      <w:r w:rsidRPr="00AC021F">
        <w:rPr>
          <w:szCs w:val="20"/>
        </w:rPr>
        <w:t>о</w:t>
      </w:r>
      <w:r w:rsidRPr="00AC021F">
        <w:rPr>
          <w:szCs w:val="20"/>
        </w:rPr>
        <w:t xml:space="preserve">ванных ЮНЕП: </w:t>
      </w:r>
      <w:r w:rsidR="00EC398C">
        <w:rPr>
          <w:szCs w:val="20"/>
        </w:rPr>
        <w:t>«</w:t>
      </w:r>
      <w:r w:rsidRPr="00AC021F">
        <w:rPr>
          <w:szCs w:val="20"/>
        </w:rPr>
        <w:t>Первое региональное совещание Восточной Европы по Десят</w:t>
      </w:r>
      <w:r w:rsidRPr="00AC021F">
        <w:rPr>
          <w:szCs w:val="20"/>
        </w:rPr>
        <w:t>и</w:t>
      </w:r>
      <w:r w:rsidRPr="00AC021F">
        <w:rPr>
          <w:szCs w:val="20"/>
        </w:rPr>
        <w:t>летним рамочным программам по рациональным моделям потребления и прои</w:t>
      </w:r>
      <w:r w:rsidRPr="00AC021F">
        <w:rPr>
          <w:szCs w:val="20"/>
        </w:rPr>
        <w:t>з</w:t>
      </w:r>
      <w:r w:rsidRPr="00AC021F">
        <w:rPr>
          <w:szCs w:val="20"/>
        </w:rPr>
        <w:t xml:space="preserve">водства </w:t>
      </w:r>
      <w:r w:rsidR="00EC398C">
        <w:rPr>
          <w:szCs w:val="20"/>
        </w:rPr>
        <w:t>–</w:t>
      </w:r>
      <w:r w:rsidRPr="00AC021F">
        <w:rPr>
          <w:szCs w:val="20"/>
        </w:rPr>
        <w:t xml:space="preserve"> региональные меры</w:t>
      </w:r>
      <w:r w:rsidR="00EC398C">
        <w:rPr>
          <w:szCs w:val="20"/>
        </w:rPr>
        <w:t>»</w:t>
      </w:r>
      <w:r w:rsidRPr="00AC021F">
        <w:rPr>
          <w:szCs w:val="20"/>
        </w:rPr>
        <w:t xml:space="preserve"> 27 октября; и </w:t>
      </w:r>
      <w:r w:rsidR="00EC398C">
        <w:rPr>
          <w:szCs w:val="20"/>
        </w:rPr>
        <w:t>«</w:t>
      </w:r>
      <w:r w:rsidRPr="00AC021F">
        <w:rPr>
          <w:szCs w:val="20"/>
        </w:rPr>
        <w:t>Итоги проведения первой Асса</w:t>
      </w:r>
      <w:r w:rsidRPr="00AC021F">
        <w:rPr>
          <w:szCs w:val="20"/>
        </w:rPr>
        <w:t>м</w:t>
      </w:r>
      <w:r w:rsidRPr="00AC021F">
        <w:rPr>
          <w:szCs w:val="20"/>
        </w:rPr>
        <w:t>блеи Организации Объединенных Наций по окружающей среде и ее значение для деятельности ЮНЕП в Европейском регионе</w:t>
      </w:r>
      <w:r w:rsidR="00EC398C">
        <w:rPr>
          <w:szCs w:val="20"/>
        </w:rPr>
        <w:t>»</w:t>
      </w:r>
      <w:r w:rsidRPr="00AC021F">
        <w:rPr>
          <w:szCs w:val="20"/>
        </w:rPr>
        <w:t xml:space="preserve"> 28 октября.</w:t>
      </w: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12.</w:t>
      </w:r>
      <w:r w:rsidRPr="00AC021F">
        <w:rPr>
          <w:szCs w:val="20"/>
        </w:rPr>
        <w:tab/>
        <w:t>Были утверждены повестка дня (ЕСЕ/СЕР/2014/1) и предложенное распис</w:t>
      </w:r>
      <w:r w:rsidRPr="00AC021F">
        <w:rPr>
          <w:szCs w:val="20"/>
        </w:rPr>
        <w:t>а</w:t>
      </w:r>
      <w:r w:rsidRPr="00AC021F">
        <w:rPr>
          <w:szCs w:val="20"/>
        </w:rPr>
        <w:t>ние работы (информационный документ № 1).</w:t>
      </w: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13.</w:t>
      </w:r>
      <w:r w:rsidRPr="00AC021F">
        <w:rPr>
          <w:szCs w:val="20"/>
        </w:rPr>
        <w:tab/>
        <w:t xml:space="preserve">КЭП избрал своих Председателя и заместителя Председателя </w:t>
      </w:r>
      <w:r w:rsidR="00EC398C">
        <w:rPr>
          <w:szCs w:val="20"/>
        </w:rPr>
        <w:br/>
      </w:r>
      <w:r w:rsidRPr="00AC021F">
        <w:rPr>
          <w:szCs w:val="20"/>
        </w:rPr>
        <w:t>(см. пункт 98 b)) и выразил свою признательность членам Президиума, заве</w:t>
      </w:r>
      <w:r w:rsidRPr="00AC021F">
        <w:rPr>
          <w:szCs w:val="20"/>
        </w:rPr>
        <w:t>р</w:t>
      </w:r>
      <w:r w:rsidRPr="00AC021F">
        <w:rPr>
          <w:szCs w:val="20"/>
        </w:rPr>
        <w:t>шившим работу в его составе, отметив их целеустремленное участие в природ</w:t>
      </w:r>
      <w:r w:rsidRPr="00AC021F">
        <w:rPr>
          <w:szCs w:val="20"/>
        </w:rPr>
        <w:t>о</w:t>
      </w:r>
      <w:r w:rsidRPr="00AC021F">
        <w:rPr>
          <w:szCs w:val="20"/>
        </w:rPr>
        <w:t>охранной деятельности ЕЭК.</w:t>
      </w:r>
    </w:p>
    <w:p w:rsidR="00EC398C" w:rsidRPr="00EC398C" w:rsidRDefault="00EC398C" w:rsidP="00EC398C">
      <w:pPr>
        <w:pStyle w:val="SingleTxt"/>
        <w:spacing w:after="0" w:line="120" w:lineRule="exact"/>
        <w:rPr>
          <w:b/>
          <w:sz w:val="10"/>
          <w:szCs w:val="20"/>
        </w:rPr>
      </w:pPr>
    </w:p>
    <w:p w:rsidR="00EC398C" w:rsidRPr="00EC398C" w:rsidRDefault="00EC398C" w:rsidP="00EC398C">
      <w:pPr>
        <w:pStyle w:val="SingleTxt"/>
        <w:spacing w:after="0" w:line="120" w:lineRule="exact"/>
        <w:rPr>
          <w:b/>
          <w:sz w:val="10"/>
          <w:szCs w:val="20"/>
        </w:rPr>
      </w:pPr>
    </w:p>
    <w:p w:rsidR="00AC021F" w:rsidRPr="00AC021F" w:rsidRDefault="00AC021F" w:rsidP="00EC39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021F">
        <w:tab/>
        <w:t>II.</w:t>
      </w:r>
      <w:r w:rsidRPr="00AC021F">
        <w:tab/>
        <w:t>Итоги работы Президиума</w:t>
      </w:r>
    </w:p>
    <w:p w:rsidR="00EC398C" w:rsidRPr="00EC398C" w:rsidRDefault="00EC398C" w:rsidP="00EC398C">
      <w:pPr>
        <w:pStyle w:val="SingleTxt"/>
        <w:spacing w:after="0" w:line="120" w:lineRule="exact"/>
        <w:rPr>
          <w:sz w:val="10"/>
          <w:szCs w:val="20"/>
        </w:rPr>
      </w:pPr>
    </w:p>
    <w:p w:rsidR="00EC398C" w:rsidRPr="00EC398C" w:rsidRDefault="00EC398C" w:rsidP="00EC398C">
      <w:pPr>
        <w:pStyle w:val="SingleTxt"/>
        <w:spacing w:after="0" w:line="120" w:lineRule="exact"/>
        <w:rPr>
          <w:sz w:val="10"/>
          <w:szCs w:val="20"/>
        </w:rPr>
      </w:pP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14.</w:t>
      </w:r>
      <w:r w:rsidRPr="00AC021F">
        <w:rPr>
          <w:szCs w:val="20"/>
        </w:rPr>
        <w:tab/>
        <w:t>Председатель представил доклад Президиума о результатах его работы за период с ноября 2013 года по июнь 2014 года (ECE/CEP/2014/3), в частности по следующим вопросам:</w:t>
      </w:r>
    </w:p>
    <w:p w:rsidR="00AC021F" w:rsidRPr="00AC021F" w:rsidRDefault="00EC398C" w:rsidP="00AC021F">
      <w:pPr>
        <w:pStyle w:val="SingleTxt"/>
        <w:rPr>
          <w:szCs w:val="20"/>
        </w:rPr>
      </w:pPr>
      <w:r>
        <w:rPr>
          <w:szCs w:val="20"/>
        </w:rPr>
        <w:tab/>
      </w:r>
      <w:r w:rsidR="00AC021F" w:rsidRPr="00AC021F">
        <w:rPr>
          <w:szCs w:val="20"/>
        </w:rPr>
        <w:t>a)</w:t>
      </w:r>
      <w:r w:rsidR="00AC021F" w:rsidRPr="00AC021F">
        <w:rPr>
          <w:szCs w:val="20"/>
        </w:rPr>
        <w:tab/>
        <w:t>ускорение подготовки к восьмой Конференции министров ОСЕ;</w:t>
      </w:r>
    </w:p>
    <w:p w:rsidR="00AC021F" w:rsidRPr="00AC021F" w:rsidRDefault="00EC398C" w:rsidP="00AC021F">
      <w:pPr>
        <w:pStyle w:val="SingleTxt"/>
        <w:rPr>
          <w:szCs w:val="20"/>
        </w:rPr>
      </w:pPr>
      <w:r>
        <w:rPr>
          <w:szCs w:val="20"/>
        </w:rPr>
        <w:tab/>
      </w:r>
      <w:r w:rsidR="00AC021F" w:rsidRPr="00AC021F">
        <w:rPr>
          <w:szCs w:val="20"/>
        </w:rPr>
        <w:t>b)</w:t>
      </w:r>
      <w:r w:rsidR="00AC021F" w:rsidRPr="00AC021F">
        <w:rPr>
          <w:szCs w:val="20"/>
        </w:rPr>
        <w:tab/>
        <w:t xml:space="preserve">вклад ЕЭК в европейский процесс </w:t>
      </w:r>
      <w:r>
        <w:rPr>
          <w:szCs w:val="20"/>
        </w:rPr>
        <w:t>«</w:t>
      </w:r>
      <w:r w:rsidR="00AC021F" w:rsidRPr="00AC021F">
        <w:rPr>
          <w:szCs w:val="20"/>
        </w:rPr>
        <w:t>Окружающая среда и здоровье</w:t>
      </w:r>
      <w:r>
        <w:rPr>
          <w:szCs w:val="20"/>
        </w:rPr>
        <w:t>»</w:t>
      </w:r>
      <w:r w:rsidR="00AC021F" w:rsidRPr="00AC021F">
        <w:rPr>
          <w:szCs w:val="20"/>
        </w:rPr>
        <w:t>;</w:t>
      </w:r>
    </w:p>
    <w:p w:rsidR="00AC021F" w:rsidRPr="00AC021F" w:rsidRDefault="00EC398C" w:rsidP="00AC021F">
      <w:pPr>
        <w:pStyle w:val="SingleTxt"/>
        <w:rPr>
          <w:szCs w:val="20"/>
        </w:rPr>
      </w:pPr>
      <w:r>
        <w:rPr>
          <w:szCs w:val="20"/>
        </w:rPr>
        <w:tab/>
      </w:r>
      <w:r w:rsidR="00AC021F" w:rsidRPr="00AC021F">
        <w:rPr>
          <w:szCs w:val="20"/>
        </w:rPr>
        <w:t>с)</w:t>
      </w:r>
      <w:r w:rsidR="00AC021F" w:rsidRPr="00AC021F">
        <w:rPr>
          <w:szCs w:val="20"/>
        </w:rPr>
        <w:tab/>
        <w:t>обновление критериев оказания финансовой поддержки для участия в совещаниях и мероприятиях;</w:t>
      </w:r>
    </w:p>
    <w:p w:rsidR="00AC021F" w:rsidRPr="00AC021F" w:rsidRDefault="00EC398C" w:rsidP="00AC021F">
      <w:pPr>
        <w:pStyle w:val="SingleTxt"/>
        <w:rPr>
          <w:szCs w:val="20"/>
        </w:rPr>
      </w:pPr>
      <w:r>
        <w:rPr>
          <w:szCs w:val="20"/>
        </w:rPr>
        <w:tab/>
      </w:r>
      <w:r w:rsidR="00AC021F" w:rsidRPr="00AC021F">
        <w:rPr>
          <w:szCs w:val="20"/>
        </w:rPr>
        <w:t>d)</w:t>
      </w:r>
      <w:r w:rsidR="00AC021F" w:rsidRPr="00AC021F">
        <w:rPr>
          <w:szCs w:val="20"/>
        </w:rPr>
        <w:tab/>
        <w:t>продолжение разработки правил процедур КЭП.</w:t>
      </w: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lastRenderedPageBreak/>
        <w:t>15.</w:t>
      </w:r>
      <w:r w:rsidRPr="00AC021F">
        <w:rPr>
          <w:szCs w:val="20"/>
        </w:rPr>
        <w:tab/>
        <w:t>КЭП выразил признательность Президиуму за его хорошую работу и за э</w:t>
      </w:r>
      <w:r w:rsidRPr="00AC021F">
        <w:rPr>
          <w:szCs w:val="20"/>
        </w:rPr>
        <w:t>ф</w:t>
      </w:r>
      <w:r w:rsidRPr="00AC021F">
        <w:rPr>
          <w:szCs w:val="20"/>
        </w:rPr>
        <w:t>фективное выполнение им своих мандатов, а секретариату ЕЭК − за эффекти</w:t>
      </w:r>
      <w:r w:rsidRPr="00AC021F">
        <w:rPr>
          <w:szCs w:val="20"/>
        </w:rPr>
        <w:t>в</w:t>
      </w:r>
      <w:r w:rsidRPr="00AC021F">
        <w:rPr>
          <w:szCs w:val="20"/>
        </w:rPr>
        <w:t>ную и высококачественную поддержку, которую он оказывал Президиуму.</w:t>
      </w:r>
    </w:p>
    <w:p w:rsidR="00EC398C" w:rsidRPr="00EC398C" w:rsidRDefault="00EC398C" w:rsidP="00EC398C">
      <w:pPr>
        <w:pStyle w:val="SingleTxt"/>
        <w:spacing w:after="0" w:line="120" w:lineRule="exact"/>
        <w:rPr>
          <w:b/>
          <w:sz w:val="10"/>
          <w:szCs w:val="20"/>
        </w:rPr>
      </w:pPr>
    </w:p>
    <w:p w:rsidR="00EC398C" w:rsidRPr="00EC398C" w:rsidRDefault="00EC398C" w:rsidP="00EC398C">
      <w:pPr>
        <w:pStyle w:val="SingleTxt"/>
        <w:spacing w:after="0" w:line="120" w:lineRule="exact"/>
        <w:rPr>
          <w:b/>
          <w:sz w:val="10"/>
          <w:szCs w:val="20"/>
        </w:rPr>
      </w:pPr>
    </w:p>
    <w:p w:rsidR="00AC021F" w:rsidRPr="00AC021F" w:rsidRDefault="00AC021F" w:rsidP="00EC39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021F">
        <w:tab/>
        <w:t>III.</w:t>
      </w:r>
      <w:r w:rsidRPr="00AC021F">
        <w:tab/>
        <w:t xml:space="preserve">Устойчивое развитие в регионе Европейской экономической комиссии Организации </w:t>
      </w:r>
      <w:proofErr w:type="gramStart"/>
      <w:r w:rsidRPr="00AC021F">
        <w:t>Объединенных</w:t>
      </w:r>
      <w:proofErr w:type="gramEnd"/>
      <w:r w:rsidRPr="00AC021F">
        <w:t xml:space="preserve"> Наций</w:t>
      </w:r>
    </w:p>
    <w:p w:rsidR="00EC398C" w:rsidRPr="00EC398C" w:rsidRDefault="00EC398C" w:rsidP="00EC398C">
      <w:pPr>
        <w:pStyle w:val="SingleTxt"/>
        <w:spacing w:after="0" w:line="120" w:lineRule="exact"/>
        <w:rPr>
          <w:sz w:val="10"/>
          <w:szCs w:val="20"/>
        </w:rPr>
      </w:pPr>
    </w:p>
    <w:p w:rsidR="00EC398C" w:rsidRPr="00EC398C" w:rsidRDefault="00EC398C" w:rsidP="00EC398C">
      <w:pPr>
        <w:pStyle w:val="SingleTxt"/>
        <w:spacing w:after="0" w:line="120" w:lineRule="exact"/>
        <w:rPr>
          <w:sz w:val="10"/>
          <w:szCs w:val="20"/>
        </w:rPr>
      </w:pPr>
    </w:p>
    <w:p w:rsidR="00AC021F" w:rsidRPr="00AC021F" w:rsidRDefault="00AC021F" w:rsidP="00EC398C">
      <w:pPr>
        <w:pStyle w:val="SingleTxt"/>
        <w:rPr>
          <w:szCs w:val="20"/>
        </w:rPr>
      </w:pPr>
      <w:r w:rsidRPr="00AC021F">
        <w:rPr>
          <w:szCs w:val="20"/>
        </w:rPr>
        <w:t>16.</w:t>
      </w:r>
      <w:r w:rsidRPr="00AC021F">
        <w:rPr>
          <w:szCs w:val="20"/>
        </w:rPr>
        <w:tab/>
        <w:t>Главный советник Исполнительного секретаря ЕЭК в ее качестве координ</w:t>
      </w:r>
      <w:r w:rsidRPr="00AC021F">
        <w:rPr>
          <w:szCs w:val="20"/>
        </w:rPr>
        <w:t>а</w:t>
      </w:r>
      <w:r w:rsidRPr="00AC021F">
        <w:rPr>
          <w:szCs w:val="20"/>
        </w:rPr>
        <w:t xml:space="preserve">тора ЕЭК по Конференции Организации Объединенных Наций по устойчивому развитию (Конференция </w:t>
      </w:r>
      <w:r w:rsidR="00EC398C">
        <w:rPr>
          <w:szCs w:val="20"/>
        </w:rPr>
        <w:t>«</w:t>
      </w:r>
      <w:r w:rsidRPr="00AC021F">
        <w:rPr>
          <w:szCs w:val="20"/>
        </w:rPr>
        <w:t>Рио+20</w:t>
      </w:r>
      <w:r w:rsidR="00EC398C">
        <w:rPr>
          <w:szCs w:val="20"/>
        </w:rPr>
        <w:t>»</w:t>
      </w:r>
      <w:r w:rsidRPr="00AC021F">
        <w:rPr>
          <w:szCs w:val="20"/>
        </w:rPr>
        <w:t>) и процессу формирования повестки дня на период после 2015 года, представила информацию о последних событиях в рег</w:t>
      </w:r>
      <w:r w:rsidRPr="00AC021F">
        <w:rPr>
          <w:szCs w:val="20"/>
        </w:rPr>
        <w:t>и</w:t>
      </w:r>
      <w:r w:rsidRPr="00AC021F">
        <w:rPr>
          <w:szCs w:val="20"/>
        </w:rPr>
        <w:t>оне ЕЭК в этой области. Итоги региональной консультации по повестке дня в о</w:t>
      </w:r>
      <w:r w:rsidRPr="00AC021F">
        <w:rPr>
          <w:szCs w:val="20"/>
        </w:rPr>
        <w:t>б</w:t>
      </w:r>
      <w:r w:rsidRPr="00AC021F">
        <w:rPr>
          <w:szCs w:val="20"/>
        </w:rPr>
        <w:t xml:space="preserve">ласти развития на период после 2015 года: </w:t>
      </w:r>
      <w:r w:rsidR="00EC398C">
        <w:rPr>
          <w:szCs w:val="20"/>
        </w:rPr>
        <w:t>«</w:t>
      </w:r>
      <w:r w:rsidRPr="00AC021F">
        <w:rPr>
          <w:szCs w:val="20"/>
        </w:rPr>
        <w:t>Инклюзивное и устойчивое разв</w:t>
      </w:r>
      <w:r w:rsidRPr="00AC021F">
        <w:rPr>
          <w:szCs w:val="20"/>
        </w:rPr>
        <w:t>и</w:t>
      </w:r>
      <w:r w:rsidRPr="00AC021F">
        <w:rPr>
          <w:szCs w:val="20"/>
        </w:rPr>
        <w:t>тие: перспективы Европы и Центральной Азии по повестке дня в области разв</w:t>
      </w:r>
      <w:r w:rsidRPr="00AC021F">
        <w:rPr>
          <w:szCs w:val="20"/>
        </w:rPr>
        <w:t>и</w:t>
      </w:r>
      <w:r w:rsidRPr="00AC021F">
        <w:rPr>
          <w:szCs w:val="20"/>
        </w:rPr>
        <w:t>тия на период после 2015 года</w:t>
      </w:r>
      <w:r w:rsidR="00EC398C">
        <w:rPr>
          <w:szCs w:val="20"/>
        </w:rPr>
        <w:t>»</w:t>
      </w:r>
      <w:r w:rsidRPr="00AC021F">
        <w:rPr>
          <w:szCs w:val="20"/>
        </w:rPr>
        <w:t xml:space="preserve"> (Стамбул, Турция, 6</w:t>
      </w:r>
      <w:r w:rsidR="00EC398C">
        <w:rPr>
          <w:szCs w:val="20"/>
        </w:rPr>
        <w:t>–</w:t>
      </w:r>
      <w:r w:rsidRPr="00AC021F">
        <w:rPr>
          <w:szCs w:val="20"/>
        </w:rPr>
        <w:t>8 ноября 2013 года</w:t>
      </w:r>
      <w:r w:rsidRPr="00EC398C">
        <w:rPr>
          <w:szCs w:val="20"/>
          <w:vertAlign w:val="superscript"/>
        </w:rPr>
        <w:footnoteReference w:id="3"/>
      </w:r>
      <w:r w:rsidRPr="00AC021F">
        <w:rPr>
          <w:szCs w:val="20"/>
        </w:rPr>
        <w:t>, Ста</w:t>
      </w:r>
      <w:r w:rsidRPr="00AC021F">
        <w:rPr>
          <w:szCs w:val="20"/>
        </w:rPr>
        <w:t>м</w:t>
      </w:r>
      <w:r w:rsidRPr="00AC021F">
        <w:rPr>
          <w:szCs w:val="20"/>
        </w:rPr>
        <w:t>бул, Турция) внесли вклад в проведение второго совещания Политического ф</w:t>
      </w:r>
      <w:r w:rsidRPr="00AC021F">
        <w:rPr>
          <w:szCs w:val="20"/>
        </w:rPr>
        <w:t>о</w:t>
      </w:r>
      <w:r w:rsidRPr="00AC021F">
        <w:rPr>
          <w:szCs w:val="20"/>
        </w:rPr>
        <w:t>рума высокого уровня по устойчивому развитию (30 июня</w:t>
      </w:r>
      <w:r w:rsidR="00EC398C">
        <w:rPr>
          <w:szCs w:val="20"/>
        </w:rPr>
        <w:t xml:space="preserve"> – </w:t>
      </w:r>
      <w:r w:rsidRPr="00AC021F">
        <w:rPr>
          <w:szCs w:val="20"/>
        </w:rPr>
        <w:t>9 июля 2014 года, Нью-Йорк).</w:t>
      </w:r>
    </w:p>
    <w:p w:rsidR="00AC021F" w:rsidRPr="00AC021F" w:rsidRDefault="00AC021F" w:rsidP="00CC3553">
      <w:pPr>
        <w:pStyle w:val="SingleTxt"/>
        <w:rPr>
          <w:szCs w:val="20"/>
        </w:rPr>
      </w:pPr>
      <w:r w:rsidRPr="00AC021F">
        <w:rPr>
          <w:szCs w:val="20"/>
        </w:rPr>
        <w:t xml:space="preserve">17. </w:t>
      </w:r>
      <w:r w:rsidR="00EC398C">
        <w:rPr>
          <w:szCs w:val="20"/>
        </w:rPr>
        <w:tab/>
      </w:r>
      <w:r w:rsidRPr="00AC021F">
        <w:rPr>
          <w:szCs w:val="20"/>
        </w:rPr>
        <w:t>Шестьдесят шестая сессия ЕЭК (14–16 апреля 2015 года</w:t>
      </w:r>
      <w:r w:rsidRPr="00EC398C">
        <w:rPr>
          <w:szCs w:val="20"/>
          <w:vertAlign w:val="superscript"/>
        </w:rPr>
        <w:footnoteReference w:id="4"/>
      </w:r>
      <w:r w:rsidRPr="00AC021F">
        <w:rPr>
          <w:szCs w:val="20"/>
        </w:rPr>
        <w:t xml:space="preserve">, Женева) будет проведена </w:t>
      </w:r>
      <w:r w:rsidR="00CC3553">
        <w:rPr>
          <w:szCs w:val="20"/>
        </w:rPr>
        <w:t>на</w:t>
      </w:r>
      <w:r w:rsidRPr="00AC021F">
        <w:rPr>
          <w:szCs w:val="20"/>
        </w:rPr>
        <w:t xml:space="preserve"> общ</w:t>
      </w:r>
      <w:r w:rsidR="00CC3553">
        <w:rPr>
          <w:szCs w:val="20"/>
        </w:rPr>
        <w:t>ую</w:t>
      </w:r>
      <w:r w:rsidRPr="00AC021F">
        <w:rPr>
          <w:szCs w:val="20"/>
        </w:rPr>
        <w:t xml:space="preserve"> тем</w:t>
      </w:r>
      <w:r w:rsidR="00CC3553">
        <w:rPr>
          <w:szCs w:val="20"/>
        </w:rPr>
        <w:t>у</w:t>
      </w:r>
      <w:r w:rsidRPr="00AC021F">
        <w:rPr>
          <w:szCs w:val="20"/>
        </w:rPr>
        <w:t xml:space="preserve">: </w:t>
      </w:r>
      <w:r w:rsidR="00EC398C">
        <w:rPr>
          <w:szCs w:val="20"/>
        </w:rPr>
        <w:t>«</w:t>
      </w:r>
      <w:r w:rsidRPr="00AC021F">
        <w:rPr>
          <w:szCs w:val="20"/>
        </w:rPr>
        <w:t>Готовность действовать в интересах устойчивого развития в эпоху перемен</w:t>
      </w:r>
      <w:r w:rsidR="00EC398C">
        <w:rPr>
          <w:szCs w:val="20"/>
        </w:rPr>
        <w:t>»</w:t>
      </w:r>
      <w:r w:rsidRPr="00AC021F">
        <w:rPr>
          <w:szCs w:val="20"/>
        </w:rPr>
        <w:t>, а ее итоги станут региональным вкладом в провед</w:t>
      </w:r>
      <w:r w:rsidRPr="00AC021F">
        <w:rPr>
          <w:szCs w:val="20"/>
        </w:rPr>
        <w:t>е</w:t>
      </w:r>
      <w:r w:rsidRPr="00AC021F">
        <w:rPr>
          <w:szCs w:val="20"/>
        </w:rPr>
        <w:t xml:space="preserve">ние третьего совещания Политического форума высокого уровня </w:t>
      </w:r>
      <w:r w:rsidR="00B459BA">
        <w:rPr>
          <w:szCs w:val="20"/>
        </w:rPr>
        <w:br/>
      </w:r>
      <w:r w:rsidRPr="00AC021F">
        <w:rPr>
          <w:szCs w:val="20"/>
        </w:rPr>
        <w:t>(26 июня</w:t>
      </w:r>
      <w:r w:rsidR="00EC398C">
        <w:rPr>
          <w:szCs w:val="20"/>
        </w:rPr>
        <w:t xml:space="preserve"> – </w:t>
      </w:r>
      <w:r w:rsidRPr="00AC021F">
        <w:rPr>
          <w:szCs w:val="20"/>
        </w:rPr>
        <w:t>8 июля 2015 года, Нью-Йорк). КЭП принял к сведению представле</w:t>
      </w:r>
      <w:r w:rsidRPr="00AC021F">
        <w:rPr>
          <w:szCs w:val="20"/>
        </w:rPr>
        <w:t>н</w:t>
      </w:r>
      <w:r w:rsidRPr="00AC021F">
        <w:rPr>
          <w:szCs w:val="20"/>
        </w:rPr>
        <w:t>ную информацию.</w:t>
      </w:r>
    </w:p>
    <w:p w:rsidR="00AC021F" w:rsidRPr="00AC021F" w:rsidRDefault="00AC021F" w:rsidP="00B9361E">
      <w:pPr>
        <w:pStyle w:val="SingleTxt"/>
        <w:rPr>
          <w:szCs w:val="20"/>
        </w:rPr>
      </w:pPr>
      <w:r w:rsidRPr="00AC021F">
        <w:rPr>
          <w:szCs w:val="20"/>
        </w:rPr>
        <w:t>18.</w:t>
      </w:r>
      <w:r w:rsidRPr="00AC021F">
        <w:rPr>
          <w:szCs w:val="20"/>
        </w:rPr>
        <w:tab/>
        <w:t>Директор Отдела по окружающей среде проинформировал КЭП об орган</w:t>
      </w:r>
      <w:r w:rsidRPr="00AC021F">
        <w:rPr>
          <w:szCs w:val="20"/>
        </w:rPr>
        <w:t>и</w:t>
      </w:r>
      <w:r w:rsidRPr="00AC021F">
        <w:rPr>
          <w:szCs w:val="20"/>
        </w:rPr>
        <w:t xml:space="preserve">зации тематических дискуссий высокого уровня, посвященных рациональному использованию экосистем и природных ресурсов, которые будут проведены во время предстоящей сессии ЕЭК. Дискуссии будут способствовать пониманию ключевых результатов деятельности ЕЭК. </w:t>
      </w:r>
      <w:proofErr w:type="gramStart"/>
      <w:r w:rsidRPr="00AC021F">
        <w:rPr>
          <w:szCs w:val="20"/>
        </w:rPr>
        <w:t>Эта деятельность включает меропри</w:t>
      </w:r>
      <w:r w:rsidRPr="00AC021F">
        <w:rPr>
          <w:szCs w:val="20"/>
        </w:rPr>
        <w:t>я</w:t>
      </w:r>
      <w:r w:rsidRPr="00AC021F">
        <w:rPr>
          <w:szCs w:val="20"/>
        </w:rPr>
        <w:t>тия в рамках МПС ЕЭК, касающиеся установления стандартов и обязанностей в отношении водных ресурсов, воздуха, промышленных аварий, участия общ</w:t>
      </w:r>
      <w:r w:rsidRPr="00AC021F">
        <w:rPr>
          <w:szCs w:val="20"/>
        </w:rPr>
        <w:t>е</w:t>
      </w:r>
      <w:r w:rsidRPr="00AC021F">
        <w:rPr>
          <w:szCs w:val="20"/>
        </w:rPr>
        <w:t>ственности и доступа к информации о правосудии, а также оценки воздействия на окружающую среду, обзоров результативности экологической деятельн</w:t>
      </w:r>
      <w:r w:rsidRPr="00AC021F">
        <w:rPr>
          <w:szCs w:val="20"/>
        </w:rPr>
        <w:t>о</w:t>
      </w:r>
      <w:r w:rsidRPr="00AC021F">
        <w:rPr>
          <w:szCs w:val="20"/>
        </w:rPr>
        <w:t>сти</w:t>
      </w:r>
      <w:r w:rsidR="00B9361E">
        <w:rPr>
          <w:szCs w:val="20"/>
        </w:rPr>
        <w:t> </w:t>
      </w:r>
      <w:r w:rsidRPr="00AC021F">
        <w:rPr>
          <w:szCs w:val="20"/>
        </w:rPr>
        <w:t>(ОРЭД) для оценки осуществления странами их обязательств в области охр</w:t>
      </w:r>
      <w:r w:rsidRPr="00AC021F">
        <w:rPr>
          <w:szCs w:val="20"/>
        </w:rPr>
        <w:t>а</w:t>
      </w:r>
      <w:r w:rsidRPr="00AC021F">
        <w:rPr>
          <w:szCs w:val="20"/>
        </w:rPr>
        <w:t>ны окружающей среды и предоставления стратегических рекомендаций по укреплению экологического руководства.</w:t>
      </w:r>
      <w:proofErr w:type="gramEnd"/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19.</w:t>
      </w:r>
      <w:r w:rsidRPr="00AC021F">
        <w:rPr>
          <w:szCs w:val="20"/>
        </w:rPr>
        <w:tab/>
      </w:r>
      <w:proofErr w:type="gramStart"/>
      <w:r w:rsidRPr="00AC021F">
        <w:rPr>
          <w:szCs w:val="20"/>
        </w:rPr>
        <w:t>Исполняющий обязанности директора ЕРБ/ЮНЕП представил информацию о деятельности ЮНЕП в регионе, связанной с повесткой дня в области развития на период после 2015 года, включая работу в области устойчивого потребления и производства, и соответствующих итогах проведения первой Ассамблеи Орган</w:t>
      </w:r>
      <w:r w:rsidRPr="00AC021F">
        <w:rPr>
          <w:szCs w:val="20"/>
        </w:rPr>
        <w:t>и</w:t>
      </w:r>
      <w:r w:rsidRPr="00AC021F">
        <w:rPr>
          <w:szCs w:val="20"/>
        </w:rPr>
        <w:t>зации Объединенных Наций по окружающей среде (ЮНЕА).</w:t>
      </w:r>
      <w:proofErr w:type="gramEnd"/>
      <w:r w:rsidRPr="00AC021F">
        <w:rPr>
          <w:szCs w:val="20"/>
        </w:rPr>
        <w:t xml:space="preserve"> Эти тематические блоки деятельности были подробно рассмотрены по время мероприятий, орган</w:t>
      </w:r>
      <w:r w:rsidRPr="00AC021F">
        <w:rPr>
          <w:szCs w:val="20"/>
        </w:rPr>
        <w:t>и</w:t>
      </w:r>
      <w:r w:rsidRPr="00AC021F">
        <w:rPr>
          <w:szCs w:val="20"/>
        </w:rPr>
        <w:t>зованных ЮНЕП в ходе сессии КЭП. КЭП выразил свою признательность ЮНЕП за организацию этих двух параллельных мероприятий.</w:t>
      </w:r>
    </w:p>
    <w:p w:rsidR="00EC398C" w:rsidRPr="00EC398C" w:rsidRDefault="00EC398C" w:rsidP="00EC398C">
      <w:pPr>
        <w:pStyle w:val="SingleTxt"/>
        <w:spacing w:after="0" w:line="120" w:lineRule="exact"/>
        <w:rPr>
          <w:b/>
          <w:sz w:val="10"/>
          <w:szCs w:val="20"/>
        </w:rPr>
      </w:pPr>
    </w:p>
    <w:p w:rsidR="00EC398C" w:rsidRPr="00EC398C" w:rsidRDefault="00EC398C" w:rsidP="00EC398C">
      <w:pPr>
        <w:pStyle w:val="SingleTxt"/>
        <w:spacing w:after="0" w:line="120" w:lineRule="exact"/>
        <w:rPr>
          <w:b/>
          <w:sz w:val="10"/>
          <w:szCs w:val="20"/>
        </w:rPr>
      </w:pPr>
    </w:p>
    <w:p w:rsidR="00AC021F" w:rsidRPr="00AC021F" w:rsidRDefault="00AC021F" w:rsidP="00EC39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021F">
        <w:lastRenderedPageBreak/>
        <w:tab/>
        <w:t>IV.</w:t>
      </w:r>
      <w:r w:rsidRPr="00AC021F">
        <w:tab/>
        <w:t>Многосторонние природоохранные соглашения</w:t>
      </w:r>
    </w:p>
    <w:p w:rsidR="00EC398C" w:rsidRPr="00EC398C" w:rsidRDefault="00EC398C" w:rsidP="00EC398C">
      <w:pPr>
        <w:pStyle w:val="SingleTxt"/>
        <w:spacing w:after="0" w:line="120" w:lineRule="exact"/>
        <w:rPr>
          <w:sz w:val="10"/>
          <w:szCs w:val="20"/>
        </w:rPr>
      </w:pPr>
    </w:p>
    <w:p w:rsidR="00EC398C" w:rsidRPr="00EC398C" w:rsidRDefault="00EC398C" w:rsidP="00EC398C">
      <w:pPr>
        <w:pStyle w:val="SingleTxt"/>
        <w:spacing w:after="0" w:line="120" w:lineRule="exact"/>
        <w:rPr>
          <w:sz w:val="10"/>
          <w:szCs w:val="20"/>
        </w:rPr>
      </w:pPr>
    </w:p>
    <w:p w:rsidR="00AC021F" w:rsidRPr="00AC021F" w:rsidRDefault="00AC021F" w:rsidP="00CC3553">
      <w:pPr>
        <w:pStyle w:val="SingleTxt"/>
        <w:rPr>
          <w:szCs w:val="20"/>
        </w:rPr>
      </w:pPr>
      <w:r w:rsidRPr="00AC021F">
        <w:rPr>
          <w:szCs w:val="20"/>
        </w:rPr>
        <w:t>20.</w:t>
      </w:r>
      <w:r w:rsidRPr="00AC021F">
        <w:rPr>
          <w:szCs w:val="20"/>
        </w:rPr>
        <w:tab/>
        <w:t>Председатель неофициального совещания между представителями руков</w:t>
      </w:r>
      <w:r w:rsidRPr="00AC021F">
        <w:rPr>
          <w:szCs w:val="20"/>
        </w:rPr>
        <w:t>о</w:t>
      </w:r>
      <w:r w:rsidRPr="00AC021F">
        <w:rPr>
          <w:szCs w:val="20"/>
        </w:rPr>
        <w:t xml:space="preserve">дящих органов МПС ЕЭК и КЭП и заместитель Председателя КЭП из Бельгии отметили соответствующие итоги предыдущего неофициального совещания, проведенного 27 октября 2014 года в Женеве и приуроченного к сессии КЭП. </w:t>
      </w:r>
      <w:r w:rsidR="00EC398C">
        <w:rPr>
          <w:szCs w:val="20"/>
        </w:rPr>
        <w:br/>
      </w:r>
      <w:r w:rsidRPr="00AC021F">
        <w:rPr>
          <w:szCs w:val="20"/>
        </w:rPr>
        <w:t>В числе вопросов, вызывающих общий интерес, участники обсудили расширение взаимодействия и объединение усилий</w:t>
      </w:r>
      <w:r w:rsidR="00CC3553">
        <w:rPr>
          <w:szCs w:val="20"/>
        </w:rPr>
        <w:t xml:space="preserve"> в деле</w:t>
      </w:r>
      <w:r w:rsidRPr="00AC021F">
        <w:rPr>
          <w:szCs w:val="20"/>
        </w:rPr>
        <w:t xml:space="preserve"> поощрени</w:t>
      </w:r>
      <w:r w:rsidR="00CC3553">
        <w:rPr>
          <w:szCs w:val="20"/>
        </w:rPr>
        <w:t>я</w:t>
      </w:r>
      <w:r w:rsidRPr="00AC021F">
        <w:rPr>
          <w:szCs w:val="20"/>
        </w:rPr>
        <w:t xml:space="preserve"> МПС и их активную интеграцию в работу Конференции министров в Батуми. Председатель Конве</w:t>
      </w:r>
      <w:r w:rsidRPr="00AC021F">
        <w:rPr>
          <w:szCs w:val="20"/>
        </w:rPr>
        <w:t>н</w:t>
      </w:r>
      <w:r w:rsidRPr="00AC021F">
        <w:rPr>
          <w:szCs w:val="20"/>
        </w:rPr>
        <w:t>ции по водам возьмет на себя функции председателя на неофициальных засед</w:t>
      </w:r>
      <w:r w:rsidRPr="00AC021F">
        <w:rPr>
          <w:szCs w:val="20"/>
        </w:rPr>
        <w:t>а</w:t>
      </w:r>
      <w:r w:rsidRPr="00AC021F">
        <w:rPr>
          <w:szCs w:val="20"/>
        </w:rPr>
        <w:t>ниях, которые будут организованы в 2015 году.</w:t>
      </w: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21.</w:t>
      </w:r>
      <w:r w:rsidRPr="00AC021F">
        <w:rPr>
          <w:szCs w:val="20"/>
        </w:rPr>
        <w:tab/>
        <w:t>В ходе обсуждений в рамках дискуссионной группы Председатели и зам</w:t>
      </w:r>
      <w:r w:rsidRPr="00AC021F">
        <w:rPr>
          <w:szCs w:val="20"/>
        </w:rPr>
        <w:t>е</w:t>
      </w:r>
      <w:r w:rsidRPr="00AC021F">
        <w:rPr>
          <w:szCs w:val="20"/>
        </w:rPr>
        <w:t>стители Председателей МПС совместно с секретариатом ЕЭК представили и</w:t>
      </w:r>
      <w:r w:rsidRPr="00AC021F">
        <w:rPr>
          <w:szCs w:val="20"/>
        </w:rPr>
        <w:t>н</w:t>
      </w:r>
      <w:r w:rsidRPr="00AC021F">
        <w:rPr>
          <w:szCs w:val="20"/>
        </w:rPr>
        <w:t>формацию о ключевых достижениях в процессе распространения и открытия МПС для присоединения странам, не входящим в регион ЕЭК ООН, и о наци</w:t>
      </w:r>
      <w:r w:rsidRPr="00AC021F">
        <w:rPr>
          <w:szCs w:val="20"/>
        </w:rPr>
        <w:t>о</w:t>
      </w:r>
      <w:r w:rsidRPr="00AC021F">
        <w:rPr>
          <w:szCs w:val="20"/>
        </w:rPr>
        <w:t>нальной отчетности по осуществлению. Последующий диалог был посвящен в</w:t>
      </w:r>
      <w:r w:rsidRPr="00AC021F">
        <w:rPr>
          <w:szCs w:val="20"/>
        </w:rPr>
        <w:t>о</w:t>
      </w:r>
      <w:r w:rsidRPr="00AC021F">
        <w:rPr>
          <w:szCs w:val="20"/>
        </w:rPr>
        <w:t>просам для обсуждения, указанным в двух справочных документах, подгото</w:t>
      </w:r>
      <w:r w:rsidRPr="00AC021F">
        <w:rPr>
          <w:szCs w:val="20"/>
        </w:rPr>
        <w:t>в</w:t>
      </w:r>
      <w:r w:rsidRPr="00AC021F">
        <w:rPr>
          <w:szCs w:val="20"/>
        </w:rPr>
        <w:t xml:space="preserve">ленных секретариатом (ECE/CEP/2014/6 и ECE/CEP/2014/16) и положительно встреченных делегатами. </w:t>
      </w:r>
      <w:proofErr w:type="gramStart"/>
      <w:r w:rsidRPr="00AC021F">
        <w:rPr>
          <w:szCs w:val="20"/>
        </w:rPr>
        <w:t>КЭП с удовлетворением отметил прогресс, достигн</w:t>
      </w:r>
      <w:r w:rsidRPr="00AC021F">
        <w:rPr>
          <w:szCs w:val="20"/>
        </w:rPr>
        <w:t>у</w:t>
      </w:r>
      <w:r w:rsidRPr="00AC021F">
        <w:rPr>
          <w:szCs w:val="20"/>
        </w:rPr>
        <w:t xml:space="preserve">тый в рамках каждого из МПС ЕЭК, являющихся </w:t>
      </w:r>
      <w:r w:rsidR="00EC398C">
        <w:rPr>
          <w:szCs w:val="20"/>
        </w:rPr>
        <w:t>«</w:t>
      </w:r>
      <w:r w:rsidRPr="00AC021F">
        <w:rPr>
          <w:szCs w:val="20"/>
        </w:rPr>
        <w:t>флагманами</w:t>
      </w:r>
      <w:r w:rsidR="00EC398C">
        <w:rPr>
          <w:szCs w:val="20"/>
        </w:rPr>
        <w:t>»</w:t>
      </w:r>
      <w:r w:rsidRPr="00AC021F">
        <w:rPr>
          <w:szCs w:val="20"/>
        </w:rPr>
        <w:t xml:space="preserve"> ЕЭК, в том чи</w:t>
      </w:r>
      <w:r w:rsidRPr="00AC021F">
        <w:rPr>
          <w:szCs w:val="20"/>
        </w:rPr>
        <w:t>с</w:t>
      </w:r>
      <w:r w:rsidRPr="00AC021F">
        <w:rPr>
          <w:szCs w:val="20"/>
        </w:rPr>
        <w:t>ле прогресс в области представления информации на национальном уровне и с</w:t>
      </w:r>
      <w:r w:rsidRPr="00AC021F">
        <w:rPr>
          <w:szCs w:val="20"/>
        </w:rPr>
        <w:t>о</w:t>
      </w:r>
      <w:r w:rsidRPr="00AC021F">
        <w:rPr>
          <w:szCs w:val="20"/>
        </w:rPr>
        <w:t>действия тому, чтобы выгоды от МПС получали и страны за пределами региона, а также дальнейший прогресс в области открытия МПС для глобального прис</w:t>
      </w:r>
      <w:r w:rsidRPr="00AC021F">
        <w:rPr>
          <w:szCs w:val="20"/>
        </w:rPr>
        <w:t>о</w:t>
      </w:r>
      <w:r w:rsidRPr="00AC021F">
        <w:rPr>
          <w:szCs w:val="20"/>
        </w:rPr>
        <w:t>единения (см. пункт 98 g) и h) ниже).</w:t>
      </w:r>
      <w:proofErr w:type="gramEnd"/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22.</w:t>
      </w:r>
      <w:r w:rsidRPr="00AC021F">
        <w:rPr>
          <w:szCs w:val="20"/>
        </w:rPr>
        <w:tab/>
      </w:r>
      <w:proofErr w:type="gramStart"/>
      <w:r w:rsidRPr="00AC021F">
        <w:rPr>
          <w:szCs w:val="20"/>
        </w:rPr>
        <w:t>Исполняющий обязанности директора ЕРБ/ЮНЕП представил информацию о соответствующих МПС ЮНЕП, в том числе о грядущих конферен</w:t>
      </w:r>
      <w:r w:rsidR="00CC3553">
        <w:rPr>
          <w:szCs w:val="20"/>
        </w:rPr>
        <w:t>циях С</w:t>
      </w:r>
      <w:r w:rsidRPr="00AC021F">
        <w:rPr>
          <w:szCs w:val="20"/>
        </w:rPr>
        <w:t>торон</w:t>
      </w:r>
      <w:r w:rsidR="00CC3553">
        <w:rPr>
          <w:szCs w:val="20"/>
        </w:rPr>
        <w:t>,</w:t>
      </w:r>
      <w:r w:rsidRPr="00AC021F">
        <w:rPr>
          <w:szCs w:val="20"/>
        </w:rPr>
        <w:t xml:space="preserve"> и </w:t>
      </w:r>
      <w:proofErr w:type="spellStart"/>
      <w:r w:rsidRPr="00AC021F">
        <w:rPr>
          <w:szCs w:val="20"/>
        </w:rPr>
        <w:t>Минаматской</w:t>
      </w:r>
      <w:proofErr w:type="spellEnd"/>
      <w:r w:rsidRPr="00AC021F">
        <w:rPr>
          <w:szCs w:val="20"/>
        </w:rPr>
        <w:t xml:space="preserve"> конвенции 2013 о ртути, которая, как ожидается, вступит в силу к 2016 году.</w:t>
      </w:r>
      <w:proofErr w:type="gramEnd"/>
      <w:r w:rsidRPr="00AC021F">
        <w:rPr>
          <w:szCs w:val="20"/>
        </w:rPr>
        <w:t xml:space="preserve"> Укрепление взаимодействия между национальными координационн</w:t>
      </w:r>
      <w:r w:rsidRPr="00AC021F">
        <w:rPr>
          <w:szCs w:val="20"/>
        </w:rPr>
        <w:t>ы</w:t>
      </w:r>
      <w:r w:rsidRPr="00AC021F">
        <w:rPr>
          <w:szCs w:val="20"/>
        </w:rPr>
        <w:t xml:space="preserve">ми центрами ЮНЕП, МПС ЕЭК и КЭП, в том числе расширение использования платформы </w:t>
      </w:r>
      <w:proofErr w:type="spellStart"/>
      <w:r w:rsidRPr="00AC021F">
        <w:rPr>
          <w:szCs w:val="20"/>
        </w:rPr>
        <w:t>InforME</w:t>
      </w:r>
      <w:proofErr w:type="spellEnd"/>
      <w:r w:rsidRPr="00EC398C">
        <w:rPr>
          <w:szCs w:val="20"/>
          <w:vertAlign w:val="superscript"/>
        </w:rPr>
        <w:footnoteReference w:id="5"/>
      </w:r>
      <w:r w:rsidRPr="00AC021F">
        <w:rPr>
          <w:szCs w:val="20"/>
        </w:rPr>
        <w:t>, может принести многочисленные выгоды. Он также обр</w:t>
      </w:r>
      <w:r w:rsidRPr="00AC021F">
        <w:rPr>
          <w:szCs w:val="20"/>
        </w:rPr>
        <w:t>а</w:t>
      </w:r>
      <w:r w:rsidRPr="00AC021F">
        <w:rPr>
          <w:szCs w:val="20"/>
        </w:rPr>
        <w:t>тил внимание на резолюцию ЮНЕА об укреплении роли ЮНЕП в содействии обеспечению качества воздуха. КЭП приветствовал представленную информ</w:t>
      </w:r>
      <w:r w:rsidRPr="00AC021F">
        <w:rPr>
          <w:szCs w:val="20"/>
        </w:rPr>
        <w:t>а</w:t>
      </w:r>
      <w:r w:rsidRPr="00AC021F">
        <w:rPr>
          <w:szCs w:val="20"/>
        </w:rPr>
        <w:t>цию (см. пункт 98 i)).</w:t>
      </w:r>
    </w:p>
    <w:p w:rsidR="00EC398C" w:rsidRPr="00EC398C" w:rsidRDefault="00EC398C" w:rsidP="00EC398C">
      <w:pPr>
        <w:pStyle w:val="SingleTxt"/>
        <w:spacing w:after="0" w:line="120" w:lineRule="exact"/>
        <w:rPr>
          <w:b/>
          <w:sz w:val="10"/>
          <w:szCs w:val="20"/>
        </w:rPr>
      </w:pPr>
    </w:p>
    <w:p w:rsidR="00EC398C" w:rsidRPr="00EC398C" w:rsidRDefault="00EC398C" w:rsidP="00EC398C">
      <w:pPr>
        <w:pStyle w:val="SingleTxt"/>
        <w:spacing w:after="0" w:line="120" w:lineRule="exact"/>
        <w:rPr>
          <w:b/>
          <w:sz w:val="10"/>
          <w:szCs w:val="20"/>
        </w:rPr>
      </w:pPr>
    </w:p>
    <w:p w:rsidR="00AC021F" w:rsidRPr="00AC021F" w:rsidRDefault="00AC021F" w:rsidP="00EC39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021F">
        <w:tab/>
        <w:t>V.</w:t>
      </w:r>
      <w:r w:rsidRPr="00AC021F">
        <w:tab/>
      </w:r>
      <w:proofErr w:type="gramStart"/>
      <w:r w:rsidRPr="00AC021F">
        <w:t>Экологические</w:t>
      </w:r>
      <w:proofErr w:type="gramEnd"/>
      <w:r w:rsidRPr="00AC021F">
        <w:t xml:space="preserve"> мониторинг, оценка и отчетность</w:t>
      </w:r>
    </w:p>
    <w:p w:rsidR="00EC398C" w:rsidRPr="00EC398C" w:rsidRDefault="00EC398C" w:rsidP="00EC398C">
      <w:pPr>
        <w:pStyle w:val="SingleTxt"/>
        <w:spacing w:after="0" w:line="120" w:lineRule="exact"/>
        <w:rPr>
          <w:sz w:val="10"/>
          <w:szCs w:val="20"/>
        </w:rPr>
      </w:pPr>
    </w:p>
    <w:p w:rsidR="00EC398C" w:rsidRPr="00EC398C" w:rsidRDefault="00EC398C" w:rsidP="00EC398C">
      <w:pPr>
        <w:pStyle w:val="SingleTxt"/>
        <w:spacing w:after="0" w:line="120" w:lineRule="exact"/>
        <w:rPr>
          <w:sz w:val="10"/>
          <w:szCs w:val="20"/>
        </w:rPr>
      </w:pPr>
    </w:p>
    <w:p w:rsidR="00AC021F" w:rsidRPr="00AC021F" w:rsidRDefault="00AC021F" w:rsidP="00CC3553">
      <w:pPr>
        <w:pStyle w:val="SingleTxt"/>
        <w:rPr>
          <w:szCs w:val="20"/>
        </w:rPr>
      </w:pPr>
      <w:r w:rsidRPr="00AC021F">
        <w:rPr>
          <w:szCs w:val="20"/>
        </w:rPr>
        <w:t>23.</w:t>
      </w:r>
      <w:r w:rsidRPr="00AC021F">
        <w:rPr>
          <w:szCs w:val="20"/>
        </w:rPr>
        <w:tab/>
        <w:t>Секретариат ЕЭК проинформировал КЭП о прогрессе, достигнутом в обл</w:t>
      </w:r>
      <w:r w:rsidRPr="00AC021F">
        <w:rPr>
          <w:szCs w:val="20"/>
        </w:rPr>
        <w:t>а</w:t>
      </w:r>
      <w:r w:rsidRPr="00AC021F">
        <w:rPr>
          <w:szCs w:val="20"/>
        </w:rPr>
        <w:t>сти экологического мониторинга, оценки и отчетности в 2014 году Рабочей гру</w:t>
      </w:r>
      <w:r w:rsidRPr="00AC021F">
        <w:rPr>
          <w:szCs w:val="20"/>
        </w:rPr>
        <w:t>п</w:t>
      </w:r>
      <w:r w:rsidRPr="00AC021F">
        <w:rPr>
          <w:szCs w:val="20"/>
        </w:rPr>
        <w:t>пой по мониторингу и оценке окружающей среды и Совместной целевой группой по экологическим показателям. Одним из ключевых результатов стала регуля</w:t>
      </w:r>
      <w:r w:rsidRPr="00AC021F">
        <w:rPr>
          <w:szCs w:val="20"/>
        </w:rPr>
        <w:t>р</w:t>
      </w:r>
      <w:r w:rsidRPr="00AC021F">
        <w:rPr>
          <w:szCs w:val="20"/>
        </w:rPr>
        <w:t xml:space="preserve">ная </w:t>
      </w:r>
      <w:proofErr w:type="gramStart"/>
      <w:r w:rsidRPr="00AC021F">
        <w:rPr>
          <w:szCs w:val="20"/>
        </w:rPr>
        <w:t>подготовка</w:t>
      </w:r>
      <w:proofErr w:type="gramEnd"/>
      <w:r w:rsidRPr="00AC021F">
        <w:rPr>
          <w:szCs w:val="20"/>
        </w:rPr>
        <w:t xml:space="preserve"> и публикация </w:t>
      </w:r>
      <w:r w:rsidR="00CC3553">
        <w:rPr>
          <w:szCs w:val="20"/>
        </w:rPr>
        <w:t>большей части</w:t>
      </w:r>
      <w:r w:rsidRPr="00AC021F">
        <w:rPr>
          <w:szCs w:val="20"/>
        </w:rPr>
        <w:t xml:space="preserve"> основного набора экологических показателей ЕЭК большинством целевых стран</w:t>
      </w:r>
      <w:r w:rsidRPr="00EC398C">
        <w:rPr>
          <w:szCs w:val="20"/>
          <w:vertAlign w:val="superscript"/>
        </w:rPr>
        <w:footnoteReference w:id="6"/>
      </w:r>
      <w:r w:rsidRPr="00AC021F">
        <w:rPr>
          <w:szCs w:val="20"/>
        </w:rPr>
        <w:t>.</w:t>
      </w: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24.</w:t>
      </w:r>
      <w:r w:rsidRPr="00AC021F">
        <w:rPr>
          <w:szCs w:val="20"/>
        </w:rPr>
        <w:tab/>
        <w:t xml:space="preserve">Рабочая группа разработала руководящие принципы </w:t>
      </w:r>
      <w:proofErr w:type="gramStart"/>
      <w:r w:rsidRPr="00AC021F">
        <w:rPr>
          <w:szCs w:val="20"/>
        </w:rPr>
        <w:t>развития национал</w:t>
      </w:r>
      <w:r w:rsidRPr="00AC021F">
        <w:rPr>
          <w:szCs w:val="20"/>
        </w:rPr>
        <w:t>ь</w:t>
      </w:r>
      <w:r w:rsidRPr="00AC021F">
        <w:rPr>
          <w:szCs w:val="20"/>
        </w:rPr>
        <w:t>ных стратегий использования мониторинга загрязнения почв</w:t>
      </w:r>
      <w:proofErr w:type="gramEnd"/>
      <w:r w:rsidRPr="00AC021F">
        <w:rPr>
          <w:szCs w:val="20"/>
        </w:rPr>
        <w:t xml:space="preserve"> в качестве инстр</w:t>
      </w:r>
      <w:r w:rsidRPr="00AC021F">
        <w:rPr>
          <w:szCs w:val="20"/>
        </w:rPr>
        <w:t>у</w:t>
      </w:r>
      <w:r w:rsidRPr="00AC021F">
        <w:rPr>
          <w:szCs w:val="20"/>
        </w:rPr>
        <w:t>мента экологической политики (ECE/CEP/2014/14) в целях оказания содействия деятельности стран по совершенствованию мониторинга почв и его использов</w:t>
      </w:r>
      <w:r w:rsidRPr="00AC021F">
        <w:rPr>
          <w:szCs w:val="20"/>
        </w:rPr>
        <w:t>а</w:t>
      </w:r>
      <w:r w:rsidRPr="00AC021F">
        <w:rPr>
          <w:szCs w:val="20"/>
        </w:rPr>
        <w:t>ния для информированной выработки политики и принятия решений в данной области. КЭП принял руководящие принципы и призвал целевые страны к их осуществлению.</w:t>
      </w:r>
    </w:p>
    <w:p w:rsidR="00AC021F" w:rsidRPr="00AC021F" w:rsidRDefault="00AC021F" w:rsidP="005E337A">
      <w:pPr>
        <w:pStyle w:val="SingleTxt"/>
        <w:rPr>
          <w:szCs w:val="20"/>
        </w:rPr>
      </w:pPr>
      <w:r w:rsidRPr="00AC021F">
        <w:rPr>
          <w:szCs w:val="20"/>
        </w:rPr>
        <w:lastRenderedPageBreak/>
        <w:t>25.</w:t>
      </w:r>
      <w:r w:rsidRPr="00AC021F">
        <w:rPr>
          <w:szCs w:val="20"/>
        </w:rPr>
        <w:tab/>
        <w:t>КЭП высоко оценил работу этих двух органов и продлил их мандаты еще на год до следующей сессии КЭП в октябре 2015 года. Он просил секретариат пер</w:t>
      </w:r>
      <w:r w:rsidRPr="00AC021F">
        <w:rPr>
          <w:szCs w:val="20"/>
        </w:rPr>
        <w:t>е</w:t>
      </w:r>
      <w:r w:rsidRPr="00AC021F">
        <w:rPr>
          <w:szCs w:val="20"/>
        </w:rPr>
        <w:t xml:space="preserve">дать продленные мандаты для утверждения Исполнительному комитету. Мандат Рабочей группы был расширен и стал включать в себя дополнительную задачу, а именно </w:t>
      </w:r>
      <w:r w:rsidR="00EC398C">
        <w:rPr>
          <w:szCs w:val="20"/>
        </w:rPr>
        <w:t>–</w:t>
      </w:r>
      <w:r w:rsidRPr="00AC021F">
        <w:rPr>
          <w:szCs w:val="20"/>
        </w:rPr>
        <w:t xml:space="preserve"> рассмотрение прогресса, достигнутого в деле развития </w:t>
      </w:r>
      <w:r w:rsidR="005E337A">
        <w:rPr>
          <w:szCs w:val="20"/>
        </w:rPr>
        <w:t>Общей</w:t>
      </w:r>
      <w:r w:rsidRPr="00AC021F">
        <w:rPr>
          <w:szCs w:val="20"/>
        </w:rPr>
        <w:t xml:space="preserve"> системы экологической информации (СЕИС) на основе целевых показателей и показат</w:t>
      </w:r>
      <w:r w:rsidRPr="00AC021F">
        <w:rPr>
          <w:szCs w:val="20"/>
        </w:rPr>
        <w:t>е</w:t>
      </w:r>
      <w:r w:rsidRPr="00AC021F">
        <w:rPr>
          <w:szCs w:val="20"/>
        </w:rPr>
        <w:t>лей результативности (ECE/CEP/2014/8), принятых КЭП на его текущей сессии.</w:t>
      </w:r>
    </w:p>
    <w:p w:rsidR="00AC021F" w:rsidRPr="00AC021F" w:rsidRDefault="00AC021F" w:rsidP="005E337A">
      <w:pPr>
        <w:pStyle w:val="SingleTxt"/>
        <w:rPr>
          <w:szCs w:val="20"/>
        </w:rPr>
      </w:pPr>
      <w:r w:rsidRPr="00AC021F">
        <w:rPr>
          <w:szCs w:val="20"/>
        </w:rPr>
        <w:t>26.</w:t>
      </w:r>
      <w:r w:rsidRPr="00AC021F">
        <w:rPr>
          <w:szCs w:val="20"/>
        </w:rPr>
        <w:tab/>
        <w:t>Кроме того, КЭП просил секретариат подготовить для его следующей се</w:t>
      </w:r>
      <w:r w:rsidRPr="00AC021F">
        <w:rPr>
          <w:szCs w:val="20"/>
        </w:rPr>
        <w:t>с</w:t>
      </w:r>
      <w:r w:rsidRPr="00AC021F">
        <w:rPr>
          <w:szCs w:val="20"/>
        </w:rPr>
        <w:t>сии предложение о путях оптимизации работы этих органов, а также возможного подключения Группы друзей СЕИС с целью повышения слаженности деятельн</w:t>
      </w:r>
      <w:r w:rsidRPr="00AC021F">
        <w:rPr>
          <w:szCs w:val="20"/>
        </w:rPr>
        <w:t>о</w:t>
      </w:r>
      <w:r w:rsidRPr="00AC021F">
        <w:rPr>
          <w:szCs w:val="20"/>
        </w:rPr>
        <w:t>сти и укрепления работы по экологическому мониторингу и оценке. Предлож</w:t>
      </w:r>
      <w:r w:rsidRPr="00AC021F">
        <w:rPr>
          <w:szCs w:val="20"/>
        </w:rPr>
        <w:t>е</w:t>
      </w:r>
      <w:r w:rsidRPr="00AC021F">
        <w:rPr>
          <w:szCs w:val="20"/>
        </w:rPr>
        <w:t xml:space="preserve">ние секретариата должно включать </w:t>
      </w:r>
      <w:r w:rsidR="005E337A">
        <w:rPr>
          <w:szCs w:val="20"/>
        </w:rPr>
        <w:t>оценку соотношения</w:t>
      </w:r>
      <w:r w:rsidRPr="00AC021F">
        <w:rPr>
          <w:szCs w:val="20"/>
        </w:rPr>
        <w:t xml:space="preserve"> </w:t>
      </w:r>
      <w:r w:rsidR="005E337A">
        <w:rPr>
          <w:szCs w:val="20"/>
        </w:rPr>
        <w:t xml:space="preserve">преимуществ </w:t>
      </w:r>
      <w:r w:rsidRPr="00AC021F">
        <w:rPr>
          <w:szCs w:val="20"/>
        </w:rPr>
        <w:t>и нед</w:t>
      </w:r>
      <w:r w:rsidRPr="00AC021F">
        <w:rPr>
          <w:szCs w:val="20"/>
        </w:rPr>
        <w:t>о</w:t>
      </w:r>
      <w:r w:rsidRPr="00AC021F">
        <w:rPr>
          <w:szCs w:val="20"/>
        </w:rPr>
        <w:t>статк</w:t>
      </w:r>
      <w:r w:rsidR="005E337A">
        <w:rPr>
          <w:szCs w:val="20"/>
        </w:rPr>
        <w:t>ов</w:t>
      </w:r>
      <w:r w:rsidRPr="00AC021F">
        <w:rPr>
          <w:szCs w:val="20"/>
        </w:rPr>
        <w:t xml:space="preserve"> объединения этих двух органов.</w:t>
      </w: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27.</w:t>
      </w:r>
      <w:r w:rsidRPr="00AC021F">
        <w:rPr>
          <w:szCs w:val="20"/>
        </w:rPr>
        <w:tab/>
        <w:t>Что касается поддержки деятельности в рамках программы экологического мониторинга и оценки, то КЭП выразил признательность ЕС, Норвегии, Росси</w:t>
      </w:r>
      <w:r w:rsidRPr="00AC021F">
        <w:rPr>
          <w:szCs w:val="20"/>
        </w:rPr>
        <w:t>й</w:t>
      </w:r>
      <w:r w:rsidRPr="00AC021F">
        <w:rPr>
          <w:szCs w:val="20"/>
        </w:rPr>
        <w:t>ской Федерации и Швейцарии за их финансовую поддержку и призвал госуда</w:t>
      </w:r>
      <w:r w:rsidRPr="00AC021F">
        <w:rPr>
          <w:szCs w:val="20"/>
        </w:rPr>
        <w:t>р</w:t>
      </w:r>
      <w:r w:rsidRPr="00AC021F">
        <w:rPr>
          <w:szCs w:val="20"/>
        </w:rPr>
        <w:t>ства-участники и далее предоставлять поддержку натурой и финансовыми сре</w:t>
      </w:r>
      <w:r w:rsidRPr="00AC021F">
        <w:rPr>
          <w:szCs w:val="20"/>
        </w:rPr>
        <w:t>д</w:t>
      </w:r>
      <w:r w:rsidRPr="00AC021F">
        <w:rPr>
          <w:szCs w:val="20"/>
        </w:rPr>
        <w:t>ствами.</w:t>
      </w: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28.</w:t>
      </w:r>
      <w:r w:rsidRPr="00AC021F">
        <w:rPr>
          <w:szCs w:val="20"/>
        </w:rPr>
        <w:tab/>
        <w:t xml:space="preserve">Представитель ЕРБ/ЮНЕП рассказал о ходе подготовки шестого доклада </w:t>
      </w:r>
      <w:r w:rsidR="00EC398C">
        <w:rPr>
          <w:szCs w:val="20"/>
        </w:rPr>
        <w:t>«</w:t>
      </w:r>
      <w:r w:rsidRPr="00AC021F">
        <w:rPr>
          <w:szCs w:val="20"/>
        </w:rPr>
        <w:t>Глобальная экологическая перспектива</w:t>
      </w:r>
      <w:r w:rsidR="00EC398C">
        <w:rPr>
          <w:szCs w:val="20"/>
        </w:rPr>
        <w:t>»</w:t>
      </w:r>
      <w:r w:rsidRPr="00AC021F">
        <w:rPr>
          <w:szCs w:val="20"/>
        </w:rPr>
        <w:t xml:space="preserve"> (ГЭП-6), в том числе о региональном совещании, которое будет организовано весной 2015 года для подготовки Евр</w:t>
      </w:r>
      <w:r w:rsidRPr="00AC021F">
        <w:rPr>
          <w:szCs w:val="20"/>
        </w:rPr>
        <w:t>о</w:t>
      </w:r>
      <w:r w:rsidRPr="00AC021F">
        <w:rPr>
          <w:szCs w:val="20"/>
        </w:rPr>
        <w:t>пейского регионального компонента ГЭП-6.</w:t>
      </w:r>
    </w:p>
    <w:p w:rsidR="00AC021F" w:rsidRPr="00AC021F" w:rsidRDefault="00AC021F" w:rsidP="005E337A">
      <w:pPr>
        <w:pStyle w:val="SingleTxt"/>
        <w:rPr>
          <w:szCs w:val="20"/>
        </w:rPr>
      </w:pPr>
      <w:r w:rsidRPr="00AC021F">
        <w:rPr>
          <w:szCs w:val="20"/>
        </w:rPr>
        <w:t>29.</w:t>
      </w:r>
      <w:r w:rsidRPr="00AC021F">
        <w:rPr>
          <w:szCs w:val="20"/>
        </w:rPr>
        <w:tab/>
        <w:t>КЭП приветствовал представленную ЮНЕП информацию о подготовке ГЭП-6, а также призыв к сотрудничеству с ЕЭК и ЕАОС при проведении реги</w:t>
      </w:r>
      <w:r w:rsidRPr="00AC021F">
        <w:rPr>
          <w:szCs w:val="20"/>
        </w:rPr>
        <w:t>о</w:t>
      </w:r>
      <w:r w:rsidRPr="00AC021F">
        <w:rPr>
          <w:szCs w:val="20"/>
        </w:rPr>
        <w:t>нальных экологических оценок. КЭП подчеркнул важность тесного сотруднич</w:t>
      </w:r>
      <w:r w:rsidRPr="00AC021F">
        <w:rPr>
          <w:szCs w:val="20"/>
        </w:rPr>
        <w:t>е</w:t>
      </w:r>
      <w:r w:rsidRPr="00AC021F">
        <w:rPr>
          <w:szCs w:val="20"/>
        </w:rPr>
        <w:t>ства между процессами ГЭП и ОСЕ для обеспечения согласованности и получ</w:t>
      </w:r>
      <w:r w:rsidRPr="00AC021F">
        <w:rPr>
          <w:szCs w:val="20"/>
        </w:rPr>
        <w:t>е</w:t>
      </w:r>
      <w:r w:rsidRPr="00AC021F">
        <w:rPr>
          <w:szCs w:val="20"/>
        </w:rPr>
        <w:t>ния взаимной выгоды при проведении экологических оценок в поддержку прин</w:t>
      </w:r>
      <w:r w:rsidRPr="00AC021F">
        <w:rPr>
          <w:szCs w:val="20"/>
        </w:rPr>
        <w:t>я</w:t>
      </w:r>
      <w:r w:rsidRPr="00AC021F">
        <w:rPr>
          <w:szCs w:val="20"/>
        </w:rPr>
        <w:t>тия информированных решений.</w:t>
      </w:r>
    </w:p>
    <w:p w:rsidR="00EC398C" w:rsidRPr="00EC398C" w:rsidRDefault="00EC398C" w:rsidP="00EC398C">
      <w:pPr>
        <w:pStyle w:val="SingleTxt"/>
        <w:spacing w:after="0" w:line="120" w:lineRule="exact"/>
        <w:rPr>
          <w:b/>
          <w:sz w:val="10"/>
          <w:szCs w:val="20"/>
        </w:rPr>
      </w:pPr>
    </w:p>
    <w:p w:rsidR="00EC398C" w:rsidRPr="00EC398C" w:rsidRDefault="00EC398C" w:rsidP="00EC398C">
      <w:pPr>
        <w:pStyle w:val="SingleTxt"/>
        <w:spacing w:after="0" w:line="120" w:lineRule="exact"/>
        <w:rPr>
          <w:b/>
          <w:sz w:val="10"/>
          <w:szCs w:val="20"/>
        </w:rPr>
      </w:pPr>
    </w:p>
    <w:p w:rsidR="00AC021F" w:rsidRPr="00AC021F" w:rsidRDefault="00AC021F" w:rsidP="00EC39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021F">
        <w:tab/>
        <w:t>VI.</w:t>
      </w:r>
      <w:r w:rsidRPr="00AC021F">
        <w:tab/>
      </w:r>
      <w:proofErr w:type="spellStart"/>
      <w:r w:rsidRPr="00AC021F">
        <w:t>Межсекторальная</w:t>
      </w:r>
      <w:proofErr w:type="spellEnd"/>
      <w:r w:rsidRPr="00AC021F">
        <w:t xml:space="preserve"> деятельность</w:t>
      </w:r>
    </w:p>
    <w:p w:rsidR="00EC398C" w:rsidRPr="00EC398C" w:rsidRDefault="00EC398C" w:rsidP="00EC398C">
      <w:pPr>
        <w:pStyle w:val="SingleTxt"/>
        <w:spacing w:after="0" w:line="120" w:lineRule="exact"/>
        <w:rPr>
          <w:sz w:val="10"/>
          <w:szCs w:val="20"/>
        </w:rPr>
      </w:pPr>
    </w:p>
    <w:p w:rsidR="00EC398C" w:rsidRPr="00EC398C" w:rsidRDefault="00EC398C" w:rsidP="00EC398C">
      <w:pPr>
        <w:pStyle w:val="SingleTxt"/>
        <w:spacing w:after="0" w:line="120" w:lineRule="exact"/>
        <w:rPr>
          <w:sz w:val="10"/>
          <w:szCs w:val="20"/>
        </w:rPr>
      </w:pP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30.</w:t>
      </w:r>
      <w:r w:rsidRPr="00AC021F">
        <w:rPr>
          <w:szCs w:val="20"/>
        </w:rPr>
        <w:tab/>
        <w:t xml:space="preserve">КЭП был проинформирован о последних событиях в рамках ряда </w:t>
      </w:r>
      <w:proofErr w:type="spellStart"/>
      <w:r w:rsidRPr="00AC021F">
        <w:rPr>
          <w:szCs w:val="20"/>
        </w:rPr>
        <w:t>межсе</w:t>
      </w:r>
      <w:r w:rsidRPr="00AC021F">
        <w:rPr>
          <w:szCs w:val="20"/>
        </w:rPr>
        <w:t>к</w:t>
      </w:r>
      <w:r w:rsidRPr="00AC021F">
        <w:rPr>
          <w:szCs w:val="20"/>
        </w:rPr>
        <w:t>торальных</w:t>
      </w:r>
      <w:proofErr w:type="spellEnd"/>
      <w:r w:rsidRPr="00AC021F">
        <w:rPr>
          <w:szCs w:val="20"/>
        </w:rPr>
        <w:t xml:space="preserve"> мероприятий, проводимых под руководством ЕЭК или в партнерстве с другими организациями.</w:t>
      </w:r>
    </w:p>
    <w:p w:rsidR="00EC398C" w:rsidRPr="00EC398C" w:rsidRDefault="00EC398C" w:rsidP="00EC398C">
      <w:pPr>
        <w:pStyle w:val="SingleTxt"/>
        <w:spacing w:after="0" w:line="120" w:lineRule="exact"/>
        <w:rPr>
          <w:b/>
          <w:sz w:val="10"/>
          <w:szCs w:val="20"/>
        </w:rPr>
      </w:pPr>
    </w:p>
    <w:p w:rsidR="00EC398C" w:rsidRPr="00EC398C" w:rsidRDefault="00EC398C" w:rsidP="00EC398C">
      <w:pPr>
        <w:pStyle w:val="SingleTxt"/>
        <w:spacing w:after="0" w:line="120" w:lineRule="exact"/>
        <w:rPr>
          <w:b/>
          <w:sz w:val="10"/>
          <w:szCs w:val="20"/>
        </w:rPr>
      </w:pPr>
    </w:p>
    <w:p w:rsidR="00AC021F" w:rsidRPr="00AC021F" w:rsidRDefault="00AC021F" w:rsidP="00EC39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021F">
        <w:tab/>
        <w:t>A.</w:t>
      </w:r>
      <w:r w:rsidRPr="00AC021F">
        <w:tab/>
        <w:t>Образование в интересах устойчивого развития</w:t>
      </w:r>
    </w:p>
    <w:p w:rsidR="00EC398C" w:rsidRPr="00EC398C" w:rsidRDefault="00EC398C" w:rsidP="00EC398C">
      <w:pPr>
        <w:pStyle w:val="SingleTxt"/>
        <w:spacing w:after="0" w:line="120" w:lineRule="exact"/>
        <w:rPr>
          <w:sz w:val="10"/>
          <w:szCs w:val="20"/>
        </w:rPr>
      </w:pPr>
    </w:p>
    <w:p w:rsidR="00EC398C" w:rsidRPr="00EC398C" w:rsidRDefault="00EC398C" w:rsidP="00EC398C">
      <w:pPr>
        <w:pStyle w:val="SingleTxt"/>
        <w:spacing w:after="0" w:line="120" w:lineRule="exact"/>
        <w:rPr>
          <w:sz w:val="10"/>
          <w:szCs w:val="20"/>
        </w:rPr>
      </w:pPr>
    </w:p>
    <w:p w:rsidR="00AC021F" w:rsidRPr="00AC021F" w:rsidRDefault="00AC021F" w:rsidP="00EC398C">
      <w:pPr>
        <w:pStyle w:val="SingleTxt"/>
        <w:rPr>
          <w:szCs w:val="20"/>
        </w:rPr>
      </w:pPr>
      <w:r w:rsidRPr="00AC021F">
        <w:rPr>
          <w:szCs w:val="20"/>
        </w:rPr>
        <w:t>31.</w:t>
      </w:r>
      <w:r w:rsidRPr="00AC021F">
        <w:rPr>
          <w:szCs w:val="20"/>
        </w:rPr>
        <w:tab/>
      </w:r>
      <w:proofErr w:type="gramStart"/>
      <w:r w:rsidRPr="00AC021F">
        <w:rPr>
          <w:szCs w:val="20"/>
        </w:rPr>
        <w:t>Что касается образования в интересах устойчивого развития (ОУР), то се</w:t>
      </w:r>
      <w:r w:rsidRPr="00AC021F">
        <w:rPr>
          <w:szCs w:val="20"/>
        </w:rPr>
        <w:t>к</w:t>
      </w:r>
      <w:r w:rsidRPr="00AC021F">
        <w:rPr>
          <w:szCs w:val="20"/>
        </w:rPr>
        <w:t>ретариат представил информацию об основных итогах девятого совещания Рук</w:t>
      </w:r>
      <w:r w:rsidRPr="00AC021F">
        <w:rPr>
          <w:szCs w:val="20"/>
        </w:rPr>
        <w:t>о</w:t>
      </w:r>
      <w:r w:rsidRPr="00AC021F">
        <w:rPr>
          <w:szCs w:val="20"/>
        </w:rPr>
        <w:t>водящего комитета ЕЭК по ОУР (3</w:t>
      </w:r>
      <w:r w:rsidR="00EC398C">
        <w:rPr>
          <w:szCs w:val="20"/>
        </w:rPr>
        <w:t>–</w:t>
      </w:r>
      <w:r w:rsidRPr="00AC021F">
        <w:rPr>
          <w:szCs w:val="20"/>
        </w:rPr>
        <w:t>4 апреля 2014 года, Женева), в том числе о прогрессе в организации совещания высокого уровня представителей мин</w:t>
      </w:r>
      <w:r w:rsidRPr="00AC021F">
        <w:rPr>
          <w:szCs w:val="20"/>
        </w:rPr>
        <w:t>и</w:t>
      </w:r>
      <w:r w:rsidRPr="00AC021F">
        <w:rPr>
          <w:szCs w:val="20"/>
        </w:rPr>
        <w:t>стерств образования и окружающей среды в ходе Конференции министров в Б</w:t>
      </w:r>
      <w:r w:rsidRPr="00AC021F">
        <w:rPr>
          <w:szCs w:val="20"/>
        </w:rPr>
        <w:t>а</w:t>
      </w:r>
      <w:r w:rsidRPr="00AC021F">
        <w:rPr>
          <w:szCs w:val="20"/>
        </w:rPr>
        <w:t>туми, а также о подготовке к рассмотрению осуществления на национальном уровне этапа</w:t>
      </w:r>
      <w:proofErr w:type="gramEnd"/>
      <w:r w:rsidRPr="00AC021F">
        <w:rPr>
          <w:szCs w:val="20"/>
        </w:rPr>
        <w:t xml:space="preserve"> III (2011−2015 годы) Стратегии ЕЭК в сфере ОУР.</w:t>
      </w:r>
    </w:p>
    <w:p w:rsidR="00AC021F" w:rsidRPr="00AC021F" w:rsidRDefault="00AC021F" w:rsidP="00EC398C">
      <w:pPr>
        <w:pStyle w:val="SingleTxt"/>
        <w:rPr>
          <w:szCs w:val="20"/>
        </w:rPr>
      </w:pPr>
      <w:r w:rsidRPr="00AC021F">
        <w:rPr>
          <w:szCs w:val="20"/>
        </w:rPr>
        <w:t>32.</w:t>
      </w:r>
      <w:r w:rsidRPr="00AC021F">
        <w:rPr>
          <w:szCs w:val="20"/>
        </w:rPr>
        <w:tab/>
      </w:r>
      <w:proofErr w:type="gramStart"/>
      <w:r w:rsidRPr="00AC021F">
        <w:rPr>
          <w:szCs w:val="20"/>
        </w:rPr>
        <w:t>Кроме того, КЭП был проинформирован о том, что региональный вклад в осуществление Глобальной программы действий по ОУР, который был подгото</w:t>
      </w:r>
      <w:r w:rsidRPr="00AC021F">
        <w:rPr>
          <w:szCs w:val="20"/>
        </w:rPr>
        <w:t>в</w:t>
      </w:r>
      <w:r w:rsidRPr="00AC021F">
        <w:rPr>
          <w:szCs w:val="20"/>
        </w:rPr>
        <w:t>лен в качестве одной из последующих мер в связи с Десятилетием ОУР Орган</w:t>
      </w:r>
      <w:r w:rsidRPr="00AC021F">
        <w:rPr>
          <w:szCs w:val="20"/>
        </w:rPr>
        <w:t>и</w:t>
      </w:r>
      <w:r w:rsidRPr="00AC021F">
        <w:rPr>
          <w:szCs w:val="20"/>
        </w:rPr>
        <w:t xml:space="preserve">зации Объединенных Наций для Всемирной конференции по ОУР (10−12 ноября 2014 года, </w:t>
      </w:r>
      <w:proofErr w:type="spellStart"/>
      <w:r w:rsidRPr="00AC021F">
        <w:rPr>
          <w:szCs w:val="20"/>
        </w:rPr>
        <w:t>Аити-Нагоя</w:t>
      </w:r>
      <w:proofErr w:type="spellEnd"/>
      <w:r w:rsidRPr="00AC021F">
        <w:rPr>
          <w:szCs w:val="20"/>
        </w:rPr>
        <w:t>, Япония), а также об организации рабочего совещания и параллельного мероприятия  во время Конференции.</w:t>
      </w:r>
      <w:proofErr w:type="gramEnd"/>
    </w:p>
    <w:p w:rsidR="00AC021F" w:rsidRPr="00AC021F" w:rsidRDefault="00AC021F" w:rsidP="005E337A">
      <w:pPr>
        <w:pStyle w:val="SingleTxt"/>
        <w:rPr>
          <w:szCs w:val="20"/>
        </w:rPr>
      </w:pPr>
      <w:r w:rsidRPr="00AC021F">
        <w:rPr>
          <w:szCs w:val="20"/>
        </w:rPr>
        <w:lastRenderedPageBreak/>
        <w:t>33.</w:t>
      </w:r>
      <w:r w:rsidRPr="00AC021F">
        <w:rPr>
          <w:szCs w:val="20"/>
        </w:rPr>
        <w:tab/>
        <w:t>КЭП принял к сведению представленную информацию и выразил удовл</w:t>
      </w:r>
      <w:r w:rsidRPr="00AC021F">
        <w:rPr>
          <w:szCs w:val="20"/>
        </w:rPr>
        <w:t>е</w:t>
      </w:r>
      <w:r w:rsidRPr="00AC021F">
        <w:rPr>
          <w:szCs w:val="20"/>
        </w:rPr>
        <w:t xml:space="preserve">творение по поводу прогресса, достигнутого в работе в рамках стратегии ЕЭК для ОУР. Делегаты поддержали просьбу Руководящего комитета об организации </w:t>
      </w:r>
      <w:proofErr w:type="gramStart"/>
      <w:r w:rsidRPr="00AC021F">
        <w:rPr>
          <w:szCs w:val="20"/>
        </w:rPr>
        <w:t>совещания высокого уровня представителей министерств образования</w:t>
      </w:r>
      <w:proofErr w:type="gramEnd"/>
      <w:r w:rsidRPr="00AC021F">
        <w:rPr>
          <w:szCs w:val="20"/>
        </w:rPr>
        <w:t xml:space="preserve"> и окруж</w:t>
      </w:r>
      <w:r w:rsidRPr="00AC021F">
        <w:rPr>
          <w:szCs w:val="20"/>
        </w:rPr>
        <w:t>а</w:t>
      </w:r>
      <w:r w:rsidRPr="00AC021F">
        <w:rPr>
          <w:szCs w:val="20"/>
        </w:rPr>
        <w:t>ющей среды в рамках Батумской Конференции для оценки прогресса, достигн</w:t>
      </w:r>
      <w:r w:rsidRPr="00AC021F">
        <w:rPr>
          <w:szCs w:val="20"/>
        </w:rPr>
        <w:t>у</w:t>
      </w:r>
      <w:r w:rsidRPr="00AC021F">
        <w:rPr>
          <w:szCs w:val="20"/>
        </w:rPr>
        <w:t xml:space="preserve">того за первые </w:t>
      </w:r>
      <w:r w:rsidR="00EC398C">
        <w:rPr>
          <w:szCs w:val="20"/>
        </w:rPr>
        <w:t>десять</w:t>
      </w:r>
      <w:r w:rsidRPr="00AC021F">
        <w:rPr>
          <w:szCs w:val="20"/>
        </w:rPr>
        <w:t xml:space="preserve"> лет осуществления Стратегии, и рассмотрени</w:t>
      </w:r>
      <w:r w:rsidR="005E337A">
        <w:rPr>
          <w:szCs w:val="20"/>
        </w:rPr>
        <w:t>я</w:t>
      </w:r>
      <w:r w:rsidRPr="00AC021F">
        <w:rPr>
          <w:szCs w:val="20"/>
        </w:rPr>
        <w:t xml:space="preserve"> вопроса ее дальнейшего осуществления.</w:t>
      </w:r>
    </w:p>
    <w:p w:rsidR="00EC398C" w:rsidRPr="00EC398C" w:rsidRDefault="00EC398C" w:rsidP="00EC398C">
      <w:pPr>
        <w:pStyle w:val="SingleTxt"/>
        <w:spacing w:after="0" w:line="120" w:lineRule="exact"/>
        <w:rPr>
          <w:b/>
          <w:sz w:val="10"/>
          <w:szCs w:val="20"/>
        </w:rPr>
      </w:pPr>
    </w:p>
    <w:p w:rsidR="00EC398C" w:rsidRPr="00EC398C" w:rsidRDefault="00EC398C" w:rsidP="00EC398C">
      <w:pPr>
        <w:pStyle w:val="SingleTxt"/>
        <w:spacing w:after="0" w:line="120" w:lineRule="exact"/>
        <w:rPr>
          <w:b/>
          <w:sz w:val="10"/>
          <w:szCs w:val="20"/>
        </w:rPr>
      </w:pPr>
    </w:p>
    <w:p w:rsidR="00AC021F" w:rsidRPr="00AC021F" w:rsidRDefault="00AC021F" w:rsidP="00EC39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021F">
        <w:tab/>
        <w:t>B.</w:t>
      </w:r>
      <w:r w:rsidRPr="00AC021F">
        <w:tab/>
        <w:t>Общеевропейская программа по транспорту, окружающей среде и охране здоровья</w:t>
      </w:r>
    </w:p>
    <w:p w:rsidR="00EC398C" w:rsidRPr="00EC398C" w:rsidRDefault="00EC398C" w:rsidP="00EC398C">
      <w:pPr>
        <w:pStyle w:val="SingleTxt"/>
        <w:spacing w:after="0" w:line="120" w:lineRule="exact"/>
        <w:rPr>
          <w:sz w:val="10"/>
          <w:szCs w:val="20"/>
        </w:rPr>
      </w:pPr>
    </w:p>
    <w:p w:rsidR="00EC398C" w:rsidRPr="00EC398C" w:rsidRDefault="00EC398C" w:rsidP="00EC398C">
      <w:pPr>
        <w:pStyle w:val="SingleTxt"/>
        <w:spacing w:after="0" w:line="120" w:lineRule="exact"/>
        <w:rPr>
          <w:sz w:val="10"/>
          <w:szCs w:val="20"/>
        </w:rPr>
      </w:pPr>
    </w:p>
    <w:p w:rsidR="00AC021F" w:rsidRPr="00AC021F" w:rsidRDefault="00AC021F" w:rsidP="00B9361E">
      <w:pPr>
        <w:pStyle w:val="SingleTxt"/>
        <w:rPr>
          <w:szCs w:val="20"/>
        </w:rPr>
      </w:pPr>
      <w:r w:rsidRPr="00AC021F">
        <w:rPr>
          <w:szCs w:val="20"/>
        </w:rPr>
        <w:t>34.</w:t>
      </w:r>
      <w:r w:rsidRPr="00AC021F">
        <w:rPr>
          <w:szCs w:val="20"/>
        </w:rPr>
        <w:tab/>
        <w:t>Представитель Франции представил информацию об основных итогах че</w:t>
      </w:r>
      <w:r w:rsidRPr="00AC021F">
        <w:rPr>
          <w:szCs w:val="20"/>
        </w:rPr>
        <w:t>т</w:t>
      </w:r>
      <w:r w:rsidRPr="00AC021F">
        <w:rPr>
          <w:szCs w:val="20"/>
        </w:rPr>
        <w:t xml:space="preserve">вертого Совещания высокого уровня по транспорту, окружающей среде и охране здоровья (14−16 апреля 2014 года, Париж). В ходе обсуждений, состоявшихся на совещании в Париже, основное внимание было уделено стратегическим </w:t>
      </w:r>
      <w:proofErr w:type="gramStart"/>
      <w:r w:rsidRPr="00AC021F">
        <w:rPr>
          <w:szCs w:val="20"/>
        </w:rPr>
        <w:t>мех</w:t>
      </w:r>
      <w:r w:rsidRPr="00AC021F">
        <w:rPr>
          <w:szCs w:val="20"/>
        </w:rPr>
        <w:t>а</w:t>
      </w:r>
      <w:r w:rsidRPr="00AC021F">
        <w:rPr>
          <w:szCs w:val="20"/>
        </w:rPr>
        <w:t>низмам</w:t>
      </w:r>
      <w:proofErr w:type="gramEnd"/>
      <w:r w:rsidRPr="00AC021F">
        <w:rPr>
          <w:szCs w:val="20"/>
        </w:rPr>
        <w:t xml:space="preserve"> как на национальном, так и на муниципальном уровн</w:t>
      </w:r>
      <w:r w:rsidR="00B9361E">
        <w:rPr>
          <w:szCs w:val="20"/>
        </w:rPr>
        <w:t>е</w:t>
      </w:r>
      <w:r w:rsidRPr="00AC021F">
        <w:rPr>
          <w:szCs w:val="20"/>
        </w:rPr>
        <w:t>, обеспечения устойчивой и безопасной для здоровья городской мобильности и транспорта, а также новым исследованиям, политике, участникам и заинтересованным стор</w:t>
      </w:r>
      <w:r w:rsidRPr="00AC021F">
        <w:rPr>
          <w:szCs w:val="20"/>
        </w:rPr>
        <w:t>о</w:t>
      </w:r>
      <w:r w:rsidRPr="00AC021F">
        <w:rPr>
          <w:szCs w:val="20"/>
        </w:rPr>
        <w:t>нам (средствам массовой информации, представителям промышленности и гра</w:t>
      </w:r>
      <w:r w:rsidRPr="00AC021F">
        <w:rPr>
          <w:szCs w:val="20"/>
        </w:rPr>
        <w:t>ж</w:t>
      </w:r>
      <w:r w:rsidRPr="00AC021F">
        <w:rPr>
          <w:szCs w:val="20"/>
        </w:rPr>
        <w:t>данского общества) в области поощрения устойчивой и безопасной для здоровья городской мобильности.</w:t>
      </w:r>
    </w:p>
    <w:p w:rsidR="00AC021F" w:rsidRPr="00AC021F" w:rsidRDefault="00AC021F" w:rsidP="005E337A">
      <w:pPr>
        <w:pStyle w:val="SingleTxt"/>
        <w:rPr>
          <w:szCs w:val="20"/>
        </w:rPr>
      </w:pPr>
      <w:r w:rsidRPr="00AC021F">
        <w:rPr>
          <w:szCs w:val="20"/>
        </w:rPr>
        <w:t>35.</w:t>
      </w:r>
      <w:r w:rsidRPr="00AC021F">
        <w:rPr>
          <w:szCs w:val="20"/>
        </w:rPr>
        <w:tab/>
      </w:r>
      <w:proofErr w:type="gramStart"/>
      <w:r w:rsidRPr="00AC021F">
        <w:rPr>
          <w:szCs w:val="20"/>
        </w:rPr>
        <w:t>Участники Совещания высокого уровня приняли Парижскую декларацию, в том числе обязательство по обеспечению благоприятных для окружающей среды и здоровья мобильности и транспорта для системы устойчивого жизнеобеспеч</w:t>
      </w:r>
      <w:r w:rsidRPr="00AC021F">
        <w:rPr>
          <w:szCs w:val="20"/>
        </w:rPr>
        <w:t>е</w:t>
      </w:r>
      <w:r w:rsidRPr="00AC021F">
        <w:rPr>
          <w:szCs w:val="20"/>
        </w:rPr>
        <w:t>ния для всех и новую приоритетную цель 5 по интеграции целей в сферах тран</w:t>
      </w:r>
      <w:r w:rsidRPr="00AC021F">
        <w:rPr>
          <w:szCs w:val="20"/>
        </w:rPr>
        <w:t>с</w:t>
      </w:r>
      <w:r w:rsidRPr="00AC021F">
        <w:rPr>
          <w:szCs w:val="20"/>
        </w:rPr>
        <w:t>порта, охраны здоровья и окружающей среды в политику городского развития и территориально-пространственного планирования.</w:t>
      </w:r>
      <w:proofErr w:type="gramEnd"/>
      <w:r w:rsidRPr="00AC021F">
        <w:rPr>
          <w:szCs w:val="20"/>
        </w:rPr>
        <w:t xml:space="preserve"> </w:t>
      </w:r>
      <w:proofErr w:type="gramStart"/>
      <w:r w:rsidRPr="00AC021F">
        <w:rPr>
          <w:szCs w:val="20"/>
        </w:rPr>
        <w:t>Делегаты согласовали также план работы на период 2014</w:t>
      </w:r>
      <w:r w:rsidR="00EC398C">
        <w:rPr>
          <w:szCs w:val="20"/>
        </w:rPr>
        <w:t>–</w:t>
      </w:r>
      <w:r w:rsidRPr="00AC021F">
        <w:rPr>
          <w:szCs w:val="20"/>
        </w:rPr>
        <w:t>2020 годов для Общеевропейской программы по транспорту, охране здоровья и окружающей среде (ОПТОЗОС), включающий н</w:t>
      </w:r>
      <w:r w:rsidRPr="00AC021F">
        <w:rPr>
          <w:szCs w:val="20"/>
        </w:rPr>
        <w:t>о</w:t>
      </w:r>
      <w:r w:rsidRPr="00AC021F">
        <w:rPr>
          <w:szCs w:val="20"/>
        </w:rPr>
        <w:t xml:space="preserve">вый механизм осуществления </w:t>
      </w:r>
      <w:r w:rsidR="00EC398C">
        <w:rPr>
          <w:szCs w:val="20"/>
        </w:rPr>
        <w:t>–</w:t>
      </w:r>
      <w:r w:rsidRPr="00AC021F">
        <w:rPr>
          <w:szCs w:val="20"/>
        </w:rPr>
        <w:t xml:space="preserve"> Академию ОПТОСОЗ, общеевропейский ген</w:t>
      </w:r>
      <w:r w:rsidRPr="00AC021F">
        <w:rPr>
          <w:szCs w:val="20"/>
        </w:rPr>
        <w:t>е</w:t>
      </w:r>
      <w:r w:rsidRPr="00AC021F">
        <w:rPr>
          <w:szCs w:val="20"/>
        </w:rPr>
        <w:t>ральный план по поощрению велосипедного движения и деятельность по укре</w:t>
      </w:r>
      <w:r w:rsidRPr="00AC021F">
        <w:rPr>
          <w:szCs w:val="20"/>
        </w:rPr>
        <w:t>п</w:t>
      </w:r>
      <w:r w:rsidRPr="00AC021F">
        <w:rPr>
          <w:szCs w:val="20"/>
        </w:rPr>
        <w:t>лению партнерства с городскими сетями, организациями гражданского общества и исследовательскими кругами и мобилизации молодежи и их организаций.</w:t>
      </w:r>
      <w:proofErr w:type="gramEnd"/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36.</w:t>
      </w:r>
      <w:r w:rsidRPr="00AC021F">
        <w:rPr>
          <w:szCs w:val="20"/>
        </w:rPr>
        <w:tab/>
      </w:r>
      <w:proofErr w:type="gramStart"/>
      <w:r w:rsidRPr="00AC021F">
        <w:rPr>
          <w:szCs w:val="20"/>
        </w:rPr>
        <w:t>Секретариат представил информацию об основных видах деятельности ОПТОЗОС в 2014 году, в том числе о прогрессе в подготовке национальных пл</w:t>
      </w:r>
      <w:r w:rsidRPr="00AC021F">
        <w:rPr>
          <w:szCs w:val="20"/>
        </w:rPr>
        <w:t>а</w:t>
      </w:r>
      <w:r w:rsidRPr="00AC021F">
        <w:rPr>
          <w:szCs w:val="20"/>
        </w:rPr>
        <w:t xml:space="preserve">нов действий в областях транспорта, охраны здоровья и окружающей среды (НПДТОСОЗ); организации рабочего совещания ОПТОЗОС в рамках </w:t>
      </w:r>
      <w:r w:rsidR="00EC398C">
        <w:rPr>
          <w:szCs w:val="20"/>
        </w:rPr>
        <w:t>«</w:t>
      </w:r>
      <w:r w:rsidRPr="00AC021F">
        <w:rPr>
          <w:szCs w:val="20"/>
        </w:rPr>
        <w:t>эстафеты</w:t>
      </w:r>
      <w:r w:rsidR="00EC398C">
        <w:rPr>
          <w:szCs w:val="20"/>
        </w:rPr>
        <w:t>»</w:t>
      </w:r>
      <w:r w:rsidRPr="00AC021F">
        <w:rPr>
          <w:szCs w:val="20"/>
        </w:rPr>
        <w:t xml:space="preserve"> в сентябре 2014 года в Каунасе, Литва; налаживании партнерских отношений ОПТОСОЗ по инструментарию экономической оценки влияния на здоровье (НЕАТ);</w:t>
      </w:r>
      <w:proofErr w:type="gramEnd"/>
      <w:r w:rsidRPr="00AC021F">
        <w:rPr>
          <w:szCs w:val="20"/>
        </w:rPr>
        <w:t xml:space="preserve"> </w:t>
      </w:r>
      <w:proofErr w:type="gramStart"/>
      <w:r w:rsidRPr="00AC021F">
        <w:rPr>
          <w:szCs w:val="20"/>
        </w:rPr>
        <w:t>проведении</w:t>
      </w:r>
      <w:proofErr w:type="gramEnd"/>
      <w:r w:rsidRPr="00AC021F">
        <w:rPr>
          <w:szCs w:val="20"/>
        </w:rPr>
        <w:t xml:space="preserve"> учебных мероприятиях по </w:t>
      </w:r>
      <w:proofErr w:type="spellStart"/>
      <w:r w:rsidRPr="00AC021F">
        <w:rPr>
          <w:szCs w:val="20"/>
        </w:rPr>
        <w:t>эковождению</w:t>
      </w:r>
      <w:proofErr w:type="spellEnd"/>
      <w:r w:rsidRPr="00AC021F">
        <w:rPr>
          <w:szCs w:val="20"/>
        </w:rPr>
        <w:t xml:space="preserve"> в Алма-Ате, Каза</w:t>
      </w:r>
      <w:r w:rsidRPr="00AC021F">
        <w:rPr>
          <w:szCs w:val="20"/>
        </w:rPr>
        <w:t>х</w:t>
      </w:r>
      <w:r w:rsidRPr="00AC021F">
        <w:rPr>
          <w:szCs w:val="20"/>
        </w:rPr>
        <w:t>стан, и в Калининграде, Российская Федерация; пропаганде езды на велосипеде и создании благоприятных для окружающей среды и здоровья человека рабочих мест на транспорте; и предварительной работе Академии ОПТОСОЗ.</w:t>
      </w: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37.</w:t>
      </w:r>
      <w:r w:rsidRPr="00AC021F">
        <w:rPr>
          <w:szCs w:val="20"/>
        </w:rPr>
        <w:tab/>
        <w:t>Представитель ЮНЕП представил дополнительную информацию о деятел</w:t>
      </w:r>
      <w:r w:rsidRPr="00AC021F">
        <w:rPr>
          <w:szCs w:val="20"/>
        </w:rPr>
        <w:t>ь</w:t>
      </w:r>
      <w:r w:rsidRPr="00AC021F">
        <w:rPr>
          <w:szCs w:val="20"/>
        </w:rPr>
        <w:t>ности в области создания благоприятных для окружающей среды и здоровья р</w:t>
      </w:r>
      <w:r w:rsidRPr="00AC021F">
        <w:rPr>
          <w:szCs w:val="20"/>
        </w:rPr>
        <w:t>а</w:t>
      </w:r>
      <w:r w:rsidRPr="00AC021F">
        <w:rPr>
          <w:szCs w:val="20"/>
        </w:rPr>
        <w:t>бочих мест, включая основные выводы, представленные в новой публикации, совместно подготовленной ЕЭК, ВОЗ, ЮНЕП, Австрией, Францией и Швейцар</w:t>
      </w:r>
      <w:r w:rsidRPr="00AC021F">
        <w:rPr>
          <w:szCs w:val="20"/>
        </w:rPr>
        <w:t>и</w:t>
      </w:r>
      <w:r w:rsidRPr="00AC021F">
        <w:rPr>
          <w:szCs w:val="20"/>
        </w:rPr>
        <w:t>ей. Основным выводом этой работы стало то, что расширение потенциала по с</w:t>
      </w:r>
      <w:r w:rsidRPr="00AC021F">
        <w:rPr>
          <w:szCs w:val="20"/>
        </w:rPr>
        <w:t>о</w:t>
      </w:r>
      <w:r w:rsidRPr="00AC021F">
        <w:rPr>
          <w:szCs w:val="20"/>
        </w:rPr>
        <w:t>зданию рабочих ме</w:t>
      </w:r>
      <w:proofErr w:type="gramStart"/>
      <w:r w:rsidRPr="00AC021F">
        <w:rPr>
          <w:szCs w:val="20"/>
        </w:rPr>
        <w:t>ст в сф</w:t>
      </w:r>
      <w:proofErr w:type="gramEnd"/>
      <w:r w:rsidRPr="00AC021F">
        <w:rPr>
          <w:szCs w:val="20"/>
        </w:rPr>
        <w:t>ерах общественного транспорта, езда на велосипеде и ходьба пешком могут принести многочисленные социальные и экологические выгоды.</w:t>
      </w: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lastRenderedPageBreak/>
        <w:t>38.</w:t>
      </w:r>
      <w:r w:rsidRPr="00AC021F">
        <w:rPr>
          <w:szCs w:val="20"/>
        </w:rPr>
        <w:tab/>
        <w:t>КЭП принял к сведению представленную информацию, приветствовал пр</w:t>
      </w:r>
      <w:r w:rsidRPr="00AC021F">
        <w:rPr>
          <w:szCs w:val="20"/>
        </w:rPr>
        <w:t>о</w:t>
      </w:r>
      <w:r w:rsidRPr="00AC021F">
        <w:rPr>
          <w:szCs w:val="20"/>
        </w:rPr>
        <w:t>гресс, достигнутый в рамках ОПТОЗОС</w:t>
      </w:r>
      <w:r w:rsidR="005E337A">
        <w:rPr>
          <w:szCs w:val="20"/>
        </w:rPr>
        <w:t>,</w:t>
      </w:r>
      <w:r w:rsidRPr="00AC021F">
        <w:rPr>
          <w:szCs w:val="20"/>
        </w:rPr>
        <w:t xml:space="preserve"> и предложил странам рассмотреть в</w:t>
      </w:r>
      <w:r w:rsidRPr="00AC021F">
        <w:rPr>
          <w:szCs w:val="20"/>
        </w:rPr>
        <w:t>о</w:t>
      </w:r>
      <w:r w:rsidRPr="00AC021F">
        <w:rPr>
          <w:szCs w:val="20"/>
        </w:rPr>
        <w:t xml:space="preserve">прос о проведении у себя рабочего совещания ОПТОЗОС в рамках </w:t>
      </w:r>
      <w:r w:rsidR="00EC398C">
        <w:rPr>
          <w:szCs w:val="20"/>
        </w:rPr>
        <w:t>«</w:t>
      </w:r>
      <w:r w:rsidRPr="00AC021F">
        <w:rPr>
          <w:szCs w:val="20"/>
        </w:rPr>
        <w:t>эстафеты</w:t>
      </w:r>
      <w:r w:rsidR="00EC398C">
        <w:rPr>
          <w:szCs w:val="20"/>
        </w:rPr>
        <w:t>»</w:t>
      </w:r>
      <w:r w:rsidRPr="00AC021F">
        <w:rPr>
          <w:szCs w:val="20"/>
        </w:rPr>
        <w:t xml:space="preserve"> в 2015 году.</w:t>
      </w:r>
    </w:p>
    <w:p w:rsidR="00EC398C" w:rsidRPr="00EC398C" w:rsidRDefault="00EC398C" w:rsidP="00EC398C">
      <w:pPr>
        <w:pStyle w:val="SingleTxt"/>
        <w:spacing w:after="0" w:line="120" w:lineRule="exact"/>
        <w:rPr>
          <w:b/>
          <w:sz w:val="10"/>
          <w:szCs w:val="20"/>
        </w:rPr>
      </w:pPr>
    </w:p>
    <w:p w:rsidR="00EC398C" w:rsidRPr="00EC398C" w:rsidRDefault="00EC398C" w:rsidP="00EC398C">
      <w:pPr>
        <w:pStyle w:val="SingleTxt"/>
        <w:spacing w:after="0" w:line="120" w:lineRule="exact"/>
        <w:rPr>
          <w:b/>
          <w:sz w:val="10"/>
          <w:szCs w:val="20"/>
        </w:rPr>
      </w:pPr>
    </w:p>
    <w:p w:rsidR="00AC021F" w:rsidRPr="00AC021F" w:rsidRDefault="00AC021F" w:rsidP="00EC39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C021F">
        <w:tab/>
        <w:t>C.</w:t>
      </w:r>
      <w:r w:rsidRPr="00AC021F">
        <w:tab/>
        <w:t>Окружающая среда и безопасность</w:t>
      </w:r>
    </w:p>
    <w:p w:rsidR="00EC398C" w:rsidRPr="00EC398C" w:rsidRDefault="00EC398C" w:rsidP="00EC398C">
      <w:pPr>
        <w:pStyle w:val="SingleTxt"/>
        <w:spacing w:after="0" w:line="120" w:lineRule="exact"/>
        <w:rPr>
          <w:sz w:val="10"/>
          <w:szCs w:val="20"/>
        </w:rPr>
      </w:pPr>
    </w:p>
    <w:p w:rsidR="00EC398C" w:rsidRPr="00EC398C" w:rsidRDefault="00EC398C" w:rsidP="00EC398C">
      <w:pPr>
        <w:pStyle w:val="SingleTxt"/>
        <w:spacing w:after="0" w:line="120" w:lineRule="exact"/>
        <w:rPr>
          <w:sz w:val="10"/>
          <w:szCs w:val="20"/>
        </w:rPr>
      </w:pPr>
    </w:p>
    <w:p w:rsidR="00AC021F" w:rsidRPr="00AC021F" w:rsidRDefault="00AC021F" w:rsidP="00EC398C">
      <w:pPr>
        <w:pStyle w:val="SingleTxt"/>
        <w:rPr>
          <w:szCs w:val="20"/>
        </w:rPr>
      </w:pPr>
      <w:r w:rsidRPr="00AC021F">
        <w:rPr>
          <w:szCs w:val="20"/>
        </w:rPr>
        <w:t>39.</w:t>
      </w:r>
      <w:r w:rsidRPr="00AC021F">
        <w:rPr>
          <w:szCs w:val="20"/>
        </w:rPr>
        <w:tab/>
        <w:t>Директор Отдела по окружающей среде ЕЭК сделал обзор недавних изм</w:t>
      </w:r>
      <w:r w:rsidRPr="00AC021F">
        <w:rPr>
          <w:szCs w:val="20"/>
        </w:rPr>
        <w:t>е</w:t>
      </w:r>
      <w:r w:rsidRPr="00AC021F">
        <w:rPr>
          <w:szCs w:val="20"/>
        </w:rPr>
        <w:t xml:space="preserve">нений в рамках инициативы </w:t>
      </w:r>
      <w:r w:rsidR="00EC398C">
        <w:rPr>
          <w:szCs w:val="20"/>
        </w:rPr>
        <w:t>«</w:t>
      </w:r>
      <w:r w:rsidRPr="00AC021F">
        <w:rPr>
          <w:szCs w:val="20"/>
        </w:rPr>
        <w:t>Окружающая среда и безопасность</w:t>
      </w:r>
      <w:r w:rsidR="00EC398C">
        <w:rPr>
          <w:szCs w:val="20"/>
        </w:rPr>
        <w:t>»</w:t>
      </w:r>
      <w:r w:rsidRPr="00AC021F">
        <w:rPr>
          <w:szCs w:val="20"/>
        </w:rPr>
        <w:t xml:space="preserve"> (ОСБ) (и</w:t>
      </w:r>
      <w:r w:rsidRPr="00AC021F">
        <w:rPr>
          <w:szCs w:val="20"/>
        </w:rPr>
        <w:t>н</w:t>
      </w:r>
      <w:r w:rsidRPr="00AC021F">
        <w:rPr>
          <w:szCs w:val="20"/>
        </w:rPr>
        <w:t>формационный документ № 3). Будучи одним из шести партнеров ОСБ, ЕЭК провел</w:t>
      </w:r>
      <w:r w:rsidR="005E337A">
        <w:rPr>
          <w:szCs w:val="20"/>
        </w:rPr>
        <w:t>а</w:t>
      </w:r>
      <w:r w:rsidRPr="00AC021F">
        <w:rPr>
          <w:szCs w:val="20"/>
        </w:rPr>
        <w:t xml:space="preserve"> в 2014 году многочисленные мероприятия, направленные на обеспечение сотрудничества между странами по управлению находящимися в их общем вл</w:t>
      </w:r>
      <w:r w:rsidRPr="00AC021F">
        <w:rPr>
          <w:szCs w:val="20"/>
        </w:rPr>
        <w:t>а</w:t>
      </w:r>
      <w:r w:rsidRPr="00AC021F">
        <w:rPr>
          <w:szCs w:val="20"/>
        </w:rPr>
        <w:t xml:space="preserve">дении природными ресурсами, в основном уделяя особое внимание поощрению осуществления МПС ЕЭК </w:t>
      </w:r>
      <w:r w:rsidR="00EC398C">
        <w:rPr>
          <w:szCs w:val="20"/>
        </w:rPr>
        <w:t>–</w:t>
      </w:r>
      <w:r w:rsidRPr="00AC021F">
        <w:rPr>
          <w:szCs w:val="20"/>
        </w:rPr>
        <w:t xml:space="preserve"> важного элемента ОСБ.</w:t>
      </w:r>
    </w:p>
    <w:p w:rsidR="00AC021F" w:rsidRPr="00AC021F" w:rsidRDefault="00AC021F" w:rsidP="00B9361E">
      <w:pPr>
        <w:pStyle w:val="SingleTxt"/>
        <w:rPr>
          <w:szCs w:val="20"/>
        </w:rPr>
      </w:pPr>
      <w:r w:rsidRPr="00AC021F">
        <w:rPr>
          <w:szCs w:val="20"/>
        </w:rPr>
        <w:t>40.</w:t>
      </w:r>
      <w:r w:rsidRPr="00AC021F">
        <w:rPr>
          <w:szCs w:val="20"/>
        </w:rPr>
        <w:tab/>
        <w:t>Деятельность по сотрудничеству в области водных ресурсов включала в с</w:t>
      </w:r>
      <w:r w:rsidRPr="00AC021F">
        <w:rPr>
          <w:szCs w:val="20"/>
        </w:rPr>
        <w:t>е</w:t>
      </w:r>
      <w:r w:rsidRPr="00AC021F">
        <w:rPr>
          <w:szCs w:val="20"/>
        </w:rPr>
        <w:t>бя оценку уязвимости к изменению климата в бассейне реки Чу-Талас (протек</w:t>
      </w:r>
      <w:r w:rsidRPr="00AC021F">
        <w:rPr>
          <w:szCs w:val="20"/>
        </w:rPr>
        <w:t>а</w:t>
      </w:r>
      <w:r w:rsidRPr="00AC021F">
        <w:rPr>
          <w:szCs w:val="20"/>
        </w:rPr>
        <w:t>ющей в Кыргызстане и Казахстане) и разработку трансграничных стратегий адаптации для рек Днестр (протекающей в Республике Молдова и Украине) и Неман (Беларусь, Литва и Российская Федерация). В качестве одной из мер ада</w:t>
      </w:r>
      <w:r w:rsidRPr="00AC021F">
        <w:rPr>
          <w:szCs w:val="20"/>
        </w:rPr>
        <w:t>п</w:t>
      </w:r>
      <w:r w:rsidRPr="00AC021F">
        <w:rPr>
          <w:szCs w:val="20"/>
        </w:rPr>
        <w:t>тации к изменению климата был начат процесс мониторинга и восстановления экосистемы в бассейне реки Днестр. В связи с происшествиями на дамбе в К</w:t>
      </w:r>
      <w:r w:rsidRPr="00AC021F">
        <w:rPr>
          <w:szCs w:val="20"/>
        </w:rPr>
        <w:t>а</w:t>
      </w:r>
      <w:r w:rsidRPr="00AC021F">
        <w:rPr>
          <w:szCs w:val="20"/>
        </w:rPr>
        <w:t>захстане была предоставлена юридическая и техническая консультативная п</w:t>
      </w:r>
      <w:r w:rsidRPr="00AC021F">
        <w:rPr>
          <w:szCs w:val="20"/>
        </w:rPr>
        <w:t>о</w:t>
      </w:r>
      <w:r w:rsidRPr="00AC021F">
        <w:rPr>
          <w:szCs w:val="20"/>
        </w:rPr>
        <w:t>мощь для повышения уровня безопасности существующих инфраструктур в о</w:t>
      </w:r>
      <w:r w:rsidRPr="00AC021F">
        <w:rPr>
          <w:szCs w:val="20"/>
        </w:rPr>
        <w:t>б</w:t>
      </w:r>
      <w:r w:rsidRPr="00AC021F">
        <w:rPr>
          <w:szCs w:val="20"/>
        </w:rPr>
        <w:t>ласти водных ресурсов в Центральной Азии. Кроме того, было оказано соде</w:t>
      </w:r>
      <w:r w:rsidRPr="00AC021F">
        <w:rPr>
          <w:szCs w:val="20"/>
        </w:rPr>
        <w:t>й</w:t>
      </w:r>
      <w:r w:rsidRPr="00AC021F">
        <w:rPr>
          <w:szCs w:val="20"/>
        </w:rPr>
        <w:t>ствие процессу переговоров о заключении договора между Азербайджаном и Грузией в отношении реки Кура, являющейся одним из основных источников п</w:t>
      </w:r>
      <w:r w:rsidRPr="00AC021F">
        <w:rPr>
          <w:szCs w:val="20"/>
        </w:rPr>
        <w:t>и</w:t>
      </w:r>
      <w:r w:rsidRPr="00AC021F">
        <w:rPr>
          <w:szCs w:val="20"/>
        </w:rPr>
        <w:t>тьевой воды для этих двух стран.</w:t>
      </w: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41.</w:t>
      </w:r>
      <w:r w:rsidRPr="00AC021F">
        <w:rPr>
          <w:szCs w:val="20"/>
        </w:rPr>
        <w:tab/>
      </w:r>
      <w:proofErr w:type="gramStart"/>
      <w:r w:rsidRPr="00AC021F">
        <w:rPr>
          <w:szCs w:val="20"/>
        </w:rPr>
        <w:t>В целях укрепления экологической демократии и управления были подг</w:t>
      </w:r>
      <w:r w:rsidRPr="00AC021F">
        <w:rPr>
          <w:szCs w:val="20"/>
        </w:rPr>
        <w:t>о</w:t>
      </w:r>
      <w:r w:rsidRPr="00AC021F">
        <w:rPr>
          <w:szCs w:val="20"/>
        </w:rPr>
        <w:t>товлены региональные исследования, включающие целевые рекомендации, направленные на обеспечение доступа к экологической справедливости, для ш</w:t>
      </w:r>
      <w:r w:rsidRPr="00AC021F">
        <w:rPr>
          <w:szCs w:val="20"/>
        </w:rPr>
        <w:t>е</w:t>
      </w:r>
      <w:r w:rsidRPr="00AC021F">
        <w:rPr>
          <w:szCs w:val="20"/>
        </w:rPr>
        <w:t xml:space="preserve">сти стран Юго-Восточной Европы; кроме того, было осуществлено несколько проектов в Беларуси, в том числе </w:t>
      </w:r>
      <w:proofErr w:type="spellStart"/>
      <w:r w:rsidRPr="00AC021F">
        <w:rPr>
          <w:szCs w:val="20"/>
        </w:rPr>
        <w:t>послепроектный</w:t>
      </w:r>
      <w:proofErr w:type="spellEnd"/>
      <w:r w:rsidRPr="00AC021F">
        <w:rPr>
          <w:szCs w:val="20"/>
        </w:rPr>
        <w:t xml:space="preserve"> анализ окружающей среды по итогам операции по добыче мела в граничащем с Украиной национальном парке.</w:t>
      </w:r>
      <w:proofErr w:type="gramEnd"/>
    </w:p>
    <w:p w:rsidR="00AC021F" w:rsidRPr="00AC021F" w:rsidRDefault="00AC021F" w:rsidP="00B9361E">
      <w:pPr>
        <w:pStyle w:val="SingleTxt"/>
        <w:rPr>
          <w:szCs w:val="20"/>
        </w:rPr>
      </w:pPr>
      <w:r w:rsidRPr="00AC021F">
        <w:rPr>
          <w:szCs w:val="20"/>
        </w:rPr>
        <w:t>42.</w:t>
      </w:r>
      <w:r w:rsidRPr="00AC021F">
        <w:rPr>
          <w:szCs w:val="20"/>
        </w:rPr>
        <w:tab/>
        <w:t>В целях повышения эффективности предупреждения, готовности и реагир</w:t>
      </w:r>
      <w:r w:rsidRPr="00AC021F">
        <w:rPr>
          <w:szCs w:val="20"/>
        </w:rPr>
        <w:t>о</w:t>
      </w:r>
      <w:r w:rsidRPr="00AC021F">
        <w:rPr>
          <w:szCs w:val="20"/>
        </w:rPr>
        <w:t>вания на промышленные аварии были проведены тренинги для экспертов, п</w:t>
      </w:r>
      <w:r w:rsidRPr="00AC021F">
        <w:rPr>
          <w:szCs w:val="20"/>
        </w:rPr>
        <w:t>о</w:t>
      </w:r>
      <w:r w:rsidRPr="00AC021F">
        <w:rPr>
          <w:szCs w:val="20"/>
        </w:rPr>
        <w:t>священные процессу подготовки национальных докладов по четырем странам Юго-Восточной Европы. Кроме того, был проведен сравнительный анализ зак</w:t>
      </w:r>
      <w:r w:rsidRPr="00AC021F">
        <w:rPr>
          <w:szCs w:val="20"/>
        </w:rPr>
        <w:t>о</w:t>
      </w:r>
      <w:r w:rsidRPr="00AC021F">
        <w:rPr>
          <w:szCs w:val="20"/>
        </w:rPr>
        <w:t>нодательства, политики и учреждений по предотвращению чрезвычайных ситу</w:t>
      </w:r>
      <w:r w:rsidRPr="00AC021F">
        <w:rPr>
          <w:szCs w:val="20"/>
        </w:rPr>
        <w:t>а</w:t>
      </w:r>
      <w:r w:rsidRPr="00AC021F">
        <w:rPr>
          <w:szCs w:val="20"/>
        </w:rPr>
        <w:t>ций, связанных с опасной деятельностью, в Республике Молдова, Румынии и Украине.</w:t>
      </w:r>
    </w:p>
    <w:p w:rsidR="00AC021F" w:rsidRPr="00AC021F" w:rsidRDefault="00AC021F" w:rsidP="00AC021F">
      <w:pPr>
        <w:pStyle w:val="SingleTxt"/>
        <w:rPr>
          <w:szCs w:val="20"/>
        </w:rPr>
      </w:pPr>
      <w:r w:rsidRPr="00AC021F">
        <w:rPr>
          <w:szCs w:val="20"/>
        </w:rPr>
        <w:t>43.</w:t>
      </w:r>
      <w:r w:rsidRPr="00AC021F">
        <w:rPr>
          <w:szCs w:val="20"/>
        </w:rPr>
        <w:tab/>
      </w:r>
      <w:proofErr w:type="gramStart"/>
      <w:r w:rsidRPr="00AC021F">
        <w:rPr>
          <w:szCs w:val="20"/>
        </w:rPr>
        <w:t>Исполняющий</w:t>
      </w:r>
      <w:proofErr w:type="gramEnd"/>
      <w:r w:rsidRPr="00AC021F">
        <w:rPr>
          <w:szCs w:val="20"/>
        </w:rPr>
        <w:t xml:space="preserve"> обязанности директора ЕРБ/ЮНЕП представил информацию о последних событиях, связанных с формированием координационной группы секретариата ОСБ и передачей председательства в ОСБ Региональному эколог</w:t>
      </w:r>
      <w:r w:rsidRPr="00AC021F">
        <w:rPr>
          <w:szCs w:val="20"/>
        </w:rPr>
        <w:t>и</w:t>
      </w:r>
      <w:r w:rsidRPr="00AC021F">
        <w:rPr>
          <w:szCs w:val="20"/>
        </w:rPr>
        <w:t>ческому центру Центральной и Восточной Европы 1 января 2015 года.</w:t>
      </w:r>
    </w:p>
    <w:p w:rsidR="00AC021F" w:rsidRPr="00AC021F" w:rsidRDefault="00AC021F" w:rsidP="008A727D">
      <w:pPr>
        <w:pStyle w:val="SingleTxt"/>
        <w:rPr>
          <w:szCs w:val="20"/>
        </w:rPr>
      </w:pPr>
      <w:r w:rsidRPr="00AC021F">
        <w:rPr>
          <w:szCs w:val="20"/>
        </w:rPr>
        <w:t>44.</w:t>
      </w:r>
      <w:r w:rsidRPr="00AC021F">
        <w:rPr>
          <w:szCs w:val="20"/>
        </w:rPr>
        <w:tab/>
        <w:t>КЭП принял к сведению и приветствовал представленную информацию об ОСБ.</w:t>
      </w:r>
    </w:p>
    <w:p w:rsidR="00D053AB" w:rsidRPr="00646BC5" w:rsidRDefault="00367133" w:rsidP="00D053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 w:rsidR="00D053AB" w:rsidRPr="00646BC5">
        <w:t>D.</w:t>
      </w:r>
      <w:r w:rsidR="00D053AB" w:rsidRPr="00646BC5">
        <w:tab/>
        <w:t xml:space="preserve">Европейский процесс </w:t>
      </w:r>
      <w:r w:rsidR="00D053AB">
        <w:t>«</w:t>
      </w:r>
      <w:r w:rsidR="00D053AB" w:rsidRPr="00646BC5">
        <w:t>Окружающая среда и здоровье</w:t>
      </w:r>
      <w:r w:rsidR="00D053AB">
        <w:t>»</w:t>
      </w:r>
    </w:p>
    <w:p w:rsidR="00D053AB" w:rsidRPr="00646BC5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367133">
      <w:pPr>
        <w:pStyle w:val="SingleTxt"/>
      </w:pPr>
      <w:r w:rsidRPr="00646BC5">
        <w:t>45.</w:t>
      </w:r>
      <w:r w:rsidRPr="00646BC5">
        <w:tab/>
        <w:t>На своей девятнадцатой сессии КЭП просил секретариат предпринять нео</w:t>
      </w:r>
      <w:r w:rsidRPr="00646BC5">
        <w:t>б</w:t>
      </w:r>
      <w:r w:rsidRPr="00646BC5">
        <w:t xml:space="preserve">ходимые последующие действия </w:t>
      </w:r>
      <w:proofErr w:type="gramStart"/>
      <w:r w:rsidRPr="00646BC5">
        <w:t>с целью назначения четырех министров от се</w:t>
      </w:r>
      <w:r w:rsidRPr="00646BC5">
        <w:t>к</w:t>
      </w:r>
      <w:r w:rsidRPr="00646BC5">
        <w:t>тора окружающей среды на третий срок полномочий в Европейский совет мин</w:t>
      </w:r>
      <w:r w:rsidRPr="00646BC5">
        <w:t>и</w:t>
      </w:r>
      <w:r w:rsidRPr="00646BC5">
        <w:t>стров по окружающей среде</w:t>
      </w:r>
      <w:proofErr w:type="gramEnd"/>
      <w:r w:rsidRPr="00646BC5">
        <w:t xml:space="preserve"> и здоровью (ЕСМОСЗ) (2015−2016 годы). Соотве</w:t>
      </w:r>
      <w:r w:rsidRPr="00646BC5">
        <w:t>т</w:t>
      </w:r>
      <w:r w:rsidRPr="00646BC5">
        <w:t>ственно, секретариат направил официальные письма 53 государствам − членам ЕЭК, являющимся также членами ВОЗ/Европа, предложив министрам окружа</w:t>
      </w:r>
      <w:r w:rsidRPr="00646BC5">
        <w:t>ю</w:t>
      </w:r>
      <w:r w:rsidRPr="00646BC5">
        <w:t>щей среды проинформировать секретариат о своей заинтересованности. Сем</w:t>
      </w:r>
      <w:r w:rsidR="00367133">
        <w:t>ь</w:t>
      </w:r>
      <w:r w:rsidRPr="00646BC5">
        <w:t xml:space="preserve"> министров окружающей среды выразили заинтересованность в том, чтобы остаться на третий срок в составе ЕСМОСЗ.</w:t>
      </w:r>
    </w:p>
    <w:p w:rsidR="00D053AB" w:rsidRPr="00646BC5" w:rsidRDefault="00D053AB" w:rsidP="00D053AB">
      <w:pPr>
        <w:pStyle w:val="SingleTxt"/>
      </w:pPr>
      <w:r w:rsidRPr="00646BC5">
        <w:t>46.</w:t>
      </w:r>
      <w:r w:rsidRPr="00646BC5">
        <w:tab/>
        <w:t xml:space="preserve">В ходе неофициальных обсуждений, состоявшихся </w:t>
      </w:r>
      <w:r>
        <w:t>на совещании</w:t>
      </w:r>
      <w:r w:rsidRPr="00646BC5">
        <w:t>, были д</w:t>
      </w:r>
      <w:r w:rsidRPr="00646BC5">
        <w:t>о</w:t>
      </w:r>
      <w:r w:rsidRPr="00646BC5">
        <w:t xml:space="preserve">стигнуты договоренности между странами </w:t>
      </w:r>
      <w:proofErr w:type="spellStart"/>
      <w:r w:rsidRPr="00646BC5">
        <w:t>субрегиона</w:t>
      </w:r>
      <w:proofErr w:type="spellEnd"/>
      <w:r w:rsidRPr="00646BC5">
        <w:t>, представившими своих кандидатов в ЕСМОСЗ, в результате которых были назначены новые члены ЕСМОСЗ (см. пункт 98 u) ниже). КЭП выразил признательность покидающим свои посты членам ЕСМОСЗ за их вклад в процесс.</w:t>
      </w:r>
    </w:p>
    <w:p w:rsidR="00D053AB" w:rsidRPr="00646BC5" w:rsidRDefault="00D053AB" w:rsidP="00D053AB">
      <w:pPr>
        <w:pStyle w:val="SingleTxt"/>
      </w:pPr>
      <w:r w:rsidRPr="00646BC5">
        <w:t>47.</w:t>
      </w:r>
      <w:r w:rsidRPr="00646BC5">
        <w:tab/>
      </w:r>
      <w:proofErr w:type="gramStart"/>
      <w:r w:rsidRPr="00646BC5">
        <w:t>Кроме того, в соответствии с просьбой, высказанной КЭП на его предыд</w:t>
      </w:r>
      <w:r w:rsidRPr="00646BC5">
        <w:t>у</w:t>
      </w:r>
      <w:r w:rsidRPr="00646BC5">
        <w:t>щей сессии, было проведено об</w:t>
      </w:r>
      <w:r>
        <w:t>суждение европейского процесса «</w:t>
      </w:r>
      <w:r w:rsidRPr="00646BC5">
        <w:t>Окружающая среда и здоровье</w:t>
      </w:r>
      <w:r>
        <w:t>»</w:t>
      </w:r>
      <w:r w:rsidRPr="00646BC5">
        <w:t xml:space="preserve"> в рамках дискуссионной группы, в котором участвовали Пре</w:t>
      </w:r>
      <w:r w:rsidRPr="00646BC5">
        <w:t>д</w:t>
      </w:r>
      <w:r w:rsidRPr="00646BC5">
        <w:t xml:space="preserve">седатель европейского процесса </w:t>
      </w:r>
      <w:r>
        <w:t>«</w:t>
      </w:r>
      <w:r w:rsidRPr="00646BC5">
        <w:t>Окружающая среда и здоровье</w:t>
      </w:r>
      <w:r>
        <w:t>»</w:t>
      </w:r>
      <w:r w:rsidRPr="00646BC5">
        <w:t xml:space="preserve">, замещающий член ЕСМОСЗ из Хорватии, Председатель Конвенции по водам, Исполнительный директор АЗОС и Координатор Всемирной организации здравоохранения </w:t>
      </w:r>
      <w:r>
        <w:t>(ВОЗ) по европейскому процессу «</w:t>
      </w:r>
      <w:r w:rsidRPr="00646BC5">
        <w:t>Окружающая среда и здоровье</w:t>
      </w:r>
      <w:proofErr w:type="gramEnd"/>
      <w:r>
        <w:t>»</w:t>
      </w:r>
      <w:r w:rsidRPr="00646BC5">
        <w:t>.</w:t>
      </w:r>
    </w:p>
    <w:p w:rsidR="00D053AB" w:rsidRPr="00646BC5" w:rsidRDefault="00D053AB" w:rsidP="00D053AB">
      <w:pPr>
        <w:pStyle w:val="SingleTxt"/>
      </w:pPr>
      <w:r w:rsidRPr="00646BC5">
        <w:t>48.</w:t>
      </w:r>
      <w:r w:rsidRPr="00646BC5">
        <w:tab/>
        <w:t>КЭП приветствовал информацию, представленную в ходе обсуждения евр</w:t>
      </w:r>
      <w:r w:rsidRPr="00646BC5">
        <w:t>о</w:t>
      </w:r>
      <w:r>
        <w:t>пейского процесса «</w:t>
      </w:r>
      <w:r w:rsidRPr="00646BC5">
        <w:t>Окружающая среда и здоровье</w:t>
      </w:r>
      <w:r>
        <w:t>»</w:t>
      </w:r>
      <w:r w:rsidRPr="00646BC5">
        <w:t xml:space="preserve"> в рамках дискуссионной группы, и выразил признательность участникам дискуссионной группы за их вклад. Участники признали важность эффективного сотрудничества между се</w:t>
      </w:r>
      <w:r w:rsidRPr="00646BC5">
        <w:t>к</w:t>
      </w:r>
      <w:r w:rsidRPr="00646BC5">
        <w:t>торами защиты природы и здравоохранения, а также в рамках европейского пр</w:t>
      </w:r>
      <w:r w:rsidRPr="00646BC5">
        <w:t>о</w:t>
      </w:r>
      <w:r w:rsidRPr="00646BC5">
        <w:t xml:space="preserve">цесса </w:t>
      </w:r>
      <w:r>
        <w:t>«</w:t>
      </w:r>
      <w:r w:rsidRPr="00646BC5">
        <w:t>Окружающая среда и здоровье</w:t>
      </w:r>
      <w:r>
        <w:t>»</w:t>
      </w:r>
      <w:r w:rsidRPr="00646BC5">
        <w:t xml:space="preserve"> и отметили роль МПС в достижении ц</w:t>
      </w:r>
      <w:r w:rsidRPr="00646BC5">
        <w:t>е</w:t>
      </w:r>
      <w:r w:rsidRPr="00646BC5">
        <w:t>лей в области окружающей среды и здоровья. Кроме того, делегаты отметили роль организаций гражданского общества и неправительственных организаций и приветствовали их участие в процессе.</w:t>
      </w:r>
    </w:p>
    <w:p w:rsidR="00D053AB" w:rsidRPr="00646BC5" w:rsidRDefault="00D053AB" w:rsidP="00D053AB">
      <w:pPr>
        <w:pStyle w:val="SingleTxt"/>
      </w:pPr>
      <w:r w:rsidRPr="00646BC5">
        <w:t>49.</w:t>
      </w:r>
      <w:r w:rsidRPr="00646BC5">
        <w:tab/>
        <w:t xml:space="preserve">Участники также призвали как </w:t>
      </w:r>
      <w:r>
        <w:t>КЭП, так и европейский процесс «</w:t>
      </w:r>
      <w:r w:rsidRPr="00646BC5">
        <w:t>Окруж</w:t>
      </w:r>
      <w:r w:rsidRPr="00646BC5">
        <w:t>а</w:t>
      </w:r>
      <w:r w:rsidRPr="00646BC5">
        <w:t>ющая среда и здоровье</w:t>
      </w:r>
      <w:r>
        <w:t>»</w:t>
      </w:r>
      <w:r w:rsidRPr="00646BC5">
        <w:t xml:space="preserve"> продолжать организацию совместных совещаний, вкл</w:t>
      </w:r>
      <w:r w:rsidRPr="00646BC5">
        <w:t>ю</w:t>
      </w:r>
      <w:r w:rsidRPr="00646BC5">
        <w:t>чая, возможно, трехсторонние совещания Президиума КЭП, замещающих членов ЕСМОСЗ и Председателей МПС ЕЭК, и продлить приглашения на совещания каждого из этих органов для членов других</w:t>
      </w:r>
      <w:r>
        <w:t xml:space="preserve"> органов</w:t>
      </w:r>
      <w:r w:rsidRPr="00646BC5">
        <w:t>. Было принято решение в</w:t>
      </w:r>
      <w:r w:rsidRPr="00646BC5">
        <w:t>ы</w:t>
      </w:r>
      <w:r w:rsidRPr="00646BC5">
        <w:t xml:space="preserve">делить время в </w:t>
      </w:r>
      <w:r>
        <w:t>рамках повестки</w:t>
      </w:r>
      <w:r w:rsidRPr="00646BC5">
        <w:t xml:space="preserve"> дня КЭП для того, чтобы обсудить вопросы, к</w:t>
      </w:r>
      <w:r w:rsidRPr="00646BC5">
        <w:t>а</w:t>
      </w:r>
      <w:r w:rsidRPr="00646BC5">
        <w:t>сающиеся окружающей среды и здоровья, и внести вклад в проведение совещ</w:t>
      </w:r>
      <w:r w:rsidRPr="00646BC5">
        <w:t>а</w:t>
      </w:r>
      <w:r w:rsidRPr="00646BC5">
        <w:t>ния по среднесрочном</w:t>
      </w:r>
      <w:r>
        <w:t>у обзору европейского процесса «</w:t>
      </w:r>
      <w:r w:rsidRPr="00646BC5">
        <w:t>Окружающая среда и здоровье</w:t>
      </w:r>
      <w:r>
        <w:t>»</w:t>
      </w:r>
      <w:r w:rsidRPr="00646BC5">
        <w:t xml:space="preserve"> (апрель 2015 года, Хайфа, Израиль) и шестой Конференции министров окружающей среды и здравоохранения (2017 год). КЭП отметил также доклад о ходе работы </w:t>
      </w:r>
      <w:r>
        <w:t>в рамках европейского процесса «</w:t>
      </w:r>
      <w:r w:rsidRPr="00646BC5">
        <w:t>Окружающая среда и здоровье</w:t>
      </w:r>
      <w:r>
        <w:t>»</w:t>
      </w:r>
      <w:r w:rsidRPr="00646BC5">
        <w:t xml:space="preserve"> (EUR/RC64/24/Rev.1).</w:t>
      </w:r>
    </w:p>
    <w:p w:rsidR="00D053AB" w:rsidRPr="00646BC5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E.</w:t>
      </w:r>
      <w:r>
        <w:tab/>
        <w:t>«</w:t>
      </w:r>
      <w:r w:rsidRPr="00646BC5">
        <w:t>Зеленое</w:t>
      </w:r>
      <w:r>
        <w:t>»</w:t>
      </w:r>
      <w:r w:rsidRPr="00646BC5">
        <w:t xml:space="preserve"> строительство</w:t>
      </w:r>
    </w:p>
    <w:p w:rsidR="00D053AB" w:rsidRPr="00646BC5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</w:pPr>
      <w:r w:rsidRPr="00646BC5">
        <w:t>50.</w:t>
      </w:r>
      <w:r w:rsidRPr="00646BC5">
        <w:tab/>
        <w:t xml:space="preserve">Секретариат представил информацию о </w:t>
      </w:r>
      <w:r>
        <w:t>последних изменениях в области «зеленого» строительства</w:t>
      </w:r>
      <w:r w:rsidRPr="00646BC5">
        <w:t xml:space="preserve">, в том числе в контексте </w:t>
      </w:r>
      <w:proofErr w:type="spellStart"/>
      <w:r w:rsidRPr="00646BC5">
        <w:t>экологизации</w:t>
      </w:r>
      <w:proofErr w:type="spellEnd"/>
      <w:r w:rsidRPr="00646BC5">
        <w:t xml:space="preserve"> экономики. </w:t>
      </w:r>
      <w:proofErr w:type="spellStart"/>
      <w:r w:rsidRPr="00646BC5">
        <w:t>Р</w:t>
      </w:r>
      <w:r w:rsidRPr="00646BC5">
        <w:t>о</w:t>
      </w:r>
      <w:r w:rsidRPr="00646BC5">
        <w:t>ваниемский</w:t>
      </w:r>
      <w:proofErr w:type="spellEnd"/>
      <w:r w:rsidRPr="00646BC5">
        <w:t xml:space="preserve"> план действий для лесного сектора в условиях развития </w:t>
      </w:r>
      <w:r>
        <w:t>«</w:t>
      </w:r>
      <w:r w:rsidRPr="00646BC5">
        <w:t>зеленой</w:t>
      </w:r>
      <w:r>
        <w:t>»</w:t>
      </w:r>
      <w:r w:rsidRPr="00646BC5">
        <w:t xml:space="preserve"> </w:t>
      </w:r>
      <w:r w:rsidRPr="00646BC5">
        <w:lastRenderedPageBreak/>
        <w:t>экономики</w:t>
      </w:r>
      <w:r w:rsidRPr="00D20D27">
        <w:rPr>
          <w:vertAlign w:val="superscript"/>
        </w:rPr>
        <w:footnoteReference w:id="7"/>
      </w:r>
      <w:r w:rsidRPr="00646BC5">
        <w:t xml:space="preserve">, принятый в декабре 2013 года, стал новым инструментом политики для оказания содействия странам в их усилиях по </w:t>
      </w:r>
      <w:proofErr w:type="spellStart"/>
      <w:r w:rsidRPr="00646BC5">
        <w:t>экологизации</w:t>
      </w:r>
      <w:proofErr w:type="spellEnd"/>
      <w:r w:rsidRPr="00646BC5">
        <w:t xml:space="preserve"> сектора лесного хозяйства. Кроме того</w:t>
      </w:r>
      <w:r>
        <w:t>,</w:t>
      </w:r>
      <w:r w:rsidRPr="00646BC5">
        <w:t xml:space="preserve"> Комитет ЕЭК по лесам и лесной отрасли рассматривал вопрос о разработке набора показателей для оценки различных аспектов </w:t>
      </w:r>
      <w:r>
        <w:t>«</w:t>
      </w:r>
      <w:r w:rsidRPr="00646BC5">
        <w:t>зел</w:t>
      </w:r>
      <w:r w:rsidRPr="00646BC5">
        <w:t>е</w:t>
      </w:r>
      <w:r w:rsidRPr="00646BC5">
        <w:t>ной</w:t>
      </w:r>
      <w:r>
        <w:t>»</w:t>
      </w:r>
      <w:r w:rsidRPr="00646BC5">
        <w:t xml:space="preserve"> экономики в секторе лесного хозяйства. Было также начато исследование по вопросу о стимулах и </w:t>
      </w:r>
      <w:proofErr w:type="spellStart"/>
      <w:r w:rsidRPr="00646BC5">
        <w:t>дестимулирующих</w:t>
      </w:r>
      <w:proofErr w:type="spellEnd"/>
      <w:r w:rsidRPr="00646BC5">
        <w:t xml:space="preserve"> </w:t>
      </w:r>
      <w:r>
        <w:t>факторах</w:t>
      </w:r>
      <w:r w:rsidRPr="00646BC5">
        <w:t xml:space="preserve"> в отно</w:t>
      </w:r>
      <w:r>
        <w:t>шении «</w:t>
      </w:r>
      <w:r w:rsidRPr="00646BC5">
        <w:t>зеленого</w:t>
      </w:r>
      <w:r>
        <w:t>»</w:t>
      </w:r>
      <w:r w:rsidRPr="00646BC5">
        <w:t xml:space="preserve"> строительства, а его резюме будет рассмотрено Комитетом по лесам на его се</w:t>
      </w:r>
      <w:r w:rsidRPr="00646BC5">
        <w:t>с</w:t>
      </w:r>
      <w:r w:rsidRPr="00646BC5">
        <w:t>сии в ноябре 2014 года. Делегаты приняли к сведению представленную инфо</w:t>
      </w:r>
      <w:r w:rsidRPr="00646BC5">
        <w:t>р</w:t>
      </w:r>
      <w:r w:rsidRPr="00646BC5">
        <w:t>мацию.</w:t>
      </w:r>
    </w:p>
    <w:p w:rsidR="00D053AB" w:rsidRPr="00646BC5" w:rsidRDefault="00D053AB" w:rsidP="00D053AB">
      <w:pPr>
        <w:pStyle w:val="SingleTxt"/>
      </w:pPr>
      <w:r w:rsidRPr="00646BC5">
        <w:t>51.</w:t>
      </w:r>
      <w:r w:rsidRPr="00646BC5">
        <w:tab/>
      </w:r>
      <w:proofErr w:type="gramStart"/>
      <w:r w:rsidRPr="00646BC5">
        <w:t>Кроме того, на своей сессии в октябре 2014 года</w:t>
      </w:r>
      <w:r w:rsidRPr="00D20D27">
        <w:rPr>
          <w:vertAlign w:val="superscript"/>
        </w:rPr>
        <w:footnoteReference w:id="8"/>
      </w:r>
      <w:r w:rsidRPr="00646BC5">
        <w:t xml:space="preserve"> Комитет по жилищному хозяйству и землепользованию ЕЭК утвердил Женевскую хартию Организации Объединенных Наций об устойчивом жилищном хозяйстве как договор, не им</w:t>
      </w:r>
      <w:r w:rsidRPr="00646BC5">
        <w:t>е</w:t>
      </w:r>
      <w:r w:rsidRPr="00646BC5">
        <w:t>ющий обязательной юридической силы и направленный на оказание содействия странам в их усилиях по обеспечению доступа к достойному, достаточному, д</w:t>
      </w:r>
      <w:r w:rsidRPr="00646BC5">
        <w:t>о</w:t>
      </w:r>
      <w:r w:rsidRPr="00646BC5">
        <w:t>ступному и здоровому жилью для всех.</w:t>
      </w:r>
      <w:proofErr w:type="gramEnd"/>
    </w:p>
    <w:p w:rsidR="00D053AB" w:rsidRPr="00646BC5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6BC5">
        <w:tab/>
        <w:t>VII.</w:t>
      </w:r>
      <w:r w:rsidRPr="00646BC5">
        <w:tab/>
        <w:t>Программа обзор</w:t>
      </w:r>
      <w:r>
        <w:t>ов результативности экологической деятельности</w:t>
      </w:r>
    </w:p>
    <w:p w:rsidR="00D053AB" w:rsidRPr="00646BC5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6BC5">
        <w:tab/>
        <w:t>A.</w:t>
      </w:r>
      <w:r w:rsidRPr="00646BC5">
        <w:tab/>
        <w:t>Третий обзор результативности экологической деятельности Черногории</w:t>
      </w:r>
    </w:p>
    <w:p w:rsidR="00D053AB" w:rsidRPr="00646BC5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</w:pPr>
      <w:r w:rsidRPr="00646BC5">
        <w:t>52.</w:t>
      </w:r>
      <w:r w:rsidRPr="00646BC5">
        <w:tab/>
        <w:t xml:space="preserve">Секретарь Группы экспертов по обзорам результативности экологической деятельности (ОРЭД) сообщил о том, что Группа </w:t>
      </w:r>
      <w:r>
        <w:t xml:space="preserve">рассмотрела результативность </w:t>
      </w:r>
      <w:r w:rsidRPr="00646BC5">
        <w:t>экологической деятельности Черногории 30 сентября 2014 года в Женеве. Док</w:t>
      </w:r>
      <w:r w:rsidRPr="00646BC5">
        <w:t>у</w:t>
      </w:r>
      <w:r w:rsidRPr="00646BC5">
        <w:t>мент, содержащий обзор, состоял из восьми глав. Рекомендации по ОРЭД соде</w:t>
      </w:r>
      <w:r w:rsidRPr="00646BC5">
        <w:t>р</w:t>
      </w:r>
      <w:r w:rsidRPr="00646BC5">
        <w:t>жатся в информационном документе № 4. Португалия оказала поддержку в нат</w:t>
      </w:r>
      <w:r w:rsidRPr="00646BC5">
        <w:t>у</w:t>
      </w:r>
      <w:r w:rsidRPr="00646BC5">
        <w:t>ральной форме (эксперты), а Отделение Программы развития Организации Об</w:t>
      </w:r>
      <w:r w:rsidRPr="00646BC5">
        <w:t>ъ</w:t>
      </w:r>
      <w:r w:rsidRPr="00646BC5">
        <w:t>единенных Наций (ПРООН) в Черно</w:t>
      </w:r>
      <w:r>
        <w:t>гории оказало поддержку на местах</w:t>
      </w:r>
      <w:r w:rsidRPr="00646BC5">
        <w:t>.</w:t>
      </w:r>
    </w:p>
    <w:p w:rsidR="00D053AB" w:rsidRPr="00646BC5" w:rsidRDefault="00D053AB" w:rsidP="00D053AB">
      <w:pPr>
        <w:pStyle w:val="SingleTxt"/>
      </w:pPr>
      <w:r w:rsidRPr="00646BC5">
        <w:t>53.</w:t>
      </w:r>
      <w:r w:rsidRPr="00646BC5">
        <w:tab/>
        <w:t>Докладчик (Эстония) кратко охарактеризовал основные выводы и рекоме</w:t>
      </w:r>
      <w:r w:rsidRPr="00646BC5">
        <w:t>н</w:t>
      </w:r>
      <w:r w:rsidRPr="00646BC5">
        <w:t>дации ОРЭД. Черногория добилась значительного прогресса в деле пересмотра своих законодательных, директивных и институциональных основ в области окружающей среды и устойчивого развития. Основным фактором, определившим изменения</w:t>
      </w:r>
      <w:r>
        <w:t>,</w:t>
      </w:r>
      <w:r w:rsidRPr="00646BC5">
        <w:t xml:space="preserve"> стал процесс присоединения к ЕС. Был принят пакет законов и соо</w:t>
      </w:r>
      <w:r w:rsidRPr="00646BC5">
        <w:t>т</w:t>
      </w:r>
      <w:r w:rsidRPr="00646BC5">
        <w:t>ветствующих подзаконных актов. Кроме того, были внесены дополнительные изменения в стратегическую рамочную программу в области окружающей среды и устойчивого развития. Создание Агентства по охране окружающей среды в 2008 году стало прорывом в деле создания институциональной структуры по охране окружающей среды. Однако осуществление законодательства отстает от интенсивных усилий, направленных на совершенствование нормативно-правовой и политической базы. Наиболее острым</w:t>
      </w:r>
      <w:r>
        <w:t>и</w:t>
      </w:r>
      <w:r w:rsidRPr="00646BC5">
        <w:t xml:space="preserve"> проблемами для Черногории остаются управление отходами, очистка сточных вод и адаптация к изменению климата.</w:t>
      </w:r>
    </w:p>
    <w:p w:rsidR="00D053AB" w:rsidRPr="00646BC5" w:rsidRDefault="00D053AB" w:rsidP="00D053AB">
      <w:pPr>
        <w:pStyle w:val="SingleTxt"/>
      </w:pPr>
      <w:r w:rsidRPr="00646BC5">
        <w:t>54.</w:t>
      </w:r>
      <w:r w:rsidRPr="00646BC5">
        <w:tab/>
        <w:t>Генеральный директор Министерства устойчивого развития и туризма Че</w:t>
      </w:r>
      <w:r w:rsidRPr="00646BC5">
        <w:t>р</w:t>
      </w:r>
      <w:r w:rsidRPr="00646BC5">
        <w:t>ногории представила информацию об основных экологических проблемах стр</w:t>
      </w:r>
      <w:r w:rsidRPr="00646BC5">
        <w:t>а</w:t>
      </w:r>
      <w:r w:rsidRPr="00646BC5">
        <w:t>ны, а также о прогрессе, достигнутом со времени проведения второго ОРЭД в Черногории в 2007 году. Третий ОРЭД оказался полезным в плане выявления сильных сторон и нерешенных проблем экологического руководства, а сформ</w:t>
      </w:r>
      <w:r w:rsidRPr="00646BC5">
        <w:t>у</w:t>
      </w:r>
      <w:r w:rsidRPr="00646BC5">
        <w:t>лированные по его итогам рекомендации помогут в решении наиболее острых проблем.</w:t>
      </w:r>
    </w:p>
    <w:p w:rsidR="00D053AB" w:rsidRPr="00646BC5" w:rsidRDefault="00D053AB" w:rsidP="00D053AB">
      <w:pPr>
        <w:pStyle w:val="SingleTxt"/>
      </w:pPr>
      <w:r w:rsidRPr="00646BC5">
        <w:lastRenderedPageBreak/>
        <w:t>55.</w:t>
      </w:r>
      <w:r w:rsidRPr="00646BC5">
        <w:tab/>
        <w:t>По итогам обсуждения КЭП завершил независимый экспертный обзор пр</w:t>
      </w:r>
      <w:r w:rsidRPr="00646BC5">
        <w:t>и</w:t>
      </w:r>
      <w:r w:rsidRPr="00646BC5">
        <w:t>нятием рекомендаций, содержащихся в третьем ОРЭД Черногории.</w:t>
      </w:r>
    </w:p>
    <w:p w:rsidR="00D053AB" w:rsidRPr="00646BC5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6BC5">
        <w:tab/>
        <w:t>В.</w:t>
      </w:r>
      <w:r w:rsidRPr="00646BC5">
        <w:tab/>
        <w:t>Третий обзор результативности экологической деятельности Сербии</w:t>
      </w:r>
    </w:p>
    <w:p w:rsidR="00D053AB" w:rsidRPr="00646BC5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</w:pPr>
      <w:r w:rsidRPr="00646BC5">
        <w:t>56.</w:t>
      </w:r>
      <w:r w:rsidRPr="00646BC5">
        <w:tab/>
        <w:t xml:space="preserve">Секретарь Группы экспертов по ОРЭД заявил, что Группа </w:t>
      </w:r>
      <w:r>
        <w:t>рассмотрела</w:t>
      </w:r>
      <w:r w:rsidRPr="00646BC5">
        <w:t xml:space="preserve"> р</w:t>
      </w:r>
      <w:r w:rsidRPr="00646BC5">
        <w:t>е</w:t>
      </w:r>
      <w:r w:rsidRPr="00646BC5">
        <w:t>зультативно</w:t>
      </w:r>
      <w:r>
        <w:t>сть</w:t>
      </w:r>
      <w:r w:rsidRPr="00646BC5">
        <w:t xml:space="preserve"> экологической деятельности Сербии 1 октября 2014 года в Жен</w:t>
      </w:r>
      <w:r w:rsidRPr="00646BC5">
        <w:t>е</w:t>
      </w:r>
      <w:r w:rsidRPr="00646BC5">
        <w:t>ве. Документ, содержащий обзор, состоял из восьми глав. Рекомендации по ОРЭД содержатся в информационном документе № 5. Португалия оказала поддержку в натуральной форме (эксперты), а Отделение Программы развития Организации Объединенных Наций (ПРООН) в Сербии оказало поддержку на мест</w:t>
      </w:r>
      <w:r>
        <w:t>ах</w:t>
      </w:r>
      <w:r w:rsidRPr="00646BC5">
        <w:t>.</w:t>
      </w:r>
    </w:p>
    <w:p w:rsidR="00D053AB" w:rsidRPr="00646BC5" w:rsidRDefault="00D053AB" w:rsidP="00D053AB">
      <w:pPr>
        <w:pStyle w:val="SingleTxt"/>
      </w:pPr>
      <w:r w:rsidRPr="00646BC5">
        <w:t>57.</w:t>
      </w:r>
      <w:r w:rsidRPr="00646BC5">
        <w:tab/>
        <w:t>Докладчик (Швеция) кратко охарактеризовал основные выводы и рекоме</w:t>
      </w:r>
      <w:r w:rsidRPr="00646BC5">
        <w:t>н</w:t>
      </w:r>
      <w:r w:rsidRPr="00646BC5">
        <w:t xml:space="preserve">дации ОРЭД. С момента проведения второго обзора в 2007 году Сербия достигла значительного прогресса в деле укрепления своих правовых и политических </w:t>
      </w:r>
      <w:r>
        <w:t>о</w:t>
      </w:r>
      <w:r>
        <w:t>с</w:t>
      </w:r>
      <w:r>
        <w:t>нов</w:t>
      </w:r>
      <w:r w:rsidRPr="00646BC5">
        <w:t xml:space="preserve"> в области охраны окружающей среды и устойчивого развития, включая пр</w:t>
      </w:r>
      <w:r w:rsidRPr="00646BC5">
        <w:t>и</w:t>
      </w:r>
      <w:r w:rsidRPr="00646BC5">
        <w:t xml:space="preserve">нятие в 2009 году важного пакета законов </w:t>
      </w:r>
      <w:r>
        <w:t>по охране</w:t>
      </w:r>
      <w:r w:rsidRPr="00646BC5">
        <w:t xml:space="preserve"> окружающей среды, на о</w:t>
      </w:r>
      <w:r w:rsidRPr="00646BC5">
        <w:t>с</w:t>
      </w:r>
      <w:r w:rsidRPr="00646BC5">
        <w:t>нове которого было принято более 300 подзаконных актов. К числу основных проблем по-прежнему относ</w:t>
      </w:r>
      <w:r>
        <w:t>я</w:t>
      </w:r>
      <w:r w:rsidRPr="00646BC5">
        <w:t>тся повышение эффективности использования во</w:t>
      </w:r>
      <w:r w:rsidRPr="00646BC5">
        <w:t>д</w:t>
      </w:r>
      <w:r w:rsidRPr="00646BC5">
        <w:t>ных ресурсов и решение проблемы очистки сточных вод, а также принятие мер по смягчению последствий изменения климата и адаптации к нему.</w:t>
      </w:r>
    </w:p>
    <w:p w:rsidR="00D053AB" w:rsidRPr="00646BC5" w:rsidRDefault="00D053AB" w:rsidP="00D053AB">
      <w:pPr>
        <w:pStyle w:val="SingleTxt"/>
      </w:pPr>
      <w:r w:rsidRPr="00646BC5">
        <w:t>58.</w:t>
      </w:r>
      <w:r w:rsidRPr="00646BC5">
        <w:tab/>
        <w:t>Старший советник по правовым вопросам Министерства сельского хозя</w:t>
      </w:r>
      <w:r w:rsidRPr="00646BC5">
        <w:t>й</w:t>
      </w:r>
      <w:r w:rsidRPr="00646BC5">
        <w:t>ства и охраны окружающей среды представил подробную информацию об о</w:t>
      </w:r>
      <w:r w:rsidRPr="00646BC5">
        <w:t>с</w:t>
      </w:r>
      <w:r w:rsidRPr="00646BC5">
        <w:t>новных достигнутых результатах в области окружающей среды, а также о ключ</w:t>
      </w:r>
      <w:r w:rsidRPr="00646BC5">
        <w:t>е</w:t>
      </w:r>
      <w:r w:rsidRPr="00646BC5">
        <w:t xml:space="preserve">вых нерешенных проблемах, касающихся, в том числе, </w:t>
      </w:r>
      <w:proofErr w:type="spellStart"/>
      <w:r w:rsidRPr="00646BC5">
        <w:t>экологизации</w:t>
      </w:r>
      <w:proofErr w:type="spellEnd"/>
      <w:r w:rsidRPr="00646BC5">
        <w:t xml:space="preserve"> национал</w:t>
      </w:r>
      <w:r w:rsidRPr="00646BC5">
        <w:t>ь</w:t>
      </w:r>
      <w:r w:rsidRPr="00646BC5">
        <w:t>ной экономики. Начавшиеся в 2007 году постоянные институциональные изм</w:t>
      </w:r>
      <w:r w:rsidRPr="00646BC5">
        <w:t>е</w:t>
      </w:r>
      <w:r w:rsidRPr="00646BC5">
        <w:t>нения в области окружающей среды, к сожалению, повлияли на непрерывность усилий, направленных на совершенствование политики и законодательства в о</w:t>
      </w:r>
      <w:r w:rsidRPr="00646BC5">
        <w:t>б</w:t>
      </w:r>
      <w:r w:rsidRPr="00646BC5">
        <w:t>ласти экологии и их эффективное осуществление. В связи с этим необходимо д</w:t>
      </w:r>
      <w:r w:rsidRPr="00646BC5">
        <w:t>о</w:t>
      </w:r>
      <w:r w:rsidRPr="00646BC5">
        <w:t>полнительно укрепить недавно созданное Министерство сельского хозяйства и охраны окружающей среды в целях расширения экологического руководства.</w:t>
      </w:r>
    </w:p>
    <w:p w:rsidR="00D053AB" w:rsidRPr="00646BC5" w:rsidRDefault="00D053AB" w:rsidP="00D053AB">
      <w:pPr>
        <w:pStyle w:val="SingleTxt"/>
      </w:pPr>
      <w:r w:rsidRPr="00646BC5">
        <w:t>59.</w:t>
      </w:r>
      <w:r w:rsidRPr="00646BC5">
        <w:tab/>
        <w:t>По итогам обсуждения КЭП завершил независимый экспертный обзор пр</w:t>
      </w:r>
      <w:r w:rsidRPr="00646BC5">
        <w:t>и</w:t>
      </w:r>
      <w:r w:rsidRPr="00646BC5">
        <w:t>нятием рекомендаций, содержащихся в третьем ОРЭД Сербии.</w:t>
      </w:r>
    </w:p>
    <w:p w:rsidR="00D053AB" w:rsidRPr="00646BC5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6BC5">
        <w:tab/>
        <w:t>C.</w:t>
      </w:r>
      <w:r w:rsidRPr="00646BC5">
        <w:tab/>
      </w:r>
      <w:r>
        <w:t>Общий о</w:t>
      </w:r>
      <w:r w:rsidRPr="00646BC5">
        <w:t>бзор деятельности</w:t>
      </w:r>
    </w:p>
    <w:p w:rsidR="00D053AB" w:rsidRPr="00646BC5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  <w:rPr>
          <w:bCs/>
        </w:rPr>
      </w:pPr>
      <w:r w:rsidRPr="00646BC5">
        <w:t>60.</w:t>
      </w:r>
      <w:r w:rsidRPr="00646BC5">
        <w:tab/>
        <w:t xml:space="preserve">Секретарь Группы экспертов по ОРЭД представил обзорную информацию о деятельности в рамках программы ОРЭД ЕЭК в 2014 году. Были опубликованы доклады о </w:t>
      </w:r>
      <w:proofErr w:type="gramStart"/>
      <w:r w:rsidRPr="00646BC5">
        <w:t>недавних</w:t>
      </w:r>
      <w:proofErr w:type="gramEnd"/>
      <w:r w:rsidRPr="00646BC5">
        <w:t xml:space="preserve"> ОРЭД Хорватии, Марокко и Республики Молдова. Кроме т</w:t>
      </w:r>
      <w:r w:rsidRPr="00646BC5">
        <w:t>о</w:t>
      </w:r>
      <w:r w:rsidRPr="00646BC5">
        <w:t xml:space="preserve">го, были организованы три обзорные миссии </w:t>
      </w:r>
      <w:r>
        <w:t>–</w:t>
      </w:r>
      <w:r w:rsidRPr="00646BC5">
        <w:t xml:space="preserve"> в Грузи</w:t>
      </w:r>
      <w:r>
        <w:t>ю, Черногорию и Се</w:t>
      </w:r>
      <w:r>
        <w:t>р</w:t>
      </w:r>
      <w:r>
        <w:t>бию –</w:t>
      </w:r>
      <w:r w:rsidRPr="00646BC5">
        <w:t xml:space="preserve"> и две презентации</w:t>
      </w:r>
      <w:r>
        <w:t xml:space="preserve"> –</w:t>
      </w:r>
      <w:r w:rsidRPr="00646BC5">
        <w:t xml:space="preserve"> в Марокко и Республике Молдова.</w:t>
      </w:r>
    </w:p>
    <w:p w:rsidR="00D053AB" w:rsidRPr="00646BC5" w:rsidRDefault="00D053AB" w:rsidP="00D053AB">
      <w:pPr>
        <w:pStyle w:val="SingleTxt"/>
        <w:rPr>
          <w:bCs/>
        </w:rPr>
      </w:pPr>
      <w:r w:rsidRPr="00646BC5">
        <w:t>61.</w:t>
      </w:r>
      <w:r w:rsidRPr="00646BC5">
        <w:tab/>
        <w:t>КЭП приветствовал представленную информацию о деятельности в рамках программы ОРЭД ЕЭК и предложение Беларуси п</w:t>
      </w:r>
      <w:r>
        <w:t>р</w:t>
      </w:r>
      <w:r w:rsidRPr="00646BC5">
        <w:t>ойти третий ОРЭД в 2015 г</w:t>
      </w:r>
      <w:r w:rsidRPr="00646BC5">
        <w:t>о</w:t>
      </w:r>
      <w:r w:rsidRPr="00646BC5">
        <w:t>ду. КЭП предложил другим странам ЕЭК, не являющимся членами Организации экономического сотрудничества и развития (ОЭСР), проинформировать секрет</w:t>
      </w:r>
      <w:r w:rsidRPr="00646BC5">
        <w:t>а</w:t>
      </w:r>
      <w:r w:rsidRPr="00646BC5">
        <w:t>риат о своей заинтересованности в прохождении третьего ОРЭД.</w:t>
      </w:r>
    </w:p>
    <w:p w:rsidR="00D053AB" w:rsidRPr="00646BC5" w:rsidRDefault="00D053AB" w:rsidP="00D053AB">
      <w:pPr>
        <w:pStyle w:val="SingleTxt"/>
        <w:rPr>
          <w:bCs/>
        </w:rPr>
      </w:pPr>
      <w:r w:rsidRPr="00646BC5">
        <w:t>62.</w:t>
      </w:r>
      <w:r w:rsidRPr="00646BC5">
        <w:tab/>
      </w:r>
      <w:proofErr w:type="gramStart"/>
      <w:r w:rsidRPr="00646BC5">
        <w:t>Кроме того, КЭП предложил делегациям предоставить поддержку натурой и финансовыми средствами для осуществления программы ОРЭД и выразил пр</w:t>
      </w:r>
      <w:r w:rsidRPr="00646BC5">
        <w:t>и</w:t>
      </w:r>
      <w:r w:rsidRPr="00646BC5">
        <w:t xml:space="preserve">знательность правительствам и участвующим организациям за их финансовые взносы и взносы натурой (эксперты), особенно отметив Австрию, Болгарию, Германию, Нидерланды, Норвегию, Швецию и Швейцарию за их финансовую </w:t>
      </w:r>
      <w:r w:rsidRPr="00646BC5">
        <w:lastRenderedPageBreak/>
        <w:t>поддержку, а также Францию, Нидерланды, Португалию и ЮНЕП за предоста</w:t>
      </w:r>
      <w:r w:rsidRPr="00646BC5">
        <w:t>в</w:t>
      </w:r>
      <w:r w:rsidRPr="00646BC5">
        <w:t>ленные экспертные услуги.</w:t>
      </w:r>
      <w:proofErr w:type="gramEnd"/>
    </w:p>
    <w:p w:rsidR="00D053AB" w:rsidRPr="00646BC5" w:rsidRDefault="00D053AB" w:rsidP="00D053AB">
      <w:pPr>
        <w:pStyle w:val="SingleTxt"/>
        <w:rPr>
          <w:bCs/>
        </w:rPr>
      </w:pPr>
      <w:r w:rsidRPr="00646BC5">
        <w:t>63.</w:t>
      </w:r>
      <w:r w:rsidRPr="00646BC5">
        <w:tab/>
        <w:t xml:space="preserve">КЭП высоко оценил работу группы экспертов ЕЭК по ОРЭД. Он принял продленный </w:t>
      </w:r>
      <w:r>
        <w:t>мандат Группы экспертов на 2015–</w:t>
      </w:r>
      <w:r w:rsidRPr="00646BC5">
        <w:t>2018 годы (ECE/CEP/2014/13, приложение) и поручил секретариату представить продленный мандат на утве</w:t>
      </w:r>
      <w:r w:rsidRPr="00646BC5">
        <w:t>р</w:t>
      </w:r>
      <w:r w:rsidRPr="00646BC5">
        <w:t>ждение Исполнительному комитету. Кроме того, Комитет с удовлетворением о</w:t>
      </w:r>
      <w:r w:rsidRPr="00646BC5">
        <w:t>т</w:t>
      </w:r>
      <w:r w:rsidRPr="00646BC5">
        <w:t>метил подачу Черногорией заявления о вступлении в Группу экспертов по ОРЭД.</w:t>
      </w:r>
    </w:p>
    <w:p w:rsidR="00D053AB" w:rsidRPr="00646BC5" w:rsidRDefault="00D053AB" w:rsidP="00D053AB">
      <w:pPr>
        <w:pStyle w:val="SingleTxt"/>
        <w:rPr>
          <w:bCs/>
        </w:rPr>
      </w:pPr>
      <w:r w:rsidRPr="00646BC5">
        <w:t>64.</w:t>
      </w:r>
      <w:r w:rsidRPr="00646BC5">
        <w:tab/>
        <w:t>Делегаты предложили при избрании новых членов Группы экспертов по ОРЭД уделять должное внимание экспертам из стран, по которым недавно пр</w:t>
      </w:r>
      <w:r w:rsidRPr="00646BC5">
        <w:t>о</w:t>
      </w:r>
      <w:r w:rsidRPr="00646BC5">
        <w:t>водились обзоры, а также стран, по которым обзоры были проведены или будут проведены в скором време</w:t>
      </w:r>
      <w:r>
        <w:t>ни. Новые члены должны обладать</w:t>
      </w:r>
      <w:r w:rsidRPr="00646BC5">
        <w:t xml:space="preserve"> как минимум </w:t>
      </w:r>
      <w:r>
        <w:br/>
      </w:r>
      <w:r w:rsidRPr="00646BC5">
        <w:t>3–5-летним опытом работы в двух или трех отдельных секторах защиты окруж</w:t>
      </w:r>
      <w:r w:rsidRPr="00646BC5">
        <w:t>а</w:t>
      </w:r>
      <w:r w:rsidRPr="00646BC5">
        <w:t>ющей среды (например, в секторах водных ресурсов, отходов и биоразнообразия) и 5</w:t>
      </w:r>
      <w:r>
        <w:t>–</w:t>
      </w:r>
      <w:r w:rsidRPr="00646BC5">
        <w:t>10-летним опытом разработк</w:t>
      </w:r>
      <w:r>
        <w:t>и</w:t>
      </w:r>
      <w:r w:rsidRPr="00646BC5">
        <w:t xml:space="preserve"> экологической политики. В случае наличия особого интереса </w:t>
      </w:r>
      <w:r>
        <w:t xml:space="preserve">у </w:t>
      </w:r>
      <w:r w:rsidRPr="00646BC5">
        <w:t>страны, проходящей обзор, назначались также эксперты на специальной основе. Вместе с тем странам, предоставляющим специальных эк</w:t>
      </w:r>
      <w:r w:rsidRPr="00646BC5">
        <w:t>с</w:t>
      </w:r>
      <w:r w:rsidRPr="00646BC5">
        <w:t>пертов, следует уведомлять Секретариат ЕЭК по ОРЭД за два месяца до следу</w:t>
      </w:r>
      <w:r w:rsidRPr="00646BC5">
        <w:t>ю</w:t>
      </w:r>
      <w:r w:rsidRPr="00646BC5">
        <w:t>щего совещания Группы экспертов. В отношении специальных экспертов де</w:t>
      </w:r>
      <w:r w:rsidRPr="00646BC5">
        <w:t>й</w:t>
      </w:r>
      <w:r w:rsidRPr="00646BC5">
        <w:t>ствуют те же требования, что и в отношении штатных.</w:t>
      </w: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6BC5">
        <w:tab/>
        <w:t>VIII.</w:t>
      </w:r>
      <w:r w:rsidRPr="00646BC5">
        <w:tab/>
        <w:t>Уроки, извлеченные из среднесрочного обзора ОСЕ по</w:t>
      </w:r>
      <w:r>
        <w:t> </w:t>
      </w:r>
      <w:r w:rsidRPr="00646BC5">
        <w:t xml:space="preserve">основным итогам </w:t>
      </w:r>
      <w:proofErr w:type="spellStart"/>
      <w:r w:rsidRPr="00646BC5">
        <w:t>Астанинской</w:t>
      </w:r>
      <w:proofErr w:type="spellEnd"/>
      <w:r w:rsidRPr="00646BC5">
        <w:t xml:space="preserve"> конференции</w:t>
      </w: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</w:pPr>
      <w:r w:rsidRPr="00646BC5">
        <w:t>65.</w:t>
      </w:r>
      <w:r w:rsidRPr="00646BC5">
        <w:tab/>
        <w:t>На своей предыдущей сессии КЭП выразил удовлетворение уровнем орг</w:t>
      </w:r>
      <w:r w:rsidRPr="00646BC5">
        <w:t>а</w:t>
      </w:r>
      <w:r w:rsidRPr="00646BC5">
        <w:t>низации, качеством документов и итогами среднесрочного обзора ОСЕ. В этой связи КЭП просил Президиум и секретариат ЕЭК предпринять последующие действия и оценить уроки, извлеченные в процессе организации обзора. В соо</w:t>
      </w:r>
      <w:r w:rsidRPr="00646BC5">
        <w:t>т</w:t>
      </w:r>
      <w:r w:rsidRPr="00646BC5">
        <w:t>ветствии с этой просьбой и последующей просьбой Президиума секретариат, на основе консультаций с Президиумом, подготовил краткую оценку.</w:t>
      </w:r>
    </w:p>
    <w:p w:rsidR="00D053AB" w:rsidRPr="00646BC5" w:rsidRDefault="00D053AB" w:rsidP="00D053AB">
      <w:pPr>
        <w:pStyle w:val="SingleTxt"/>
      </w:pPr>
      <w:r w:rsidRPr="00646BC5">
        <w:t>66.</w:t>
      </w:r>
      <w:r w:rsidRPr="00646BC5">
        <w:tab/>
      </w:r>
      <w:proofErr w:type="gramStart"/>
      <w:r w:rsidRPr="00646BC5">
        <w:t xml:space="preserve">КЭП положительно оценил документ, содержащий информацию об уроках, извлеченных в ходе среднесрочного обзора ОСЕ по основным итогам </w:t>
      </w:r>
      <w:proofErr w:type="spellStart"/>
      <w:r w:rsidRPr="00646BC5">
        <w:t>Астани</w:t>
      </w:r>
      <w:r w:rsidRPr="00646BC5">
        <w:t>н</w:t>
      </w:r>
      <w:r w:rsidRPr="00646BC5">
        <w:t>ской</w:t>
      </w:r>
      <w:proofErr w:type="spellEnd"/>
      <w:r w:rsidRPr="00646BC5">
        <w:t xml:space="preserve"> конференции (ECE/CEP/2014/10), подготовленный Президиумом КЭП при поддержке секретариата, и постановил принять к сведению извлеченные уроки и трудности, выявленные в процессе организации следующего среднесрочного о</w:t>
      </w:r>
      <w:r w:rsidRPr="00646BC5">
        <w:t>б</w:t>
      </w:r>
      <w:r w:rsidRPr="00646BC5">
        <w:t>зора по итогам Конференции министров в Батуми.</w:t>
      </w:r>
      <w:proofErr w:type="gramEnd"/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6BC5">
        <w:tab/>
        <w:t>IX.</w:t>
      </w:r>
      <w:r w:rsidRPr="00646BC5">
        <w:tab/>
        <w:t xml:space="preserve">Восьмая Конференция министров </w:t>
      </w:r>
      <w:r>
        <w:t>«</w:t>
      </w:r>
      <w:r w:rsidRPr="00646BC5">
        <w:t>Окружающая среда для Евро</w:t>
      </w:r>
      <w:r>
        <w:t>пы»</w:t>
      </w: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6BC5">
        <w:tab/>
        <w:t>A.</w:t>
      </w:r>
      <w:r w:rsidRPr="00646BC5">
        <w:tab/>
      </w:r>
      <w:proofErr w:type="spellStart"/>
      <w:r w:rsidRPr="00646BC5">
        <w:t>Астанинские</w:t>
      </w:r>
      <w:proofErr w:type="spellEnd"/>
      <w:r w:rsidRPr="00646BC5">
        <w:t xml:space="preserve"> предложения относительно действий по воде</w:t>
      </w: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614F1D">
      <w:pPr>
        <w:pStyle w:val="SingleTxt"/>
        <w:rPr>
          <w:bCs/>
        </w:rPr>
      </w:pPr>
      <w:r w:rsidRPr="00646BC5">
        <w:t>67.</w:t>
      </w:r>
      <w:r w:rsidRPr="00646BC5">
        <w:tab/>
      </w:r>
      <w:proofErr w:type="gramStart"/>
      <w:r w:rsidRPr="00646BC5">
        <w:t xml:space="preserve">Секретариат представил информацию о брошюре </w:t>
      </w:r>
      <w:proofErr w:type="spellStart"/>
      <w:r w:rsidRPr="00646BC5">
        <w:t>Астанинских</w:t>
      </w:r>
      <w:proofErr w:type="spellEnd"/>
      <w:r w:rsidRPr="00646BC5">
        <w:t xml:space="preserve"> предлож</w:t>
      </w:r>
      <w:r w:rsidRPr="00646BC5">
        <w:t>е</w:t>
      </w:r>
      <w:r w:rsidRPr="00646BC5">
        <w:t>ний относительно действий по воде (АДВ) и о посвященном им веб-сайт</w:t>
      </w:r>
      <w:r>
        <w:t>е</w:t>
      </w:r>
      <w:r w:rsidRPr="00646BC5">
        <w:t xml:space="preserve"> (</w:t>
      </w:r>
      <w:hyperlink r:id="rId16" w:history="1">
        <w:r w:rsidR="00614F1D" w:rsidRPr="00192892">
          <w:t>www.unece.org/env/awa</w:t>
        </w:r>
      </w:hyperlink>
      <w:r w:rsidRPr="00646BC5">
        <w:t>), созданным для повышения эффективности управления водными ресурсами, обмена знаниями о положении дел в области водных ресу</w:t>
      </w:r>
      <w:r w:rsidRPr="00646BC5">
        <w:t>р</w:t>
      </w:r>
      <w:r w:rsidRPr="00646BC5">
        <w:t>сов и отслеживания достигнутого прогресса в деле обеспечения устойчивого и</w:t>
      </w:r>
      <w:r w:rsidRPr="00646BC5">
        <w:t>с</w:t>
      </w:r>
      <w:r w:rsidRPr="00646BC5">
        <w:t>пользования водных ресурсов в регионе и разработанным в ответ на просьбу КЭП, выраженную на</w:t>
      </w:r>
      <w:proofErr w:type="gramEnd"/>
      <w:r w:rsidRPr="00646BC5">
        <w:t xml:space="preserve"> его предыдущей сессии.</w:t>
      </w:r>
    </w:p>
    <w:p w:rsidR="00D053AB" w:rsidRPr="00646BC5" w:rsidRDefault="00367133" w:rsidP="00D053AB">
      <w:pPr>
        <w:pStyle w:val="SingleTxt"/>
      </w:pPr>
      <w:r>
        <w:br w:type="page"/>
      </w:r>
      <w:r w:rsidR="00D053AB" w:rsidRPr="00646BC5">
        <w:lastRenderedPageBreak/>
        <w:t>68.</w:t>
      </w:r>
      <w:r w:rsidR="00D053AB" w:rsidRPr="00646BC5">
        <w:tab/>
        <w:t>Делегаты приветствовали брошюру и веб-сайт АДВ и предложили странам использовать эти информационные материалы, в том числе для более широкого распространения АДВ на национальном уровне. Кроме того, КЭП принял рек</w:t>
      </w:r>
      <w:r w:rsidR="00D053AB" w:rsidRPr="00646BC5">
        <w:t>о</w:t>
      </w:r>
      <w:r w:rsidR="00D053AB" w:rsidRPr="00646BC5">
        <w:t>мендацию Президиума о том, что заинтересованным сторонам АДВ следует представить информацию о достигнутом прогрессе на специальной сессии КЭП в феврале 2016 года.</w:t>
      </w: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6BC5">
        <w:tab/>
        <w:t>B.</w:t>
      </w:r>
      <w:r w:rsidRPr="00646BC5">
        <w:tab/>
      </w:r>
      <w:proofErr w:type="spellStart"/>
      <w:r w:rsidRPr="00646BC5">
        <w:t>Экологизация</w:t>
      </w:r>
      <w:proofErr w:type="spellEnd"/>
      <w:r w:rsidRPr="00646BC5">
        <w:t xml:space="preserve"> экономики</w:t>
      </w: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</w:pPr>
      <w:r w:rsidRPr="00646BC5">
        <w:t>69.</w:t>
      </w:r>
      <w:r>
        <w:tab/>
      </w:r>
      <w:r w:rsidRPr="00646BC5">
        <w:t xml:space="preserve">Сессия, посвященная </w:t>
      </w:r>
      <w:proofErr w:type="spellStart"/>
      <w:r w:rsidRPr="00646BC5">
        <w:t>экологизации</w:t>
      </w:r>
      <w:proofErr w:type="spellEnd"/>
      <w:r w:rsidRPr="00646BC5">
        <w:t xml:space="preserve"> экономики, началась с презентаций др</w:t>
      </w:r>
      <w:r w:rsidRPr="00646BC5">
        <w:t>у</w:t>
      </w:r>
      <w:r w:rsidRPr="00646BC5">
        <w:t xml:space="preserve">гих региональных комиссий </w:t>
      </w:r>
      <w:r>
        <w:t>–</w:t>
      </w:r>
      <w:r w:rsidRPr="00646BC5">
        <w:t xml:space="preserve"> ЭКЛАК, ЭСКАТО и ЭСКЗА </w:t>
      </w:r>
      <w:r>
        <w:t>–</w:t>
      </w:r>
      <w:r w:rsidRPr="00646BC5">
        <w:t xml:space="preserve"> </w:t>
      </w:r>
      <w:r>
        <w:t>посредством</w:t>
      </w:r>
      <w:r w:rsidRPr="00646BC5">
        <w:t xml:space="preserve"> тел</w:t>
      </w:r>
      <w:r w:rsidRPr="00646BC5">
        <w:t>е</w:t>
      </w:r>
      <w:r w:rsidRPr="00646BC5">
        <w:t>конферен</w:t>
      </w:r>
      <w:r>
        <w:t>ции</w:t>
      </w:r>
      <w:r w:rsidRPr="00646BC5">
        <w:t xml:space="preserve"> в </w:t>
      </w:r>
      <w:r>
        <w:t>«</w:t>
      </w:r>
      <w:r w:rsidRPr="00646BC5">
        <w:t>Скайпе</w:t>
      </w:r>
      <w:r>
        <w:t>»</w:t>
      </w:r>
      <w:r w:rsidRPr="00D20D27">
        <w:rPr>
          <w:vertAlign w:val="superscript"/>
        </w:rPr>
        <w:footnoteReference w:id="9"/>
      </w:r>
      <w:r w:rsidRPr="00646BC5">
        <w:t xml:space="preserve"> и демонстрации видеоклипа, посвященного текущей и запланированной деятельности по </w:t>
      </w:r>
      <w:proofErr w:type="spellStart"/>
      <w:r w:rsidRPr="00646BC5">
        <w:t>экологизации</w:t>
      </w:r>
      <w:proofErr w:type="spellEnd"/>
      <w:r w:rsidRPr="00646BC5">
        <w:t xml:space="preserve"> экономики в этих регионах. П</w:t>
      </w:r>
      <w:r w:rsidRPr="00646BC5">
        <w:t>о</w:t>
      </w:r>
      <w:r w:rsidRPr="00646BC5">
        <w:t>сле этого представитель Румынии сообщил об основных итогах Первого совещ</w:t>
      </w:r>
      <w:r w:rsidRPr="00646BC5">
        <w:t>а</w:t>
      </w:r>
      <w:r w:rsidRPr="00646BC5">
        <w:t>ния Восточной Европы по Десятилетним рамочным программам по рационал</w:t>
      </w:r>
      <w:r w:rsidRPr="00646BC5">
        <w:t>ь</w:t>
      </w:r>
      <w:r w:rsidRPr="00646BC5">
        <w:t>ным моделям потребления и производства (ДСД), организованного ЮНЕП 27 о</w:t>
      </w:r>
      <w:r w:rsidRPr="00646BC5">
        <w:t>к</w:t>
      </w:r>
      <w:r w:rsidRPr="00646BC5">
        <w:t>тября (приуроченного к сессии КЭП).</w:t>
      </w:r>
    </w:p>
    <w:p w:rsidR="00D053AB" w:rsidRPr="00646BC5" w:rsidRDefault="00D053AB" w:rsidP="00D053AB">
      <w:pPr>
        <w:pStyle w:val="SingleTxt"/>
      </w:pPr>
      <w:r w:rsidRPr="00646BC5">
        <w:t>70.</w:t>
      </w:r>
      <w:r w:rsidRPr="00646BC5">
        <w:tab/>
        <w:t>Секретариат КЭП и представители ЮНЕП представили обновленный д</w:t>
      </w:r>
      <w:r w:rsidRPr="00646BC5">
        <w:t>о</w:t>
      </w:r>
      <w:r w:rsidRPr="00646BC5">
        <w:t xml:space="preserve">клад о ходе работы и перспективах в области </w:t>
      </w:r>
      <w:proofErr w:type="spellStart"/>
      <w:r w:rsidRPr="00646BC5">
        <w:t>экологизации</w:t>
      </w:r>
      <w:proofErr w:type="spellEnd"/>
      <w:r w:rsidRPr="00646BC5">
        <w:t xml:space="preserve"> экономики в общее</w:t>
      </w:r>
      <w:r w:rsidRPr="00646BC5">
        <w:t>в</w:t>
      </w:r>
      <w:r w:rsidRPr="00646BC5">
        <w:t xml:space="preserve">ропейском регионе, в том числе о приоритетах </w:t>
      </w:r>
      <w:proofErr w:type="spellStart"/>
      <w:r w:rsidRPr="00646BC5">
        <w:t>экологизации</w:t>
      </w:r>
      <w:proofErr w:type="spellEnd"/>
      <w:r w:rsidRPr="00646BC5">
        <w:t xml:space="preserve"> экономики в рег</w:t>
      </w:r>
      <w:r w:rsidRPr="00646BC5">
        <w:t>и</w:t>
      </w:r>
      <w:r w:rsidRPr="00646BC5">
        <w:t>оне и возможных условиях и вариантах ее достижения (ECE/CEP/2014/5), подг</w:t>
      </w:r>
      <w:r w:rsidRPr="00646BC5">
        <w:t>о</w:t>
      </w:r>
      <w:r w:rsidRPr="00646BC5">
        <w:t>товленный в консультации с другими организациями.</w:t>
      </w:r>
    </w:p>
    <w:p w:rsidR="00D053AB" w:rsidRPr="00646BC5" w:rsidRDefault="00D053AB" w:rsidP="00D053AB">
      <w:pPr>
        <w:pStyle w:val="SingleTxt"/>
      </w:pPr>
      <w:r w:rsidRPr="00646BC5">
        <w:t>71.</w:t>
      </w:r>
      <w:r w:rsidRPr="00646BC5">
        <w:tab/>
        <w:t>В ходе последовавшего</w:t>
      </w:r>
      <w:r>
        <w:t xml:space="preserve"> за этим</w:t>
      </w:r>
      <w:r w:rsidRPr="00646BC5">
        <w:t xml:space="preserve"> обсуждения КЭП рассмотрел вопрос об </w:t>
      </w:r>
      <w:proofErr w:type="spellStart"/>
      <w:r w:rsidRPr="00646BC5">
        <w:t>эк</w:t>
      </w:r>
      <w:r w:rsidRPr="00646BC5">
        <w:t>о</w:t>
      </w:r>
      <w:r w:rsidRPr="00646BC5">
        <w:t>логизации</w:t>
      </w:r>
      <w:proofErr w:type="spellEnd"/>
      <w:r w:rsidRPr="00646BC5">
        <w:t xml:space="preserve"> экономики в регионе, включая дополнительные меры и действия, н</w:t>
      </w:r>
      <w:r w:rsidRPr="00646BC5">
        <w:t>е</w:t>
      </w:r>
      <w:r w:rsidRPr="00646BC5">
        <w:t>обходимые для активизации этого процесса. Участники приветствовали инфо</w:t>
      </w:r>
      <w:r w:rsidRPr="00646BC5">
        <w:t>р</w:t>
      </w:r>
      <w:r w:rsidRPr="00646BC5">
        <w:t>мацию, представленную региональными комиссиями</w:t>
      </w:r>
      <w:r>
        <w:t>,</w:t>
      </w:r>
      <w:r w:rsidRPr="00646BC5">
        <w:t xml:space="preserve"> и приняли к сведению д</w:t>
      </w:r>
      <w:r w:rsidRPr="00646BC5">
        <w:t>о</w:t>
      </w:r>
      <w:r w:rsidRPr="00646BC5">
        <w:t xml:space="preserve">стижения и прогресс в </w:t>
      </w:r>
      <w:proofErr w:type="spellStart"/>
      <w:r w:rsidRPr="00646BC5">
        <w:t>экологизации</w:t>
      </w:r>
      <w:proofErr w:type="spellEnd"/>
      <w:r w:rsidRPr="00646BC5">
        <w:t xml:space="preserve"> экономики в этих регионах. КЭП также с удовлетворением отметил представленную информацию об основных итогах Первого совещания Восточной Европы по ДСД, которые могли бы служить в к</w:t>
      </w:r>
      <w:r w:rsidRPr="00646BC5">
        <w:t>а</w:t>
      </w:r>
      <w:r w:rsidRPr="00646BC5">
        <w:t>честве вклада в процесс подготовки Конференции министров в Батуми.</w:t>
      </w:r>
    </w:p>
    <w:p w:rsidR="00D053AB" w:rsidRPr="00646BC5" w:rsidRDefault="00D053AB" w:rsidP="00D053AB">
      <w:pPr>
        <w:pStyle w:val="SingleTxt"/>
      </w:pPr>
      <w:r w:rsidRPr="00646BC5">
        <w:t>72.</w:t>
      </w:r>
      <w:r w:rsidRPr="00646BC5">
        <w:tab/>
        <w:t>Делегаты приветствовали доклад о достигнутом прогрессе и будущих пе</w:t>
      </w:r>
      <w:r w:rsidRPr="00646BC5">
        <w:t>р</w:t>
      </w:r>
      <w:r w:rsidRPr="00646BC5">
        <w:t xml:space="preserve">спективах </w:t>
      </w:r>
      <w:proofErr w:type="spellStart"/>
      <w:r w:rsidRPr="00646BC5">
        <w:t>экологизации</w:t>
      </w:r>
      <w:proofErr w:type="spellEnd"/>
      <w:r w:rsidRPr="00646BC5">
        <w:t xml:space="preserve"> экономики в общеевропейском регионе. КЭП с удовл</w:t>
      </w:r>
      <w:r w:rsidRPr="00646BC5">
        <w:t>е</w:t>
      </w:r>
      <w:r w:rsidRPr="00646BC5">
        <w:t xml:space="preserve">творением отметил плодотворное сотрудничество между секретариатами ЕЭК и ЮНЕП в том, что касается деятельности по </w:t>
      </w:r>
      <w:proofErr w:type="spellStart"/>
      <w:r w:rsidRPr="00646BC5">
        <w:t>экологизации</w:t>
      </w:r>
      <w:proofErr w:type="spellEnd"/>
      <w:r w:rsidRPr="00646BC5">
        <w:t xml:space="preserve"> экономики, и просил эти две организации по-прежнему работать сообща в целях оказания поддержки странам в их усилиях по </w:t>
      </w:r>
      <w:proofErr w:type="spellStart"/>
      <w:r w:rsidRPr="00646BC5">
        <w:t>экологизации</w:t>
      </w:r>
      <w:proofErr w:type="spellEnd"/>
      <w:r w:rsidRPr="00646BC5">
        <w:t xml:space="preserve"> </w:t>
      </w:r>
      <w:proofErr w:type="gramStart"/>
      <w:r w:rsidRPr="00646BC5">
        <w:t>экономики</w:t>
      </w:r>
      <w:proofErr w:type="gramEnd"/>
      <w:r w:rsidRPr="00646BC5">
        <w:t xml:space="preserve"> как на общеевропейском, так и на национальном уровнях.</w:t>
      </w:r>
    </w:p>
    <w:p w:rsidR="00D053AB" w:rsidRPr="00646BC5" w:rsidRDefault="00D053AB" w:rsidP="00D053AB">
      <w:pPr>
        <w:pStyle w:val="SingleTxt"/>
      </w:pPr>
      <w:r w:rsidRPr="00646BC5">
        <w:t>73.</w:t>
      </w:r>
      <w:r w:rsidRPr="00646BC5">
        <w:tab/>
        <w:t>Кроме того, КЭП предложил ЕЭК и ЮНЕП совместно с соответствующими международными и региональными организациями и другими заинтересованн</w:t>
      </w:r>
      <w:r w:rsidRPr="00646BC5">
        <w:t>ы</w:t>
      </w:r>
      <w:r w:rsidRPr="00646BC5">
        <w:t xml:space="preserve">ми сторонами, работающими в сфере </w:t>
      </w:r>
      <w:proofErr w:type="spellStart"/>
      <w:r w:rsidRPr="00646BC5">
        <w:t>экологизации</w:t>
      </w:r>
      <w:proofErr w:type="spellEnd"/>
      <w:r w:rsidRPr="00646BC5">
        <w:t xml:space="preserve"> экономики, разработать предложение о создании общеевропейских стратегических рамок по </w:t>
      </w:r>
      <w:proofErr w:type="spellStart"/>
      <w:r w:rsidRPr="00646BC5">
        <w:t>экологиз</w:t>
      </w:r>
      <w:r w:rsidRPr="00646BC5">
        <w:t>а</w:t>
      </w:r>
      <w:r w:rsidRPr="00646BC5">
        <w:t>ции</w:t>
      </w:r>
      <w:proofErr w:type="spellEnd"/>
      <w:r w:rsidRPr="00646BC5">
        <w:t xml:space="preserve"> экономики и представить его на рассмотрение КЭП на его двадцать первой сессии в октябре 2015 года. Предложенные стратегические рамки должны соде</w:t>
      </w:r>
      <w:r w:rsidRPr="00646BC5">
        <w:t>р</w:t>
      </w:r>
      <w:r w:rsidRPr="00646BC5">
        <w:t>жать практические примеры, виды передовой практики и инструменты, подл</w:t>
      </w:r>
      <w:r w:rsidRPr="00646BC5">
        <w:t>е</w:t>
      </w:r>
      <w:r w:rsidRPr="00646BC5">
        <w:t xml:space="preserve">жащие использованию для активизации перехода к </w:t>
      </w:r>
      <w:r>
        <w:t>«</w:t>
      </w:r>
      <w:r w:rsidRPr="00646BC5">
        <w:t>зеленой</w:t>
      </w:r>
      <w:r>
        <w:t>»</w:t>
      </w:r>
      <w:r w:rsidRPr="00646BC5">
        <w:t xml:space="preserve"> экономике, </w:t>
      </w:r>
      <w:r>
        <w:t>и с</w:t>
      </w:r>
      <w:r>
        <w:t>о</w:t>
      </w:r>
      <w:r>
        <w:t xml:space="preserve">действовать применению </w:t>
      </w:r>
      <w:r w:rsidRPr="00646BC5">
        <w:t>восходящего подхода. Кроме того, они должны оп</w:t>
      </w:r>
      <w:r w:rsidRPr="00646BC5">
        <w:t>и</w:t>
      </w:r>
      <w:r w:rsidRPr="00646BC5">
        <w:t xml:space="preserve">раться на существующие информационные материалы и платформы и дополнять план действий по «зеленой» экономике, аналогичный </w:t>
      </w:r>
      <w:proofErr w:type="spellStart"/>
      <w:r w:rsidRPr="00646BC5">
        <w:t>Астанинскому</w:t>
      </w:r>
      <w:proofErr w:type="spellEnd"/>
      <w:r w:rsidRPr="00646BC5">
        <w:t xml:space="preserve"> предлож</w:t>
      </w:r>
      <w:r w:rsidRPr="00646BC5">
        <w:t>е</w:t>
      </w:r>
      <w:r w:rsidRPr="00646BC5">
        <w:t xml:space="preserve">нию относительно действий по воде. Вопрос о том, следует ли включать в них </w:t>
      </w:r>
      <w:r w:rsidRPr="00646BC5">
        <w:lastRenderedPageBreak/>
        <w:t>конкретные цели и целевые показатели, будет рассмотрен на следующей сессии КЭП.</w:t>
      </w: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6BC5">
        <w:tab/>
        <w:t>C.</w:t>
      </w:r>
      <w:r w:rsidRPr="00646BC5">
        <w:tab/>
        <w:t>Разработка Общей системы экологической информации</w:t>
      </w: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</w:pPr>
      <w:r w:rsidRPr="00646BC5">
        <w:t>74.</w:t>
      </w:r>
      <w:r w:rsidRPr="00646BC5">
        <w:tab/>
        <w:t>Секретарь Рабочей группы ЕЭК по мониторингу и оценке окружающей ср</w:t>
      </w:r>
      <w:r w:rsidRPr="00646BC5">
        <w:t>е</w:t>
      </w:r>
      <w:r w:rsidRPr="00646BC5">
        <w:t>ды представил документ, посвященный целевым показателям и показателям р</w:t>
      </w:r>
      <w:r w:rsidRPr="00646BC5">
        <w:t>е</w:t>
      </w:r>
      <w:r w:rsidRPr="00646BC5">
        <w:t>зультативности оценки прогресса разработки СЕИС в общеевропейском регионе (ECE/CEP/2014/8), подготовленный Группой друзей СЕИС при поддержке секр</w:t>
      </w:r>
      <w:r w:rsidRPr="00646BC5">
        <w:t>е</w:t>
      </w:r>
      <w:r w:rsidRPr="00646BC5">
        <w:t>тариата.</w:t>
      </w:r>
    </w:p>
    <w:p w:rsidR="00D053AB" w:rsidRPr="00646BC5" w:rsidRDefault="00D053AB" w:rsidP="00D053AB">
      <w:pPr>
        <w:pStyle w:val="SingleTxt"/>
      </w:pPr>
      <w:r w:rsidRPr="00646BC5">
        <w:t>75.</w:t>
      </w:r>
      <w:r w:rsidRPr="00646BC5">
        <w:tab/>
        <w:t>КЭП приветствовал проделанную до настоящего времени работу Группы друзей СЕИС (ECE/CEP/2014/7) и просил Группу продолжать работу по ос</w:t>
      </w:r>
      <w:r w:rsidRPr="00646BC5">
        <w:t>у</w:t>
      </w:r>
      <w:r w:rsidRPr="00646BC5">
        <w:t>ществлению второй части своего мандата, предоставленного ей КЭП на его д</w:t>
      </w:r>
      <w:r w:rsidRPr="00646BC5">
        <w:t>е</w:t>
      </w:r>
      <w:r w:rsidRPr="00646BC5">
        <w:t xml:space="preserve">вятнадцатой сессии, а именно </w:t>
      </w:r>
      <w:r>
        <w:t>–</w:t>
      </w:r>
      <w:r w:rsidRPr="00646BC5">
        <w:t xml:space="preserve"> ответить на вопрос: </w:t>
      </w:r>
      <w:r>
        <w:t>«</w:t>
      </w:r>
      <w:r w:rsidRPr="00646BC5">
        <w:t>Каким образом следует о</w:t>
      </w:r>
      <w:r w:rsidRPr="00646BC5">
        <w:t>р</w:t>
      </w:r>
      <w:r w:rsidRPr="00646BC5">
        <w:t>ганизовать и оформить процесс регулярной экологической оценки с учетом пр</w:t>
      </w:r>
      <w:r w:rsidRPr="00646BC5">
        <w:t>е</w:t>
      </w:r>
      <w:r>
        <w:t>имуществ СЕИС?»</w:t>
      </w:r>
      <w:r w:rsidRPr="00646BC5">
        <w:t>.</w:t>
      </w:r>
    </w:p>
    <w:p w:rsidR="00D053AB" w:rsidRPr="00646BC5" w:rsidRDefault="00D053AB" w:rsidP="00D053AB">
      <w:pPr>
        <w:pStyle w:val="SingleTxt"/>
      </w:pPr>
      <w:r w:rsidRPr="00646BC5">
        <w:t>76.</w:t>
      </w:r>
      <w:r w:rsidRPr="00646BC5">
        <w:tab/>
        <w:t>Кроме того, КЭП принял целевые показатели и показатели результативн</w:t>
      </w:r>
      <w:r w:rsidRPr="00646BC5">
        <w:t>о</w:t>
      </w:r>
      <w:r w:rsidRPr="00646BC5">
        <w:t>сти, представленные в документе ECE/CEP/2014/8, и выразил свою признател</w:t>
      </w:r>
      <w:r w:rsidRPr="00646BC5">
        <w:t>ь</w:t>
      </w:r>
      <w:r w:rsidRPr="00646BC5">
        <w:t>ность Группе друзей СЕИС и секретариату за о</w:t>
      </w:r>
      <w:r>
        <w:t xml:space="preserve">тличную подготовку документа. </w:t>
      </w:r>
      <w:proofErr w:type="gramStart"/>
      <w:r>
        <w:t>В </w:t>
      </w:r>
      <w:r w:rsidRPr="00646BC5">
        <w:t>этой связи КЭП поручил Рабочей группе по мониторингу и оценке окружа</w:t>
      </w:r>
      <w:r w:rsidRPr="00646BC5">
        <w:t>ю</w:t>
      </w:r>
      <w:r w:rsidRPr="00646BC5">
        <w:t>щей среды, в соответствии с ее продленным и измененным мандатом на 2015 год, провести обзор прогресса, достигнутого в развитии СЕИС, на основе этих цел</w:t>
      </w:r>
      <w:r w:rsidRPr="00646BC5">
        <w:t>е</w:t>
      </w:r>
      <w:r w:rsidRPr="00646BC5">
        <w:t>вых показателей и показателей результативности в целях подготовки доклада об оценке прогресса в развитии СЕИС в общеевропейском регионе для следующей Конференции министров ОСЕ.</w:t>
      </w:r>
      <w:proofErr w:type="gramEnd"/>
      <w:r w:rsidRPr="00646BC5">
        <w:t xml:space="preserve"> Первый доклад об этой деятельности должен быть представлен КЭП на его следующей сессии.</w:t>
      </w: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6BC5">
        <w:tab/>
        <w:t>D.</w:t>
      </w:r>
      <w:r w:rsidRPr="00646BC5">
        <w:tab/>
        <w:t>Подготовительная работа принимающей страны</w:t>
      </w: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</w:pPr>
      <w:r w:rsidRPr="00646BC5">
        <w:t>77.</w:t>
      </w:r>
      <w:r w:rsidRPr="00646BC5">
        <w:tab/>
        <w:t>Первый заместитель Министра охраны окружающей среды и природных р</w:t>
      </w:r>
      <w:r w:rsidRPr="00646BC5">
        <w:t>е</w:t>
      </w:r>
      <w:r w:rsidRPr="00646BC5">
        <w:t>сурсов Грузи</w:t>
      </w:r>
      <w:r>
        <w:t>и</w:t>
      </w:r>
      <w:r w:rsidRPr="00646BC5">
        <w:t xml:space="preserve"> рассказал участникам о проведении восьмой Конференции мин</w:t>
      </w:r>
      <w:r w:rsidRPr="00646BC5">
        <w:t>и</w:t>
      </w:r>
      <w:r w:rsidRPr="00646BC5">
        <w:t>стров ОСЕ. После этого представители делегации Грузии проинформировали присутствующих об изменениях и конкретных шагах по организации Конфере</w:t>
      </w:r>
      <w:r w:rsidRPr="00646BC5">
        <w:t>н</w:t>
      </w:r>
      <w:r w:rsidRPr="00646BC5">
        <w:t xml:space="preserve">ции в Батуми. </w:t>
      </w:r>
      <w:proofErr w:type="gramStart"/>
      <w:r w:rsidRPr="00646BC5">
        <w:t>Одной из проблем, с которыми сталкивается принимающая страна, является отсутствие помещения, которое могло бы вместить около 1 000 поте</w:t>
      </w:r>
      <w:r w:rsidRPr="00646BC5">
        <w:t>н</w:t>
      </w:r>
      <w:r w:rsidRPr="00646BC5">
        <w:t>циально участвующих официальных делегатов; в наличии имеются два зала з</w:t>
      </w:r>
      <w:r w:rsidRPr="00646BC5">
        <w:t>а</w:t>
      </w:r>
      <w:r w:rsidRPr="00646BC5">
        <w:t>седаний, каждый из которых м</w:t>
      </w:r>
      <w:r>
        <w:t>ожет вместить 550 и 340 человек</w:t>
      </w:r>
      <w:r w:rsidRPr="00646BC5">
        <w:t xml:space="preserve"> соответственно.</w:t>
      </w:r>
      <w:proofErr w:type="gramEnd"/>
    </w:p>
    <w:p w:rsidR="00D053AB" w:rsidRPr="00646BC5" w:rsidRDefault="00D053AB" w:rsidP="00D053AB">
      <w:pPr>
        <w:pStyle w:val="SingleTxt"/>
      </w:pPr>
      <w:r w:rsidRPr="00646BC5">
        <w:t>78.</w:t>
      </w:r>
      <w:r w:rsidRPr="00646BC5">
        <w:tab/>
        <w:t>Делегаты с удовлетворением отметили прогресс в организации восьмой Конференции министров ОСЕ и выразили признательность Грузии за предлож</w:t>
      </w:r>
      <w:r w:rsidRPr="00646BC5">
        <w:t>е</w:t>
      </w:r>
      <w:r w:rsidRPr="00646BC5">
        <w:t>ние провести у себя Конференцию в 2016 году и за проделанную до настоящего момента работу по подготовке к ней. КЭП принял решение провести Конфере</w:t>
      </w:r>
      <w:r w:rsidRPr="00646BC5">
        <w:t>н</w:t>
      </w:r>
      <w:r w:rsidRPr="00646BC5">
        <w:t>цию в Батуми с 8 по 10 июня 2016 года.</w:t>
      </w: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6BC5">
        <w:tab/>
        <w:t>E.</w:t>
      </w:r>
      <w:r w:rsidRPr="00646BC5">
        <w:tab/>
        <w:t>Отбор тем для Конференции</w:t>
      </w: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</w:pPr>
      <w:r w:rsidRPr="00646BC5">
        <w:t>79.</w:t>
      </w:r>
      <w:r w:rsidRPr="00646BC5">
        <w:tab/>
        <w:t>Председатель КЭП напомнил о рекомендации Президиума КЭП относ</w:t>
      </w:r>
      <w:r w:rsidRPr="00646BC5">
        <w:t>и</w:t>
      </w:r>
      <w:r w:rsidRPr="00646BC5">
        <w:t>тельно двух тем Конференции и отметил, что секретариат, в консультации с Пр</w:t>
      </w:r>
      <w:r w:rsidRPr="00646BC5">
        <w:t>е</w:t>
      </w:r>
      <w:r w:rsidRPr="00646BC5">
        <w:t>зидиумом КЭП (ECE/CEP/2014/9), подготовил предложени</w:t>
      </w:r>
      <w:r>
        <w:t>е</w:t>
      </w:r>
      <w:r w:rsidRPr="00646BC5">
        <w:t xml:space="preserve"> о возможных рамках Конференции для облегчения процесса отбора тем.</w:t>
      </w:r>
    </w:p>
    <w:p w:rsidR="00D053AB" w:rsidRPr="00646BC5" w:rsidRDefault="00367133" w:rsidP="00D053AB">
      <w:pPr>
        <w:pStyle w:val="SingleTxt"/>
      </w:pPr>
      <w:r>
        <w:br w:type="page"/>
      </w:r>
      <w:r w:rsidR="00D053AB" w:rsidRPr="00646BC5">
        <w:lastRenderedPageBreak/>
        <w:t>80.</w:t>
      </w:r>
      <w:r w:rsidR="00D053AB" w:rsidRPr="00646BC5">
        <w:tab/>
        <w:t>Делегаты приветствовали документ, содержащий предложение о возможных рамках организации Конференции министров в Батуми, а также подготовленный секретариатом информационный документ № 9, посвященный возможным вар</w:t>
      </w:r>
      <w:r w:rsidR="00D053AB" w:rsidRPr="00646BC5">
        <w:t>и</w:t>
      </w:r>
      <w:r w:rsidR="00D053AB" w:rsidRPr="00646BC5">
        <w:t>антам формата групповых обсуждений. Что касается отбора тем для Конфере</w:t>
      </w:r>
      <w:r w:rsidR="00D053AB" w:rsidRPr="00646BC5">
        <w:t>н</w:t>
      </w:r>
      <w:r w:rsidR="00D053AB" w:rsidRPr="00646BC5">
        <w:t>ции, то КЭП приветствовал рекомендацию своего Президиума и одобрил след</w:t>
      </w:r>
      <w:r w:rsidR="00D053AB" w:rsidRPr="00646BC5">
        <w:t>у</w:t>
      </w:r>
      <w:r w:rsidR="00D053AB" w:rsidRPr="00646BC5">
        <w:t>ющие две темы Конференции:</w:t>
      </w:r>
    </w:p>
    <w:p w:rsidR="00D053AB" w:rsidRPr="00646BC5" w:rsidRDefault="00D053AB" w:rsidP="00D053AB">
      <w:pPr>
        <w:pStyle w:val="SingleTxt"/>
      </w:pPr>
      <w:r w:rsidRPr="00646BC5">
        <w:tab/>
        <w:t>a)</w:t>
      </w:r>
      <w:r w:rsidRPr="00646BC5">
        <w:tab/>
      </w:r>
      <w:r>
        <w:t>«</w:t>
      </w:r>
      <w:proofErr w:type="spellStart"/>
      <w:r w:rsidRPr="00646BC5">
        <w:t>Экологизация</w:t>
      </w:r>
      <w:proofErr w:type="spellEnd"/>
      <w:r w:rsidRPr="00646BC5">
        <w:t xml:space="preserve"> экономики в общеевропейском регионе</w:t>
      </w:r>
      <w:r>
        <w:t>»</w:t>
      </w:r>
      <w:r w:rsidRPr="00646BC5">
        <w:t>;</w:t>
      </w:r>
    </w:p>
    <w:p w:rsidR="00D053AB" w:rsidRPr="00646BC5" w:rsidRDefault="00D053AB" w:rsidP="00D053AB">
      <w:pPr>
        <w:pStyle w:val="SingleTxt"/>
      </w:pPr>
      <w:r w:rsidRPr="00646BC5">
        <w:tab/>
        <w:t>b)</w:t>
      </w:r>
      <w:r w:rsidRPr="00646BC5">
        <w:tab/>
      </w:r>
      <w:r>
        <w:t>«</w:t>
      </w:r>
      <w:r w:rsidRPr="00646BC5">
        <w:t>Повышение качества воздуха в интересах улучшения состояния окружающей среды и здоровья человека</w:t>
      </w:r>
      <w:r>
        <w:t>»</w:t>
      </w:r>
      <w:r w:rsidRPr="00646BC5">
        <w:t>.</w:t>
      </w:r>
    </w:p>
    <w:p w:rsidR="00D053AB" w:rsidRPr="00646BC5" w:rsidRDefault="00D053AB" w:rsidP="00D053AB">
      <w:pPr>
        <w:pStyle w:val="SingleTxt"/>
      </w:pPr>
      <w:r w:rsidRPr="00646BC5">
        <w:t>81.</w:t>
      </w:r>
      <w:r w:rsidRPr="00646BC5">
        <w:tab/>
      </w:r>
      <w:proofErr w:type="gramStart"/>
      <w:r w:rsidRPr="00646BC5">
        <w:t>КЭП поручил Президиуму подготовить при содействии со стороны Секр</w:t>
      </w:r>
      <w:r w:rsidRPr="00646BC5">
        <w:t>е</w:t>
      </w:r>
      <w:r w:rsidRPr="00646BC5">
        <w:t>тариата к 21 ноября 2014 года</w:t>
      </w:r>
      <w:r>
        <w:t xml:space="preserve"> первое предложение по не более</w:t>
      </w:r>
      <w:r w:rsidRPr="00646BC5">
        <w:t xml:space="preserve"> чем четырем в</w:t>
      </w:r>
      <w:r w:rsidRPr="00646BC5">
        <w:t>о</w:t>
      </w:r>
      <w:r w:rsidRPr="00646BC5">
        <w:t>просам для обсуждения на уровне министров в рамках каждой из двух тем, пр</w:t>
      </w:r>
      <w:r w:rsidRPr="00646BC5">
        <w:t>и</w:t>
      </w:r>
      <w:r w:rsidRPr="00646BC5">
        <w:t>нимая во внимание замечания, высказанные делегациями в ходе нынешней се</w:t>
      </w:r>
      <w:r w:rsidRPr="00646BC5">
        <w:t>с</w:t>
      </w:r>
      <w:r w:rsidRPr="00646BC5">
        <w:t>сии, и просил распространить предложение среди членов КЭП и наблюдателей по электронной почте.</w:t>
      </w:r>
      <w:proofErr w:type="gramEnd"/>
    </w:p>
    <w:p w:rsidR="00D053AB" w:rsidRPr="00646BC5" w:rsidRDefault="00D053AB" w:rsidP="00D053AB">
      <w:pPr>
        <w:pStyle w:val="SingleTxt"/>
      </w:pPr>
      <w:r w:rsidRPr="00646BC5">
        <w:t>82.</w:t>
      </w:r>
      <w:r w:rsidRPr="00646BC5">
        <w:tab/>
        <w:t>Кроме того, членам КЭП и наблюдателям было предложено рассмотреть предложение Президиума по вопросам для обсуждения и направить свои замеч</w:t>
      </w:r>
      <w:r w:rsidRPr="00646BC5">
        <w:t>а</w:t>
      </w:r>
      <w:r w:rsidRPr="00646BC5">
        <w:t>ния (с учетом установленного ограничения в не более чем четыре вопроса) Пр</w:t>
      </w:r>
      <w:r w:rsidRPr="00646BC5">
        <w:t>е</w:t>
      </w:r>
      <w:r w:rsidRPr="00646BC5">
        <w:t>зидиуму через секретариат в кратчайшие возможные сроки, но не позднее 31 д</w:t>
      </w:r>
      <w:r w:rsidRPr="00646BC5">
        <w:t>е</w:t>
      </w:r>
      <w:r w:rsidRPr="00646BC5">
        <w:t>кабря 2014 года.</w:t>
      </w:r>
    </w:p>
    <w:p w:rsidR="00D053AB" w:rsidRPr="00646BC5" w:rsidRDefault="00D053AB" w:rsidP="00D053AB">
      <w:pPr>
        <w:pStyle w:val="SingleTxt"/>
      </w:pPr>
      <w:r w:rsidRPr="00646BC5">
        <w:t>83.</w:t>
      </w:r>
      <w:r w:rsidRPr="00646BC5">
        <w:tab/>
        <w:t xml:space="preserve">После этого Президиуму и секретариату следует рассмотреть полученные замечания и подготовить к 30 января 2015 года второе предложение по вопросам для обсуждения для распространения среди членов КЭП и наблюдателей для одобрения по электронной почте в кратчайшие возможные сроки, но не позднее 23 февраля 2015 года, с </w:t>
      </w:r>
      <w:proofErr w:type="gramStart"/>
      <w:r w:rsidRPr="00646BC5">
        <w:t>тем</w:t>
      </w:r>
      <w:proofErr w:type="gramEnd"/>
      <w:r w:rsidRPr="00646BC5">
        <w:t xml:space="preserve"> чтобы облегчить подготовку проекта двух тематич</w:t>
      </w:r>
      <w:r w:rsidRPr="00646BC5">
        <w:t>е</w:t>
      </w:r>
      <w:r w:rsidRPr="00646BC5">
        <w:t>ских справочных документов (одно</w:t>
      </w:r>
      <w:r>
        <w:t>го по</w:t>
      </w:r>
      <w:r w:rsidRPr="00646BC5">
        <w:t xml:space="preserve"> каждой из двух тем).</w:t>
      </w:r>
    </w:p>
    <w:p w:rsidR="00D053AB" w:rsidRPr="00646BC5" w:rsidRDefault="00D053AB" w:rsidP="00D053AB">
      <w:pPr>
        <w:pStyle w:val="SingleTxt"/>
      </w:pPr>
      <w:r w:rsidRPr="00646BC5">
        <w:t>84.</w:t>
      </w:r>
      <w:r w:rsidRPr="00646BC5">
        <w:tab/>
        <w:t>Президиуму при содействии со стороны секретариата и во взаимодействии с соответствующ</w:t>
      </w:r>
      <w:r>
        <w:t>ими заинтересованными сторонами</w:t>
      </w:r>
      <w:r w:rsidRPr="00646BC5">
        <w:t xml:space="preserve"> было предложено также приступить к осуществлению необходимой для организации Конференции де</w:t>
      </w:r>
      <w:r w:rsidRPr="00646BC5">
        <w:t>я</w:t>
      </w:r>
      <w:r w:rsidRPr="00646BC5">
        <w:t>тельности, включая подготовку к следующей сессии КЭП:</w:t>
      </w:r>
    </w:p>
    <w:p w:rsidR="00D053AB" w:rsidRPr="00646BC5" w:rsidRDefault="00D053AB" w:rsidP="00D053AB">
      <w:pPr>
        <w:pStyle w:val="SingleTxt"/>
      </w:pPr>
      <w:r w:rsidRPr="00646BC5">
        <w:tab/>
        <w:t>a)</w:t>
      </w:r>
      <w:r w:rsidRPr="00646BC5">
        <w:tab/>
        <w:t>первых проектов двух тематических справочных документов, подг</w:t>
      </w:r>
      <w:r w:rsidRPr="00646BC5">
        <w:t>о</w:t>
      </w:r>
      <w:r w:rsidRPr="00646BC5">
        <w:t>товленных на основе тем для обсуждения, которые будут согласованы Президи</w:t>
      </w:r>
      <w:r w:rsidRPr="00646BC5">
        <w:t>у</w:t>
      </w:r>
      <w:r w:rsidRPr="00646BC5">
        <w:t>мом КЭП;</w:t>
      </w:r>
    </w:p>
    <w:p w:rsidR="00D053AB" w:rsidRPr="00646BC5" w:rsidRDefault="00D053AB" w:rsidP="00D053AB">
      <w:pPr>
        <w:pStyle w:val="SingleTxt"/>
      </w:pPr>
      <w:r w:rsidRPr="00646BC5">
        <w:tab/>
        <w:t>b)</w:t>
      </w:r>
      <w:r w:rsidRPr="00646BC5">
        <w:tab/>
        <w:t>первого проекта предварительной аннотированной повестки дня Ко</w:t>
      </w:r>
      <w:r w:rsidRPr="00646BC5">
        <w:t>н</w:t>
      </w:r>
      <w:r w:rsidRPr="00646BC5">
        <w:t>ференции;</w:t>
      </w:r>
    </w:p>
    <w:p w:rsidR="00D053AB" w:rsidRPr="00646BC5" w:rsidRDefault="00D053AB" w:rsidP="00D053AB">
      <w:pPr>
        <w:pStyle w:val="SingleTxt"/>
        <w:rPr>
          <w:bCs/>
        </w:rPr>
      </w:pPr>
      <w:r w:rsidRPr="00646BC5">
        <w:tab/>
        <w:t>c)</w:t>
      </w:r>
      <w:r w:rsidRPr="00646BC5">
        <w:tab/>
        <w:t>других документов, которые, возможно, будут рекомендованы През</w:t>
      </w:r>
      <w:r w:rsidRPr="00646BC5">
        <w:t>и</w:t>
      </w:r>
      <w:r w:rsidRPr="00646BC5">
        <w:t>диумом.</w:t>
      </w:r>
    </w:p>
    <w:p w:rsidR="00D053AB" w:rsidRPr="00646BC5" w:rsidRDefault="00D053AB" w:rsidP="00D053AB">
      <w:pPr>
        <w:pStyle w:val="SingleTxt"/>
      </w:pPr>
      <w:r w:rsidRPr="00646BC5">
        <w:t>85.</w:t>
      </w:r>
      <w:r w:rsidRPr="00646BC5">
        <w:tab/>
        <w:t>ЮНЕП и другим заинтересованным сторонам было также предложено вн</w:t>
      </w:r>
      <w:r w:rsidRPr="00646BC5">
        <w:t>е</w:t>
      </w:r>
      <w:r w:rsidRPr="00646BC5">
        <w:t>сти свой вклад в подготовку Конференции министров в Батуми.</w:t>
      </w: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6BC5">
        <w:tab/>
        <w:t>F.</w:t>
      </w:r>
      <w:r w:rsidRPr="00646BC5">
        <w:tab/>
        <w:t>Организационные вопросы</w:t>
      </w: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</w:pPr>
      <w:r w:rsidRPr="00646BC5">
        <w:t>86.</w:t>
      </w:r>
      <w:r w:rsidRPr="00646BC5">
        <w:tab/>
        <w:t>Председатель проинформировал участников совещания о том, что в соо</w:t>
      </w:r>
      <w:r w:rsidRPr="00646BC5">
        <w:t>т</w:t>
      </w:r>
      <w:r w:rsidRPr="00646BC5">
        <w:t>ветствии с просьбой Президиума и на основе положений Плана реформы пр</w:t>
      </w:r>
      <w:r w:rsidRPr="00646BC5">
        <w:t>о</w:t>
      </w:r>
      <w:r>
        <w:t>цесса ОСЕ</w:t>
      </w:r>
      <w:r w:rsidRPr="00646BC5">
        <w:t xml:space="preserve"> секретариат разработал организационные процедуры для Конфере</w:t>
      </w:r>
      <w:r w:rsidRPr="00646BC5">
        <w:t>н</w:t>
      </w:r>
      <w:r w:rsidRPr="00646BC5">
        <w:t>ции министров в Батуми (ECE/CEP/2014/15).</w:t>
      </w:r>
    </w:p>
    <w:p w:rsidR="00D053AB" w:rsidRPr="00646BC5" w:rsidRDefault="00367133" w:rsidP="00D053AB">
      <w:pPr>
        <w:pStyle w:val="SingleTxt"/>
      </w:pPr>
      <w:r>
        <w:br w:type="page"/>
      </w:r>
      <w:r w:rsidR="00D053AB" w:rsidRPr="00646BC5">
        <w:lastRenderedPageBreak/>
        <w:t>87.</w:t>
      </w:r>
      <w:r w:rsidR="00D053AB" w:rsidRPr="00646BC5">
        <w:tab/>
        <w:t xml:space="preserve">КЭП одобрил организационные процедуры и поручил секретариату принять необходимые меры </w:t>
      </w:r>
      <w:proofErr w:type="gramStart"/>
      <w:r w:rsidR="00D053AB" w:rsidRPr="00646BC5">
        <w:t>для организации Конференции во взаимодействии со страной ее проведения в соответствии с положениями</w:t>
      </w:r>
      <w:proofErr w:type="gramEnd"/>
      <w:r w:rsidR="00D053AB" w:rsidRPr="00646BC5">
        <w:t xml:space="preserve"> Плана реформы процесса ОСЕ и на основе решений КЭП.</w:t>
      </w: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6BC5">
        <w:tab/>
        <w:t>G.</w:t>
      </w:r>
      <w:r w:rsidRPr="00646BC5">
        <w:tab/>
        <w:t>Потребности в ресурсах</w:t>
      </w:r>
    </w:p>
    <w:p w:rsidR="00D053AB" w:rsidRPr="00165A8F" w:rsidRDefault="00D053AB" w:rsidP="00D053AB">
      <w:pPr>
        <w:pStyle w:val="SingleTxt"/>
        <w:keepNext/>
        <w:spacing w:after="0" w:line="120" w:lineRule="exact"/>
        <w:rPr>
          <w:sz w:val="10"/>
        </w:rPr>
      </w:pPr>
    </w:p>
    <w:p w:rsidR="00D053AB" w:rsidRPr="00165A8F" w:rsidRDefault="00D053AB" w:rsidP="00D053AB">
      <w:pPr>
        <w:pStyle w:val="SingleTxt"/>
        <w:keepNext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</w:pPr>
      <w:r w:rsidRPr="00646BC5">
        <w:t>88.</w:t>
      </w:r>
      <w:r w:rsidRPr="00646BC5">
        <w:tab/>
        <w:t>Секретарь КЭП представил обзорную информацию о потребностях в ресу</w:t>
      </w:r>
      <w:r w:rsidRPr="00646BC5">
        <w:t>р</w:t>
      </w:r>
      <w:r w:rsidRPr="00646BC5">
        <w:t>сах, необходимых секретариату и принимающей стране для организации Конф</w:t>
      </w:r>
      <w:r w:rsidRPr="00646BC5">
        <w:t>е</w:t>
      </w:r>
      <w:r w:rsidRPr="00646BC5">
        <w:t>ренции министров в Батуми (информационный документ № 6 и добавление).</w:t>
      </w:r>
    </w:p>
    <w:p w:rsidR="00D053AB" w:rsidRPr="00646BC5" w:rsidRDefault="00D053AB" w:rsidP="00D053AB">
      <w:pPr>
        <w:pStyle w:val="SingleTxt"/>
      </w:pPr>
      <w:r w:rsidRPr="00646BC5">
        <w:t>89.</w:t>
      </w:r>
      <w:r w:rsidRPr="00646BC5">
        <w:tab/>
        <w:t>КЭП предложил странам и другим заинтересованным сторонам рассмотреть вопрос о необходимости мобилизации ресурсов для содействия подготовке, ос</w:t>
      </w:r>
      <w:r w:rsidRPr="00646BC5">
        <w:t>у</w:t>
      </w:r>
      <w:r w:rsidRPr="00646BC5">
        <w:t>ществляемой принимающей стороной и секретариатом, и, в частности, выразил признательность Норвегии за ее финансовый вклад в поддержку деятельности секретариата ЕЭК в рамках процесса ОСЕ. Кроме того, КЭП просил принима</w:t>
      </w:r>
      <w:r w:rsidRPr="00646BC5">
        <w:t>ю</w:t>
      </w:r>
      <w:r w:rsidRPr="00646BC5">
        <w:t>щую страну и секретариат сообщать КЭП и его Президиуму о прогрессе, дости</w:t>
      </w:r>
      <w:r w:rsidRPr="00646BC5">
        <w:t>г</w:t>
      </w:r>
      <w:r w:rsidRPr="00646BC5">
        <w:t>нутом в этой области.</w:t>
      </w: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6BC5">
        <w:tab/>
        <w:t>X.</w:t>
      </w:r>
      <w:r w:rsidRPr="00646BC5">
        <w:tab/>
        <w:t>Программа работы Подпрограммы по окружающей среде</w:t>
      </w: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6BC5">
        <w:tab/>
        <w:t>A.</w:t>
      </w:r>
      <w:r w:rsidRPr="00646BC5">
        <w:tab/>
        <w:t>План оценки результативности Подпрограммы по окружающей среде на двухгодичный период 2014–2015 годов</w:t>
      </w: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</w:pPr>
      <w:r w:rsidRPr="00646BC5">
        <w:t>90.</w:t>
      </w:r>
      <w:r w:rsidRPr="00646BC5">
        <w:tab/>
        <w:t>Председатель напомнил о том, что на своей последней сессии КЭП утве</w:t>
      </w:r>
      <w:r w:rsidRPr="00646BC5">
        <w:t>р</w:t>
      </w:r>
      <w:r w:rsidRPr="00646BC5">
        <w:t>дил план оценки результативности Подпрограммы по окружающей среде на двухгодичный период 2014</w:t>
      </w:r>
      <w:r>
        <w:t>–</w:t>
      </w:r>
      <w:r w:rsidRPr="00646BC5">
        <w:t>2015 годо</w:t>
      </w:r>
      <w:r>
        <w:t>в</w:t>
      </w:r>
      <w:r w:rsidRPr="00646BC5">
        <w:t xml:space="preserve"> с двумя поправками, предложенными Литвой от имени ЕС и его государств-членов, и просил секретариат переиздать документ с внесенными в него поправками дл</w:t>
      </w:r>
      <w:r>
        <w:t>я нынешней сессии КЭП. Док</w:t>
      </w:r>
      <w:r>
        <w:t>у</w:t>
      </w:r>
      <w:r>
        <w:t>мент </w:t>
      </w:r>
      <w:r w:rsidRPr="00646BC5">
        <w:t>ECE/CEP/2014/4 содержит следующие поправки к документу ECE/CEP/</w:t>
      </w:r>
      <w:r>
        <w:br/>
      </w:r>
      <w:r w:rsidRPr="00646BC5">
        <w:t>2013/4, ранее утвержденному в 2013 году:</w:t>
      </w:r>
    </w:p>
    <w:p w:rsidR="00D053AB" w:rsidRPr="00646BC5" w:rsidRDefault="00D053AB" w:rsidP="00D053AB">
      <w:pPr>
        <w:pStyle w:val="SingleTxt"/>
      </w:pPr>
      <w:r w:rsidRPr="00646BC5">
        <w:tab/>
        <w:t>a)</w:t>
      </w:r>
      <w:r w:rsidRPr="00646BC5">
        <w:tab/>
        <w:t xml:space="preserve">документ получил новое название </w:t>
      </w:r>
      <w:r>
        <w:t>–</w:t>
      </w:r>
      <w:r w:rsidRPr="00646BC5">
        <w:t xml:space="preserve"> </w:t>
      </w:r>
      <w:r>
        <w:t>«</w:t>
      </w:r>
      <w:r w:rsidRPr="00646BC5">
        <w:t>План оценки результативности Подпрограммы по окружающей среде на двухгодичный период 2014−2015 г</w:t>
      </w:r>
      <w:r w:rsidRPr="00646BC5">
        <w:t>о</w:t>
      </w:r>
      <w:r>
        <w:t>дов»</w:t>
      </w:r>
      <w:r w:rsidRPr="00646BC5">
        <w:t>;</w:t>
      </w:r>
    </w:p>
    <w:p w:rsidR="00D053AB" w:rsidRPr="00646BC5" w:rsidRDefault="00D053AB" w:rsidP="00D053AB">
      <w:pPr>
        <w:pStyle w:val="SingleTxt"/>
      </w:pPr>
      <w:r w:rsidRPr="00646BC5">
        <w:tab/>
        <w:t>b)</w:t>
      </w:r>
      <w:r w:rsidRPr="00646BC5">
        <w:tab/>
        <w:t>в него включены два дополнительных показателя достижения резул</w:t>
      </w:r>
      <w:r w:rsidRPr="00646BC5">
        <w:t>ь</w:t>
      </w:r>
      <w:r w:rsidRPr="00646BC5">
        <w:t xml:space="preserve">татов по тематическому блоку видов деятельности в рамках Конвенции об оценке воздействия на окружающую среду в трансграничном контексте (Конвенция </w:t>
      </w:r>
      <w:r>
        <w:br/>
      </w:r>
      <w:proofErr w:type="spellStart"/>
      <w:r w:rsidRPr="00646BC5">
        <w:t>Эспо</w:t>
      </w:r>
      <w:proofErr w:type="spellEnd"/>
      <w:r w:rsidRPr="00646BC5">
        <w:t>). Эти показатели были предложены Литвой (от имени госуда</w:t>
      </w:r>
      <w:proofErr w:type="gramStart"/>
      <w:r w:rsidRPr="00646BC5">
        <w:t>рств − чл</w:t>
      </w:r>
      <w:proofErr w:type="gramEnd"/>
      <w:r w:rsidRPr="00646BC5">
        <w:t>енов ЕС) на предыдущей сессии КЭП.</w:t>
      </w:r>
    </w:p>
    <w:p w:rsidR="00D053AB" w:rsidRPr="00646BC5" w:rsidRDefault="00D053AB" w:rsidP="00D053AB">
      <w:pPr>
        <w:pStyle w:val="SingleTxt"/>
      </w:pPr>
      <w:r w:rsidRPr="00646BC5">
        <w:t>91.</w:t>
      </w:r>
      <w:r w:rsidRPr="00646BC5">
        <w:tab/>
        <w:t>Председатель также проинформировал участников совещания о том, что по состоянию на июнь 2014 года двухгодичная оценка результативности на основе тематических блоков, известная в форме доклада о двухгодичной оценке, стала проводиться в отношении подпрограмм ЕЭК на произвольной основе в соотве</w:t>
      </w:r>
      <w:r w:rsidRPr="00646BC5">
        <w:t>т</w:t>
      </w:r>
      <w:r w:rsidRPr="00646BC5">
        <w:t>ствии с новой политикой ЕЭК в области оценки. КЭП постановил продолжить проведение двухгодичной оценки результативности Подпрограммы по окружа</w:t>
      </w:r>
      <w:r w:rsidRPr="00646BC5">
        <w:t>ю</w:t>
      </w:r>
      <w:r w:rsidRPr="00646BC5">
        <w:t xml:space="preserve">щей среде как минимум в течение еще одного цикла и утвердил двухгодичный план оценки результативности Подпрограммы по окружающей среде на </w:t>
      </w:r>
      <w:r>
        <w:br/>
      </w:r>
      <w:r w:rsidRPr="00646BC5">
        <w:t>2014–2015 годы (ECE/CEP/2014/4).</w:t>
      </w: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367133" w:rsidP="00D053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D053AB" w:rsidRPr="00646BC5">
        <w:lastRenderedPageBreak/>
        <w:tab/>
        <w:t>B.</w:t>
      </w:r>
      <w:r w:rsidR="00D053AB" w:rsidRPr="00646BC5">
        <w:tab/>
        <w:t>Критерии оказания фин</w:t>
      </w:r>
      <w:r w:rsidR="00D053AB">
        <w:t>ансовой поддержки для участия в </w:t>
      </w:r>
      <w:r w:rsidR="00D053AB" w:rsidRPr="00646BC5">
        <w:t>совещаниях и мероприятиях</w:t>
      </w: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</w:pPr>
      <w:r w:rsidRPr="00646BC5">
        <w:t>92.</w:t>
      </w:r>
      <w:r w:rsidRPr="00646BC5">
        <w:tab/>
      </w:r>
      <w:proofErr w:type="gramStart"/>
      <w:r w:rsidRPr="00646BC5">
        <w:t>Председатель проинформировал делегатов о том, что в связи с тем, что да</w:t>
      </w:r>
      <w:r w:rsidRPr="00646BC5">
        <w:t>н</w:t>
      </w:r>
      <w:r w:rsidRPr="00646BC5">
        <w:t>ные о темпах прироста валового внутреннего продукта (ВВП) на душу населения в регионе ЕЭК в странах с переходной экономикой в 2013 году еще недоступны, Президиум КЭП рекомендовал придерживаться критериев оказания финансовой поддержки для участия в совещаниях и мероприятиях, принятых КЭП на его д</w:t>
      </w:r>
      <w:r w:rsidRPr="00646BC5">
        <w:t>е</w:t>
      </w:r>
      <w:r w:rsidRPr="00646BC5">
        <w:t>вятнадцатой сессии в октябре 2013 года (ECE</w:t>
      </w:r>
      <w:proofErr w:type="gramEnd"/>
      <w:r w:rsidRPr="00646BC5">
        <w:t>/CEP/2013/2, приложение I), разр</w:t>
      </w:r>
      <w:r w:rsidRPr="00646BC5">
        <w:t>а</w:t>
      </w:r>
      <w:r w:rsidRPr="00646BC5">
        <w:t>ботанных на основе показателей ВВП на душу населения 2012 года. КЭП принял рекомендацию и решил оставить критерии в том виде, в каком они были приняты на его девятнадцатой сессии.</w:t>
      </w: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6BC5">
        <w:tab/>
        <w:t>XI.</w:t>
      </w:r>
      <w:r w:rsidRPr="00646BC5">
        <w:tab/>
        <w:t>Правила процедуры</w:t>
      </w: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</w:pPr>
      <w:r w:rsidRPr="00646BC5">
        <w:t>93.</w:t>
      </w:r>
      <w:r w:rsidRPr="00646BC5">
        <w:tab/>
        <w:t>Председатель сообщил о том, что в соответствии с просьбой, выраженной на его предыдущей сессии, Президиум пересмотрел, при поддержке секретари</w:t>
      </w:r>
      <w:r w:rsidRPr="00646BC5">
        <w:t>а</w:t>
      </w:r>
      <w:r w:rsidRPr="00646BC5">
        <w:t>та, проект правил процедуры КЭП (ECE/CEP/2014/L.1).</w:t>
      </w:r>
    </w:p>
    <w:p w:rsidR="00D053AB" w:rsidRPr="00646BC5" w:rsidRDefault="00D053AB" w:rsidP="00D053AB">
      <w:pPr>
        <w:pStyle w:val="SingleTxt"/>
      </w:pPr>
      <w:r w:rsidRPr="00646BC5">
        <w:t>94.</w:t>
      </w:r>
      <w:r w:rsidRPr="00646BC5">
        <w:tab/>
        <w:t>КЭП выразил признательность Президиуму и секретариату за их работу по пересмотру правил процедуры и принял к сведению замечания, сделанные дел</w:t>
      </w:r>
      <w:r w:rsidRPr="00646BC5">
        <w:t>е</w:t>
      </w:r>
      <w:r w:rsidRPr="00646BC5">
        <w:t>гатами в ходе нынешнего совещания, в том числе те из них, которые были пре</w:t>
      </w:r>
      <w:r w:rsidRPr="00646BC5">
        <w:t>д</w:t>
      </w:r>
      <w:r w:rsidRPr="00646BC5">
        <w:t>ставлены по электронной почте. КЭП поручил своему Президиуму при поддер</w:t>
      </w:r>
      <w:r w:rsidRPr="00646BC5">
        <w:t>ж</w:t>
      </w:r>
      <w:r w:rsidRPr="00646BC5">
        <w:t>ке секретариата подготовить в дальнейшем пересмотренный проект с учетом п</w:t>
      </w:r>
      <w:r w:rsidRPr="00646BC5">
        <w:t>о</w:t>
      </w:r>
      <w:r w:rsidRPr="00646BC5">
        <w:t>лученных комментариев для следующей сессии КЭП. Делегаты также соглас</w:t>
      </w:r>
      <w:r w:rsidRPr="00646BC5">
        <w:t>и</w:t>
      </w:r>
      <w:r w:rsidRPr="00646BC5">
        <w:t>лись направить любые дальнейшие замечания по проекту, который был подг</w:t>
      </w:r>
      <w:r w:rsidRPr="00646BC5">
        <w:t>о</w:t>
      </w:r>
      <w:r w:rsidRPr="00646BC5">
        <w:t xml:space="preserve">товлен Президиумом, не </w:t>
      </w:r>
      <w:proofErr w:type="gramStart"/>
      <w:r w:rsidRPr="00646BC5">
        <w:t>позднее</w:t>
      </w:r>
      <w:proofErr w:type="gramEnd"/>
      <w:r w:rsidRPr="00646BC5">
        <w:t xml:space="preserve"> чем за одну неделю до начала работы следу</w:t>
      </w:r>
      <w:r w:rsidRPr="00646BC5">
        <w:t>ю</w:t>
      </w:r>
      <w:r w:rsidRPr="00646BC5">
        <w:t>щей сессии КЭП, т.е. до 19 октября 2015 года.</w:t>
      </w: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46BC5" w:rsidRDefault="00D053AB" w:rsidP="00D053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46BC5">
        <w:tab/>
        <w:t>XII.</w:t>
      </w:r>
      <w:r w:rsidRPr="00646BC5">
        <w:tab/>
        <w:t>Расписание совещаний</w:t>
      </w: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165A8F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46BC5" w:rsidRDefault="00D053AB" w:rsidP="00D053AB">
      <w:pPr>
        <w:pStyle w:val="SingleTxt"/>
      </w:pPr>
      <w:r w:rsidRPr="00646BC5">
        <w:t>95.</w:t>
      </w:r>
      <w:r w:rsidRPr="00646BC5">
        <w:tab/>
        <w:t>Председатель КЭП представил информационный документ № 8, содерж</w:t>
      </w:r>
      <w:r w:rsidRPr="00646BC5">
        <w:t>а</w:t>
      </w:r>
      <w:r w:rsidRPr="00646BC5">
        <w:t>щий расписание совещаний КЭП и его Президиума на период 2014–2017 годов.</w:t>
      </w:r>
    </w:p>
    <w:p w:rsidR="00334F12" w:rsidRDefault="00D053AB" w:rsidP="00D053AB">
      <w:pPr>
        <w:pStyle w:val="SingleTxt"/>
        <w:spacing w:after="0" w:line="240" w:lineRule="auto"/>
      </w:pPr>
      <w:r w:rsidRPr="00646BC5">
        <w:t>96.</w:t>
      </w:r>
      <w:r w:rsidRPr="00646BC5">
        <w:tab/>
        <w:t>Делегации утвердили предложенное расписание с одной поправкой, каса</w:t>
      </w:r>
      <w:r w:rsidRPr="00646BC5">
        <w:t>ю</w:t>
      </w:r>
      <w:r w:rsidRPr="00646BC5">
        <w:t>щейся совещаний Президиума КЭП в 2015 году, и приняли решение провести двадцать первую сессию Комитета с 27 по 30 октября 2015 года.</w:t>
      </w:r>
    </w:p>
    <w:p w:rsidR="00D053AB" w:rsidRPr="006F5458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F5458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F5458" w:rsidRDefault="00D053AB" w:rsidP="00D053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F5458">
        <w:tab/>
        <w:t>XIII.</w:t>
      </w:r>
      <w:r w:rsidRPr="006F5458">
        <w:tab/>
        <w:t>Прочие вопросы</w:t>
      </w:r>
    </w:p>
    <w:p w:rsidR="00D053AB" w:rsidRPr="006F5458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F5458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F5458" w:rsidRDefault="00D053AB" w:rsidP="00D053AB">
      <w:pPr>
        <w:pStyle w:val="SingleTxt"/>
      </w:pPr>
      <w:r w:rsidRPr="006F5458">
        <w:t>97.</w:t>
      </w:r>
      <w:r w:rsidRPr="006F5458">
        <w:tab/>
        <w:t>Секретариат сообщил об осуществленной в 2014 году деятельности по п</w:t>
      </w:r>
      <w:r w:rsidRPr="006F5458">
        <w:t>о</w:t>
      </w:r>
      <w:r w:rsidRPr="006F5458">
        <w:t>вышению уровня осведомленности и содействию обеспечению всестороннего учета гендерной проблематики в области окружающей среды, в том числе путем организации двух семинаров-практикумов во время обеденного перерыва на уровне ЕЭК. КЭП принял к сведению представленную информацию.</w:t>
      </w:r>
    </w:p>
    <w:p w:rsidR="00D053AB" w:rsidRPr="006F5458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F5458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F5458" w:rsidRDefault="00D053AB" w:rsidP="00D053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F5458">
        <w:tab/>
      </w:r>
      <w:proofErr w:type="gramStart"/>
      <w:r w:rsidRPr="006F5458">
        <w:t>Х</w:t>
      </w:r>
      <w:proofErr w:type="gramEnd"/>
      <w:r w:rsidRPr="006F5458">
        <w:t>IV.</w:t>
      </w:r>
      <w:r w:rsidRPr="006F5458">
        <w:tab/>
        <w:t>Резюме решений</w:t>
      </w:r>
    </w:p>
    <w:p w:rsidR="00D053AB" w:rsidRPr="006F5458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F5458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F5458" w:rsidRDefault="00D053AB" w:rsidP="00D053AB">
      <w:pPr>
        <w:pStyle w:val="SingleTxt"/>
      </w:pPr>
      <w:r w:rsidRPr="006F5458">
        <w:t>98.</w:t>
      </w:r>
      <w:r w:rsidRPr="006F5458">
        <w:tab/>
        <w:t>На своей двадцатой сессии КЭП:</w:t>
      </w:r>
    </w:p>
    <w:p w:rsidR="00D053AB" w:rsidRPr="006F5458" w:rsidRDefault="00D053AB" w:rsidP="00D053AB">
      <w:pPr>
        <w:pStyle w:val="SingleTxt"/>
      </w:pPr>
      <w:r w:rsidRPr="006F5458">
        <w:tab/>
        <w:t>a)</w:t>
      </w:r>
      <w:r w:rsidRPr="006F5458">
        <w:tab/>
        <w:t>утвердил повестку дня двадцатой сессии (ECE/CEP/2014/1), принимая во внимание предложенное расписание, представленное в информационном д</w:t>
      </w:r>
      <w:r w:rsidRPr="006F5458">
        <w:t>о</w:t>
      </w:r>
      <w:r w:rsidRPr="006F5458">
        <w:t>кументе № 1;</w:t>
      </w:r>
    </w:p>
    <w:p w:rsidR="00D053AB" w:rsidRPr="006F5458" w:rsidRDefault="00D053AB" w:rsidP="00D053AB">
      <w:pPr>
        <w:pStyle w:val="SingleTxt"/>
      </w:pPr>
      <w:r w:rsidRPr="006F5458">
        <w:lastRenderedPageBreak/>
        <w:tab/>
        <w:t>b)</w:t>
      </w:r>
      <w:r w:rsidRPr="006F5458">
        <w:tab/>
        <w:t>избрал Председателя и других членов своего Президиума в следующем составе:</w:t>
      </w:r>
    </w:p>
    <w:p w:rsidR="00D053AB" w:rsidRPr="006F5458" w:rsidRDefault="00D053AB" w:rsidP="00D053AB">
      <w:pPr>
        <w:pStyle w:val="SingleTxt"/>
      </w:pPr>
      <w:r w:rsidRPr="006F5458">
        <w:tab/>
      </w:r>
      <w:r w:rsidRPr="006F5458">
        <w:rPr>
          <w:i/>
          <w:iCs/>
        </w:rPr>
        <w:t>Председатель</w:t>
      </w:r>
      <w:r w:rsidRPr="006F5458">
        <w:t>:</w:t>
      </w:r>
    </w:p>
    <w:p w:rsidR="00D053AB" w:rsidRPr="006F5458" w:rsidRDefault="00D053AB" w:rsidP="00D053AB">
      <w:pPr>
        <w:pStyle w:val="SingleTxt"/>
      </w:pPr>
      <w:r w:rsidRPr="006F5458">
        <w:tab/>
      </w:r>
      <w:r w:rsidRPr="006F5458">
        <w:tab/>
      </w:r>
      <w:r w:rsidR="00806DB5" w:rsidRPr="006F5458">
        <w:t>г</w:t>
      </w:r>
      <w:r w:rsidRPr="006F5458">
        <w:t>-</w:t>
      </w:r>
      <w:r w:rsidR="00806DB5" w:rsidRPr="006F5458">
        <w:t xml:space="preserve">жа </w:t>
      </w:r>
      <w:r w:rsidRPr="006F5458">
        <w:t xml:space="preserve">Элизабет </w:t>
      </w:r>
      <w:proofErr w:type="spellStart"/>
      <w:r w:rsidRPr="006F5458">
        <w:t>Куинтас</w:t>
      </w:r>
      <w:proofErr w:type="spellEnd"/>
      <w:r w:rsidRPr="006F5458">
        <w:t xml:space="preserve"> да </w:t>
      </w:r>
      <w:proofErr w:type="spellStart"/>
      <w:r w:rsidRPr="006F5458">
        <w:t>Силва</w:t>
      </w:r>
      <w:proofErr w:type="spellEnd"/>
      <w:r w:rsidRPr="006F5458">
        <w:t xml:space="preserve"> (Португалия)</w:t>
      </w:r>
    </w:p>
    <w:p w:rsidR="00D053AB" w:rsidRPr="006F5458" w:rsidRDefault="00D053AB" w:rsidP="00D053AB">
      <w:pPr>
        <w:pStyle w:val="SingleTxt"/>
      </w:pPr>
      <w:r w:rsidRPr="006F5458">
        <w:tab/>
      </w:r>
      <w:r w:rsidRPr="006F5458">
        <w:rPr>
          <w:i/>
          <w:iCs/>
        </w:rPr>
        <w:t>Заместители Председателя</w:t>
      </w:r>
      <w:r w:rsidRPr="006F5458">
        <w:t xml:space="preserve">: </w:t>
      </w:r>
    </w:p>
    <w:p w:rsidR="00D053AB" w:rsidRPr="006F5458" w:rsidRDefault="00D053AB" w:rsidP="00D053AB">
      <w:pPr>
        <w:pStyle w:val="SingleTxt"/>
      </w:pPr>
      <w:r w:rsidRPr="006F5458">
        <w:rPr>
          <w:i/>
          <w:iCs/>
        </w:rPr>
        <w:tab/>
      </w:r>
      <w:r w:rsidRPr="006F5458">
        <w:rPr>
          <w:i/>
          <w:iCs/>
        </w:rPr>
        <w:tab/>
      </w:r>
      <w:r w:rsidR="00806DB5" w:rsidRPr="006F5458">
        <w:t>г</w:t>
      </w:r>
      <w:r w:rsidRPr="006F5458">
        <w:t xml:space="preserve">-жа Мартин </w:t>
      </w:r>
      <w:proofErr w:type="spellStart"/>
      <w:r w:rsidRPr="006F5458">
        <w:t>Рон-Броссар</w:t>
      </w:r>
      <w:proofErr w:type="spellEnd"/>
      <w:r w:rsidRPr="006F5458">
        <w:t xml:space="preserve"> (Швейцария)</w:t>
      </w:r>
    </w:p>
    <w:p w:rsidR="00D053AB" w:rsidRPr="006F5458" w:rsidRDefault="00D053AB" w:rsidP="00D053AB">
      <w:pPr>
        <w:pStyle w:val="SingleTxt"/>
      </w:pPr>
      <w:r w:rsidRPr="006F5458">
        <w:tab/>
      </w:r>
      <w:r w:rsidRPr="006F5458">
        <w:tab/>
      </w:r>
      <w:r w:rsidR="00806DB5" w:rsidRPr="006F5458">
        <w:t>г</w:t>
      </w:r>
      <w:r w:rsidRPr="006F5458">
        <w:t>-жа Каролин Броун (Соединенные Штаты Америки)</w:t>
      </w:r>
    </w:p>
    <w:p w:rsidR="00D053AB" w:rsidRPr="00806DB5" w:rsidRDefault="00D053AB" w:rsidP="00D053AB">
      <w:pPr>
        <w:pStyle w:val="SingleTxt"/>
        <w:rPr>
          <w:lang w:val="en-US"/>
        </w:rPr>
      </w:pPr>
      <w:r w:rsidRPr="006F5458">
        <w:tab/>
      </w:r>
      <w:r w:rsidRPr="006F5458">
        <w:tab/>
      </w:r>
      <w:r w:rsidR="00806DB5" w:rsidRPr="006F5458">
        <w:t>г</w:t>
      </w:r>
      <w:r w:rsidRPr="006F5458">
        <w:t>-жа</w:t>
      </w:r>
      <w:r w:rsidR="00806DB5">
        <w:t xml:space="preserve"> Мари-Шарлотт </w:t>
      </w:r>
      <w:proofErr w:type="spellStart"/>
      <w:r w:rsidR="00806DB5">
        <w:t>Дельво</w:t>
      </w:r>
      <w:proofErr w:type="spellEnd"/>
      <w:r w:rsidR="00806DB5">
        <w:t xml:space="preserve"> (Бельгия)</w:t>
      </w:r>
    </w:p>
    <w:p w:rsidR="00D053AB" w:rsidRPr="006F5458" w:rsidRDefault="00D053AB" w:rsidP="00D053AB">
      <w:pPr>
        <w:pStyle w:val="SingleTxt"/>
      </w:pPr>
      <w:r w:rsidRPr="006F5458">
        <w:tab/>
      </w:r>
      <w:r w:rsidRPr="006F5458">
        <w:tab/>
      </w:r>
      <w:r w:rsidR="00806DB5" w:rsidRPr="006F5458">
        <w:t>г</w:t>
      </w:r>
      <w:r w:rsidRPr="006F5458">
        <w:t xml:space="preserve">-н Николя </w:t>
      </w:r>
      <w:proofErr w:type="spellStart"/>
      <w:r w:rsidRPr="006F5458">
        <w:t>Файрис</w:t>
      </w:r>
      <w:proofErr w:type="spellEnd"/>
      <w:r w:rsidRPr="006F5458">
        <w:t xml:space="preserve"> (Франция)</w:t>
      </w:r>
    </w:p>
    <w:p w:rsidR="00D053AB" w:rsidRPr="00806DB5" w:rsidRDefault="00D053AB" w:rsidP="00D053AB">
      <w:pPr>
        <w:pStyle w:val="SingleTxt"/>
        <w:rPr>
          <w:lang w:val="en-US"/>
        </w:rPr>
      </w:pPr>
      <w:r w:rsidRPr="006F5458">
        <w:tab/>
      </w:r>
      <w:r w:rsidRPr="006F5458">
        <w:tab/>
      </w:r>
      <w:r w:rsidR="00806DB5" w:rsidRPr="006F5458">
        <w:t>г</w:t>
      </w:r>
      <w:r w:rsidRPr="006F5458">
        <w:t>-жа Мари</w:t>
      </w:r>
      <w:r w:rsidR="00806DB5">
        <w:t xml:space="preserve">я </w:t>
      </w:r>
      <w:proofErr w:type="spellStart"/>
      <w:r w:rsidR="00806DB5">
        <w:t>Нагорний</w:t>
      </w:r>
      <w:proofErr w:type="spellEnd"/>
      <w:r w:rsidR="00806DB5">
        <w:t xml:space="preserve"> (Республика Молдова)</w:t>
      </w:r>
    </w:p>
    <w:p w:rsidR="00D053AB" w:rsidRPr="006F5458" w:rsidRDefault="00D053AB" w:rsidP="00D053AB">
      <w:pPr>
        <w:pStyle w:val="SingleTxt"/>
      </w:pPr>
      <w:r w:rsidRPr="006F5458">
        <w:tab/>
      </w:r>
      <w:r w:rsidRPr="006F5458">
        <w:tab/>
      </w:r>
      <w:r w:rsidR="00806DB5" w:rsidRPr="006F5458">
        <w:t>г</w:t>
      </w:r>
      <w:r w:rsidRPr="006F5458">
        <w:t xml:space="preserve">-жа </w:t>
      </w:r>
      <w:proofErr w:type="spellStart"/>
      <w:r w:rsidRPr="006F5458">
        <w:t>Гордана</w:t>
      </w:r>
      <w:proofErr w:type="spellEnd"/>
      <w:r w:rsidRPr="006F5458">
        <w:t xml:space="preserve"> Петкович (Сербия)</w:t>
      </w:r>
    </w:p>
    <w:p w:rsidR="00D053AB" w:rsidRPr="00806DB5" w:rsidRDefault="00D053AB" w:rsidP="00D053AB">
      <w:pPr>
        <w:pStyle w:val="SingleTxt"/>
        <w:rPr>
          <w:lang w:val="en-US"/>
        </w:rPr>
      </w:pPr>
      <w:r w:rsidRPr="006F5458">
        <w:tab/>
      </w:r>
      <w:r w:rsidRPr="006F5458">
        <w:tab/>
      </w:r>
      <w:r w:rsidR="00806DB5" w:rsidRPr="006F5458">
        <w:t>г</w:t>
      </w:r>
      <w:r w:rsidRPr="006F5458">
        <w:t>-н Лук</w:t>
      </w:r>
      <w:r w:rsidR="00806DB5">
        <w:t>аш Покорны (Чешская Республика)</w:t>
      </w:r>
    </w:p>
    <w:p w:rsidR="00D053AB" w:rsidRPr="006F5458" w:rsidRDefault="00D053AB" w:rsidP="00D053AB">
      <w:pPr>
        <w:pStyle w:val="SingleTxt"/>
      </w:pPr>
      <w:r w:rsidRPr="006F5458">
        <w:tab/>
      </w:r>
      <w:r w:rsidRPr="006F5458">
        <w:tab/>
      </w:r>
      <w:r w:rsidR="00806DB5" w:rsidRPr="006F5458">
        <w:t>г</w:t>
      </w:r>
      <w:r w:rsidRPr="006F5458">
        <w:t xml:space="preserve">-жа </w:t>
      </w:r>
      <w:proofErr w:type="spellStart"/>
      <w:r w:rsidRPr="006F5458">
        <w:t>Нино</w:t>
      </w:r>
      <w:proofErr w:type="spellEnd"/>
      <w:r w:rsidRPr="006F5458">
        <w:t xml:space="preserve"> </w:t>
      </w:r>
      <w:proofErr w:type="spellStart"/>
      <w:proofErr w:type="gramStart"/>
      <w:r w:rsidRPr="006F5458">
        <w:t>T</w:t>
      </w:r>
      <w:proofErr w:type="gramEnd"/>
      <w:r w:rsidRPr="006F5458">
        <w:t>хилава</w:t>
      </w:r>
      <w:proofErr w:type="spellEnd"/>
      <w:r w:rsidRPr="006F5458">
        <w:t xml:space="preserve"> (Грузия)</w:t>
      </w:r>
    </w:p>
    <w:p w:rsidR="00D053AB" w:rsidRPr="006F5458" w:rsidRDefault="00D053AB" w:rsidP="00D053AB">
      <w:pPr>
        <w:pStyle w:val="SingleTxt"/>
      </w:pPr>
      <w:r w:rsidRPr="006F5458">
        <w:tab/>
      </w:r>
      <w:r w:rsidRPr="006F5458">
        <w:tab/>
      </w:r>
      <w:r w:rsidR="00806DB5" w:rsidRPr="006F5458">
        <w:t>г</w:t>
      </w:r>
      <w:r w:rsidRPr="006F5458">
        <w:t xml:space="preserve">-н Булат </w:t>
      </w:r>
      <w:proofErr w:type="spellStart"/>
      <w:r w:rsidRPr="006F5458">
        <w:t>Ессекин</w:t>
      </w:r>
      <w:proofErr w:type="spellEnd"/>
      <w:r w:rsidRPr="006F5458">
        <w:t xml:space="preserve"> (Казахстан)</w:t>
      </w:r>
    </w:p>
    <w:p w:rsidR="00D053AB" w:rsidRPr="006F5458" w:rsidRDefault="00D053AB" w:rsidP="00D053AB">
      <w:pPr>
        <w:pStyle w:val="SingleTxt"/>
      </w:pPr>
      <w:r w:rsidRPr="006F5458">
        <w:t>и принял решение о предоставлении 11-го места представителю государства</w:t>
      </w:r>
      <w:r>
        <w:t xml:space="preserve"> – </w:t>
      </w:r>
      <w:r w:rsidRPr="006F5458">
        <w:t>члена ЕЭК из Кавказского региона, Центральной Азии или Восточной Европы (странам региона следует провести консультации и представить свою кандидат</w:t>
      </w:r>
      <w:r w:rsidRPr="006F5458">
        <w:t>у</w:t>
      </w:r>
      <w:r w:rsidRPr="006F5458">
        <w:t>ру Президиуму КЭП через секретариат не позднее 17 ноября 2014 года)</w:t>
      </w:r>
      <w:r w:rsidRPr="006F5458">
        <w:rPr>
          <w:vertAlign w:val="superscript"/>
        </w:rPr>
        <w:footnoteReference w:id="10"/>
      </w:r>
      <w:r>
        <w:t>,</w:t>
      </w:r>
      <w:r w:rsidRPr="006F5458">
        <w:t xml:space="preserve"> и в</w:t>
      </w:r>
      <w:r w:rsidRPr="006F5458">
        <w:t>ы</w:t>
      </w:r>
      <w:r w:rsidRPr="006F5458">
        <w:t>разил свою признательность за работу, проделанную членами Президиума, пок</w:t>
      </w:r>
      <w:r w:rsidRPr="006F5458">
        <w:t>и</w:t>
      </w:r>
      <w:r w:rsidRPr="006F5458">
        <w:t>нувшими его;</w:t>
      </w:r>
    </w:p>
    <w:p w:rsidR="00D053AB" w:rsidRPr="006F5458" w:rsidRDefault="00D053AB" w:rsidP="00D053AB">
      <w:pPr>
        <w:pStyle w:val="SingleTxt"/>
      </w:pPr>
      <w:r w:rsidRPr="006F5458">
        <w:tab/>
        <w:t>c)</w:t>
      </w:r>
      <w:r w:rsidRPr="006F5458">
        <w:tab/>
        <w:t>выразил признательность Президиуму за его хорошую работу и эффе</w:t>
      </w:r>
      <w:r w:rsidRPr="006F5458">
        <w:t>к</w:t>
      </w:r>
      <w:r w:rsidRPr="006F5458">
        <w:t>тивное выполнение мандатов, возложенных на него КЭП, а также секретариату ЕЭК за эффективную и высококачественную поддержку, оказываемую Презид</w:t>
      </w:r>
      <w:r w:rsidRPr="006F5458">
        <w:t>и</w:t>
      </w:r>
      <w:r w:rsidRPr="006F5458">
        <w:t>уму;</w:t>
      </w:r>
    </w:p>
    <w:p w:rsidR="00D053AB" w:rsidRPr="006F5458" w:rsidRDefault="00D053AB" w:rsidP="00D053AB">
      <w:pPr>
        <w:pStyle w:val="SingleTxt"/>
      </w:pPr>
      <w:r w:rsidRPr="006F5458">
        <w:tab/>
        <w:t>d)</w:t>
      </w:r>
      <w:r w:rsidRPr="006F5458">
        <w:tab/>
        <w:t>принял к сведению предоставленную информацию о развитии де</w:t>
      </w:r>
      <w:r w:rsidRPr="006F5458">
        <w:t>я</w:t>
      </w:r>
      <w:r w:rsidRPr="006F5458">
        <w:t xml:space="preserve">тельности ЕЭК по реализации итогов Конференции </w:t>
      </w:r>
      <w:r>
        <w:t>«</w:t>
      </w:r>
      <w:r w:rsidRPr="006F5458">
        <w:t>Рио+20</w:t>
      </w:r>
      <w:r>
        <w:t>»</w:t>
      </w:r>
      <w:r w:rsidRPr="006F5458">
        <w:t>, а также о реги</w:t>
      </w:r>
      <w:r w:rsidRPr="006F5458">
        <w:t>о</w:t>
      </w:r>
      <w:r w:rsidRPr="006F5458">
        <w:t>нальном вкладе в повестку дня в области развития на период после 2015 года;</w:t>
      </w:r>
    </w:p>
    <w:p w:rsidR="00D053AB" w:rsidRPr="006F5458" w:rsidRDefault="00D053AB" w:rsidP="00D053AB">
      <w:pPr>
        <w:pStyle w:val="SingleTxt"/>
      </w:pPr>
      <w:r w:rsidRPr="006F5458">
        <w:tab/>
        <w:t>e)</w:t>
      </w:r>
      <w:r w:rsidRPr="006F5458">
        <w:tab/>
        <w:t>принял к сведению предоставленную информацию о подготовке к шестьдесят шестой сессии ЕЭК в апреле 2015 года, касающуюся, в том числе, дискуссионной группы высокого уровня по вопросам устойчивого управления экосистемами и природными ресурсами, которая будет организована в ходе се</w:t>
      </w:r>
      <w:r w:rsidRPr="006F5458">
        <w:t>с</w:t>
      </w:r>
      <w:r w:rsidRPr="006F5458">
        <w:t>сии;</w:t>
      </w:r>
    </w:p>
    <w:p w:rsidR="00D053AB" w:rsidRPr="006F5458" w:rsidRDefault="00D053AB" w:rsidP="00D053AB">
      <w:pPr>
        <w:pStyle w:val="SingleTxt"/>
      </w:pPr>
      <w:r w:rsidRPr="006F5458">
        <w:tab/>
        <w:t>f)</w:t>
      </w:r>
      <w:r w:rsidRPr="006F5458">
        <w:tab/>
        <w:t>выразил признательность ЮНЕП за организацию параллельного мер</w:t>
      </w:r>
      <w:r w:rsidRPr="006F5458">
        <w:t>о</w:t>
      </w:r>
      <w:r w:rsidRPr="006F5458">
        <w:t>приятия, посвященного деятельности ЮНЕП в общеевропейском регионе, в</w:t>
      </w:r>
      <w:r>
        <w:t> </w:t>
      </w:r>
      <w:r w:rsidRPr="006F5458">
        <w:t>частности в рамках реализации итогов первой сессии ЮНЕА;</w:t>
      </w:r>
    </w:p>
    <w:p w:rsidR="00D053AB" w:rsidRPr="006F5458" w:rsidRDefault="00D053AB" w:rsidP="00D053AB">
      <w:pPr>
        <w:pStyle w:val="SingleTxt"/>
      </w:pPr>
      <w:r w:rsidRPr="006F5458">
        <w:tab/>
      </w:r>
      <w:proofErr w:type="gramStart"/>
      <w:r w:rsidRPr="006F5458">
        <w:t>g)</w:t>
      </w:r>
      <w:r w:rsidRPr="006F5458">
        <w:tab/>
        <w:t>принял к сведению представленную председателями МПС ЕЭК и</w:t>
      </w:r>
      <w:r w:rsidRPr="006F5458">
        <w:t>н</w:t>
      </w:r>
      <w:r w:rsidRPr="006F5458">
        <w:t>формацию о прогресс</w:t>
      </w:r>
      <w:r>
        <w:t>е</w:t>
      </w:r>
      <w:r w:rsidRPr="006F5458">
        <w:t>, достигнут</w:t>
      </w:r>
      <w:r>
        <w:t>ом</w:t>
      </w:r>
      <w:r w:rsidRPr="006F5458">
        <w:t xml:space="preserve"> в рамках каждого МПС, в том числе пр</w:t>
      </w:r>
      <w:r w:rsidRPr="006F5458">
        <w:t>о</w:t>
      </w:r>
      <w:r w:rsidRPr="006F5458">
        <w:t>гресс</w:t>
      </w:r>
      <w:r>
        <w:t>е</w:t>
      </w:r>
      <w:r w:rsidRPr="006F5458">
        <w:t xml:space="preserve"> в области представления информации на национальном уровне и соде</w:t>
      </w:r>
      <w:r w:rsidRPr="006F5458">
        <w:t>й</w:t>
      </w:r>
      <w:r w:rsidRPr="006F5458">
        <w:t>ствия тому, чтобы выгоды от МПС получали и страны за пределами региона, а</w:t>
      </w:r>
      <w:r>
        <w:t> </w:t>
      </w:r>
      <w:r w:rsidRPr="006F5458">
        <w:t xml:space="preserve">также </w:t>
      </w:r>
      <w:r>
        <w:t xml:space="preserve">о </w:t>
      </w:r>
      <w:r w:rsidRPr="006F5458">
        <w:t>дальнейш</w:t>
      </w:r>
      <w:r>
        <w:t>ем</w:t>
      </w:r>
      <w:r w:rsidRPr="006F5458">
        <w:t xml:space="preserve"> прогресс</w:t>
      </w:r>
      <w:r>
        <w:t>е</w:t>
      </w:r>
      <w:r w:rsidRPr="006F5458">
        <w:t xml:space="preserve"> в области открытия МПС для глобального пр</w:t>
      </w:r>
      <w:r w:rsidRPr="006F5458">
        <w:t>и</w:t>
      </w:r>
      <w:r w:rsidRPr="006F5458">
        <w:t>соединения, и: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lastRenderedPageBreak/>
        <w:tab/>
        <w:t>i)</w:t>
      </w:r>
      <w:r w:rsidRPr="006F5458">
        <w:tab/>
        <w:t>приветствовал подготовленный секретариатом документ, посвященный открытию договоров ЕЭК для присоединения и их распространению за пр</w:t>
      </w:r>
      <w:r w:rsidRPr="006F5458">
        <w:t>е</w:t>
      </w:r>
      <w:r w:rsidRPr="006F5458">
        <w:t>делами региона (ECE/CEP/2014/6);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ii</w:t>
      </w:r>
      <w:proofErr w:type="spellEnd"/>
      <w:r w:rsidRPr="006F5458">
        <w:t>)</w:t>
      </w:r>
      <w:r w:rsidRPr="006F5458">
        <w:tab/>
        <w:t>приветствовал прогресс в распространении МПС ЕЭК за пределами региона и дальнейшие достижения в открытии нескольких МПС ЕЭК для глобального присоединения;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iii</w:t>
      </w:r>
      <w:proofErr w:type="spellEnd"/>
      <w:r w:rsidRPr="006F5458">
        <w:t>)</w:t>
      </w:r>
      <w:r w:rsidRPr="006F5458">
        <w:tab/>
        <w:t>вновь подтвердил, что МПС ЕЭК являются уникальными инструме</w:t>
      </w:r>
      <w:r w:rsidRPr="006F5458">
        <w:t>н</w:t>
      </w:r>
      <w:r w:rsidRPr="006F5458">
        <w:t>тами для международной системы управления природоохранной деятельн</w:t>
      </w:r>
      <w:r w:rsidRPr="006F5458">
        <w:t>о</w:t>
      </w:r>
      <w:r w:rsidRPr="006F5458">
        <w:t xml:space="preserve">стью и, таким образом, </w:t>
      </w:r>
      <w:r>
        <w:t>«</w:t>
      </w:r>
      <w:r w:rsidRPr="006F5458">
        <w:t>флагманами</w:t>
      </w:r>
      <w:r>
        <w:t>»</w:t>
      </w:r>
      <w:r w:rsidRPr="006F5458">
        <w:t xml:space="preserve"> ЕЭК;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iv</w:t>
      </w:r>
      <w:proofErr w:type="spellEnd"/>
      <w:r w:rsidRPr="006F5458">
        <w:t>)</w:t>
      </w:r>
      <w:r w:rsidRPr="006F5458">
        <w:tab/>
        <w:t>с удовлетворением отметил заинтересованность государств, не явля</w:t>
      </w:r>
      <w:r w:rsidRPr="006F5458">
        <w:t>ю</w:t>
      </w:r>
      <w:r w:rsidRPr="006F5458">
        <w:t>щихся членами ЕЭК, в МПС ЕЭК;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  <w:t>v)</w:t>
      </w:r>
      <w:r w:rsidRPr="006F5458">
        <w:tab/>
        <w:t>признал расширение деятельности в рамках МПС эффективным сре</w:t>
      </w:r>
      <w:r w:rsidRPr="006F5458">
        <w:t>д</w:t>
      </w:r>
      <w:r w:rsidRPr="006F5458">
        <w:t>ством распространения позитивного опыта, накопленного в регионе ЕЭК, предоставляющим возможность извлечь уроки из этого опыта;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vi</w:t>
      </w:r>
      <w:proofErr w:type="spellEnd"/>
      <w:r w:rsidRPr="006F5458">
        <w:t>)</w:t>
      </w:r>
      <w:r w:rsidRPr="006F5458">
        <w:tab/>
        <w:t>признал важность выделения достаточных ресурсов для поддержки деятельности и необходимость исследовать новые возможности мобилиз</w:t>
      </w:r>
      <w:r w:rsidRPr="006F5458">
        <w:t>а</w:t>
      </w:r>
      <w:r w:rsidRPr="006F5458">
        <w:t>ции таких ресурсов посредством национального финансирования, двуст</w:t>
      </w:r>
      <w:r w:rsidRPr="006F5458">
        <w:t>о</w:t>
      </w:r>
      <w:r w:rsidRPr="006F5458">
        <w:t>роннего сотрудничества и других подходящих возможностей;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vii</w:t>
      </w:r>
      <w:proofErr w:type="spellEnd"/>
      <w:r w:rsidRPr="006F5458">
        <w:t>)</w:t>
      </w:r>
      <w:r w:rsidRPr="006F5458">
        <w:tab/>
        <w:t>в этой связи повторил свою просьбу о перераспределении финансовых ресурсов в рамках бюджета ЕЭК, выделяемого на деятельность Подпр</w:t>
      </w:r>
      <w:r w:rsidRPr="006F5458">
        <w:t>о</w:t>
      </w:r>
      <w:r w:rsidRPr="006F5458">
        <w:t>граммы по окружающей среде и, в частности, секретариатов МПС;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r w:rsidRPr="006F5458">
        <w:t>viii</w:t>
      </w:r>
      <w:proofErr w:type="spellEnd"/>
      <w:r w:rsidRPr="006F5458">
        <w:t>)</w:t>
      </w:r>
      <w:r w:rsidRPr="006F5458">
        <w:tab/>
        <w:t>признал важность сотрудничества с другими региональными комисс</w:t>
      </w:r>
      <w:r w:rsidRPr="006F5458">
        <w:t>и</w:t>
      </w:r>
      <w:r w:rsidRPr="006F5458">
        <w:t>ями Организации Объединенных Наций и другими международными орг</w:t>
      </w:r>
      <w:r w:rsidRPr="006F5458">
        <w:t>а</w:t>
      </w:r>
      <w:r w:rsidRPr="006F5458">
        <w:t>низациями в целях распространения и открытия природоохранных догов</w:t>
      </w:r>
      <w:r w:rsidRPr="006F5458">
        <w:t>о</w:t>
      </w:r>
      <w:r w:rsidRPr="006F5458">
        <w:t xml:space="preserve">ров ЕЭК для присоединения, с </w:t>
      </w:r>
      <w:proofErr w:type="gramStart"/>
      <w:r w:rsidRPr="006F5458">
        <w:t>тем</w:t>
      </w:r>
      <w:proofErr w:type="gramEnd"/>
      <w:r w:rsidRPr="006F5458">
        <w:t xml:space="preserve"> чтобы обеспечить согласованность с другими договорами и инструментами;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ix</w:t>
      </w:r>
      <w:proofErr w:type="spellEnd"/>
      <w:r w:rsidRPr="006F5458">
        <w:t>)</w:t>
      </w:r>
      <w:r w:rsidRPr="006F5458">
        <w:tab/>
        <w:t>приветствовал другие региональные инициативы, направленные на распространение содержания и целей договоров ЕЭК;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  <w:t>x)</w:t>
      </w:r>
      <w:r w:rsidRPr="006F5458">
        <w:tab/>
        <w:t>приветствовал также обзор национальных докладов об осуществлении в рамках МПСК (ECE/CEP/2014/16), подготовленный секретариатом;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xi</w:t>
      </w:r>
      <w:proofErr w:type="spellEnd"/>
      <w:r w:rsidRPr="006F5458">
        <w:t>)</w:t>
      </w:r>
      <w:r w:rsidRPr="006F5458">
        <w:tab/>
        <w:t>признал, что национальные доклады об осуществлении являются це</w:t>
      </w:r>
      <w:r w:rsidRPr="006F5458">
        <w:t>н</w:t>
      </w:r>
      <w:r w:rsidRPr="006F5458">
        <w:t>ным инструментом мониторинга осуществления МПС;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xii</w:t>
      </w:r>
      <w:proofErr w:type="spellEnd"/>
      <w:r w:rsidRPr="006F5458">
        <w:t>)</w:t>
      </w:r>
      <w:r w:rsidRPr="006F5458">
        <w:tab/>
        <w:t>приветствовал выполнение обязательств по отчетности большинством Сторон;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xiii</w:t>
      </w:r>
      <w:proofErr w:type="spellEnd"/>
      <w:r w:rsidRPr="006F5458">
        <w:t>)</w:t>
      </w:r>
      <w:r w:rsidRPr="006F5458">
        <w:tab/>
        <w:t>с обеспокоенностью отметил невыполнение некоторыми Сторонами своих обязательств по отчетности;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xiv</w:t>
      </w:r>
      <w:proofErr w:type="spellEnd"/>
      <w:r w:rsidRPr="006F5458">
        <w:t>)</w:t>
      </w:r>
      <w:r w:rsidRPr="006F5458">
        <w:tab/>
        <w:t>признал существование проблем, связанных с подготовкой качестве</w:t>
      </w:r>
      <w:r w:rsidRPr="006F5458">
        <w:t>н</w:t>
      </w:r>
      <w:r w:rsidRPr="006F5458">
        <w:t>ных и своевременных национальных докладов об осуществлении, и необх</w:t>
      </w:r>
      <w:r w:rsidRPr="006F5458">
        <w:t>о</w:t>
      </w:r>
      <w:r w:rsidRPr="006F5458">
        <w:t>димость решить эти проблемы;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r w:rsidRPr="006F5458">
        <w:t>xv</w:t>
      </w:r>
      <w:proofErr w:type="spellEnd"/>
      <w:r w:rsidRPr="006F5458">
        <w:t>)</w:t>
      </w:r>
      <w:r w:rsidRPr="006F5458">
        <w:tab/>
        <w:t>предложил странам, которые не представили свои национальные д</w:t>
      </w:r>
      <w:r w:rsidRPr="006F5458">
        <w:t>о</w:t>
      </w:r>
      <w:r w:rsidRPr="006F5458">
        <w:t>клады об осуществлении или представили их позже установленных крайних сроков, по мере возможност</w:t>
      </w:r>
      <w:r>
        <w:t>и</w:t>
      </w:r>
      <w:r w:rsidRPr="006F5458">
        <w:t xml:space="preserve"> решить эту проблему на национальном уровне, с </w:t>
      </w:r>
      <w:proofErr w:type="gramStart"/>
      <w:r w:rsidRPr="006F5458">
        <w:t>тем</w:t>
      </w:r>
      <w:proofErr w:type="gramEnd"/>
      <w:r w:rsidRPr="006F5458">
        <w:t xml:space="preserve"> чтобы усовершенствовать свою систему отчетности в буд</w:t>
      </w:r>
      <w:r w:rsidRPr="006F5458">
        <w:t>у</w:t>
      </w:r>
      <w:r w:rsidRPr="006F5458">
        <w:t>щем;</w:t>
      </w:r>
    </w:p>
    <w:p w:rsidR="00D053AB" w:rsidRPr="006F5458" w:rsidRDefault="00367133" w:rsidP="00D053AB">
      <w:pPr>
        <w:pStyle w:val="SingleTxt"/>
      </w:pPr>
      <w:r>
        <w:br w:type="page"/>
      </w:r>
      <w:r w:rsidR="00D053AB">
        <w:lastRenderedPageBreak/>
        <w:tab/>
      </w:r>
      <w:r w:rsidR="00D053AB" w:rsidRPr="006F5458">
        <w:t>h)</w:t>
      </w:r>
      <w:r w:rsidR="00D053AB" w:rsidRPr="006F5458">
        <w:tab/>
        <w:t>принял к сведению информацию о работе, проделанной неофициал</w:t>
      </w:r>
      <w:r w:rsidR="00D053AB" w:rsidRPr="006F5458">
        <w:t>ь</w:t>
      </w:r>
      <w:r w:rsidR="00D053AB" w:rsidRPr="006F5458">
        <w:t>ной группой председателей и заместителей председателей МПС ЕЭК и КЭП, и призвал их добиваться конкретных результатов, для того чтобы извлечь пользу из объединения усилий и возможного совместного решения общих вопросов;</w:t>
      </w:r>
    </w:p>
    <w:p w:rsidR="00D053AB" w:rsidRPr="006F5458" w:rsidRDefault="00D053AB" w:rsidP="00D053AB">
      <w:pPr>
        <w:pStyle w:val="SingleTxt"/>
      </w:pPr>
      <w:r>
        <w:tab/>
      </w:r>
      <w:r w:rsidRPr="006F5458">
        <w:t>i)</w:t>
      </w:r>
      <w:r w:rsidRPr="006F5458">
        <w:tab/>
        <w:t>приветствовал представленную ЮНЕП информацию о ключевых д</w:t>
      </w:r>
      <w:r w:rsidRPr="006F5458">
        <w:t>о</w:t>
      </w:r>
      <w:r w:rsidRPr="006F5458">
        <w:t xml:space="preserve">стижениях в рамках МПС ЮНЕП и о возможном потенциале для взаимодействия с МПС ЕЭК, а также об информационной сети </w:t>
      </w:r>
      <w:proofErr w:type="spellStart"/>
      <w:r w:rsidRPr="006F5458">
        <w:t>InforMEA</w:t>
      </w:r>
      <w:proofErr w:type="spellEnd"/>
      <w:r w:rsidRPr="006F5458">
        <w:t>, которая также охват</w:t>
      </w:r>
      <w:r w:rsidRPr="006F5458">
        <w:t>ы</w:t>
      </w:r>
      <w:r w:rsidRPr="006F5458">
        <w:t>вает МПС ЕЭК;</w:t>
      </w:r>
    </w:p>
    <w:p w:rsidR="00D053AB" w:rsidRPr="006F5458" w:rsidRDefault="00D053AB" w:rsidP="00D053AB">
      <w:pPr>
        <w:pStyle w:val="SingleTxt"/>
      </w:pPr>
      <w:r>
        <w:tab/>
      </w:r>
      <w:r w:rsidRPr="006F5458">
        <w:t>j)</w:t>
      </w:r>
      <w:r w:rsidRPr="006F5458">
        <w:tab/>
        <w:t>высоко оценил деятельность Рабочей группы по мониторингу и оценке окружающей среды и принял продленный мандат и круг ведения Рабочей гру</w:t>
      </w:r>
      <w:r w:rsidRPr="006F5458">
        <w:t>п</w:t>
      </w:r>
      <w:r w:rsidRPr="006F5458">
        <w:t xml:space="preserve">пы, </w:t>
      </w:r>
      <w:r>
        <w:t xml:space="preserve">содержащиеся </w:t>
      </w:r>
      <w:r w:rsidRPr="006F5458">
        <w:t>в приложении II к документу ECE/CEP/2014/11, с учетом сл</w:t>
      </w:r>
      <w:r w:rsidRPr="006F5458">
        <w:t>е</w:t>
      </w:r>
      <w:r w:rsidRPr="006F5458">
        <w:t>дующих изменений: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  <w:t>i)</w:t>
      </w:r>
      <w:r w:rsidRPr="006F5458">
        <w:tab/>
        <w:t>мандат продлен на один год до двадцать первой сессии КЭП в октябре 2015 года;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r w:rsidRPr="006F5458">
        <w:t>ii</w:t>
      </w:r>
      <w:proofErr w:type="spellEnd"/>
      <w:r w:rsidRPr="006F5458">
        <w:t>)</w:t>
      </w:r>
      <w:r w:rsidRPr="006F5458">
        <w:tab/>
        <w:t>в пункте 2 Рабочей группе предоставляется новый мандат, а именно</w:t>
      </w:r>
      <w:r>
        <w:t xml:space="preserve"> – </w:t>
      </w:r>
      <w:r w:rsidRPr="006F5458">
        <w:t>по рассмотрению прогресса в разработке СЕИС на основании целевых п</w:t>
      </w:r>
      <w:r w:rsidRPr="006F5458">
        <w:t>о</w:t>
      </w:r>
      <w:r w:rsidRPr="006F5458">
        <w:t>казателей и показателей результативности (ECE/CEP/2014/8), принятых КЭП в ходе его текущей сессии;</w:t>
      </w:r>
    </w:p>
    <w:p w:rsidR="00D053AB" w:rsidRPr="006F5458" w:rsidRDefault="00D053AB" w:rsidP="00D053AB">
      <w:pPr>
        <w:pStyle w:val="SingleTxt"/>
      </w:pPr>
      <w:r w:rsidRPr="006F5458">
        <w:t>и просил секретариат представить продленный мандат с внесенными в него п</w:t>
      </w:r>
      <w:r w:rsidRPr="006F5458">
        <w:t>о</w:t>
      </w:r>
      <w:r w:rsidRPr="006F5458">
        <w:t>правками на утверждение Исполнительному комитету;</w:t>
      </w:r>
    </w:p>
    <w:p w:rsidR="00D053AB" w:rsidRPr="006F5458" w:rsidRDefault="00D053AB" w:rsidP="00D053AB">
      <w:pPr>
        <w:pStyle w:val="SingleTxt"/>
      </w:pPr>
      <w:r w:rsidRPr="006F5458">
        <w:tab/>
        <w:t>k)</w:t>
      </w:r>
      <w:r w:rsidRPr="006F5458">
        <w:tab/>
        <w:t xml:space="preserve">принял руководящие принципы </w:t>
      </w:r>
      <w:proofErr w:type="gramStart"/>
      <w:r w:rsidRPr="006F5458">
        <w:t>разработки национальных стратегий использования мониторинга загрязнения почв</w:t>
      </w:r>
      <w:proofErr w:type="gramEnd"/>
      <w:r w:rsidRPr="006F5458">
        <w:t xml:space="preserve"> в качестве средства экологической политики (ECE/CEP/2014/14) и предложил целевым странам</w:t>
      </w:r>
      <w:r w:rsidRPr="006F5458">
        <w:rPr>
          <w:vertAlign w:val="superscript"/>
        </w:rPr>
        <w:footnoteReference w:id="11"/>
      </w:r>
      <w:r w:rsidRPr="006F5458">
        <w:t xml:space="preserve"> применять их;</w:t>
      </w:r>
    </w:p>
    <w:p w:rsidR="00D053AB" w:rsidRPr="006F5458" w:rsidRDefault="00D053AB" w:rsidP="00D053AB">
      <w:pPr>
        <w:pStyle w:val="SingleTxt"/>
      </w:pPr>
      <w:r w:rsidRPr="006F5458">
        <w:tab/>
      </w:r>
      <w:proofErr w:type="gramStart"/>
      <w:r w:rsidRPr="006F5458">
        <w:t>l)</w:t>
      </w:r>
      <w:r w:rsidRPr="006F5458">
        <w:tab/>
        <w:t>высоко оценил работу Совместной целевой группы по экологическим показателям, продлил мандат Целевой группы еще на один год до двадцать пе</w:t>
      </w:r>
      <w:r w:rsidRPr="006F5458">
        <w:t>р</w:t>
      </w:r>
      <w:r w:rsidRPr="006F5458">
        <w:t>вой сессии КЭП в 2015 году, как это отмечено в приложении к докуме</w:t>
      </w:r>
      <w:r w:rsidRPr="006F5458">
        <w:t>н</w:t>
      </w:r>
      <w:r w:rsidRPr="006F5458">
        <w:t>ту</w:t>
      </w:r>
      <w:r>
        <w:t> </w:t>
      </w:r>
      <w:r w:rsidRPr="006F5458">
        <w:t>ECE/CEP/2014/12, и обратился к секретариату с просьбой представить пр</w:t>
      </w:r>
      <w:r w:rsidRPr="006F5458">
        <w:t>о</w:t>
      </w:r>
      <w:r w:rsidRPr="006F5458">
        <w:t>дленный мандат с внесенными в него поправками на утверждение Исполнител</w:t>
      </w:r>
      <w:r w:rsidRPr="006F5458">
        <w:t>ь</w:t>
      </w:r>
      <w:r w:rsidRPr="006F5458">
        <w:t>ного комитета;</w:t>
      </w:r>
      <w:proofErr w:type="gramEnd"/>
    </w:p>
    <w:p w:rsidR="00D053AB" w:rsidRPr="006F5458" w:rsidRDefault="00D053AB" w:rsidP="00D053AB">
      <w:pPr>
        <w:pStyle w:val="SingleTxt"/>
      </w:pPr>
      <w:r w:rsidRPr="006F5458">
        <w:tab/>
        <w:t>m)</w:t>
      </w:r>
      <w:r w:rsidRPr="006F5458">
        <w:tab/>
        <w:t>просил секретариат подготовить для двадцать первой сессии КЭП предложение о путях оптимизации деятельности Рабочей группы по монитори</w:t>
      </w:r>
      <w:r w:rsidRPr="006F5458">
        <w:t>н</w:t>
      </w:r>
      <w:r w:rsidRPr="006F5458">
        <w:t>гу и оценке и Совместной целевой группы по экологическим показателям, а та</w:t>
      </w:r>
      <w:r w:rsidRPr="006F5458">
        <w:t>к</w:t>
      </w:r>
      <w:r w:rsidRPr="006F5458">
        <w:t>же возможного подключения Группы друзей СЕИС с целью повышения слаже</w:t>
      </w:r>
      <w:r w:rsidRPr="006F5458">
        <w:t>н</w:t>
      </w:r>
      <w:r w:rsidRPr="006F5458">
        <w:t xml:space="preserve">ности деятельности и укрепления работы по экологическому мониторингу и оценке. </w:t>
      </w:r>
      <w:proofErr w:type="gramStart"/>
      <w:r w:rsidRPr="006F5458">
        <w:t>Предложение должно отражать замечания, высказанные делегатами на двадцатой сессии КЭП, в том числе просьбу рассмотреть сильные и слабые ст</w:t>
      </w:r>
      <w:r w:rsidRPr="006F5458">
        <w:t>о</w:t>
      </w:r>
      <w:r w:rsidRPr="006F5458">
        <w:t xml:space="preserve">роны объединение этих двух органов; </w:t>
      </w:r>
      <w:proofErr w:type="gramEnd"/>
    </w:p>
    <w:p w:rsidR="00D053AB" w:rsidRPr="006F5458" w:rsidRDefault="00D053AB" w:rsidP="00D053AB">
      <w:pPr>
        <w:pStyle w:val="SingleTxt"/>
      </w:pPr>
      <w:r w:rsidRPr="006F5458">
        <w:tab/>
        <w:t>n)</w:t>
      </w:r>
      <w:r w:rsidRPr="006F5458">
        <w:tab/>
        <w:t>предложил государствам-членам и организациям предоставлять п</w:t>
      </w:r>
      <w:r w:rsidRPr="006F5458">
        <w:t>о</w:t>
      </w:r>
      <w:r w:rsidRPr="006F5458">
        <w:t>мощь в натуральном виде и финансовую поддержку программе мониторинга и оценки состояния окружающей среды и, в частности, выразил признательность ЕС, Норвегии, Российской Федерации и Швейцарии за оказанную финансовую помощь;</w:t>
      </w:r>
    </w:p>
    <w:p w:rsidR="00D053AB" w:rsidRPr="006F5458" w:rsidRDefault="00D053AB" w:rsidP="00D053AB">
      <w:pPr>
        <w:pStyle w:val="SingleTxt"/>
      </w:pPr>
      <w:r w:rsidRPr="006F5458">
        <w:tab/>
      </w:r>
      <w:proofErr w:type="gramStart"/>
      <w:r w:rsidRPr="006F5458">
        <w:t>o)</w:t>
      </w:r>
      <w:r w:rsidRPr="006F5458">
        <w:tab/>
        <w:t>приветствовал представленную ЮНЕП информацию о подготовке ГЭП-6, а также ее предложение о сотрудничестве с ЕЭК и ЕАОС при проведении региональных оценок состояния окружающей среды и подчеркнул важное знач</w:t>
      </w:r>
      <w:r w:rsidRPr="006F5458">
        <w:t>е</w:t>
      </w:r>
      <w:r w:rsidRPr="006F5458">
        <w:t>ние тесного сотрудничества между процессами ГЭП и ОСЕ для обеспечения слаженного взаимодействия и получения взаимной выгоды в области проведения экологических оценок для содействия принятию обоснованных решений;</w:t>
      </w:r>
      <w:proofErr w:type="gramEnd"/>
    </w:p>
    <w:p w:rsidR="00D053AB" w:rsidRPr="006F5458" w:rsidRDefault="00D053AB" w:rsidP="00D053AB">
      <w:pPr>
        <w:pStyle w:val="SingleTxt"/>
      </w:pPr>
      <w:r w:rsidRPr="006F5458">
        <w:lastRenderedPageBreak/>
        <w:tab/>
        <w:t>p)</w:t>
      </w:r>
      <w:r w:rsidRPr="006F5458">
        <w:tab/>
        <w:t>принял к сведению представленную информацию, приветствовал пр</w:t>
      </w:r>
      <w:r w:rsidRPr="006F5458">
        <w:t>о</w:t>
      </w:r>
      <w:r w:rsidRPr="006F5458">
        <w:t>гресс в работе в рамках Стратегии для образования в интересах устойчивого ра</w:t>
      </w:r>
      <w:r w:rsidRPr="006F5458">
        <w:t>з</w:t>
      </w:r>
      <w:r w:rsidRPr="006F5458">
        <w:t>вития и поддержал просьбу Руководящего комитета по ОУР организовать сов</w:t>
      </w:r>
      <w:r w:rsidRPr="006F5458">
        <w:t>е</w:t>
      </w:r>
      <w:r w:rsidRPr="006F5458">
        <w:t xml:space="preserve">щание представителей министерств образования и окружающей среды высокого уровня в рамках восьмой Конференции министров, с </w:t>
      </w:r>
      <w:proofErr w:type="gramStart"/>
      <w:r w:rsidRPr="006F5458">
        <w:t>тем</w:t>
      </w:r>
      <w:proofErr w:type="gramEnd"/>
      <w:r w:rsidRPr="006F5458">
        <w:t xml:space="preserve"> чтобы оценить пр</w:t>
      </w:r>
      <w:r w:rsidRPr="006F5458">
        <w:t>о</w:t>
      </w:r>
      <w:r w:rsidRPr="006F5458">
        <w:t xml:space="preserve">гресс, достигнутый за первые 10 лет осуществления Стратегии, и рассмотреть вопрос о ее осуществление в </w:t>
      </w:r>
      <w:proofErr w:type="gramStart"/>
      <w:r w:rsidRPr="006F5458">
        <w:t>будущем</w:t>
      </w:r>
      <w:proofErr w:type="gramEnd"/>
      <w:r w:rsidRPr="006F5458">
        <w:t>;</w:t>
      </w:r>
    </w:p>
    <w:p w:rsidR="00D053AB" w:rsidRPr="006F5458" w:rsidRDefault="00D053AB" w:rsidP="00D053AB">
      <w:pPr>
        <w:pStyle w:val="SingleTxt"/>
      </w:pPr>
      <w:r w:rsidRPr="006F5458">
        <w:tab/>
        <w:t>q)</w:t>
      </w:r>
      <w:r w:rsidRPr="006F5458">
        <w:tab/>
        <w:t>принял к сведению представленную информацию, приветствовал пр</w:t>
      </w:r>
      <w:r w:rsidRPr="006F5458">
        <w:t>о</w:t>
      </w:r>
      <w:r w:rsidRPr="006F5458">
        <w:t>гресс, достигнутый в рамках ОПТОЗОС, и предложил странам рассмотреть в</w:t>
      </w:r>
      <w:r w:rsidRPr="006F5458">
        <w:t>о</w:t>
      </w:r>
      <w:r w:rsidRPr="006F5458">
        <w:t xml:space="preserve">прос о проведении у себя рабочего совещания ОПТОЗОС в рамках </w:t>
      </w:r>
      <w:r>
        <w:t>«</w:t>
      </w:r>
      <w:r w:rsidRPr="006F5458">
        <w:t>эстафеты</w:t>
      </w:r>
      <w:r>
        <w:t>»</w:t>
      </w:r>
      <w:r w:rsidRPr="006F5458">
        <w:t xml:space="preserve"> в 2015 году;</w:t>
      </w:r>
    </w:p>
    <w:p w:rsidR="00D053AB" w:rsidRPr="006F5458" w:rsidRDefault="00D053AB" w:rsidP="00D053AB">
      <w:pPr>
        <w:pStyle w:val="SingleTxt"/>
      </w:pPr>
      <w:r w:rsidRPr="006F5458">
        <w:tab/>
        <w:t>r)</w:t>
      </w:r>
      <w:r w:rsidRPr="006F5458">
        <w:tab/>
        <w:t>принял к сведению и приветствовал представленную информацию об ОСБ;</w:t>
      </w:r>
    </w:p>
    <w:p w:rsidR="00D053AB" w:rsidRPr="006F5458" w:rsidRDefault="00D053AB" w:rsidP="00D053AB">
      <w:pPr>
        <w:pStyle w:val="SingleTxt"/>
      </w:pPr>
      <w:r w:rsidRPr="006F5458">
        <w:tab/>
        <w:t>s)</w:t>
      </w:r>
      <w:r w:rsidRPr="006F5458">
        <w:tab/>
        <w:t>приветствовал информацию, представленную в ходе обсуждения евр</w:t>
      </w:r>
      <w:r w:rsidRPr="006F5458">
        <w:t>о</w:t>
      </w:r>
      <w:r w:rsidRPr="006F5458">
        <w:t xml:space="preserve">пейского процесса </w:t>
      </w:r>
      <w:r>
        <w:t>«</w:t>
      </w:r>
      <w:r w:rsidRPr="006F5458">
        <w:t>Окружающая среда и здоровье</w:t>
      </w:r>
      <w:r>
        <w:t>»</w:t>
      </w:r>
      <w:r w:rsidRPr="006F5458">
        <w:t xml:space="preserve"> в рамках дискуссионной группы, и выразил признательность участникам дискуссионной группы за их вклад, и: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  <w:t>i)</w:t>
      </w:r>
      <w:r w:rsidRPr="006F5458">
        <w:tab/>
        <w:t>признал важность эффективного сотрудничества между секторами окружающей среды и здравоохранения, а также в рамках европейского пр</w:t>
      </w:r>
      <w:r w:rsidRPr="006F5458">
        <w:t>о</w:t>
      </w:r>
      <w:r w:rsidRPr="006F5458">
        <w:t xml:space="preserve">цесса </w:t>
      </w:r>
      <w:r>
        <w:t>«</w:t>
      </w:r>
      <w:r w:rsidRPr="006F5458">
        <w:t>Окружающая среда и здоровье</w:t>
      </w:r>
      <w:r>
        <w:t>»</w:t>
      </w:r>
      <w:r w:rsidRPr="006F5458">
        <w:t>;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ii</w:t>
      </w:r>
      <w:proofErr w:type="spellEnd"/>
      <w:r w:rsidRPr="006F5458">
        <w:t>)</w:t>
      </w:r>
      <w:r w:rsidRPr="006F5458">
        <w:tab/>
        <w:t>подчеркнул роль МПС в достижении целей в области окружающей среды и здравоохранения;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iii</w:t>
      </w:r>
      <w:proofErr w:type="spellEnd"/>
      <w:r w:rsidRPr="006F5458">
        <w:t>)</w:t>
      </w:r>
      <w:r w:rsidRPr="006F5458">
        <w:tab/>
        <w:t>признал роль организаций гражданского общества и неправител</w:t>
      </w:r>
      <w:r w:rsidRPr="006F5458">
        <w:t>ь</w:t>
      </w:r>
      <w:r w:rsidRPr="006F5458">
        <w:t>ственных организаций в процессе и приветствовал их участие в нем;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>
        <w:tab/>
      </w:r>
      <w:proofErr w:type="spellStart"/>
      <w:proofErr w:type="gramStart"/>
      <w:r w:rsidRPr="006F5458">
        <w:t>iv</w:t>
      </w:r>
      <w:proofErr w:type="spellEnd"/>
      <w:r w:rsidRPr="006F5458">
        <w:t>)</w:t>
      </w:r>
      <w:r w:rsidRPr="006F5458">
        <w:tab/>
        <w:t xml:space="preserve">призвал как КЭП, так и европейский процесс </w:t>
      </w:r>
      <w:r>
        <w:t>«</w:t>
      </w:r>
      <w:r w:rsidRPr="006F5458">
        <w:t>Окружающая среда и здоровье</w:t>
      </w:r>
      <w:r>
        <w:t>»</w:t>
      </w:r>
      <w:r w:rsidRPr="006F5458">
        <w:t xml:space="preserve"> продолжать организацию совместных совещаний, включая, во</w:t>
      </w:r>
      <w:r w:rsidRPr="006F5458">
        <w:t>з</w:t>
      </w:r>
      <w:r w:rsidRPr="006F5458">
        <w:t>можно, трехсторонние совещания Президиума КЭП, замещающих членов ЕСМОСЗ и Председателей МПС ЕЭК, и продлить приглашения на совещ</w:t>
      </w:r>
      <w:r w:rsidRPr="006F5458">
        <w:t>а</w:t>
      </w:r>
      <w:r w:rsidRPr="006F5458">
        <w:t>ния каждого из этих органов для членов других;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  <w:t>v)</w:t>
      </w:r>
      <w:r w:rsidRPr="006F5458">
        <w:tab/>
        <w:t>принял решение выделить время в повестке дня КЭП для обсуждения вопросов охраны окружающей среды и здравоохранения;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vi</w:t>
      </w:r>
      <w:proofErr w:type="spellEnd"/>
      <w:r w:rsidRPr="006F5458">
        <w:t>)</w:t>
      </w:r>
      <w:r w:rsidRPr="006F5458">
        <w:tab/>
        <w:t>принял решение внести свой вклад в проведение среднесрочного обз</w:t>
      </w:r>
      <w:r w:rsidRPr="006F5458">
        <w:t>о</w:t>
      </w:r>
      <w:r w:rsidRPr="006F5458">
        <w:t xml:space="preserve">ра европейского процесса </w:t>
      </w:r>
      <w:r>
        <w:t>«</w:t>
      </w:r>
      <w:r w:rsidRPr="006F5458">
        <w:t>Окружающая среда и здоровье</w:t>
      </w:r>
      <w:r>
        <w:t>»</w:t>
      </w:r>
      <w:r w:rsidRPr="006F5458">
        <w:t xml:space="preserve"> (март 2015 года, Хайфа, Израиль) и шестой Конференции министров окружающей среды и здравоохранения (2017 год);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r w:rsidRPr="006F5458">
        <w:t>vii</w:t>
      </w:r>
      <w:proofErr w:type="spellEnd"/>
      <w:r w:rsidRPr="006F5458">
        <w:t>)</w:t>
      </w:r>
      <w:r w:rsidRPr="006F5458">
        <w:tab/>
        <w:t>принял к сведению доклад о ходе работы по осуществлению европе</w:t>
      </w:r>
      <w:r w:rsidRPr="006F5458">
        <w:t>й</w:t>
      </w:r>
      <w:r w:rsidRPr="006F5458">
        <w:t xml:space="preserve">ского процесса </w:t>
      </w:r>
      <w:r>
        <w:t>«</w:t>
      </w:r>
      <w:r w:rsidRPr="006F5458">
        <w:t>Окружающая среда и здоровье</w:t>
      </w:r>
      <w:r>
        <w:t>»</w:t>
      </w:r>
      <w:r w:rsidRPr="006F5458">
        <w:t xml:space="preserve"> (EUR/RC64/24/Rev.1)</w:t>
      </w:r>
      <w:r>
        <w:t>;</w:t>
      </w:r>
    </w:p>
    <w:p w:rsidR="00D053AB" w:rsidRPr="006F5458" w:rsidRDefault="00D053AB" w:rsidP="00D053AB">
      <w:pPr>
        <w:pStyle w:val="SingleTxt"/>
      </w:pPr>
      <w:r w:rsidRPr="006F5458">
        <w:tab/>
        <w:t>t)</w:t>
      </w:r>
      <w:r w:rsidRPr="006F5458">
        <w:tab/>
        <w:t>выразил признательность покидающим свои посты членам ЕСМОСЗ за их вклад в процесс;</w:t>
      </w:r>
    </w:p>
    <w:p w:rsidR="00D053AB" w:rsidRPr="006F5458" w:rsidRDefault="00D053AB" w:rsidP="00D053AB">
      <w:pPr>
        <w:pStyle w:val="SingleTxt"/>
      </w:pPr>
      <w:r w:rsidRPr="006F5458">
        <w:tab/>
        <w:t xml:space="preserve">u) </w:t>
      </w:r>
      <w:r w:rsidRPr="006F5458">
        <w:tab/>
        <w:t>назначил новых членов в состав ЕСМОСЗ в следующем составе: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  <w:t>i)</w:t>
      </w:r>
      <w:r w:rsidRPr="006F5458">
        <w:tab/>
      </w:r>
      <w:r w:rsidR="00806DB5" w:rsidRPr="006F5458">
        <w:t>г</w:t>
      </w:r>
      <w:r w:rsidRPr="006F5458">
        <w:t>-н Сергей Донской, Министр природных ресурсов и экологии Росси</w:t>
      </w:r>
      <w:r w:rsidRPr="006F5458">
        <w:t>й</w:t>
      </w:r>
      <w:r w:rsidRPr="006F5458">
        <w:t>ской Федерации (на 2015</w:t>
      </w:r>
      <w:r>
        <w:t>–</w:t>
      </w:r>
      <w:r w:rsidRPr="006F5458">
        <w:t>2016 годы);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ii</w:t>
      </w:r>
      <w:proofErr w:type="spellEnd"/>
      <w:r w:rsidRPr="006F5458">
        <w:t>)</w:t>
      </w:r>
      <w:r w:rsidRPr="006F5458">
        <w:tab/>
      </w:r>
      <w:r w:rsidR="00806DB5" w:rsidRPr="006F5458">
        <w:t>г</w:t>
      </w:r>
      <w:r w:rsidRPr="006F5458">
        <w:t xml:space="preserve">-н </w:t>
      </w:r>
      <w:proofErr w:type="spellStart"/>
      <w:r w:rsidRPr="006F5458">
        <w:t>Арамаис</w:t>
      </w:r>
      <w:proofErr w:type="spellEnd"/>
      <w:r w:rsidRPr="006F5458">
        <w:t xml:space="preserve"> Григорян, Министр охраны природы Армении </w:t>
      </w:r>
      <w:r>
        <w:br/>
      </w:r>
      <w:r w:rsidRPr="006F5458">
        <w:t>(на 2015–2016 годы);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iii</w:t>
      </w:r>
      <w:proofErr w:type="spellEnd"/>
      <w:r w:rsidRPr="006F5458">
        <w:t>)</w:t>
      </w:r>
      <w:r w:rsidRPr="006F5458">
        <w:tab/>
      </w:r>
      <w:r w:rsidR="00806DB5" w:rsidRPr="006F5458">
        <w:t>г</w:t>
      </w:r>
      <w:r w:rsidRPr="006F5458">
        <w:t xml:space="preserve">-н </w:t>
      </w:r>
      <w:proofErr w:type="spellStart"/>
      <w:r w:rsidRPr="006F5458">
        <w:t>Бранимир</w:t>
      </w:r>
      <w:proofErr w:type="spellEnd"/>
      <w:r w:rsidRPr="006F5458">
        <w:t xml:space="preserve"> </w:t>
      </w:r>
      <w:proofErr w:type="spellStart"/>
      <w:r w:rsidRPr="006F5458">
        <w:t>Гвозденович</w:t>
      </w:r>
      <w:proofErr w:type="spellEnd"/>
      <w:r w:rsidRPr="006F5458">
        <w:t>, Министр туризма и устойчивого развития Черногории (на 2015 год);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lastRenderedPageBreak/>
        <w:tab/>
      </w:r>
      <w:proofErr w:type="spellStart"/>
      <w:proofErr w:type="gramStart"/>
      <w:r w:rsidRPr="006F5458">
        <w:t>iv</w:t>
      </w:r>
      <w:proofErr w:type="spellEnd"/>
      <w:r w:rsidRPr="006F5458">
        <w:t>)</w:t>
      </w:r>
      <w:r w:rsidRPr="006F5458">
        <w:tab/>
      </w:r>
      <w:r w:rsidR="00806DB5" w:rsidRPr="006F5458">
        <w:t>г</w:t>
      </w:r>
      <w:r w:rsidRPr="006F5458">
        <w:t xml:space="preserve">-н </w:t>
      </w:r>
      <w:proofErr w:type="spellStart"/>
      <w:r w:rsidRPr="006F5458">
        <w:t>Нурхан</w:t>
      </w:r>
      <w:proofErr w:type="spellEnd"/>
      <w:r w:rsidRPr="006F5458">
        <w:t xml:space="preserve"> </w:t>
      </w:r>
      <w:proofErr w:type="spellStart"/>
      <w:r w:rsidRPr="006F5458">
        <w:t>Изаири</w:t>
      </w:r>
      <w:proofErr w:type="spellEnd"/>
      <w:r w:rsidRPr="006F5458">
        <w:t>, Министр охраны окружающей среды и городского планирования бывшей югославской Республики Македония (на 2016 год);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  <w:t>v)</w:t>
      </w:r>
      <w:r w:rsidRPr="006F5458">
        <w:tab/>
      </w:r>
      <w:r w:rsidR="00806DB5" w:rsidRPr="006F5458">
        <w:t>г</w:t>
      </w:r>
      <w:r w:rsidRPr="006F5458">
        <w:t xml:space="preserve">-н Жоржи </w:t>
      </w:r>
      <w:proofErr w:type="spellStart"/>
      <w:r w:rsidRPr="006F5458">
        <w:t>Морейра</w:t>
      </w:r>
      <w:proofErr w:type="spellEnd"/>
      <w:r w:rsidRPr="006F5458">
        <w:t xml:space="preserve"> да </w:t>
      </w:r>
      <w:proofErr w:type="spellStart"/>
      <w:r w:rsidRPr="006F5458">
        <w:t>Силва</w:t>
      </w:r>
      <w:proofErr w:type="spellEnd"/>
      <w:r w:rsidRPr="006F5458">
        <w:t>, Министр охраны окружающей среды, территориальной политики и энергетики Португалии (на 2015–2016 годы);</w:t>
      </w:r>
    </w:p>
    <w:p w:rsidR="00D053AB" w:rsidRPr="006F5458" w:rsidRDefault="00D053AB" w:rsidP="00D053AB">
      <w:pPr>
        <w:pStyle w:val="SingleTxt"/>
      </w:pPr>
      <w:r w:rsidRPr="006F5458">
        <w:tab/>
        <w:t>v)</w:t>
      </w:r>
      <w:r w:rsidRPr="006F5458">
        <w:tab/>
        <w:t>принял к сведению представленную информацию о деятельности К</w:t>
      </w:r>
      <w:r w:rsidRPr="006F5458">
        <w:t>о</w:t>
      </w:r>
      <w:r w:rsidRPr="006F5458">
        <w:t xml:space="preserve">митета ЕЭК по лесам и лесной отрасли, в частности о прогрессе в </w:t>
      </w:r>
      <w:r>
        <w:t>«</w:t>
      </w:r>
      <w:r w:rsidRPr="006F5458">
        <w:t>зеленом</w:t>
      </w:r>
      <w:r>
        <w:t>»</w:t>
      </w:r>
      <w:r w:rsidRPr="006F5458">
        <w:t xml:space="preserve"> строительстве и работе по </w:t>
      </w:r>
      <w:proofErr w:type="spellStart"/>
      <w:r w:rsidRPr="006F5458">
        <w:t>экологизации</w:t>
      </w:r>
      <w:proofErr w:type="spellEnd"/>
      <w:r w:rsidRPr="006F5458">
        <w:t xml:space="preserve"> сектора лесного хозяйства;</w:t>
      </w:r>
    </w:p>
    <w:p w:rsidR="00D053AB" w:rsidRPr="006F5458" w:rsidRDefault="00D053AB" w:rsidP="00D053AB">
      <w:pPr>
        <w:pStyle w:val="SingleTxt"/>
      </w:pPr>
      <w:r w:rsidRPr="006F5458">
        <w:tab/>
        <w:t>w)</w:t>
      </w:r>
      <w:r w:rsidRPr="006F5458">
        <w:tab/>
        <w:t>принял рекомендации, содержащиеся в третьем ОРЭД Черногории (информационный документ № 4);</w:t>
      </w:r>
    </w:p>
    <w:p w:rsidR="00D053AB" w:rsidRPr="006F5458" w:rsidRDefault="00D053AB" w:rsidP="00D053AB">
      <w:pPr>
        <w:pStyle w:val="SingleTxt"/>
      </w:pPr>
      <w:r w:rsidRPr="006F5458">
        <w:tab/>
        <w:t>x)</w:t>
      </w:r>
      <w:r w:rsidRPr="006F5458">
        <w:tab/>
        <w:t>принял рекомендации, содержащиеся в третьем ОРЭД Сербии (инфо</w:t>
      </w:r>
      <w:r w:rsidRPr="006F5458">
        <w:t>р</w:t>
      </w:r>
      <w:r w:rsidRPr="006F5458">
        <w:t>мационный документ № 5);</w:t>
      </w:r>
    </w:p>
    <w:p w:rsidR="00D053AB" w:rsidRPr="006F5458" w:rsidRDefault="00D053AB" w:rsidP="00D053AB">
      <w:pPr>
        <w:pStyle w:val="SingleTxt"/>
      </w:pPr>
      <w:r w:rsidRPr="006F5458">
        <w:tab/>
        <w:t>y)</w:t>
      </w:r>
      <w:r w:rsidRPr="006F5458">
        <w:tab/>
        <w:t>приветствовал представленную информацию о деятельности, ос</w:t>
      </w:r>
      <w:r w:rsidRPr="006F5458">
        <w:t>у</w:t>
      </w:r>
      <w:r w:rsidRPr="006F5458">
        <w:t>ществляемой в рамках программы ОРЭД ЕЭК, и предложил странам ЕЭК, не я</w:t>
      </w:r>
      <w:r w:rsidRPr="006F5458">
        <w:t>в</w:t>
      </w:r>
      <w:r w:rsidRPr="006F5458">
        <w:t>ляющимся членами ОЭСР, проинформировать секретариат о своей заинтерес</w:t>
      </w:r>
      <w:r w:rsidRPr="006F5458">
        <w:t>о</w:t>
      </w:r>
      <w:r w:rsidRPr="006F5458">
        <w:t>ванности в проведении третьего ОРЭД;</w:t>
      </w:r>
    </w:p>
    <w:p w:rsidR="00D053AB" w:rsidRPr="006F5458" w:rsidRDefault="00D053AB" w:rsidP="00D053AB">
      <w:pPr>
        <w:pStyle w:val="SingleTxt"/>
      </w:pPr>
      <w:r w:rsidRPr="006F5458">
        <w:tab/>
        <w:t>z)</w:t>
      </w:r>
      <w:r w:rsidRPr="006F5458">
        <w:tab/>
        <w:t>предложил делегациям предоставить поддержку натурой (эксперты) и финансовыми средствами для осуществления программы ОРЭД в соответствии с потребностями в ресурсах, представленных секретариатом ЕЭК, и выразил пр</w:t>
      </w:r>
      <w:r w:rsidRPr="006F5458">
        <w:t>и</w:t>
      </w:r>
      <w:r w:rsidRPr="006F5458">
        <w:t>знательность Австрии, Болгарии, Германии, Нидерландам, Норвегии, Швеции и Швейцарии за их финансовую поддержку, а также Франции, Нидерландам, По</w:t>
      </w:r>
      <w:r w:rsidRPr="006F5458">
        <w:t>р</w:t>
      </w:r>
      <w:r w:rsidRPr="006F5458">
        <w:t>тугалии и ЮНЕП за предоставленные экспертные услуги;</w:t>
      </w:r>
    </w:p>
    <w:p w:rsidR="00D053AB" w:rsidRPr="006F5458" w:rsidRDefault="00D053AB" w:rsidP="00D053AB">
      <w:pPr>
        <w:pStyle w:val="SingleTxt"/>
      </w:pPr>
      <w:r w:rsidRPr="006F5458">
        <w:tab/>
      </w:r>
      <w:proofErr w:type="spellStart"/>
      <w:proofErr w:type="gramStart"/>
      <w:r w:rsidRPr="006F5458">
        <w:t>aa</w:t>
      </w:r>
      <w:proofErr w:type="spellEnd"/>
      <w:r w:rsidRPr="006F5458">
        <w:t>)</w:t>
      </w:r>
      <w:r w:rsidRPr="006F5458">
        <w:tab/>
        <w:t>приветствовал предложение Беларуси пройти третий ОРЭД в 2015 г</w:t>
      </w:r>
      <w:r w:rsidRPr="006F5458">
        <w:t>о</w:t>
      </w:r>
      <w:r w:rsidRPr="006F5458">
        <w:t>ду;</w:t>
      </w:r>
      <w:proofErr w:type="gramEnd"/>
    </w:p>
    <w:p w:rsidR="00D053AB" w:rsidRPr="006F5458" w:rsidRDefault="00D053AB" w:rsidP="00D053AB">
      <w:pPr>
        <w:pStyle w:val="SingleTxt"/>
      </w:pPr>
      <w:r w:rsidRPr="006F5458">
        <w:tab/>
      </w:r>
      <w:proofErr w:type="spellStart"/>
      <w:proofErr w:type="gramStart"/>
      <w:r w:rsidRPr="006F5458">
        <w:t>bb</w:t>
      </w:r>
      <w:proofErr w:type="spellEnd"/>
      <w:r w:rsidRPr="006F5458">
        <w:t>)</w:t>
      </w:r>
      <w:r w:rsidRPr="006F5458">
        <w:tab/>
        <w:t>с удовлетворением отметил подачу Черногорией заявления о вступл</w:t>
      </w:r>
      <w:r w:rsidRPr="006F5458">
        <w:t>е</w:t>
      </w:r>
      <w:r w:rsidRPr="006F5458">
        <w:t>нии в Группу экспертов по ОРЭД;</w:t>
      </w:r>
      <w:proofErr w:type="gramEnd"/>
    </w:p>
    <w:p w:rsidR="00D053AB" w:rsidRPr="006F5458" w:rsidRDefault="00D053AB" w:rsidP="00D053AB">
      <w:pPr>
        <w:pStyle w:val="SingleTxt"/>
      </w:pPr>
      <w:r w:rsidRPr="006F5458">
        <w:tab/>
      </w:r>
      <w:proofErr w:type="spellStart"/>
      <w:proofErr w:type="gramStart"/>
      <w:r w:rsidRPr="006F5458">
        <w:t>cc</w:t>
      </w:r>
      <w:proofErr w:type="spellEnd"/>
      <w:r w:rsidRPr="006F5458">
        <w:t>)</w:t>
      </w:r>
      <w:r w:rsidRPr="006F5458">
        <w:tab/>
        <w:t>высоко оценил работу Группы экспертов ЕЭК по ОРЭД, принял пр</w:t>
      </w:r>
      <w:r w:rsidRPr="006F5458">
        <w:t>о</w:t>
      </w:r>
      <w:r w:rsidRPr="006F5458">
        <w:t>дленный мандат Группы экспертов на 2015</w:t>
      </w:r>
      <w:r>
        <w:t>–</w:t>
      </w:r>
      <w:r w:rsidRPr="006F5458">
        <w:t>2018 годы, представленный в прил</w:t>
      </w:r>
      <w:r w:rsidRPr="006F5458">
        <w:t>о</w:t>
      </w:r>
      <w:r w:rsidRPr="006F5458">
        <w:t>жении к документу ECE/CEP/2014/13, и обратился к секретариату с просьбой представить продленный мандат на утверждение Исполнительного комитета;</w:t>
      </w:r>
      <w:proofErr w:type="gramEnd"/>
    </w:p>
    <w:p w:rsidR="00D053AB" w:rsidRPr="006F5458" w:rsidRDefault="00D053AB" w:rsidP="00D053AB">
      <w:pPr>
        <w:pStyle w:val="SingleTxt"/>
      </w:pPr>
      <w:r w:rsidRPr="006F5458">
        <w:tab/>
      </w:r>
      <w:proofErr w:type="spellStart"/>
      <w:proofErr w:type="gramStart"/>
      <w:r w:rsidRPr="006F5458">
        <w:t>dd</w:t>
      </w:r>
      <w:proofErr w:type="spellEnd"/>
      <w:r w:rsidRPr="006F5458">
        <w:t>)</w:t>
      </w:r>
      <w:r w:rsidRPr="006F5458">
        <w:tab/>
        <w:t xml:space="preserve">положительно оценил документ, содержащий информацию об уроках, извлеченных в ходе среднесрочного обзора ОСЕ по основным итогам </w:t>
      </w:r>
      <w:proofErr w:type="spellStart"/>
      <w:r w:rsidRPr="006F5458">
        <w:t>Астани</w:t>
      </w:r>
      <w:r w:rsidRPr="006F5458">
        <w:t>н</w:t>
      </w:r>
      <w:r w:rsidRPr="006F5458">
        <w:t>ской</w:t>
      </w:r>
      <w:proofErr w:type="spellEnd"/>
      <w:r w:rsidRPr="006F5458">
        <w:t xml:space="preserve"> конференции (ECE/CEP/2014/10), подготовленный Президиумом КЭП при поддержке секретариата, и постановил принять к сведению извлеченные уроки </w:t>
      </w:r>
      <w:r>
        <w:t xml:space="preserve">и </w:t>
      </w:r>
      <w:r w:rsidRPr="006F5458">
        <w:t>выявленные в процессе трудности при организации следующего среднесрочного обзора;</w:t>
      </w:r>
      <w:proofErr w:type="gramEnd"/>
    </w:p>
    <w:p w:rsidR="00D053AB" w:rsidRPr="006F5458" w:rsidRDefault="00D053AB" w:rsidP="00D053AB">
      <w:pPr>
        <w:pStyle w:val="SingleTxt"/>
      </w:pPr>
      <w:r w:rsidRPr="006F5458">
        <w:tab/>
      </w:r>
      <w:proofErr w:type="spellStart"/>
      <w:proofErr w:type="gramStart"/>
      <w:r w:rsidRPr="006F5458">
        <w:t>ee</w:t>
      </w:r>
      <w:proofErr w:type="spellEnd"/>
      <w:r w:rsidRPr="006F5458">
        <w:t>)</w:t>
      </w:r>
      <w:r w:rsidRPr="006F5458">
        <w:tab/>
        <w:t>с удовлетворением отметил общий прогресс в подготовке восьмой Конференции министров ОСЕ, а также в рамках самого процесса ОСЕ;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  <w:t>i)</w:t>
      </w:r>
      <w:r w:rsidRPr="006F5458">
        <w:tab/>
        <w:t>приветствовал информационную брошюру и веб-сайт АДВ (</w:t>
      </w:r>
      <w:hyperlink r:id="rId17" w:history="1">
        <w:r w:rsidRPr="00367133">
          <w:rPr>
            <w:rStyle w:val="Hyperlink"/>
            <w:color w:val="auto"/>
            <w:u w:val="none"/>
          </w:rPr>
          <w:t>www.unece.org/env/awa</w:t>
        </w:r>
      </w:hyperlink>
      <w:r w:rsidRPr="006F5458">
        <w:t>) и предложил странам использовать эти информ</w:t>
      </w:r>
      <w:r w:rsidRPr="006F5458">
        <w:t>а</w:t>
      </w:r>
      <w:r w:rsidRPr="006F5458">
        <w:t>ционные материалы, в том числе для распространения АДВ на национал</w:t>
      </w:r>
      <w:r w:rsidRPr="006F5458">
        <w:t>ь</w:t>
      </w:r>
      <w:r w:rsidRPr="006F5458">
        <w:t>ном уровне;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ii</w:t>
      </w:r>
      <w:proofErr w:type="spellEnd"/>
      <w:r w:rsidRPr="006F5458">
        <w:t>)</w:t>
      </w:r>
      <w:r w:rsidRPr="006F5458">
        <w:tab/>
        <w:t>принял рекомендацию Президиума КЭП о том, что заинтересованным сторонам АДВ следует представить информацию о достигнутом прогрессе на специальной сессии КЭП в феврале 2016 года;</w:t>
      </w:r>
      <w:proofErr w:type="gramEnd"/>
    </w:p>
    <w:p w:rsidR="00D053AB" w:rsidRPr="006F5458" w:rsidRDefault="00367133" w:rsidP="00D053AB">
      <w:pPr>
        <w:pStyle w:val="SingleTxt"/>
        <w:ind w:left="1742" w:hanging="475"/>
      </w:pPr>
      <w:r>
        <w:br w:type="page"/>
      </w:r>
      <w:r w:rsidR="00D053AB" w:rsidRPr="006F5458">
        <w:lastRenderedPageBreak/>
        <w:tab/>
      </w:r>
      <w:proofErr w:type="spellStart"/>
      <w:r w:rsidR="00D053AB" w:rsidRPr="006F5458">
        <w:t>iii</w:t>
      </w:r>
      <w:proofErr w:type="spellEnd"/>
      <w:r w:rsidR="00D053AB" w:rsidRPr="006F5458">
        <w:t>)</w:t>
      </w:r>
      <w:r w:rsidR="00D053AB" w:rsidRPr="006F5458">
        <w:tab/>
        <w:t xml:space="preserve">приветствовал документ </w:t>
      </w:r>
      <w:r w:rsidR="00D053AB">
        <w:t>«</w:t>
      </w:r>
      <w:proofErr w:type="spellStart"/>
      <w:r w:rsidR="00D053AB" w:rsidRPr="006F5458">
        <w:t>Экологизация</w:t>
      </w:r>
      <w:proofErr w:type="spellEnd"/>
      <w:r w:rsidR="00D053AB" w:rsidRPr="006F5458">
        <w:t xml:space="preserve"> экономики в общеевропейском регионе: прогресс, приоритеты, возможные условия и варианты достиж</w:t>
      </w:r>
      <w:r w:rsidR="00D053AB" w:rsidRPr="006F5458">
        <w:t>е</w:t>
      </w:r>
      <w:r w:rsidR="00D053AB" w:rsidRPr="006F5458">
        <w:t>ния</w:t>
      </w:r>
      <w:r w:rsidR="00D053AB">
        <w:t>»</w:t>
      </w:r>
      <w:r w:rsidR="00D053AB" w:rsidRPr="006F5458">
        <w:t xml:space="preserve"> (ECE/CEP/2014/5), подготовленный секретариатами ЕЭК и ЮНЕП в консультации с другими организациями;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r w:rsidRPr="006F5458">
        <w:t>iv</w:t>
      </w:r>
      <w:proofErr w:type="spellEnd"/>
      <w:r w:rsidRPr="006F5458">
        <w:t>)</w:t>
      </w:r>
      <w:r w:rsidRPr="006F5458">
        <w:tab/>
        <w:t>с удовлетворением отметил плодотворное сотрудничество между се</w:t>
      </w:r>
      <w:r w:rsidRPr="006F5458">
        <w:t>к</w:t>
      </w:r>
      <w:r w:rsidRPr="006F5458">
        <w:t xml:space="preserve">ретариатами ЕЭК и ЮНЕП в том, что касается деятельности по </w:t>
      </w:r>
      <w:proofErr w:type="spellStart"/>
      <w:r w:rsidRPr="006F5458">
        <w:t>экологиз</w:t>
      </w:r>
      <w:r w:rsidRPr="006F5458">
        <w:t>а</w:t>
      </w:r>
      <w:r w:rsidRPr="006F5458">
        <w:t>ции</w:t>
      </w:r>
      <w:proofErr w:type="spellEnd"/>
      <w:r w:rsidRPr="006F5458">
        <w:t xml:space="preserve"> экономики, и просил эти две организации по-прежнему работать соо</w:t>
      </w:r>
      <w:r w:rsidRPr="006F5458">
        <w:t>б</w:t>
      </w:r>
      <w:r w:rsidRPr="006F5458">
        <w:t xml:space="preserve">ща в целях оказания поддержки странам в их усилиях по </w:t>
      </w:r>
      <w:proofErr w:type="spellStart"/>
      <w:r w:rsidRPr="006F5458">
        <w:t>экологизации</w:t>
      </w:r>
      <w:proofErr w:type="spellEnd"/>
      <w:r w:rsidRPr="006F5458">
        <w:t xml:space="preserve"> </w:t>
      </w:r>
      <w:proofErr w:type="gramStart"/>
      <w:r w:rsidRPr="006F5458">
        <w:t>эк</w:t>
      </w:r>
      <w:r w:rsidRPr="006F5458">
        <w:t>о</w:t>
      </w:r>
      <w:r w:rsidRPr="006F5458">
        <w:t>номики</w:t>
      </w:r>
      <w:proofErr w:type="gramEnd"/>
      <w:r w:rsidRPr="006F5458">
        <w:t xml:space="preserve"> как на общеевропейском, так и на национальном уровнях;</w:t>
      </w:r>
    </w:p>
    <w:p w:rsidR="00D053AB" w:rsidRPr="006F5458" w:rsidRDefault="00D053AB" w:rsidP="00D053AB">
      <w:pPr>
        <w:pStyle w:val="SingleTxt"/>
        <w:ind w:left="1742" w:hanging="475"/>
        <w:rPr>
          <w:bCs/>
          <w:iCs/>
        </w:rPr>
      </w:pPr>
      <w:r w:rsidRPr="006F5458">
        <w:tab/>
        <w:t>v)</w:t>
      </w:r>
      <w:r w:rsidRPr="006F5458">
        <w:tab/>
        <w:t>предложил ЕЭК и ЮНЕП совместно с соответствующими междун</w:t>
      </w:r>
      <w:r w:rsidRPr="006F5458">
        <w:t>а</w:t>
      </w:r>
      <w:r w:rsidRPr="006F5458">
        <w:t xml:space="preserve">родными и региональными организациями и другими заинтересованными сторонами, работающими в сфере </w:t>
      </w:r>
      <w:proofErr w:type="spellStart"/>
      <w:r w:rsidRPr="006F5458">
        <w:t>экологизации</w:t>
      </w:r>
      <w:proofErr w:type="spellEnd"/>
      <w:r w:rsidRPr="006F5458">
        <w:t xml:space="preserve"> экономики, разработать предложение о создании общеевропейских стратегических рамок по </w:t>
      </w:r>
      <w:proofErr w:type="spellStart"/>
      <w:r w:rsidRPr="006F5458">
        <w:t>экол</w:t>
      </w:r>
      <w:r w:rsidRPr="006F5458">
        <w:t>о</w:t>
      </w:r>
      <w:r w:rsidRPr="006F5458">
        <w:t>гизации</w:t>
      </w:r>
      <w:proofErr w:type="spellEnd"/>
      <w:r w:rsidRPr="006F5458">
        <w:t xml:space="preserve"> экономики и представить его на рассмотрение КЭП на его 21-й се</w:t>
      </w:r>
      <w:r w:rsidRPr="006F5458">
        <w:t>с</w:t>
      </w:r>
      <w:r w:rsidRPr="006F5458">
        <w:t>сии в октябре 2015 года. Предложенные стратегические рамки должны с</w:t>
      </w:r>
      <w:r w:rsidRPr="006F5458">
        <w:t>о</w:t>
      </w:r>
      <w:r w:rsidRPr="006F5458">
        <w:t xml:space="preserve">держать практические примеры, виды передовой практики и инструменты, подлежащие использованию для активизации перехода к </w:t>
      </w:r>
      <w:r>
        <w:t>«</w:t>
      </w:r>
      <w:r w:rsidRPr="006F5458">
        <w:t>зеленой</w:t>
      </w:r>
      <w:r>
        <w:t>»</w:t>
      </w:r>
      <w:r w:rsidRPr="006F5458">
        <w:t xml:space="preserve"> экон</w:t>
      </w:r>
      <w:r w:rsidRPr="006F5458">
        <w:t>о</w:t>
      </w:r>
      <w:r w:rsidRPr="006F5458">
        <w:t>мике, при поощрени</w:t>
      </w:r>
      <w:r>
        <w:t>и</w:t>
      </w:r>
      <w:r w:rsidRPr="006F5458">
        <w:t xml:space="preserve"> восходящего подхода. Кроме того, они должны оп</w:t>
      </w:r>
      <w:r w:rsidRPr="006F5458">
        <w:t>и</w:t>
      </w:r>
      <w:r w:rsidRPr="006F5458">
        <w:t>раться на существующие информационные материалы и платформы и д</w:t>
      </w:r>
      <w:r w:rsidRPr="006F5458">
        <w:t>о</w:t>
      </w:r>
      <w:r w:rsidRPr="006F5458">
        <w:t xml:space="preserve">полнять план действий по </w:t>
      </w:r>
      <w:r>
        <w:t>«</w:t>
      </w:r>
      <w:r w:rsidRPr="006F5458">
        <w:t>зеленой</w:t>
      </w:r>
      <w:r>
        <w:t>»</w:t>
      </w:r>
      <w:r w:rsidRPr="006F5458">
        <w:t xml:space="preserve"> экономике, аналогичный </w:t>
      </w:r>
      <w:proofErr w:type="spellStart"/>
      <w:r w:rsidRPr="006F5458">
        <w:t>Астанинск</w:t>
      </w:r>
      <w:r w:rsidRPr="006F5458">
        <w:t>о</w:t>
      </w:r>
      <w:r w:rsidRPr="006F5458">
        <w:t>му</w:t>
      </w:r>
      <w:proofErr w:type="spellEnd"/>
      <w:r w:rsidRPr="006F5458">
        <w:t xml:space="preserve"> предложению относительно действий по воде. </w:t>
      </w:r>
      <w:proofErr w:type="gramStart"/>
      <w:r w:rsidRPr="006F5458">
        <w:t>Вопрос о том, следует ли включать в них конкретные цели и целевые показатели, будет рассмотрен на следующей сессии КЭП;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vi</w:t>
      </w:r>
      <w:proofErr w:type="spellEnd"/>
      <w:r w:rsidRPr="006F5458">
        <w:t>)</w:t>
      </w:r>
      <w:r w:rsidRPr="006F5458">
        <w:tab/>
        <w:t>приветствовал представленную информацию об основных итогах Пе</w:t>
      </w:r>
      <w:r w:rsidRPr="006F5458">
        <w:t>р</w:t>
      </w:r>
      <w:r w:rsidRPr="006F5458">
        <w:t>вого совещания Восточной Европы по ДСД, проведенного 27 октября 2014</w:t>
      </w:r>
      <w:r>
        <w:t> </w:t>
      </w:r>
      <w:r w:rsidRPr="006F5458">
        <w:t xml:space="preserve">года, которые </w:t>
      </w:r>
      <w:r>
        <w:t xml:space="preserve">явятся вкладом </w:t>
      </w:r>
      <w:r w:rsidRPr="006F5458">
        <w:t>в проведение восьмой Конференции м</w:t>
      </w:r>
      <w:r w:rsidRPr="006F5458">
        <w:t>и</w:t>
      </w:r>
      <w:r w:rsidRPr="006F5458">
        <w:t>нистров ОСЕ;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vii</w:t>
      </w:r>
      <w:proofErr w:type="spellEnd"/>
      <w:r w:rsidRPr="006F5458">
        <w:t>)</w:t>
      </w:r>
      <w:r w:rsidRPr="006F5458">
        <w:tab/>
        <w:t>приветствовал информацию, представленную региональными коми</w:t>
      </w:r>
      <w:r w:rsidRPr="006F5458">
        <w:t>с</w:t>
      </w:r>
      <w:r w:rsidRPr="006F5458">
        <w:t xml:space="preserve">сиями, ЭКЛАК, ЭСКАТО и ЭСКЗА, и принял к сведению достижения и прогресс в области </w:t>
      </w:r>
      <w:proofErr w:type="spellStart"/>
      <w:r w:rsidRPr="006F5458">
        <w:t>экологизации</w:t>
      </w:r>
      <w:proofErr w:type="spellEnd"/>
      <w:r w:rsidRPr="006F5458">
        <w:t xml:space="preserve"> экономики в этих регионах;</w:t>
      </w:r>
      <w:proofErr w:type="gramEnd"/>
    </w:p>
    <w:p w:rsidR="00D053AB" w:rsidRPr="006F5458" w:rsidRDefault="00D053AB" w:rsidP="00D053AB">
      <w:pPr>
        <w:pStyle w:val="SingleTxt"/>
      </w:pPr>
      <w:r w:rsidRPr="006F5458">
        <w:tab/>
      </w:r>
      <w:proofErr w:type="spellStart"/>
      <w:r w:rsidRPr="006F5458">
        <w:t>ff</w:t>
      </w:r>
      <w:proofErr w:type="spellEnd"/>
      <w:r w:rsidRPr="006F5458">
        <w:t>)</w:t>
      </w:r>
      <w:r w:rsidRPr="006F5458">
        <w:tab/>
        <w:t>положительно оценил проделанную до настоящего времени работу Группы друзей СЕИС (ECE/CEP/2014/7) и: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  <w:t>i)</w:t>
      </w:r>
      <w:r w:rsidRPr="006F5458">
        <w:tab/>
        <w:t>просил Группу продолжать работу по осуществлению второй части своего мандата, предоставленного ей КЭП на его девятнадцатой сессии, а</w:t>
      </w:r>
      <w:r>
        <w:t> </w:t>
      </w:r>
      <w:r w:rsidRPr="006F5458">
        <w:t>именно</w:t>
      </w:r>
      <w:r>
        <w:t xml:space="preserve"> – </w:t>
      </w:r>
      <w:r w:rsidRPr="006F5458">
        <w:t xml:space="preserve">ответить на вопрос: </w:t>
      </w:r>
      <w:proofErr w:type="gramStart"/>
      <w:r>
        <w:t>«</w:t>
      </w:r>
      <w:r w:rsidRPr="006F5458">
        <w:t>Каким образом следует организовать и оформить процесс регулярной экологической оценки с учетом преимуществ СЕИС?</w:t>
      </w:r>
      <w:r>
        <w:t>»</w:t>
      </w:r>
      <w:r w:rsidRPr="006F5458">
        <w:t>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ii</w:t>
      </w:r>
      <w:proofErr w:type="spellEnd"/>
      <w:r w:rsidRPr="006F5458">
        <w:t>)</w:t>
      </w:r>
      <w:r w:rsidRPr="006F5458">
        <w:tab/>
        <w:t>принял целевые показатели и показатели результативности, предста</w:t>
      </w:r>
      <w:r w:rsidRPr="006F5458">
        <w:t>в</w:t>
      </w:r>
      <w:r w:rsidRPr="006F5458">
        <w:t>ленные в документе ECE/CEP/2014/8, и выразил свою признательность Группе друзей СЕИС и секретариату за отличную подготовку документа;</w:t>
      </w:r>
      <w:proofErr w:type="gramEnd"/>
    </w:p>
    <w:p w:rsidR="00D053AB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iii</w:t>
      </w:r>
      <w:proofErr w:type="spellEnd"/>
      <w:r w:rsidRPr="006F5458">
        <w:t xml:space="preserve">) </w:t>
      </w:r>
      <w:r w:rsidRPr="006F5458">
        <w:tab/>
        <w:t>поручил Рабочей группе по мониторингу и оценке окружающей среды в соответствии с ее продленным и измененным мандатом на 2015 год пров</w:t>
      </w:r>
      <w:r w:rsidRPr="006F5458">
        <w:t>е</w:t>
      </w:r>
      <w:r w:rsidRPr="006F5458">
        <w:t>сти обзор прогресса, достигнутого в развитии СЕИС, на основе целевых п</w:t>
      </w:r>
      <w:r w:rsidRPr="006F5458">
        <w:t>о</w:t>
      </w:r>
      <w:r w:rsidRPr="006F5458">
        <w:t>казателей и показателей результативности, принятых КЭП на его нынешней сессии, в целях подготовки доклада об оценке прогресса в развитии СЕИС в общеевропейском регионе для следующей Конференции министров ОСЕ.</w:t>
      </w:r>
      <w:proofErr w:type="gramEnd"/>
      <w:r w:rsidRPr="006F5458">
        <w:t xml:space="preserve"> Первый доклад об этой деятельности должен быть представлен КЭП на его следующей сессии</w:t>
      </w:r>
      <w:r>
        <w:t>;</w:t>
      </w:r>
    </w:p>
    <w:p w:rsidR="00D053AB" w:rsidRPr="006F5458" w:rsidRDefault="00367133" w:rsidP="00D053AB">
      <w:pPr>
        <w:pStyle w:val="SingleTxt"/>
      </w:pPr>
      <w:r>
        <w:br w:type="page"/>
      </w:r>
      <w:r w:rsidR="00D053AB" w:rsidRPr="006F5458">
        <w:lastRenderedPageBreak/>
        <w:tab/>
      </w:r>
      <w:proofErr w:type="spellStart"/>
      <w:proofErr w:type="gramStart"/>
      <w:r w:rsidR="00D053AB" w:rsidRPr="006F5458">
        <w:t>gg</w:t>
      </w:r>
      <w:proofErr w:type="spellEnd"/>
      <w:r w:rsidR="00D053AB" w:rsidRPr="006F5458">
        <w:t>)</w:t>
      </w:r>
      <w:r w:rsidR="00D053AB" w:rsidRPr="006F5458">
        <w:tab/>
        <w:t>с удовлетворением отметил прогресс в организации восьмой Конф</w:t>
      </w:r>
      <w:r w:rsidR="00D053AB" w:rsidRPr="006F5458">
        <w:t>е</w:t>
      </w:r>
      <w:r w:rsidR="00D053AB" w:rsidRPr="006F5458">
        <w:t>ренции министров ОСЕ и в этой связи: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  <w:t>i)</w:t>
      </w:r>
      <w:r w:rsidRPr="006F5458">
        <w:tab/>
        <w:t>выразил признательность Грузии за предложение провести в июне 2016 года в Батуми восьмую Конференцию министров ОСЕ и за осущест</w:t>
      </w:r>
      <w:r w:rsidRPr="006F5458">
        <w:t>в</w:t>
      </w:r>
      <w:r w:rsidRPr="006F5458">
        <w:t>ляемую подготовительную деятельность принимающей страны;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ii</w:t>
      </w:r>
      <w:proofErr w:type="spellEnd"/>
      <w:r w:rsidRPr="006F5458">
        <w:t>)</w:t>
      </w:r>
      <w:r w:rsidRPr="006F5458">
        <w:tab/>
        <w:t>принял решение провести Конференцию в Батуми с 8 по 10 июня 2016</w:t>
      </w:r>
      <w:r>
        <w:t> </w:t>
      </w:r>
      <w:r w:rsidRPr="006F5458">
        <w:t>года;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iii</w:t>
      </w:r>
      <w:proofErr w:type="spellEnd"/>
      <w:r w:rsidRPr="006F5458">
        <w:t>)</w:t>
      </w:r>
      <w:r w:rsidRPr="006F5458">
        <w:tab/>
        <w:t>принял организационные процедуры для Конференции, представле</w:t>
      </w:r>
      <w:r w:rsidRPr="006F5458">
        <w:t>н</w:t>
      </w:r>
      <w:r w:rsidRPr="006F5458">
        <w:t>ные в документе ECE/CEP/2014/15;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iv</w:t>
      </w:r>
      <w:proofErr w:type="spellEnd"/>
      <w:r w:rsidRPr="006F5458">
        <w:t>)</w:t>
      </w:r>
      <w:r w:rsidRPr="006F5458">
        <w:tab/>
        <w:t xml:space="preserve">поручил секретариату принять необходимые меры для организации Конференции во взаимодействии со страной ее проведения в соответствии с положениями Плана реформы процесса </w:t>
      </w:r>
      <w:r>
        <w:t>«</w:t>
      </w:r>
      <w:r w:rsidRPr="006F5458">
        <w:t>Окружающая среда для Европы</w:t>
      </w:r>
      <w:r>
        <w:t>»</w:t>
      </w:r>
      <w:r w:rsidRPr="006F5458">
        <w:t>, а</w:t>
      </w:r>
      <w:r>
        <w:t> </w:t>
      </w:r>
      <w:r w:rsidRPr="006F5458">
        <w:t>также на основе решений КЭП;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  <w:t>v)</w:t>
      </w:r>
      <w:r w:rsidRPr="006F5458">
        <w:tab/>
        <w:t xml:space="preserve">предложил странам и другим заинтересованным сторонам рассмотреть вопрос о необходимости мобилизации ресурсов для оказания </w:t>
      </w:r>
      <w:proofErr w:type="gramStart"/>
      <w:r w:rsidRPr="006F5458">
        <w:t>поддержки</w:t>
      </w:r>
      <w:proofErr w:type="gramEnd"/>
      <w:r w:rsidRPr="006F5458">
        <w:t xml:space="preserve"> принимающей стране и секретариату в их подготовительной деятельности (информационный документ № 6 и добавление), поблагодарив, в частности, Норвегию за ее финансовую поддержку деятельности секретариата ЕЭК в рамках процесса ОСЕ и попросив принимающую страну и секретариат и</w:t>
      </w:r>
      <w:r w:rsidRPr="006F5458">
        <w:t>н</w:t>
      </w:r>
      <w:r w:rsidRPr="006F5458">
        <w:t>формировать КЭП и его Президиум о прогрессе в этой области;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r w:rsidRPr="006F5458">
        <w:t>vi</w:t>
      </w:r>
      <w:proofErr w:type="spellEnd"/>
      <w:r w:rsidRPr="006F5458">
        <w:t>)</w:t>
      </w:r>
      <w:r w:rsidRPr="006F5458">
        <w:tab/>
        <w:t>приветствовал документ, содержащий предложение о возможных ра</w:t>
      </w:r>
      <w:r w:rsidRPr="006F5458">
        <w:t>м</w:t>
      </w:r>
      <w:r w:rsidRPr="006F5458">
        <w:t>ках организации Конференции министров ОСЕ (ECE/CEP/2014/9), подг</w:t>
      </w:r>
      <w:r w:rsidRPr="006F5458">
        <w:t>о</w:t>
      </w:r>
      <w:r w:rsidRPr="006F5458">
        <w:t>товленный секретариатом в консультации с Президиумом КЭП, и подгото</w:t>
      </w:r>
      <w:r w:rsidRPr="006F5458">
        <w:t>в</w:t>
      </w:r>
      <w:r w:rsidRPr="006F5458">
        <w:t>ленный секретариатом информационный документ № 9, посвященный во</w:t>
      </w:r>
      <w:r w:rsidRPr="006F5458">
        <w:t>з</w:t>
      </w:r>
      <w:r w:rsidRPr="006F5458">
        <w:t>можным вариантам формата групповых обсуждений;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vii</w:t>
      </w:r>
      <w:proofErr w:type="spellEnd"/>
      <w:r w:rsidRPr="006F5458">
        <w:t>)</w:t>
      </w:r>
      <w:r w:rsidRPr="006F5458">
        <w:tab/>
        <w:t>приветствовал рекомендацию Президиума КЭП в отношении двух тем для Конференции министров ОСЕ в Батуми и утвердил следующие две т</w:t>
      </w:r>
      <w:r w:rsidRPr="006F5458">
        <w:t>е</w:t>
      </w:r>
      <w:r w:rsidRPr="006F5458">
        <w:t>мы: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r w:rsidRPr="006F5458">
        <w:tab/>
        <w:t>a.</w:t>
      </w:r>
      <w:r w:rsidRPr="006F5458">
        <w:tab/>
      </w:r>
      <w:r>
        <w:t>«</w:t>
      </w:r>
      <w:proofErr w:type="spellStart"/>
      <w:r w:rsidRPr="006F5458">
        <w:t>Экологизация</w:t>
      </w:r>
      <w:proofErr w:type="spellEnd"/>
      <w:r w:rsidRPr="006F5458">
        <w:t xml:space="preserve"> экономики в общеевропейском регионе</w:t>
      </w:r>
      <w:r>
        <w:t>»</w:t>
      </w:r>
      <w:r w:rsidRPr="006F5458">
        <w:t>;</w:t>
      </w:r>
    </w:p>
    <w:p w:rsidR="00D053AB" w:rsidRPr="006F5458" w:rsidRDefault="00D053AB" w:rsidP="00D053AB">
      <w:pPr>
        <w:pStyle w:val="SingleTxt"/>
        <w:ind w:left="2693" w:hanging="1426"/>
      </w:pPr>
      <w:r w:rsidRPr="006F5458">
        <w:tab/>
      </w:r>
      <w:r w:rsidRPr="006F5458">
        <w:tab/>
        <w:t>b.</w:t>
      </w:r>
      <w:r w:rsidRPr="006F5458">
        <w:tab/>
      </w:r>
      <w:r>
        <w:t>«</w:t>
      </w:r>
      <w:r w:rsidRPr="006F5458">
        <w:t>Повышение качества воздуха в интересах улучшения состояния окружающей среды и здоровья человека</w:t>
      </w:r>
      <w:r>
        <w:t>»</w:t>
      </w:r>
      <w:r w:rsidRPr="006F5458">
        <w:t>;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viii</w:t>
      </w:r>
      <w:proofErr w:type="spellEnd"/>
      <w:r w:rsidRPr="006F5458">
        <w:t>)</w:t>
      </w:r>
      <w:r w:rsidRPr="006F5458">
        <w:tab/>
        <w:t>поручил Президиуму подготовить при содействии со стороны Секр</w:t>
      </w:r>
      <w:r w:rsidRPr="006F5458">
        <w:t>е</w:t>
      </w:r>
      <w:r w:rsidRPr="006F5458">
        <w:t>тариата к 21 ноября 2014 года первое предложение по не более чем четырем вопросам для обсуждения на уровне министров в рамках каждой из двух тем, принимая во внимание замечания, высказанные делегациями в ходе нынешней сессии, и просил распространить предложение среди членов КЭП и наблюдателей по электронной почте;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ix</w:t>
      </w:r>
      <w:proofErr w:type="spellEnd"/>
      <w:r w:rsidRPr="006F5458">
        <w:t>)</w:t>
      </w:r>
      <w:r w:rsidRPr="006F5458">
        <w:tab/>
        <w:t>предложил членам КЭП и наблюдателям рассмотреть предложение Президиума по вопросам для обсуждения и направить свои замечания (с</w:t>
      </w:r>
      <w:r>
        <w:t> </w:t>
      </w:r>
      <w:r w:rsidRPr="006F5458">
        <w:t>учетом установленного ограничения в не более чем четыре вопроса) Пр</w:t>
      </w:r>
      <w:r w:rsidRPr="006F5458">
        <w:t>е</w:t>
      </w:r>
      <w:r w:rsidRPr="006F5458">
        <w:t>зидиуму через секретариат в кратчайшие возможные сроки, но не позднее 31 декабря 2014 года;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  <w:t>x)</w:t>
      </w:r>
      <w:r w:rsidRPr="006F5458">
        <w:tab/>
        <w:t>предложил Президиуму и секретариату рассмотреть полученные зам</w:t>
      </w:r>
      <w:r w:rsidRPr="006F5458">
        <w:t>е</w:t>
      </w:r>
      <w:r w:rsidRPr="006F5458">
        <w:t xml:space="preserve">чания и подготовить к 30 января 2015 года </w:t>
      </w:r>
      <w:r>
        <w:t xml:space="preserve">для утверждения членами </w:t>
      </w:r>
      <w:r w:rsidRPr="006F5458">
        <w:t>КЭП и наблюдател</w:t>
      </w:r>
      <w:r>
        <w:t>ями</w:t>
      </w:r>
      <w:r w:rsidRPr="006F5458">
        <w:t xml:space="preserve"> второе предложение по вопросам для обсуждения и распр</w:t>
      </w:r>
      <w:r w:rsidRPr="006F5458">
        <w:t>о</w:t>
      </w:r>
      <w:r w:rsidRPr="006F5458">
        <w:t xml:space="preserve">странить его по электронной почте в кратчайшие возможные сроки, но не позднее 23 февраля 2015 года, с </w:t>
      </w:r>
      <w:proofErr w:type="gramStart"/>
      <w:r w:rsidRPr="006F5458">
        <w:t>тем</w:t>
      </w:r>
      <w:proofErr w:type="gramEnd"/>
      <w:r w:rsidRPr="006F5458">
        <w:t xml:space="preserve"> чтобы облегчить подготовку проекта </w:t>
      </w:r>
      <w:r w:rsidRPr="006F5458">
        <w:lastRenderedPageBreak/>
        <w:t>двух тематических справочных документов (по одному для каждой из двух тем);</w:t>
      </w:r>
    </w:p>
    <w:p w:rsidR="00D053AB" w:rsidRPr="006F5458" w:rsidRDefault="00D053AB" w:rsidP="00D053AB">
      <w:pPr>
        <w:pStyle w:val="SingleTxt"/>
        <w:ind w:left="1742" w:hanging="475"/>
      </w:pPr>
      <w:r>
        <w:tab/>
      </w:r>
      <w:proofErr w:type="spellStart"/>
      <w:proofErr w:type="gramStart"/>
      <w:r w:rsidRPr="006F5458">
        <w:t>хi</w:t>
      </w:r>
      <w:proofErr w:type="spellEnd"/>
      <w:r w:rsidRPr="006F5458">
        <w:t>)</w:t>
      </w:r>
      <w:r w:rsidRPr="006F5458">
        <w:tab/>
        <w:t>предложил Президиуму КЭП при поддержке со стороны секретариата и во взаимодействии с соответствующими заинтересованными сторонами приступить к подготовке восьмой Конференции министров ОСЕ, включая подготовку к следующей сессии КЭП:</w:t>
      </w:r>
      <w:proofErr w:type="gramEnd"/>
    </w:p>
    <w:p w:rsidR="00D053AB" w:rsidRPr="006F5458" w:rsidRDefault="00D053AB" w:rsidP="00D053AB">
      <w:pPr>
        <w:pStyle w:val="SingleTxt"/>
        <w:ind w:left="2693" w:hanging="1426"/>
      </w:pPr>
      <w:r w:rsidRPr="006F5458">
        <w:tab/>
      </w:r>
      <w:r w:rsidRPr="006F5458">
        <w:tab/>
        <w:t>a.</w:t>
      </w:r>
      <w:r w:rsidRPr="006F5458">
        <w:tab/>
        <w:t>первых проектов двух тематических справочных документов, подготовленных на основе тем для обсуждения, которые будут с</w:t>
      </w:r>
      <w:r w:rsidRPr="006F5458">
        <w:t>о</w:t>
      </w:r>
      <w:r w:rsidRPr="006F5458">
        <w:t>гласованы Президиумом КЭП;</w:t>
      </w:r>
    </w:p>
    <w:p w:rsidR="00D053AB" w:rsidRPr="006F5458" w:rsidRDefault="00D053AB" w:rsidP="00D053AB">
      <w:pPr>
        <w:pStyle w:val="SingleTxt"/>
        <w:ind w:left="2693" w:hanging="1426"/>
      </w:pPr>
      <w:r w:rsidRPr="006F5458">
        <w:tab/>
      </w:r>
      <w:r w:rsidRPr="006F5458">
        <w:tab/>
        <w:t>b.</w:t>
      </w:r>
      <w:r w:rsidRPr="006F5458">
        <w:tab/>
        <w:t>первого проекта предварительной аннотированной повестки дня Конференции;</w:t>
      </w:r>
    </w:p>
    <w:p w:rsidR="00D053AB" w:rsidRPr="006F5458" w:rsidRDefault="00D053AB" w:rsidP="00D053AB">
      <w:pPr>
        <w:pStyle w:val="SingleTxt"/>
        <w:ind w:left="2693" w:hanging="1426"/>
      </w:pPr>
      <w:r w:rsidRPr="006F5458">
        <w:tab/>
      </w:r>
      <w:r w:rsidRPr="006F5458">
        <w:tab/>
        <w:t>c.</w:t>
      </w:r>
      <w:r w:rsidRPr="006F5458">
        <w:tab/>
        <w:t>других документов, которые, возможно, будут рекомендованы Президиумом;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xii</w:t>
      </w:r>
      <w:proofErr w:type="spellEnd"/>
      <w:r w:rsidRPr="006F5458">
        <w:t>)</w:t>
      </w:r>
      <w:r w:rsidRPr="006F5458">
        <w:tab/>
        <w:t>предложил ЮНЕП и другим заинтересованным сторонам оказать с</w:t>
      </w:r>
      <w:r w:rsidRPr="006F5458">
        <w:t>о</w:t>
      </w:r>
      <w:r w:rsidRPr="006F5458">
        <w:t>действие процессу подготовки следующей Конференции ОСЕ;</w:t>
      </w:r>
      <w:proofErr w:type="gramEnd"/>
    </w:p>
    <w:p w:rsidR="00D053AB" w:rsidRPr="006F5458" w:rsidRDefault="00D053AB" w:rsidP="00D053AB">
      <w:pPr>
        <w:pStyle w:val="SingleTxt"/>
      </w:pPr>
      <w:r w:rsidRPr="006F5458">
        <w:tab/>
      </w:r>
      <w:proofErr w:type="spellStart"/>
      <w:proofErr w:type="gramStart"/>
      <w:r w:rsidRPr="006F5458">
        <w:t>hh</w:t>
      </w:r>
      <w:proofErr w:type="spellEnd"/>
      <w:r w:rsidRPr="006F5458">
        <w:t>)</w:t>
      </w:r>
      <w:r w:rsidRPr="006F5458">
        <w:tab/>
        <w:t>выразил признательность Президиуму КЭП и секретариату за их раб</w:t>
      </w:r>
      <w:r w:rsidRPr="006F5458">
        <w:t>о</w:t>
      </w:r>
      <w:r w:rsidRPr="006F5458">
        <w:t>ту по подготовке проекта правил процедуры КЭП (ECE/CEP/2014/L.1) и принял к сведению замечания, представленные делегациями в ходе нынешней сессии, в том числе те из них, которые были представлены по электронной почте, и пор</w:t>
      </w:r>
      <w:r w:rsidRPr="006F5458">
        <w:t>у</w:t>
      </w:r>
      <w:r w:rsidRPr="006F5458">
        <w:t>чил Президиуму КЭП при поддержке со стороны секретариата подготовить для следующей сессии КЭП новый пересмотренный</w:t>
      </w:r>
      <w:proofErr w:type="gramEnd"/>
      <w:r w:rsidRPr="006F5458">
        <w:t xml:space="preserve"> проект с учетом полученных з</w:t>
      </w:r>
      <w:r w:rsidRPr="006F5458">
        <w:t>а</w:t>
      </w:r>
      <w:r w:rsidRPr="006F5458">
        <w:t>мечаний. Кроме того, он принял решение распространить любые возможные д</w:t>
      </w:r>
      <w:r w:rsidRPr="006F5458">
        <w:t>о</w:t>
      </w:r>
      <w:r w:rsidRPr="006F5458">
        <w:t xml:space="preserve">полнительные замечания по подготовленному Президиумом проекту не </w:t>
      </w:r>
      <w:proofErr w:type="gramStart"/>
      <w:r w:rsidRPr="006F5458">
        <w:t>позднее</w:t>
      </w:r>
      <w:proofErr w:type="gramEnd"/>
      <w:r w:rsidRPr="006F5458">
        <w:t xml:space="preserve"> чем за одну неделю до начала работы следующей сессии, т.е. до 19 октября 2015</w:t>
      </w:r>
      <w:r>
        <w:t> </w:t>
      </w:r>
      <w:r w:rsidRPr="006F5458">
        <w:t>года;</w:t>
      </w:r>
    </w:p>
    <w:p w:rsidR="00D053AB" w:rsidRPr="006F5458" w:rsidRDefault="00D053AB" w:rsidP="00D053AB">
      <w:pPr>
        <w:pStyle w:val="SingleTxt"/>
      </w:pPr>
      <w:r w:rsidRPr="006F5458">
        <w:tab/>
      </w:r>
      <w:proofErr w:type="spellStart"/>
      <w:r w:rsidRPr="006F5458">
        <w:t>ii</w:t>
      </w:r>
      <w:proofErr w:type="spellEnd"/>
      <w:r w:rsidRPr="006F5458">
        <w:t>)</w:t>
      </w:r>
      <w:r w:rsidRPr="006F5458">
        <w:tab/>
        <w:t>согласился с рекомендациями Президиума КЭП и принял решение оставить критерии в том виде, в каком они были приняты на его девятнадцатой сессии (ECE/CEP/2013/2, приложение I);</w:t>
      </w:r>
    </w:p>
    <w:p w:rsidR="00D053AB" w:rsidRPr="006F5458" w:rsidRDefault="00D053AB" w:rsidP="00D053AB">
      <w:pPr>
        <w:pStyle w:val="SingleTxt"/>
      </w:pPr>
      <w:r w:rsidRPr="006F5458">
        <w:tab/>
      </w:r>
      <w:proofErr w:type="spellStart"/>
      <w:proofErr w:type="gramStart"/>
      <w:r w:rsidRPr="006F5458">
        <w:t>jj</w:t>
      </w:r>
      <w:proofErr w:type="spellEnd"/>
      <w:r w:rsidRPr="006F5458">
        <w:t>)</w:t>
      </w:r>
      <w:r w:rsidRPr="006F5458">
        <w:tab/>
        <w:t>принял решение и далее проводить двухгодичную оценку осуществл</w:t>
      </w:r>
      <w:r w:rsidRPr="006F5458">
        <w:t>е</w:t>
      </w:r>
      <w:r w:rsidRPr="006F5458">
        <w:t>ния Подпрограммы по окружающей среде на протяжении, по меньшей мере, еще одного цикла и утвердил двухгодичный план оценки результативности Подпр</w:t>
      </w:r>
      <w:r w:rsidRPr="006F5458">
        <w:t>о</w:t>
      </w:r>
      <w:r w:rsidRPr="006F5458">
        <w:t>граммы по окружающей среде на 2014</w:t>
      </w:r>
      <w:r>
        <w:t>–</w:t>
      </w:r>
      <w:r w:rsidRPr="006F5458">
        <w:t>2015 годы (ECE/CEP/2014/4), в котором содержатся следующие поправки к документу ECE/CEP/2013/4, утвержденному в 2013 году:</w:t>
      </w:r>
      <w:proofErr w:type="gramEnd"/>
    </w:p>
    <w:p w:rsidR="00D053AB" w:rsidRPr="006F5458" w:rsidRDefault="00D053AB" w:rsidP="00D053AB">
      <w:pPr>
        <w:pStyle w:val="SingleTxt"/>
        <w:ind w:left="1742" w:hanging="475"/>
      </w:pPr>
      <w:r w:rsidRPr="006F5458">
        <w:tab/>
        <w:t>i)</w:t>
      </w:r>
      <w:r w:rsidRPr="006F5458">
        <w:tab/>
        <w:t xml:space="preserve">документ получил новое название − </w:t>
      </w:r>
      <w:r>
        <w:t>«</w:t>
      </w:r>
      <w:r w:rsidRPr="006F5458">
        <w:t>План оценки результативности Подпрограммы по окружающей среде на двухгодичный период 2014−2015</w:t>
      </w:r>
      <w:r>
        <w:t> </w:t>
      </w:r>
      <w:r w:rsidRPr="006F5458">
        <w:t>годов</w:t>
      </w:r>
      <w:r>
        <w:t>»</w:t>
      </w:r>
      <w:r w:rsidRPr="006F5458">
        <w:t>;</w:t>
      </w:r>
    </w:p>
    <w:p w:rsidR="00D053AB" w:rsidRPr="006F5458" w:rsidRDefault="00D053AB" w:rsidP="00D053AB">
      <w:pPr>
        <w:pStyle w:val="SingleTxt"/>
        <w:ind w:left="1742" w:hanging="475"/>
      </w:pPr>
      <w:r w:rsidRPr="006F5458">
        <w:tab/>
      </w:r>
      <w:proofErr w:type="spellStart"/>
      <w:proofErr w:type="gramStart"/>
      <w:r w:rsidRPr="006F5458">
        <w:t>ii</w:t>
      </w:r>
      <w:proofErr w:type="spellEnd"/>
      <w:r w:rsidRPr="006F5458">
        <w:t>)</w:t>
      </w:r>
      <w:r w:rsidRPr="006F5458">
        <w:tab/>
        <w:t xml:space="preserve">в рамках тематического блока Конвенции </w:t>
      </w:r>
      <w:proofErr w:type="spellStart"/>
      <w:r w:rsidRPr="006F5458">
        <w:t>Эспо</w:t>
      </w:r>
      <w:proofErr w:type="spellEnd"/>
      <w:r w:rsidRPr="006F5458">
        <w:t xml:space="preserve"> в него были включены два дополнительных показателя достижения результатов, предложенные Литвой (от имени государств</w:t>
      </w:r>
      <w:r>
        <w:t xml:space="preserve"> – </w:t>
      </w:r>
      <w:r w:rsidRPr="006F5458">
        <w:t>членов ЕС) на предыдущей сессии КЭП;</w:t>
      </w:r>
      <w:proofErr w:type="gramEnd"/>
    </w:p>
    <w:p w:rsidR="00D053AB" w:rsidRPr="006F5458" w:rsidRDefault="00D053AB" w:rsidP="00D053AB">
      <w:pPr>
        <w:pStyle w:val="SingleTxt"/>
      </w:pPr>
      <w:r w:rsidRPr="006F5458">
        <w:tab/>
      </w:r>
      <w:proofErr w:type="spellStart"/>
      <w:r w:rsidRPr="006F5458">
        <w:t>kk</w:t>
      </w:r>
      <w:proofErr w:type="spellEnd"/>
      <w:r w:rsidRPr="006F5458">
        <w:t>)</w:t>
      </w:r>
      <w:r w:rsidRPr="006F5458">
        <w:tab/>
        <w:t>утвердил предложенное расписание совещаний КЭП и Президиума КЭП на период 2014</w:t>
      </w:r>
      <w:r>
        <w:t>–</w:t>
      </w:r>
      <w:r w:rsidRPr="006F5458">
        <w:t>2017 годов (информационный документ № 8) с одной п</w:t>
      </w:r>
      <w:r w:rsidRPr="006F5458">
        <w:t>о</w:t>
      </w:r>
      <w:r w:rsidRPr="006F5458">
        <w:t>правкой, касающейся совещания Президиума КЭП в 2015 году, и принял реш</w:t>
      </w:r>
      <w:r w:rsidRPr="006F5458">
        <w:t>е</w:t>
      </w:r>
      <w:r w:rsidRPr="006F5458">
        <w:t>ние провести двадцать первую сессию КЭП с 27 по 30 октября 2015 года;</w:t>
      </w:r>
    </w:p>
    <w:p w:rsidR="00D053AB" w:rsidRPr="006F5458" w:rsidRDefault="00D053AB" w:rsidP="00D053AB">
      <w:pPr>
        <w:pStyle w:val="SingleTxt"/>
      </w:pPr>
      <w:r w:rsidRPr="006F5458">
        <w:tab/>
      </w:r>
      <w:proofErr w:type="spellStart"/>
      <w:proofErr w:type="gramStart"/>
      <w:r w:rsidRPr="006F5458">
        <w:t>ll</w:t>
      </w:r>
      <w:proofErr w:type="spellEnd"/>
      <w:r w:rsidRPr="006F5458">
        <w:t>)</w:t>
      </w:r>
      <w:r w:rsidRPr="006F5458">
        <w:tab/>
        <w:t>принял к сведению представленную информацию об обеспечении уч</w:t>
      </w:r>
      <w:r w:rsidRPr="006F5458">
        <w:t>е</w:t>
      </w:r>
      <w:r w:rsidRPr="006F5458">
        <w:t>та гендерного фактора в деятельности в области окружающей среды, осущест</w:t>
      </w:r>
      <w:r w:rsidRPr="006F5458">
        <w:t>в</w:t>
      </w:r>
      <w:r w:rsidRPr="006F5458">
        <w:t>ляемой Отделом по окружающей среде с момента проведения предыдущей се</w:t>
      </w:r>
      <w:r w:rsidRPr="006F5458">
        <w:t>с</w:t>
      </w:r>
      <w:r w:rsidRPr="006F5458">
        <w:t>сии КЭП;</w:t>
      </w:r>
      <w:proofErr w:type="gramEnd"/>
    </w:p>
    <w:p w:rsidR="00D053AB" w:rsidRPr="006F5458" w:rsidRDefault="00D053AB" w:rsidP="00D053AB">
      <w:pPr>
        <w:pStyle w:val="SingleTxt"/>
      </w:pPr>
      <w:r w:rsidRPr="006F5458">
        <w:lastRenderedPageBreak/>
        <w:tab/>
      </w:r>
      <w:proofErr w:type="spellStart"/>
      <w:proofErr w:type="gramStart"/>
      <w:r w:rsidRPr="006F5458">
        <w:t>mm</w:t>
      </w:r>
      <w:proofErr w:type="spellEnd"/>
      <w:r w:rsidRPr="006F5458">
        <w:t>)</w:t>
      </w:r>
      <w:r w:rsidRPr="006F5458">
        <w:tab/>
        <w:t>просил свой Президиум и секретариат предпринять последующие де</w:t>
      </w:r>
      <w:r w:rsidRPr="006F5458">
        <w:t>й</w:t>
      </w:r>
      <w:r w:rsidRPr="006F5458">
        <w:t>ствия в связи с решениями КЭП и, в частности</w:t>
      </w:r>
      <w:r>
        <w:t>,</w:t>
      </w:r>
      <w:r w:rsidRPr="006F5458">
        <w:t xml:space="preserve"> подготовить документы и докл</w:t>
      </w:r>
      <w:r w:rsidRPr="006F5458">
        <w:t>а</w:t>
      </w:r>
      <w:r w:rsidRPr="006F5458">
        <w:t>ды, необходимые для работы КЭП на его двадцать первой сессии;</w:t>
      </w:r>
      <w:proofErr w:type="gramEnd"/>
    </w:p>
    <w:p w:rsidR="00D053AB" w:rsidRPr="006F5458" w:rsidRDefault="00D053AB" w:rsidP="00D053AB">
      <w:pPr>
        <w:pStyle w:val="SingleTxt"/>
      </w:pPr>
      <w:r w:rsidRPr="006F5458">
        <w:tab/>
      </w:r>
      <w:proofErr w:type="spellStart"/>
      <w:proofErr w:type="gramStart"/>
      <w:r w:rsidRPr="006F5458">
        <w:t>nn</w:t>
      </w:r>
      <w:proofErr w:type="spellEnd"/>
      <w:r w:rsidRPr="006F5458">
        <w:t>)</w:t>
      </w:r>
      <w:r w:rsidRPr="006F5458">
        <w:tab/>
        <w:t>выразил признательность секретариату за прекрасную организацию совещания.</w:t>
      </w:r>
      <w:proofErr w:type="gramEnd"/>
    </w:p>
    <w:p w:rsidR="00D053AB" w:rsidRPr="00F67013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F67013" w:rsidRDefault="00D053AB" w:rsidP="00D053AB">
      <w:pPr>
        <w:pStyle w:val="SingleTxt"/>
        <w:spacing w:after="0" w:line="120" w:lineRule="exact"/>
        <w:rPr>
          <w:b/>
          <w:sz w:val="10"/>
        </w:rPr>
      </w:pPr>
    </w:p>
    <w:p w:rsidR="00D053AB" w:rsidRPr="006F5458" w:rsidRDefault="00D053AB" w:rsidP="00D053A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F5458">
        <w:tab/>
        <w:t>Х</w:t>
      </w:r>
      <w:proofErr w:type="gramStart"/>
      <w:r w:rsidRPr="006F5458">
        <w:t>V</w:t>
      </w:r>
      <w:proofErr w:type="gramEnd"/>
      <w:r w:rsidRPr="006F5458">
        <w:t>.</w:t>
      </w:r>
      <w:r w:rsidRPr="006F5458">
        <w:tab/>
        <w:t xml:space="preserve">Закрытие </w:t>
      </w:r>
      <w:r w:rsidR="00806DB5" w:rsidRPr="006F5458">
        <w:t>совещ</w:t>
      </w:r>
      <w:bookmarkStart w:id="1" w:name="_GoBack"/>
      <w:bookmarkEnd w:id="1"/>
      <w:r w:rsidR="00806DB5" w:rsidRPr="006F5458">
        <w:t>ания</w:t>
      </w:r>
    </w:p>
    <w:p w:rsidR="00D053AB" w:rsidRPr="00F67013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F67013" w:rsidRDefault="00D053AB" w:rsidP="00D053AB">
      <w:pPr>
        <w:pStyle w:val="SingleTxt"/>
        <w:spacing w:after="0" w:line="120" w:lineRule="exact"/>
        <w:rPr>
          <w:sz w:val="10"/>
        </w:rPr>
      </w:pPr>
    </w:p>
    <w:p w:rsidR="00D053AB" w:rsidRPr="006F5458" w:rsidRDefault="00D053AB" w:rsidP="00D053AB">
      <w:pPr>
        <w:pStyle w:val="SingleTxt"/>
      </w:pPr>
      <w:r w:rsidRPr="006F5458">
        <w:t>99.</w:t>
      </w:r>
      <w:r w:rsidRPr="006F5458">
        <w:tab/>
        <w:t>Председатель КЭП при поддержке секретариата подготовил резюме итогов работы и решений, принятых КЭП на его двадцатой сессии, которое было пок</w:t>
      </w:r>
      <w:r w:rsidRPr="006F5458">
        <w:t>а</w:t>
      </w:r>
      <w:r w:rsidRPr="006F5458">
        <w:t>зано на экране в зале заседаний. После обсуждения проект резюме был дораб</w:t>
      </w:r>
      <w:r w:rsidRPr="006F5458">
        <w:t>о</w:t>
      </w:r>
      <w:r w:rsidRPr="006F5458">
        <w:t>тан и утвержден. Утвержденное резюме было препровождено КЭП по электро</w:t>
      </w:r>
      <w:r w:rsidRPr="006F5458">
        <w:t>н</w:t>
      </w:r>
      <w:r w:rsidRPr="006F5458">
        <w:t xml:space="preserve">ной почте в понедельник, 3 ноября 2014 года. Оно приводится в разделе XIV </w:t>
      </w:r>
      <w:r>
        <w:br/>
      </w:r>
      <w:r w:rsidRPr="006F5458">
        <w:t>выше</w:t>
      </w:r>
      <w:r w:rsidRPr="006F5458">
        <w:rPr>
          <w:vertAlign w:val="superscript"/>
        </w:rPr>
        <w:footnoteReference w:id="12"/>
      </w:r>
      <w:r w:rsidRPr="006F5458">
        <w:t>.</w:t>
      </w:r>
    </w:p>
    <w:p w:rsidR="00D053AB" w:rsidRPr="006F5458" w:rsidRDefault="00D053AB" w:rsidP="00D053AB">
      <w:pPr>
        <w:pStyle w:val="SingleTxt"/>
      </w:pPr>
      <w:r w:rsidRPr="006F5458">
        <w:t>100.</w:t>
      </w:r>
      <w:r w:rsidRPr="006F5458">
        <w:tab/>
        <w:t>КЭП просил свой Президиум и секретариат предпринять последующие де</w:t>
      </w:r>
      <w:r w:rsidRPr="006F5458">
        <w:t>й</w:t>
      </w:r>
      <w:r w:rsidRPr="006F5458">
        <w:t>ствия в связи с решениями КЭП и, в частности</w:t>
      </w:r>
      <w:r>
        <w:t>,</w:t>
      </w:r>
      <w:r w:rsidRPr="006F5458">
        <w:t xml:space="preserve"> подготовить документы и докл</w:t>
      </w:r>
      <w:r w:rsidRPr="006F5458">
        <w:t>а</w:t>
      </w:r>
      <w:r w:rsidRPr="006F5458">
        <w:t>ды, необходимые для работы КЭП на его двадцать первой сессии. Кроме того, делегаты выразили свою признательность секретариату за прекрасную организ</w:t>
      </w:r>
      <w:r w:rsidRPr="006F5458">
        <w:t>а</w:t>
      </w:r>
      <w:r w:rsidRPr="006F5458">
        <w:t>цию совещания.</w:t>
      </w:r>
    </w:p>
    <w:p w:rsidR="00D053AB" w:rsidRDefault="00D053AB" w:rsidP="00D053AB">
      <w:pPr>
        <w:pStyle w:val="SingleTxt"/>
        <w:rPr>
          <w:lang w:val="en-US"/>
        </w:rPr>
      </w:pPr>
      <w:r w:rsidRPr="006F5458">
        <w:t>101.</w:t>
      </w:r>
      <w:r w:rsidRPr="006F5458">
        <w:tab/>
        <w:t>Председатель проинформировал КЭП о том, что доклад о работе настоящей сессии и список участников будут размещены на веб-сайте ЕЭК после совещ</w:t>
      </w:r>
      <w:r w:rsidRPr="006F5458">
        <w:t>а</w:t>
      </w:r>
      <w:r w:rsidRPr="006F5458">
        <w:t>ния. Председатель поблагодарил участников и объявил совещание закрытым.</w:t>
      </w:r>
    </w:p>
    <w:p w:rsidR="00D053AB" w:rsidRPr="006F5458" w:rsidRDefault="00D053AB" w:rsidP="00D053AB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719E0" wp14:editId="7C385799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p w:rsidR="00D053AB" w:rsidRPr="00EC398C" w:rsidRDefault="00D053AB" w:rsidP="00D053AB">
      <w:pPr>
        <w:pStyle w:val="SingleTxt"/>
        <w:spacing w:after="0" w:line="240" w:lineRule="auto"/>
        <w:rPr>
          <w:szCs w:val="20"/>
        </w:rPr>
      </w:pPr>
    </w:p>
    <w:sectPr w:rsidR="00D053AB" w:rsidRPr="00EC398C" w:rsidSect="00F8454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1-24T11:29:00Z" w:initials="Start">
    <w:p w:rsidR="00B03044" w:rsidRPr="0064027F" w:rsidRDefault="00B03044">
      <w:pPr>
        <w:pStyle w:val="CommentText"/>
        <w:rPr>
          <w:lang w:val="en-US"/>
        </w:rPr>
      </w:pPr>
      <w:r>
        <w:fldChar w:fldCharType="begin"/>
      </w:r>
      <w:r w:rsidRPr="0064027F">
        <w:rPr>
          <w:rStyle w:val="CommentReference"/>
          <w:lang w:val="en-US"/>
        </w:rPr>
        <w:instrText xml:space="preserve"> </w:instrText>
      </w:r>
      <w:r w:rsidRPr="0064027F">
        <w:rPr>
          <w:lang w:val="en-US"/>
        </w:rPr>
        <w:instrText>PAGE \# "'Page: '#'</w:instrText>
      </w:r>
      <w:r w:rsidRPr="0064027F">
        <w:rPr>
          <w:lang w:val="en-US"/>
        </w:rPr>
        <w:br/>
        <w:instrText>'"</w:instrText>
      </w:r>
      <w:r w:rsidRPr="0064027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64027F">
        <w:rPr>
          <w:lang w:val="en-US"/>
        </w:rPr>
        <w:t>&lt;&lt;ODS JOB NO&gt;&gt;N1518431R&lt;&lt;ODS JOB NO&gt;&gt;</w:t>
      </w:r>
    </w:p>
    <w:p w:rsidR="00B03044" w:rsidRDefault="00B03044">
      <w:pPr>
        <w:pStyle w:val="CommentText"/>
      </w:pPr>
      <w:r>
        <w:t>&lt;&lt;ODS DOC SYMBOL1&gt;&gt;ECE/CEP/2014/2&lt;&lt;ODS DOC SYMBOL1&gt;&gt;</w:t>
      </w:r>
    </w:p>
    <w:p w:rsidR="00B03044" w:rsidRDefault="00B03044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44" w:rsidRDefault="00B03044" w:rsidP="008A1A7A">
      <w:pPr>
        <w:spacing w:line="240" w:lineRule="auto"/>
      </w:pPr>
      <w:r>
        <w:separator/>
      </w:r>
    </w:p>
  </w:endnote>
  <w:endnote w:type="continuationSeparator" w:id="0">
    <w:p w:rsidR="00B03044" w:rsidRDefault="00B0304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03044" w:rsidTr="00F8454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03044" w:rsidRPr="00F84542" w:rsidRDefault="00B03044" w:rsidP="00F8454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6299D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46299D">
              <w:rPr>
                <w:noProof/>
              </w:rPr>
              <w:t>27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B03044" w:rsidRPr="00F84542" w:rsidRDefault="00B03044" w:rsidP="00F8454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6299D">
            <w:rPr>
              <w:b w:val="0"/>
              <w:color w:val="000000"/>
              <w:sz w:val="14"/>
            </w:rPr>
            <w:t>GE.15-13971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03044" w:rsidRPr="00F84542" w:rsidRDefault="00B03044" w:rsidP="00F845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03044" w:rsidTr="00F8454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03044" w:rsidRPr="00F84542" w:rsidRDefault="00B03044" w:rsidP="00F8454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6299D">
            <w:rPr>
              <w:b w:val="0"/>
              <w:color w:val="000000"/>
              <w:sz w:val="14"/>
            </w:rPr>
            <w:t>GE.15-13971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03044" w:rsidRPr="00F84542" w:rsidRDefault="00B03044" w:rsidP="00F8454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6299D">
            <w:rPr>
              <w:noProof/>
            </w:rPr>
            <w:t>27</w:t>
          </w:r>
          <w:r>
            <w:fldChar w:fldCharType="end"/>
          </w:r>
          <w:r>
            <w:t>/</w:t>
          </w:r>
          <w:fldSimple w:instr=" NUMPAGES  \* Arabic  \* MERGEFORMAT ">
            <w:r w:rsidR="0046299D">
              <w:rPr>
                <w:noProof/>
              </w:rPr>
              <w:t>27</w:t>
            </w:r>
          </w:fldSimple>
        </w:p>
      </w:tc>
    </w:tr>
  </w:tbl>
  <w:p w:rsidR="00B03044" w:rsidRPr="00F84542" w:rsidRDefault="00B03044" w:rsidP="00F845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03044" w:rsidTr="00F84542">
      <w:tc>
        <w:tcPr>
          <w:tcW w:w="3873" w:type="dxa"/>
        </w:tcPr>
        <w:p w:rsidR="00B03044" w:rsidRDefault="00B03044" w:rsidP="00D053AB">
          <w:pPr>
            <w:pStyle w:val="ReleaseDate"/>
            <w:rPr>
              <w:color w:val="010000"/>
            </w:rPr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0BD5A76D" wp14:editId="1E84C0F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2014/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4/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GE.15-13971 (R)</w:t>
          </w:r>
          <w:r>
            <w:rPr>
              <w:color w:val="010000"/>
            </w:rPr>
            <w:t xml:space="preserve">    231115    241115</w:t>
          </w:r>
        </w:p>
        <w:p w:rsidR="00B03044" w:rsidRPr="00F84542" w:rsidRDefault="00B03044" w:rsidP="00F8454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*1513971*</w:t>
          </w:r>
        </w:p>
      </w:tc>
      <w:tc>
        <w:tcPr>
          <w:tcW w:w="5127" w:type="dxa"/>
        </w:tcPr>
        <w:p w:rsidR="00B03044" w:rsidRDefault="00B03044" w:rsidP="00F8454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zh-CN"/>
            </w:rPr>
            <w:drawing>
              <wp:inline distT="0" distB="0" distL="0" distR="0" wp14:anchorId="236EC224" wp14:editId="6B1AA2A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3044" w:rsidRPr="00F84542" w:rsidRDefault="00B03044" w:rsidP="00F8454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44" w:rsidRPr="00EC398C" w:rsidRDefault="00B03044" w:rsidP="00EC398C">
      <w:pPr>
        <w:pStyle w:val="Footer"/>
        <w:spacing w:after="80"/>
        <w:ind w:left="792"/>
        <w:rPr>
          <w:sz w:val="16"/>
        </w:rPr>
      </w:pPr>
      <w:r w:rsidRPr="00EC398C">
        <w:rPr>
          <w:sz w:val="16"/>
        </w:rPr>
        <w:t>__________________</w:t>
      </w:r>
    </w:p>
  </w:footnote>
  <w:footnote w:type="continuationSeparator" w:id="0">
    <w:p w:rsidR="00B03044" w:rsidRPr="00EC398C" w:rsidRDefault="00B03044" w:rsidP="00EC398C">
      <w:pPr>
        <w:pStyle w:val="Footer"/>
        <w:spacing w:after="80"/>
        <w:ind w:left="792"/>
        <w:rPr>
          <w:sz w:val="16"/>
        </w:rPr>
      </w:pPr>
      <w:r w:rsidRPr="00EC398C">
        <w:rPr>
          <w:sz w:val="16"/>
        </w:rPr>
        <w:t>__________________</w:t>
      </w:r>
    </w:p>
  </w:footnote>
  <w:footnote w:id="1">
    <w:p w:rsidR="00B03044" w:rsidRDefault="00B03044" w:rsidP="00EC398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>
        <w:tab/>
        <w:t xml:space="preserve">Общеевропейский регион в рамках процесса ОСЕ охватывает всех членов ЕЭК, </w:t>
      </w:r>
      <w:r>
        <w:br/>
        <w:t>т.е. 56 государств – членов ЕЭК.</w:t>
      </w:r>
    </w:p>
  </w:footnote>
  <w:footnote w:id="2">
    <w:p w:rsidR="00B03044" w:rsidRDefault="00B03044" w:rsidP="00B459BA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>
        <w:tab/>
        <w:t xml:space="preserve">Информация и документы, касающиеся двадцатой сессии, доступны по адресу: </w:t>
      </w:r>
      <w:hyperlink r:id="rId1" w:history="1">
        <w:r w:rsidRPr="00B459BA">
          <w:rPr>
            <w:rStyle w:val="Hyperlink"/>
            <w:color w:val="auto"/>
            <w:u w:val="none"/>
          </w:rPr>
          <w:t>www.unece.org/env/cep/2014sessionoctober</w:t>
        </w:r>
      </w:hyperlink>
      <w:r>
        <w:t xml:space="preserve">. </w:t>
      </w:r>
    </w:p>
  </w:footnote>
  <w:footnote w:id="3">
    <w:p w:rsidR="00B03044" w:rsidRDefault="00B03044" w:rsidP="00B459BA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>
        <w:tab/>
        <w:t xml:space="preserve">Информационные материалы и документы доступны по адресу: </w:t>
      </w:r>
      <w:hyperlink r:id="rId2" w:history="1">
        <w:r w:rsidRPr="00B459BA">
          <w:rPr>
            <w:rStyle w:val="Hyperlink"/>
            <w:color w:val="auto"/>
            <w:u w:val="none"/>
          </w:rPr>
          <w:t>www.worldwewant2015.org/</w:t>
        </w:r>
        <w:r>
          <w:rPr>
            <w:rStyle w:val="Hyperlink"/>
            <w:color w:val="auto"/>
            <w:u w:val="none"/>
          </w:rPr>
          <w:t xml:space="preserve"> </w:t>
        </w:r>
        <w:proofErr w:type="spellStart"/>
        <w:r w:rsidRPr="00B459BA">
          <w:rPr>
            <w:rStyle w:val="Hyperlink"/>
            <w:color w:val="auto"/>
            <w:u w:val="none"/>
          </w:rPr>
          <w:t>EuropeCentralAsia</w:t>
        </w:r>
        <w:proofErr w:type="spellEnd"/>
      </w:hyperlink>
      <w:r>
        <w:t>.</w:t>
      </w:r>
    </w:p>
  </w:footnote>
  <w:footnote w:id="4">
    <w:p w:rsidR="00B03044" w:rsidRDefault="00B03044" w:rsidP="00B459BA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>
        <w:tab/>
        <w:t xml:space="preserve">Информационные материалы и документы доступны по адресу: </w:t>
      </w:r>
      <w:hyperlink r:id="rId3" w:history="1">
        <w:r w:rsidRPr="00B459BA">
          <w:rPr>
            <w:rStyle w:val="Hyperlink"/>
            <w:color w:val="auto"/>
            <w:u w:val="none"/>
          </w:rPr>
          <w:t>www.unece.org/</w:t>
        </w:r>
        <w:r>
          <w:rPr>
            <w:rStyle w:val="Hyperlink"/>
            <w:color w:val="auto"/>
            <w:u w:val="none"/>
          </w:rPr>
          <w:t xml:space="preserve"> </w:t>
        </w:r>
        <w:proofErr w:type="spellStart"/>
        <w:r w:rsidRPr="00B459BA">
          <w:rPr>
            <w:rStyle w:val="Hyperlink"/>
            <w:color w:val="auto"/>
            <w:u w:val="none"/>
          </w:rPr>
          <w:t>index.php?id</w:t>
        </w:r>
        <w:proofErr w:type="spellEnd"/>
        <w:r w:rsidRPr="00B459BA">
          <w:rPr>
            <w:rStyle w:val="Hyperlink"/>
            <w:color w:val="auto"/>
            <w:u w:val="none"/>
          </w:rPr>
          <w:t>=35851</w:t>
        </w:r>
      </w:hyperlink>
      <w:r>
        <w:t>.</w:t>
      </w:r>
    </w:p>
  </w:footnote>
  <w:footnote w:id="5">
    <w:p w:rsidR="00B03044" w:rsidRDefault="00B03044" w:rsidP="00EC398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>
        <w:tab/>
        <w:t xml:space="preserve">Для получения более подробной информации см. </w:t>
      </w:r>
      <w:hyperlink r:id="rId4" w:history="1">
        <w:r w:rsidRPr="00B459BA">
          <w:rPr>
            <w:rStyle w:val="Hyperlink"/>
            <w:color w:val="auto"/>
            <w:u w:val="none"/>
          </w:rPr>
          <w:t>http://e-learning.informea.org/</w:t>
        </w:r>
      </w:hyperlink>
      <w:r>
        <w:t>.</w:t>
      </w:r>
    </w:p>
  </w:footnote>
  <w:footnote w:id="6">
    <w:p w:rsidR="00B03044" w:rsidRDefault="00B03044" w:rsidP="00EC398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>
        <w:tab/>
        <w:t>Например, странами Кавказа, Центральной Азии и восточной и Юго-Восточной Европы.</w:t>
      </w:r>
    </w:p>
  </w:footnote>
  <w:footnote w:id="7">
    <w:p w:rsidR="00B03044" w:rsidRDefault="00B03044" w:rsidP="00D053A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>
        <w:tab/>
        <w:t xml:space="preserve">См. </w:t>
      </w:r>
      <w:hyperlink r:id="rId5" w:history="1">
        <w:r w:rsidRPr="00B459BA">
          <w:rPr>
            <w:rStyle w:val="Hyperlink"/>
            <w:color w:val="auto"/>
            <w:u w:val="none"/>
          </w:rPr>
          <w:t>www.unece.org/index.php?id=37180&amp;L=0</w:t>
        </w:r>
      </w:hyperlink>
      <w:r>
        <w:t>.</w:t>
      </w:r>
    </w:p>
  </w:footnote>
  <w:footnote w:id="8">
    <w:p w:rsidR="00B03044" w:rsidRDefault="00B03044" w:rsidP="00D053A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>
        <w:tab/>
        <w:t xml:space="preserve">См. </w:t>
      </w:r>
      <w:hyperlink r:id="rId6" w:history="1">
        <w:r w:rsidRPr="00B459BA">
          <w:rPr>
            <w:rStyle w:val="Hyperlink"/>
            <w:color w:val="auto"/>
            <w:u w:val="none"/>
          </w:rPr>
          <w:t>www.unece.org/housing/charter.html</w:t>
        </w:r>
      </w:hyperlink>
      <w:r>
        <w:t>.</w:t>
      </w:r>
    </w:p>
  </w:footnote>
  <w:footnote w:id="9">
    <w:p w:rsidR="00B03044" w:rsidRDefault="00B03044" w:rsidP="00D053A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>
        <w:tab/>
        <w:t>Упоминание в настоящем документе названий фирм и коммерческих продуктов не означает одобрения со стороны Организации Объединенных Наций.</w:t>
      </w:r>
    </w:p>
  </w:footnote>
  <w:footnote w:id="10">
    <w:p w:rsidR="00B03044" w:rsidRDefault="00B03044" w:rsidP="00367133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>
        <w:tab/>
        <w:t xml:space="preserve">Впоследствии представитель Беларуси, г-жа Марина </w:t>
      </w:r>
      <w:proofErr w:type="spellStart"/>
      <w:r>
        <w:t>Филипюк</w:t>
      </w:r>
      <w:proofErr w:type="spellEnd"/>
      <w:r>
        <w:t>, была избрана по электронной почте.</w:t>
      </w:r>
    </w:p>
  </w:footnote>
  <w:footnote w:id="11">
    <w:p w:rsidR="00B03044" w:rsidRDefault="00B03044" w:rsidP="00D053A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>
        <w:tab/>
        <w:t>Например, странам Кавказа, Центральной Азии и Восточной и Юго-Восточной Европы.</w:t>
      </w:r>
    </w:p>
  </w:footnote>
  <w:footnote w:id="12">
    <w:p w:rsidR="00B03044" w:rsidRDefault="00B03044" w:rsidP="00D053A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>
        <w:tab/>
        <w:t>Текст был официально отредактирован после утверждения. Любые изменения носят исключительно редакционный характер и не влияют на существо решений.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03044" w:rsidTr="00F8454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03044" w:rsidRPr="00F84542" w:rsidRDefault="00B03044" w:rsidP="00F8454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6299D">
            <w:rPr>
              <w:b/>
            </w:rPr>
            <w:t>ECE/CEP/2014/2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03044" w:rsidRDefault="00B03044" w:rsidP="00F84542">
          <w:pPr>
            <w:pStyle w:val="Header"/>
          </w:pPr>
        </w:p>
      </w:tc>
    </w:tr>
  </w:tbl>
  <w:p w:rsidR="00B03044" w:rsidRPr="00F84542" w:rsidRDefault="00B03044" w:rsidP="00F84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03044" w:rsidTr="00F8454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03044" w:rsidRDefault="00B03044" w:rsidP="00F8454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03044" w:rsidRPr="00F84542" w:rsidRDefault="00B03044" w:rsidP="00F8454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6299D">
            <w:rPr>
              <w:b/>
            </w:rPr>
            <w:t>ECE/CEP/2014/2</w:t>
          </w:r>
          <w:r>
            <w:rPr>
              <w:b/>
            </w:rPr>
            <w:fldChar w:fldCharType="end"/>
          </w:r>
        </w:p>
      </w:tc>
    </w:tr>
  </w:tbl>
  <w:p w:rsidR="00B03044" w:rsidRPr="00F84542" w:rsidRDefault="00B03044" w:rsidP="00F845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03044" w:rsidTr="00F8454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03044" w:rsidRPr="00F84542" w:rsidRDefault="00B03044" w:rsidP="00F8454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03044" w:rsidRDefault="00B03044" w:rsidP="00F8454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03044" w:rsidRPr="00F84542" w:rsidRDefault="00B03044" w:rsidP="00F8454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/CEP/2014/2</w:t>
          </w:r>
        </w:p>
      </w:tc>
    </w:tr>
    <w:tr w:rsidR="00B03044" w:rsidRPr="00F17D76" w:rsidTr="00F8454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03044" w:rsidRPr="00F84542" w:rsidRDefault="00B03044" w:rsidP="00F8454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zh-CN"/>
            </w:rPr>
            <w:drawing>
              <wp:inline distT="0" distB="0" distL="0" distR="0" wp14:anchorId="49B11FDE" wp14:editId="2B20641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03044" w:rsidRPr="00F84542" w:rsidRDefault="00B03044" w:rsidP="00F8454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03044" w:rsidRPr="00F84542" w:rsidRDefault="00B03044" w:rsidP="00F8454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03044" w:rsidRPr="0064027F" w:rsidRDefault="00B03044" w:rsidP="00F84542">
          <w:pPr>
            <w:pStyle w:val="Distribution"/>
            <w:rPr>
              <w:color w:val="000000"/>
              <w:lang w:val="en-US"/>
            </w:rPr>
          </w:pPr>
          <w:r w:rsidRPr="0064027F">
            <w:rPr>
              <w:color w:val="000000"/>
              <w:lang w:val="en-US"/>
            </w:rPr>
            <w:t>Distr.: General</w:t>
          </w:r>
        </w:p>
        <w:p w:rsidR="00B03044" w:rsidRPr="0064027F" w:rsidRDefault="00B03044" w:rsidP="00F84542">
          <w:pPr>
            <w:pStyle w:val="Publication"/>
            <w:rPr>
              <w:color w:val="000000"/>
              <w:lang w:val="en-US"/>
            </w:rPr>
          </w:pPr>
          <w:r w:rsidRPr="0064027F">
            <w:rPr>
              <w:color w:val="000000"/>
              <w:lang w:val="en-US"/>
            </w:rPr>
            <w:t>18 August 2015</w:t>
          </w:r>
        </w:p>
        <w:p w:rsidR="00B03044" w:rsidRPr="0064027F" w:rsidRDefault="00B03044" w:rsidP="00F84542">
          <w:pPr>
            <w:rPr>
              <w:color w:val="000000"/>
              <w:lang w:val="en-US"/>
            </w:rPr>
          </w:pPr>
          <w:r w:rsidRPr="0064027F">
            <w:rPr>
              <w:color w:val="000000"/>
              <w:lang w:val="en-US"/>
            </w:rPr>
            <w:t>Russian</w:t>
          </w:r>
        </w:p>
        <w:p w:rsidR="00B03044" w:rsidRPr="0064027F" w:rsidRDefault="00B03044" w:rsidP="00F84542">
          <w:pPr>
            <w:pStyle w:val="Original"/>
            <w:rPr>
              <w:color w:val="000000"/>
              <w:lang w:val="en-US"/>
            </w:rPr>
          </w:pPr>
          <w:r w:rsidRPr="0064027F">
            <w:rPr>
              <w:color w:val="000000"/>
              <w:lang w:val="en-US"/>
            </w:rPr>
            <w:t>Original: English</w:t>
          </w:r>
        </w:p>
        <w:p w:rsidR="00B03044" w:rsidRPr="0064027F" w:rsidRDefault="00B03044" w:rsidP="00F84542">
          <w:pPr>
            <w:rPr>
              <w:lang w:val="en-US"/>
            </w:rPr>
          </w:pPr>
        </w:p>
      </w:tc>
    </w:tr>
  </w:tbl>
  <w:p w:rsidR="00B03044" w:rsidRPr="0064027F" w:rsidRDefault="00B03044" w:rsidP="00F8454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3539136B"/>
    <w:multiLevelType w:val="multilevel"/>
    <w:tmpl w:val="564624D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5B767DD1"/>
    <w:multiLevelType w:val="multilevel"/>
    <w:tmpl w:val="8F7629BE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1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119A6"/>
    <w:multiLevelType w:val="multilevel"/>
    <w:tmpl w:val="9F96EEDA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971*"/>
    <w:docVar w:name="CreationDt" w:val="11/24/2015 11:29 AM"/>
    <w:docVar w:name="DocCategory" w:val="Doc"/>
    <w:docVar w:name="DocType" w:val="Final"/>
    <w:docVar w:name="DutyStation" w:val="Geneva"/>
    <w:docVar w:name="FooterJN" w:val="GE.15-13971"/>
    <w:docVar w:name="jobn" w:val="GE.15-13971 (R)"/>
    <w:docVar w:name="jobnDT" w:val="GE.15-13971 (R)   241115"/>
    <w:docVar w:name="jobnDTDT" w:val="GE.15-13971 (R)   241115   241115"/>
    <w:docVar w:name="JobNo" w:val="GE.1513971R"/>
    <w:docVar w:name="JobNo2" w:val="1518431R"/>
    <w:docVar w:name="LocalDrive" w:val="0"/>
    <w:docVar w:name="OandT" w:val=" "/>
    <w:docVar w:name="PaperSize" w:val="A4"/>
    <w:docVar w:name="sss1" w:val="ECE/CEP/2014/2"/>
    <w:docVar w:name="sss2" w:val="-"/>
    <w:docVar w:name="Symbol1" w:val="ECE/CEP/2014/2"/>
    <w:docVar w:name="Symbol2" w:val="-"/>
  </w:docVars>
  <w:rsids>
    <w:rsidRoot w:val="00F6561E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3AC6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499D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4F12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67133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299D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37A"/>
    <w:rsid w:val="005E3D0D"/>
    <w:rsid w:val="005E7DCF"/>
    <w:rsid w:val="005F02E0"/>
    <w:rsid w:val="005F6E5C"/>
    <w:rsid w:val="00602F9D"/>
    <w:rsid w:val="0060593E"/>
    <w:rsid w:val="00611EE5"/>
    <w:rsid w:val="00614F1D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27F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36E0"/>
    <w:rsid w:val="006B452C"/>
    <w:rsid w:val="006B590B"/>
    <w:rsid w:val="006C44B7"/>
    <w:rsid w:val="006C59D5"/>
    <w:rsid w:val="006D58BE"/>
    <w:rsid w:val="006E09D5"/>
    <w:rsid w:val="006E12EC"/>
    <w:rsid w:val="006E1418"/>
    <w:rsid w:val="006F3683"/>
    <w:rsid w:val="00700738"/>
    <w:rsid w:val="007042EA"/>
    <w:rsid w:val="007043B9"/>
    <w:rsid w:val="00704DC0"/>
    <w:rsid w:val="00705549"/>
    <w:rsid w:val="0071210D"/>
    <w:rsid w:val="00716BC5"/>
    <w:rsid w:val="007170E5"/>
    <w:rsid w:val="00723115"/>
    <w:rsid w:val="00723A18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06DB5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A727D"/>
    <w:rsid w:val="008B0632"/>
    <w:rsid w:val="008B08A3"/>
    <w:rsid w:val="008B0A6E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0C1A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021F"/>
    <w:rsid w:val="00AC271B"/>
    <w:rsid w:val="00AD12DB"/>
    <w:rsid w:val="00AD6322"/>
    <w:rsid w:val="00AD6752"/>
    <w:rsid w:val="00AD78B1"/>
    <w:rsid w:val="00AF0B91"/>
    <w:rsid w:val="00AF1A65"/>
    <w:rsid w:val="00AF3B70"/>
    <w:rsid w:val="00B03044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59BA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9361E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02C1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553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3AB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398C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17D7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561E"/>
    <w:rsid w:val="00F6634F"/>
    <w:rsid w:val="00F72CD1"/>
    <w:rsid w:val="00F74A39"/>
    <w:rsid w:val="00F8138E"/>
    <w:rsid w:val="00F84542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643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84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5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54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54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D053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7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643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84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5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54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54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D053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7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unece.org/env/aw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ece.org/env/aw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%20index.php?id=35851" TargetMode="External"/><Relationship Id="rId2" Type="http://schemas.openxmlformats.org/officeDocument/2006/relationships/hyperlink" Target="http://www.worldwewant2015.org/EuropeCentralAsia" TargetMode="External"/><Relationship Id="rId1" Type="http://schemas.openxmlformats.org/officeDocument/2006/relationships/hyperlink" Target="http://www.unece.org/env/cep/2014sessionoctober" TargetMode="External"/><Relationship Id="rId6" Type="http://schemas.openxmlformats.org/officeDocument/2006/relationships/hyperlink" Target="http://www.unece.org/housing/charter.html" TargetMode="External"/><Relationship Id="rId5" Type="http://schemas.openxmlformats.org/officeDocument/2006/relationships/hyperlink" Target="http://www.unece.org/index.php?id=37180&amp;L=0" TargetMode="External"/><Relationship Id="rId4" Type="http://schemas.openxmlformats.org/officeDocument/2006/relationships/hyperlink" Target="http://e-learning.informea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79B9-53BC-40AA-9E0F-348955BF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10675</Words>
  <Characters>60849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Tpsrus</cp:lastModifiedBy>
  <cp:revision>3</cp:revision>
  <cp:lastPrinted>2015-11-24T16:04:00Z</cp:lastPrinted>
  <dcterms:created xsi:type="dcterms:W3CDTF">2015-11-24T16:04:00Z</dcterms:created>
  <dcterms:modified xsi:type="dcterms:W3CDTF">2015-11-24T16:06:00Z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1513971R</vt:lpwstr>
  </property>
  <property fmtid="{D5CDD505-2E9C-101B-9397-08002B2CF9AE}" pid="3" name="ODSRefJobNo">
    <vt:lpwstr>1518431R</vt:lpwstr>
  </property>
  <property fmtid="{D5CDD505-2E9C-101B-9397-08002B2CF9AE}" pid="4" name="Symbol1">
    <vt:lpwstr>ECE/CEP/2014/2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August 2015</vt:lpwstr>
  </property>
  <property fmtid="{D5CDD505-2E9C-101B-9397-08002B2CF9AE}" pid="12" name="Original">
    <vt:lpwstr>English</vt:lpwstr>
  </property>
  <property fmtid="{D5CDD505-2E9C-101B-9397-08002B2CF9AE}" pid="13" name="Release Date">
    <vt:lpwstr>241115</vt:lpwstr>
  </property>
</Properties>
</file>