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59" w:rsidRPr="001D27B1" w:rsidRDefault="00900D54" w:rsidP="00A570DC">
      <w:pPr>
        <w:jc w:val="right"/>
        <w:rPr>
          <w:b/>
          <w:bCs/>
          <w:lang w:val="fr-CH"/>
        </w:rPr>
      </w:pPr>
      <w:r w:rsidRPr="001D27B1">
        <w:rPr>
          <w:b/>
          <w:bCs/>
          <w:lang w:val="fr-CH"/>
        </w:rPr>
        <w:t>P</w:t>
      </w:r>
      <w:r w:rsidR="00530B57" w:rsidRPr="001D27B1">
        <w:rPr>
          <w:b/>
          <w:bCs/>
          <w:lang w:val="fr-CH"/>
        </w:rPr>
        <w:t>rojet</w:t>
      </w:r>
      <w:r w:rsidRPr="001D27B1">
        <w:rPr>
          <w:b/>
          <w:bCs/>
          <w:lang w:val="fr-CH"/>
        </w:rPr>
        <w:t xml:space="preserve"> de document</w:t>
      </w:r>
    </w:p>
    <w:p w:rsidR="00411859" w:rsidRPr="001D27B1" w:rsidRDefault="00411859" w:rsidP="00876E5E">
      <w:pPr>
        <w:jc w:val="center"/>
        <w:rPr>
          <w:b/>
          <w:bCs/>
          <w:lang w:val="fr-CH"/>
        </w:rPr>
      </w:pPr>
    </w:p>
    <w:p w:rsidR="00411859" w:rsidRPr="001D27B1" w:rsidRDefault="00530B57" w:rsidP="00876E5E">
      <w:pPr>
        <w:jc w:val="center"/>
        <w:rPr>
          <w:b/>
          <w:bCs/>
          <w:lang w:val="fr-CH"/>
        </w:rPr>
      </w:pPr>
      <w:r w:rsidRPr="001D27B1">
        <w:rPr>
          <w:b/>
          <w:bCs/>
          <w:lang w:val="fr-CH"/>
        </w:rPr>
        <w:t xml:space="preserve">Principes pour des organes communs efficaces </w:t>
      </w:r>
    </w:p>
    <w:p w:rsidR="00411859" w:rsidRPr="001D27B1" w:rsidRDefault="00530B57" w:rsidP="002B36F8">
      <w:pPr>
        <w:rPr>
          <w:b/>
          <w:bCs/>
          <w:i/>
          <w:iCs/>
          <w:lang w:val="fr-CH"/>
        </w:rPr>
      </w:pPr>
      <w:r w:rsidRPr="001D27B1">
        <w:rPr>
          <w:b/>
          <w:bCs/>
          <w:i/>
          <w:iCs/>
          <w:lang w:val="fr-CH"/>
        </w:rPr>
        <w:t xml:space="preserve">Contexte et introduction </w:t>
      </w:r>
    </w:p>
    <w:p w:rsidR="00CA2F7B" w:rsidRPr="001D27B1" w:rsidRDefault="00CA2F7B" w:rsidP="00CA2F7B">
      <w:pPr>
        <w:jc w:val="both"/>
        <w:rPr>
          <w:lang w:val="fr-CH"/>
        </w:rPr>
      </w:pPr>
      <w:r w:rsidRPr="001D27B1">
        <w:rPr>
          <w:lang w:val="fr-CH"/>
        </w:rPr>
        <w:t>Les commissions conjointes ainsi que les autres organes communs existants relatifs à la coopération en matière d'eaux transfrontières diffèrent les uns des autres, par leur champ d’application, leur compétence, leurs fonctions, leurs pouvoirs et par leur structure organisationnelle. Cela a été démontré par les présentations et les conclusions du Premier atelier sur les « Commissions de bassins versants et autres organes communs relatifs à la coopération en matière d'eaux transfrontières : Aspects juridiques et institutionnels</w:t>
      </w:r>
      <w:r w:rsidR="006B784E" w:rsidRPr="001D27B1">
        <w:rPr>
          <w:lang w:val="fr-CH"/>
        </w:rPr>
        <w:t> »</w:t>
      </w:r>
      <w:r w:rsidRPr="001D27B1">
        <w:rPr>
          <w:lang w:val="fr-CH"/>
        </w:rPr>
        <w:t xml:space="preserve">, qui s’est tenu à </w:t>
      </w:r>
      <w:r w:rsidR="00D91221" w:rsidRPr="001D27B1">
        <w:rPr>
          <w:lang w:val="fr-CH"/>
        </w:rPr>
        <w:t xml:space="preserve">Genève les 23 et 24 septembre 2013. </w:t>
      </w:r>
      <w:r w:rsidR="008E10FA">
        <w:rPr>
          <w:lang w:val="fr-CH"/>
        </w:rPr>
        <w:t>Ce premier atelier</w:t>
      </w:r>
      <w:r w:rsidR="00D91221" w:rsidRPr="001D27B1">
        <w:rPr>
          <w:lang w:val="fr-CH"/>
        </w:rPr>
        <w:t xml:space="preserve">, ainsi que </w:t>
      </w:r>
      <w:r w:rsidR="00797DA6">
        <w:rPr>
          <w:lang w:val="fr-CH"/>
        </w:rPr>
        <w:t xml:space="preserve">le </w:t>
      </w:r>
      <w:r w:rsidR="00D91221" w:rsidRPr="001D27B1">
        <w:rPr>
          <w:lang w:val="fr-CH"/>
        </w:rPr>
        <w:t>présent</w:t>
      </w:r>
      <w:r w:rsidR="00797DA6">
        <w:rPr>
          <w:lang w:val="fr-CH"/>
        </w:rPr>
        <w:t xml:space="preserve"> atelier</w:t>
      </w:r>
      <w:r w:rsidR="00D91221" w:rsidRPr="001D27B1">
        <w:rPr>
          <w:lang w:val="fr-CH"/>
        </w:rPr>
        <w:t xml:space="preserve">, </w:t>
      </w:r>
      <w:r w:rsidR="008E10FA">
        <w:rPr>
          <w:lang w:val="fr-CH"/>
        </w:rPr>
        <w:t>constituent</w:t>
      </w:r>
      <w:r w:rsidR="00D91221" w:rsidRPr="001D27B1">
        <w:rPr>
          <w:lang w:val="fr-CH"/>
        </w:rPr>
        <w:t xml:space="preserve"> une </w:t>
      </w:r>
      <w:r w:rsidR="004059B1">
        <w:rPr>
          <w:lang w:val="fr-CH"/>
        </w:rPr>
        <w:t>excellente</w:t>
      </w:r>
      <w:r w:rsidR="00D91221" w:rsidRPr="001D27B1">
        <w:rPr>
          <w:lang w:val="fr-CH"/>
        </w:rPr>
        <w:t xml:space="preserve"> occasion </w:t>
      </w:r>
      <w:r w:rsidR="004059B1">
        <w:rPr>
          <w:lang w:val="fr-CH"/>
        </w:rPr>
        <w:t>qui permet</w:t>
      </w:r>
      <w:r w:rsidR="00D91221" w:rsidRPr="001D27B1">
        <w:rPr>
          <w:lang w:val="fr-CH"/>
        </w:rPr>
        <w:t xml:space="preserve"> de rassembler des expertises </w:t>
      </w:r>
      <w:r w:rsidR="00B8582C">
        <w:rPr>
          <w:lang w:val="fr-CH"/>
        </w:rPr>
        <w:t xml:space="preserve">dans le domaine dans lequel les organes communs </w:t>
      </w:r>
      <w:r w:rsidR="009E36EF">
        <w:rPr>
          <w:lang w:val="fr-CH"/>
        </w:rPr>
        <w:t>œuvrent</w:t>
      </w:r>
      <w:r w:rsidR="009851C2" w:rsidRPr="001D27B1">
        <w:rPr>
          <w:lang w:val="fr-CH"/>
        </w:rPr>
        <w:t xml:space="preserve">, il est donc opportun d’établir un bilan et d’ébaucher </w:t>
      </w:r>
      <w:r w:rsidR="006058B3">
        <w:rPr>
          <w:lang w:val="fr-CH"/>
        </w:rPr>
        <w:t>des</w:t>
      </w:r>
      <w:r w:rsidR="009851C2" w:rsidRPr="001D27B1">
        <w:rPr>
          <w:lang w:val="fr-CH"/>
        </w:rPr>
        <w:t xml:space="preserve"> éléments </w:t>
      </w:r>
      <w:r w:rsidR="00B8582C">
        <w:rPr>
          <w:lang w:val="fr-CH"/>
        </w:rPr>
        <w:t xml:space="preserve">en vue </w:t>
      </w:r>
      <w:proofErr w:type="gramStart"/>
      <w:r w:rsidR="00B8582C">
        <w:rPr>
          <w:lang w:val="fr-CH"/>
        </w:rPr>
        <w:t>d’</w:t>
      </w:r>
      <w:r w:rsidR="008E10FA">
        <w:rPr>
          <w:lang w:val="fr-CH"/>
        </w:rPr>
        <w:t xml:space="preserve"> un</w:t>
      </w:r>
      <w:proofErr w:type="gramEnd"/>
      <w:r w:rsidR="008E10FA">
        <w:rPr>
          <w:lang w:val="fr-CH"/>
        </w:rPr>
        <w:t xml:space="preserve"> fonctionnement </w:t>
      </w:r>
      <w:r w:rsidR="006058B3">
        <w:rPr>
          <w:lang w:val="fr-CH"/>
        </w:rPr>
        <w:t>plus</w:t>
      </w:r>
      <w:r w:rsidR="00B8582C">
        <w:rPr>
          <w:lang w:val="fr-CH"/>
        </w:rPr>
        <w:t xml:space="preserve"> </w:t>
      </w:r>
      <w:r w:rsidR="008E10FA">
        <w:rPr>
          <w:lang w:val="fr-CH"/>
        </w:rPr>
        <w:t>efficace</w:t>
      </w:r>
      <w:r w:rsidR="00B67E10">
        <w:rPr>
          <w:lang w:val="fr-CH"/>
        </w:rPr>
        <w:t xml:space="preserve"> </w:t>
      </w:r>
      <w:r w:rsidR="009E36EF">
        <w:rPr>
          <w:lang w:val="fr-CH"/>
        </w:rPr>
        <w:t>de</w:t>
      </w:r>
      <w:r w:rsidR="00B67E10">
        <w:rPr>
          <w:lang w:val="fr-CH"/>
        </w:rPr>
        <w:t xml:space="preserve"> ces organes</w:t>
      </w:r>
      <w:r w:rsidR="009E36EF">
        <w:rPr>
          <w:lang w:val="fr-CH"/>
        </w:rPr>
        <w:t>.</w:t>
      </w:r>
    </w:p>
    <w:p w:rsidR="009851C2" w:rsidRPr="001D27B1" w:rsidRDefault="00B8582C" w:rsidP="00CA2F7B">
      <w:pPr>
        <w:jc w:val="both"/>
        <w:rPr>
          <w:lang w:val="fr-CH"/>
        </w:rPr>
      </w:pPr>
      <w:r>
        <w:rPr>
          <w:lang w:val="fr-CH"/>
        </w:rPr>
        <w:t>Vu</w:t>
      </w:r>
      <w:r w:rsidR="009851C2" w:rsidRPr="001D27B1">
        <w:rPr>
          <w:lang w:val="fr-CH"/>
        </w:rPr>
        <w:t xml:space="preserve"> la diversité</w:t>
      </w:r>
      <w:r w:rsidR="009E36EF">
        <w:rPr>
          <w:lang w:val="fr-CH"/>
        </w:rPr>
        <w:t xml:space="preserve"> </w:t>
      </w:r>
      <w:r w:rsidR="009851C2" w:rsidRPr="001D27B1">
        <w:rPr>
          <w:lang w:val="fr-CH"/>
        </w:rPr>
        <w:t xml:space="preserve">des arrangements institutionnels relatifs à la coopération en matière d'eaux transfrontières, établir des conclusions générales ou des recommandations sur leur composition ou leur fonctionnement </w:t>
      </w:r>
      <w:r w:rsidR="00B67E10">
        <w:rPr>
          <w:lang w:val="fr-CH"/>
        </w:rPr>
        <w:t>représente</w:t>
      </w:r>
      <w:r w:rsidR="009851C2" w:rsidRPr="001D27B1">
        <w:rPr>
          <w:lang w:val="fr-CH"/>
        </w:rPr>
        <w:t xml:space="preserve"> un </w:t>
      </w:r>
      <w:r w:rsidR="00B67E10">
        <w:rPr>
          <w:lang w:val="fr-CH"/>
        </w:rPr>
        <w:t xml:space="preserve">réel </w:t>
      </w:r>
      <w:r w:rsidR="009851C2" w:rsidRPr="001D27B1">
        <w:rPr>
          <w:lang w:val="fr-CH"/>
        </w:rPr>
        <w:t xml:space="preserve">défi. En outre, les pratiques des organes communs existants ont été établies par rapport à </w:t>
      </w:r>
      <w:r w:rsidR="003C26BD">
        <w:rPr>
          <w:lang w:val="fr-CH"/>
        </w:rPr>
        <w:t>des</w:t>
      </w:r>
      <w:r w:rsidR="009851C2" w:rsidRPr="001D27B1">
        <w:rPr>
          <w:lang w:val="fr-CH"/>
        </w:rPr>
        <w:t xml:space="preserve"> eaux spécifiques afin de répondre à des </w:t>
      </w:r>
      <w:r w:rsidR="00921B66" w:rsidRPr="001D27B1">
        <w:rPr>
          <w:lang w:val="fr-CH"/>
        </w:rPr>
        <w:t xml:space="preserve">tâches définies en situation réelle selon </w:t>
      </w:r>
      <w:r w:rsidR="003A05EF">
        <w:rPr>
          <w:lang w:val="fr-CH"/>
        </w:rPr>
        <w:t>des</w:t>
      </w:r>
      <w:r w:rsidR="00921B66" w:rsidRPr="001D27B1">
        <w:rPr>
          <w:lang w:val="fr-CH"/>
        </w:rPr>
        <w:t xml:space="preserve"> contextes hydrologiques, politiques, économiques et sociaux</w:t>
      </w:r>
      <w:r w:rsidR="003A05EF">
        <w:rPr>
          <w:lang w:val="fr-CH"/>
        </w:rPr>
        <w:t xml:space="preserve"> particuliers</w:t>
      </w:r>
      <w:r w:rsidR="00921B66" w:rsidRPr="001D27B1">
        <w:rPr>
          <w:lang w:val="fr-CH"/>
        </w:rPr>
        <w:t>.</w:t>
      </w:r>
    </w:p>
    <w:p w:rsidR="00CA2F7B" w:rsidRPr="001D27B1" w:rsidRDefault="00921B66" w:rsidP="00CA2F7B">
      <w:pPr>
        <w:jc w:val="both"/>
        <w:rPr>
          <w:lang w:val="fr-CH"/>
        </w:rPr>
      </w:pPr>
      <w:r w:rsidRPr="001D27B1">
        <w:rPr>
          <w:lang w:val="fr-CH"/>
        </w:rPr>
        <w:t xml:space="preserve">Néanmoins, les organes communs et le développement du droit international sur la gestion des ressources en eau transfrontières permettent </w:t>
      </w:r>
      <w:r w:rsidR="006058B3">
        <w:rPr>
          <w:lang w:val="fr-CH"/>
        </w:rPr>
        <w:t>d’identifier</w:t>
      </w:r>
      <w:r w:rsidRPr="001D27B1">
        <w:rPr>
          <w:lang w:val="fr-CH"/>
        </w:rPr>
        <w:t xml:space="preserve"> </w:t>
      </w:r>
      <w:r w:rsidR="004E10AC" w:rsidRPr="001D27B1">
        <w:rPr>
          <w:lang w:val="fr-CH"/>
        </w:rPr>
        <w:t xml:space="preserve">certains principes </w:t>
      </w:r>
      <w:r w:rsidR="006058B3">
        <w:rPr>
          <w:lang w:val="fr-CH"/>
        </w:rPr>
        <w:t>d’organisation ainsi que</w:t>
      </w:r>
      <w:r w:rsidR="009E36EF">
        <w:rPr>
          <w:lang w:val="fr-CH"/>
        </w:rPr>
        <w:t xml:space="preserve"> des </w:t>
      </w:r>
      <w:r w:rsidRPr="001D27B1">
        <w:rPr>
          <w:lang w:val="fr-CH"/>
        </w:rPr>
        <w:t xml:space="preserve">activités qui augmentent l’efficacité des organes communs et contribuent à </w:t>
      </w:r>
      <w:r w:rsidR="00B67E10">
        <w:rPr>
          <w:lang w:val="fr-CH"/>
        </w:rPr>
        <w:t>atteindre</w:t>
      </w:r>
      <w:r w:rsidRPr="001D27B1">
        <w:rPr>
          <w:lang w:val="fr-CH"/>
        </w:rPr>
        <w:t xml:space="preserve"> un niveau de coopération </w:t>
      </w:r>
      <w:r w:rsidR="00B67E10">
        <w:rPr>
          <w:lang w:val="fr-CH"/>
        </w:rPr>
        <w:t>harmonieux</w:t>
      </w:r>
      <w:r w:rsidRPr="001D27B1">
        <w:rPr>
          <w:lang w:val="fr-CH"/>
        </w:rPr>
        <w:t xml:space="preserve"> entre les Etats riverains.</w:t>
      </w:r>
    </w:p>
    <w:p w:rsidR="00954A46" w:rsidRPr="001D27B1" w:rsidRDefault="00921B66" w:rsidP="0050421F">
      <w:pPr>
        <w:jc w:val="both"/>
        <w:rPr>
          <w:b/>
          <w:lang w:val="fr-CH"/>
        </w:rPr>
      </w:pPr>
      <w:r w:rsidRPr="001D27B1">
        <w:rPr>
          <w:b/>
          <w:lang w:val="fr-CH"/>
        </w:rPr>
        <w:t xml:space="preserve">Ces principes, issus pour la plupart </w:t>
      </w:r>
      <w:r w:rsidR="005023C6">
        <w:rPr>
          <w:b/>
          <w:lang w:val="fr-CH"/>
        </w:rPr>
        <w:t>d’</w:t>
      </w:r>
      <w:r w:rsidRPr="001D27B1">
        <w:rPr>
          <w:b/>
          <w:lang w:val="fr-CH"/>
        </w:rPr>
        <w:t>expériences paneuropéennes</w:t>
      </w:r>
      <w:r w:rsidR="005023C6">
        <w:rPr>
          <w:b/>
          <w:lang w:val="fr-CH"/>
        </w:rPr>
        <w:t>,</w:t>
      </w:r>
      <w:r w:rsidRPr="001D27B1">
        <w:rPr>
          <w:b/>
          <w:lang w:val="fr-CH"/>
        </w:rPr>
        <w:t xml:space="preserve"> </w:t>
      </w:r>
      <w:r w:rsidR="005023C6">
        <w:rPr>
          <w:b/>
          <w:lang w:val="fr-CH"/>
        </w:rPr>
        <w:t>obtenus lors</w:t>
      </w:r>
      <w:r w:rsidR="00C9304F">
        <w:rPr>
          <w:b/>
          <w:lang w:val="fr-CH"/>
        </w:rPr>
        <w:t xml:space="preserve"> d’</w:t>
      </w:r>
      <w:r w:rsidRPr="001D27B1">
        <w:rPr>
          <w:b/>
          <w:lang w:val="fr-CH"/>
        </w:rPr>
        <w:t xml:space="preserve">un atelier s’étant tenu en 2007 pour les pays d’Europe orientale, </w:t>
      </w:r>
      <w:r w:rsidR="00C70CC4" w:rsidRPr="001D27B1">
        <w:rPr>
          <w:b/>
          <w:lang w:val="fr-CH"/>
        </w:rPr>
        <w:t>du Caucase et d’</w:t>
      </w:r>
      <w:r w:rsidR="004E10AC" w:rsidRPr="001D27B1">
        <w:rPr>
          <w:b/>
          <w:lang w:val="fr-CH"/>
        </w:rPr>
        <w:t xml:space="preserve">Asie centrale, ont été publiés dans </w:t>
      </w:r>
      <w:r w:rsidR="004E10AC" w:rsidRPr="001D27B1">
        <w:rPr>
          <w:b/>
          <w:i/>
          <w:lang w:val="fr-CH"/>
        </w:rPr>
        <w:t>Commissions de bassins versants et autres institutions de coopération relative aux eaux transfrontières</w:t>
      </w:r>
      <w:r w:rsidR="00411859" w:rsidRPr="001D27B1">
        <w:rPr>
          <w:b/>
          <w:lang w:val="fr-CH"/>
        </w:rPr>
        <w:t>.</w:t>
      </w:r>
      <w:r w:rsidR="00411859" w:rsidRPr="001D27B1">
        <w:rPr>
          <w:rStyle w:val="FootnoteReference"/>
          <w:b/>
          <w:lang w:val="fr-CH"/>
        </w:rPr>
        <w:footnoteReference w:id="1"/>
      </w:r>
      <w:r w:rsidR="00411859" w:rsidRPr="001D27B1">
        <w:rPr>
          <w:b/>
          <w:lang w:val="fr-CH"/>
        </w:rPr>
        <w:t xml:space="preserve"> </w:t>
      </w:r>
      <w:r w:rsidR="0075152C">
        <w:rPr>
          <w:b/>
          <w:lang w:val="fr-CH"/>
        </w:rPr>
        <w:t>S</w:t>
      </w:r>
      <w:r w:rsidR="00954A46" w:rsidRPr="001D27B1">
        <w:rPr>
          <w:b/>
          <w:lang w:val="fr-CH"/>
        </w:rPr>
        <w:t xml:space="preserve">’appuyant sur cette publication, les principes sont présentés ci-dessous pour examen et commentaire par les participants du présent atelier. </w:t>
      </w:r>
      <w:r w:rsidR="0008159A">
        <w:rPr>
          <w:b/>
          <w:lang w:val="fr-CH"/>
        </w:rPr>
        <w:t>L’étude</w:t>
      </w:r>
      <w:r w:rsidR="00954A46" w:rsidRPr="001D27B1">
        <w:rPr>
          <w:b/>
          <w:lang w:val="fr-CH"/>
        </w:rPr>
        <w:t xml:space="preserve"> vise à déterminer leur pertinence et leur utilité à l’échelle mondiale à la lumière</w:t>
      </w:r>
      <w:r w:rsidR="004D7C83" w:rsidRPr="001D27B1">
        <w:rPr>
          <w:b/>
          <w:lang w:val="fr-CH"/>
        </w:rPr>
        <w:t xml:space="preserve"> des expériences des travaux des organisations de bassin versants et autres organes communs du monde entier. </w:t>
      </w:r>
    </w:p>
    <w:p w:rsidR="00954A46" w:rsidRPr="001D27B1" w:rsidRDefault="004D7C83" w:rsidP="0050421F">
      <w:pPr>
        <w:jc w:val="both"/>
        <w:rPr>
          <w:b/>
          <w:lang w:val="fr-CH"/>
        </w:rPr>
      </w:pPr>
      <w:r w:rsidRPr="001D27B1">
        <w:rPr>
          <w:b/>
          <w:lang w:val="fr-CH"/>
        </w:rPr>
        <w:t>S’il s’avère qu’il y ait davantage de fondements pour l’élaboration ou pour l’ajout de principes, liés notamment aux thèmes abordés lors du Second atelier, ces suggestions spécifiques pourront être faites lors de la session consacrée à cette question le 10 avril.</w:t>
      </w:r>
    </w:p>
    <w:p w:rsidR="004D7C83" w:rsidRPr="001D27B1" w:rsidRDefault="004D7C83" w:rsidP="0050421F">
      <w:pPr>
        <w:jc w:val="both"/>
        <w:rPr>
          <w:lang w:val="fr-CH"/>
        </w:rPr>
      </w:pPr>
      <w:r w:rsidRPr="001D27B1">
        <w:rPr>
          <w:lang w:val="fr-CH"/>
        </w:rPr>
        <w:t>Les principes seront révisés en 2014 à la lumière des conclusions des deux ateliers sur les organes communs, et seront par la suite distribués aux Parties et aux partenaires de la Convention sur l’eau pour commentaire. Une version révisée comportant tous les commentaire</w:t>
      </w:r>
      <w:r w:rsidR="00913762" w:rsidRPr="001D27B1">
        <w:rPr>
          <w:lang w:val="fr-CH"/>
        </w:rPr>
        <w:t>s</w:t>
      </w:r>
      <w:r w:rsidRPr="001D27B1">
        <w:rPr>
          <w:lang w:val="fr-CH"/>
        </w:rPr>
        <w:t xml:space="preserve"> sera présentée pour </w:t>
      </w:r>
      <w:r w:rsidR="00913762" w:rsidRPr="001D27B1">
        <w:rPr>
          <w:lang w:val="fr-CH"/>
        </w:rPr>
        <w:t xml:space="preserve">examen et approbation au groupe de travail sur la gestion intégrée des ressources den eau (GIRE) au titre de la Convention sur l’eau de la CEE-ONU. Les principes pourront être présentés sous leur </w:t>
      </w:r>
      <w:r w:rsidR="00913762" w:rsidRPr="001D27B1">
        <w:rPr>
          <w:lang w:val="fr-CH"/>
        </w:rPr>
        <w:lastRenderedPageBreak/>
        <w:t xml:space="preserve">forme finale à la Réunion des Parties en Novembre 2015. Les principes synthétiseront donc les enseignements utiles de l’expérience collective des organes communs, Parties à la Convention sur l’eau et d’autre Etats ainsi que d’autres parties prenantes. </w:t>
      </w:r>
    </w:p>
    <w:p w:rsidR="00411859" w:rsidRPr="001D27B1" w:rsidRDefault="00913762" w:rsidP="0050421F">
      <w:pPr>
        <w:jc w:val="both"/>
        <w:rPr>
          <w:b/>
          <w:bCs/>
          <w:i/>
          <w:iCs/>
          <w:lang w:val="fr-CH"/>
        </w:rPr>
      </w:pPr>
      <w:r w:rsidRPr="001D27B1">
        <w:rPr>
          <w:b/>
          <w:bCs/>
          <w:i/>
          <w:iCs/>
          <w:lang w:val="fr-CH"/>
        </w:rPr>
        <w:t xml:space="preserve">Principes </w:t>
      </w:r>
      <w:r w:rsidR="009E36EF" w:rsidRPr="001D27B1">
        <w:rPr>
          <w:b/>
          <w:bCs/>
          <w:i/>
          <w:iCs/>
          <w:lang w:val="fr-CH"/>
        </w:rPr>
        <w:t xml:space="preserve">soumis à discussion </w:t>
      </w:r>
      <w:r w:rsidRPr="001D27B1">
        <w:rPr>
          <w:b/>
          <w:bCs/>
          <w:i/>
          <w:iCs/>
          <w:lang w:val="fr-CH"/>
        </w:rPr>
        <w:t xml:space="preserve">pour des organes communs efficaces </w:t>
      </w:r>
    </w:p>
    <w:p w:rsidR="00913762" w:rsidRPr="001D27B1" w:rsidRDefault="00913762" w:rsidP="0050421F">
      <w:pPr>
        <w:jc w:val="both"/>
        <w:rPr>
          <w:lang w:val="fr-CH"/>
        </w:rPr>
      </w:pPr>
      <w:r w:rsidRPr="001D27B1">
        <w:rPr>
          <w:lang w:val="fr-CH"/>
        </w:rPr>
        <w:t xml:space="preserve">Les principes suivants relatifs à l’organisation et aux activités, de manière générale, améliorent l’efficacité des organes communs relatifs à la coopération en matière d'eaux transfrontières et contribuent à atteindre </w:t>
      </w:r>
      <w:r w:rsidR="00524E76" w:rsidRPr="001D27B1">
        <w:rPr>
          <w:lang w:val="fr-CH"/>
        </w:rPr>
        <w:t xml:space="preserve">un niveau de coopération </w:t>
      </w:r>
      <w:r w:rsidR="002F5B53">
        <w:rPr>
          <w:lang w:val="fr-CH"/>
        </w:rPr>
        <w:t>harmonieux</w:t>
      </w:r>
      <w:r w:rsidR="00524E76" w:rsidRPr="001D27B1">
        <w:rPr>
          <w:lang w:val="fr-CH"/>
        </w:rPr>
        <w:t xml:space="preserve"> entre les Etats riverains :</w:t>
      </w:r>
    </w:p>
    <w:p w:rsidR="00051941" w:rsidRPr="001D27B1" w:rsidRDefault="00524E76" w:rsidP="00A570DC">
      <w:pPr>
        <w:pStyle w:val="ListParagraph"/>
        <w:numPr>
          <w:ilvl w:val="0"/>
          <w:numId w:val="6"/>
        </w:numPr>
        <w:rPr>
          <w:b/>
          <w:bCs/>
          <w:i/>
          <w:iCs/>
          <w:lang w:val="fr-CH"/>
        </w:rPr>
      </w:pPr>
      <w:r w:rsidRPr="001D27B1">
        <w:rPr>
          <w:b/>
          <w:lang w:val="fr-CH"/>
        </w:rPr>
        <w:t xml:space="preserve">Création, </w:t>
      </w:r>
      <w:r w:rsidR="00051941" w:rsidRPr="001D27B1">
        <w:rPr>
          <w:b/>
          <w:lang w:val="fr-CH"/>
        </w:rPr>
        <w:t xml:space="preserve">structure </w:t>
      </w:r>
      <w:r w:rsidRPr="001D27B1">
        <w:rPr>
          <w:b/>
          <w:lang w:val="fr-CH"/>
        </w:rPr>
        <w:t>et</w:t>
      </w:r>
      <w:r w:rsidR="00051941" w:rsidRPr="001D27B1">
        <w:rPr>
          <w:b/>
          <w:lang w:val="fr-CH"/>
        </w:rPr>
        <w:t xml:space="preserve"> f</w:t>
      </w:r>
      <w:r w:rsidRPr="001D27B1">
        <w:rPr>
          <w:b/>
          <w:lang w:val="fr-CH"/>
        </w:rPr>
        <w:t>o</w:t>
      </w:r>
      <w:r w:rsidR="00051941" w:rsidRPr="001D27B1">
        <w:rPr>
          <w:b/>
          <w:lang w:val="fr-CH"/>
        </w:rPr>
        <w:t>nctions</w:t>
      </w:r>
    </w:p>
    <w:p w:rsidR="00524E76" w:rsidRPr="001D27B1" w:rsidRDefault="00051941" w:rsidP="00524E76">
      <w:pPr>
        <w:ind w:left="360"/>
        <w:jc w:val="both"/>
        <w:rPr>
          <w:iCs/>
          <w:lang w:val="fr-CH"/>
        </w:rPr>
      </w:pPr>
      <w:r w:rsidRPr="001D27B1">
        <w:rPr>
          <w:iCs/>
          <w:lang w:val="fr-CH"/>
        </w:rPr>
        <w:t xml:space="preserve">1.1 </w:t>
      </w:r>
      <w:r w:rsidR="00524E76" w:rsidRPr="001D27B1">
        <w:rPr>
          <w:iCs/>
          <w:lang w:val="fr-CH"/>
        </w:rPr>
        <w:t xml:space="preserve">L’octroi à un organe commun d’une compétence étendue, qui lui permet d’aborder dans toute leur complexité, sur la base de la gestion intégrée des ressources en eau, l’éventail complet des questions liées à la gestion, à l’utilisation et à la protection des eaux transfrontières. </w:t>
      </w:r>
    </w:p>
    <w:p w:rsidR="00411859" w:rsidRPr="001D27B1" w:rsidRDefault="00051941" w:rsidP="00524E76">
      <w:pPr>
        <w:ind w:left="360"/>
        <w:jc w:val="both"/>
        <w:rPr>
          <w:lang w:val="fr-CH"/>
        </w:rPr>
      </w:pPr>
      <w:r w:rsidRPr="001D27B1">
        <w:rPr>
          <w:lang w:val="fr-CH"/>
        </w:rPr>
        <w:t xml:space="preserve">1.2 </w:t>
      </w:r>
      <w:r w:rsidR="00524E76" w:rsidRPr="001D27B1">
        <w:rPr>
          <w:lang w:val="fr-CH"/>
        </w:rPr>
        <w:t xml:space="preserve">Une représentation suffisamment large et complète des autorités nationales au sein de l’organe commun implique une participation </w:t>
      </w:r>
      <w:r w:rsidR="00826D00">
        <w:rPr>
          <w:lang w:val="fr-CH"/>
        </w:rPr>
        <w:t>ne se limitant pas aux</w:t>
      </w:r>
      <w:r w:rsidR="00524E76" w:rsidRPr="001D27B1">
        <w:rPr>
          <w:lang w:val="fr-CH"/>
        </w:rPr>
        <w:t xml:space="preserve"> autorités </w:t>
      </w:r>
      <w:r w:rsidR="008B4EBF">
        <w:rPr>
          <w:lang w:val="fr-CH"/>
        </w:rPr>
        <w:t>responsables</w:t>
      </w:r>
      <w:r w:rsidR="00826D00">
        <w:rPr>
          <w:lang w:val="fr-CH"/>
        </w:rPr>
        <w:t xml:space="preserve"> </w:t>
      </w:r>
      <w:r w:rsidR="00524E76" w:rsidRPr="001D27B1">
        <w:rPr>
          <w:lang w:val="fr-CH"/>
        </w:rPr>
        <w:t xml:space="preserve">de </w:t>
      </w:r>
      <w:r w:rsidR="00826D00">
        <w:rPr>
          <w:lang w:val="fr-CH"/>
        </w:rPr>
        <w:t xml:space="preserve">la </w:t>
      </w:r>
      <w:r w:rsidR="00524E76" w:rsidRPr="001D27B1">
        <w:rPr>
          <w:lang w:val="fr-CH"/>
        </w:rPr>
        <w:t xml:space="preserve">gestion de l’eau </w:t>
      </w:r>
      <w:r w:rsidR="00826D00">
        <w:rPr>
          <w:lang w:val="fr-CH"/>
        </w:rPr>
        <w:t>mais comprenant aussi</w:t>
      </w:r>
      <w:r w:rsidR="00524E76" w:rsidRPr="001D27B1">
        <w:rPr>
          <w:lang w:val="fr-CH"/>
        </w:rPr>
        <w:t xml:space="preserve">, le cas échéant, des représentants des ministères de l’environnement, de la pêche, de la santé, de l’énergie, des autorités hydrométéorologiques, de l’économie et des finances. Si une participation très large n’est pas réalisable, </w:t>
      </w:r>
      <w:r w:rsidR="00826D00">
        <w:rPr>
          <w:lang w:val="fr-CH"/>
        </w:rPr>
        <w:t xml:space="preserve">il devrait y avoir </w:t>
      </w:r>
      <w:r w:rsidR="00524E76" w:rsidRPr="001D27B1">
        <w:rPr>
          <w:lang w:val="fr-CH"/>
        </w:rPr>
        <w:t>des possibilités de consultations régulières avec les agences non représentées</w:t>
      </w:r>
      <w:r w:rsidR="00411859" w:rsidRPr="001D27B1">
        <w:rPr>
          <w:lang w:val="fr-CH"/>
        </w:rPr>
        <w:t>.</w:t>
      </w:r>
      <w:r w:rsidR="000D0848" w:rsidRPr="001D27B1">
        <w:rPr>
          <w:rStyle w:val="FootnoteReference"/>
          <w:lang w:val="fr-CH"/>
        </w:rPr>
        <w:footnoteReference w:id="2"/>
      </w:r>
      <w:r w:rsidR="00524E76" w:rsidRPr="001D27B1">
        <w:rPr>
          <w:lang w:val="fr-CH"/>
        </w:rPr>
        <w:t>.</w:t>
      </w:r>
    </w:p>
    <w:p w:rsidR="00411859" w:rsidRPr="001D27B1" w:rsidRDefault="00051941" w:rsidP="00B259EE">
      <w:pPr>
        <w:ind w:left="360"/>
        <w:jc w:val="both"/>
        <w:rPr>
          <w:iCs/>
          <w:lang w:val="fr-CH"/>
        </w:rPr>
      </w:pPr>
      <w:r w:rsidRPr="001D27B1">
        <w:rPr>
          <w:iCs/>
          <w:lang w:val="fr-CH"/>
        </w:rPr>
        <w:t xml:space="preserve">1.3 </w:t>
      </w:r>
      <w:r w:rsidR="00B259EE" w:rsidRPr="001D27B1">
        <w:rPr>
          <w:iCs/>
          <w:lang w:val="fr-CH"/>
        </w:rPr>
        <w:t>Une définition claire des eaux qui font l’objet de la coopération, conformément à l’approche axée sur le bassin, et la participation de tous les pays du bassin à un organe commun. La conclusion d’accords bilatéraux et la création d’organes communs bilatéraux pour les eaux limitrophes est importante; elles ne sauraient cependant remplacer une coopération portant sur la totalité du (ou des) bassin(s) transfrontière(s).</w:t>
      </w:r>
    </w:p>
    <w:p w:rsidR="00B259EE" w:rsidRPr="001D27B1" w:rsidRDefault="00051941" w:rsidP="00B259EE">
      <w:pPr>
        <w:ind w:left="360"/>
        <w:jc w:val="both"/>
        <w:rPr>
          <w:iCs/>
          <w:lang w:val="fr-CH"/>
        </w:rPr>
      </w:pPr>
      <w:r w:rsidRPr="001D27B1">
        <w:rPr>
          <w:iCs/>
          <w:lang w:val="fr-CH"/>
        </w:rPr>
        <w:t xml:space="preserve">1.4 </w:t>
      </w:r>
      <w:r w:rsidR="00B259EE" w:rsidRPr="001D27B1">
        <w:rPr>
          <w:iCs/>
          <w:lang w:val="fr-CH"/>
        </w:rPr>
        <w:t xml:space="preserve">L’attribution à l’organe commun de pouvoirs et de tâches clairement définis, suffisants pour lui permettre de mener des activités efficaces liées à la gestion, à l’utilisation et à la protection des eaux transfrontières. </w:t>
      </w:r>
    </w:p>
    <w:p w:rsidR="00B259EE" w:rsidRPr="001D27B1" w:rsidRDefault="00051941" w:rsidP="00B259EE">
      <w:pPr>
        <w:ind w:left="360"/>
        <w:jc w:val="both"/>
        <w:rPr>
          <w:iCs/>
          <w:lang w:val="fr-CH"/>
        </w:rPr>
      </w:pPr>
      <w:r w:rsidRPr="001D27B1">
        <w:rPr>
          <w:iCs/>
          <w:lang w:val="fr-CH"/>
        </w:rPr>
        <w:t xml:space="preserve">1.5 </w:t>
      </w:r>
      <w:r w:rsidR="00B259EE" w:rsidRPr="001D27B1">
        <w:rPr>
          <w:iCs/>
          <w:lang w:val="fr-CH"/>
        </w:rPr>
        <w:t xml:space="preserve">Une structure organisationnelle qui permette d’élaborer et d’adopter des décisions ainsi que de les mettre en œuvre. Cela suppose l’existence d’organes de décision, d’exécution et de travail, y compris d’un organe permanent d’appui aux activités de l’organe commun. Cela suppose également une définition claire des attributions et des fonctions de chaque élément de la structure organisationnelle. </w:t>
      </w:r>
    </w:p>
    <w:p w:rsidR="00B259EE" w:rsidRPr="001D27B1" w:rsidRDefault="004C0D00" w:rsidP="0050421F">
      <w:pPr>
        <w:ind w:left="360"/>
        <w:jc w:val="both"/>
        <w:rPr>
          <w:iCs/>
          <w:lang w:val="fr-CH"/>
        </w:rPr>
      </w:pPr>
      <w:r w:rsidRPr="001D27B1">
        <w:rPr>
          <w:iCs/>
          <w:lang w:val="fr-CH"/>
        </w:rPr>
        <w:t xml:space="preserve">1.6 </w:t>
      </w:r>
      <w:r w:rsidR="00B259EE" w:rsidRPr="001D27B1">
        <w:rPr>
          <w:iCs/>
          <w:lang w:val="fr-CH"/>
        </w:rPr>
        <w:t>Une certaine souplesse de l’accord instituant l’organe commun permet de développer la coopération de manière progressive</w:t>
      </w:r>
      <w:r w:rsidR="0069682D" w:rsidRPr="001D27B1">
        <w:rPr>
          <w:iCs/>
          <w:lang w:val="fr-CH"/>
        </w:rPr>
        <w:t xml:space="preserve">, ceci </w:t>
      </w:r>
      <w:r w:rsidR="00FC366B">
        <w:rPr>
          <w:iCs/>
          <w:lang w:val="fr-CH"/>
        </w:rPr>
        <w:t>aussi bien</w:t>
      </w:r>
      <w:r w:rsidR="0069682D" w:rsidRPr="001D27B1">
        <w:rPr>
          <w:iCs/>
          <w:lang w:val="fr-CH"/>
        </w:rPr>
        <w:t xml:space="preserve"> en </w:t>
      </w:r>
      <w:proofErr w:type="gramStart"/>
      <w:r w:rsidR="0069682D" w:rsidRPr="001D27B1">
        <w:rPr>
          <w:iCs/>
          <w:lang w:val="fr-CH"/>
        </w:rPr>
        <w:t>terme</w:t>
      </w:r>
      <w:proofErr w:type="gramEnd"/>
      <w:r w:rsidR="0069682D" w:rsidRPr="001D27B1">
        <w:rPr>
          <w:iCs/>
          <w:lang w:val="fr-CH"/>
        </w:rPr>
        <w:t xml:space="preserve"> de portée ou de mandat </w:t>
      </w:r>
      <w:r w:rsidR="00FC366B">
        <w:rPr>
          <w:iCs/>
          <w:lang w:val="fr-CH"/>
        </w:rPr>
        <w:t xml:space="preserve"> qu’en </w:t>
      </w:r>
      <w:r w:rsidR="0069682D" w:rsidRPr="001D27B1">
        <w:rPr>
          <w:iCs/>
          <w:lang w:val="fr-CH"/>
        </w:rPr>
        <w:t>Etat</w:t>
      </w:r>
      <w:r w:rsidR="00FC366B">
        <w:rPr>
          <w:iCs/>
          <w:lang w:val="fr-CH"/>
        </w:rPr>
        <w:t>s</w:t>
      </w:r>
      <w:r w:rsidR="0069682D" w:rsidRPr="001D27B1">
        <w:rPr>
          <w:iCs/>
          <w:lang w:val="fr-CH"/>
        </w:rPr>
        <w:t xml:space="preserve"> riverains concernés. </w:t>
      </w:r>
      <w:r w:rsidR="00134590">
        <w:rPr>
          <w:iCs/>
          <w:lang w:val="fr-CH"/>
        </w:rPr>
        <w:t>Si l’on ne parvient pas</w:t>
      </w:r>
      <w:r w:rsidR="0069682D" w:rsidRPr="001D27B1">
        <w:rPr>
          <w:iCs/>
          <w:lang w:val="fr-CH"/>
        </w:rPr>
        <w:t xml:space="preserve"> à un accord couvrant l’ensemble du bassin entre tous les Etats riverains, la coopération peut s’établir à partir d’un accord et d’un organe commun créé par certains des Etat riverains en vue d’engager tous les pays riverains dans cette coopération à l’avenir. </w:t>
      </w:r>
    </w:p>
    <w:p w:rsidR="000D0848" w:rsidRPr="001D27B1" w:rsidRDefault="000D0848" w:rsidP="0099307C">
      <w:pPr>
        <w:ind w:left="360"/>
        <w:jc w:val="both"/>
        <w:rPr>
          <w:lang w:val="fr-CH"/>
        </w:rPr>
      </w:pPr>
      <w:r w:rsidRPr="001D27B1">
        <w:rPr>
          <w:lang w:val="fr-CH"/>
        </w:rPr>
        <w:lastRenderedPageBreak/>
        <w:t xml:space="preserve">1.7 </w:t>
      </w:r>
      <w:r w:rsidR="0069682D" w:rsidRPr="001D27B1">
        <w:rPr>
          <w:lang w:val="fr-CH"/>
        </w:rPr>
        <w:t xml:space="preserve">Une </w:t>
      </w:r>
      <w:r w:rsidR="00134590">
        <w:rPr>
          <w:lang w:val="fr-CH"/>
        </w:rPr>
        <w:t xml:space="preserve">socle </w:t>
      </w:r>
      <w:r w:rsidR="0069682D" w:rsidRPr="001D27B1">
        <w:rPr>
          <w:lang w:val="fr-CH"/>
        </w:rPr>
        <w:t>solide d’informations</w:t>
      </w:r>
      <w:r w:rsidR="00134590">
        <w:rPr>
          <w:lang w:val="fr-CH"/>
        </w:rPr>
        <w:t>, comprenant une analyse conjointe du bassin,</w:t>
      </w:r>
      <w:r w:rsidR="0069682D" w:rsidRPr="001D27B1">
        <w:rPr>
          <w:lang w:val="fr-CH"/>
        </w:rPr>
        <w:t xml:space="preserve"> favorise les activités d’un organe commun. </w:t>
      </w:r>
      <w:r w:rsidR="00E91F12" w:rsidRPr="001D27B1">
        <w:rPr>
          <w:lang w:val="fr-CH"/>
        </w:rPr>
        <w:t>Une analyse des autorités nationales, des organisations et des institutions de chaque pays riverain</w:t>
      </w:r>
      <w:r w:rsidR="00770B64" w:rsidRPr="001D27B1">
        <w:rPr>
          <w:lang w:val="fr-CH"/>
        </w:rPr>
        <w:t xml:space="preserve"> peut représenter un élément important </w:t>
      </w:r>
      <w:r w:rsidR="00772AF5" w:rsidRPr="001D27B1">
        <w:rPr>
          <w:lang w:val="fr-CH"/>
        </w:rPr>
        <w:t xml:space="preserve">de ce socle </w:t>
      </w:r>
      <w:r w:rsidR="00770B64" w:rsidRPr="001D27B1">
        <w:rPr>
          <w:lang w:val="fr-CH"/>
        </w:rPr>
        <w:t xml:space="preserve">afin d’identifier leurs compétences, leurs fonctions et leur expertise pour contribuer </w:t>
      </w:r>
      <w:r w:rsidR="00772AF5" w:rsidRPr="001D27B1">
        <w:rPr>
          <w:lang w:val="fr-CH"/>
        </w:rPr>
        <w:t>à la GIRE et assurer une étroite coopération entre toutes les autorités nationales compétentes et le futu</w:t>
      </w:r>
      <w:r w:rsidR="0099307C" w:rsidRPr="001D27B1">
        <w:rPr>
          <w:lang w:val="fr-CH"/>
        </w:rPr>
        <w:t xml:space="preserve">r </w:t>
      </w:r>
      <w:r w:rsidR="00772AF5" w:rsidRPr="001D27B1">
        <w:rPr>
          <w:lang w:val="fr-CH"/>
        </w:rPr>
        <w:t>organe commun</w:t>
      </w:r>
      <w:r w:rsidR="0099307C" w:rsidRPr="001D27B1">
        <w:rPr>
          <w:lang w:val="fr-CH"/>
        </w:rPr>
        <w:t>. Ceci sera comp</w:t>
      </w:r>
      <w:r w:rsidR="00425259">
        <w:rPr>
          <w:lang w:val="fr-CH"/>
        </w:rPr>
        <w:t>l</w:t>
      </w:r>
      <w:r w:rsidR="0099307C" w:rsidRPr="001D27B1">
        <w:rPr>
          <w:lang w:val="fr-CH"/>
        </w:rPr>
        <w:t xml:space="preserve">été par une analyse des parties prenantes. </w:t>
      </w:r>
      <w:r w:rsidRPr="001D27B1">
        <w:rPr>
          <w:lang w:val="fr-CH"/>
        </w:rPr>
        <w:t>.</w:t>
      </w:r>
      <w:r w:rsidRPr="001D27B1">
        <w:rPr>
          <w:rStyle w:val="FootnoteReference"/>
          <w:lang w:val="fr-CH"/>
        </w:rPr>
        <w:footnoteReference w:id="3"/>
      </w:r>
    </w:p>
    <w:p w:rsidR="000D0848" w:rsidRPr="001D27B1" w:rsidRDefault="000D0848" w:rsidP="0050421F">
      <w:pPr>
        <w:ind w:left="360"/>
        <w:jc w:val="both"/>
        <w:rPr>
          <w:lang w:val="fr-CH"/>
        </w:rPr>
      </w:pPr>
    </w:p>
    <w:p w:rsidR="00051941" w:rsidRPr="001D27B1" w:rsidRDefault="00051941" w:rsidP="0050421F">
      <w:pPr>
        <w:ind w:left="360"/>
        <w:jc w:val="both"/>
        <w:rPr>
          <w:lang w:val="fr-CH"/>
        </w:rPr>
      </w:pPr>
      <w:r w:rsidRPr="001D27B1">
        <w:rPr>
          <w:lang w:val="fr-CH"/>
        </w:rPr>
        <w:t xml:space="preserve">2 </w:t>
      </w:r>
      <w:r w:rsidR="0099307C" w:rsidRPr="001D27B1">
        <w:rPr>
          <w:b/>
          <w:lang w:val="fr-CH"/>
        </w:rPr>
        <w:t>Fonctionnement</w:t>
      </w:r>
    </w:p>
    <w:p w:rsidR="00411859" w:rsidRPr="001D27B1" w:rsidRDefault="00791B30" w:rsidP="00450952">
      <w:pPr>
        <w:ind w:left="360"/>
        <w:jc w:val="both"/>
        <w:rPr>
          <w:iCs/>
          <w:lang w:val="fr-CH"/>
        </w:rPr>
      </w:pPr>
      <w:r w:rsidRPr="001D27B1">
        <w:rPr>
          <w:iCs/>
          <w:lang w:val="fr-CH"/>
        </w:rPr>
        <w:t>2.1</w:t>
      </w:r>
      <w:r w:rsidR="00450952" w:rsidRPr="001D27B1">
        <w:rPr>
          <w:iCs/>
          <w:lang w:val="fr-CH"/>
        </w:rPr>
        <w:t xml:space="preserve"> Des mécanismes efficaces de coopération de l’organe commun avec les autorités nationales, et l’existence de mécanismes d’application des décisions</w:t>
      </w:r>
      <w:r w:rsidR="00411859" w:rsidRPr="001D27B1">
        <w:rPr>
          <w:iCs/>
          <w:lang w:val="fr-CH"/>
        </w:rPr>
        <w:t>.</w:t>
      </w:r>
      <w:r w:rsidR="000D0848" w:rsidRPr="001D27B1">
        <w:rPr>
          <w:rStyle w:val="FootnoteReference"/>
          <w:iCs/>
          <w:lang w:val="fr-CH"/>
        </w:rPr>
        <w:footnoteReference w:id="4"/>
      </w:r>
      <w:r w:rsidR="0050421F" w:rsidRPr="001D27B1">
        <w:rPr>
          <w:iCs/>
          <w:lang w:val="fr-CH"/>
        </w:rPr>
        <w:t xml:space="preserve"> </w:t>
      </w:r>
    </w:p>
    <w:p w:rsidR="00411859" w:rsidRPr="001D27B1" w:rsidRDefault="00791B30" w:rsidP="0050421F">
      <w:pPr>
        <w:ind w:left="360"/>
        <w:jc w:val="both"/>
        <w:rPr>
          <w:iCs/>
          <w:lang w:val="fr-CH"/>
        </w:rPr>
      </w:pPr>
      <w:r w:rsidRPr="001D27B1">
        <w:rPr>
          <w:iCs/>
          <w:lang w:val="fr-CH"/>
        </w:rPr>
        <w:t xml:space="preserve">2.2 </w:t>
      </w:r>
      <w:r w:rsidR="008541A9" w:rsidRPr="001D27B1">
        <w:rPr>
          <w:iCs/>
          <w:lang w:val="fr-CH"/>
        </w:rPr>
        <w:t xml:space="preserve">Des </w:t>
      </w:r>
      <w:r w:rsidR="00BF4FC2" w:rsidRPr="001D27B1">
        <w:rPr>
          <w:iCs/>
          <w:lang w:val="fr-CH"/>
        </w:rPr>
        <w:t xml:space="preserve">structures hiérarchiques et des mécanismes clairement définis. </w:t>
      </w:r>
    </w:p>
    <w:p w:rsidR="00BF4FC2" w:rsidRPr="001D27B1" w:rsidRDefault="00791B30" w:rsidP="00BF4FC2">
      <w:pPr>
        <w:ind w:left="360"/>
        <w:jc w:val="both"/>
        <w:rPr>
          <w:iCs/>
          <w:lang w:val="fr-CH"/>
        </w:rPr>
      </w:pPr>
      <w:r w:rsidRPr="001D27B1">
        <w:rPr>
          <w:iCs/>
          <w:lang w:val="fr-CH"/>
        </w:rPr>
        <w:t xml:space="preserve">2.3 </w:t>
      </w:r>
      <w:r w:rsidR="00BF4FC2" w:rsidRPr="001D27B1">
        <w:rPr>
          <w:iCs/>
          <w:lang w:val="fr-CH"/>
        </w:rPr>
        <w:t>Des mécanismes de participation du public et d’association des parties prenantes à l’activité de l’organe commun</w:t>
      </w:r>
      <w:r w:rsidR="00DF1D4F" w:rsidRPr="001D27B1">
        <w:rPr>
          <w:iCs/>
          <w:lang w:val="fr-CH"/>
        </w:rPr>
        <w:t xml:space="preserve">. Des outils appropriés pour la participation du public doivent être sélectionnés, selon leur but </w:t>
      </w:r>
      <w:r w:rsidR="009B1375" w:rsidRPr="001D27B1">
        <w:rPr>
          <w:iCs/>
          <w:lang w:val="fr-CH"/>
        </w:rPr>
        <w:t>–</w:t>
      </w:r>
      <w:r w:rsidR="00DF1D4F" w:rsidRPr="001D27B1">
        <w:rPr>
          <w:iCs/>
          <w:lang w:val="fr-CH"/>
        </w:rPr>
        <w:t xml:space="preserve"> </w:t>
      </w:r>
      <w:r w:rsidR="009B1375" w:rsidRPr="001D27B1">
        <w:rPr>
          <w:iCs/>
          <w:lang w:val="fr-CH"/>
        </w:rPr>
        <w:t>identifier des parties prenantes, notifier, informer, consulter, prendre en compte – de manière à refléter le contexte spécifique et les objectifs. S’appuyant sur la Convention d’Aarhus</w:t>
      </w:r>
      <w:r w:rsidR="001B5D29" w:rsidRPr="001D27B1">
        <w:rPr>
          <w:iCs/>
          <w:lang w:val="fr-CH"/>
        </w:rPr>
        <w:t xml:space="preserve">, les éléments suivants sont rappelés comme principes fondamentaux relatifs à la participation du public : équité et </w:t>
      </w:r>
      <w:r w:rsidR="0079229D">
        <w:rPr>
          <w:iCs/>
          <w:lang w:val="fr-CH"/>
        </w:rPr>
        <w:t>participation</w:t>
      </w:r>
      <w:r w:rsidR="001B5D29" w:rsidRPr="001D27B1">
        <w:rPr>
          <w:iCs/>
          <w:lang w:val="fr-CH"/>
        </w:rPr>
        <w:t>, responsabilité</w:t>
      </w:r>
      <w:r w:rsidR="00B63AB4" w:rsidRPr="001D27B1">
        <w:rPr>
          <w:iCs/>
          <w:lang w:val="fr-CH"/>
        </w:rPr>
        <w:t xml:space="preserve"> et transparence, flexibilité, efficacité et rapidité, ainsi que  réactivité. </w:t>
      </w:r>
    </w:p>
    <w:p w:rsidR="00A570DC" w:rsidRPr="001D27B1" w:rsidRDefault="00791B30" w:rsidP="000C4462">
      <w:pPr>
        <w:ind w:left="360"/>
        <w:jc w:val="both"/>
        <w:rPr>
          <w:lang w:val="fr-CH"/>
        </w:rPr>
      </w:pPr>
      <w:r w:rsidRPr="001D27B1">
        <w:rPr>
          <w:lang w:val="fr-CH"/>
        </w:rPr>
        <w:t xml:space="preserve">2.4 </w:t>
      </w:r>
      <w:r w:rsidR="00B63AB4" w:rsidRPr="001D27B1">
        <w:rPr>
          <w:lang w:val="fr-CH"/>
        </w:rPr>
        <w:t xml:space="preserve">Un mécanisme qui assure la participation </w:t>
      </w:r>
      <w:r w:rsidR="001E4B47" w:rsidRPr="001D27B1">
        <w:rPr>
          <w:lang w:val="fr-CH"/>
        </w:rPr>
        <w:t xml:space="preserve">d’experts en matière d’eau souterraine et l’examen des questions liées à l’eau souterraine au sein du travail des organes communs dont la portée comprend la gestion intégrée des eaux transfrontières tant de surface que transfrontières. </w:t>
      </w:r>
    </w:p>
    <w:p w:rsidR="00A12111" w:rsidRPr="001D27B1" w:rsidRDefault="00791B30" w:rsidP="0050421F">
      <w:pPr>
        <w:ind w:left="360"/>
        <w:jc w:val="both"/>
        <w:rPr>
          <w:lang w:val="fr-CH"/>
        </w:rPr>
      </w:pPr>
      <w:r w:rsidRPr="001D27B1">
        <w:rPr>
          <w:lang w:val="fr-CH"/>
        </w:rPr>
        <w:t>2.5</w:t>
      </w:r>
      <w:r w:rsidR="000C4462" w:rsidRPr="001D27B1">
        <w:rPr>
          <w:lang w:val="fr-CH"/>
        </w:rPr>
        <w:t xml:space="preserve"> Le recours à des </w:t>
      </w:r>
      <w:r w:rsidR="0079229D">
        <w:rPr>
          <w:lang w:val="fr-CH"/>
        </w:rPr>
        <w:t>médiateurs</w:t>
      </w:r>
      <w:r w:rsidR="000C4462" w:rsidRPr="001D27B1">
        <w:rPr>
          <w:lang w:val="fr-CH"/>
        </w:rPr>
        <w:t xml:space="preserve"> neutres et extérieurs </w:t>
      </w:r>
      <w:r w:rsidR="0079229D">
        <w:rPr>
          <w:lang w:val="fr-CH"/>
        </w:rPr>
        <w:t>au</w:t>
      </w:r>
      <w:r w:rsidR="000C4462" w:rsidRPr="001D27B1">
        <w:rPr>
          <w:lang w:val="fr-CH"/>
        </w:rPr>
        <w:t xml:space="preserve"> processus de lancement/redémarrage d’un dialogue et de la coopération</w:t>
      </w:r>
      <w:r w:rsidR="00411859" w:rsidRPr="001D27B1">
        <w:rPr>
          <w:lang w:val="fr-CH"/>
        </w:rPr>
        <w:t>.</w:t>
      </w:r>
      <w:r w:rsidR="000D0848" w:rsidRPr="001D27B1">
        <w:rPr>
          <w:rStyle w:val="FootnoteReference"/>
          <w:lang w:val="fr-CH"/>
        </w:rPr>
        <w:footnoteReference w:id="5"/>
      </w:r>
      <w:r w:rsidR="00411859" w:rsidRPr="001D27B1">
        <w:rPr>
          <w:lang w:val="fr-CH"/>
        </w:rPr>
        <w:t xml:space="preserve"> </w:t>
      </w:r>
    </w:p>
    <w:p w:rsidR="00411859" w:rsidRPr="001D27B1" w:rsidRDefault="00791B30" w:rsidP="00DB4529">
      <w:pPr>
        <w:ind w:left="360"/>
        <w:jc w:val="both"/>
        <w:rPr>
          <w:lang w:val="fr-CH"/>
        </w:rPr>
      </w:pPr>
      <w:r w:rsidRPr="001D27B1">
        <w:rPr>
          <w:iCs/>
          <w:lang w:val="fr-CH"/>
        </w:rPr>
        <w:t xml:space="preserve">2.6 </w:t>
      </w:r>
      <w:r w:rsidR="00DB4529" w:rsidRPr="001D27B1">
        <w:rPr>
          <w:iCs/>
          <w:lang w:val="fr-CH"/>
        </w:rPr>
        <w:t>La coordination des activités avec celles d’autres organes communs du même bassin versant, ainsi que celles d’organes communs créés pour la préservation de l’environnement marin</w:t>
      </w:r>
      <w:r w:rsidR="00411859" w:rsidRPr="001D27B1">
        <w:rPr>
          <w:iCs/>
          <w:lang w:val="fr-CH"/>
        </w:rPr>
        <w:t>.</w:t>
      </w:r>
    </w:p>
    <w:p w:rsidR="00083EC3" w:rsidRPr="001D27B1" w:rsidRDefault="00A570DC" w:rsidP="0050421F">
      <w:pPr>
        <w:ind w:left="360"/>
        <w:jc w:val="both"/>
        <w:rPr>
          <w:lang w:val="fr-CH"/>
        </w:rPr>
      </w:pPr>
      <w:r w:rsidRPr="001D27B1">
        <w:rPr>
          <w:lang w:val="fr-CH"/>
        </w:rPr>
        <w:t>2.</w:t>
      </w:r>
      <w:r w:rsidR="000D0848" w:rsidRPr="001D27B1">
        <w:rPr>
          <w:lang w:val="fr-CH"/>
        </w:rPr>
        <w:t>7</w:t>
      </w:r>
      <w:r w:rsidRPr="001D27B1">
        <w:rPr>
          <w:lang w:val="fr-CH"/>
        </w:rPr>
        <w:t xml:space="preserve"> </w:t>
      </w:r>
      <w:r w:rsidR="00DB4529" w:rsidRPr="001D27B1">
        <w:rPr>
          <w:lang w:val="fr-CH"/>
        </w:rPr>
        <w:t>Le fonctionnement comme un forum pour l’échange d’</w:t>
      </w:r>
      <w:r w:rsidR="003B3EEB" w:rsidRPr="001D27B1">
        <w:rPr>
          <w:lang w:val="fr-CH"/>
        </w:rPr>
        <w:t>i</w:t>
      </w:r>
      <w:r w:rsidR="00DB4529" w:rsidRPr="001D27B1">
        <w:rPr>
          <w:lang w:val="fr-CH"/>
        </w:rPr>
        <w:t>nformations et de données</w:t>
      </w:r>
      <w:r w:rsidR="001E4AE2" w:rsidRPr="001D27B1">
        <w:rPr>
          <w:lang w:val="fr-CH"/>
        </w:rPr>
        <w:t>, et pour l’harmonisation des approches de suivi</w:t>
      </w:r>
      <w:r w:rsidR="00083EC3" w:rsidRPr="001D27B1">
        <w:rPr>
          <w:lang w:val="fr-CH"/>
        </w:rPr>
        <w:t>.</w:t>
      </w:r>
    </w:p>
    <w:p w:rsidR="001E4AE2" w:rsidRPr="001D27B1" w:rsidRDefault="005F1378" w:rsidP="0050421F">
      <w:pPr>
        <w:ind w:left="360"/>
        <w:jc w:val="both"/>
        <w:rPr>
          <w:lang w:val="fr-CH"/>
        </w:rPr>
      </w:pPr>
      <w:r w:rsidRPr="001D27B1">
        <w:rPr>
          <w:lang w:val="fr-CH"/>
        </w:rPr>
        <w:t xml:space="preserve">2.8 </w:t>
      </w:r>
      <w:r w:rsidR="001E4AE2" w:rsidRPr="001D27B1">
        <w:rPr>
          <w:lang w:val="fr-CH"/>
        </w:rPr>
        <w:t xml:space="preserve">Un mandat afin d’identifier et </w:t>
      </w:r>
      <w:r w:rsidR="003B3EEB" w:rsidRPr="001D27B1">
        <w:rPr>
          <w:lang w:val="fr-CH"/>
        </w:rPr>
        <w:t>d’évaluer avec précision les avantages potentiel</w:t>
      </w:r>
      <w:r w:rsidR="00DA73EF">
        <w:rPr>
          <w:lang w:val="fr-CH"/>
        </w:rPr>
        <w:t>s</w:t>
      </w:r>
      <w:r w:rsidR="003B3EEB" w:rsidRPr="001D27B1">
        <w:rPr>
          <w:lang w:val="fr-CH"/>
        </w:rPr>
        <w:t xml:space="preserve"> de la coopération dans le domaine des eaux transfrontières prenant en compte les aspects économiques, sociaux, environnementaux et géopolitiques. </w:t>
      </w:r>
    </w:p>
    <w:p w:rsidR="003B3EEB" w:rsidRPr="001D27B1" w:rsidRDefault="00A570DC" w:rsidP="0050421F">
      <w:pPr>
        <w:ind w:left="360"/>
        <w:jc w:val="both"/>
        <w:rPr>
          <w:lang w:val="fr-CH"/>
        </w:rPr>
      </w:pPr>
      <w:r w:rsidRPr="001D27B1">
        <w:rPr>
          <w:lang w:val="fr-CH"/>
        </w:rPr>
        <w:t>2.</w:t>
      </w:r>
      <w:r w:rsidR="005F1378" w:rsidRPr="001D27B1">
        <w:rPr>
          <w:lang w:val="fr-CH"/>
        </w:rPr>
        <w:t>9</w:t>
      </w:r>
      <w:r w:rsidRPr="001D27B1">
        <w:rPr>
          <w:lang w:val="fr-CH"/>
        </w:rPr>
        <w:t xml:space="preserve"> </w:t>
      </w:r>
      <w:r w:rsidR="003B3EEB" w:rsidRPr="001D27B1">
        <w:rPr>
          <w:lang w:val="fr-CH"/>
        </w:rPr>
        <w:t>Faciliter l</w:t>
      </w:r>
      <w:r w:rsidR="002966F1" w:rsidRPr="001D27B1">
        <w:rPr>
          <w:lang w:val="fr-CH"/>
        </w:rPr>
        <w:t xml:space="preserve">es </w:t>
      </w:r>
      <w:r w:rsidR="003B3EEB" w:rsidRPr="001D27B1">
        <w:rPr>
          <w:lang w:val="fr-CH"/>
        </w:rPr>
        <w:t>évaluation</w:t>
      </w:r>
      <w:r w:rsidR="002966F1" w:rsidRPr="001D27B1">
        <w:rPr>
          <w:lang w:val="fr-CH"/>
        </w:rPr>
        <w:t>s</w:t>
      </w:r>
      <w:r w:rsidR="003B3EEB" w:rsidRPr="001D27B1">
        <w:rPr>
          <w:lang w:val="fr-CH"/>
        </w:rPr>
        <w:t xml:space="preserve"> d</w:t>
      </w:r>
      <w:r w:rsidR="002966F1" w:rsidRPr="001D27B1">
        <w:rPr>
          <w:lang w:val="fr-CH"/>
        </w:rPr>
        <w:t>’</w:t>
      </w:r>
      <w:r w:rsidR="003B3EEB" w:rsidRPr="001D27B1">
        <w:rPr>
          <w:lang w:val="fr-CH"/>
        </w:rPr>
        <w:t>impacts (transfrontières et intersectoriel</w:t>
      </w:r>
      <w:r w:rsidR="002966F1" w:rsidRPr="001D27B1">
        <w:rPr>
          <w:lang w:val="fr-CH"/>
        </w:rPr>
        <w:t xml:space="preserve">s) des évolutions dans le bassin, et trouver un accord les </w:t>
      </w:r>
      <w:r w:rsidR="00350C83">
        <w:rPr>
          <w:lang w:val="fr-CH"/>
        </w:rPr>
        <w:t>à leur sujet</w:t>
      </w:r>
      <w:r w:rsidR="002966F1" w:rsidRPr="001D27B1">
        <w:rPr>
          <w:lang w:val="fr-CH"/>
        </w:rPr>
        <w:t xml:space="preserve"> entre les pays riverains au niveau transfrontière.</w:t>
      </w:r>
      <w:r w:rsidR="00162ED5">
        <w:rPr>
          <w:lang w:val="fr-CH"/>
        </w:rPr>
        <w:t xml:space="preserve"> </w:t>
      </w:r>
      <w:r w:rsidR="0020723F" w:rsidRPr="001D27B1">
        <w:rPr>
          <w:lang w:val="fr-CH"/>
        </w:rPr>
        <w:lastRenderedPageBreak/>
        <w:t>Fournir un cadre pour le suivi des effets des impacts des infrastructures à long terme et, le cas échéant, signaler la nécessité éventuelle de mesure</w:t>
      </w:r>
      <w:r w:rsidR="00350C83">
        <w:rPr>
          <w:lang w:val="fr-CH"/>
        </w:rPr>
        <w:t>s</w:t>
      </w:r>
      <w:r w:rsidR="0020723F" w:rsidRPr="001D27B1">
        <w:rPr>
          <w:lang w:val="fr-CH"/>
        </w:rPr>
        <w:t xml:space="preserve"> d’atténuation ou de compensation. </w:t>
      </w:r>
    </w:p>
    <w:p w:rsidR="00FC27E5" w:rsidRPr="001D27B1" w:rsidRDefault="00A570DC" w:rsidP="0050421F">
      <w:pPr>
        <w:ind w:left="360"/>
        <w:jc w:val="both"/>
        <w:rPr>
          <w:lang w:val="fr-CH"/>
        </w:rPr>
      </w:pPr>
      <w:r w:rsidRPr="001D27B1">
        <w:rPr>
          <w:lang w:val="fr-CH"/>
        </w:rPr>
        <w:t>2.</w:t>
      </w:r>
      <w:r w:rsidR="00553C79" w:rsidRPr="001D27B1">
        <w:rPr>
          <w:lang w:val="fr-CH"/>
        </w:rPr>
        <w:t>10</w:t>
      </w:r>
      <w:r w:rsidRPr="001D27B1">
        <w:rPr>
          <w:lang w:val="fr-CH"/>
        </w:rPr>
        <w:t xml:space="preserve"> </w:t>
      </w:r>
      <w:r w:rsidR="0020723F" w:rsidRPr="001D27B1">
        <w:rPr>
          <w:lang w:val="fr-CH"/>
        </w:rPr>
        <w:t xml:space="preserve">Capacité/fourniture </w:t>
      </w:r>
      <w:r w:rsidR="00FC27E5" w:rsidRPr="001D27B1">
        <w:rPr>
          <w:lang w:val="fr-CH"/>
        </w:rPr>
        <w:t>de moyens pour une gestion souple des grandes variations de quantité et de qualité d</w:t>
      </w:r>
      <w:r w:rsidR="005012B7">
        <w:rPr>
          <w:lang w:val="fr-CH"/>
        </w:rPr>
        <w:t>e l</w:t>
      </w:r>
      <w:r w:rsidR="00FC27E5" w:rsidRPr="001D27B1">
        <w:rPr>
          <w:lang w:val="fr-CH"/>
        </w:rPr>
        <w:t>’eau disponible, permettant</w:t>
      </w:r>
      <w:r w:rsidR="00900D54" w:rsidRPr="001D27B1">
        <w:rPr>
          <w:lang w:val="fr-CH"/>
        </w:rPr>
        <w:t xml:space="preserve"> de s’adapter à un changement progressif du débit résultant du changement et de la variabilité du climat, ainsi que répondre aux phénomènes hydrologiques extrêmes. </w:t>
      </w:r>
    </w:p>
    <w:p w:rsidR="00051941" w:rsidRPr="001D27B1" w:rsidRDefault="00051941" w:rsidP="0050421F">
      <w:pPr>
        <w:ind w:firstLine="360"/>
        <w:jc w:val="both"/>
        <w:rPr>
          <w:b/>
          <w:lang w:val="fr-CH"/>
        </w:rPr>
      </w:pPr>
      <w:r w:rsidRPr="001D27B1">
        <w:rPr>
          <w:b/>
          <w:lang w:val="fr-CH"/>
        </w:rPr>
        <w:t xml:space="preserve">3. </w:t>
      </w:r>
      <w:r w:rsidR="00900D54" w:rsidRPr="001D27B1">
        <w:rPr>
          <w:b/>
          <w:lang w:val="fr-CH"/>
        </w:rPr>
        <w:t>Fin</w:t>
      </w:r>
      <w:r w:rsidR="00BB08E2" w:rsidRPr="001D27B1">
        <w:rPr>
          <w:b/>
          <w:lang w:val="fr-CH"/>
        </w:rPr>
        <w:t>an</w:t>
      </w:r>
      <w:r w:rsidR="00900D54" w:rsidRPr="001D27B1">
        <w:rPr>
          <w:b/>
          <w:lang w:val="fr-CH"/>
        </w:rPr>
        <w:t>cement</w:t>
      </w:r>
    </w:p>
    <w:p w:rsidR="00BB08E2" w:rsidRPr="001D27B1" w:rsidRDefault="00051941" w:rsidP="0050421F">
      <w:pPr>
        <w:ind w:left="360"/>
        <w:jc w:val="both"/>
        <w:rPr>
          <w:iCs/>
          <w:lang w:val="fr-CH"/>
        </w:rPr>
      </w:pPr>
      <w:r w:rsidRPr="001D27B1">
        <w:rPr>
          <w:iCs/>
          <w:lang w:val="fr-CH"/>
        </w:rPr>
        <w:t xml:space="preserve">3.1 </w:t>
      </w:r>
      <w:r w:rsidR="00BB08E2" w:rsidRPr="001D27B1">
        <w:rPr>
          <w:iCs/>
          <w:lang w:val="fr-CH"/>
        </w:rPr>
        <w:t>Des ressources financières et humaines suffisante</w:t>
      </w:r>
      <w:r w:rsidR="005012B7">
        <w:rPr>
          <w:iCs/>
          <w:lang w:val="fr-CH"/>
        </w:rPr>
        <w:t>s</w:t>
      </w:r>
      <w:r w:rsidR="00BB08E2" w:rsidRPr="001D27B1">
        <w:rPr>
          <w:iCs/>
          <w:lang w:val="fr-CH"/>
        </w:rPr>
        <w:t xml:space="preserve"> à l’appui de la structure organisationnelle de l’organe commun afin d’assurer le déve</w:t>
      </w:r>
      <w:r w:rsidR="007476BB" w:rsidRPr="001D27B1">
        <w:rPr>
          <w:iCs/>
          <w:lang w:val="fr-CH"/>
        </w:rPr>
        <w:t xml:space="preserve">loppement, l’adoption et la mise en œuvre des décisions de l’organe commun, et le cas échéant l’apport de moyen pour la mise en </w:t>
      </w:r>
      <w:r w:rsidR="00162ED5">
        <w:rPr>
          <w:iCs/>
          <w:lang w:val="fr-CH"/>
        </w:rPr>
        <w:t>œuvre</w:t>
      </w:r>
      <w:r w:rsidR="007476BB" w:rsidRPr="001D27B1">
        <w:rPr>
          <w:iCs/>
          <w:lang w:val="fr-CH"/>
        </w:rPr>
        <w:t xml:space="preserve"> de programmes conjoints. </w:t>
      </w:r>
    </w:p>
    <w:p w:rsidR="007476BB" w:rsidRPr="001D27B1" w:rsidRDefault="00553C79" w:rsidP="0050421F">
      <w:pPr>
        <w:ind w:left="360"/>
        <w:jc w:val="both"/>
        <w:rPr>
          <w:lang w:val="fr-CH"/>
        </w:rPr>
      </w:pPr>
      <w:r w:rsidRPr="001D27B1">
        <w:rPr>
          <w:lang w:val="fr-CH"/>
        </w:rPr>
        <w:t>3.2</w:t>
      </w:r>
      <w:r w:rsidR="00051941" w:rsidRPr="001D27B1">
        <w:rPr>
          <w:lang w:val="fr-CH"/>
        </w:rPr>
        <w:t xml:space="preserve"> </w:t>
      </w:r>
      <w:r w:rsidR="007476BB" w:rsidRPr="001D27B1">
        <w:rPr>
          <w:lang w:val="fr-CH"/>
        </w:rPr>
        <w:t xml:space="preserve">La viabilité </w:t>
      </w:r>
      <w:r w:rsidR="0015740A" w:rsidRPr="001D27B1">
        <w:rPr>
          <w:lang w:val="fr-CH"/>
        </w:rPr>
        <w:t>financière</w:t>
      </w:r>
      <w:r w:rsidR="007476BB" w:rsidRPr="001D27B1">
        <w:rPr>
          <w:lang w:val="fr-CH"/>
        </w:rPr>
        <w:t xml:space="preserve"> d’un organe commun est </w:t>
      </w:r>
      <w:r w:rsidR="0015740A" w:rsidRPr="001D27B1">
        <w:rPr>
          <w:lang w:val="fr-CH"/>
        </w:rPr>
        <w:t>assurée</w:t>
      </w:r>
      <w:r w:rsidR="007476BB" w:rsidRPr="001D27B1">
        <w:rPr>
          <w:lang w:val="fr-CH"/>
        </w:rPr>
        <w:t xml:space="preserve"> par la définition d</w:t>
      </w:r>
      <w:r w:rsidR="0015740A" w:rsidRPr="001D27B1">
        <w:rPr>
          <w:lang w:val="fr-CH"/>
        </w:rPr>
        <w:t xml:space="preserve">’engagements financiers de la part des Parties et par l’analyse des possibles mécanismes de financement supplémentaires. Le cas échéant, les </w:t>
      </w:r>
      <w:r w:rsidR="00AC1164" w:rsidRPr="001D27B1">
        <w:rPr>
          <w:lang w:val="fr-CH"/>
        </w:rPr>
        <w:t xml:space="preserve">attentes doivent </w:t>
      </w:r>
      <w:r w:rsidR="00527143">
        <w:rPr>
          <w:lang w:val="fr-CH"/>
        </w:rPr>
        <w:t>se traduire par</w:t>
      </w:r>
      <w:r w:rsidR="00AC1164" w:rsidRPr="001D27B1">
        <w:rPr>
          <w:lang w:val="fr-CH"/>
        </w:rPr>
        <w:t xml:space="preserve"> un mandat pour la collecte de fonds. </w:t>
      </w:r>
    </w:p>
    <w:p w:rsidR="00051941" w:rsidRPr="001D27B1" w:rsidRDefault="00051941" w:rsidP="0050421F">
      <w:pPr>
        <w:jc w:val="both"/>
        <w:rPr>
          <w:lang w:val="fr-CH"/>
        </w:rPr>
      </w:pPr>
    </w:p>
    <w:p w:rsidR="00AC1164" w:rsidRPr="001D27B1" w:rsidRDefault="00AC1164" w:rsidP="0050421F">
      <w:pPr>
        <w:jc w:val="both"/>
        <w:rPr>
          <w:b/>
          <w:lang w:val="fr-CH"/>
        </w:rPr>
      </w:pPr>
      <w:r w:rsidRPr="001D27B1">
        <w:rPr>
          <w:b/>
          <w:lang w:val="fr-CH"/>
        </w:rPr>
        <w:t xml:space="preserve">Ce projet </w:t>
      </w:r>
      <w:r w:rsidR="00554EB1">
        <w:rPr>
          <w:b/>
          <w:lang w:val="fr-CH"/>
        </w:rPr>
        <w:t>d’une</w:t>
      </w:r>
      <w:r w:rsidRPr="001D27B1">
        <w:rPr>
          <w:b/>
          <w:lang w:val="fr-CH"/>
        </w:rPr>
        <w:t xml:space="preserve"> liste de principes sera examiné lors de la session de clôture du Second atelier </w:t>
      </w:r>
      <w:r w:rsidR="006B784E" w:rsidRPr="001D27B1">
        <w:rPr>
          <w:b/>
          <w:lang w:val="fr-CH"/>
        </w:rPr>
        <w:t xml:space="preserve">sur les « Commissions de bassins versants et autres organes communs relatifs à la coopération en matière d'eaux transfrontières : Aspects techniques », prévue de 16h45 à 17h30 le 10 avril 2014. Il sera également convenu d’un possible suivi concernant sa révision, les consultations et sa </w:t>
      </w:r>
      <w:r w:rsidR="00554EB1">
        <w:rPr>
          <w:b/>
          <w:lang w:val="fr-CH"/>
        </w:rPr>
        <w:t>diffusion</w:t>
      </w:r>
      <w:r w:rsidR="00162ED5">
        <w:rPr>
          <w:b/>
          <w:lang w:val="fr-CH"/>
        </w:rPr>
        <w:t>.</w:t>
      </w:r>
    </w:p>
    <w:p w:rsidR="00411859" w:rsidRPr="001D27B1" w:rsidRDefault="00411859" w:rsidP="0050421F">
      <w:pPr>
        <w:jc w:val="both"/>
        <w:rPr>
          <w:b/>
          <w:lang w:val="fr-CH"/>
        </w:rPr>
      </w:pPr>
    </w:p>
    <w:sectPr w:rsidR="00411859" w:rsidRPr="001D27B1" w:rsidSect="00CA2F7B">
      <w:footerReference w:type="default" r:id="rId9"/>
      <w:pgSz w:w="11906" w:h="16838"/>
      <w:pgMar w:top="1134" w:right="1440" w:bottom="1134"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D0" w:rsidRDefault="005037D0" w:rsidP="00E15BAD">
      <w:pPr>
        <w:spacing w:after="0" w:line="240" w:lineRule="auto"/>
      </w:pPr>
      <w:r>
        <w:separator/>
      </w:r>
    </w:p>
  </w:endnote>
  <w:endnote w:type="continuationSeparator" w:id="0">
    <w:p w:rsidR="005037D0" w:rsidRDefault="005037D0" w:rsidP="00E1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48223"/>
      <w:docPartObj>
        <w:docPartGallery w:val="Page Numbers (Bottom of Page)"/>
        <w:docPartUnique/>
      </w:docPartObj>
    </w:sdtPr>
    <w:sdtEndPr>
      <w:rPr>
        <w:noProof/>
      </w:rPr>
    </w:sdtEndPr>
    <w:sdtContent>
      <w:p w:rsidR="00FC27E5" w:rsidRDefault="003319F9">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D0" w:rsidRDefault="005037D0" w:rsidP="00E15BAD">
      <w:pPr>
        <w:spacing w:after="0" w:line="240" w:lineRule="auto"/>
      </w:pPr>
      <w:r>
        <w:separator/>
      </w:r>
    </w:p>
  </w:footnote>
  <w:footnote w:type="continuationSeparator" w:id="0">
    <w:p w:rsidR="005037D0" w:rsidRDefault="005037D0" w:rsidP="00E15BAD">
      <w:pPr>
        <w:spacing w:after="0" w:line="240" w:lineRule="auto"/>
      </w:pPr>
      <w:r>
        <w:continuationSeparator/>
      </w:r>
    </w:p>
  </w:footnote>
  <w:footnote w:id="1">
    <w:p w:rsidR="00FC27E5" w:rsidRPr="004E10AC" w:rsidRDefault="00FC27E5" w:rsidP="00E15BAD">
      <w:pPr>
        <w:pStyle w:val="FootnoteText"/>
        <w:rPr>
          <w:lang w:val="fr-CH"/>
        </w:rPr>
      </w:pPr>
      <w:r>
        <w:rPr>
          <w:rStyle w:val="FootnoteReference"/>
        </w:rPr>
        <w:footnoteRef/>
      </w:r>
      <w:r w:rsidRPr="004E10AC">
        <w:rPr>
          <w:lang w:val="fr-CH"/>
        </w:rPr>
        <w:t xml:space="preserve"> Série de la CEE-ONU sur la Capacité de coopération dans le domaine de l’eau en Europe orientale, dans le Caucase et en Asie centrale, ECE/MP.WAT/32, New York </w:t>
      </w:r>
      <w:r>
        <w:rPr>
          <w:lang w:val="fr-CH"/>
        </w:rPr>
        <w:t>et</w:t>
      </w:r>
      <w:r w:rsidRPr="004E10AC">
        <w:rPr>
          <w:lang w:val="fr-CH"/>
        </w:rPr>
        <w:t xml:space="preserve"> G</w:t>
      </w:r>
      <w:r>
        <w:rPr>
          <w:lang w:val="fr-CH"/>
        </w:rPr>
        <w:t>enè</w:t>
      </w:r>
      <w:r w:rsidRPr="004E10AC">
        <w:rPr>
          <w:lang w:val="fr-CH"/>
        </w:rPr>
        <w:t xml:space="preserve">ve, 2009, </w:t>
      </w:r>
      <w:r>
        <w:rPr>
          <w:lang w:val="fr-CH"/>
        </w:rPr>
        <w:t xml:space="preserve">disponible à l’adresse suivante : </w:t>
      </w:r>
      <w:r w:rsidRPr="004E10AC">
        <w:rPr>
          <w:lang w:val="fr-CH"/>
        </w:rPr>
        <w:t xml:space="preserve"> http://www.unece.org/index.php?id=11628.</w:t>
      </w:r>
    </w:p>
  </w:footnote>
  <w:footnote w:id="2">
    <w:p w:rsidR="00FC27E5" w:rsidRPr="00B259EE" w:rsidRDefault="00FC27E5" w:rsidP="00145986">
      <w:pPr>
        <w:pStyle w:val="FootnoteText"/>
        <w:jc w:val="both"/>
        <w:rPr>
          <w:lang w:val="fr-CH"/>
        </w:rPr>
      </w:pPr>
      <w:r>
        <w:rPr>
          <w:rStyle w:val="FootnoteReference"/>
        </w:rPr>
        <w:footnoteRef/>
      </w:r>
      <w:r w:rsidRPr="00524E76">
        <w:rPr>
          <w:lang w:val="fr-CH"/>
        </w:rPr>
        <w:t xml:space="preserve"> Un </w:t>
      </w:r>
      <w:r>
        <w:rPr>
          <w:lang w:val="fr-CH"/>
        </w:rPr>
        <w:t>des principes des projets du</w:t>
      </w:r>
      <w:r w:rsidRPr="00145986">
        <w:rPr>
          <w:lang w:val="fr-CH"/>
        </w:rPr>
        <w:t xml:space="preserve"> Fonds pour l'environnement mondial (FEM) est d’établir un comité inter</w:t>
      </w:r>
      <w:r>
        <w:rPr>
          <w:lang w:val="fr-CH"/>
        </w:rPr>
        <w:t xml:space="preserve">-agences pour la préparation des discussions transfrontières. Ceci pourrait être une possibilité permettant l’implication de nombreuses/toutes les agences. </w:t>
      </w:r>
      <w:bookmarkStart w:id="0" w:name="_GoBack"/>
      <w:bookmarkEnd w:id="0"/>
      <w:r w:rsidR="002C2DB3">
        <w:rPr>
          <w:lang w:val="fr-CH"/>
        </w:rPr>
        <w:t>Un trop grand nombre d’</w:t>
      </w:r>
      <w:r>
        <w:rPr>
          <w:lang w:val="fr-CH"/>
        </w:rPr>
        <w:t>acteur</w:t>
      </w:r>
      <w:r w:rsidR="00826D00">
        <w:rPr>
          <w:lang w:val="fr-CH"/>
        </w:rPr>
        <w:t>s</w:t>
      </w:r>
      <w:r w:rsidR="00162ED5">
        <w:rPr>
          <w:lang w:val="fr-CH"/>
        </w:rPr>
        <w:t xml:space="preserve"> dans </w:t>
      </w:r>
      <w:r w:rsidR="002C2DB3">
        <w:rPr>
          <w:lang w:val="fr-CH"/>
        </w:rPr>
        <w:t>les</w:t>
      </w:r>
      <w:r>
        <w:rPr>
          <w:lang w:val="fr-CH"/>
        </w:rPr>
        <w:t xml:space="preserve"> commission</w:t>
      </w:r>
      <w:r w:rsidR="002C2DB3">
        <w:rPr>
          <w:lang w:val="fr-CH"/>
        </w:rPr>
        <w:t>s</w:t>
      </w:r>
      <w:r>
        <w:rPr>
          <w:lang w:val="fr-CH"/>
        </w:rPr>
        <w:t xml:space="preserve"> peuvent conduire à un manque de structuration de la décision. </w:t>
      </w:r>
    </w:p>
  </w:footnote>
  <w:footnote w:id="3">
    <w:p w:rsidR="00FC27E5" w:rsidRPr="00B06355" w:rsidRDefault="00FC27E5" w:rsidP="00B06355">
      <w:pPr>
        <w:pStyle w:val="FootnoteText"/>
        <w:jc w:val="both"/>
        <w:rPr>
          <w:lang w:val="fr-FR"/>
        </w:rPr>
      </w:pPr>
      <w:r>
        <w:rPr>
          <w:rStyle w:val="FootnoteReference"/>
        </w:rPr>
        <w:footnoteRef/>
      </w:r>
      <w:r w:rsidRPr="0099307C">
        <w:rPr>
          <w:lang w:val="fr-FR"/>
        </w:rPr>
        <w:t xml:space="preserve"> Les Analyses diagnostiques transfrontières promues par </w:t>
      </w:r>
      <w:r>
        <w:rPr>
          <w:lang w:val="fr-FR"/>
        </w:rPr>
        <w:t xml:space="preserve">le GEF, sont des analyses scientifiques des problèmes et des opportunités relatifs aux eaux transfrontières qui existent dans </w:t>
      </w:r>
      <w:r w:rsidR="00783A80">
        <w:rPr>
          <w:lang w:val="fr-FR"/>
        </w:rPr>
        <w:t xml:space="preserve">les </w:t>
      </w:r>
      <w:r>
        <w:rPr>
          <w:lang w:val="fr-FR"/>
        </w:rPr>
        <w:t xml:space="preserve">systèmes </w:t>
      </w:r>
      <w:r w:rsidR="00783A80">
        <w:rPr>
          <w:lang w:val="fr-FR"/>
        </w:rPr>
        <w:t>hydrographiques</w:t>
      </w:r>
      <w:r>
        <w:rPr>
          <w:lang w:val="fr-FR"/>
        </w:rPr>
        <w:t xml:space="preserve"> partagés par plusieurs </w:t>
      </w:r>
      <w:r w:rsidR="00783A80">
        <w:rPr>
          <w:lang w:val="fr-FR"/>
        </w:rPr>
        <w:t>Etats</w:t>
      </w:r>
      <w:r>
        <w:rPr>
          <w:lang w:val="fr-FR"/>
        </w:rPr>
        <w:t xml:space="preserve">. </w:t>
      </w:r>
      <w:r w:rsidRPr="00731525">
        <w:rPr>
          <w:lang w:val="fr-FR"/>
        </w:rPr>
        <w:t xml:space="preserve">Elles sont utilisées afin d’identifier les priorités </w:t>
      </w:r>
      <w:r>
        <w:rPr>
          <w:lang w:val="fr-FR"/>
        </w:rPr>
        <w:t xml:space="preserve">pour </w:t>
      </w:r>
      <w:r w:rsidRPr="00731525">
        <w:rPr>
          <w:lang w:val="fr-FR"/>
        </w:rPr>
        <w:t>des act</w:t>
      </w:r>
      <w:r>
        <w:rPr>
          <w:lang w:val="fr-FR"/>
        </w:rPr>
        <w:t>ions c</w:t>
      </w:r>
      <w:r w:rsidRPr="00731525">
        <w:rPr>
          <w:lang w:val="fr-FR"/>
        </w:rPr>
        <w:t xml:space="preserve">onjointes, </w:t>
      </w:r>
      <w:r>
        <w:rPr>
          <w:lang w:val="fr-FR"/>
        </w:rPr>
        <w:t>les causes profondes et la portée des problèmes et des opportunités</w:t>
      </w:r>
      <w:r w:rsidRPr="00B06355">
        <w:rPr>
          <w:lang w:val="fr-FR"/>
        </w:rPr>
        <w:t>.</w:t>
      </w:r>
    </w:p>
  </w:footnote>
  <w:footnote w:id="4">
    <w:p w:rsidR="00FC27E5" w:rsidRPr="003319F9" w:rsidRDefault="00FC27E5">
      <w:pPr>
        <w:pStyle w:val="FootnoteText"/>
        <w:rPr>
          <w:lang w:val="fr-FR"/>
        </w:rPr>
      </w:pPr>
      <w:r>
        <w:rPr>
          <w:rStyle w:val="FootnoteReference"/>
        </w:rPr>
        <w:footnoteRef/>
      </w:r>
      <w:r w:rsidRPr="00C148AC">
        <w:rPr>
          <w:lang w:val="fr-FR"/>
        </w:rPr>
        <w:t xml:space="preserve"> Veuillez vous reportez au paraphe ci-de</w:t>
      </w:r>
      <w:r>
        <w:rPr>
          <w:lang w:val="fr-FR"/>
        </w:rPr>
        <w:t>ssus</w:t>
      </w:r>
      <w:r w:rsidRPr="00C148AC">
        <w:rPr>
          <w:lang w:val="fr-FR"/>
        </w:rPr>
        <w:t xml:space="preserve"> sur </w:t>
      </w:r>
      <w:r>
        <w:rPr>
          <w:lang w:val="fr-FR"/>
        </w:rPr>
        <w:t>les comités inter-agences. Une portée intersectorielle appropriée sert la coordination.</w:t>
      </w:r>
    </w:p>
  </w:footnote>
  <w:footnote w:id="5">
    <w:p w:rsidR="00FC27E5" w:rsidRPr="008B1F9F" w:rsidRDefault="00FC27E5">
      <w:pPr>
        <w:pStyle w:val="FootnoteText"/>
        <w:rPr>
          <w:lang w:val="fr-FR"/>
        </w:rPr>
      </w:pPr>
      <w:r>
        <w:rPr>
          <w:rStyle w:val="FootnoteReference"/>
        </w:rPr>
        <w:footnoteRef/>
      </w:r>
      <w:r w:rsidRPr="001A2CAE">
        <w:rPr>
          <w:lang w:val="fr-FR"/>
        </w:rPr>
        <w:t xml:space="preserve"> Des conseils et une assistance p</w:t>
      </w:r>
      <w:r>
        <w:rPr>
          <w:lang w:val="fr-FR"/>
        </w:rPr>
        <w:t xml:space="preserve">ratique adaptée aux besoins pourraient être apportés par un Comité d’application dans un souci de faciliter, soutenir et prévenir, ceci reflète l’esprit de  coopération caractéristique </w:t>
      </w:r>
      <w:r w:rsidR="00DA73EF">
        <w:rPr>
          <w:lang w:val="fr-FR"/>
        </w:rPr>
        <w:t>de</w:t>
      </w:r>
      <w:r>
        <w:rPr>
          <w:lang w:val="fr-FR"/>
        </w:rPr>
        <w:t xml:space="preserve"> la Convention sur l’eau de la CEE-ONU.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114C"/>
    <w:multiLevelType w:val="hybridMultilevel"/>
    <w:tmpl w:val="B0483F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0B475FB"/>
    <w:multiLevelType w:val="hybridMultilevel"/>
    <w:tmpl w:val="002CE7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81B02D6"/>
    <w:multiLevelType w:val="hybridMultilevel"/>
    <w:tmpl w:val="5EC065D6"/>
    <w:lvl w:ilvl="0" w:tplc="D5F236D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8AC0215"/>
    <w:multiLevelType w:val="hybridMultilevel"/>
    <w:tmpl w:val="3C20E0AA"/>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E308E0"/>
    <w:multiLevelType w:val="hybridMultilevel"/>
    <w:tmpl w:val="22EC23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A393884"/>
    <w:multiLevelType w:val="hybridMultilevel"/>
    <w:tmpl w:val="BDEEF2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67FF3"/>
    <w:rsid w:val="0002651E"/>
    <w:rsid w:val="0003269E"/>
    <w:rsid w:val="00051941"/>
    <w:rsid w:val="000657FF"/>
    <w:rsid w:val="0008159A"/>
    <w:rsid w:val="00083EC3"/>
    <w:rsid w:val="00094302"/>
    <w:rsid w:val="000A1B2E"/>
    <w:rsid w:val="000C243F"/>
    <w:rsid w:val="000C4462"/>
    <w:rsid w:val="000D0848"/>
    <w:rsid w:val="000E32C1"/>
    <w:rsid w:val="00134590"/>
    <w:rsid w:val="00145986"/>
    <w:rsid w:val="0015740A"/>
    <w:rsid w:val="00162ED5"/>
    <w:rsid w:val="001A2CAE"/>
    <w:rsid w:val="001B5D29"/>
    <w:rsid w:val="001D27B1"/>
    <w:rsid w:val="001E4AE2"/>
    <w:rsid w:val="001E4B47"/>
    <w:rsid w:val="001E4BD5"/>
    <w:rsid w:val="001F6141"/>
    <w:rsid w:val="0020723F"/>
    <w:rsid w:val="00230CBD"/>
    <w:rsid w:val="0023213D"/>
    <w:rsid w:val="0023237C"/>
    <w:rsid w:val="00244913"/>
    <w:rsid w:val="002659EE"/>
    <w:rsid w:val="00280D47"/>
    <w:rsid w:val="002966F1"/>
    <w:rsid w:val="002B36F8"/>
    <w:rsid w:val="002C2DB3"/>
    <w:rsid w:val="002E30EB"/>
    <w:rsid w:val="002F5B53"/>
    <w:rsid w:val="003101B2"/>
    <w:rsid w:val="003319F9"/>
    <w:rsid w:val="00346D57"/>
    <w:rsid w:val="00350C83"/>
    <w:rsid w:val="00355E1A"/>
    <w:rsid w:val="00367FF3"/>
    <w:rsid w:val="003815C0"/>
    <w:rsid w:val="003954CD"/>
    <w:rsid w:val="003A05EF"/>
    <w:rsid w:val="003B3EEB"/>
    <w:rsid w:val="003C26BD"/>
    <w:rsid w:val="003D5A2A"/>
    <w:rsid w:val="003E6179"/>
    <w:rsid w:val="004059B1"/>
    <w:rsid w:val="00411859"/>
    <w:rsid w:val="00425259"/>
    <w:rsid w:val="00450952"/>
    <w:rsid w:val="004548C8"/>
    <w:rsid w:val="00466D7D"/>
    <w:rsid w:val="0049186E"/>
    <w:rsid w:val="0049523F"/>
    <w:rsid w:val="004A2F63"/>
    <w:rsid w:val="004B0BB0"/>
    <w:rsid w:val="004C0D00"/>
    <w:rsid w:val="004D7C83"/>
    <w:rsid w:val="004E10AC"/>
    <w:rsid w:val="005012B7"/>
    <w:rsid w:val="005023C6"/>
    <w:rsid w:val="005037D0"/>
    <w:rsid w:val="0050421F"/>
    <w:rsid w:val="0051075D"/>
    <w:rsid w:val="00524E76"/>
    <w:rsid w:val="00527143"/>
    <w:rsid w:val="00530B57"/>
    <w:rsid w:val="00553C79"/>
    <w:rsid w:val="00554EB1"/>
    <w:rsid w:val="00565D13"/>
    <w:rsid w:val="005773D3"/>
    <w:rsid w:val="005E0663"/>
    <w:rsid w:val="005F1378"/>
    <w:rsid w:val="006058B3"/>
    <w:rsid w:val="0065330E"/>
    <w:rsid w:val="0069682D"/>
    <w:rsid w:val="006B784E"/>
    <w:rsid w:val="006C0794"/>
    <w:rsid w:val="006E3342"/>
    <w:rsid w:val="006E3D44"/>
    <w:rsid w:val="006F5745"/>
    <w:rsid w:val="00731525"/>
    <w:rsid w:val="007476BB"/>
    <w:rsid w:val="0075152C"/>
    <w:rsid w:val="0076054E"/>
    <w:rsid w:val="007701A6"/>
    <w:rsid w:val="00770B64"/>
    <w:rsid w:val="00772AF5"/>
    <w:rsid w:val="00783A80"/>
    <w:rsid w:val="00786114"/>
    <w:rsid w:val="00791B30"/>
    <w:rsid w:val="0079229D"/>
    <w:rsid w:val="00797DA6"/>
    <w:rsid w:val="007E18A1"/>
    <w:rsid w:val="007F5C68"/>
    <w:rsid w:val="00816DBC"/>
    <w:rsid w:val="00826D00"/>
    <w:rsid w:val="00833432"/>
    <w:rsid w:val="008541A9"/>
    <w:rsid w:val="0087017B"/>
    <w:rsid w:val="0087322E"/>
    <w:rsid w:val="00876E5E"/>
    <w:rsid w:val="008B1F9F"/>
    <w:rsid w:val="008B4EBF"/>
    <w:rsid w:val="008E10FA"/>
    <w:rsid w:val="00900D54"/>
    <w:rsid w:val="0090133B"/>
    <w:rsid w:val="00913762"/>
    <w:rsid w:val="00921B66"/>
    <w:rsid w:val="00932BDC"/>
    <w:rsid w:val="00937ABE"/>
    <w:rsid w:val="00943E65"/>
    <w:rsid w:val="00954A46"/>
    <w:rsid w:val="009851C2"/>
    <w:rsid w:val="0099307C"/>
    <w:rsid w:val="009B1375"/>
    <w:rsid w:val="009D1A1B"/>
    <w:rsid w:val="009E36EF"/>
    <w:rsid w:val="00A04C1D"/>
    <w:rsid w:val="00A12111"/>
    <w:rsid w:val="00A54902"/>
    <w:rsid w:val="00A570DC"/>
    <w:rsid w:val="00A95F58"/>
    <w:rsid w:val="00AC1164"/>
    <w:rsid w:val="00AE7C50"/>
    <w:rsid w:val="00B06355"/>
    <w:rsid w:val="00B259EE"/>
    <w:rsid w:val="00B607B0"/>
    <w:rsid w:val="00B63AB4"/>
    <w:rsid w:val="00B67E10"/>
    <w:rsid w:val="00B7487B"/>
    <w:rsid w:val="00B74CF8"/>
    <w:rsid w:val="00B8582C"/>
    <w:rsid w:val="00B86A2D"/>
    <w:rsid w:val="00BA0920"/>
    <w:rsid w:val="00BB08E2"/>
    <w:rsid w:val="00BF4FC2"/>
    <w:rsid w:val="00C07902"/>
    <w:rsid w:val="00C148AC"/>
    <w:rsid w:val="00C473BA"/>
    <w:rsid w:val="00C608EB"/>
    <w:rsid w:val="00C70CC4"/>
    <w:rsid w:val="00C9304F"/>
    <w:rsid w:val="00C9329F"/>
    <w:rsid w:val="00CA2F7B"/>
    <w:rsid w:val="00CA7FE0"/>
    <w:rsid w:val="00D91221"/>
    <w:rsid w:val="00DA73EF"/>
    <w:rsid w:val="00DA7BEE"/>
    <w:rsid w:val="00DB4529"/>
    <w:rsid w:val="00DD0284"/>
    <w:rsid w:val="00DF1D4F"/>
    <w:rsid w:val="00E05BC4"/>
    <w:rsid w:val="00E15BAD"/>
    <w:rsid w:val="00E32883"/>
    <w:rsid w:val="00E91F12"/>
    <w:rsid w:val="00EB60B9"/>
    <w:rsid w:val="00F057C8"/>
    <w:rsid w:val="00FA79AA"/>
    <w:rsid w:val="00FC27E5"/>
    <w:rsid w:val="00FC366B"/>
    <w:rsid w:val="00FE65C4"/>
    <w:rsid w:val="00FF6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1E"/>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133B"/>
    <w:pPr>
      <w:ind w:left="720"/>
    </w:pPr>
  </w:style>
  <w:style w:type="character" w:styleId="CommentReference">
    <w:name w:val="annotation reference"/>
    <w:basedOn w:val="DefaultParagraphFont"/>
    <w:uiPriority w:val="99"/>
    <w:semiHidden/>
    <w:rsid w:val="002B36F8"/>
    <w:rPr>
      <w:sz w:val="16"/>
      <w:szCs w:val="16"/>
    </w:rPr>
  </w:style>
  <w:style w:type="paragraph" w:styleId="CommentText">
    <w:name w:val="annotation text"/>
    <w:basedOn w:val="Normal"/>
    <w:link w:val="CommentTextChar"/>
    <w:uiPriority w:val="99"/>
    <w:semiHidden/>
    <w:rsid w:val="002B36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36F8"/>
    <w:rPr>
      <w:sz w:val="20"/>
      <w:szCs w:val="20"/>
    </w:rPr>
  </w:style>
  <w:style w:type="paragraph" w:styleId="CommentSubject">
    <w:name w:val="annotation subject"/>
    <w:basedOn w:val="CommentText"/>
    <w:next w:val="CommentText"/>
    <w:link w:val="CommentSubjectChar"/>
    <w:uiPriority w:val="99"/>
    <w:semiHidden/>
    <w:rsid w:val="002B36F8"/>
    <w:rPr>
      <w:b/>
      <w:bCs/>
    </w:rPr>
  </w:style>
  <w:style w:type="character" w:customStyle="1" w:styleId="CommentSubjectChar">
    <w:name w:val="Comment Subject Char"/>
    <w:basedOn w:val="CommentTextChar"/>
    <w:link w:val="CommentSubject"/>
    <w:uiPriority w:val="99"/>
    <w:semiHidden/>
    <w:locked/>
    <w:rsid w:val="002B36F8"/>
    <w:rPr>
      <w:b/>
      <w:bCs/>
      <w:sz w:val="20"/>
      <w:szCs w:val="20"/>
    </w:rPr>
  </w:style>
  <w:style w:type="paragraph" w:styleId="BalloonText">
    <w:name w:val="Balloon Text"/>
    <w:basedOn w:val="Normal"/>
    <w:link w:val="BalloonTextChar"/>
    <w:uiPriority w:val="99"/>
    <w:semiHidden/>
    <w:rsid w:val="002B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6F8"/>
    <w:rPr>
      <w:rFonts w:ascii="Tahoma" w:hAnsi="Tahoma" w:cs="Tahoma"/>
      <w:sz w:val="16"/>
      <w:szCs w:val="16"/>
    </w:rPr>
  </w:style>
  <w:style w:type="paragraph" w:styleId="FootnoteText">
    <w:name w:val="footnote text"/>
    <w:basedOn w:val="Normal"/>
    <w:link w:val="FootnoteTextChar"/>
    <w:uiPriority w:val="99"/>
    <w:semiHidden/>
    <w:rsid w:val="00E15BA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5BAD"/>
    <w:rPr>
      <w:sz w:val="20"/>
      <w:szCs w:val="20"/>
    </w:rPr>
  </w:style>
  <w:style w:type="character" w:styleId="FootnoteReference">
    <w:name w:val="footnote reference"/>
    <w:basedOn w:val="DefaultParagraphFont"/>
    <w:uiPriority w:val="99"/>
    <w:semiHidden/>
    <w:rsid w:val="00E15BAD"/>
    <w:rPr>
      <w:vertAlign w:val="superscript"/>
    </w:rPr>
  </w:style>
  <w:style w:type="paragraph" w:styleId="Header">
    <w:name w:val="header"/>
    <w:basedOn w:val="Normal"/>
    <w:link w:val="HeaderChar"/>
    <w:uiPriority w:val="99"/>
    <w:unhideWhenUsed/>
    <w:rsid w:val="00CA2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F7B"/>
    <w:rPr>
      <w:rFonts w:cs="Calibri"/>
      <w:lang w:val="en-GB" w:eastAsia="en-US"/>
    </w:rPr>
  </w:style>
  <w:style w:type="paragraph" w:styleId="Footer">
    <w:name w:val="footer"/>
    <w:basedOn w:val="Normal"/>
    <w:link w:val="FooterChar"/>
    <w:uiPriority w:val="99"/>
    <w:unhideWhenUsed/>
    <w:rsid w:val="00CA2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F7B"/>
    <w:rPr>
      <w:rFonts w:cs="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1E"/>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133B"/>
    <w:pPr>
      <w:ind w:left="720"/>
    </w:pPr>
  </w:style>
  <w:style w:type="character" w:styleId="CommentReference">
    <w:name w:val="annotation reference"/>
    <w:basedOn w:val="DefaultParagraphFont"/>
    <w:uiPriority w:val="99"/>
    <w:semiHidden/>
    <w:rsid w:val="002B36F8"/>
    <w:rPr>
      <w:sz w:val="16"/>
      <w:szCs w:val="16"/>
    </w:rPr>
  </w:style>
  <w:style w:type="paragraph" w:styleId="CommentText">
    <w:name w:val="annotation text"/>
    <w:basedOn w:val="Normal"/>
    <w:link w:val="CommentTextChar"/>
    <w:uiPriority w:val="99"/>
    <w:semiHidden/>
    <w:rsid w:val="002B36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36F8"/>
    <w:rPr>
      <w:sz w:val="20"/>
      <w:szCs w:val="20"/>
    </w:rPr>
  </w:style>
  <w:style w:type="paragraph" w:styleId="CommentSubject">
    <w:name w:val="annotation subject"/>
    <w:basedOn w:val="CommentText"/>
    <w:next w:val="CommentText"/>
    <w:link w:val="CommentSubjectChar"/>
    <w:uiPriority w:val="99"/>
    <w:semiHidden/>
    <w:rsid w:val="002B36F8"/>
    <w:rPr>
      <w:b/>
      <w:bCs/>
    </w:rPr>
  </w:style>
  <w:style w:type="character" w:customStyle="1" w:styleId="CommentSubjectChar">
    <w:name w:val="Comment Subject Char"/>
    <w:basedOn w:val="CommentTextChar"/>
    <w:link w:val="CommentSubject"/>
    <w:uiPriority w:val="99"/>
    <w:semiHidden/>
    <w:locked/>
    <w:rsid w:val="002B36F8"/>
    <w:rPr>
      <w:b/>
      <w:bCs/>
      <w:sz w:val="20"/>
      <w:szCs w:val="20"/>
    </w:rPr>
  </w:style>
  <w:style w:type="paragraph" w:styleId="BalloonText">
    <w:name w:val="Balloon Text"/>
    <w:basedOn w:val="Normal"/>
    <w:link w:val="BalloonTextChar"/>
    <w:uiPriority w:val="99"/>
    <w:semiHidden/>
    <w:rsid w:val="002B3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36F8"/>
    <w:rPr>
      <w:rFonts w:ascii="Tahoma" w:hAnsi="Tahoma" w:cs="Tahoma"/>
      <w:sz w:val="16"/>
      <w:szCs w:val="16"/>
    </w:rPr>
  </w:style>
  <w:style w:type="paragraph" w:styleId="FootnoteText">
    <w:name w:val="footnote text"/>
    <w:basedOn w:val="Normal"/>
    <w:link w:val="FootnoteTextChar"/>
    <w:uiPriority w:val="99"/>
    <w:semiHidden/>
    <w:rsid w:val="00E15BA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5BAD"/>
    <w:rPr>
      <w:sz w:val="20"/>
      <w:szCs w:val="20"/>
    </w:rPr>
  </w:style>
  <w:style w:type="character" w:styleId="FootnoteReference">
    <w:name w:val="footnote reference"/>
    <w:basedOn w:val="DefaultParagraphFont"/>
    <w:uiPriority w:val="99"/>
    <w:semiHidden/>
    <w:rsid w:val="00E15BAD"/>
    <w:rPr>
      <w:vertAlign w:val="superscript"/>
    </w:rPr>
  </w:style>
  <w:style w:type="paragraph" w:styleId="Header">
    <w:name w:val="header"/>
    <w:basedOn w:val="Normal"/>
    <w:link w:val="HeaderChar"/>
    <w:uiPriority w:val="99"/>
    <w:unhideWhenUsed/>
    <w:rsid w:val="00CA2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F7B"/>
    <w:rPr>
      <w:rFonts w:cs="Calibri"/>
      <w:lang w:val="en-GB" w:eastAsia="en-US"/>
    </w:rPr>
  </w:style>
  <w:style w:type="paragraph" w:styleId="Footer">
    <w:name w:val="footer"/>
    <w:basedOn w:val="Normal"/>
    <w:link w:val="FooterChar"/>
    <w:uiPriority w:val="99"/>
    <w:unhideWhenUsed/>
    <w:rsid w:val="00CA2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F7B"/>
    <w:rPr>
      <w:rFonts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4543">
      <w:bodyDiv w:val="1"/>
      <w:marLeft w:val="0"/>
      <w:marRight w:val="0"/>
      <w:marTop w:val="0"/>
      <w:marBottom w:val="0"/>
      <w:divBdr>
        <w:top w:val="none" w:sz="0" w:space="0" w:color="auto"/>
        <w:left w:val="none" w:sz="0" w:space="0" w:color="auto"/>
        <w:bottom w:val="none" w:sz="0" w:space="0" w:color="auto"/>
        <w:right w:val="none" w:sz="0" w:space="0" w:color="auto"/>
      </w:divBdr>
      <w:divsChild>
        <w:div w:id="1523592177">
          <w:marLeft w:val="0"/>
          <w:marRight w:val="0"/>
          <w:marTop w:val="0"/>
          <w:marBottom w:val="0"/>
          <w:divBdr>
            <w:top w:val="none" w:sz="0" w:space="0" w:color="auto"/>
            <w:left w:val="none" w:sz="0" w:space="0" w:color="auto"/>
            <w:bottom w:val="none" w:sz="0" w:space="0" w:color="auto"/>
            <w:right w:val="none" w:sz="0" w:space="0" w:color="auto"/>
          </w:divBdr>
        </w:div>
        <w:div w:id="1650547957">
          <w:marLeft w:val="0"/>
          <w:marRight w:val="0"/>
          <w:marTop w:val="0"/>
          <w:marBottom w:val="0"/>
          <w:divBdr>
            <w:top w:val="none" w:sz="0" w:space="0" w:color="auto"/>
            <w:left w:val="none" w:sz="0" w:space="0" w:color="auto"/>
            <w:bottom w:val="none" w:sz="0" w:space="0" w:color="auto"/>
            <w:right w:val="none" w:sz="0" w:space="0" w:color="auto"/>
          </w:divBdr>
        </w:div>
        <w:div w:id="1097092663">
          <w:marLeft w:val="0"/>
          <w:marRight w:val="0"/>
          <w:marTop w:val="0"/>
          <w:marBottom w:val="0"/>
          <w:divBdr>
            <w:top w:val="none" w:sz="0" w:space="0" w:color="auto"/>
            <w:left w:val="none" w:sz="0" w:space="0" w:color="auto"/>
            <w:bottom w:val="none" w:sz="0" w:space="0" w:color="auto"/>
            <w:right w:val="none" w:sz="0" w:space="0" w:color="auto"/>
          </w:divBdr>
        </w:div>
        <w:div w:id="837648208">
          <w:marLeft w:val="0"/>
          <w:marRight w:val="0"/>
          <w:marTop w:val="0"/>
          <w:marBottom w:val="0"/>
          <w:divBdr>
            <w:top w:val="none" w:sz="0" w:space="0" w:color="auto"/>
            <w:left w:val="none" w:sz="0" w:space="0" w:color="auto"/>
            <w:bottom w:val="none" w:sz="0" w:space="0" w:color="auto"/>
            <w:right w:val="none" w:sz="0" w:space="0" w:color="auto"/>
          </w:divBdr>
        </w:div>
        <w:div w:id="1096710229">
          <w:marLeft w:val="0"/>
          <w:marRight w:val="0"/>
          <w:marTop w:val="0"/>
          <w:marBottom w:val="0"/>
          <w:divBdr>
            <w:top w:val="none" w:sz="0" w:space="0" w:color="auto"/>
            <w:left w:val="none" w:sz="0" w:space="0" w:color="auto"/>
            <w:bottom w:val="none" w:sz="0" w:space="0" w:color="auto"/>
            <w:right w:val="none" w:sz="0" w:space="0" w:color="auto"/>
          </w:divBdr>
        </w:div>
      </w:divsChild>
    </w:div>
    <w:div w:id="491412661">
      <w:bodyDiv w:val="1"/>
      <w:marLeft w:val="0"/>
      <w:marRight w:val="0"/>
      <w:marTop w:val="0"/>
      <w:marBottom w:val="0"/>
      <w:divBdr>
        <w:top w:val="none" w:sz="0" w:space="0" w:color="auto"/>
        <w:left w:val="none" w:sz="0" w:space="0" w:color="auto"/>
        <w:bottom w:val="none" w:sz="0" w:space="0" w:color="auto"/>
        <w:right w:val="none" w:sz="0" w:space="0" w:color="auto"/>
      </w:divBdr>
      <w:divsChild>
        <w:div w:id="1350444551">
          <w:marLeft w:val="0"/>
          <w:marRight w:val="0"/>
          <w:marTop w:val="0"/>
          <w:marBottom w:val="0"/>
          <w:divBdr>
            <w:top w:val="none" w:sz="0" w:space="0" w:color="auto"/>
            <w:left w:val="none" w:sz="0" w:space="0" w:color="auto"/>
            <w:bottom w:val="none" w:sz="0" w:space="0" w:color="auto"/>
            <w:right w:val="none" w:sz="0" w:space="0" w:color="auto"/>
          </w:divBdr>
        </w:div>
        <w:div w:id="1587806386">
          <w:marLeft w:val="0"/>
          <w:marRight w:val="0"/>
          <w:marTop w:val="0"/>
          <w:marBottom w:val="0"/>
          <w:divBdr>
            <w:top w:val="none" w:sz="0" w:space="0" w:color="auto"/>
            <w:left w:val="none" w:sz="0" w:space="0" w:color="auto"/>
            <w:bottom w:val="none" w:sz="0" w:space="0" w:color="auto"/>
            <w:right w:val="none" w:sz="0" w:space="0" w:color="auto"/>
          </w:divBdr>
        </w:div>
        <w:div w:id="771171725">
          <w:marLeft w:val="0"/>
          <w:marRight w:val="0"/>
          <w:marTop w:val="0"/>
          <w:marBottom w:val="0"/>
          <w:divBdr>
            <w:top w:val="none" w:sz="0" w:space="0" w:color="auto"/>
            <w:left w:val="none" w:sz="0" w:space="0" w:color="auto"/>
            <w:bottom w:val="none" w:sz="0" w:space="0" w:color="auto"/>
            <w:right w:val="none" w:sz="0" w:space="0" w:color="auto"/>
          </w:divBdr>
        </w:div>
        <w:div w:id="640381510">
          <w:marLeft w:val="0"/>
          <w:marRight w:val="0"/>
          <w:marTop w:val="0"/>
          <w:marBottom w:val="0"/>
          <w:divBdr>
            <w:top w:val="none" w:sz="0" w:space="0" w:color="auto"/>
            <w:left w:val="none" w:sz="0" w:space="0" w:color="auto"/>
            <w:bottom w:val="none" w:sz="0" w:space="0" w:color="auto"/>
            <w:right w:val="none" w:sz="0" w:space="0" w:color="auto"/>
          </w:divBdr>
        </w:div>
      </w:divsChild>
    </w:div>
    <w:div w:id="834223545">
      <w:bodyDiv w:val="1"/>
      <w:marLeft w:val="0"/>
      <w:marRight w:val="0"/>
      <w:marTop w:val="0"/>
      <w:marBottom w:val="0"/>
      <w:divBdr>
        <w:top w:val="none" w:sz="0" w:space="0" w:color="auto"/>
        <w:left w:val="none" w:sz="0" w:space="0" w:color="auto"/>
        <w:bottom w:val="none" w:sz="0" w:space="0" w:color="auto"/>
        <w:right w:val="none" w:sz="0" w:space="0" w:color="auto"/>
      </w:divBdr>
      <w:divsChild>
        <w:div w:id="747531354">
          <w:marLeft w:val="0"/>
          <w:marRight w:val="0"/>
          <w:marTop w:val="0"/>
          <w:marBottom w:val="0"/>
          <w:divBdr>
            <w:top w:val="none" w:sz="0" w:space="0" w:color="auto"/>
            <w:left w:val="none" w:sz="0" w:space="0" w:color="auto"/>
            <w:bottom w:val="none" w:sz="0" w:space="0" w:color="auto"/>
            <w:right w:val="none" w:sz="0" w:space="0" w:color="auto"/>
          </w:divBdr>
        </w:div>
        <w:div w:id="1752118243">
          <w:marLeft w:val="0"/>
          <w:marRight w:val="0"/>
          <w:marTop w:val="0"/>
          <w:marBottom w:val="0"/>
          <w:divBdr>
            <w:top w:val="none" w:sz="0" w:space="0" w:color="auto"/>
            <w:left w:val="none" w:sz="0" w:space="0" w:color="auto"/>
            <w:bottom w:val="none" w:sz="0" w:space="0" w:color="auto"/>
            <w:right w:val="none" w:sz="0" w:space="0" w:color="auto"/>
          </w:divBdr>
        </w:div>
        <w:div w:id="501163300">
          <w:marLeft w:val="0"/>
          <w:marRight w:val="0"/>
          <w:marTop w:val="0"/>
          <w:marBottom w:val="0"/>
          <w:divBdr>
            <w:top w:val="none" w:sz="0" w:space="0" w:color="auto"/>
            <w:left w:val="none" w:sz="0" w:space="0" w:color="auto"/>
            <w:bottom w:val="none" w:sz="0" w:space="0" w:color="auto"/>
            <w:right w:val="none" w:sz="0" w:space="0" w:color="auto"/>
          </w:divBdr>
        </w:div>
        <w:div w:id="1815679492">
          <w:marLeft w:val="0"/>
          <w:marRight w:val="0"/>
          <w:marTop w:val="0"/>
          <w:marBottom w:val="0"/>
          <w:divBdr>
            <w:top w:val="none" w:sz="0" w:space="0" w:color="auto"/>
            <w:left w:val="none" w:sz="0" w:space="0" w:color="auto"/>
            <w:bottom w:val="none" w:sz="0" w:space="0" w:color="auto"/>
            <w:right w:val="none" w:sz="0" w:space="0" w:color="auto"/>
          </w:divBdr>
        </w:div>
      </w:divsChild>
    </w:div>
    <w:div w:id="988367708">
      <w:bodyDiv w:val="1"/>
      <w:marLeft w:val="0"/>
      <w:marRight w:val="0"/>
      <w:marTop w:val="0"/>
      <w:marBottom w:val="0"/>
      <w:divBdr>
        <w:top w:val="none" w:sz="0" w:space="0" w:color="auto"/>
        <w:left w:val="none" w:sz="0" w:space="0" w:color="auto"/>
        <w:bottom w:val="none" w:sz="0" w:space="0" w:color="auto"/>
        <w:right w:val="none" w:sz="0" w:space="0" w:color="auto"/>
      </w:divBdr>
      <w:divsChild>
        <w:div w:id="255018729">
          <w:marLeft w:val="0"/>
          <w:marRight w:val="0"/>
          <w:marTop w:val="0"/>
          <w:marBottom w:val="0"/>
          <w:divBdr>
            <w:top w:val="none" w:sz="0" w:space="0" w:color="auto"/>
            <w:left w:val="none" w:sz="0" w:space="0" w:color="auto"/>
            <w:bottom w:val="none" w:sz="0" w:space="0" w:color="auto"/>
            <w:right w:val="none" w:sz="0" w:space="0" w:color="auto"/>
          </w:divBdr>
        </w:div>
        <w:div w:id="71392624">
          <w:marLeft w:val="0"/>
          <w:marRight w:val="0"/>
          <w:marTop w:val="0"/>
          <w:marBottom w:val="0"/>
          <w:divBdr>
            <w:top w:val="none" w:sz="0" w:space="0" w:color="auto"/>
            <w:left w:val="none" w:sz="0" w:space="0" w:color="auto"/>
            <w:bottom w:val="none" w:sz="0" w:space="0" w:color="auto"/>
            <w:right w:val="none" w:sz="0" w:space="0" w:color="auto"/>
          </w:divBdr>
        </w:div>
        <w:div w:id="663121862">
          <w:marLeft w:val="0"/>
          <w:marRight w:val="0"/>
          <w:marTop w:val="0"/>
          <w:marBottom w:val="0"/>
          <w:divBdr>
            <w:top w:val="none" w:sz="0" w:space="0" w:color="auto"/>
            <w:left w:val="none" w:sz="0" w:space="0" w:color="auto"/>
            <w:bottom w:val="none" w:sz="0" w:space="0" w:color="auto"/>
            <w:right w:val="none" w:sz="0" w:space="0" w:color="auto"/>
          </w:divBdr>
        </w:div>
        <w:div w:id="513031174">
          <w:marLeft w:val="0"/>
          <w:marRight w:val="0"/>
          <w:marTop w:val="0"/>
          <w:marBottom w:val="0"/>
          <w:divBdr>
            <w:top w:val="none" w:sz="0" w:space="0" w:color="auto"/>
            <w:left w:val="none" w:sz="0" w:space="0" w:color="auto"/>
            <w:bottom w:val="none" w:sz="0" w:space="0" w:color="auto"/>
            <w:right w:val="none" w:sz="0" w:space="0" w:color="auto"/>
          </w:divBdr>
        </w:div>
      </w:divsChild>
    </w:div>
    <w:div w:id="1208253196">
      <w:bodyDiv w:val="1"/>
      <w:marLeft w:val="0"/>
      <w:marRight w:val="0"/>
      <w:marTop w:val="0"/>
      <w:marBottom w:val="0"/>
      <w:divBdr>
        <w:top w:val="none" w:sz="0" w:space="0" w:color="auto"/>
        <w:left w:val="none" w:sz="0" w:space="0" w:color="auto"/>
        <w:bottom w:val="none" w:sz="0" w:space="0" w:color="auto"/>
        <w:right w:val="none" w:sz="0" w:space="0" w:color="auto"/>
      </w:divBdr>
      <w:divsChild>
        <w:div w:id="1212771279">
          <w:marLeft w:val="0"/>
          <w:marRight w:val="0"/>
          <w:marTop w:val="0"/>
          <w:marBottom w:val="0"/>
          <w:divBdr>
            <w:top w:val="none" w:sz="0" w:space="0" w:color="auto"/>
            <w:left w:val="none" w:sz="0" w:space="0" w:color="auto"/>
            <w:bottom w:val="none" w:sz="0" w:space="0" w:color="auto"/>
            <w:right w:val="none" w:sz="0" w:space="0" w:color="auto"/>
          </w:divBdr>
        </w:div>
        <w:div w:id="74133240">
          <w:marLeft w:val="0"/>
          <w:marRight w:val="0"/>
          <w:marTop w:val="0"/>
          <w:marBottom w:val="0"/>
          <w:divBdr>
            <w:top w:val="none" w:sz="0" w:space="0" w:color="auto"/>
            <w:left w:val="none" w:sz="0" w:space="0" w:color="auto"/>
            <w:bottom w:val="none" w:sz="0" w:space="0" w:color="auto"/>
            <w:right w:val="none" w:sz="0" w:space="0" w:color="auto"/>
          </w:divBdr>
        </w:div>
        <w:div w:id="1798597037">
          <w:marLeft w:val="0"/>
          <w:marRight w:val="0"/>
          <w:marTop w:val="0"/>
          <w:marBottom w:val="0"/>
          <w:divBdr>
            <w:top w:val="none" w:sz="0" w:space="0" w:color="auto"/>
            <w:left w:val="none" w:sz="0" w:space="0" w:color="auto"/>
            <w:bottom w:val="none" w:sz="0" w:space="0" w:color="auto"/>
            <w:right w:val="none" w:sz="0" w:space="0" w:color="auto"/>
          </w:divBdr>
        </w:div>
        <w:div w:id="992611677">
          <w:marLeft w:val="0"/>
          <w:marRight w:val="0"/>
          <w:marTop w:val="0"/>
          <w:marBottom w:val="0"/>
          <w:divBdr>
            <w:top w:val="none" w:sz="0" w:space="0" w:color="auto"/>
            <w:left w:val="none" w:sz="0" w:space="0" w:color="auto"/>
            <w:bottom w:val="none" w:sz="0" w:space="0" w:color="auto"/>
            <w:right w:val="none" w:sz="0" w:space="0" w:color="auto"/>
          </w:divBdr>
        </w:div>
        <w:div w:id="1141926985">
          <w:marLeft w:val="0"/>
          <w:marRight w:val="0"/>
          <w:marTop w:val="0"/>
          <w:marBottom w:val="0"/>
          <w:divBdr>
            <w:top w:val="none" w:sz="0" w:space="0" w:color="auto"/>
            <w:left w:val="none" w:sz="0" w:space="0" w:color="auto"/>
            <w:bottom w:val="none" w:sz="0" w:space="0" w:color="auto"/>
            <w:right w:val="none" w:sz="0" w:space="0" w:color="auto"/>
          </w:divBdr>
        </w:div>
      </w:divsChild>
    </w:div>
    <w:div w:id="1835022711">
      <w:bodyDiv w:val="1"/>
      <w:marLeft w:val="0"/>
      <w:marRight w:val="0"/>
      <w:marTop w:val="0"/>
      <w:marBottom w:val="0"/>
      <w:divBdr>
        <w:top w:val="none" w:sz="0" w:space="0" w:color="auto"/>
        <w:left w:val="none" w:sz="0" w:space="0" w:color="auto"/>
        <w:bottom w:val="none" w:sz="0" w:space="0" w:color="auto"/>
        <w:right w:val="none" w:sz="0" w:space="0" w:color="auto"/>
      </w:divBdr>
      <w:divsChild>
        <w:div w:id="600913404">
          <w:marLeft w:val="0"/>
          <w:marRight w:val="0"/>
          <w:marTop w:val="0"/>
          <w:marBottom w:val="0"/>
          <w:divBdr>
            <w:top w:val="none" w:sz="0" w:space="0" w:color="auto"/>
            <w:left w:val="none" w:sz="0" w:space="0" w:color="auto"/>
            <w:bottom w:val="none" w:sz="0" w:space="0" w:color="auto"/>
            <w:right w:val="none" w:sz="0" w:space="0" w:color="auto"/>
          </w:divBdr>
        </w:div>
        <w:div w:id="395399860">
          <w:marLeft w:val="0"/>
          <w:marRight w:val="0"/>
          <w:marTop w:val="0"/>
          <w:marBottom w:val="0"/>
          <w:divBdr>
            <w:top w:val="none" w:sz="0" w:space="0" w:color="auto"/>
            <w:left w:val="none" w:sz="0" w:space="0" w:color="auto"/>
            <w:bottom w:val="none" w:sz="0" w:space="0" w:color="auto"/>
            <w:right w:val="none" w:sz="0" w:space="0" w:color="auto"/>
          </w:divBdr>
        </w:div>
        <w:div w:id="165236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6702-C0E5-431F-8A9F-F265621A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1510</Words>
  <Characters>8793</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vt:lpstr>
      <vt:lpstr>draft</vt:lpstr>
    </vt:vector>
  </TitlesOfParts>
  <Company>ECE-ISU</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Tiefenauer-Linardon</dc:creator>
  <cp:lastModifiedBy>Tiefenauer-Linardon</cp:lastModifiedBy>
  <cp:revision>6</cp:revision>
  <dcterms:created xsi:type="dcterms:W3CDTF">2014-04-09T22:50:00Z</dcterms:created>
  <dcterms:modified xsi:type="dcterms:W3CDTF">2014-04-10T06:35:00Z</dcterms:modified>
</cp:coreProperties>
</file>