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B2" w:rsidRPr="009B1F5F" w:rsidRDefault="007921B2" w:rsidP="007921B2">
      <w:pPr>
        <w:spacing w:before="120"/>
        <w:rPr>
          <w:b/>
          <w:sz w:val="28"/>
          <w:szCs w:val="28"/>
        </w:rPr>
      </w:pPr>
      <w:r w:rsidRPr="009B1F5F">
        <w:rPr>
          <w:b/>
          <w:sz w:val="28"/>
          <w:szCs w:val="28"/>
        </w:rPr>
        <w:t>Economic Commission for Europe</w:t>
      </w:r>
    </w:p>
    <w:p w:rsidR="007921B2" w:rsidRPr="009B1F5F" w:rsidRDefault="007921B2" w:rsidP="007921B2">
      <w:pPr>
        <w:spacing w:before="120" w:line="240" w:lineRule="auto"/>
        <w:rPr>
          <w:bCs/>
          <w:sz w:val="28"/>
          <w:szCs w:val="28"/>
        </w:rPr>
      </w:pPr>
      <w:r w:rsidRPr="009B1F5F">
        <w:rPr>
          <w:bCs/>
          <w:sz w:val="28"/>
          <w:szCs w:val="28"/>
        </w:rPr>
        <w:t>Committee on Environmental Policy</w:t>
      </w:r>
    </w:p>
    <w:p w:rsidR="007921B2" w:rsidRPr="009B1F5F" w:rsidRDefault="007921B2" w:rsidP="007921B2">
      <w:pPr>
        <w:tabs>
          <w:tab w:val="left" w:pos="3261"/>
        </w:tabs>
        <w:spacing w:before="120"/>
        <w:rPr>
          <w:b/>
        </w:rPr>
      </w:pPr>
      <w:r>
        <w:rPr>
          <w:b/>
        </w:rPr>
        <w:t>Twenty-first</w:t>
      </w:r>
      <w:r w:rsidRPr="009B1F5F">
        <w:rPr>
          <w:b/>
        </w:rPr>
        <w:t xml:space="preserve"> </w:t>
      </w:r>
      <w:proofErr w:type="gramStart"/>
      <w:r w:rsidRPr="009B1F5F">
        <w:rPr>
          <w:b/>
        </w:rPr>
        <w:t>session</w:t>
      </w:r>
      <w:proofErr w:type="gramEnd"/>
    </w:p>
    <w:p w:rsidR="007921B2" w:rsidRPr="009B1F5F" w:rsidRDefault="007921B2" w:rsidP="007921B2">
      <w:r w:rsidRPr="009B1F5F">
        <w:t>Geneva, 2</w:t>
      </w:r>
      <w:r>
        <w:t>7</w:t>
      </w:r>
      <w:r w:rsidRPr="009B1F5F">
        <w:t>–</w:t>
      </w:r>
      <w:r>
        <w:t>30</w:t>
      </w:r>
      <w:r w:rsidRPr="009B1F5F">
        <w:t xml:space="preserve"> October 201</w:t>
      </w:r>
      <w:r>
        <w:t>5</w:t>
      </w:r>
    </w:p>
    <w:p w:rsidR="007921B2" w:rsidRPr="009B1F5F" w:rsidRDefault="007921B2" w:rsidP="007921B2">
      <w:r w:rsidRPr="009B1F5F">
        <w:t xml:space="preserve">Item </w:t>
      </w:r>
      <w:r>
        <w:t>4</w:t>
      </w:r>
      <w:r w:rsidRPr="009B1F5F">
        <w:t xml:space="preserve"> of the provisional agenda</w:t>
      </w:r>
    </w:p>
    <w:p w:rsidR="007921B2" w:rsidRDefault="007921B2" w:rsidP="007921B2">
      <w:pPr>
        <w:rPr>
          <w:b/>
        </w:rPr>
      </w:pPr>
      <w:r>
        <w:rPr>
          <w:b/>
        </w:rPr>
        <w:t>Multilateral environmental agreements</w:t>
      </w:r>
      <w:r w:rsidRPr="009B1F5F">
        <w:rPr>
          <w:b/>
        </w:rPr>
        <w:t xml:space="preserve"> </w:t>
      </w:r>
    </w:p>
    <w:p w:rsidR="007921B2" w:rsidRPr="00356603" w:rsidRDefault="007921B2" w:rsidP="007921B2"/>
    <w:p w:rsidR="007921B2" w:rsidRPr="00356603" w:rsidRDefault="007921B2" w:rsidP="007921B2">
      <w:pPr>
        <w:pStyle w:val="BodyText2"/>
        <w:keepNext/>
        <w:spacing w:after="0" w:line="240" w:lineRule="auto"/>
        <w:rPr>
          <w:rFonts w:eastAsia="SimSun"/>
          <w:sz w:val="20"/>
          <w:szCs w:val="20"/>
          <w:lang w:val="en-GB" w:eastAsia="fr-FR"/>
        </w:rPr>
      </w:pPr>
      <w:r w:rsidRPr="00356603">
        <w:rPr>
          <w:rFonts w:eastAsia="SimSun"/>
          <w:sz w:val="20"/>
          <w:szCs w:val="20"/>
          <w:lang w:val="en-GB" w:eastAsia="fr-FR"/>
        </w:rPr>
        <w:t xml:space="preserve">Information paper </w:t>
      </w:r>
      <w:r>
        <w:rPr>
          <w:rFonts w:eastAsia="SimSun"/>
          <w:sz w:val="20"/>
          <w:szCs w:val="20"/>
          <w:lang w:val="en-GB" w:eastAsia="fr-FR"/>
        </w:rPr>
        <w:t>N</w:t>
      </w:r>
      <w:r w:rsidRPr="00356603">
        <w:rPr>
          <w:rFonts w:eastAsia="SimSun"/>
          <w:sz w:val="20"/>
          <w:szCs w:val="20"/>
          <w:lang w:val="en-GB" w:eastAsia="fr-FR"/>
        </w:rPr>
        <w:t xml:space="preserve">o. </w:t>
      </w:r>
      <w:r>
        <w:rPr>
          <w:rFonts w:eastAsia="SimSun"/>
          <w:sz w:val="20"/>
          <w:szCs w:val="20"/>
          <w:lang w:val="en-GB" w:eastAsia="fr-FR"/>
        </w:rPr>
        <w:t>10</w:t>
      </w:r>
    </w:p>
    <w:p w:rsidR="00A10ABD" w:rsidRPr="00207124" w:rsidRDefault="007921B2" w:rsidP="004C7958">
      <w:pPr>
        <w:pStyle w:val="BodyText2"/>
        <w:keepNext/>
        <w:spacing w:after="0" w:line="240" w:lineRule="auto"/>
      </w:pPr>
      <w:r>
        <w:rPr>
          <w:rFonts w:eastAsia="SimSun"/>
          <w:sz w:val="20"/>
          <w:szCs w:val="20"/>
          <w:lang w:val="en-GB" w:eastAsia="fr-FR"/>
        </w:rPr>
        <w:t>14 October</w:t>
      </w:r>
      <w:r w:rsidRPr="00356603">
        <w:rPr>
          <w:rFonts w:eastAsia="SimSun"/>
          <w:sz w:val="20"/>
          <w:szCs w:val="20"/>
          <w:lang w:val="en-GB" w:eastAsia="fr-FR"/>
        </w:rPr>
        <w:t xml:space="preserve"> 201</w:t>
      </w:r>
      <w:r>
        <w:rPr>
          <w:rFonts w:eastAsia="SimSun"/>
          <w:sz w:val="20"/>
          <w:szCs w:val="20"/>
          <w:lang w:val="en-GB" w:eastAsia="fr-FR"/>
        </w:rPr>
        <w:t>5</w:t>
      </w:r>
      <w:r w:rsidR="00702484" w:rsidRPr="00207124">
        <w:tab/>
      </w:r>
    </w:p>
    <w:p w:rsidR="005966FD" w:rsidRPr="00DE2B08" w:rsidRDefault="00DE2B08" w:rsidP="00DE2B08">
      <w:pPr>
        <w:pStyle w:val="HChG"/>
      </w:pPr>
      <w:r w:rsidRPr="00DE2B08">
        <w:tab/>
      </w:r>
      <w:r>
        <w:tab/>
      </w:r>
      <w:r w:rsidR="00702484" w:rsidRPr="00DE2B08">
        <w:t xml:space="preserve">ECE </w:t>
      </w:r>
      <w:r w:rsidR="00ED2E30" w:rsidRPr="00DE2B08">
        <w:t>m</w:t>
      </w:r>
      <w:r w:rsidR="00207124" w:rsidRPr="00DE2B08">
        <w:t xml:space="preserve">ultilateral </w:t>
      </w:r>
      <w:r w:rsidR="00ED2E30" w:rsidRPr="00DE2B08">
        <w:t>e</w:t>
      </w:r>
      <w:r w:rsidR="00552A63" w:rsidRPr="00DE2B08">
        <w:t xml:space="preserve">nvironmental </w:t>
      </w:r>
      <w:r w:rsidR="00ED2E30" w:rsidRPr="00DE2B08">
        <w:t>a</w:t>
      </w:r>
      <w:r w:rsidR="00552A63" w:rsidRPr="00DE2B08">
        <w:t>greements</w:t>
      </w:r>
      <w:r w:rsidR="00702484" w:rsidRPr="00DE2B08">
        <w:t xml:space="preserve"> </w:t>
      </w:r>
      <w:r w:rsidR="004B230D" w:rsidRPr="00DE2B08">
        <w:t xml:space="preserve">for </w:t>
      </w:r>
      <w:r w:rsidR="00ED2E30" w:rsidRPr="00DE2B08">
        <w:t>g</w:t>
      </w:r>
      <w:r w:rsidR="004B230D" w:rsidRPr="00DE2B08">
        <w:t xml:space="preserve">lobal </w:t>
      </w:r>
      <w:r w:rsidR="00ED2E30" w:rsidRPr="00DE2B08">
        <w:t>g</w:t>
      </w:r>
      <w:r w:rsidR="004B230D" w:rsidRPr="00DE2B08">
        <w:t>oals</w:t>
      </w:r>
    </w:p>
    <w:p w:rsidR="00521416" w:rsidRDefault="00DE2B08" w:rsidP="00DE2B08">
      <w:pPr>
        <w:pStyle w:val="H1G"/>
      </w:pPr>
      <w:r>
        <w:tab/>
      </w:r>
      <w:r>
        <w:tab/>
      </w:r>
      <w:r w:rsidR="00521416" w:rsidRPr="00DE2B08">
        <w:t>Note by the secretariat</w:t>
      </w:r>
      <w:r w:rsidR="00521416">
        <w:rPr>
          <w:rStyle w:val="FootnoteReference"/>
        </w:rPr>
        <w:footnoteReference w:id="1"/>
      </w:r>
    </w:p>
    <w:p w:rsidR="007377E8" w:rsidRDefault="007E1DAB" w:rsidP="00DE2B08">
      <w:pPr>
        <w:pStyle w:val="SingleTxtG"/>
      </w:pPr>
      <w:r>
        <w:rPr>
          <w:rStyle w:val="tgc"/>
        </w:rPr>
        <w:t xml:space="preserve">1. </w:t>
      </w:r>
      <w:r>
        <w:rPr>
          <w:rStyle w:val="tgc"/>
        </w:rPr>
        <w:tab/>
      </w:r>
      <w:r w:rsidR="00450E22" w:rsidRPr="00F069D6">
        <w:rPr>
          <w:rStyle w:val="tgc"/>
        </w:rPr>
        <w:t xml:space="preserve">The </w:t>
      </w:r>
      <w:r w:rsidR="00450E22">
        <w:rPr>
          <w:rStyle w:val="tgc"/>
        </w:rPr>
        <w:t>Sustainable Development Goals (</w:t>
      </w:r>
      <w:r w:rsidR="00450E22" w:rsidRPr="00F069D6">
        <w:rPr>
          <w:rStyle w:val="tgc"/>
        </w:rPr>
        <w:t>SDGs</w:t>
      </w:r>
      <w:r w:rsidR="00450E22">
        <w:rPr>
          <w:rStyle w:val="tgc"/>
        </w:rPr>
        <w:t>)</w:t>
      </w:r>
      <w:r w:rsidR="00D05733">
        <w:rPr>
          <w:rStyle w:val="tgc"/>
        </w:rPr>
        <w:t>,</w:t>
      </w:r>
      <w:r w:rsidR="00096933">
        <w:rPr>
          <w:rStyle w:val="FootnoteReference"/>
        </w:rPr>
        <w:footnoteReference w:id="2"/>
      </w:r>
      <w:r w:rsidR="00450E22" w:rsidRPr="00F069D6">
        <w:rPr>
          <w:rStyle w:val="tgc"/>
        </w:rPr>
        <w:t xml:space="preserve"> </w:t>
      </w:r>
      <w:r w:rsidR="00D05733">
        <w:rPr>
          <w:rStyle w:val="tgc"/>
        </w:rPr>
        <w:t>or</w:t>
      </w:r>
      <w:r w:rsidR="00450E22" w:rsidRPr="00F069D6">
        <w:rPr>
          <w:rStyle w:val="tgc"/>
        </w:rPr>
        <w:t xml:space="preserve"> Global Goals, are an inter-governmentally agreed set of goals relating to international development that were adopted as a part of </w:t>
      </w:r>
      <w:r w:rsidR="00450E22" w:rsidRPr="00303776">
        <w:rPr>
          <w:spacing w:val="2"/>
        </w:rPr>
        <w:t xml:space="preserve">the 2030 Agenda for Sustainable Development </w:t>
      </w:r>
      <w:r w:rsidR="00450E22" w:rsidRPr="00F069D6">
        <w:rPr>
          <w:rStyle w:val="tgc"/>
        </w:rPr>
        <w:t xml:space="preserve">at the </w:t>
      </w:r>
      <w:r w:rsidR="00450E22" w:rsidRPr="00F069D6">
        <w:t xml:space="preserve">United Nations </w:t>
      </w:r>
      <w:r w:rsidR="00450E22">
        <w:t>S</w:t>
      </w:r>
      <w:r w:rsidR="00450E22" w:rsidRPr="00F069D6">
        <w:t>ustain</w:t>
      </w:r>
      <w:r w:rsidR="00450E22" w:rsidRPr="005002DF">
        <w:t>able Development Summit (New York, 25</w:t>
      </w:r>
      <w:r w:rsidR="00D05733" w:rsidRPr="005002DF">
        <w:t>–</w:t>
      </w:r>
      <w:r w:rsidR="00450E22" w:rsidRPr="005002DF">
        <w:t>27 September 2015)</w:t>
      </w:r>
      <w:r w:rsidR="00450E22" w:rsidRPr="005002DF">
        <w:rPr>
          <w:rStyle w:val="tgc"/>
        </w:rPr>
        <w:t>. They will follow on from the Millennium Development Goals once those expire at the end of 2015.</w:t>
      </w:r>
      <w:r w:rsidR="007377E8" w:rsidRPr="005002DF">
        <w:rPr>
          <w:rStyle w:val="tgc"/>
        </w:rPr>
        <w:t xml:space="preserve"> </w:t>
      </w:r>
      <w:r w:rsidR="00450E22" w:rsidRPr="005002DF">
        <w:t>Pursuant to the outcomes of its previous session, the Committee on Environmental Policy</w:t>
      </w:r>
      <w:r w:rsidR="00654D60" w:rsidRPr="005002DF">
        <w:t xml:space="preserve"> (CEP)</w:t>
      </w:r>
      <w:r w:rsidR="00450E22" w:rsidRPr="005002DF">
        <w:t xml:space="preserve"> will consider </w:t>
      </w:r>
      <w:r w:rsidR="00662839" w:rsidRPr="005002DF">
        <w:t>at its 21</w:t>
      </w:r>
      <w:r w:rsidR="00662839" w:rsidRPr="005002DF">
        <w:rPr>
          <w:vertAlign w:val="superscript"/>
        </w:rPr>
        <w:t>st</w:t>
      </w:r>
      <w:r w:rsidR="00662839" w:rsidRPr="005002DF">
        <w:t xml:space="preserve"> session</w:t>
      </w:r>
      <w:r w:rsidR="00636CA8" w:rsidRPr="005002DF">
        <w:t>,</w:t>
      </w:r>
      <w:r w:rsidR="00662839" w:rsidRPr="005002DF">
        <w:t xml:space="preserve"> </w:t>
      </w:r>
      <w:r w:rsidR="00450E22" w:rsidRPr="005002DF">
        <w:t>among other matters</w:t>
      </w:r>
      <w:r w:rsidR="00636CA8" w:rsidRPr="005002DF">
        <w:t>,</w:t>
      </w:r>
      <w:r w:rsidR="00450E22" w:rsidRPr="005002DF">
        <w:t xml:space="preserve"> the role of </w:t>
      </w:r>
      <w:r w:rsidR="00D05733" w:rsidRPr="005002DF">
        <w:t>the United Nations Economic Commission for Europe (</w:t>
      </w:r>
      <w:r w:rsidR="00450E22" w:rsidRPr="005002DF">
        <w:t>ECE</w:t>
      </w:r>
      <w:r w:rsidR="00D05733" w:rsidRPr="005002DF">
        <w:t>)</w:t>
      </w:r>
      <w:r w:rsidR="00450E22" w:rsidRPr="005002DF">
        <w:t xml:space="preserve"> </w:t>
      </w:r>
      <w:r w:rsidR="00D05733" w:rsidRPr="005002DF">
        <w:t>multilateral environmental a</w:t>
      </w:r>
      <w:r w:rsidR="00450E22" w:rsidRPr="005002DF">
        <w:t xml:space="preserve">greements (MEAs) in the post-2015 development agenda. </w:t>
      </w:r>
      <w:r w:rsidR="007377E8" w:rsidRPr="005002DF">
        <w:t>The MEAs have much to offer to the ECE region and beyond for furthering the Global Goals</w:t>
      </w:r>
      <w:r w:rsidR="00A66E7D" w:rsidRPr="005002DF">
        <w:t xml:space="preserve"> (see figure below)</w:t>
      </w:r>
      <w:r w:rsidR="007377E8" w:rsidRPr="005002DF">
        <w:t>.</w:t>
      </w:r>
      <w:bookmarkStart w:id="0" w:name="_GoBack"/>
      <w:bookmarkEnd w:id="0"/>
    </w:p>
    <w:p w:rsidR="00736165" w:rsidRPr="00207124" w:rsidRDefault="00736165" w:rsidP="00736165">
      <w:pPr>
        <w:pStyle w:val="SingleTxtG"/>
      </w:pPr>
      <w:r>
        <w:rPr>
          <w:rStyle w:val="tgc"/>
        </w:rPr>
        <w:t xml:space="preserve">2. </w:t>
      </w:r>
      <w:r>
        <w:rPr>
          <w:rStyle w:val="tgc"/>
        </w:rPr>
        <w:tab/>
      </w:r>
      <w:r w:rsidRPr="00207124">
        <w:t xml:space="preserve">The MEAs </w:t>
      </w:r>
      <w:r>
        <w:t xml:space="preserve">could support the implementation of </w:t>
      </w:r>
      <w:r w:rsidRPr="00207124">
        <w:t>the Global Goals, for example, in terms of the</w:t>
      </w:r>
      <w:r>
        <w:t xml:space="preserve"> following</w:t>
      </w:r>
      <w:r w:rsidRPr="00207124">
        <w:t xml:space="preserve"> topics: </w:t>
      </w:r>
    </w:p>
    <w:p w:rsidR="00736165" w:rsidRPr="00207124" w:rsidRDefault="00736165" w:rsidP="00736165">
      <w:pPr>
        <w:pStyle w:val="Bullet1G"/>
        <w:tabs>
          <w:tab w:val="clear" w:pos="890"/>
          <w:tab w:val="num" w:pos="1843"/>
        </w:tabs>
        <w:ind w:left="1843" w:hanging="425"/>
      </w:pPr>
      <w:r w:rsidRPr="00207124">
        <w:t>Strengthening governance (e.g., Aarhus</w:t>
      </w:r>
      <w:r>
        <w:rPr>
          <w:rStyle w:val="FootnoteReference"/>
        </w:rPr>
        <w:footnoteReference w:id="3"/>
      </w:r>
      <w:r w:rsidRPr="00207124">
        <w:t xml:space="preserve"> and Espoo</w:t>
      </w:r>
      <w:r>
        <w:rPr>
          <w:rStyle w:val="FootnoteReference"/>
        </w:rPr>
        <w:footnoteReference w:id="4"/>
      </w:r>
      <w:r w:rsidRPr="00207124">
        <w:t xml:space="preserve"> Conventions and their protocols</w:t>
      </w:r>
      <w:r>
        <w:t>,</w:t>
      </w:r>
      <w:r>
        <w:rPr>
          <w:rStyle w:val="FootnoteReference"/>
        </w:rPr>
        <w:footnoteReference w:id="5"/>
      </w:r>
      <w:r w:rsidRPr="00207124">
        <w:t xml:space="preserve"> Industrial Accidents Convention</w:t>
      </w:r>
      <w:r>
        <w:t>,</w:t>
      </w:r>
      <w:r>
        <w:rPr>
          <w:rStyle w:val="FootnoteReference"/>
        </w:rPr>
        <w:footnoteReference w:id="6"/>
      </w:r>
      <w:r>
        <w:t xml:space="preserve"> Water Convention</w:t>
      </w:r>
      <w:r>
        <w:rPr>
          <w:rStyle w:val="FootnoteReference"/>
        </w:rPr>
        <w:footnoteReference w:id="7"/>
      </w:r>
      <w:r>
        <w:t xml:space="preserve"> and its Protocol</w:t>
      </w:r>
      <w:r>
        <w:rPr>
          <w:rStyle w:val="FootnoteReference"/>
        </w:rPr>
        <w:footnoteReference w:id="8"/>
      </w:r>
      <w:r w:rsidRPr="00207124">
        <w:t>)</w:t>
      </w:r>
      <w:r>
        <w:t>;</w:t>
      </w:r>
    </w:p>
    <w:p w:rsidR="00736165" w:rsidRPr="00207124" w:rsidRDefault="00736165" w:rsidP="00736165">
      <w:pPr>
        <w:pStyle w:val="Bullet1G"/>
        <w:tabs>
          <w:tab w:val="clear" w:pos="890"/>
          <w:tab w:val="num" w:pos="1843"/>
        </w:tabs>
        <w:ind w:left="1843" w:hanging="425"/>
      </w:pPr>
      <w:r w:rsidRPr="00207124">
        <w:t>Supporting monitoring and review (e.g., Air</w:t>
      </w:r>
      <w:r>
        <w:rPr>
          <w:rStyle w:val="FootnoteReference"/>
        </w:rPr>
        <w:footnoteReference w:id="9"/>
      </w:r>
      <w:r>
        <w:t xml:space="preserve"> and Water Conventions);</w:t>
      </w:r>
    </w:p>
    <w:p w:rsidR="00736165" w:rsidRPr="00207124" w:rsidRDefault="00736165" w:rsidP="00736165">
      <w:pPr>
        <w:pStyle w:val="Bullet1G"/>
        <w:tabs>
          <w:tab w:val="clear" w:pos="890"/>
          <w:tab w:val="num" w:pos="1843"/>
        </w:tabs>
        <w:ind w:left="1843" w:hanging="425"/>
      </w:pPr>
      <w:r w:rsidRPr="00207124">
        <w:t>Breaking down silos</w:t>
      </w:r>
      <w:r>
        <w:t xml:space="preserve"> within Governments (e.g. intersectoral cooperation required under most of MEAs) and</w:t>
      </w:r>
      <w:r w:rsidRPr="00207124">
        <w:t xml:space="preserve"> within ECE (e.g., Industrial Accidents </w:t>
      </w:r>
      <w:r w:rsidRPr="00521416">
        <w:t xml:space="preserve">Convention and Protocol </w:t>
      </w:r>
      <w:r>
        <w:t xml:space="preserve">on </w:t>
      </w:r>
      <w:r w:rsidRPr="00521416">
        <w:t>SEA regarding land-use</w:t>
      </w:r>
      <w:r>
        <w:t xml:space="preserve"> planning and the siting of hazardous activities</w:t>
      </w:r>
      <w:r w:rsidRPr="00521416">
        <w:t xml:space="preserve">; the Water Convention regarding </w:t>
      </w:r>
      <w:r w:rsidRPr="00D05733">
        <w:t xml:space="preserve">water, food (agriculture) and energy </w:t>
      </w:r>
      <w:r w:rsidRPr="00521416">
        <w:t>nexus; Aarhus Convention</w:t>
      </w:r>
      <w:r>
        <w:t xml:space="preserve"> and</w:t>
      </w:r>
      <w:r w:rsidRPr="00521416">
        <w:t xml:space="preserve"> its Protocol, ECE Statistical Division </w:t>
      </w:r>
      <w:r>
        <w:t xml:space="preserve">and the </w:t>
      </w:r>
      <w:r w:rsidRPr="00D05733">
        <w:t>Working Group on Environmental Monitoring and Assessmen</w:t>
      </w:r>
      <w:r>
        <w:t>t</w:t>
      </w:r>
      <w:r w:rsidRPr="00521416">
        <w:t xml:space="preserve"> regarding access to information;  Aarhus </w:t>
      </w:r>
      <w:r w:rsidRPr="00CB6794">
        <w:t>Convention</w:t>
      </w:r>
      <w:r>
        <w:t>,</w:t>
      </w:r>
      <w:r w:rsidRPr="00207124">
        <w:t xml:space="preserve"> </w:t>
      </w:r>
      <w:r>
        <w:t xml:space="preserve"> Protocol on SEA and</w:t>
      </w:r>
      <w:r w:rsidRPr="00207124">
        <w:t xml:space="preserve"> Industrial Accidents Convention regarding public participation; Protocol </w:t>
      </w:r>
      <w:r>
        <w:t xml:space="preserve">on </w:t>
      </w:r>
      <w:r w:rsidRPr="00207124">
        <w:t>PRTR</w:t>
      </w:r>
      <w:r>
        <w:t>s</w:t>
      </w:r>
      <w:r w:rsidRPr="00207124">
        <w:t xml:space="preserve"> and Industrial Accidents Convention regarding management of chemicals;</w:t>
      </w:r>
      <w:r>
        <w:t xml:space="preserve"> Protocol on SEA and the Water Convention regarding assessment of water sector plans);</w:t>
      </w:r>
    </w:p>
    <w:p w:rsidR="00736165" w:rsidRPr="00207124" w:rsidRDefault="00736165" w:rsidP="00736165">
      <w:pPr>
        <w:pStyle w:val="Bullet1G"/>
        <w:tabs>
          <w:tab w:val="clear" w:pos="890"/>
          <w:tab w:val="num" w:pos="1843"/>
        </w:tabs>
        <w:ind w:left="1843" w:hanging="425"/>
      </w:pPr>
      <w:r w:rsidRPr="00207124">
        <w:lastRenderedPageBreak/>
        <w:t>Building partnerships outside ECE, with other MEAs (e.g., Air Convention, Aarhus Convention</w:t>
      </w:r>
      <w:r>
        <w:t xml:space="preserve"> and its Protocol, Water Convention</w:t>
      </w:r>
      <w:r w:rsidRPr="00207124">
        <w:t>)</w:t>
      </w:r>
      <w:r>
        <w:t xml:space="preserve">, </w:t>
      </w:r>
      <w:r w:rsidRPr="00207124">
        <w:t>other international organizations</w:t>
      </w:r>
      <w:r>
        <w:t>, NGOs, academia and the private sector (most ECE MEAs);</w:t>
      </w:r>
    </w:p>
    <w:p w:rsidR="00736165" w:rsidRPr="00207124" w:rsidRDefault="00736165" w:rsidP="00736165">
      <w:pPr>
        <w:pStyle w:val="Bullet1G"/>
        <w:tabs>
          <w:tab w:val="clear" w:pos="890"/>
          <w:tab w:val="num" w:pos="1843"/>
        </w:tabs>
        <w:ind w:left="1843" w:hanging="425"/>
      </w:pPr>
      <w:r w:rsidRPr="00207124">
        <w:t>Developing capacity and sharing experiences and</w:t>
      </w:r>
      <w:r>
        <w:t xml:space="preserve"> lesson learned (most ECE MEAs);</w:t>
      </w:r>
    </w:p>
    <w:p w:rsidR="00736165" w:rsidRPr="00207124" w:rsidRDefault="00736165" w:rsidP="00736165">
      <w:pPr>
        <w:pStyle w:val="Bullet1G"/>
        <w:tabs>
          <w:tab w:val="clear" w:pos="890"/>
          <w:tab w:val="num" w:pos="1843"/>
        </w:tabs>
        <w:ind w:left="1843" w:hanging="425"/>
      </w:pPr>
      <w:r w:rsidRPr="00207124">
        <w:t>Having broad membership across the ECE region and</w:t>
      </w:r>
      <w:r>
        <w:t>,</w:t>
      </w:r>
      <w:r w:rsidRPr="00207124">
        <w:t xml:space="preserve"> </w:t>
      </w:r>
      <w:r>
        <w:t>potentially, beyond;</w:t>
      </w:r>
    </w:p>
    <w:p w:rsidR="00736165" w:rsidRPr="00207124" w:rsidRDefault="00736165" w:rsidP="00736165">
      <w:pPr>
        <w:pStyle w:val="Bullet1G"/>
        <w:tabs>
          <w:tab w:val="clear" w:pos="890"/>
          <w:tab w:val="num" w:pos="1843"/>
        </w:tabs>
        <w:ind w:left="1843" w:hanging="425"/>
      </w:pPr>
      <w:r w:rsidRPr="00207124">
        <w:t xml:space="preserve">Translating global goals into national action (e.g., </w:t>
      </w:r>
      <w:r>
        <w:t>all ECE MEAs</w:t>
      </w:r>
      <w:r w:rsidRPr="00207124">
        <w:t>).</w:t>
      </w:r>
    </w:p>
    <w:p w:rsidR="00B94237" w:rsidRPr="000F2ADB" w:rsidRDefault="00B94237" w:rsidP="00B94237">
      <w:pPr>
        <w:pStyle w:val="SingleTxtG"/>
        <w:spacing w:before="240" w:after="0"/>
        <w:jc w:val="left"/>
        <w:rPr>
          <w:rFonts w:eastAsia="SimSun"/>
          <w:lang w:eastAsia="en-GB"/>
        </w:rPr>
      </w:pPr>
      <w:r>
        <w:rPr>
          <w:rFonts w:eastAsia="SimSun"/>
          <w:lang w:eastAsia="en-GB"/>
        </w:rPr>
        <w:tab/>
      </w:r>
    </w:p>
    <w:p w:rsidR="00736165" w:rsidRPr="00B94237" w:rsidRDefault="00B94237" w:rsidP="00B94237">
      <w:pPr>
        <w:pStyle w:val="Bullet1G"/>
        <w:numPr>
          <w:ilvl w:val="0"/>
          <w:numId w:val="0"/>
        </w:numPr>
        <w:ind w:left="720"/>
        <w:rPr>
          <w:rFonts w:eastAsia="SimSun"/>
          <w:b/>
          <w:lang w:eastAsia="en-GB"/>
        </w:rPr>
      </w:pPr>
      <w:r>
        <w:rPr>
          <w:rFonts w:eastAsia="SimSun"/>
          <w:b/>
          <w:lang w:eastAsia="en-GB"/>
        </w:rPr>
        <w:tab/>
      </w:r>
      <w:r w:rsidRPr="00B94237">
        <w:rPr>
          <w:rFonts w:eastAsia="SimSun"/>
          <w:b/>
          <w:lang w:eastAsia="en-GB"/>
        </w:rPr>
        <w:t>ECE</w:t>
      </w:r>
      <w:r>
        <w:rPr>
          <w:rFonts w:eastAsia="SimSun"/>
          <w:b/>
          <w:lang w:eastAsia="en-GB"/>
        </w:rPr>
        <w:t xml:space="preserve"> multilateral </w:t>
      </w:r>
      <w:r w:rsidR="002C5BED">
        <w:rPr>
          <w:rFonts w:eastAsia="SimSun"/>
          <w:b/>
          <w:lang w:eastAsia="en-GB"/>
        </w:rPr>
        <w:t xml:space="preserve">environmental </w:t>
      </w:r>
      <w:r>
        <w:rPr>
          <w:rFonts w:eastAsia="SimSun"/>
          <w:b/>
          <w:lang w:eastAsia="en-GB"/>
        </w:rPr>
        <w:t xml:space="preserve">agreements and SDGs </w:t>
      </w:r>
    </w:p>
    <w:p w:rsidR="00B94237" w:rsidRDefault="00B94237" w:rsidP="00B94237">
      <w:pPr>
        <w:pStyle w:val="Bullet1G"/>
        <w:numPr>
          <w:ilvl w:val="0"/>
          <w:numId w:val="0"/>
        </w:numPr>
        <w:ind w:left="890"/>
      </w:pPr>
    </w:p>
    <w:p w:rsidR="007377E8" w:rsidRDefault="00C477A8" w:rsidP="00A614BA">
      <w:pPr>
        <w:pStyle w:val="SingleTxtG"/>
        <w:tabs>
          <w:tab w:val="left" w:pos="720"/>
        </w:tabs>
        <w:ind w:left="0"/>
      </w:pPr>
      <w:r>
        <w:rPr>
          <w:b/>
          <w:noProof/>
          <w:color w:val="222222"/>
          <w:lang w:eastAsia="en-GB"/>
        </w:rPr>
        <w:drawing>
          <wp:inline distT="0" distB="0" distL="0" distR="0" wp14:anchorId="50AE58EB" wp14:editId="4B960923">
            <wp:extent cx="5353050" cy="456247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EAs SDGs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57404" cy="4566186"/>
                    </a:xfrm>
                    <a:prstGeom prst="rect">
                      <a:avLst/>
                    </a:prstGeom>
                  </pic:spPr>
                </pic:pic>
              </a:graphicData>
            </a:graphic>
          </wp:inline>
        </w:drawing>
      </w:r>
    </w:p>
    <w:p w:rsidR="007377E8" w:rsidRDefault="00730354" w:rsidP="00A614BA">
      <w:pPr>
        <w:pStyle w:val="SingleTxtG"/>
        <w:tabs>
          <w:tab w:val="left" w:pos="720"/>
        </w:tabs>
        <w:ind w:left="0"/>
      </w:pPr>
      <w:r>
        <w:rPr>
          <w:noProof/>
          <w:lang w:eastAsia="en-GB"/>
        </w:rPr>
        <w:drawing>
          <wp:anchor distT="0" distB="0" distL="114300" distR="114300" simplePos="0" relativeHeight="251662336" behindDoc="0" locked="0" layoutInCell="1" allowOverlap="1" wp14:anchorId="7A6640EB" wp14:editId="3FD55E19">
            <wp:simplePos x="0" y="0"/>
            <wp:positionH relativeFrom="column">
              <wp:posOffset>2381885</wp:posOffset>
            </wp:positionH>
            <wp:positionV relativeFrom="paragraph">
              <wp:posOffset>203835</wp:posOffset>
            </wp:positionV>
            <wp:extent cx="2076450" cy="16605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s9-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6450" cy="1660525"/>
                    </a:xfrm>
                    <a:prstGeom prst="rect">
                      <a:avLst/>
                    </a:prstGeom>
                  </pic:spPr>
                </pic:pic>
              </a:graphicData>
            </a:graphic>
            <wp14:sizeRelH relativeFrom="page">
              <wp14:pctWidth>0</wp14:pctWidth>
            </wp14:sizeRelH>
            <wp14:sizeRelV relativeFrom="page">
              <wp14:pctHeight>0</wp14:pctHeight>
            </wp14:sizeRelV>
          </wp:anchor>
        </w:drawing>
      </w:r>
    </w:p>
    <w:p w:rsidR="007377E8" w:rsidRDefault="00730354" w:rsidP="00A614BA">
      <w:pPr>
        <w:pStyle w:val="SingleTxtG"/>
        <w:tabs>
          <w:tab w:val="left" w:pos="720"/>
        </w:tabs>
        <w:ind w:left="0"/>
      </w:pPr>
      <w:r>
        <w:rPr>
          <w:b/>
          <w:noProof/>
          <w:color w:val="222222"/>
          <w:lang w:eastAsia="en-GB"/>
        </w:rPr>
        <w:drawing>
          <wp:anchor distT="0" distB="0" distL="114300" distR="114300" simplePos="0" relativeHeight="251661312" behindDoc="0" locked="0" layoutInCell="1" allowOverlap="1" wp14:anchorId="73A1D465" wp14:editId="225E1E81">
            <wp:simplePos x="0" y="0"/>
            <wp:positionH relativeFrom="column">
              <wp:posOffset>137160</wp:posOffset>
            </wp:positionH>
            <wp:positionV relativeFrom="paragraph">
              <wp:posOffset>22860</wp:posOffset>
            </wp:positionV>
            <wp:extent cx="1885950" cy="1752600"/>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DGs1-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5950" cy="1752600"/>
                    </a:xfrm>
                    <a:prstGeom prst="rect">
                      <a:avLst/>
                    </a:prstGeom>
                  </pic:spPr>
                </pic:pic>
              </a:graphicData>
            </a:graphic>
            <wp14:sizeRelH relativeFrom="page">
              <wp14:pctWidth>0</wp14:pctWidth>
            </wp14:sizeRelH>
            <wp14:sizeRelV relativeFrom="page">
              <wp14:pctHeight>0</wp14:pctHeight>
            </wp14:sizeRelV>
          </wp:anchor>
        </w:drawing>
      </w:r>
    </w:p>
    <w:p w:rsidR="007377E8" w:rsidRDefault="007377E8" w:rsidP="00A614BA">
      <w:pPr>
        <w:pStyle w:val="SingleTxtG"/>
        <w:tabs>
          <w:tab w:val="left" w:pos="720"/>
        </w:tabs>
        <w:ind w:left="0"/>
      </w:pPr>
    </w:p>
    <w:p w:rsidR="007377E8" w:rsidRDefault="007377E8" w:rsidP="00A614BA">
      <w:pPr>
        <w:pStyle w:val="SingleTxtG"/>
        <w:tabs>
          <w:tab w:val="left" w:pos="720"/>
        </w:tabs>
        <w:ind w:left="0"/>
      </w:pPr>
    </w:p>
    <w:p w:rsidR="007377E8" w:rsidRDefault="007377E8" w:rsidP="00A614BA">
      <w:pPr>
        <w:pStyle w:val="SingleTxtG"/>
        <w:tabs>
          <w:tab w:val="left" w:pos="720"/>
        </w:tabs>
        <w:ind w:left="0"/>
      </w:pPr>
    </w:p>
    <w:p w:rsidR="007377E8" w:rsidRDefault="007377E8" w:rsidP="00A614BA">
      <w:pPr>
        <w:pStyle w:val="SingleTxtG"/>
        <w:tabs>
          <w:tab w:val="left" w:pos="720"/>
        </w:tabs>
        <w:ind w:left="0"/>
      </w:pPr>
    </w:p>
    <w:p w:rsidR="007377E8" w:rsidRDefault="007377E8" w:rsidP="00A614BA">
      <w:pPr>
        <w:pStyle w:val="SingleTxtG"/>
        <w:tabs>
          <w:tab w:val="left" w:pos="720"/>
        </w:tabs>
        <w:ind w:left="0"/>
      </w:pPr>
    </w:p>
    <w:p w:rsidR="00730354" w:rsidRDefault="00730354" w:rsidP="00506382">
      <w:pPr>
        <w:pStyle w:val="SingleTxtG"/>
        <w:rPr>
          <w:rStyle w:val="tgc"/>
        </w:rPr>
      </w:pPr>
    </w:p>
    <w:p w:rsidR="00730354" w:rsidRDefault="00730354" w:rsidP="00506382">
      <w:pPr>
        <w:pStyle w:val="SingleTxtG"/>
        <w:rPr>
          <w:rStyle w:val="tgc"/>
        </w:rPr>
      </w:pPr>
    </w:p>
    <w:p w:rsidR="00730354" w:rsidRDefault="00730354" w:rsidP="00506382">
      <w:pPr>
        <w:pStyle w:val="SingleTxtG"/>
        <w:rPr>
          <w:rStyle w:val="tgc"/>
        </w:rPr>
      </w:pPr>
    </w:p>
    <w:p w:rsidR="005966FD" w:rsidRDefault="00A614BA" w:rsidP="00506382">
      <w:pPr>
        <w:pStyle w:val="SingleTxtG"/>
      </w:pPr>
      <w:r w:rsidRPr="00E123F4">
        <w:rPr>
          <w:rStyle w:val="tgc"/>
        </w:rPr>
        <w:lastRenderedPageBreak/>
        <w:t xml:space="preserve">3. </w:t>
      </w:r>
      <w:r w:rsidRPr="00E123F4">
        <w:rPr>
          <w:rStyle w:val="tgc"/>
        </w:rPr>
        <w:tab/>
      </w:r>
      <w:r w:rsidR="005966FD" w:rsidRPr="00E123F4">
        <w:t xml:space="preserve">The discussion </w:t>
      </w:r>
      <w:r w:rsidR="009E7319" w:rsidRPr="00E123F4">
        <w:t>at CEP</w:t>
      </w:r>
      <w:r w:rsidR="00654D60">
        <w:t>-21</w:t>
      </w:r>
      <w:r w:rsidR="009E7319" w:rsidRPr="00E123F4">
        <w:t xml:space="preserve"> </w:t>
      </w:r>
      <w:r w:rsidR="00F069D6" w:rsidRPr="00E123F4">
        <w:t>is expected to</w:t>
      </w:r>
      <w:r w:rsidR="005966FD" w:rsidRPr="00E123F4">
        <w:t xml:space="preserve"> focus on how the MEAs can contribute to the achievement of SDGs and </w:t>
      </w:r>
      <w:r w:rsidR="005966FD" w:rsidRPr="00E86E00">
        <w:t>support other elements of the post-2015 agenda</w:t>
      </w:r>
      <w:r w:rsidR="00F069D6" w:rsidRPr="00E86E00">
        <w:t>, such as</w:t>
      </w:r>
      <w:r w:rsidR="005966FD" w:rsidRPr="00E86E00">
        <w:t xml:space="preserve"> the Sendai Framework for Disaster Risk Reduction 2015–2030</w:t>
      </w:r>
      <w:r w:rsidR="00D05733">
        <w:t>,</w:t>
      </w:r>
      <w:r w:rsidR="00096933" w:rsidRPr="00E86E00">
        <w:rPr>
          <w:rStyle w:val="FootnoteReference"/>
        </w:rPr>
        <w:footnoteReference w:id="10"/>
      </w:r>
      <w:r w:rsidR="005966FD" w:rsidRPr="00E123F4">
        <w:t xml:space="preserve"> the Addis Ababa Action Agenda</w:t>
      </w:r>
      <w:r w:rsidR="00096933" w:rsidRPr="00E86E00">
        <w:rPr>
          <w:rStyle w:val="FootnoteReference"/>
        </w:rPr>
        <w:footnoteReference w:id="11"/>
      </w:r>
      <w:r w:rsidR="005966FD" w:rsidRPr="00E123F4">
        <w:t xml:space="preserve"> and the outcome of the </w:t>
      </w:r>
      <w:r w:rsidR="00F069D6" w:rsidRPr="00E123F4">
        <w:t xml:space="preserve">upcoming </w:t>
      </w:r>
      <w:r w:rsidR="00336C88" w:rsidRPr="00E123F4">
        <w:t xml:space="preserve">twenty-first session of the Conference of the Parties </w:t>
      </w:r>
      <w:r w:rsidR="00336C88" w:rsidRPr="00E86E00">
        <w:t>to the United Nations Framework Convention on Climate Conference</w:t>
      </w:r>
      <w:r w:rsidR="00D05733">
        <w:t>.</w:t>
      </w:r>
      <w:r w:rsidR="00096933" w:rsidRPr="00E86E00">
        <w:rPr>
          <w:rStyle w:val="FootnoteReference"/>
        </w:rPr>
        <w:footnoteReference w:id="12"/>
      </w:r>
      <w:r w:rsidR="00F069D6" w:rsidRPr="00E123F4">
        <w:t xml:space="preserve"> In its turn, </w:t>
      </w:r>
      <w:r w:rsidR="005966FD" w:rsidRPr="00E123F4">
        <w:t>the 2030 Agenda for Sustainable Development will also influence—to differing degrees—the work under the ECE MEAs.</w:t>
      </w:r>
      <w:r w:rsidR="005966FD" w:rsidRPr="00207124">
        <w:t xml:space="preserve"> </w:t>
      </w:r>
    </w:p>
    <w:p w:rsidR="00A614BA" w:rsidRPr="00207124" w:rsidRDefault="00A614BA" w:rsidP="00506382">
      <w:pPr>
        <w:pStyle w:val="SingleTxtG"/>
      </w:pPr>
      <w:r>
        <w:rPr>
          <w:rStyle w:val="tgc"/>
        </w:rPr>
        <w:t>4.</w:t>
      </w:r>
      <w:r>
        <w:rPr>
          <w:rStyle w:val="tgc"/>
        </w:rPr>
        <w:tab/>
      </w:r>
      <w:r w:rsidRPr="00207124">
        <w:t xml:space="preserve">Depending on the outcomes of discussion, CEP might wish to reflect on the usefulness of </w:t>
      </w:r>
      <w:r w:rsidRPr="00E123F4">
        <w:t xml:space="preserve">expanding </w:t>
      </w:r>
      <w:r w:rsidRPr="002F4CFC">
        <w:t>such discussion at the</w:t>
      </w:r>
      <w:r w:rsidRPr="002F4CFC">
        <w:rPr>
          <w:color w:val="000000"/>
          <w:sz w:val="24"/>
          <w:szCs w:val="24"/>
        </w:rPr>
        <w:t xml:space="preserve"> </w:t>
      </w:r>
      <w:r w:rsidRPr="002F4CFC">
        <w:rPr>
          <w:color w:val="000000"/>
        </w:rPr>
        <w:t>Eighth Environment for Europe Ministerial Conference</w:t>
      </w:r>
      <w:r w:rsidR="00E123F4" w:rsidRPr="00E86E00">
        <w:rPr>
          <w:color w:val="000000"/>
        </w:rPr>
        <w:t xml:space="preserve"> </w:t>
      </w:r>
      <w:r w:rsidR="00E123F4" w:rsidRPr="00E123F4">
        <w:t>(Batumi, Georgia, 8–10 June 2016</w:t>
      </w:r>
      <w:r w:rsidR="00E123F4" w:rsidRPr="00E86E00">
        <w:rPr>
          <w:color w:val="000000"/>
        </w:rPr>
        <w:t>)</w:t>
      </w:r>
      <w:r w:rsidRPr="00E123F4">
        <w:rPr>
          <w:color w:val="000000"/>
        </w:rPr>
        <w:t xml:space="preserve">, for example, under the </w:t>
      </w:r>
      <w:r w:rsidRPr="002F4CFC">
        <w:t>general segment on the first day of the Conference.</w:t>
      </w:r>
    </w:p>
    <w:p w:rsidR="00CB6794" w:rsidRDefault="00A614BA" w:rsidP="00506382">
      <w:pPr>
        <w:pStyle w:val="SingleTxtG"/>
      </w:pPr>
      <w:r>
        <w:rPr>
          <w:rStyle w:val="tgc"/>
        </w:rPr>
        <w:t>5.</w:t>
      </w:r>
      <w:r>
        <w:rPr>
          <w:rStyle w:val="tgc"/>
        </w:rPr>
        <w:tab/>
      </w:r>
      <w:r w:rsidR="00F14E3E">
        <w:t xml:space="preserve">During the </w:t>
      </w:r>
      <w:r w:rsidR="0026227B">
        <w:t xml:space="preserve">CEP-21 </w:t>
      </w:r>
      <w:r w:rsidR="00F14E3E">
        <w:t xml:space="preserve">session, the MEA Chairs and CEP delegates will have the opportunity to discuss the following two questions: </w:t>
      </w:r>
    </w:p>
    <w:p w:rsidR="00CB6794" w:rsidRPr="00207124" w:rsidRDefault="0026227B" w:rsidP="00506382">
      <w:pPr>
        <w:pStyle w:val="SingleTxtG"/>
      </w:pPr>
      <w:r>
        <w:tab/>
      </w:r>
      <w:r w:rsidR="00CB6794" w:rsidRPr="00207124">
        <w:t xml:space="preserve">(a) </w:t>
      </w:r>
      <w:r w:rsidR="00CB6794" w:rsidRPr="00207124">
        <w:tab/>
        <w:t>How can the ECE MEAs, through their experience in implementation (e.g., with regard to developing regulatory instruments and programmes, setting standards and establishing partnerships), facilitate achievement of the SDGs by countries?</w:t>
      </w:r>
    </w:p>
    <w:p w:rsidR="00CB6794" w:rsidRPr="00207124" w:rsidRDefault="0026227B" w:rsidP="00506382">
      <w:pPr>
        <w:pStyle w:val="SingleTxtG"/>
      </w:pPr>
      <w:r>
        <w:tab/>
      </w:r>
      <w:r w:rsidR="00CB6794" w:rsidRPr="00207124">
        <w:t xml:space="preserve">(b) </w:t>
      </w:r>
      <w:r w:rsidR="00CB6794" w:rsidRPr="00207124">
        <w:tab/>
        <w:t>Can CEP contribute to that facilitation role?</w:t>
      </w:r>
    </w:p>
    <w:p w:rsidR="00710311" w:rsidRPr="00207124" w:rsidRDefault="00A614BA" w:rsidP="00506382">
      <w:pPr>
        <w:pStyle w:val="SingleTxtG"/>
      </w:pPr>
      <w:r>
        <w:rPr>
          <w:rStyle w:val="tgc"/>
        </w:rPr>
        <w:t>6.</w:t>
      </w:r>
      <w:r>
        <w:rPr>
          <w:rStyle w:val="tgc"/>
        </w:rPr>
        <w:tab/>
      </w:r>
      <w:r w:rsidR="00710311" w:rsidRPr="00207124">
        <w:t xml:space="preserve">The session </w:t>
      </w:r>
      <w:r w:rsidR="00DB1991" w:rsidRPr="00207124">
        <w:t>will</w:t>
      </w:r>
      <w:r w:rsidR="00710311" w:rsidRPr="00207124">
        <w:t xml:space="preserve"> begin with a short presentation</w:t>
      </w:r>
      <w:r w:rsidR="004B230D" w:rsidRPr="00207124">
        <w:t xml:space="preserve"> by the Chair of the informal meeting of representatives of the ECE MEAs and of the CEP. </w:t>
      </w:r>
      <w:r w:rsidR="00710311" w:rsidRPr="00207124">
        <w:t>Each of the MEA Chairs will be</w:t>
      </w:r>
      <w:r w:rsidR="00260E19" w:rsidRPr="00207124">
        <w:t xml:space="preserve"> then </w:t>
      </w:r>
      <w:r w:rsidR="00710311" w:rsidRPr="00207124">
        <w:t xml:space="preserve">invited in turn to speak on </w:t>
      </w:r>
      <w:r w:rsidR="001D4479">
        <w:t>up to</w:t>
      </w:r>
      <w:r w:rsidR="00D57E13" w:rsidRPr="00207124">
        <w:t xml:space="preserve"> three</w:t>
      </w:r>
      <w:r w:rsidR="00710311" w:rsidRPr="00207124">
        <w:t xml:space="preserve"> </w:t>
      </w:r>
      <w:r w:rsidR="00D06EF7" w:rsidRPr="00207124">
        <w:t xml:space="preserve">of the </w:t>
      </w:r>
      <w:r w:rsidR="000C1F4D">
        <w:t>above-</w:t>
      </w:r>
      <w:r w:rsidR="00D06EF7" w:rsidRPr="00207124">
        <w:t xml:space="preserve">listed </w:t>
      </w:r>
      <w:r w:rsidR="00995C14" w:rsidRPr="00207124">
        <w:t xml:space="preserve">topics </w:t>
      </w:r>
      <w:r w:rsidR="00710311" w:rsidRPr="00207124">
        <w:t xml:space="preserve">for two minutes. </w:t>
      </w:r>
      <w:r w:rsidR="00F14E3E">
        <w:t>The discussion will be moderated by the CEP Chair.</w:t>
      </w:r>
    </w:p>
    <w:p w:rsidR="00F069D6" w:rsidRPr="00207124" w:rsidRDefault="00A614BA" w:rsidP="00506382">
      <w:pPr>
        <w:pStyle w:val="SingleTxtG"/>
      </w:pPr>
      <w:r>
        <w:rPr>
          <w:rStyle w:val="tgc"/>
        </w:rPr>
        <w:t>7.</w:t>
      </w:r>
      <w:r>
        <w:rPr>
          <w:rStyle w:val="tgc"/>
        </w:rPr>
        <w:tab/>
      </w:r>
      <w:r w:rsidR="00260E19" w:rsidRPr="00207124">
        <w:t>All delegations</w:t>
      </w:r>
      <w:r w:rsidR="00D05733">
        <w:t>—</w:t>
      </w:r>
      <w:r w:rsidR="00260E19" w:rsidRPr="00207124">
        <w:t>including Governments and stakeholders—will have the opportunity to speak. They will be selected in random order and are invited to speak</w:t>
      </w:r>
      <w:r w:rsidR="004D5AF6" w:rsidRPr="00207124">
        <w:t>,</w:t>
      </w:r>
      <w:r w:rsidR="00260E19" w:rsidRPr="00207124">
        <w:t xml:space="preserve"> </w:t>
      </w:r>
      <w:r w:rsidR="004D5AF6" w:rsidRPr="00207124">
        <w:t xml:space="preserve">alternating with the MEA Chairs, </w:t>
      </w:r>
      <w:r w:rsidR="00260E19" w:rsidRPr="00207124">
        <w:t>during one minute on one of the topics listed</w:t>
      </w:r>
      <w:r w:rsidR="004D5AF6" w:rsidRPr="00207124">
        <w:t xml:space="preserve"> above</w:t>
      </w:r>
      <w:r w:rsidR="00260E19" w:rsidRPr="00207124">
        <w:t xml:space="preserve">. </w:t>
      </w:r>
      <w:r w:rsidR="00B90517" w:rsidRPr="00207124">
        <w:t xml:space="preserve">At the end, the CEP Chair will summarize the points raised and, as appropriate, present the outcomes. </w:t>
      </w:r>
    </w:p>
    <w:p w:rsidR="00D17E13" w:rsidRDefault="00F14E3E" w:rsidP="00506382">
      <w:pPr>
        <w:pStyle w:val="SingleTxtG"/>
      </w:pPr>
      <w:r>
        <w:rPr>
          <w:rStyle w:val="tgc"/>
        </w:rPr>
        <w:t>8</w:t>
      </w:r>
      <w:r w:rsidR="00A614BA">
        <w:rPr>
          <w:rStyle w:val="tgc"/>
        </w:rPr>
        <w:t>.</w:t>
      </w:r>
      <w:r w:rsidR="00A614BA">
        <w:rPr>
          <w:rStyle w:val="tgc"/>
        </w:rPr>
        <w:tab/>
      </w:r>
      <w:r w:rsidR="00F069D6">
        <w:t>T</w:t>
      </w:r>
      <w:r w:rsidR="004D5AF6" w:rsidRPr="00207124">
        <w:t xml:space="preserve">o trigger a reflection beforehand </w:t>
      </w:r>
      <w:r w:rsidR="00F069D6">
        <w:t xml:space="preserve">and to allow those, who </w:t>
      </w:r>
      <w:r w:rsidR="00A73259" w:rsidRPr="00207124">
        <w:t>will no</w:t>
      </w:r>
      <w:r w:rsidR="00F069D6">
        <w:t>t be able to attend the meeting</w:t>
      </w:r>
      <w:r w:rsidR="00394276">
        <w:t>,</w:t>
      </w:r>
      <w:r w:rsidR="009E7319">
        <w:t xml:space="preserve"> to share their views, Governments and stakeholders will be invited to respond to </w:t>
      </w:r>
      <w:r w:rsidR="00336C88">
        <w:t xml:space="preserve">an online survey </w:t>
      </w:r>
      <w:r w:rsidR="006C1D03">
        <w:t xml:space="preserve">on the </w:t>
      </w:r>
      <w:r w:rsidR="00C108A4">
        <w:t xml:space="preserve">related </w:t>
      </w:r>
      <w:r w:rsidR="006C1D03">
        <w:t xml:space="preserve">topics </w:t>
      </w:r>
      <w:r w:rsidR="009E7319">
        <w:t>prior to the meeting.</w:t>
      </w:r>
    </w:p>
    <w:p w:rsidR="006C1D03" w:rsidRPr="00207124" w:rsidRDefault="00D05733" w:rsidP="00D05733">
      <w:pPr>
        <w:pStyle w:val="SingleTxtG"/>
        <w:spacing w:before="240" w:after="0"/>
        <w:jc w:val="center"/>
      </w:pPr>
      <w:r>
        <w:rPr>
          <w:u w:val="single"/>
        </w:rPr>
        <w:tab/>
      </w:r>
      <w:r>
        <w:rPr>
          <w:u w:val="single"/>
        </w:rPr>
        <w:tab/>
      </w:r>
      <w:r>
        <w:rPr>
          <w:u w:val="single"/>
        </w:rPr>
        <w:tab/>
      </w:r>
    </w:p>
    <w:sectPr w:rsidR="006C1D03" w:rsidRPr="00207124" w:rsidSect="003A3A8B">
      <w:headerReference w:type="even" r:id="rId12"/>
      <w:headerReference w:type="defaul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416" w:rsidRDefault="00521416" w:rsidP="00521416">
      <w:pPr>
        <w:spacing w:line="240" w:lineRule="auto"/>
      </w:pPr>
      <w:r>
        <w:separator/>
      </w:r>
    </w:p>
  </w:endnote>
  <w:endnote w:type="continuationSeparator" w:id="0">
    <w:p w:rsidR="00521416" w:rsidRDefault="00521416" w:rsidP="00521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416" w:rsidRDefault="00521416" w:rsidP="00521416">
      <w:pPr>
        <w:spacing w:line="240" w:lineRule="auto"/>
      </w:pPr>
      <w:r>
        <w:separator/>
      </w:r>
    </w:p>
  </w:footnote>
  <w:footnote w:type="continuationSeparator" w:id="0">
    <w:p w:rsidR="00521416" w:rsidRDefault="00521416" w:rsidP="00521416">
      <w:pPr>
        <w:spacing w:line="240" w:lineRule="auto"/>
      </w:pPr>
      <w:r>
        <w:continuationSeparator/>
      </w:r>
    </w:p>
  </w:footnote>
  <w:footnote w:id="1">
    <w:p w:rsidR="00521416" w:rsidRPr="00736165" w:rsidRDefault="00D05733">
      <w:pPr>
        <w:pStyle w:val="FootnoteText"/>
        <w:rPr>
          <w:szCs w:val="18"/>
          <w:lang w:val="en-US"/>
        </w:rPr>
      </w:pPr>
      <w:r w:rsidRPr="00736165">
        <w:rPr>
          <w:szCs w:val="18"/>
        </w:rPr>
        <w:tab/>
      </w:r>
      <w:r w:rsidR="00521416" w:rsidRPr="00736165">
        <w:rPr>
          <w:rStyle w:val="FootnoteReference"/>
          <w:szCs w:val="18"/>
        </w:rPr>
        <w:footnoteRef/>
      </w:r>
      <w:r w:rsidR="00521416" w:rsidRPr="00736165">
        <w:rPr>
          <w:szCs w:val="18"/>
        </w:rPr>
        <w:t xml:space="preserve"> </w:t>
      </w:r>
      <w:r w:rsidRPr="00736165">
        <w:rPr>
          <w:szCs w:val="18"/>
        </w:rPr>
        <w:tab/>
      </w:r>
      <w:r w:rsidR="00521416" w:rsidRPr="00736165">
        <w:rPr>
          <w:szCs w:val="18"/>
          <w:lang w:val="en-US"/>
        </w:rPr>
        <w:t>This document was not formally edited</w:t>
      </w:r>
      <w:r w:rsidR="00DE2B08" w:rsidRPr="00736165">
        <w:rPr>
          <w:szCs w:val="18"/>
          <w:lang w:val="en-US"/>
        </w:rPr>
        <w:t>.</w:t>
      </w:r>
    </w:p>
  </w:footnote>
  <w:footnote w:id="2">
    <w:p w:rsidR="00096933" w:rsidRPr="00736165" w:rsidRDefault="00D05733">
      <w:pPr>
        <w:pStyle w:val="FootnoteText"/>
        <w:rPr>
          <w:szCs w:val="18"/>
        </w:rPr>
      </w:pPr>
      <w:r w:rsidRPr="00736165">
        <w:rPr>
          <w:szCs w:val="18"/>
        </w:rPr>
        <w:tab/>
      </w:r>
      <w:r w:rsidR="00096933" w:rsidRPr="00736165">
        <w:rPr>
          <w:rStyle w:val="FootnoteReference"/>
          <w:szCs w:val="18"/>
        </w:rPr>
        <w:footnoteRef/>
      </w:r>
      <w:r w:rsidR="00096933" w:rsidRPr="00736165">
        <w:rPr>
          <w:szCs w:val="18"/>
        </w:rPr>
        <w:t xml:space="preserve"> </w:t>
      </w:r>
      <w:r w:rsidRPr="00736165">
        <w:rPr>
          <w:szCs w:val="18"/>
        </w:rPr>
        <w:tab/>
      </w:r>
      <w:proofErr w:type="gramStart"/>
      <w:r w:rsidR="00096933" w:rsidRPr="00736165">
        <w:rPr>
          <w:szCs w:val="18"/>
        </w:rPr>
        <w:t>Available from https://sustainabledevelopment.un.org/post2015/transformingourworld</w:t>
      </w:r>
      <w:r w:rsidR="00DE2B08" w:rsidRPr="00736165">
        <w:rPr>
          <w:szCs w:val="18"/>
        </w:rPr>
        <w:t>.</w:t>
      </w:r>
      <w:proofErr w:type="gramEnd"/>
    </w:p>
  </w:footnote>
  <w:footnote w:id="3">
    <w:p w:rsidR="00736165" w:rsidRPr="00736165" w:rsidRDefault="00736165" w:rsidP="00736165">
      <w:pPr>
        <w:pStyle w:val="FootnoteText"/>
        <w:rPr>
          <w:szCs w:val="18"/>
          <w:lang w:val="en-US"/>
        </w:rPr>
      </w:pPr>
      <w:r w:rsidRPr="00736165">
        <w:rPr>
          <w:szCs w:val="18"/>
        </w:rPr>
        <w:tab/>
      </w:r>
      <w:r w:rsidRPr="00736165">
        <w:rPr>
          <w:rStyle w:val="FootnoteReference"/>
          <w:szCs w:val="18"/>
        </w:rPr>
        <w:footnoteRef/>
      </w:r>
      <w:r w:rsidRPr="00736165">
        <w:rPr>
          <w:szCs w:val="18"/>
        </w:rPr>
        <w:t xml:space="preserve"> </w:t>
      </w:r>
      <w:r w:rsidRPr="00736165">
        <w:rPr>
          <w:szCs w:val="18"/>
        </w:rPr>
        <w:tab/>
      </w:r>
      <w:proofErr w:type="gramStart"/>
      <w:r w:rsidRPr="00736165">
        <w:rPr>
          <w:szCs w:val="18"/>
          <w:lang w:val="en-US"/>
        </w:rPr>
        <w:t>Convention on Access to Information, Public Participation in Decision-making and Access to Justice in Environmental Matters (Aarhus Convention).</w:t>
      </w:r>
      <w:proofErr w:type="gramEnd"/>
    </w:p>
  </w:footnote>
  <w:footnote w:id="4">
    <w:p w:rsidR="00736165" w:rsidRPr="00736165" w:rsidRDefault="00736165" w:rsidP="00736165">
      <w:pPr>
        <w:pStyle w:val="FootnoteText"/>
        <w:rPr>
          <w:szCs w:val="18"/>
        </w:rPr>
      </w:pPr>
      <w:r w:rsidRPr="00736165">
        <w:rPr>
          <w:szCs w:val="18"/>
        </w:rPr>
        <w:tab/>
      </w:r>
      <w:r w:rsidRPr="00736165">
        <w:rPr>
          <w:szCs w:val="18"/>
          <w:vertAlign w:val="superscript"/>
        </w:rPr>
        <w:footnoteRef/>
      </w:r>
      <w:r w:rsidRPr="00736165">
        <w:rPr>
          <w:szCs w:val="18"/>
        </w:rPr>
        <w:t xml:space="preserve"> </w:t>
      </w:r>
      <w:r w:rsidRPr="00736165">
        <w:rPr>
          <w:szCs w:val="18"/>
        </w:rPr>
        <w:tab/>
      </w:r>
      <w:proofErr w:type="gramStart"/>
      <w:r w:rsidRPr="00736165">
        <w:rPr>
          <w:szCs w:val="18"/>
        </w:rPr>
        <w:t>Convention on Environmental Impact Assessment in a Transboundary Context (Espoo Convention).</w:t>
      </w:r>
      <w:proofErr w:type="gramEnd"/>
    </w:p>
  </w:footnote>
  <w:footnote w:id="5">
    <w:p w:rsidR="00736165" w:rsidRPr="00736165" w:rsidRDefault="00736165" w:rsidP="00736165">
      <w:pPr>
        <w:pStyle w:val="FootnoteText"/>
        <w:rPr>
          <w:szCs w:val="18"/>
        </w:rPr>
      </w:pPr>
      <w:r w:rsidRPr="00736165">
        <w:rPr>
          <w:szCs w:val="18"/>
        </w:rPr>
        <w:tab/>
      </w:r>
      <w:r w:rsidRPr="00736165">
        <w:rPr>
          <w:szCs w:val="18"/>
          <w:vertAlign w:val="superscript"/>
        </w:rPr>
        <w:footnoteRef/>
      </w:r>
      <w:r w:rsidRPr="00736165">
        <w:rPr>
          <w:szCs w:val="18"/>
        </w:rPr>
        <w:t xml:space="preserve"> </w:t>
      </w:r>
      <w:r w:rsidRPr="00736165">
        <w:rPr>
          <w:szCs w:val="18"/>
        </w:rPr>
        <w:tab/>
      </w:r>
      <w:proofErr w:type="gramStart"/>
      <w:r w:rsidRPr="00736165">
        <w:rPr>
          <w:szCs w:val="18"/>
        </w:rPr>
        <w:t>Protocol on Pollutant Release and Transfer Registers (Protocol on PRTRs) to the Aarhus Convention and the Protocol on Strategic Environmental Assessment (Protocol on SEA) to the Espoo Convention.</w:t>
      </w:r>
      <w:proofErr w:type="gramEnd"/>
    </w:p>
  </w:footnote>
  <w:footnote w:id="6">
    <w:p w:rsidR="00736165" w:rsidRPr="00736165" w:rsidRDefault="00736165" w:rsidP="00736165">
      <w:pPr>
        <w:pStyle w:val="FootnoteText"/>
        <w:rPr>
          <w:szCs w:val="18"/>
        </w:rPr>
      </w:pPr>
      <w:r w:rsidRPr="00736165">
        <w:rPr>
          <w:szCs w:val="18"/>
        </w:rPr>
        <w:tab/>
      </w:r>
      <w:r w:rsidRPr="00736165">
        <w:rPr>
          <w:szCs w:val="18"/>
          <w:vertAlign w:val="superscript"/>
        </w:rPr>
        <w:footnoteRef/>
      </w:r>
      <w:r w:rsidRPr="00736165">
        <w:rPr>
          <w:szCs w:val="18"/>
        </w:rPr>
        <w:t xml:space="preserve"> </w:t>
      </w:r>
      <w:r w:rsidRPr="00736165">
        <w:rPr>
          <w:szCs w:val="18"/>
        </w:rPr>
        <w:tab/>
      </w:r>
      <w:proofErr w:type="gramStart"/>
      <w:r w:rsidRPr="00736165">
        <w:rPr>
          <w:szCs w:val="18"/>
        </w:rPr>
        <w:t>Convention on the Transboundary Effects of Industrial Accidents (Industrial Accidents Convention).</w:t>
      </w:r>
      <w:proofErr w:type="gramEnd"/>
    </w:p>
  </w:footnote>
  <w:footnote w:id="7">
    <w:p w:rsidR="00736165" w:rsidRPr="00736165" w:rsidRDefault="00736165" w:rsidP="00736165">
      <w:pPr>
        <w:pStyle w:val="FootnoteText"/>
        <w:rPr>
          <w:szCs w:val="18"/>
        </w:rPr>
      </w:pPr>
      <w:r w:rsidRPr="00736165">
        <w:rPr>
          <w:szCs w:val="18"/>
        </w:rPr>
        <w:tab/>
      </w:r>
      <w:r w:rsidRPr="00736165">
        <w:rPr>
          <w:szCs w:val="18"/>
          <w:vertAlign w:val="superscript"/>
        </w:rPr>
        <w:footnoteRef/>
      </w:r>
      <w:r w:rsidRPr="00736165">
        <w:rPr>
          <w:szCs w:val="18"/>
        </w:rPr>
        <w:t xml:space="preserve"> </w:t>
      </w:r>
      <w:r w:rsidRPr="00736165">
        <w:rPr>
          <w:szCs w:val="18"/>
        </w:rPr>
        <w:tab/>
      </w:r>
      <w:proofErr w:type="gramStart"/>
      <w:r w:rsidRPr="00736165">
        <w:rPr>
          <w:szCs w:val="18"/>
        </w:rPr>
        <w:t>Convention on the Protection and Use of Transboundary Watercourses and International Lakes (Water Convention).</w:t>
      </w:r>
      <w:proofErr w:type="gramEnd"/>
    </w:p>
  </w:footnote>
  <w:footnote w:id="8">
    <w:p w:rsidR="00736165" w:rsidRPr="00736165" w:rsidRDefault="00736165" w:rsidP="00736165">
      <w:pPr>
        <w:pStyle w:val="FootnoteText"/>
        <w:rPr>
          <w:szCs w:val="18"/>
        </w:rPr>
      </w:pPr>
      <w:r w:rsidRPr="00736165">
        <w:rPr>
          <w:szCs w:val="18"/>
        </w:rPr>
        <w:tab/>
      </w:r>
      <w:r w:rsidRPr="00736165">
        <w:rPr>
          <w:szCs w:val="18"/>
          <w:vertAlign w:val="superscript"/>
        </w:rPr>
        <w:footnoteRef/>
      </w:r>
      <w:r w:rsidRPr="00736165">
        <w:rPr>
          <w:szCs w:val="18"/>
        </w:rPr>
        <w:t xml:space="preserve"> </w:t>
      </w:r>
      <w:r w:rsidRPr="00736165">
        <w:rPr>
          <w:szCs w:val="18"/>
        </w:rPr>
        <w:tab/>
      </w:r>
      <w:proofErr w:type="gramStart"/>
      <w:r w:rsidRPr="00736165">
        <w:rPr>
          <w:szCs w:val="18"/>
        </w:rPr>
        <w:t>Protocol on Water and Health to the Water Convention.</w:t>
      </w:r>
      <w:proofErr w:type="gramEnd"/>
    </w:p>
  </w:footnote>
  <w:footnote w:id="9">
    <w:p w:rsidR="00736165" w:rsidRPr="00E86E00" w:rsidRDefault="00736165" w:rsidP="00736165">
      <w:pPr>
        <w:pStyle w:val="FootnoteText"/>
        <w:rPr>
          <w:sz w:val="16"/>
          <w:szCs w:val="16"/>
        </w:rPr>
      </w:pPr>
      <w:r w:rsidRPr="00736165">
        <w:rPr>
          <w:szCs w:val="18"/>
        </w:rPr>
        <w:tab/>
      </w:r>
      <w:r w:rsidRPr="00736165">
        <w:rPr>
          <w:szCs w:val="18"/>
          <w:vertAlign w:val="superscript"/>
        </w:rPr>
        <w:footnoteRef/>
      </w:r>
      <w:r w:rsidRPr="00736165">
        <w:rPr>
          <w:szCs w:val="18"/>
        </w:rPr>
        <w:t xml:space="preserve"> </w:t>
      </w:r>
      <w:r w:rsidRPr="00736165">
        <w:rPr>
          <w:szCs w:val="18"/>
        </w:rPr>
        <w:tab/>
      </w:r>
      <w:proofErr w:type="gramStart"/>
      <w:r w:rsidRPr="00736165">
        <w:rPr>
          <w:szCs w:val="18"/>
        </w:rPr>
        <w:t>Convention on Long-range Transboundary Air Pollution (Air Convention).</w:t>
      </w:r>
      <w:proofErr w:type="gramEnd"/>
    </w:p>
  </w:footnote>
  <w:footnote w:id="10">
    <w:p w:rsidR="00096933" w:rsidRPr="00736165" w:rsidRDefault="00D05733">
      <w:pPr>
        <w:pStyle w:val="FootnoteText"/>
        <w:rPr>
          <w:szCs w:val="18"/>
        </w:rPr>
      </w:pPr>
      <w:r w:rsidRPr="00736165">
        <w:rPr>
          <w:szCs w:val="18"/>
        </w:rPr>
        <w:tab/>
      </w:r>
      <w:r w:rsidR="00096933" w:rsidRPr="00736165">
        <w:rPr>
          <w:szCs w:val="18"/>
          <w:vertAlign w:val="superscript"/>
        </w:rPr>
        <w:footnoteRef/>
      </w:r>
      <w:r w:rsidR="00096933" w:rsidRPr="00736165">
        <w:rPr>
          <w:szCs w:val="18"/>
        </w:rPr>
        <w:t xml:space="preserve"> </w:t>
      </w:r>
      <w:r w:rsidRPr="00736165">
        <w:rPr>
          <w:szCs w:val="18"/>
        </w:rPr>
        <w:tab/>
      </w:r>
      <w:proofErr w:type="gramStart"/>
      <w:r w:rsidR="00096933" w:rsidRPr="00736165">
        <w:rPr>
          <w:szCs w:val="18"/>
        </w:rPr>
        <w:t>Available from www.wcdrr.org/preparatory/post2015</w:t>
      </w:r>
      <w:r w:rsidR="00506382" w:rsidRPr="00736165">
        <w:rPr>
          <w:szCs w:val="18"/>
        </w:rPr>
        <w:t>.</w:t>
      </w:r>
      <w:proofErr w:type="gramEnd"/>
    </w:p>
  </w:footnote>
  <w:footnote w:id="11">
    <w:p w:rsidR="00096933" w:rsidRPr="00506382" w:rsidRDefault="00D05733">
      <w:pPr>
        <w:pStyle w:val="FootnoteText"/>
        <w:rPr>
          <w:sz w:val="20"/>
        </w:rPr>
      </w:pPr>
      <w:r w:rsidRPr="00736165">
        <w:rPr>
          <w:szCs w:val="18"/>
        </w:rPr>
        <w:tab/>
      </w:r>
      <w:r w:rsidR="00096933" w:rsidRPr="00736165">
        <w:rPr>
          <w:szCs w:val="18"/>
          <w:vertAlign w:val="superscript"/>
        </w:rPr>
        <w:footnoteRef/>
      </w:r>
      <w:r w:rsidR="00096933" w:rsidRPr="00736165">
        <w:rPr>
          <w:szCs w:val="18"/>
        </w:rPr>
        <w:t xml:space="preserve"> </w:t>
      </w:r>
      <w:r w:rsidRPr="00736165">
        <w:rPr>
          <w:szCs w:val="18"/>
        </w:rPr>
        <w:tab/>
      </w:r>
      <w:proofErr w:type="gramStart"/>
      <w:r w:rsidR="00096933" w:rsidRPr="00736165">
        <w:rPr>
          <w:szCs w:val="18"/>
        </w:rPr>
        <w:t>Available from www.un.org/esa/ffd/ffd3/</w:t>
      </w:r>
      <w:r w:rsidR="00506382" w:rsidRPr="00736165">
        <w:rPr>
          <w:szCs w:val="18"/>
        </w:rPr>
        <w:t>.</w:t>
      </w:r>
      <w:proofErr w:type="gramEnd"/>
    </w:p>
  </w:footnote>
  <w:footnote w:id="12">
    <w:p w:rsidR="00096933" w:rsidRPr="00736165" w:rsidRDefault="00D05733">
      <w:pPr>
        <w:pStyle w:val="FootnoteText"/>
        <w:rPr>
          <w:szCs w:val="18"/>
        </w:rPr>
      </w:pPr>
      <w:r w:rsidRPr="00736165">
        <w:rPr>
          <w:szCs w:val="18"/>
        </w:rPr>
        <w:tab/>
      </w:r>
      <w:r w:rsidR="00096933" w:rsidRPr="00736165">
        <w:rPr>
          <w:szCs w:val="18"/>
          <w:vertAlign w:val="superscript"/>
        </w:rPr>
        <w:footnoteRef/>
      </w:r>
      <w:r w:rsidR="00096933" w:rsidRPr="00736165">
        <w:rPr>
          <w:szCs w:val="18"/>
        </w:rPr>
        <w:t xml:space="preserve"> </w:t>
      </w:r>
      <w:r w:rsidRPr="00736165">
        <w:rPr>
          <w:szCs w:val="18"/>
        </w:rPr>
        <w:tab/>
      </w:r>
      <w:r w:rsidR="00096933" w:rsidRPr="00736165">
        <w:rPr>
          <w:szCs w:val="18"/>
        </w:rPr>
        <w:t>See http://unfccc.int/meetings/paris_nov_2015/meeting/8926.php</w:t>
      </w:r>
      <w:r w:rsidR="00506382" w:rsidRPr="00736165">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8B" w:rsidRDefault="003A3A8B" w:rsidP="00571E29">
    <w:pPr>
      <w:pStyle w:val="Header"/>
      <w:rPr>
        <w:b w:val="0"/>
        <w:sz w:val="20"/>
      </w:rPr>
    </w:pPr>
    <w:r>
      <w:rPr>
        <w:b w:val="0"/>
        <w:sz w:val="20"/>
      </w:rPr>
      <w:t>Information paper no. 10</w:t>
    </w:r>
  </w:p>
  <w:p w:rsidR="003A3A8B" w:rsidRDefault="003A3A8B" w:rsidP="00571E29">
    <w:pPr>
      <w:pStyle w:val="Header"/>
      <w:spacing w:after="120"/>
    </w:pPr>
    <w:r>
      <w:rPr>
        <w:b w:val="0"/>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0143AA">
      <w:rPr>
        <w:rStyle w:val="PageNumber"/>
        <w:noProof/>
        <w:sz w:val="20"/>
      </w:rPr>
      <w:t>2</w:t>
    </w:r>
    <w:r>
      <w:rPr>
        <w:rStyle w:val="PageNumbe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8B" w:rsidRDefault="003A3A8B" w:rsidP="003A3A8B">
    <w:pPr>
      <w:pStyle w:val="Header"/>
      <w:rPr>
        <w:b w:val="0"/>
        <w:sz w:val="20"/>
      </w:rPr>
    </w:pPr>
    <w:r>
      <w:rPr>
        <w:b w:val="0"/>
        <w:sz w:val="20"/>
      </w:rPr>
      <w:t>Information paper no. 10</w:t>
    </w:r>
  </w:p>
  <w:p w:rsidR="00571E29" w:rsidRPr="00571E29" w:rsidRDefault="003A3A8B" w:rsidP="00571E29">
    <w:pPr>
      <w:pStyle w:val="Header"/>
      <w:spacing w:after="120"/>
      <w:rPr>
        <w:b w:val="0"/>
        <w:sz w:val="20"/>
      </w:rPr>
    </w:pPr>
    <w:r>
      <w:rPr>
        <w:b w:val="0"/>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027A57">
      <w:rPr>
        <w:rStyle w:val="PageNumber"/>
        <w:noProof/>
        <w:sz w:val="20"/>
      </w:rPr>
      <w:t>3</w:t>
    </w:r>
    <w:r>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4054"/>
    <w:multiLevelType w:val="hybridMultilevel"/>
    <w:tmpl w:val="95DCB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766652"/>
    <w:multiLevelType w:val="hybridMultilevel"/>
    <w:tmpl w:val="3DAC3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A49B4"/>
    <w:multiLevelType w:val="hybridMultilevel"/>
    <w:tmpl w:val="809A32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46F8565E"/>
    <w:multiLevelType w:val="hybridMultilevel"/>
    <w:tmpl w:val="40928DAA"/>
    <w:lvl w:ilvl="0" w:tplc="3C58763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06FB6"/>
    <w:multiLevelType w:val="hybridMultilevel"/>
    <w:tmpl w:val="A9E0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25DC1"/>
    <w:multiLevelType w:val="hybridMultilevel"/>
    <w:tmpl w:val="AF840608"/>
    <w:lvl w:ilvl="0" w:tplc="8C4849AC">
      <w:start w:val="1"/>
      <w:numFmt w:val="bullet"/>
      <w:pStyle w:val="Bullet1G"/>
      <w:lvlText w:val="•"/>
      <w:lvlJc w:val="left"/>
      <w:pPr>
        <w:tabs>
          <w:tab w:val="num" w:pos="890"/>
        </w:tabs>
        <w:ind w:left="890" w:hanging="170"/>
      </w:pPr>
      <w:rPr>
        <w:rFonts w:ascii="Times New Roman" w:hAnsi="Times New Roman" w:cs="Times New Roman" w:hint="default"/>
        <w:b w:val="0"/>
        <w:i w:val="0"/>
        <w:sz w:val="20"/>
      </w:rPr>
    </w:lvl>
    <w:lvl w:ilvl="1" w:tplc="040C0003" w:tentative="1">
      <w:start w:val="1"/>
      <w:numFmt w:val="bullet"/>
      <w:lvlText w:val="o"/>
      <w:lvlJc w:val="left"/>
      <w:pPr>
        <w:tabs>
          <w:tab w:val="num" w:pos="629"/>
        </w:tabs>
        <w:ind w:left="629" w:hanging="360"/>
      </w:pPr>
      <w:rPr>
        <w:rFonts w:ascii="Courier New" w:hAnsi="Courier New" w:cs="Courier New" w:hint="default"/>
      </w:rPr>
    </w:lvl>
    <w:lvl w:ilvl="2" w:tplc="040C0005" w:tentative="1">
      <w:start w:val="1"/>
      <w:numFmt w:val="bullet"/>
      <w:lvlText w:val=""/>
      <w:lvlJc w:val="left"/>
      <w:pPr>
        <w:tabs>
          <w:tab w:val="num" w:pos="1349"/>
        </w:tabs>
        <w:ind w:left="1349" w:hanging="360"/>
      </w:pPr>
      <w:rPr>
        <w:rFonts w:ascii="Wingdings" w:hAnsi="Wingdings" w:hint="default"/>
      </w:rPr>
    </w:lvl>
    <w:lvl w:ilvl="3" w:tplc="040C0001" w:tentative="1">
      <w:start w:val="1"/>
      <w:numFmt w:val="bullet"/>
      <w:lvlText w:val=""/>
      <w:lvlJc w:val="left"/>
      <w:pPr>
        <w:tabs>
          <w:tab w:val="num" w:pos="2069"/>
        </w:tabs>
        <w:ind w:left="2069" w:hanging="360"/>
      </w:pPr>
      <w:rPr>
        <w:rFonts w:ascii="Symbol" w:hAnsi="Symbol" w:hint="default"/>
      </w:rPr>
    </w:lvl>
    <w:lvl w:ilvl="4" w:tplc="040C0003" w:tentative="1">
      <w:start w:val="1"/>
      <w:numFmt w:val="bullet"/>
      <w:lvlText w:val="o"/>
      <w:lvlJc w:val="left"/>
      <w:pPr>
        <w:tabs>
          <w:tab w:val="num" w:pos="2789"/>
        </w:tabs>
        <w:ind w:left="2789" w:hanging="360"/>
      </w:pPr>
      <w:rPr>
        <w:rFonts w:ascii="Courier New" w:hAnsi="Courier New" w:cs="Courier New" w:hint="default"/>
      </w:rPr>
    </w:lvl>
    <w:lvl w:ilvl="5" w:tplc="040C0005" w:tentative="1">
      <w:start w:val="1"/>
      <w:numFmt w:val="bullet"/>
      <w:lvlText w:val=""/>
      <w:lvlJc w:val="left"/>
      <w:pPr>
        <w:tabs>
          <w:tab w:val="num" w:pos="3509"/>
        </w:tabs>
        <w:ind w:left="3509" w:hanging="360"/>
      </w:pPr>
      <w:rPr>
        <w:rFonts w:ascii="Wingdings" w:hAnsi="Wingdings" w:hint="default"/>
      </w:rPr>
    </w:lvl>
    <w:lvl w:ilvl="6" w:tplc="040C0001" w:tentative="1">
      <w:start w:val="1"/>
      <w:numFmt w:val="bullet"/>
      <w:lvlText w:val=""/>
      <w:lvlJc w:val="left"/>
      <w:pPr>
        <w:tabs>
          <w:tab w:val="num" w:pos="4229"/>
        </w:tabs>
        <w:ind w:left="4229" w:hanging="360"/>
      </w:pPr>
      <w:rPr>
        <w:rFonts w:ascii="Symbol" w:hAnsi="Symbol" w:hint="default"/>
      </w:rPr>
    </w:lvl>
    <w:lvl w:ilvl="7" w:tplc="040C0003" w:tentative="1">
      <w:start w:val="1"/>
      <w:numFmt w:val="bullet"/>
      <w:lvlText w:val="o"/>
      <w:lvlJc w:val="left"/>
      <w:pPr>
        <w:tabs>
          <w:tab w:val="num" w:pos="4949"/>
        </w:tabs>
        <w:ind w:left="4949" w:hanging="360"/>
      </w:pPr>
      <w:rPr>
        <w:rFonts w:ascii="Courier New" w:hAnsi="Courier New" w:cs="Courier New" w:hint="default"/>
      </w:rPr>
    </w:lvl>
    <w:lvl w:ilvl="8" w:tplc="040C0005" w:tentative="1">
      <w:start w:val="1"/>
      <w:numFmt w:val="bullet"/>
      <w:lvlText w:val=""/>
      <w:lvlJc w:val="left"/>
      <w:pPr>
        <w:tabs>
          <w:tab w:val="num" w:pos="5669"/>
        </w:tabs>
        <w:ind w:left="5669" w:hanging="360"/>
      </w:pPr>
      <w:rPr>
        <w:rFonts w:ascii="Wingdings" w:hAnsi="Wingdings" w:hint="default"/>
      </w:rPr>
    </w:lvl>
  </w:abstractNum>
  <w:abstractNum w:abstractNumId="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E670BBE"/>
    <w:multiLevelType w:val="hybridMultilevel"/>
    <w:tmpl w:val="FC86532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0"/>
  </w:num>
  <w:num w:numId="5">
    <w:abstractNumId w:val="7"/>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84"/>
    <w:rsid w:val="000143AA"/>
    <w:rsid w:val="00021834"/>
    <w:rsid w:val="00027A57"/>
    <w:rsid w:val="000622E4"/>
    <w:rsid w:val="000811AA"/>
    <w:rsid w:val="00081546"/>
    <w:rsid w:val="000918BE"/>
    <w:rsid w:val="00096933"/>
    <w:rsid w:val="000C1F4D"/>
    <w:rsid w:val="000C2C2D"/>
    <w:rsid w:val="000D5089"/>
    <w:rsid w:val="000D69F1"/>
    <w:rsid w:val="000E73C6"/>
    <w:rsid w:val="000F4A39"/>
    <w:rsid w:val="0015551D"/>
    <w:rsid w:val="001903FE"/>
    <w:rsid w:val="00190C62"/>
    <w:rsid w:val="00193A21"/>
    <w:rsid w:val="001C61DE"/>
    <w:rsid w:val="001D4003"/>
    <w:rsid w:val="001D4479"/>
    <w:rsid w:val="00200B44"/>
    <w:rsid w:val="00207124"/>
    <w:rsid w:val="00230E2D"/>
    <w:rsid w:val="00231907"/>
    <w:rsid w:val="0024109E"/>
    <w:rsid w:val="00260E19"/>
    <w:rsid w:val="0026227B"/>
    <w:rsid w:val="00297DA2"/>
    <w:rsid w:val="002C5BED"/>
    <w:rsid w:val="002E41CD"/>
    <w:rsid w:val="002E630E"/>
    <w:rsid w:val="002E694D"/>
    <w:rsid w:val="002F4CFC"/>
    <w:rsid w:val="00303776"/>
    <w:rsid w:val="00336C88"/>
    <w:rsid w:val="00351986"/>
    <w:rsid w:val="00394276"/>
    <w:rsid w:val="003A3A8B"/>
    <w:rsid w:val="003C10B9"/>
    <w:rsid w:val="003D1D3D"/>
    <w:rsid w:val="003D5C38"/>
    <w:rsid w:val="00450E22"/>
    <w:rsid w:val="00452ACD"/>
    <w:rsid w:val="00456629"/>
    <w:rsid w:val="00461420"/>
    <w:rsid w:val="004A3A47"/>
    <w:rsid w:val="004A7FB2"/>
    <w:rsid w:val="004B230D"/>
    <w:rsid w:val="004B322E"/>
    <w:rsid w:val="004B590B"/>
    <w:rsid w:val="004B5A77"/>
    <w:rsid w:val="004C23E3"/>
    <w:rsid w:val="004C4D36"/>
    <w:rsid w:val="004C7958"/>
    <w:rsid w:val="004D438E"/>
    <w:rsid w:val="004D5AF6"/>
    <w:rsid w:val="005002DF"/>
    <w:rsid w:val="00506382"/>
    <w:rsid w:val="005122AF"/>
    <w:rsid w:val="00517CBB"/>
    <w:rsid w:val="00521416"/>
    <w:rsid w:val="00552A63"/>
    <w:rsid w:val="00560E89"/>
    <w:rsid w:val="00571E29"/>
    <w:rsid w:val="00577C1B"/>
    <w:rsid w:val="005966FD"/>
    <w:rsid w:val="005A7DF2"/>
    <w:rsid w:val="005B2661"/>
    <w:rsid w:val="005B5454"/>
    <w:rsid w:val="005D4503"/>
    <w:rsid w:val="005F5BD2"/>
    <w:rsid w:val="00612F67"/>
    <w:rsid w:val="006153A6"/>
    <w:rsid w:val="00636CA8"/>
    <w:rsid w:val="00654D60"/>
    <w:rsid w:val="00662839"/>
    <w:rsid w:val="00674859"/>
    <w:rsid w:val="00696C63"/>
    <w:rsid w:val="006A1977"/>
    <w:rsid w:val="006A41A3"/>
    <w:rsid w:val="006C1D03"/>
    <w:rsid w:val="006C4D75"/>
    <w:rsid w:val="006D53B9"/>
    <w:rsid w:val="006E4B2B"/>
    <w:rsid w:val="00702484"/>
    <w:rsid w:val="00710311"/>
    <w:rsid w:val="007127DB"/>
    <w:rsid w:val="00730354"/>
    <w:rsid w:val="00730DB2"/>
    <w:rsid w:val="00733472"/>
    <w:rsid w:val="00736165"/>
    <w:rsid w:val="007377E8"/>
    <w:rsid w:val="0077151F"/>
    <w:rsid w:val="007921B2"/>
    <w:rsid w:val="007A520F"/>
    <w:rsid w:val="007E1DAB"/>
    <w:rsid w:val="00800D95"/>
    <w:rsid w:val="0083493D"/>
    <w:rsid w:val="00870B64"/>
    <w:rsid w:val="0088679E"/>
    <w:rsid w:val="008B7574"/>
    <w:rsid w:val="008C79BD"/>
    <w:rsid w:val="008D11C2"/>
    <w:rsid w:val="00906E0A"/>
    <w:rsid w:val="00916A18"/>
    <w:rsid w:val="00920F1B"/>
    <w:rsid w:val="00927A9B"/>
    <w:rsid w:val="00927E81"/>
    <w:rsid w:val="00930F93"/>
    <w:rsid w:val="00956CBD"/>
    <w:rsid w:val="00966D47"/>
    <w:rsid w:val="009679D7"/>
    <w:rsid w:val="00995C14"/>
    <w:rsid w:val="009B00FF"/>
    <w:rsid w:val="009C46A8"/>
    <w:rsid w:val="009E7319"/>
    <w:rsid w:val="009F0868"/>
    <w:rsid w:val="00A10ABD"/>
    <w:rsid w:val="00A52794"/>
    <w:rsid w:val="00A614BA"/>
    <w:rsid w:val="00A66E7D"/>
    <w:rsid w:val="00A73259"/>
    <w:rsid w:val="00A96502"/>
    <w:rsid w:val="00AE6376"/>
    <w:rsid w:val="00AE6B28"/>
    <w:rsid w:val="00B04ED9"/>
    <w:rsid w:val="00B145E7"/>
    <w:rsid w:val="00B63287"/>
    <w:rsid w:val="00B90517"/>
    <w:rsid w:val="00B93DD4"/>
    <w:rsid w:val="00B94237"/>
    <w:rsid w:val="00B9443E"/>
    <w:rsid w:val="00BA59A7"/>
    <w:rsid w:val="00BA610A"/>
    <w:rsid w:val="00BE5FA2"/>
    <w:rsid w:val="00C108A4"/>
    <w:rsid w:val="00C471B3"/>
    <w:rsid w:val="00C477A8"/>
    <w:rsid w:val="00C65283"/>
    <w:rsid w:val="00CA4DB1"/>
    <w:rsid w:val="00CA66A1"/>
    <w:rsid w:val="00CB6794"/>
    <w:rsid w:val="00CD7164"/>
    <w:rsid w:val="00D05733"/>
    <w:rsid w:val="00D06EF7"/>
    <w:rsid w:val="00D07B87"/>
    <w:rsid w:val="00D17E13"/>
    <w:rsid w:val="00D57E13"/>
    <w:rsid w:val="00D76FD3"/>
    <w:rsid w:val="00DB1991"/>
    <w:rsid w:val="00DD396E"/>
    <w:rsid w:val="00DD39A5"/>
    <w:rsid w:val="00DE0BD4"/>
    <w:rsid w:val="00DE2B08"/>
    <w:rsid w:val="00DE4B22"/>
    <w:rsid w:val="00DE559F"/>
    <w:rsid w:val="00E123F4"/>
    <w:rsid w:val="00E3061A"/>
    <w:rsid w:val="00E338AB"/>
    <w:rsid w:val="00E647E0"/>
    <w:rsid w:val="00E67DBC"/>
    <w:rsid w:val="00E71E5B"/>
    <w:rsid w:val="00E86AB4"/>
    <w:rsid w:val="00E86E00"/>
    <w:rsid w:val="00E94B28"/>
    <w:rsid w:val="00EB6126"/>
    <w:rsid w:val="00EC58E5"/>
    <w:rsid w:val="00ED2E30"/>
    <w:rsid w:val="00EE3DE1"/>
    <w:rsid w:val="00F069D6"/>
    <w:rsid w:val="00F137A7"/>
    <w:rsid w:val="00F14E3E"/>
    <w:rsid w:val="00FB6101"/>
    <w:rsid w:val="00FC43E6"/>
    <w:rsid w:val="00FC50D1"/>
    <w:rsid w:val="00FD525E"/>
    <w:rsid w:val="00FE1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17) EPR Header,17 EPR Header"/>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17) EPR Header Char,17 EPR Header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styleId="CommentReference">
    <w:name w:val="annotation reference"/>
    <w:basedOn w:val="DefaultParagraphFont"/>
    <w:uiPriority w:val="99"/>
    <w:semiHidden/>
    <w:unhideWhenUsed/>
    <w:rsid w:val="00710311"/>
    <w:rPr>
      <w:sz w:val="16"/>
      <w:szCs w:val="16"/>
    </w:rPr>
  </w:style>
  <w:style w:type="paragraph" w:styleId="CommentText">
    <w:name w:val="annotation text"/>
    <w:basedOn w:val="Normal"/>
    <w:link w:val="CommentTextChar"/>
    <w:uiPriority w:val="99"/>
    <w:semiHidden/>
    <w:unhideWhenUsed/>
    <w:rsid w:val="00710311"/>
    <w:pPr>
      <w:spacing w:line="240" w:lineRule="auto"/>
    </w:pPr>
  </w:style>
  <w:style w:type="character" w:customStyle="1" w:styleId="CommentTextChar">
    <w:name w:val="Comment Text Char"/>
    <w:basedOn w:val="DefaultParagraphFont"/>
    <w:link w:val="CommentText"/>
    <w:uiPriority w:val="99"/>
    <w:semiHidden/>
    <w:rsid w:val="00710311"/>
  </w:style>
  <w:style w:type="paragraph" w:styleId="CommentSubject">
    <w:name w:val="annotation subject"/>
    <w:basedOn w:val="CommentText"/>
    <w:next w:val="CommentText"/>
    <w:link w:val="CommentSubjectChar"/>
    <w:uiPriority w:val="99"/>
    <w:semiHidden/>
    <w:unhideWhenUsed/>
    <w:rsid w:val="00710311"/>
    <w:rPr>
      <w:b/>
      <w:bCs/>
    </w:rPr>
  </w:style>
  <w:style w:type="character" w:customStyle="1" w:styleId="CommentSubjectChar">
    <w:name w:val="Comment Subject Char"/>
    <w:basedOn w:val="CommentTextChar"/>
    <w:link w:val="CommentSubject"/>
    <w:uiPriority w:val="99"/>
    <w:semiHidden/>
    <w:rsid w:val="00710311"/>
    <w:rPr>
      <w:b/>
      <w:bCs/>
    </w:rPr>
  </w:style>
  <w:style w:type="paragraph" w:styleId="BalloonText">
    <w:name w:val="Balloon Text"/>
    <w:basedOn w:val="Normal"/>
    <w:link w:val="BalloonTextChar"/>
    <w:uiPriority w:val="99"/>
    <w:semiHidden/>
    <w:unhideWhenUsed/>
    <w:rsid w:val="007103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311"/>
    <w:rPr>
      <w:rFonts w:ascii="Tahoma" w:hAnsi="Tahoma" w:cs="Tahoma"/>
      <w:sz w:val="16"/>
      <w:szCs w:val="16"/>
    </w:rPr>
  </w:style>
  <w:style w:type="table" w:styleId="TableGrid">
    <w:name w:val="Table Grid"/>
    <w:basedOn w:val="TableNormal"/>
    <w:uiPriority w:val="59"/>
    <w:rsid w:val="00D17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630E"/>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9F0868"/>
    <w:pPr>
      <w:ind w:left="720"/>
      <w:contextualSpacing/>
    </w:pPr>
  </w:style>
  <w:style w:type="character" w:customStyle="1" w:styleId="tgc">
    <w:name w:val="_tgc"/>
    <w:basedOn w:val="DefaultParagraphFont"/>
    <w:rsid w:val="006153A6"/>
  </w:style>
  <w:style w:type="paragraph" w:styleId="BodyText2">
    <w:name w:val="Body Text 2"/>
    <w:basedOn w:val="Normal"/>
    <w:link w:val="BodyText2Char"/>
    <w:rsid w:val="007921B2"/>
    <w:pPr>
      <w:suppressAutoHyphens w:val="0"/>
      <w:spacing w:after="120" w:line="480" w:lineRule="auto"/>
    </w:pPr>
    <w:rPr>
      <w:sz w:val="24"/>
      <w:szCs w:val="24"/>
      <w:lang w:val="en-US"/>
    </w:rPr>
  </w:style>
  <w:style w:type="character" w:customStyle="1" w:styleId="BodyText2Char">
    <w:name w:val="Body Text 2 Char"/>
    <w:basedOn w:val="DefaultParagraphFont"/>
    <w:link w:val="BodyText2"/>
    <w:rsid w:val="007921B2"/>
    <w:rPr>
      <w:sz w:val="24"/>
      <w:szCs w:val="24"/>
      <w:lang w:val="en-US"/>
    </w:rPr>
  </w:style>
  <w:style w:type="character" w:customStyle="1" w:styleId="SingleTxtGChar">
    <w:name w:val="_ Single Txt_G Char"/>
    <w:link w:val="SingleTxtG"/>
    <w:rsid w:val="00B94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17) EPR Header,17 EPR Header"/>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17) EPR Header Char,17 EPR Header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styleId="CommentReference">
    <w:name w:val="annotation reference"/>
    <w:basedOn w:val="DefaultParagraphFont"/>
    <w:uiPriority w:val="99"/>
    <w:semiHidden/>
    <w:unhideWhenUsed/>
    <w:rsid w:val="00710311"/>
    <w:rPr>
      <w:sz w:val="16"/>
      <w:szCs w:val="16"/>
    </w:rPr>
  </w:style>
  <w:style w:type="paragraph" w:styleId="CommentText">
    <w:name w:val="annotation text"/>
    <w:basedOn w:val="Normal"/>
    <w:link w:val="CommentTextChar"/>
    <w:uiPriority w:val="99"/>
    <w:semiHidden/>
    <w:unhideWhenUsed/>
    <w:rsid w:val="00710311"/>
    <w:pPr>
      <w:spacing w:line="240" w:lineRule="auto"/>
    </w:pPr>
  </w:style>
  <w:style w:type="character" w:customStyle="1" w:styleId="CommentTextChar">
    <w:name w:val="Comment Text Char"/>
    <w:basedOn w:val="DefaultParagraphFont"/>
    <w:link w:val="CommentText"/>
    <w:uiPriority w:val="99"/>
    <w:semiHidden/>
    <w:rsid w:val="00710311"/>
  </w:style>
  <w:style w:type="paragraph" w:styleId="CommentSubject">
    <w:name w:val="annotation subject"/>
    <w:basedOn w:val="CommentText"/>
    <w:next w:val="CommentText"/>
    <w:link w:val="CommentSubjectChar"/>
    <w:uiPriority w:val="99"/>
    <w:semiHidden/>
    <w:unhideWhenUsed/>
    <w:rsid w:val="00710311"/>
    <w:rPr>
      <w:b/>
      <w:bCs/>
    </w:rPr>
  </w:style>
  <w:style w:type="character" w:customStyle="1" w:styleId="CommentSubjectChar">
    <w:name w:val="Comment Subject Char"/>
    <w:basedOn w:val="CommentTextChar"/>
    <w:link w:val="CommentSubject"/>
    <w:uiPriority w:val="99"/>
    <w:semiHidden/>
    <w:rsid w:val="00710311"/>
    <w:rPr>
      <w:b/>
      <w:bCs/>
    </w:rPr>
  </w:style>
  <w:style w:type="paragraph" w:styleId="BalloonText">
    <w:name w:val="Balloon Text"/>
    <w:basedOn w:val="Normal"/>
    <w:link w:val="BalloonTextChar"/>
    <w:uiPriority w:val="99"/>
    <w:semiHidden/>
    <w:unhideWhenUsed/>
    <w:rsid w:val="007103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311"/>
    <w:rPr>
      <w:rFonts w:ascii="Tahoma" w:hAnsi="Tahoma" w:cs="Tahoma"/>
      <w:sz w:val="16"/>
      <w:szCs w:val="16"/>
    </w:rPr>
  </w:style>
  <w:style w:type="table" w:styleId="TableGrid">
    <w:name w:val="Table Grid"/>
    <w:basedOn w:val="TableNormal"/>
    <w:uiPriority w:val="59"/>
    <w:rsid w:val="00D17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630E"/>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9F0868"/>
    <w:pPr>
      <w:ind w:left="720"/>
      <w:contextualSpacing/>
    </w:pPr>
  </w:style>
  <w:style w:type="character" w:customStyle="1" w:styleId="tgc">
    <w:name w:val="_tgc"/>
    <w:basedOn w:val="DefaultParagraphFont"/>
    <w:rsid w:val="006153A6"/>
  </w:style>
  <w:style w:type="paragraph" w:styleId="BodyText2">
    <w:name w:val="Body Text 2"/>
    <w:basedOn w:val="Normal"/>
    <w:link w:val="BodyText2Char"/>
    <w:rsid w:val="007921B2"/>
    <w:pPr>
      <w:suppressAutoHyphens w:val="0"/>
      <w:spacing w:after="120" w:line="480" w:lineRule="auto"/>
    </w:pPr>
    <w:rPr>
      <w:sz w:val="24"/>
      <w:szCs w:val="24"/>
      <w:lang w:val="en-US"/>
    </w:rPr>
  </w:style>
  <w:style w:type="character" w:customStyle="1" w:styleId="BodyText2Char">
    <w:name w:val="Body Text 2 Char"/>
    <w:basedOn w:val="DefaultParagraphFont"/>
    <w:link w:val="BodyText2"/>
    <w:rsid w:val="007921B2"/>
    <w:rPr>
      <w:sz w:val="24"/>
      <w:szCs w:val="24"/>
      <w:lang w:val="en-US"/>
    </w:rPr>
  </w:style>
  <w:style w:type="character" w:customStyle="1" w:styleId="SingleTxtGChar">
    <w:name w:val="_ Single Txt_G Char"/>
    <w:link w:val="SingleTxtG"/>
    <w:rsid w:val="00B9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074E-DA6B-47A5-A51F-4B47FAC8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bonvoisin</dc:creator>
  <cp:lastModifiedBy>sochirca</cp:lastModifiedBy>
  <cp:revision>31</cp:revision>
  <cp:lastPrinted>2015-10-14T10:42:00Z</cp:lastPrinted>
  <dcterms:created xsi:type="dcterms:W3CDTF">2015-10-14T15:14:00Z</dcterms:created>
  <dcterms:modified xsi:type="dcterms:W3CDTF">2015-10-15T09:13:00Z</dcterms:modified>
</cp:coreProperties>
</file>