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5" w:rsidRPr="00A57EAE" w:rsidRDefault="00EB7E95" w:rsidP="00EB7E95">
      <w:pPr>
        <w:spacing w:before="120"/>
        <w:rPr>
          <w:b/>
          <w:bCs/>
          <w:sz w:val="28"/>
          <w:szCs w:val="28"/>
        </w:rPr>
      </w:pPr>
      <w:r w:rsidRPr="00A57EAE">
        <w:rPr>
          <w:b/>
          <w:bCs/>
          <w:sz w:val="28"/>
          <w:szCs w:val="28"/>
        </w:rPr>
        <w:t>Economic Commission for Europe</w:t>
      </w:r>
    </w:p>
    <w:p w:rsidR="00EB7E95" w:rsidRPr="00A57EAE" w:rsidRDefault="00EB7E95" w:rsidP="00EB7E95">
      <w:pPr>
        <w:spacing w:before="120"/>
        <w:rPr>
          <w:sz w:val="28"/>
          <w:szCs w:val="28"/>
        </w:rPr>
      </w:pPr>
      <w:r w:rsidRPr="00A57EAE">
        <w:rPr>
          <w:sz w:val="28"/>
          <w:szCs w:val="28"/>
        </w:rPr>
        <w:t>Committee on Environmental Policy</w:t>
      </w:r>
    </w:p>
    <w:p w:rsidR="00EB7E95" w:rsidRPr="00A57EAE" w:rsidRDefault="00EB7E95" w:rsidP="00EB7E95">
      <w:pPr>
        <w:spacing w:before="120"/>
        <w:rPr>
          <w:b/>
        </w:rPr>
      </w:pPr>
      <w:r w:rsidRPr="00A57EAE">
        <w:rPr>
          <w:b/>
        </w:rPr>
        <w:t>Twent</w:t>
      </w:r>
      <w:r w:rsidR="00173B00" w:rsidRPr="00A57EAE">
        <w:rPr>
          <w:b/>
        </w:rPr>
        <w:t>y-first</w:t>
      </w:r>
      <w:r w:rsidRPr="00A57EAE">
        <w:rPr>
          <w:b/>
        </w:rPr>
        <w:t xml:space="preserve"> session</w:t>
      </w:r>
    </w:p>
    <w:p w:rsidR="00EB7E95" w:rsidRPr="00A57EAE" w:rsidRDefault="00EB7E95" w:rsidP="00EB7E95">
      <w:r w:rsidRPr="00A57EAE">
        <w:t>Geneva, 2</w:t>
      </w:r>
      <w:r w:rsidR="00173B00" w:rsidRPr="00A57EAE">
        <w:t>7</w:t>
      </w:r>
      <w:r w:rsidRPr="00A57EAE">
        <w:t>–3</w:t>
      </w:r>
      <w:r w:rsidR="00173B00" w:rsidRPr="00A57EAE">
        <w:t>0</w:t>
      </w:r>
      <w:r w:rsidRPr="00A57EAE">
        <w:t xml:space="preserve"> October 201</w:t>
      </w:r>
      <w:r w:rsidR="00173B00" w:rsidRPr="00A57EAE">
        <w:t>5</w:t>
      </w:r>
    </w:p>
    <w:p w:rsidR="006C3834" w:rsidRPr="00A57EAE" w:rsidRDefault="00EB7E95" w:rsidP="00114AB7">
      <w:pPr>
        <w:pStyle w:val="HChG"/>
        <w:spacing w:before="240" w:after="120"/>
      </w:pPr>
      <w:r w:rsidRPr="00A57EAE">
        <w:tab/>
      </w:r>
      <w:r w:rsidRPr="00A57EAE">
        <w:tab/>
      </w:r>
      <w:r w:rsidR="006C3834" w:rsidRPr="00A57EAE">
        <w:t xml:space="preserve">Summary of </w:t>
      </w:r>
      <w:r w:rsidR="00A57EAE">
        <w:t xml:space="preserve">the outcomes of the </w:t>
      </w:r>
      <w:r w:rsidR="006C3834" w:rsidRPr="00A57EAE">
        <w:t>twenty-first session</w:t>
      </w:r>
      <w:r w:rsidR="00A57EAE">
        <w:t xml:space="preserve"> and the decisions taken</w:t>
      </w:r>
      <w:r w:rsidR="006C3834" w:rsidRPr="00A57EAE">
        <w:t xml:space="preserve"> </w:t>
      </w:r>
    </w:p>
    <w:p w:rsidR="00913344" w:rsidRPr="00A57EAE" w:rsidRDefault="006C3834" w:rsidP="00505135">
      <w:pPr>
        <w:pStyle w:val="HChG"/>
        <w:spacing w:before="120"/>
      </w:pPr>
      <w:r w:rsidRPr="00A57EAE">
        <w:tab/>
      </w:r>
      <w:r w:rsidRPr="00A57EAE">
        <w:tab/>
      </w:r>
      <w:r w:rsidRPr="00A57EAE">
        <w:rPr>
          <w:i/>
          <w:sz w:val="24"/>
          <w:szCs w:val="24"/>
        </w:rPr>
        <w:t xml:space="preserve">(as approved by the Committee on 30 October 2015) </w:t>
      </w:r>
      <w:r w:rsidR="00913344" w:rsidRPr="00A57EAE">
        <w:t xml:space="preserve"> </w:t>
      </w:r>
    </w:p>
    <w:p w:rsidR="00913344" w:rsidRPr="00A57EAE" w:rsidRDefault="00F55128" w:rsidP="009C080E">
      <w:pPr>
        <w:pStyle w:val="SingleTxtG"/>
        <w:spacing w:line="240" w:lineRule="auto"/>
      </w:pPr>
      <w:r>
        <w:t>T</w:t>
      </w:r>
      <w:r w:rsidR="008E33C8" w:rsidRPr="00A57EAE">
        <w:t>he Committee</w:t>
      </w:r>
      <w:r w:rsidR="00F41408">
        <w:t xml:space="preserve"> on Environmental Policy</w:t>
      </w:r>
      <w:r w:rsidR="005B0CCB" w:rsidRPr="00A57EAE">
        <w:t>:</w:t>
      </w:r>
    </w:p>
    <w:p w:rsidR="00913344" w:rsidRPr="00A57EAE" w:rsidRDefault="00A57EAE" w:rsidP="009B4C3C">
      <w:pPr>
        <w:pStyle w:val="SingleTxtG"/>
        <w:spacing w:line="240" w:lineRule="auto"/>
        <w:ind w:firstLine="567"/>
      </w:pPr>
      <w:r w:rsidRPr="00A57EAE">
        <w:t>(a)</w:t>
      </w:r>
      <w:r w:rsidRPr="00A57EAE">
        <w:tab/>
      </w:r>
      <w:r w:rsidR="00913344" w:rsidRPr="00A57EAE">
        <w:t>Adopt</w:t>
      </w:r>
      <w:r w:rsidR="00F55128">
        <w:t>s</w:t>
      </w:r>
      <w:r w:rsidR="00913344" w:rsidRPr="00A57EAE">
        <w:t xml:space="preserve"> the agenda of </w:t>
      </w:r>
      <w:r>
        <w:t xml:space="preserve">its </w:t>
      </w:r>
      <w:r w:rsidR="00913344" w:rsidRPr="00A57EAE">
        <w:t>twent</w:t>
      </w:r>
      <w:r w:rsidR="00FF1AA5" w:rsidRPr="00A57EAE">
        <w:t>y-first</w:t>
      </w:r>
      <w:r w:rsidR="00913344" w:rsidRPr="00A57EAE">
        <w:t xml:space="preserve"> session (ECE/CEP/201</w:t>
      </w:r>
      <w:r w:rsidR="00ED2392" w:rsidRPr="00A57EAE">
        <w:t>5</w:t>
      </w:r>
      <w:r w:rsidR="00913344" w:rsidRPr="00A57EAE">
        <w:t>/1), taking into account the proposed timetable</w:t>
      </w:r>
      <w:r w:rsidR="008F3FF9" w:rsidRPr="00A57EAE">
        <w:t>,</w:t>
      </w:r>
      <w:r w:rsidR="00913344" w:rsidRPr="00A57EAE">
        <w:t xml:space="preserve"> as presented in information paper No. 1</w:t>
      </w:r>
      <w:r w:rsidR="00243EFC" w:rsidRPr="00A57EAE">
        <w:t>/Rev.2</w:t>
      </w:r>
      <w:r w:rsidR="00913344" w:rsidRPr="00A57EAE">
        <w:t>;</w:t>
      </w:r>
    </w:p>
    <w:p w:rsidR="00913344" w:rsidRPr="00A57EAE" w:rsidRDefault="00A57EAE" w:rsidP="009B4C3C">
      <w:pPr>
        <w:pStyle w:val="SingleTxtG"/>
        <w:spacing w:line="240" w:lineRule="auto"/>
        <w:ind w:firstLine="567"/>
      </w:pPr>
      <w:r w:rsidRPr="00A57EAE">
        <w:t>(b)</w:t>
      </w:r>
      <w:r w:rsidRPr="00A57EAE">
        <w:tab/>
      </w:r>
      <w:r w:rsidR="00094A80" w:rsidRPr="00A57EAE">
        <w:t>Expresse</w:t>
      </w:r>
      <w:r w:rsidR="00F55128">
        <w:t>s</w:t>
      </w:r>
      <w:r w:rsidR="00094A80" w:rsidRPr="00A57EAE">
        <w:t xml:space="preserve"> appreciation to the Bureau for its good work, and for efficiently fulfilling the mandates assigned to it by </w:t>
      </w:r>
      <w:r>
        <w:t>the Committee</w:t>
      </w:r>
      <w:r w:rsidR="00094A80" w:rsidRPr="00A57EAE">
        <w:t>, and to the ECE secretariat for the efficient and high quality support provided to the Bureau;</w:t>
      </w:r>
    </w:p>
    <w:p w:rsidR="00913344" w:rsidRPr="00A57EAE" w:rsidRDefault="00A57EAE" w:rsidP="009B4C3C">
      <w:pPr>
        <w:pStyle w:val="SingleTxtG"/>
        <w:ind w:firstLine="567"/>
      </w:pPr>
      <w:r w:rsidRPr="00A57EAE">
        <w:t>(c)</w:t>
      </w:r>
      <w:r w:rsidRPr="00A57EAE">
        <w:tab/>
      </w:r>
      <w:r w:rsidR="00F55128">
        <w:t xml:space="preserve">Takes </w:t>
      </w:r>
      <w:r w:rsidR="00913344" w:rsidRPr="00A57EAE">
        <w:t xml:space="preserve">note of the developments in ECE activities </w:t>
      </w:r>
      <w:r w:rsidR="002C2D95" w:rsidRPr="00A57EAE">
        <w:t>regarding</w:t>
      </w:r>
      <w:r w:rsidR="00913344" w:rsidRPr="00A57EAE">
        <w:t xml:space="preserve"> the </w:t>
      </w:r>
      <w:r w:rsidR="002C2D95" w:rsidRPr="00A57EAE">
        <w:t>2030 A</w:t>
      </w:r>
      <w:r w:rsidR="00913344" w:rsidRPr="00A57EAE">
        <w:t>genda</w:t>
      </w:r>
      <w:r w:rsidR="002C2D95" w:rsidRPr="00A57EAE">
        <w:t xml:space="preserve"> for </w:t>
      </w:r>
      <w:r w:rsidR="00284954" w:rsidRPr="00A57EAE">
        <w:t xml:space="preserve">Sustainable </w:t>
      </w:r>
      <w:r w:rsidR="002C2D95" w:rsidRPr="00A57EAE">
        <w:t>Development</w:t>
      </w:r>
      <w:r w:rsidR="00D04736">
        <w:t>,</w:t>
      </w:r>
      <w:r w:rsidR="00C15F59" w:rsidRPr="00A57EAE">
        <w:t xml:space="preserve"> and i</w:t>
      </w:r>
      <w:r w:rsidR="000E6899" w:rsidRPr="00A57EAE">
        <w:t>nvite</w:t>
      </w:r>
      <w:r w:rsidR="00F55128">
        <w:t>s</w:t>
      </w:r>
      <w:r w:rsidR="000E6899" w:rsidRPr="00A57EAE">
        <w:t xml:space="preserve"> countries to consider the </w:t>
      </w:r>
      <w:r w:rsidR="00D04736">
        <w:t xml:space="preserve">Committee’s </w:t>
      </w:r>
      <w:r w:rsidR="000E6899" w:rsidRPr="00A57EAE">
        <w:t xml:space="preserve">role in </w:t>
      </w:r>
      <w:r w:rsidR="00C15F59" w:rsidRPr="00A57EAE">
        <w:t xml:space="preserve">implementing </w:t>
      </w:r>
      <w:r w:rsidR="00443DD4" w:rsidRPr="00A57EAE">
        <w:t>the 2030 Agenda and</w:t>
      </w:r>
      <w:r w:rsidR="004D4F9A" w:rsidRPr="00A57EAE">
        <w:t xml:space="preserve"> to </w:t>
      </w:r>
      <w:r w:rsidR="00A0023E" w:rsidRPr="00A57EAE">
        <w:t xml:space="preserve">continue </w:t>
      </w:r>
      <w:r w:rsidR="003A4C07">
        <w:t xml:space="preserve">to </w:t>
      </w:r>
      <w:r w:rsidR="00A0023E" w:rsidRPr="00A57EAE">
        <w:t xml:space="preserve">discuss </w:t>
      </w:r>
      <w:r w:rsidR="00086D01" w:rsidRPr="00A57EAE">
        <w:t>th</w:t>
      </w:r>
      <w:r w:rsidR="003A4C07">
        <w:t>e</w:t>
      </w:r>
      <w:r w:rsidR="00086D01" w:rsidRPr="00A57EAE">
        <w:t xml:space="preserve"> matter </w:t>
      </w:r>
      <w:r w:rsidR="00A0023E" w:rsidRPr="00A57EAE">
        <w:t>at future meetings</w:t>
      </w:r>
      <w:r w:rsidR="00913344" w:rsidRPr="00A57EAE">
        <w:t>;</w:t>
      </w:r>
    </w:p>
    <w:p w:rsidR="00D23E5C" w:rsidRPr="00A57EAE" w:rsidRDefault="00A57EAE" w:rsidP="009B4C3C">
      <w:pPr>
        <w:pStyle w:val="SingleTxtG"/>
        <w:spacing w:line="240" w:lineRule="auto"/>
        <w:ind w:firstLine="567"/>
      </w:pPr>
      <w:r w:rsidRPr="00A57EAE">
        <w:t>(d)</w:t>
      </w:r>
      <w:r w:rsidRPr="00A57EAE">
        <w:tab/>
      </w:r>
      <w:r w:rsidR="00C717A5" w:rsidRPr="00A57EAE">
        <w:t>Welcom</w:t>
      </w:r>
      <w:r w:rsidR="00F55128">
        <w:t>es</w:t>
      </w:r>
      <w:r w:rsidR="00C717A5" w:rsidRPr="00A57EAE">
        <w:t xml:space="preserve"> the interactive discussion</w:t>
      </w:r>
      <w:r w:rsidR="005D6A30" w:rsidRPr="00A57EAE">
        <w:t xml:space="preserve"> </w:t>
      </w:r>
      <w:r w:rsidR="003A4C07">
        <w:t xml:space="preserve">held </w:t>
      </w:r>
      <w:r w:rsidR="0031076F" w:rsidRPr="00A57EAE">
        <w:t xml:space="preserve">on the ECE MEAs, </w:t>
      </w:r>
      <w:r w:rsidR="00E50167" w:rsidRPr="00A57EAE">
        <w:t>expresse</w:t>
      </w:r>
      <w:r w:rsidR="00F55128">
        <w:t>s</w:t>
      </w:r>
      <w:r w:rsidR="00E50167" w:rsidRPr="00A57EAE">
        <w:t xml:space="preserve"> appreciation to the Chairs of ECE MEAs for their c</w:t>
      </w:r>
      <w:r w:rsidR="00EA7C44" w:rsidRPr="00A57EAE">
        <w:t>o</w:t>
      </w:r>
      <w:r w:rsidR="00E50167" w:rsidRPr="00A57EAE">
        <w:t>ntribution</w:t>
      </w:r>
      <w:r w:rsidR="000F63DF" w:rsidRPr="00A57EAE">
        <w:t>s</w:t>
      </w:r>
      <w:r w:rsidR="00D04736">
        <w:t>,</w:t>
      </w:r>
      <w:r w:rsidR="005D6A30" w:rsidRPr="00A57EAE">
        <w:t xml:space="preserve"> </w:t>
      </w:r>
      <w:r w:rsidR="00E13A2B" w:rsidRPr="00A57EAE">
        <w:t>and</w:t>
      </w:r>
      <w:r w:rsidR="00EA7C44" w:rsidRPr="00A57EAE">
        <w:t xml:space="preserve"> </w:t>
      </w:r>
      <w:r w:rsidR="00F55128">
        <w:t xml:space="preserve">takes </w:t>
      </w:r>
      <w:r w:rsidR="00D23E5C" w:rsidRPr="00A57EAE">
        <w:t xml:space="preserve">note of the information provided with regard to </w:t>
      </w:r>
      <w:r w:rsidR="000A5CCE" w:rsidRPr="00A57EAE">
        <w:t xml:space="preserve">how the </w:t>
      </w:r>
      <w:r w:rsidR="00D23E5C" w:rsidRPr="00A57EAE">
        <w:t>ECE MEAs, through their experience in implementation</w:t>
      </w:r>
      <w:r w:rsidR="009C59A4" w:rsidRPr="00A57EAE">
        <w:t>,</w:t>
      </w:r>
      <w:r w:rsidR="00D23E5C" w:rsidRPr="00A57EAE">
        <w:t xml:space="preserve"> </w:t>
      </w:r>
      <w:r w:rsidR="00E13A2B" w:rsidRPr="00A57EAE">
        <w:t xml:space="preserve">can </w:t>
      </w:r>
      <w:r w:rsidR="00D23E5C" w:rsidRPr="00A57EAE">
        <w:t>facilitate achievement of the SDGs by countries</w:t>
      </w:r>
      <w:r w:rsidR="00C717A5" w:rsidRPr="00A57EAE">
        <w:t>, and:</w:t>
      </w:r>
    </w:p>
    <w:p w:rsidR="00806022" w:rsidRPr="00A57EAE" w:rsidRDefault="00A57EAE" w:rsidP="00C56D9A">
      <w:pPr>
        <w:pStyle w:val="SingleTxtG"/>
        <w:spacing w:line="240" w:lineRule="auto"/>
        <w:ind w:left="1701"/>
      </w:pPr>
      <w:r w:rsidRPr="00A57EAE">
        <w:t>(i)</w:t>
      </w:r>
      <w:r w:rsidRPr="00A57EAE">
        <w:tab/>
      </w:r>
      <w:r w:rsidR="00806022" w:rsidRPr="00A57EAE">
        <w:t>Recognize</w:t>
      </w:r>
      <w:r w:rsidR="00F55128">
        <w:t>s</w:t>
      </w:r>
      <w:r w:rsidR="00806022" w:rsidRPr="00A57EAE">
        <w:t xml:space="preserve"> that ECE MEAs can play an important role in the implementation of the 2030 Agenda; </w:t>
      </w:r>
    </w:p>
    <w:p w:rsidR="00806022" w:rsidRPr="00A57EAE" w:rsidRDefault="00A57EAE" w:rsidP="00C56D9A">
      <w:pPr>
        <w:pStyle w:val="SingleTxtG"/>
        <w:spacing w:line="240" w:lineRule="auto"/>
        <w:ind w:left="1701"/>
      </w:pPr>
      <w:r w:rsidRPr="00A57EAE">
        <w:t>(ii)</w:t>
      </w:r>
      <w:r w:rsidRPr="00A57EAE">
        <w:tab/>
      </w:r>
      <w:r w:rsidR="00806022" w:rsidRPr="00A57EAE">
        <w:t>Underline</w:t>
      </w:r>
      <w:r w:rsidR="00F55128">
        <w:t>s</w:t>
      </w:r>
      <w:r w:rsidR="00806022" w:rsidRPr="00A57EAE">
        <w:t xml:space="preserve"> the importance of using the existing tools, including MEAs and EPRs, </w:t>
      </w:r>
      <w:r w:rsidR="00D04736">
        <w:t xml:space="preserve">to </w:t>
      </w:r>
      <w:r w:rsidR="00806022" w:rsidRPr="00A57EAE">
        <w:t>achiev</w:t>
      </w:r>
      <w:r w:rsidR="00D04736">
        <w:t>e</w:t>
      </w:r>
      <w:r w:rsidR="00806022" w:rsidRPr="00A57EAE">
        <w:t xml:space="preserve"> </w:t>
      </w:r>
      <w:r w:rsidR="00D04736">
        <w:t xml:space="preserve">the </w:t>
      </w:r>
      <w:r w:rsidR="00806022" w:rsidRPr="00A57EAE">
        <w:t>SDGs, and, at the same time, consider</w:t>
      </w:r>
      <w:r w:rsidR="00D04736">
        <w:t xml:space="preserve">ing </w:t>
      </w:r>
      <w:r w:rsidR="00806022" w:rsidRPr="00A57EAE">
        <w:t>the need to adjust MEA and EPR activities in support of the implementation of the</w:t>
      </w:r>
      <w:r w:rsidR="00713A89" w:rsidRPr="00A57EAE">
        <w:t xml:space="preserve"> 2030 Agenda</w:t>
      </w:r>
      <w:r w:rsidR="00806022" w:rsidRPr="00A57EAE">
        <w:t>;</w:t>
      </w:r>
    </w:p>
    <w:p w:rsidR="00806022" w:rsidRPr="00A57EAE" w:rsidRDefault="00A57EAE" w:rsidP="00C56D9A">
      <w:pPr>
        <w:pStyle w:val="SingleTxtG"/>
        <w:spacing w:line="240" w:lineRule="auto"/>
        <w:ind w:left="1701"/>
      </w:pPr>
      <w:r w:rsidRPr="00A57EAE">
        <w:t>(iii)</w:t>
      </w:r>
      <w:r w:rsidRPr="00A57EAE">
        <w:tab/>
      </w:r>
      <w:r w:rsidR="00806022" w:rsidRPr="00A57EAE">
        <w:t>Recognize</w:t>
      </w:r>
      <w:r w:rsidR="00F55128">
        <w:t>s</w:t>
      </w:r>
      <w:r w:rsidR="00806022" w:rsidRPr="00A57EAE">
        <w:t xml:space="preserve"> national implementation reporting under the ECE MEAs as a valuable tool for monitoring implementation of the relevant SDGs</w:t>
      </w:r>
      <w:r w:rsidR="00D04736">
        <w:t>,</w:t>
      </w:r>
      <w:r w:rsidR="00806022" w:rsidRPr="00A57EAE">
        <w:t xml:space="preserve"> and underline</w:t>
      </w:r>
      <w:r w:rsidR="00F55128">
        <w:t>s</w:t>
      </w:r>
      <w:r w:rsidR="00806022" w:rsidRPr="00A57EAE">
        <w:t xml:space="preserve"> the opportunity to align reporting with SEIS and the </w:t>
      </w:r>
      <w:r w:rsidR="00806022" w:rsidRPr="00525060">
        <w:t>future indicators</w:t>
      </w:r>
      <w:r w:rsidR="00806022" w:rsidRPr="00A57EAE">
        <w:t xml:space="preserve"> for the SDGs;</w:t>
      </w:r>
    </w:p>
    <w:p w:rsidR="00806022" w:rsidRPr="00A57EAE" w:rsidRDefault="00A57EAE" w:rsidP="00BF0C8F">
      <w:pPr>
        <w:pStyle w:val="SingleTxtG"/>
        <w:spacing w:line="240" w:lineRule="auto"/>
        <w:ind w:left="1701"/>
      </w:pPr>
      <w:r w:rsidRPr="00A57EAE">
        <w:t>(iv)</w:t>
      </w:r>
      <w:r w:rsidRPr="00A57EAE">
        <w:tab/>
      </w:r>
      <w:r w:rsidR="00806022" w:rsidRPr="00A57EAE">
        <w:t>Underline</w:t>
      </w:r>
      <w:r w:rsidR="00F55128">
        <w:t>s</w:t>
      </w:r>
      <w:r w:rsidR="00806022" w:rsidRPr="00A57EAE">
        <w:t xml:space="preserve"> that cooperation between relevant sectors, including effective engagement of stakeholders, </w:t>
      </w:r>
      <w:r w:rsidR="00806022" w:rsidRPr="00525060">
        <w:t xml:space="preserve">is </w:t>
      </w:r>
      <w:r w:rsidR="00806022" w:rsidRPr="00A57EAE">
        <w:t xml:space="preserve">key to the implementation of the </w:t>
      </w:r>
      <w:r w:rsidR="00713A89" w:rsidRPr="00A57EAE">
        <w:t>2030 Agenda</w:t>
      </w:r>
      <w:r w:rsidR="00806022" w:rsidRPr="00A57EAE">
        <w:t>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(v)</w:t>
      </w:r>
      <w:r w:rsidRPr="00A57EAE">
        <w:tab/>
      </w:r>
      <w:r w:rsidR="00806022" w:rsidRPr="00A57EAE">
        <w:t>Acknowledge</w:t>
      </w:r>
      <w:r w:rsidR="00F55128">
        <w:t>s</w:t>
      </w:r>
      <w:r w:rsidR="00806022" w:rsidRPr="00A57EAE">
        <w:t xml:space="preserve"> that </w:t>
      </w:r>
      <w:r w:rsidR="00BA657F" w:rsidRPr="00A57EAE">
        <w:t xml:space="preserve">national-level </w:t>
      </w:r>
      <w:r w:rsidR="00806022" w:rsidRPr="00A57EAE">
        <w:t xml:space="preserve">interdepartmental coordination between all </w:t>
      </w:r>
      <w:r w:rsidR="00F55128" w:rsidRPr="00A57EAE">
        <w:t xml:space="preserve">(not just ECE) </w:t>
      </w:r>
      <w:r w:rsidR="00806022" w:rsidRPr="00A57EAE">
        <w:t>MEA national focal points would enhance both national implementation and multilateral activities;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(vi)</w:t>
      </w:r>
      <w:r w:rsidRPr="00A57EAE">
        <w:tab/>
      </w:r>
      <w:r w:rsidR="00806022" w:rsidRPr="00A57EAE">
        <w:t>Call</w:t>
      </w:r>
      <w:r w:rsidR="000C2CC1">
        <w:t>s</w:t>
      </w:r>
      <w:r w:rsidR="00806022" w:rsidRPr="00A57EAE">
        <w:t xml:space="preserve"> for the strengthening of interlinkages within the Environment subprogramme and </w:t>
      </w:r>
      <w:r w:rsidR="00FD42BF" w:rsidRPr="00A57EAE">
        <w:t>for</w:t>
      </w:r>
      <w:r w:rsidR="00806022" w:rsidRPr="00A57EAE">
        <w:t xml:space="preserve"> better cooperation across ECE, and specifically with the Statistics subprogramme, with regard to </w:t>
      </w:r>
      <w:r w:rsidR="000C2CC1">
        <w:t xml:space="preserve">implementation of </w:t>
      </w:r>
      <w:r w:rsidR="00806022" w:rsidRPr="00A57EAE">
        <w:t xml:space="preserve">the </w:t>
      </w:r>
      <w:r w:rsidR="00713A89" w:rsidRPr="00A57EAE">
        <w:t>2030 Agenda</w:t>
      </w:r>
      <w:r w:rsidR="00806022" w:rsidRPr="00A57EAE">
        <w:t>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(vii)</w:t>
      </w:r>
      <w:r w:rsidRPr="00A57EAE">
        <w:tab/>
      </w:r>
      <w:r w:rsidR="00806022" w:rsidRPr="00A57EAE">
        <w:t>Recogni</w:t>
      </w:r>
      <w:r w:rsidR="000C2CC1">
        <w:t>zes</w:t>
      </w:r>
      <w:r w:rsidR="00806022" w:rsidRPr="00A57EAE">
        <w:t xml:space="preserve"> the need to promote synergies </w:t>
      </w:r>
      <w:r w:rsidR="004A210B" w:rsidRPr="00A57EAE">
        <w:t xml:space="preserve">between the ECE MEAs </w:t>
      </w:r>
      <w:r w:rsidR="00806022" w:rsidRPr="00A57EAE">
        <w:t xml:space="preserve">and </w:t>
      </w:r>
      <w:r w:rsidR="000C2CC1">
        <w:t xml:space="preserve">to </w:t>
      </w:r>
      <w:r w:rsidR="00806022" w:rsidRPr="00A57EAE">
        <w:t xml:space="preserve">identify points of convergence, while respecting the respective mandates of </w:t>
      </w:r>
      <w:r w:rsidR="000C2CC1">
        <w:t xml:space="preserve">the </w:t>
      </w:r>
      <w:r w:rsidR="00806022" w:rsidRPr="00A57EAE">
        <w:t xml:space="preserve">different instruments;  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(viii)</w:t>
      </w:r>
      <w:r w:rsidRPr="00A57EAE">
        <w:tab/>
      </w:r>
      <w:r w:rsidR="00806022" w:rsidRPr="00A57EAE">
        <w:t>Agree</w:t>
      </w:r>
      <w:r w:rsidR="000C2CC1">
        <w:t>s</w:t>
      </w:r>
      <w:r w:rsidR="00806022" w:rsidRPr="00A57EAE">
        <w:t xml:space="preserve"> that </w:t>
      </w:r>
      <w:r w:rsidR="000C2CC1">
        <w:t xml:space="preserve">the Committee </w:t>
      </w:r>
      <w:r w:rsidR="00806022" w:rsidRPr="00A57EAE">
        <w:t xml:space="preserve">should make more efforts to ensure adequate coordination and political support </w:t>
      </w:r>
      <w:r w:rsidR="0041418F" w:rsidRPr="00A57EAE">
        <w:t>for</w:t>
      </w:r>
      <w:r w:rsidR="00806022" w:rsidRPr="00A57EAE">
        <w:t xml:space="preserve"> the implemen</w:t>
      </w:r>
      <w:r w:rsidR="006F636C" w:rsidRPr="00A57EAE">
        <w:t>tation of the ECE MEAs</w:t>
      </w:r>
      <w:r w:rsidR="00E935E9" w:rsidRPr="00A57EAE">
        <w:t xml:space="preserve">, and to promote </w:t>
      </w:r>
      <w:r w:rsidR="000C2CC1">
        <w:t xml:space="preserve">the expansion of their </w:t>
      </w:r>
      <w:r w:rsidR="00E935E9" w:rsidRPr="00A57EAE">
        <w:t>membership</w:t>
      </w:r>
      <w:r w:rsidR="00806022" w:rsidRPr="00A57EAE">
        <w:t>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lastRenderedPageBreak/>
        <w:t>(ix)</w:t>
      </w:r>
      <w:r w:rsidRPr="00A57EAE">
        <w:tab/>
      </w:r>
      <w:r w:rsidR="00806022" w:rsidRPr="00A57EAE">
        <w:t>Recognize</w:t>
      </w:r>
      <w:r w:rsidR="000C2CC1">
        <w:t>s</w:t>
      </w:r>
      <w:r w:rsidR="00806022" w:rsidRPr="00A57EAE">
        <w:t xml:space="preserve"> the importance of cooperation with other United Nations regional commissions, as well as other international organizations, with a view to ensuring synergies;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(x)</w:t>
      </w:r>
      <w:r w:rsidRPr="00A57EAE">
        <w:tab/>
      </w:r>
      <w:r w:rsidR="00806022" w:rsidRPr="00A57EAE">
        <w:t>Agree</w:t>
      </w:r>
      <w:r w:rsidR="000C2CC1">
        <w:t>s</w:t>
      </w:r>
      <w:r w:rsidR="00806022" w:rsidRPr="00A57EAE">
        <w:t xml:space="preserve"> to promote further interlinkages between </w:t>
      </w:r>
      <w:r w:rsidR="003A4C07">
        <w:t xml:space="preserve">the </w:t>
      </w:r>
      <w:r w:rsidR="00806022" w:rsidRPr="00A57EAE">
        <w:t>EPR recommendations and the ECE MEAs;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(xi)</w:t>
      </w:r>
      <w:r w:rsidRPr="00A57EAE">
        <w:tab/>
      </w:r>
      <w:r w:rsidR="000C2CC1">
        <w:t xml:space="preserve">Takes </w:t>
      </w:r>
      <w:r w:rsidR="00806022" w:rsidRPr="00A57EAE">
        <w:t xml:space="preserve">note of the recent developments under the informal joint meetings between the representatives of the governing bodies of ECE MEAs and </w:t>
      </w:r>
      <w:r w:rsidR="000C2CC1">
        <w:t xml:space="preserve">the Committee, </w:t>
      </w:r>
      <w:r w:rsidR="00806022" w:rsidRPr="00A57EAE">
        <w:t>and encourage</w:t>
      </w:r>
      <w:r w:rsidR="000C2CC1">
        <w:t>s</w:t>
      </w:r>
      <w:r w:rsidR="00806022" w:rsidRPr="00A57EAE">
        <w:t xml:space="preserve"> </w:t>
      </w:r>
      <w:r w:rsidR="000C2CC1">
        <w:t xml:space="preserve">the </w:t>
      </w:r>
      <w:r w:rsidR="00806022" w:rsidRPr="00A57EAE">
        <w:t>continu</w:t>
      </w:r>
      <w:r w:rsidR="000C2CC1">
        <w:t>ation</w:t>
      </w:r>
      <w:r w:rsidR="00806022" w:rsidRPr="00A57EAE">
        <w:t xml:space="preserve"> </w:t>
      </w:r>
      <w:r w:rsidR="000C2CC1">
        <w:t xml:space="preserve">of </w:t>
      </w:r>
      <w:r w:rsidR="00806022" w:rsidRPr="00A57EAE">
        <w:t>such coordination;</w:t>
      </w:r>
    </w:p>
    <w:p w:rsidR="004C3EA0" w:rsidRPr="00A57EAE" w:rsidRDefault="00A57EAE" w:rsidP="00607B61">
      <w:pPr>
        <w:pStyle w:val="SingleTxtG"/>
        <w:spacing w:line="240" w:lineRule="auto"/>
        <w:ind w:left="1701"/>
      </w:pPr>
      <w:r w:rsidRPr="00A57EAE">
        <w:t>(xii)</w:t>
      </w:r>
      <w:r w:rsidRPr="00A57EAE">
        <w:tab/>
      </w:r>
      <w:r w:rsidR="000C2CC1">
        <w:t xml:space="preserve">Notes </w:t>
      </w:r>
      <w:r w:rsidR="004C3EA0" w:rsidRPr="00A57EAE">
        <w:t xml:space="preserve">the request </w:t>
      </w:r>
      <w:r w:rsidR="000C2CC1">
        <w:t xml:space="preserve">emanating from </w:t>
      </w:r>
      <w:r w:rsidR="004C3EA0" w:rsidRPr="00A57EAE">
        <w:t xml:space="preserve">the </w:t>
      </w:r>
      <w:r w:rsidR="00D67BF6" w:rsidRPr="00A57EAE">
        <w:t xml:space="preserve">informal </w:t>
      </w:r>
      <w:r w:rsidR="004C3EA0" w:rsidRPr="00A57EAE">
        <w:t xml:space="preserve">joint </w:t>
      </w:r>
      <w:r w:rsidR="004C3EA0" w:rsidRPr="00451B91">
        <w:t>meeting</w:t>
      </w:r>
      <w:r w:rsidR="003A4C07" w:rsidRPr="00451B91">
        <w:t xml:space="preserve"> </w:t>
      </w:r>
      <w:r w:rsidR="00451B91" w:rsidRPr="00451B91">
        <w:t>on</w:t>
      </w:r>
      <w:r w:rsidR="003A4C07" w:rsidRPr="00451B91">
        <w:t xml:space="preserve"> </w:t>
      </w:r>
      <w:r w:rsidR="00510D7C" w:rsidRPr="00451B91">
        <w:t>26 October</w:t>
      </w:r>
      <w:r w:rsidR="003A4C07" w:rsidRPr="00451B91">
        <w:t xml:space="preserve"> 2015</w:t>
      </w:r>
      <w:r w:rsidR="000C2CC1" w:rsidRPr="00451B91">
        <w:t>,</w:t>
      </w:r>
      <w:r w:rsidR="004C3EA0" w:rsidRPr="00451B91">
        <w:t xml:space="preserve"> </w:t>
      </w:r>
      <w:r w:rsidR="008C0974" w:rsidRPr="00451B91">
        <w:t>and ask</w:t>
      </w:r>
      <w:r w:rsidR="000C2CC1" w:rsidRPr="00451B91">
        <w:t>s</w:t>
      </w:r>
      <w:r w:rsidR="008C0974" w:rsidRPr="00451B91">
        <w:t xml:space="preserve"> </w:t>
      </w:r>
      <w:r w:rsidR="004C3EA0" w:rsidRPr="00451B91">
        <w:t xml:space="preserve">the secretariat to </w:t>
      </w:r>
      <w:r w:rsidR="009470E3" w:rsidRPr="00451B91">
        <w:t xml:space="preserve">respond by </w:t>
      </w:r>
      <w:r w:rsidR="004C3EA0" w:rsidRPr="00451B91">
        <w:t>prepar</w:t>
      </w:r>
      <w:r w:rsidR="009470E3" w:rsidRPr="00451B91">
        <w:t>ing</w:t>
      </w:r>
      <w:r w:rsidR="004C3EA0" w:rsidRPr="00451B91">
        <w:t xml:space="preserve"> an information note for the Batumi </w:t>
      </w:r>
      <w:r w:rsidR="00D67BF6" w:rsidRPr="00451B91">
        <w:t xml:space="preserve">Ministerial </w:t>
      </w:r>
      <w:r w:rsidR="004C3EA0" w:rsidRPr="00451B91">
        <w:t>Conference based on the secretariat’s internal mapping</w:t>
      </w:r>
      <w:r w:rsidR="004C3EA0" w:rsidRPr="00A57EAE">
        <w:t xml:space="preserve"> of Environment subprogramme processes and activities that might support countries in achieving the SDGs</w:t>
      </w:r>
      <w:r w:rsidR="00275265" w:rsidRPr="00A57EAE">
        <w:t>;</w:t>
      </w:r>
    </w:p>
    <w:p w:rsidR="00806022" w:rsidRPr="00A57EAE" w:rsidRDefault="00A57EAE" w:rsidP="00607B61">
      <w:pPr>
        <w:pStyle w:val="SingleTxtG"/>
        <w:spacing w:line="240" w:lineRule="auto"/>
        <w:ind w:left="1701"/>
      </w:pPr>
      <w:r w:rsidRPr="00A57EAE">
        <w:t>(xiii)</w:t>
      </w:r>
      <w:r w:rsidRPr="00A57EAE">
        <w:tab/>
      </w:r>
      <w:r w:rsidR="000C2CC1">
        <w:t xml:space="preserve">Takes </w:t>
      </w:r>
      <w:r w:rsidR="00806022" w:rsidRPr="00A57EAE">
        <w:t xml:space="preserve">note of concerns expressed </w:t>
      </w:r>
      <w:r w:rsidR="000C2CC1">
        <w:t xml:space="preserve">regarding the </w:t>
      </w:r>
      <w:r w:rsidR="00806022" w:rsidRPr="00A57EAE">
        <w:t>financial resources for the MEAs;</w:t>
      </w:r>
    </w:p>
    <w:p w:rsidR="00AD1EF3" w:rsidRPr="00A57EAE" w:rsidRDefault="00A57EAE" w:rsidP="00607B61">
      <w:pPr>
        <w:pStyle w:val="SingleTxtG"/>
        <w:spacing w:line="240" w:lineRule="auto"/>
        <w:ind w:left="1701"/>
      </w:pPr>
      <w:r w:rsidRPr="00A57EAE">
        <w:t>(xiv)</w:t>
      </w:r>
      <w:r w:rsidRPr="00A57EAE">
        <w:tab/>
      </w:r>
      <w:r w:rsidR="00806022" w:rsidRPr="00A57EAE">
        <w:t>Recogni</w:t>
      </w:r>
      <w:r w:rsidR="000C2CC1">
        <w:t>zes</w:t>
      </w:r>
      <w:r w:rsidR="00806022" w:rsidRPr="00A57EAE">
        <w:t xml:space="preserve"> the need to anticipate and address in advance resource implications when considering amending MEAs to open them </w:t>
      </w:r>
      <w:r w:rsidR="000C2CC1">
        <w:t xml:space="preserve">to membership </w:t>
      </w:r>
      <w:r w:rsidR="00806022" w:rsidRPr="00A57EAE">
        <w:t>beyond the ECE region</w:t>
      </w:r>
      <w:r w:rsidR="000C2CC1">
        <w:t>;</w:t>
      </w:r>
    </w:p>
    <w:p w:rsidR="003242FA" w:rsidRPr="00A57EAE" w:rsidRDefault="00A57EAE" w:rsidP="00510D7C">
      <w:pPr>
        <w:pStyle w:val="SingleTxtG"/>
        <w:spacing w:line="240" w:lineRule="auto"/>
        <w:ind w:firstLine="567"/>
      </w:pPr>
      <w:r w:rsidRPr="00A57EAE">
        <w:t>(e)</w:t>
      </w:r>
      <w:r w:rsidRPr="00A57EAE">
        <w:tab/>
      </w:r>
      <w:r w:rsidR="0027195E">
        <w:t xml:space="preserve">Appreciates </w:t>
      </w:r>
      <w:r w:rsidR="0069545D" w:rsidRPr="00A57EAE">
        <w:t xml:space="preserve">the progress </w:t>
      </w:r>
      <w:r w:rsidR="006E39C5" w:rsidRPr="00A57EAE">
        <w:t xml:space="preserve">made </w:t>
      </w:r>
      <w:r w:rsidR="0069545D" w:rsidRPr="00A57EAE">
        <w:t>in organizing the Eighth EfE Ministerial Conference (Batumi, Georgia, 8</w:t>
      </w:r>
      <w:r w:rsidR="008B1AE4" w:rsidRPr="00A57EAE">
        <w:t>–</w:t>
      </w:r>
      <w:r w:rsidR="0069545D" w:rsidRPr="00A57EAE">
        <w:t>10 June 2016) and, in that regard:</w:t>
      </w:r>
    </w:p>
    <w:p w:rsidR="0069545D" w:rsidRPr="00A57EAE" w:rsidRDefault="00A57EAE" w:rsidP="00510D7C">
      <w:pPr>
        <w:pStyle w:val="SingleTxtG"/>
        <w:spacing w:line="240" w:lineRule="auto"/>
        <w:ind w:left="1701"/>
      </w:pPr>
      <w:r w:rsidRPr="00A57EAE">
        <w:t>(i)</w:t>
      </w:r>
      <w:r w:rsidRPr="00A57EAE">
        <w:tab/>
      </w:r>
      <w:r w:rsidR="00B72643" w:rsidRPr="00A57EAE">
        <w:t>Welcome</w:t>
      </w:r>
      <w:r w:rsidR="0027195E">
        <w:t>s</w:t>
      </w:r>
      <w:r w:rsidR="00B36750" w:rsidRPr="00A57EAE">
        <w:t xml:space="preserve"> </w:t>
      </w:r>
      <w:r w:rsidR="00B72643" w:rsidRPr="00A57EAE">
        <w:t>the preparations by Georgia for hosting the Conference</w:t>
      </w:r>
      <w:r w:rsidR="009470E3">
        <w:t>,</w:t>
      </w:r>
      <w:r w:rsidR="00427D56" w:rsidRPr="00A57EAE">
        <w:t xml:space="preserve"> and invite</w:t>
      </w:r>
      <w:r w:rsidR="0027195E">
        <w:t>s</w:t>
      </w:r>
      <w:r w:rsidR="00427D56" w:rsidRPr="00A57EAE">
        <w:t xml:space="preserve"> interested countries to consider supporting the host country in the organization of the event</w:t>
      </w:r>
      <w:r w:rsidR="00EE3417" w:rsidRPr="00A57EAE">
        <w:t>;</w:t>
      </w:r>
      <w:r w:rsidR="00427D56" w:rsidRPr="00A57EAE">
        <w:t xml:space="preserve"> </w:t>
      </w:r>
    </w:p>
    <w:p w:rsidR="001E3751" w:rsidRPr="00A57EAE" w:rsidRDefault="00A57EAE" w:rsidP="00510D7C">
      <w:pPr>
        <w:pStyle w:val="SingleTxtG"/>
        <w:spacing w:line="240" w:lineRule="auto"/>
        <w:ind w:left="1701"/>
      </w:pPr>
      <w:r w:rsidRPr="00A57EAE">
        <w:t>(ii)</w:t>
      </w:r>
      <w:r w:rsidRPr="00A57EAE">
        <w:tab/>
      </w:r>
      <w:r w:rsidR="0027195E">
        <w:t>Also w</w:t>
      </w:r>
      <w:r w:rsidR="001E3751" w:rsidRPr="00A57EAE">
        <w:t>elcome</w:t>
      </w:r>
      <w:r w:rsidR="0027195E">
        <w:t>s</w:t>
      </w:r>
      <w:r w:rsidR="001E3751" w:rsidRPr="00A57EAE">
        <w:t xml:space="preserve"> the documents prepared under the greening the economy theme</w:t>
      </w:r>
      <w:r w:rsidR="00040580" w:rsidRPr="00A57EAE">
        <w:t xml:space="preserve"> (ECE/CEP/2015/L.2 and ECE/CEP/2015/L.4)</w:t>
      </w:r>
      <w:r w:rsidR="009470E3">
        <w:t>,</w:t>
      </w:r>
      <w:r w:rsidR="007E4E80" w:rsidRPr="00A57EAE">
        <w:t xml:space="preserve"> and the fruitful cooperation between ECE and UNEP</w:t>
      </w:r>
      <w:r w:rsidR="0027195E">
        <w:t>,</w:t>
      </w:r>
      <w:r w:rsidR="007E4E80" w:rsidRPr="00A57EAE">
        <w:t xml:space="preserve"> with the engagement of other partners</w:t>
      </w:r>
      <w:r w:rsidR="009575FD" w:rsidRPr="00A57EAE">
        <w:t xml:space="preserve"> </w:t>
      </w:r>
      <w:r w:rsidR="00334A53" w:rsidRPr="00A57EAE">
        <w:t>including</w:t>
      </w:r>
      <w:r w:rsidR="009575FD" w:rsidRPr="00A57EAE">
        <w:t xml:space="preserve"> OECD and EEA,</w:t>
      </w:r>
      <w:r w:rsidR="007E4E80" w:rsidRPr="00A57EAE">
        <w:t xml:space="preserve"> in developing them</w:t>
      </w:r>
      <w:r w:rsidR="001E3751" w:rsidRPr="00A57EAE">
        <w:t>, and:</w:t>
      </w:r>
      <w:r w:rsidR="007542C9" w:rsidRPr="00A57EAE">
        <w:t xml:space="preserve"> </w:t>
      </w:r>
    </w:p>
    <w:p w:rsidR="00352CD2" w:rsidRPr="00A57EAE" w:rsidRDefault="00A57EAE" w:rsidP="00510D7C">
      <w:pPr>
        <w:pStyle w:val="SingleTxtG"/>
        <w:spacing w:line="240" w:lineRule="auto"/>
        <w:ind w:left="1701" w:firstLine="426"/>
      </w:pPr>
      <w:r w:rsidRPr="00A57EAE">
        <w:t>a.</w:t>
      </w:r>
      <w:r w:rsidR="0027195E">
        <w:tab/>
      </w:r>
      <w:r w:rsidRPr="00A57EAE">
        <w:tab/>
      </w:r>
      <w:r w:rsidR="00AC5041" w:rsidRPr="00A57EAE">
        <w:t>Invite</w:t>
      </w:r>
      <w:r w:rsidR="0027195E">
        <w:t>s</w:t>
      </w:r>
      <w:r w:rsidR="00AC5041" w:rsidRPr="00A57EAE">
        <w:t xml:space="preserve"> </w:t>
      </w:r>
      <w:r w:rsidR="0027195E">
        <w:t xml:space="preserve">Committee </w:t>
      </w:r>
      <w:r w:rsidR="00AC5041" w:rsidRPr="00A57EAE">
        <w:t>members and observers to submit to the secretariat by 15 November 2015 possible additional comments to the thematic background document</w:t>
      </w:r>
      <w:r w:rsidR="0027195E">
        <w:t>,</w:t>
      </w:r>
      <w:r w:rsidR="00AC5041" w:rsidRPr="00A57EAE">
        <w:t xml:space="preserve"> and request</w:t>
      </w:r>
      <w:r w:rsidR="0027195E">
        <w:t>s</w:t>
      </w:r>
      <w:r w:rsidR="00AC5041" w:rsidRPr="00A57EAE">
        <w:t xml:space="preserve"> </w:t>
      </w:r>
      <w:r w:rsidR="00BD4F3F" w:rsidRPr="00A57EAE">
        <w:t>ECE and UNEP</w:t>
      </w:r>
      <w:r w:rsidR="00AC5041" w:rsidRPr="00A57EAE">
        <w:t xml:space="preserve"> to revise the document for the </w:t>
      </w:r>
      <w:r w:rsidR="0027195E">
        <w:t xml:space="preserve">Committee’s </w:t>
      </w:r>
      <w:r w:rsidR="00AC5041" w:rsidRPr="00A57EAE">
        <w:t>special session in February 2016;</w:t>
      </w:r>
      <w:r w:rsidR="00352CD2" w:rsidRPr="00A57EAE">
        <w:t xml:space="preserve">  </w:t>
      </w:r>
    </w:p>
    <w:p w:rsidR="00742498" w:rsidRPr="00A57EAE" w:rsidRDefault="00A57EAE" w:rsidP="00510D7C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8B3BD9" w:rsidRPr="00A57EAE">
        <w:t>Generally agree</w:t>
      </w:r>
      <w:r w:rsidR="0027195E">
        <w:t>s</w:t>
      </w:r>
      <w:r w:rsidR="008B3BD9" w:rsidRPr="00A57EAE">
        <w:t xml:space="preserve"> with the strategic part of the draft Strategic Framework for Greening the Economy and invite</w:t>
      </w:r>
      <w:r w:rsidR="0027195E">
        <w:t>s</w:t>
      </w:r>
      <w:r w:rsidR="008B3BD9" w:rsidRPr="00A57EAE">
        <w:t xml:space="preserve"> </w:t>
      </w:r>
      <w:r w:rsidR="0027195E">
        <w:t xml:space="preserve">Committee </w:t>
      </w:r>
      <w:r w:rsidR="008B3BD9" w:rsidRPr="00A57EAE">
        <w:t>members and observers to submit to the secretariat possible additional comments by 15 November 2015;</w:t>
      </w:r>
    </w:p>
    <w:p w:rsidR="0069545D" w:rsidRPr="00A57EAE" w:rsidRDefault="00A57EAE" w:rsidP="00510D7C">
      <w:pPr>
        <w:pStyle w:val="SingleTxtG"/>
        <w:spacing w:line="240" w:lineRule="auto"/>
        <w:ind w:left="1701" w:firstLine="426"/>
      </w:pPr>
      <w:r w:rsidRPr="00A57EAE">
        <w:t>c.</w:t>
      </w:r>
      <w:r w:rsidRPr="00A57EAE">
        <w:tab/>
      </w:r>
      <w:r w:rsidR="0027195E">
        <w:tab/>
      </w:r>
      <w:r w:rsidR="00040580" w:rsidRPr="00A57EAE">
        <w:t>Invite</w:t>
      </w:r>
      <w:r w:rsidR="0027195E">
        <w:t>s</w:t>
      </w:r>
      <w:r w:rsidR="00040580" w:rsidRPr="00A57EAE">
        <w:t xml:space="preserve"> </w:t>
      </w:r>
      <w:r w:rsidR="0027195E">
        <w:t xml:space="preserve">Committee </w:t>
      </w:r>
      <w:r w:rsidR="00040580" w:rsidRPr="00A57EAE">
        <w:t>members and observers to submit to the secretariat comments to the</w:t>
      </w:r>
      <w:r w:rsidR="00352CD2" w:rsidRPr="00A57EAE">
        <w:t xml:space="preserve"> </w:t>
      </w:r>
      <w:r w:rsidR="00742498" w:rsidRPr="00A57EAE">
        <w:t xml:space="preserve">proposed </w:t>
      </w:r>
      <w:r w:rsidR="00A34310" w:rsidRPr="00A57EAE">
        <w:t xml:space="preserve">voluntary </w:t>
      </w:r>
      <w:r w:rsidR="00352CD2" w:rsidRPr="00A57EAE">
        <w:t>actions</w:t>
      </w:r>
      <w:r w:rsidR="00176CD8" w:rsidRPr="00A57EAE">
        <w:t xml:space="preserve"> to green the economy</w:t>
      </w:r>
      <w:r w:rsidR="00742498" w:rsidRPr="00A57EAE">
        <w:t>,</w:t>
      </w:r>
      <w:r w:rsidR="008B3BD9" w:rsidRPr="00A57EAE">
        <w:t xml:space="preserve"> which are annexed to the draft Strategic Framework</w:t>
      </w:r>
      <w:r w:rsidR="00176CD8" w:rsidRPr="00A57EAE">
        <w:t>,</w:t>
      </w:r>
      <w:r w:rsidR="00352CD2" w:rsidRPr="00A57EAE">
        <w:t xml:space="preserve"> by 15 November 2015</w:t>
      </w:r>
      <w:r w:rsidR="0069545D" w:rsidRPr="00A57EAE">
        <w:t>;</w:t>
      </w:r>
    </w:p>
    <w:p w:rsidR="00176CD8" w:rsidRPr="00A57EAE" w:rsidRDefault="00A57EAE" w:rsidP="00510D7C">
      <w:pPr>
        <w:pStyle w:val="SingleTxtG"/>
        <w:spacing w:line="240" w:lineRule="auto"/>
        <w:ind w:left="1701" w:firstLine="426"/>
      </w:pPr>
      <w:r w:rsidRPr="00A57EAE">
        <w:t>d.</w:t>
      </w:r>
      <w:r w:rsidRPr="00A57EAE">
        <w:tab/>
      </w:r>
      <w:r w:rsidR="00176CD8" w:rsidRPr="00A57EAE">
        <w:t>Welcome</w:t>
      </w:r>
      <w:r w:rsidR="00D438F7">
        <w:t>s</w:t>
      </w:r>
      <w:r w:rsidR="00176CD8" w:rsidRPr="00A57EAE">
        <w:t xml:space="preserve"> the proposal by Switzerland </w:t>
      </w:r>
      <w:r w:rsidR="00D438F7">
        <w:t xml:space="preserve">to </w:t>
      </w:r>
      <w:r w:rsidR="00176CD8" w:rsidRPr="00A57EAE">
        <w:t>advanc</w:t>
      </w:r>
      <w:r w:rsidR="00D438F7">
        <w:t>e</w:t>
      </w:r>
      <w:r w:rsidR="00176CD8" w:rsidRPr="00A57EAE">
        <w:t xml:space="preserve"> the development of the proposed </w:t>
      </w:r>
      <w:r w:rsidR="00A34310" w:rsidRPr="00A57EAE">
        <w:t xml:space="preserve">voluntary </w:t>
      </w:r>
      <w:r w:rsidR="00176CD8" w:rsidRPr="00A57EAE">
        <w:t>actions to green the economy</w:t>
      </w:r>
      <w:r w:rsidR="00241B92" w:rsidRPr="00A57EAE">
        <w:t>, taking into account comments received,</w:t>
      </w:r>
      <w:r w:rsidR="00176CD8" w:rsidRPr="00A57EAE">
        <w:t xml:space="preserve"> and invite</w:t>
      </w:r>
      <w:r w:rsidR="00D438F7">
        <w:t>s</w:t>
      </w:r>
      <w:r w:rsidR="00176CD8" w:rsidRPr="00A57EAE">
        <w:t xml:space="preserve"> </w:t>
      </w:r>
      <w:r w:rsidR="00D438F7">
        <w:t xml:space="preserve">Committee </w:t>
      </w:r>
      <w:r w:rsidR="00176CD8" w:rsidRPr="00A57EAE">
        <w:t xml:space="preserve">members and observers to </w:t>
      </w:r>
      <w:r w:rsidR="00D438F7">
        <w:t xml:space="preserve">express their interest </w:t>
      </w:r>
      <w:r w:rsidR="00176CD8" w:rsidRPr="00A57EAE">
        <w:t>to the secretariat</w:t>
      </w:r>
      <w:r w:rsidR="00F667E9" w:rsidRPr="00A57EAE">
        <w:t xml:space="preserve"> by 15 November 2015</w:t>
      </w:r>
      <w:r w:rsidR="00176CD8" w:rsidRPr="00A57EAE">
        <w:t xml:space="preserve"> </w:t>
      </w:r>
      <w:r w:rsidR="00D438F7">
        <w:t xml:space="preserve">if they wish to </w:t>
      </w:r>
      <w:r w:rsidR="00176CD8" w:rsidRPr="00A57EAE">
        <w:t>join a group of experts in green</w:t>
      </w:r>
      <w:r w:rsidR="00466E71" w:rsidRPr="00A57EAE">
        <w:t>ing the</w:t>
      </w:r>
      <w:r w:rsidR="00176CD8" w:rsidRPr="00A57EAE">
        <w:t xml:space="preserve"> economy that will work by electronic means under the leadership of Switzerland</w:t>
      </w:r>
      <w:r w:rsidR="000A715F" w:rsidRPr="00A57EAE">
        <w:t>,</w:t>
      </w:r>
      <w:r w:rsidR="00D5355E" w:rsidRPr="00A57EAE">
        <w:t xml:space="preserve"> with support from the ECE </w:t>
      </w:r>
      <w:r w:rsidR="009437E9" w:rsidRPr="00A57EAE">
        <w:t xml:space="preserve">secretariat </w:t>
      </w:r>
      <w:r w:rsidR="00D5355E" w:rsidRPr="00A57EAE">
        <w:t>and UNEP</w:t>
      </w:r>
      <w:r w:rsidR="00A34310" w:rsidRPr="00A57EAE">
        <w:t>. Also</w:t>
      </w:r>
      <w:r w:rsidR="00F9728B" w:rsidRPr="00A57EAE">
        <w:t xml:space="preserve">, </w:t>
      </w:r>
      <w:r w:rsidR="00A34310" w:rsidRPr="00A57EAE">
        <w:t>e</w:t>
      </w:r>
      <w:r w:rsidR="00F9728B" w:rsidRPr="00A57EAE">
        <w:t>ntrust</w:t>
      </w:r>
      <w:r w:rsidR="00D438F7">
        <w:t>s</w:t>
      </w:r>
      <w:r w:rsidR="00F9728B" w:rsidRPr="00A57EAE">
        <w:t xml:space="preserve"> Switzerland to </w:t>
      </w:r>
      <w:r w:rsidR="009B5573" w:rsidRPr="00A57EAE">
        <w:t>form and conve</w:t>
      </w:r>
      <w:r w:rsidR="00170BF4" w:rsidRPr="00A57EAE">
        <w:t>ne</w:t>
      </w:r>
      <w:r w:rsidR="009B5573" w:rsidRPr="00A57EAE">
        <w:t xml:space="preserve"> the </w:t>
      </w:r>
      <w:r w:rsidR="00F9728B" w:rsidRPr="00A57EAE">
        <w:t>group of experts</w:t>
      </w:r>
      <w:r w:rsidR="00A34310" w:rsidRPr="00A57EAE">
        <w:t xml:space="preserve"> to prepare a revised draft of voluntary actions to green the economy for the </w:t>
      </w:r>
      <w:r w:rsidR="00D438F7">
        <w:t xml:space="preserve">Committee’s </w:t>
      </w:r>
      <w:r w:rsidR="00A34310" w:rsidRPr="00A57EAE">
        <w:t>special session in February 2016</w:t>
      </w:r>
      <w:r w:rsidR="00176CD8" w:rsidRPr="00A57EAE">
        <w:t>;</w:t>
      </w:r>
      <w:r w:rsidR="00F9728B" w:rsidRPr="00A57EAE">
        <w:t xml:space="preserve"> </w:t>
      </w:r>
    </w:p>
    <w:p w:rsidR="009575FD" w:rsidRPr="00A57EAE" w:rsidRDefault="00A57EAE" w:rsidP="00510D7C">
      <w:pPr>
        <w:pStyle w:val="SingleTxtG"/>
        <w:spacing w:line="240" w:lineRule="auto"/>
        <w:ind w:left="1701" w:firstLine="426"/>
      </w:pPr>
      <w:r w:rsidRPr="00A57EAE">
        <w:t>e.</w:t>
      </w:r>
      <w:r w:rsidRPr="00A57EAE">
        <w:tab/>
      </w:r>
      <w:r w:rsidR="0027195E">
        <w:tab/>
      </w:r>
      <w:r w:rsidR="009470E3">
        <w:t xml:space="preserve">Takes </w:t>
      </w:r>
      <w:r w:rsidR="009575FD" w:rsidRPr="00A57EAE">
        <w:t>note of the information provided by the EAP Task Force secretariat on the ongoing work;</w:t>
      </w:r>
    </w:p>
    <w:p w:rsidR="00176CD8" w:rsidRPr="00A57EAE" w:rsidRDefault="00A57EAE" w:rsidP="00510D7C">
      <w:pPr>
        <w:pStyle w:val="SingleTxtG"/>
        <w:spacing w:line="240" w:lineRule="auto"/>
        <w:ind w:left="1701" w:firstLine="426"/>
      </w:pPr>
      <w:r w:rsidRPr="00A57EAE">
        <w:lastRenderedPageBreak/>
        <w:t>f.</w:t>
      </w:r>
      <w:r w:rsidR="0027195E">
        <w:tab/>
      </w:r>
      <w:r w:rsidRPr="00A57EAE">
        <w:tab/>
      </w:r>
      <w:r w:rsidR="00DD5290" w:rsidRPr="00A57EAE">
        <w:t>Expresse</w:t>
      </w:r>
      <w:r w:rsidR="00D438F7">
        <w:t>s</w:t>
      </w:r>
      <w:r w:rsidR="00DD5290" w:rsidRPr="00A57EAE">
        <w:t xml:space="preserve"> appreciation to ECE, UNEP and </w:t>
      </w:r>
      <w:r w:rsidR="00D438F7">
        <w:t xml:space="preserve">GGKP </w:t>
      </w:r>
      <w:r w:rsidR="00DD5290" w:rsidRPr="00A57EAE">
        <w:t xml:space="preserve">for organizing a side event on green economy knowledge for the pan-European region and beyond, in particular to support discussions on </w:t>
      </w:r>
      <w:r w:rsidR="00D54B15" w:rsidRPr="00A57EAE">
        <w:t>modalities to integrate the proposed voluntary actions to green t</w:t>
      </w:r>
      <w:r w:rsidR="00DD5290" w:rsidRPr="00A57EAE">
        <w:t>he economy</w:t>
      </w:r>
      <w:r w:rsidR="00D54B15" w:rsidRPr="00A57EAE">
        <w:t xml:space="preserve"> into existing knowledge platforms</w:t>
      </w:r>
      <w:r w:rsidR="00D438F7">
        <w:t>,</w:t>
      </w:r>
      <w:r w:rsidR="00D54B15" w:rsidRPr="00A57EAE">
        <w:t xml:space="preserve"> such as GGKP</w:t>
      </w:r>
      <w:r w:rsidR="00D438F7">
        <w:t>;</w:t>
      </w:r>
    </w:p>
    <w:p w:rsidR="000B5C89" w:rsidRPr="00A57EAE" w:rsidRDefault="00A57EAE" w:rsidP="003D14A3">
      <w:pPr>
        <w:pStyle w:val="SingleTxtG"/>
        <w:spacing w:line="240" w:lineRule="auto"/>
        <w:ind w:left="1701"/>
      </w:pPr>
      <w:r w:rsidRPr="00A57EAE">
        <w:t>(iii)</w:t>
      </w:r>
      <w:r w:rsidRPr="00A57EAE">
        <w:tab/>
      </w:r>
      <w:r w:rsidR="004818A0">
        <w:t>Further w</w:t>
      </w:r>
      <w:r w:rsidR="000B5C89" w:rsidRPr="00A57EAE">
        <w:t>elcome</w:t>
      </w:r>
      <w:r w:rsidR="00BA24CF">
        <w:t>s</w:t>
      </w:r>
      <w:r w:rsidR="000B5C89" w:rsidRPr="00A57EAE">
        <w:t xml:space="preserve"> the documents prepared </w:t>
      </w:r>
      <w:r w:rsidR="005C3C7D" w:rsidRPr="00A57EAE">
        <w:t>under</w:t>
      </w:r>
      <w:r w:rsidR="000B5C89" w:rsidRPr="00A57EAE">
        <w:t xml:space="preserve"> the cleaning the air theme (ECE/CEP/2015/L.3 and ECE/CEP/2015/L.5) and the active participation of the Bureau of the </w:t>
      </w:r>
      <w:r w:rsidR="003625EF" w:rsidRPr="00A57EAE">
        <w:t xml:space="preserve">ECE </w:t>
      </w:r>
      <w:r w:rsidR="000B5C89" w:rsidRPr="00A57EAE">
        <w:t>Air Convention</w:t>
      </w:r>
      <w:r w:rsidR="00BA24CF">
        <w:t>,</w:t>
      </w:r>
      <w:r w:rsidR="000B5C89" w:rsidRPr="00A57EAE">
        <w:t xml:space="preserve"> as well as the engagement of other partners</w:t>
      </w:r>
      <w:r w:rsidR="00BA24CF">
        <w:t>,</w:t>
      </w:r>
      <w:r w:rsidR="000B5C89" w:rsidRPr="00A57EAE">
        <w:t xml:space="preserve"> in developing them, and:</w:t>
      </w:r>
    </w:p>
    <w:p w:rsidR="000B5C89" w:rsidRPr="00A57EAE" w:rsidRDefault="00A57EAE" w:rsidP="003D14A3">
      <w:pPr>
        <w:pStyle w:val="SingleTxtG"/>
        <w:spacing w:line="240" w:lineRule="auto"/>
        <w:ind w:left="1701" w:firstLine="426"/>
      </w:pPr>
      <w:r w:rsidRPr="00A57EAE">
        <w:t>a.</w:t>
      </w:r>
      <w:r w:rsidR="0027195E">
        <w:tab/>
      </w:r>
      <w:r w:rsidRPr="00A57EAE">
        <w:tab/>
      </w:r>
      <w:r w:rsidR="00771875" w:rsidRPr="00A57EAE">
        <w:t>Invite</w:t>
      </w:r>
      <w:r w:rsidR="00BA24CF">
        <w:t>s</w:t>
      </w:r>
      <w:r w:rsidR="00771875" w:rsidRPr="00A57EAE">
        <w:t xml:space="preserve"> </w:t>
      </w:r>
      <w:r w:rsidR="00BA24CF">
        <w:t xml:space="preserve">Committee </w:t>
      </w:r>
      <w:r w:rsidR="00771875" w:rsidRPr="00A57EAE">
        <w:t>members and observers</w:t>
      </w:r>
      <w:r w:rsidR="00043BB7" w:rsidRPr="00A57EAE">
        <w:t xml:space="preserve"> as well as the members of the Working Group on Environmental Monitoring and Assessment,</w:t>
      </w:r>
      <w:r w:rsidR="00771875" w:rsidRPr="00A57EAE">
        <w:t xml:space="preserve"> to submit to the secretariat by 15 November </w:t>
      </w:r>
      <w:r w:rsidR="00334D1A" w:rsidRPr="00A57EAE">
        <w:t xml:space="preserve">2015 </w:t>
      </w:r>
      <w:r w:rsidR="00C72DCF" w:rsidRPr="00A57EAE">
        <w:t xml:space="preserve">possible additional </w:t>
      </w:r>
      <w:r w:rsidR="00771875" w:rsidRPr="00A57EAE">
        <w:t>comments</w:t>
      </w:r>
      <w:r w:rsidR="00334D1A" w:rsidRPr="00A57EAE">
        <w:t xml:space="preserve"> to the thematic background document</w:t>
      </w:r>
      <w:r w:rsidR="00A54586">
        <w:t>,</w:t>
      </w:r>
      <w:r w:rsidR="00771875" w:rsidRPr="00A57EAE">
        <w:t xml:space="preserve"> </w:t>
      </w:r>
      <w:r w:rsidR="00C72DCF" w:rsidRPr="00A57EAE">
        <w:t>and r</w:t>
      </w:r>
      <w:r w:rsidR="000B5C89" w:rsidRPr="00A57EAE">
        <w:t>equest</w:t>
      </w:r>
      <w:r w:rsidR="00A54586">
        <w:t>s</w:t>
      </w:r>
      <w:r w:rsidR="000B5C89" w:rsidRPr="00A57EAE">
        <w:t xml:space="preserve"> </w:t>
      </w:r>
      <w:r w:rsidR="00C72DCF" w:rsidRPr="00A57EAE">
        <w:t xml:space="preserve">the secretariat </w:t>
      </w:r>
      <w:r w:rsidR="000B5C89" w:rsidRPr="00A57EAE">
        <w:t>to revise</w:t>
      </w:r>
      <w:r w:rsidR="00334D1A" w:rsidRPr="00A57EAE">
        <w:t xml:space="preserve"> the document</w:t>
      </w:r>
      <w:r w:rsidR="000B5C89" w:rsidRPr="00A57EAE">
        <w:t xml:space="preserve"> </w:t>
      </w:r>
      <w:r w:rsidR="00334D1A" w:rsidRPr="00A57EAE">
        <w:t>for</w:t>
      </w:r>
      <w:r w:rsidR="000B5C89" w:rsidRPr="00A57EAE">
        <w:t xml:space="preserve"> the </w:t>
      </w:r>
      <w:r w:rsidR="00A54586">
        <w:t xml:space="preserve">Committee’s </w:t>
      </w:r>
      <w:r w:rsidR="000B5C89" w:rsidRPr="00A57EAE">
        <w:t xml:space="preserve">special session in February 2016;  </w:t>
      </w:r>
      <w:r w:rsidR="00C72DCF" w:rsidRPr="00A57EAE">
        <w:t xml:space="preserve"> </w:t>
      </w:r>
    </w:p>
    <w:p w:rsidR="000B5C89" w:rsidRPr="00A57EAE" w:rsidRDefault="00A57EAE" w:rsidP="003D14A3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C920EE" w:rsidRPr="00A57EAE">
        <w:t>Welcome</w:t>
      </w:r>
      <w:r w:rsidR="00A54586">
        <w:t>s</w:t>
      </w:r>
      <w:r w:rsidR="00C920EE" w:rsidRPr="00A57EAE">
        <w:t xml:space="preserve"> the Batumi Action for Cleaner Air initiative </w:t>
      </w:r>
      <w:r w:rsidR="00E17B92" w:rsidRPr="00A57EAE">
        <w:t xml:space="preserve">drafted </w:t>
      </w:r>
      <w:r w:rsidR="00C920EE" w:rsidRPr="00A57EAE">
        <w:t>by the Air Convention Bureau</w:t>
      </w:r>
      <w:r w:rsidR="0079711A" w:rsidRPr="00A57EAE">
        <w:t xml:space="preserve">, which can serve as one of the relevant instruments to implement the Conference outcomes on </w:t>
      </w:r>
      <w:r w:rsidR="00EF0387" w:rsidRPr="00A57EAE">
        <w:t xml:space="preserve">clean </w:t>
      </w:r>
      <w:r w:rsidR="0079711A" w:rsidRPr="00A57EAE">
        <w:t>air</w:t>
      </w:r>
      <w:r w:rsidR="00470FC5" w:rsidRPr="00A57EAE">
        <w:t>,</w:t>
      </w:r>
      <w:r w:rsidR="00C920EE" w:rsidRPr="00A57EAE">
        <w:t xml:space="preserve"> and i</w:t>
      </w:r>
      <w:r w:rsidR="000B5C89" w:rsidRPr="00A57EAE">
        <w:t>nvite</w:t>
      </w:r>
      <w:r w:rsidR="005466D8">
        <w:t>s</w:t>
      </w:r>
      <w:r w:rsidR="000B5C89" w:rsidRPr="00A57EAE">
        <w:t xml:space="preserve"> </w:t>
      </w:r>
      <w:r w:rsidR="005466D8">
        <w:t xml:space="preserve">Committee </w:t>
      </w:r>
      <w:r w:rsidR="000B5C89" w:rsidRPr="00A57EAE">
        <w:t>members and observers</w:t>
      </w:r>
      <w:r w:rsidR="00043BB7" w:rsidRPr="00A57EAE">
        <w:t xml:space="preserve"> as well as the members of the Working Group on Environmental Monitoring and Assessment </w:t>
      </w:r>
      <w:r w:rsidR="000B5C89" w:rsidRPr="00A57EAE">
        <w:t>to submit</w:t>
      </w:r>
      <w:r w:rsidR="00010816" w:rsidRPr="00A57EAE">
        <w:t xml:space="preserve"> </w:t>
      </w:r>
      <w:r w:rsidR="000B5C89" w:rsidRPr="00A57EAE">
        <w:t xml:space="preserve">to the </w:t>
      </w:r>
      <w:r w:rsidR="00010816" w:rsidRPr="00A57EAE">
        <w:t>Air Convention Bureau</w:t>
      </w:r>
      <w:r w:rsidR="00FF1077" w:rsidRPr="00A57EAE">
        <w:t>,</w:t>
      </w:r>
      <w:r w:rsidR="00010816" w:rsidRPr="00A57EAE">
        <w:t xml:space="preserve"> via the </w:t>
      </w:r>
      <w:r w:rsidR="000B5C89" w:rsidRPr="00A57EAE">
        <w:t>secretariat</w:t>
      </w:r>
      <w:r w:rsidR="00FF1077" w:rsidRPr="00A57EAE">
        <w:t>,</w:t>
      </w:r>
      <w:r w:rsidR="000B5C89" w:rsidRPr="00A57EAE">
        <w:t xml:space="preserve"> </w:t>
      </w:r>
      <w:r w:rsidR="005466D8">
        <w:t xml:space="preserve">any </w:t>
      </w:r>
      <w:r w:rsidR="000B5C89" w:rsidRPr="00A57EAE">
        <w:t xml:space="preserve">additional comments </w:t>
      </w:r>
      <w:r w:rsidR="00010816" w:rsidRPr="00A57EAE">
        <w:t xml:space="preserve">to the draft </w:t>
      </w:r>
      <w:r w:rsidR="00C920EE" w:rsidRPr="00A57EAE">
        <w:t>initiative</w:t>
      </w:r>
      <w:r w:rsidR="005466D8">
        <w:t xml:space="preserve"> </w:t>
      </w:r>
      <w:r w:rsidR="005466D8" w:rsidRPr="00A57EAE">
        <w:t>by 15 November 2015</w:t>
      </w:r>
      <w:r w:rsidR="00C920EE" w:rsidRPr="00A57EAE">
        <w:t>. Also, invite</w:t>
      </w:r>
      <w:r w:rsidR="00996239">
        <w:t>s</w:t>
      </w:r>
      <w:r w:rsidR="00C920EE" w:rsidRPr="00A57EAE">
        <w:t xml:space="preserve"> the Air Convention Bureau to submit an updated draft of the</w:t>
      </w:r>
      <w:r w:rsidR="00690084" w:rsidRPr="00A57EAE">
        <w:t xml:space="preserve"> initiative to the </w:t>
      </w:r>
      <w:r w:rsidR="00996239">
        <w:t>Committee</w:t>
      </w:r>
      <w:r w:rsidR="00937291">
        <w:t xml:space="preserve"> at its</w:t>
      </w:r>
      <w:r w:rsidR="00996239">
        <w:t xml:space="preserve"> </w:t>
      </w:r>
      <w:r w:rsidR="00690084" w:rsidRPr="00A57EAE">
        <w:t>special session in February 2016</w:t>
      </w:r>
      <w:r w:rsidR="000B5C89" w:rsidRPr="00A57EAE">
        <w:t>;</w:t>
      </w:r>
    </w:p>
    <w:p w:rsidR="007625BF" w:rsidRPr="00A57EAE" w:rsidRDefault="00A57EAE" w:rsidP="003D14A3">
      <w:pPr>
        <w:pStyle w:val="SingleTxtG"/>
        <w:spacing w:line="240" w:lineRule="auto"/>
        <w:ind w:left="1701"/>
      </w:pPr>
      <w:r w:rsidRPr="00A57EAE">
        <w:t>(iv)</w:t>
      </w:r>
      <w:r w:rsidRPr="00A57EAE">
        <w:tab/>
      </w:r>
      <w:r w:rsidR="00B2246D">
        <w:t xml:space="preserve">Takes </w:t>
      </w:r>
      <w:r w:rsidR="007625BF" w:rsidRPr="00A57EAE">
        <w:t>note of the information provided and welcome</w:t>
      </w:r>
      <w:r w:rsidR="00B2246D">
        <w:t>s</w:t>
      </w:r>
      <w:r w:rsidR="007625BF" w:rsidRPr="00A57EAE">
        <w:t xml:space="preserve"> progress in preparing the segment on ESD at the Batumi Ministerial Conference, and invite</w:t>
      </w:r>
      <w:r w:rsidR="00B2246D">
        <w:t>s</w:t>
      </w:r>
      <w:r w:rsidR="007625BF" w:rsidRPr="00A57EAE">
        <w:t xml:space="preserve"> the secretariat to </w:t>
      </w:r>
      <w:r w:rsidR="00C12DB0" w:rsidRPr="00A57EAE">
        <w:t xml:space="preserve">provide an </w:t>
      </w:r>
      <w:r w:rsidR="007625BF" w:rsidRPr="00A57EAE">
        <w:t>update</w:t>
      </w:r>
      <w:r w:rsidR="00C12DB0" w:rsidRPr="00A57EAE">
        <w:t xml:space="preserve"> on preparations at </w:t>
      </w:r>
      <w:r w:rsidR="00B2246D">
        <w:t xml:space="preserve">the Committee’s </w:t>
      </w:r>
      <w:r w:rsidR="00C12DB0" w:rsidRPr="00A57EAE">
        <w:t>s</w:t>
      </w:r>
      <w:r w:rsidR="007625BF" w:rsidRPr="00A57EAE">
        <w:t xml:space="preserve">pecial </w:t>
      </w:r>
      <w:r w:rsidR="00C12DB0" w:rsidRPr="00A57EAE">
        <w:t>s</w:t>
      </w:r>
      <w:r w:rsidR="007625BF" w:rsidRPr="00A57EAE">
        <w:t>ession in February 2016;</w:t>
      </w:r>
    </w:p>
    <w:p w:rsidR="005C3C7D" w:rsidRPr="00A57EAE" w:rsidRDefault="00A57EAE" w:rsidP="003D14A3">
      <w:pPr>
        <w:pStyle w:val="SingleTxtG"/>
        <w:spacing w:line="240" w:lineRule="auto"/>
        <w:ind w:left="1701"/>
      </w:pPr>
      <w:r w:rsidRPr="00A57EAE">
        <w:t>(v)</w:t>
      </w:r>
      <w:r w:rsidRPr="00A57EAE">
        <w:tab/>
      </w:r>
      <w:r w:rsidR="005C3C7D" w:rsidRPr="00A57EAE">
        <w:t>Welcome</w:t>
      </w:r>
      <w:r w:rsidR="00B2246D">
        <w:t>s</w:t>
      </w:r>
      <w:r w:rsidR="005C3C7D" w:rsidRPr="00A57EAE">
        <w:t xml:space="preserve"> the documents</w:t>
      </w:r>
      <w:r w:rsidR="00341938" w:rsidRPr="00A57EAE">
        <w:t xml:space="preserve"> prepared for the establishment of a regular environmental process in the pan-European region based on SEIS </w:t>
      </w:r>
      <w:r w:rsidR="005C3C7D" w:rsidRPr="00A57EAE">
        <w:t xml:space="preserve">and the active engagement of </w:t>
      </w:r>
      <w:r w:rsidR="00E26044" w:rsidRPr="00A57EAE">
        <w:t>all relevant</w:t>
      </w:r>
      <w:r w:rsidR="005C3C7D" w:rsidRPr="00A57EAE">
        <w:t xml:space="preserve"> partners in developing them, and:</w:t>
      </w:r>
    </w:p>
    <w:p w:rsidR="005C3C7D" w:rsidRPr="00A57EAE" w:rsidRDefault="00A57EAE" w:rsidP="003D14A3">
      <w:pPr>
        <w:pStyle w:val="SingleTxtG"/>
        <w:spacing w:line="240" w:lineRule="auto"/>
        <w:ind w:left="1701" w:firstLine="426"/>
      </w:pPr>
      <w:r w:rsidRPr="00A57EAE">
        <w:t>a.</w:t>
      </w:r>
      <w:r w:rsidR="0027195E">
        <w:tab/>
      </w:r>
      <w:r w:rsidRPr="00A57EAE">
        <w:tab/>
      </w:r>
      <w:r w:rsidR="00B2246D">
        <w:t>Appreciates</w:t>
      </w:r>
      <w:r w:rsidR="00623DC7" w:rsidRPr="00A57EAE">
        <w:t xml:space="preserve"> the work of the Group of Friends of SEIS (ECE/CEP/201</w:t>
      </w:r>
      <w:r w:rsidR="00B2246D">
        <w:t>5</w:t>
      </w:r>
      <w:r w:rsidR="00623DC7" w:rsidRPr="00A57EAE">
        <w:t>/9) and approve</w:t>
      </w:r>
      <w:r w:rsidR="00B2246D">
        <w:t>s</w:t>
      </w:r>
      <w:r w:rsidR="00623DC7" w:rsidRPr="00A57EAE">
        <w:t xml:space="preserve"> the proposed organization </w:t>
      </w:r>
      <w:r w:rsidR="008B0424" w:rsidRPr="00A57EAE">
        <w:t xml:space="preserve">and shape </w:t>
      </w:r>
      <w:r w:rsidR="00623DC7" w:rsidRPr="00A57EAE">
        <w:t xml:space="preserve">of the regular </w:t>
      </w:r>
      <w:r w:rsidR="000B43CA" w:rsidRPr="00A57EAE">
        <w:t xml:space="preserve">environmental </w:t>
      </w:r>
      <w:r w:rsidR="00623DC7" w:rsidRPr="00A57EAE">
        <w:t>assessment process based on SEIS (ECE/CEP/201</w:t>
      </w:r>
      <w:r w:rsidR="00B2246D">
        <w:t>5</w:t>
      </w:r>
      <w:r w:rsidR="00623DC7" w:rsidRPr="00A57EAE">
        <w:t>/10</w:t>
      </w:r>
      <w:r w:rsidR="0056212E" w:rsidRPr="00A57EAE">
        <w:t>)</w:t>
      </w:r>
      <w:r w:rsidR="005C3C7D" w:rsidRPr="00A57EAE">
        <w:t xml:space="preserve">;   </w:t>
      </w:r>
    </w:p>
    <w:p w:rsidR="00623DC7" w:rsidRPr="00A57EAE" w:rsidRDefault="00A57EAE" w:rsidP="003D14A3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4A47F8" w:rsidRPr="00A57EAE">
        <w:t>Welcome</w:t>
      </w:r>
      <w:r w:rsidR="000E1D5E">
        <w:t>s</w:t>
      </w:r>
      <w:r w:rsidR="004A47F8" w:rsidRPr="00A57EAE">
        <w:t xml:space="preserve"> the information provided on the preparation of the European regional assessment </w:t>
      </w:r>
      <w:r w:rsidR="000B43CA" w:rsidRPr="00A57EAE">
        <w:t>of</w:t>
      </w:r>
      <w:r w:rsidR="004A47F8" w:rsidRPr="00A57EAE">
        <w:t xml:space="preserve"> the Sixth Global Environmental Outlook and agree</w:t>
      </w:r>
      <w:r w:rsidR="000E1D5E">
        <w:t>s</w:t>
      </w:r>
      <w:r w:rsidR="004A47F8" w:rsidRPr="00A57EAE">
        <w:t xml:space="preserve"> to launch </w:t>
      </w:r>
      <w:r w:rsidR="008F3A17" w:rsidRPr="00A57EAE">
        <w:t xml:space="preserve">it </w:t>
      </w:r>
      <w:r w:rsidR="00DF42AD" w:rsidRPr="00A57EAE">
        <w:t xml:space="preserve">as the regional environmental </w:t>
      </w:r>
      <w:r w:rsidR="00575C53" w:rsidRPr="00A57EAE">
        <w:t>assessment at the Batumi Conference</w:t>
      </w:r>
      <w:r w:rsidR="004A47F8" w:rsidRPr="00A57EAE">
        <w:t xml:space="preserve">. In that regard, </w:t>
      </w:r>
      <w:r w:rsidR="009470E3">
        <w:t xml:space="preserve">also </w:t>
      </w:r>
      <w:r w:rsidR="004A47F8" w:rsidRPr="00A57EAE">
        <w:t>expresse</w:t>
      </w:r>
      <w:r w:rsidR="000E1D5E">
        <w:t>s</w:t>
      </w:r>
      <w:r w:rsidR="004A47F8" w:rsidRPr="00A57EAE">
        <w:t xml:space="preserve"> its wish to be involved in peer reviewing the draft of the assessment and expresse</w:t>
      </w:r>
      <w:r w:rsidR="000E1D5E">
        <w:t>s</w:t>
      </w:r>
      <w:r w:rsidR="004A47F8" w:rsidRPr="00A57EAE">
        <w:t xml:space="preserve"> concern </w:t>
      </w:r>
      <w:r w:rsidR="00B051AB" w:rsidRPr="00A57EAE">
        <w:t>about</w:t>
      </w:r>
      <w:r w:rsidR="000A2AA6" w:rsidRPr="00A57EAE">
        <w:t xml:space="preserve"> the </w:t>
      </w:r>
      <w:r w:rsidR="009A761A" w:rsidRPr="00A57EAE">
        <w:t>timing</w:t>
      </w:r>
      <w:r w:rsidR="000A2AA6" w:rsidRPr="00A57EAE">
        <w:t xml:space="preserve"> for </w:t>
      </w:r>
      <w:r w:rsidR="004A47F8" w:rsidRPr="00A57EAE">
        <w:t>commenting on the draft assessment</w:t>
      </w:r>
      <w:r w:rsidR="00E30B97" w:rsidRPr="00A57EAE">
        <w:t>;</w:t>
      </w:r>
      <w:r w:rsidR="00AB1440" w:rsidRPr="00A57EAE">
        <w:t xml:space="preserve"> </w:t>
      </w:r>
    </w:p>
    <w:p w:rsidR="00E30B97" w:rsidRDefault="00A57EAE" w:rsidP="003D14A3">
      <w:pPr>
        <w:pStyle w:val="SingleTxtG"/>
        <w:spacing w:line="240" w:lineRule="auto"/>
        <w:ind w:left="1701" w:firstLine="426"/>
      </w:pPr>
      <w:r w:rsidRPr="00A57EAE">
        <w:t>c.</w:t>
      </w:r>
      <w:r w:rsidR="0027195E">
        <w:tab/>
      </w:r>
      <w:r w:rsidRPr="00A57EAE">
        <w:tab/>
      </w:r>
      <w:r w:rsidR="000E1D5E">
        <w:t>Also w</w:t>
      </w:r>
      <w:r w:rsidR="00E30B97" w:rsidRPr="00A57EAE">
        <w:t>elcome</w:t>
      </w:r>
      <w:r w:rsidR="000E1D5E">
        <w:t>s</w:t>
      </w:r>
      <w:r w:rsidR="00E30B97" w:rsidRPr="00A57EAE">
        <w:t xml:space="preserve"> the work of the Working Group on Environmental Monitoring and Assessment in assessing the progress in developing SEIS across the pan-European region</w:t>
      </w:r>
      <w:r w:rsidR="00856856" w:rsidRPr="00A57EAE">
        <w:t xml:space="preserve"> (ECE/CEP/2015/11)</w:t>
      </w:r>
      <w:r w:rsidR="000E1D5E">
        <w:t>,</w:t>
      </w:r>
      <w:r w:rsidR="00E30B97" w:rsidRPr="00A57EAE">
        <w:t xml:space="preserve"> and </w:t>
      </w:r>
      <w:r w:rsidR="003040EB" w:rsidRPr="00A57EAE">
        <w:t>mandate</w:t>
      </w:r>
      <w:r w:rsidR="000E1D5E">
        <w:t>s</w:t>
      </w:r>
      <w:r w:rsidR="00E30B97" w:rsidRPr="00A57EAE">
        <w:t xml:space="preserve"> the Working Group to </w:t>
      </w:r>
      <w:r w:rsidR="009E119E" w:rsidRPr="00A57EAE">
        <w:t xml:space="preserve">work with the countries and EEA to validate the data and information and </w:t>
      </w:r>
      <w:r w:rsidR="00E30B97" w:rsidRPr="00A57EAE">
        <w:t>continue to monitor progress in developing SEIS with a view to submit</w:t>
      </w:r>
      <w:r w:rsidR="00CC657F" w:rsidRPr="00A57EAE">
        <w:t>ting</w:t>
      </w:r>
      <w:r w:rsidR="00E30B97" w:rsidRPr="00A57EAE">
        <w:t xml:space="preserve"> an updated report to the </w:t>
      </w:r>
      <w:r w:rsidR="000E1D5E">
        <w:t>Committee</w:t>
      </w:r>
      <w:r w:rsidR="00937291">
        <w:t xml:space="preserve"> at its </w:t>
      </w:r>
      <w:r w:rsidR="00E30B97" w:rsidRPr="00A57EAE">
        <w:t>special session in February 2016;</w:t>
      </w:r>
    </w:p>
    <w:p w:rsidR="003C0F07" w:rsidRPr="00A57EAE" w:rsidRDefault="003C0F07" w:rsidP="00773ADE">
      <w:pPr>
        <w:pStyle w:val="SingleTxtG"/>
        <w:spacing w:line="240" w:lineRule="auto"/>
        <w:ind w:left="1701"/>
      </w:pPr>
      <w:r w:rsidRPr="00773ADE">
        <w:tab/>
      </w:r>
      <w:r w:rsidRPr="003C0F07">
        <w:t>d.</w:t>
      </w:r>
      <w:r>
        <w:tab/>
        <w:t>Expresses</w:t>
      </w:r>
      <w:r w:rsidRPr="00A57EAE">
        <w:t xml:space="preserve"> appreciation to EEA for organizing a side event on the E</w:t>
      </w:r>
      <w:r>
        <w:t>uropean Environment —</w:t>
      </w:r>
      <w:r w:rsidRPr="00A57EAE">
        <w:t xml:space="preserve"> state and outlook 2015 (SOER 2015), in particular to support discussions on the organization and shape of a regular environmental assessment process in the pan-European region;  </w:t>
      </w:r>
    </w:p>
    <w:p w:rsidR="00856856" w:rsidRPr="00A57EAE" w:rsidRDefault="00A57EAE" w:rsidP="00773ADE">
      <w:pPr>
        <w:pStyle w:val="SingleTxtG"/>
        <w:spacing w:line="240" w:lineRule="auto"/>
        <w:ind w:left="1701"/>
      </w:pPr>
      <w:r w:rsidRPr="00A57EAE">
        <w:t>(vi)</w:t>
      </w:r>
      <w:r w:rsidRPr="00A57EAE">
        <w:tab/>
      </w:r>
      <w:r w:rsidR="004818A0">
        <w:t>Also w</w:t>
      </w:r>
      <w:r w:rsidR="00203595" w:rsidRPr="00A57EAE">
        <w:t>elcome</w:t>
      </w:r>
      <w:r w:rsidR="000E1D5E">
        <w:t>s</w:t>
      </w:r>
      <w:r w:rsidR="00203595" w:rsidRPr="00A57EAE">
        <w:t xml:space="preserve"> the document presenting the proposed outcomes for the Conference</w:t>
      </w:r>
      <w:r w:rsidR="00500FC0" w:rsidRPr="00A57EAE">
        <w:t xml:space="preserve"> (ECE/CEP/2015/8)</w:t>
      </w:r>
      <w:r w:rsidR="00856856" w:rsidRPr="00A57EAE">
        <w:t>, and:</w:t>
      </w:r>
    </w:p>
    <w:p w:rsidR="003F2FB6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lastRenderedPageBreak/>
        <w:t>a.</w:t>
      </w:r>
      <w:r w:rsidR="0027195E">
        <w:tab/>
      </w:r>
      <w:r w:rsidRPr="00A57EAE">
        <w:tab/>
      </w:r>
      <w:r w:rsidR="003F2FB6" w:rsidRPr="00A57EAE">
        <w:t>T</w:t>
      </w:r>
      <w:r w:rsidR="00937291">
        <w:t>akes</w:t>
      </w:r>
      <w:r w:rsidR="003F2FB6" w:rsidRPr="00A57EAE">
        <w:t xml:space="preserve"> note of the proposed initiatives and contributions for the Batumi Conference</w:t>
      </w:r>
      <w:r w:rsidR="00937291">
        <w:t>,</w:t>
      </w:r>
      <w:r w:rsidR="003F2FB6" w:rsidRPr="00A57EAE">
        <w:t xml:space="preserve"> and invite</w:t>
      </w:r>
      <w:r w:rsidR="00937291">
        <w:t>s</w:t>
      </w:r>
      <w:r w:rsidR="003F2FB6" w:rsidRPr="00A57EAE">
        <w:t xml:space="preserve"> stakeholders to finali</w:t>
      </w:r>
      <w:r w:rsidR="00937291">
        <w:t>z</w:t>
      </w:r>
      <w:r w:rsidR="003F2FB6" w:rsidRPr="00A57EAE">
        <w:t xml:space="preserve">e their proposals in time for submission to the </w:t>
      </w:r>
      <w:r w:rsidR="00937291">
        <w:t xml:space="preserve">Committee’s </w:t>
      </w:r>
      <w:r w:rsidR="003F2FB6" w:rsidRPr="00A57EAE">
        <w:t>special session in February 2016;</w:t>
      </w:r>
    </w:p>
    <w:p w:rsidR="004405B5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4405B5" w:rsidRPr="00A57EAE">
        <w:t>Approve</w:t>
      </w:r>
      <w:r w:rsidR="00937291">
        <w:t>s</w:t>
      </w:r>
      <w:r w:rsidR="004405B5" w:rsidRPr="00A57EAE">
        <w:t xml:space="preserve"> the general framework and structure of the proposed elements for the draft ministerial declaration</w:t>
      </w:r>
      <w:r w:rsidR="00334542">
        <w:t xml:space="preserve">, </w:t>
      </w:r>
      <w:r w:rsidR="004405B5" w:rsidRPr="00A57EAE">
        <w:t>as contained in the annex to document</w:t>
      </w:r>
      <w:r w:rsidR="00334542">
        <w:t xml:space="preserve"> </w:t>
      </w:r>
      <w:r w:rsidR="00334542" w:rsidRPr="00A57EAE">
        <w:t>ECE/CEP/2015/8</w:t>
      </w:r>
      <w:r w:rsidR="004405B5" w:rsidRPr="00A57EAE">
        <w:t>;</w:t>
      </w:r>
    </w:p>
    <w:p w:rsidR="005C31B8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c.</w:t>
      </w:r>
      <w:r w:rsidRPr="00A57EAE">
        <w:tab/>
      </w:r>
      <w:r w:rsidR="0027195E">
        <w:tab/>
      </w:r>
      <w:r w:rsidR="004405B5" w:rsidRPr="00A57EAE">
        <w:t>Invite</w:t>
      </w:r>
      <w:r w:rsidR="00937291">
        <w:t>s</w:t>
      </w:r>
      <w:r w:rsidR="004405B5" w:rsidRPr="00A57EAE">
        <w:t xml:space="preserve"> its Bureau, with support </w:t>
      </w:r>
      <w:r w:rsidR="00937291">
        <w:t xml:space="preserve">from </w:t>
      </w:r>
      <w:r w:rsidR="004405B5" w:rsidRPr="00A57EAE">
        <w:t xml:space="preserve">the secretariat, to prepare a first draft of the ministerial declaration based on comments received by 25 November 2015 from </w:t>
      </w:r>
      <w:r w:rsidR="00937291">
        <w:t xml:space="preserve">Committee </w:t>
      </w:r>
      <w:r w:rsidR="004405B5" w:rsidRPr="00A57EAE">
        <w:t xml:space="preserve">members and observers, and </w:t>
      </w:r>
      <w:r w:rsidR="00937291">
        <w:t xml:space="preserve">to </w:t>
      </w:r>
      <w:r w:rsidR="004405B5" w:rsidRPr="00A57EAE">
        <w:t xml:space="preserve">submit it to the </w:t>
      </w:r>
      <w:r w:rsidR="00937291">
        <w:t xml:space="preserve">Committee at its </w:t>
      </w:r>
      <w:r w:rsidR="004405B5" w:rsidRPr="00A57EAE">
        <w:t>special session in February 2016;</w:t>
      </w:r>
    </w:p>
    <w:p w:rsidR="00D83631" w:rsidRPr="00A57EAE" w:rsidRDefault="00A57EAE" w:rsidP="00773ADE">
      <w:pPr>
        <w:pStyle w:val="SingleTxtG"/>
        <w:spacing w:line="240" w:lineRule="auto"/>
        <w:ind w:left="1701"/>
      </w:pPr>
      <w:r w:rsidRPr="00A57EAE">
        <w:t>(vii)</w:t>
      </w:r>
      <w:r w:rsidRPr="00A57EAE">
        <w:tab/>
      </w:r>
      <w:r w:rsidR="004818A0">
        <w:t>Further w</w:t>
      </w:r>
      <w:r w:rsidR="001E5F89" w:rsidRPr="00A57EAE">
        <w:t>elcome</w:t>
      </w:r>
      <w:r w:rsidR="00FE7153">
        <w:t>s</w:t>
      </w:r>
      <w:r w:rsidR="001E5F89" w:rsidRPr="00A57EAE">
        <w:t xml:space="preserve"> the draft provisional agenda for the Batumi Conference (ECE/CEP/2015/L.</w:t>
      </w:r>
      <w:r w:rsidR="00246FBF" w:rsidRPr="00A57EAE">
        <w:t>1</w:t>
      </w:r>
      <w:r w:rsidR="001E5F89" w:rsidRPr="00A57EAE">
        <w:t>)</w:t>
      </w:r>
      <w:r w:rsidR="00465318" w:rsidRPr="00A57EAE">
        <w:t xml:space="preserve"> and the document presenting format</w:t>
      </w:r>
      <w:r w:rsidR="00605258" w:rsidRPr="00A57EAE">
        <w:t>s</w:t>
      </w:r>
      <w:r w:rsidR="00465318" w:rsidRPr="00A57EAE">
        <w:t xml:space="preserve"> for interactive discussion (ECE/CEP/2015/14)</w:t>
      </w:r>
      <w:r w:rsidR="00D83631" w:rsidRPr="00A57EAE">
        <w:t>, and:</w:t>
      </w:r>
    </w:p>
    <w:p w:rsidR="00D83631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a.</w:t>
      </w:r>
      <w:r w:rsidR="006B6D77">
        <w:tab/>
      </w:r>
      <w:r w:rsidRPr="00A57EAE">
        <w:tab/>
      </w:r>
      <w:r w:rsidR="00D83631" w:rsidRPr="00A57EAE">
        <w:t>Approve</w:t>
      </w:r>
      <w:r w:rsidR="00FE7153">
        <w:t>s</w:t>
      </w:r>
      <w:r w:rsidR="00D83631" w:rsidRPr="00A57EAE">
        <w:t xml:space="preserve"> the framework for the Conference as presented in </w:t>
      </w:r>
      <w:r w:rsidR="00FE7153">
        <w:t xml:space="preserve">the </w:t>
      </w:r>
      <w:r w:rsidR="00D83631" w:rsidRPr="00A57EAE">
        <w:t>annex to</w:t>
      </w:r>
      <w:r w:rsidR="005309DF" w:rsidRPr="00A57EAE">
        <w:t xml:space="preserve"> the</w:t>
      </w:r>
      <w:r w:rsidR="00D83631" w:rsidRPr="00A57EAE">
        <w:t xml:space="preserve"> </w:t>
      </w:r>
      <w:r w:rsidR="00465318" w:rsidRPr="00A57EAE">
        <w:t>draft agenda</w:t>
      </w:r>
      <w:r w:rsidR="00D83631" w:rsidRPr="00A57EAE">
        <w:t>;</w:t>
      </w:r>
    </w:p>
    <w:p w:rsidR="00465318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D83631" w:rsidRPr="00A57EAE">
        <w:t>Invite</w:t>
      </w:r>
      <w:r w:rsidR="00FE7153">
        <w:t>s</w:t>
      </w:r>
      <w:r w:rsidR="00D83631" w:rsidRPr="00A57EAE">
        <w:t xml:space="preserve"> its Bureau</w:t>
      </w:r>
      <w:r w:rsidR="00064451" w:rsidRPr="00A57EAE">
        <w:t xml:space="preserve">, with support </w:t>
      </w:r>
      <w:r w:rsidR="00FE7153">
        <w:t xml:space="preserve">from </w:t>
      </w:r>
      <w:r w:rsidR="00064451" w:rsidRPr="00A57EAE">
        <w:t>the secretariat an</w:t>
      </w:r>
      <w:r w:rsidR="008C0F36" w:rsidRPr="00A57EAE">
        <w:t>d</w:t>
      </w:r>
      <w:r w:rsidR="00064451" w:rsidRPr="00A57EAE">
        <w:t xml:space="preserve"> in cooperation with relevant partners,</w:t>
      </w:r>
      <w:r w:rsidR="00D83631" w:rsidRPr="00A57EAE">
        <w:t xml:space="preserve"> </w:t>
      </w:r>
      <w:r w:rsidR="005B4EAC" w:rsidRPr="00A57EAE">
        <w:t xml:space="preserve">to </w:t>
      </w:r>
      <w:r w:rsidR="00465318" w:rsidRPr="00A57EAE">
        <w:t xml:space="preserve">further develop the </w:t>
      </w:r>
      <w:r w:rsidR="00FE7153">
        <w:t xml:space="preserve">Conference </w:t>
      </w:r>
      <w:r w:rsidR="00465318" w:rsidRPr="00A57EAE">
        <w:t xml:space="preserve">agenda </w:t>
      </w:r>
      <w:r w:rsidR="00FE7153">
        <w:t xml:space="preserve">and the options for the </w:t>
      </w:r>
      <w:r w:rsidR="00465318" w:rsidRPr="00A57EAE">
        <w:t xml:space="preserve">format </w:t>
      </w:r>
      <w:r w:rsidR="00FE7153">
        <w:t xml:space="preserve">of </w:t>
      </w:r>
      <w:r w:rsidR="00465318" w:rsidRPr="00A57EAE">
        <w:t xml:space="preserve">the </w:t>
      </w:r>
      <w:r w:rsidR="00FE7153">
        <w:t xml:space="preserve">Conference </w:t>
      </w:r>
      <w:r w:rsidR="00465318" w:rsidRPr="00A57EAE">
        <w:t>sessions</w:t>
      </w:r>
      <w:r w:rsidR="00FE7153">
        <w:t>,</w:t>
      </w:r>
      <w:r w:rsidR="00465318" w:rsidRPr="00A57EAE">
        <w:t xml:space="preserve"> </w:t>
      </w:r>
      <w:r w:rsidR="00FE7153">
        <w:t xml:space="preserve">and to submit a note thereon to the Committee for consideration at its </w:t>
      </w:r>
      <w:r w:rsidR="00465318" w:rsidRPr="00A57EAE">
        <w:t>special session in February 2016;</w:t>
      </w:r>
    </w:p>
    <w:p w:rsidR="00C37CE4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c.</w:t>
      </w:r>
      <w:r w:rsidR="006B6D77">
        <w:tab/>
      </w:r>
      <w:r w:rsidRPr="00A57EAE">
        <w:tab/>
      </w:r>
      <w:r w:rsidR="00B323A5" w:rsidRPr="00A57EAE">
        <w:t>Welcome</w:t>
      </w:r>
      <w:r w:rsidR="00FE7153">
        <w:t>s</w:t>
      </w:r>
      <w:r w:rsidR="00B323A5" w:rsidRPr="00A57EAE">
        <w:t xml:space="preserve"> the proposal by the European ECO</w:t>
      </w:r>
      <w:r w:rsidR="00FE7153">
        <w:t xml:space="preserve"> </w:t>
      </w:r>
      <w:r w:rsidR="00B323A5" w:rsidRPr="00A57EAE">
        <w:t>Forum to organize a round</w:t>
      </w:r>
      <w:r w:rsidR="00FE7153">
        <w:t>-</w:t>
      </w:r>
      <w:r w:rsidR="00B323A5" w:rsidRPr="00A57EAE">
        <w:t xml:space="preserve">table discussion between </w:t>
      </w:r>
      <w:r w:rsidR="00FE7153">
        <w:t>m</w:t>
      </w:r>
      <w:r w:rsidR="00B323A5" w:rsidRPr="00A57EAE">
        <w:t>inisters and NGOs under the green economy theme</w:t>
      </w:r>
      <w:r w:rsidR="00FE7153">
        <w:t>,</w:t>
      </w:r>
      <w:r w:rsidR="00B323A5" w:rsidRPr="00A57EAE">
        <w:t xml:space="preserve"> and invite</w:t>
      </w:r>
      <w:r w:rsidR="00FE7153">
        <w:t>s</w:t>
      </w:r>
      <w:r w:rsidR="00B323A5" w:rsidRPr="00A57EAE">
        <w:t xml:space="preserve"> the Bureau</w:t>
      </w:r>
      <w:r w:rsidR="00DD21BA" w:rsidRPr="00A57EAE">
        <w:t xml:space="preserve"> to work</w:t>
      </w:r>
      <w:r w:rsidR="00B323A5" w:rsidRPr="00A57EAE">
        <w:t xml:space="preserve"> in close consultation with the European ECO</w:t>
      </w:r>
      <w:r w:rsidR="00FE7153">
        <w:t xml:space="preserve"> </w:t>
      </w:r>
      <w:r w:rsidR="00B323A5" w:rsidRPr="00A57EAE">
        <w:t>Forum on adapting the proposal to the set of questions for discussion under th</w:t>
      </w:r>
      <w:r w:rsidR="000C6B38">
        <w:t>at</w:t>
      </w:r>
      <w:r w:rsidR="00B323A5" w:rsidRPr="00A57EAE">
        <w:t xml:space="preserve"> theme</w:t>
      </w:r>
      <w:r w:rsidR="00C37CE4" w:rsidRPr="00A57EAE">
        <w:t>;</w:t>
      </w:r>
    </w:p>
    <w:p w:rsidR="00FF3C04" w:rsidRPr="00A57EAE" w:rsidRDefault="00A57EAE" w:rsidP="00773ADE">
      <w:pPr>
        <w:pStyle w:val="SingleTxtG"/>
        <w:spacing w:line="240" w:lineRule="auto"/>
        <w:ind w:left="1701"/>
      </w:pPr>
      <w:r w:rsidRPr="00A57EAE">
        <w:t>(viii)</w:t>
      </w:r>
      <w:r w:rsidRPr="00A57EAE">
        <w:tab/>
      </w:r>
      <w:r w:rsidR="00945FF1" w:rsidRPr="00A57EAE">
        <w:t>Welcome</w:t>
      </w:r>
      <w:r w:rsidR="00492938">
        <w:t>s</w:t>
      </w:r>
      <w:r w:rsidR="00945FF1" w:rsidRPr="00A57EAE">
        <w:t xml:space="preserve"> </w:t>
      </w:r>
      <w:r w:rsidR="009D642C" w:rsidRPr="00A57EAE">
        <w:t>and approve</w:t>
      </w:r>
      <w:r w:rsidR="00492938">
        <w:t>s</w:t>
      </w:r>
      <w:r w:rsidR="009D642C" w:rsidRPr="00A57EAE">
        <w:t xml:space="preserve"> </w:t>
      </w:r>
      <w:r w:rsidR="00945FF1" w:rsidRPr="00A57EAE">
        <w:t xml:space="preserve">the </w:t>
      </w:r>
      <w:r w:rsidR="00492938">
        <w:t>c</w:t>
      </w:r>
      <w:r w:rsidR="009D642C" w:rsidRPr="00A57EAE">
        <w:t xml:space="preserve">ommunication </w:t>
      </w:r>
      <w:r w:rsidR="00492938">
        <w:t>p</w:t>
      </w:r>
      <w:r w:rsidR="009D642C" w:rsidRPr="00A57EAE">
        <w:t>lan for the Batumi Conference (ECE/CEP/2015/13)</w:t>
      </w:r>
      <w:r w:rsidR="00FF3C04" w:rsidRPr="00A57EAE">
        <w:t>,</w:t>
      </w:r>
      <w:r w:rsidR="00665B17" w:rsidRPr="00A57EAE">
        <w:t xml:space="preserve"> </w:t>
      </w:r>
      <w:r w:rsidR="00396073" w:rsidRPr="00A57EAE">
        <w:t xml:space="preserve">including using the short slogan “Greener, Cleaner, Smarter!”, </w:t>
      </w:r>
      <w:r w:rsidR="00665B17" w:rsidRPr="00A57EAE">
        <w:t>and</w:t>
      </w:r>
      <w:r w:rsidR="00FF3C04" w:rsidRPr="00A57EAE">
        <w:t>:</w:t>
      </w:r>
      <w:r w:rsidR="008E3D38" w:rsidRPr="00A57EAE">
        <w:t xml:space="preserve"> </w:t>
      </w:r>
    </w:p>
    <w:p w:rsidR="005C31B8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a.</w:t>
      </w:r>
      <w:r w:rsidR="006B6D77">
        <w:tab/>
      </w:r>
      <w:r w:rsidRPr="00A57EAE">
        <w:tab/>
      </w:r>
      <w:r w:rsidR="00FF3C04" w:rsidRPr="00A57EAE">
        <w:t>I</w:t>
      </w:r>
      <w:r w:rsidR="00665B17" w:rsidRPr="00A57EAE">
        <w:t>nvite</w:t>
      </w:r>
      <w:r w:rsidR="00492938">
        <w:t>s</w:t>
      </w:r>
      <w:r w:rsidR="00665B17" w:rsidRPr="00A57EAE">
        <w:t xml:space="preserve"> countries and other EfE stakeholders to </w:t>
      </w:r>
      <w:r w:rsidR="00492938">
        <w:t xml:space="preserve">actively </w:t>
      </w:r>
      <w:r w:rsidR="00665B17" w:rsidRPr="00A57EAE">
        <w:t xml:space="preserve">promote the Conference and participate in </w:t>
      </w:r>
      <w:r w:rsidR="000C6B38">
        <w:t xml:space="preserve">the </w:t>
      </w:r>
      <w:r w:rsidR="00665B17" w:rsidRPr="00A57EAE">
        <w:t>communication activities</w:t>
      </w:r>
      <w:r w:rsidR="000C6B38">
        <w:t xml:space="preserve"> for the Conference</w:t>
      </w:r>
      <w:r w:rsidR="009D642C" w:rsidRPr="00A57EAE">
        <w:t>;</w:t>
      </w:r>
      <w:r w:rsidR="00CC15A3" w:rsidRPr="00A57EAE">
        <w:t xml:space="preserve"> </w:t>
      </w:r>
    </w:p>
    <w:p w:rsidR="00FF3C04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4818A0">
        <w:t>Also i</w:t>
      </w:r>
      <w:r w:rsidR="00FF3C04" w:rsidRPr="00A57EAE">
        <w:t>nvite</w:t>
      </w:r>
      <w:r w:rsidR="008E6C89">
        <w:t>s</w:t>
      </w:r>
      <w:r w:rsidR="00FF3C04" w:rsidRPr="00A57EAE">
        <w:t xml:space="preserve"> interested countries and organizations to </w:t>
      </w:r>
      <w:r w:rsidR="008E6C89">
        <w:t xml:space="preserve">provide </w:t>
      </w:r>
      <w:r w:rsidR="00FF3C04" w:rsidRPr="00A57EAE">
        <w:t>in-kind and financial</w:t>
      </w:r>
      <w:r w:rsidR="008E6C89">
        <w:t xml:space="preserve"> support for</w:t>
      </w:r>
      <w:r w:rsidR="00FF3C04" w:rsidRPr="00A57EAE">
        <w:t xml:space="preserve"> some of the communication activities, such as organizing the workshop for journalists and providing IISD daily news bulletins; </w:t>
      </w:r>
    </w:p>
    <w:p w:rsidR="00DD115A" w:rsidRPr="00A57EAE" w:rsidRDefault="00A57EAE" w:rsidP="00773ADE">
      <w:pPr>
        <w:pStyle w:val="SingleTxtG"/>
        <w:spacing w:line="240" w:lineRule="auto"/>
        <w:ind w:left="1701"/>
      </w:pPr>
      <w:r w:rsidRPr="00A57EAE">
        <w:t>(ix)</w:t>
      </w:r>
      <w:r w:rsidRPr="00A57EAE">
        <w:tab/>
      </w:r>
      <w:r w:rsidR="00204D6E" w:rsidRPr="00A57EAE">
        <w:t>T</w:t>
      </w:r>
      <w:r w:rsidR="008E6C89">
        <w:t>akes</w:t>
      </w:r>
      <w:r w:rsidR="00204D6E" w:rsidRPr="00A57EAE">
        <w:t xml:space="preserve"> note of the information on the resource requirements </w:t>
      </w:r>
      <w:r w:rsidR="00CF3DE5" w:rsidRPr="00A57EAE">
        <w:t>for the Conference (information paper No. 2)</w:t>
      </w:r>
      <w:r w:rsidR="008E6C89">
        <w:t>,</w:t>
      </w:r>
      <w:r w:rsidR="00463542" w:rsidRPr="00A57EAE">
        <w:t xml:space="preserve"> as well as the information on the resources provided by the host country</w:t>
      </w:r>
      <w:r w:rsidR="00D34235" w:rsidRPr="00A57EAE">
        <w:t>, and:</w:t>
      </w:r>
    </w:p>
    <w:p w:rsidR="00F01815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a.</w:t>
      </w:r>
      <w:r w:rsidRPr="00A57EAE">
        <w:tab/>
      </w:r>
      <w:r w:rsidR="006B6D77">
        <w:tab/>
      </w:r>
      <w:r w:rsidR="008E6C89">
        <w:t xml:space="preserve">Notes </w:t>
      </w:r>
      <w:r w:rsidR="00652131" w:rsidRPr="00A57EAE">
        <w:t>that</w:t>
      </w:r>
      <w:r w:rsidR="008E6C89">
        <w:t>,</w:t>
      </w:r>
      <w:r w:rsidR="00652131" w:rsidRPr="00A57EAE">
        <w:t xml:space="preserve"> in accordance with the </w:t>
      </w:r>
      <w:r w:rsidR="008E6C89">
        <w:t xml:space="preserve">Bureau’s </w:t>
      </w:r>
      <w:r w:rsidR="00652131" w:rsidRPr="00A57EAE">
        <w:t xml:space="preserve">recommendation, </w:t>
      </w:r>
      <w:r w:rsidR="008E6C89">
        <w:t xml:space="preserve">the secretariat sent </w:t>
      </w:r>
      <w:r w:rsidR="00652131" w:rsidRPr="00A57EAE">
        <w:t xml:space="preserve">official fundraising </w:t>
      </w:r>
      <w:r w:rsidR="008E6C89">
        <w:t xml:space="preserve">letters </w:t>
      </w:r>
      <w:r w:rsidR="00652131" w:rsidRPr="00A57EAE">
        <w:t xml:space="preserve">to 55 </w:t>
      </w:r>
      <w:r w:rsidR="008E6C89">
        <w:t>m</w:t>
      </w:r>
      <w:r w:rsidR="00652131" w:rsidRPr="00A57EAE">
        <w:t xml:space="preserve">inisters of </w:t>
      </w:r>
      <w:r w:rsidR="008E6C89">
        <w:t>e</w:t>
      </w:r>
      <w:r w:rsidR="00652131" w:rsidRPr="00A57EAE">
        <w:t xml:space="preserve">nvironment </w:t>
      </w:r>
      <w:r w:rsidR="008E6C89" w:rsidRPr="00A57EAE">
        <w:t xml:space="preserve">before the </w:t>
      </w:r>
      <w:r w:rsidR="008E6C89">
        <w:t xml:space="preserve">Committee’s twenty-first </w:t>
      </w:r>
      <w:r w:rsidR="008E6C89" w:rsidRPr="00A57EAE">
        <w:t xml:space="preserve">session </w:t>
      </w:r>
      <w:r w:rsidR="000C6B38">
        <w:t xml:space="preserve">through </w:t>
      </w:r>
      <w:r w:rsidR="00652131" w:rsidRPr="00A57EAE">
        <w:t xml:space="preserve">the </w:t>
      </w:r>
      <w:r w:rsidR="00B15507" w:rsidRPr="00A57EAE">
        <w:t xml:space="preserve">Permanent </w:t>
      </w:r>
      <w:r w:rsidR="00652131" w:rsidRPr="00A57EAE">
        <w:t>Missions to the United Nations at Geneva</w:t>
      </w:r>
      <w:r w:rsidR="00471BE5" w:rsidRPr="00A57EAE">
        <w:t xml:space="preserve">, and </w:t>
      </w:r>
      <w:r w:rsidR="00F867CA">
        <w:t xml:space="preserve">requests </w:t>
      </w:r>
      <w:r w:rsidR="00471BE5" w:rsidRPr="00A57EAE">
        <w:t>that a master copy be circulated by e</w:t>
      </w:r>
      <w:r w:rsidR="00F867CA">
        <w:t>-</w:t>
      </w:r>
      <w:r w:rsidR="00471BE5" w:rsidRPr="00A57EAE">
        <w:t xml:space="preserve">mail to </w:t>
      </w:r>
      <w:r w:rsidR="00F867CA">
        <w:t>the Committee</w:t>
      </w:r>
      <w:r w:rsidR="00652131" w:rsidRPr="00A57EAE">
        <w:t>;</w:t>
      </w:r>
    </w:p>
    <w:p w:rsidR="00A2494B" w:rsidRPr="00A57EAE" w:rsidRDefault="00A57EAE" w:rsidP="00773ADE">
      <w:pPr>
        <w:pStyle w:val="SingleTxtG"/>
        <w:spacing w:line="240" w:lineRule="auto"/>
        <w:ind w:left="1701" w:firstLine="426"/>
      </w:pPr>
      <w:r w:rsidRPr="00A57EAE">
        <w:t>b.</w:t>
      </w:r>
      <w:r w:rsidRPr="00A57EAE">
        <w:tab/>
      </w:r>
      <w:r w:rsidR="009F57E0" w:rsidRPr="00A57EAE">
        <w:t>Invite</w:t>
      </w:r>
      <w:r w:rsidR="00F867CA">
        <w:t>s</w:t>
      </w:r>
      <w:r w:rsidR="009F57E0" w:rsidRPr="00A57EAE">
        <w:t xml:space="preserve"> countries and other stakeholders to consider </w:t>
      </w:r>
      <w:r w:rsidR="00463542" w:rsidRPr="00A57EAE">
        <w:t xml:space="preserve">the need for resource mobilization to assist </w:t>
      </w:r>
      <w:r w:rsidR="00F867CA">
        <w:t xml:space="preserve">both the </w:t>
      </w:r>
      <w:r w:rsidR="00463542" w:rsidRPr="00A57EAE">
        <w:t xml:space="preserve">host country </w:t>
      </w:r>
      <w:r w:rsidR="00F42299" w:rsidRPr="00A57EAE">
        <w:t>a</w:t>
      </w:r>
      <w:r w:rsidR="00F01815" w:rsidRPr="00A57EAE">
        <w:t xml:space="preserve">nd the secretariat </w:t>
      </w:r>
      <w:r w:rsidR="00F867CA">
        <w:t xml:space="preserve">in </w:t>
      </w:r>
      <w:r w:rsidR="00F01815" w:rsidRPr="00A57EAE">
        <w:t>prepar</w:t>
      </w:r>
      <w:r w:rsidR="00F867CA">
        <w:t>ing for the Conference</w:t>
      </w:r>
      <w:r w:rsidR="00F01815" w:rsidRPr="00A57EAE">
        <w:t xml:space="preserve">, </w:t>
      </w:r>
      <w:r w:rsidR="00F867CA">
        <w:t xml:space="preserve">and in this regard expresses gratitude to </w:t>
      </w:r>
      <w:r w:rsidR="00F01815" w:rsidRPr="00A57EAE">
        <w:t xml:space="preserve">Norway for its financial contribution and Switzerland for </w:t>
      </w:r>
      <w:r w:rsidR="00F867CA">
        <w:t xml:space="preserve">its </w:t>
      </w:r>
      <w:r w:rsidR="00F01815" w:rsidRPr="00A57EAE">
        <w:t xml:space="preserve">pledge </w:t>
      </w:r>
      <w:r w:rsidR="00F867CA">
        <w:t xml:space="preserve">at </w:t>
      </w:r>
      <w:r w:rsidR="00F01815" w:rsidRPr="00A57EAE">
        <w:t xml:space="preserve">the </w:t>
      </w:r>
      <w:r w:rsidR="00F867CA">
        <w:t xml:space="preserve">session </w:t>
      </w:r>
      <w:r w:rsidR="00F01815" w:rsidRPr="00A57EAE">
        <w:t>to support secretariat activities under the EfE process, and ask</w:t>
      </w:r>
      <w:r w:rsidR="00F867CA">
        <w:t>s</w:t>
      </w:r>
      <w:r w:rsidR="00F01815" w:rsidRPr="00A57EAE">
        <w:t xml:space="preserve"> the host country and the secretariat to keep the </w:t>
      </w:r>
      <w:r w:rsidR="00F867CA">
        <w:t xml:space="preserve">Committee </w:t>
      </w:r>
      <w:r w:rsidR="00F01815" w:rsidRPr="00A57EAE">
        <w:t xml:space="preserve">and its Bureau informed </w:t>
      </w:r>
      <w:r w:rsidR="00F867CA">
        <w:t xml:space="preserve">about </w:t>
      </w:r>
      <w:r w:rsidR="00F01815" w:rsidRPr="00A57EAE">
        <w:t xml:space="preserve">progress </w:t>
      </w:r>
      <w:r w:rsidR="00F867CA">
        <w:t>in funding the Conference preparations</w:t>
      </w:r>
      <w:r w:rsidR="00F01815" w:rsidRPr="00A57EAE">
        <w:t>;</w:t>
      </w:r>
    </w:p>
    <w:p w:rsidR="00D34235" w:rsidRPr="00A57EAE" w:rsidRDefault="00A57EAE" w:rsidP="00773ADE">
      <w:pPr>
        <w:pStyle w:val="SingleTxtG"/>
        <w:spacing w:line="240" w:lineRule="auto"/>
        <w:ind w:left="1701"/>
      </w:pPr>
      <w:r w:rsidRPr="00A57EAE">
        <w:t>(x)</w:t>
      </w:r>
      <w:r w:rsidRPr="00A57EAE">
        <w:tab/>
      </w:r>
      <w:r w:rsidR="00E47A11" w:rsidRPr="00A57EAE">
        <w:t>Invite</w:t>
      </w:r>
      <w:r w:rsidR="00F867CA">
        <w:t>s</w:t>
      </w:r>
      <w:r w:rsidR="00E47A11" w:rsidRPr="00A57EAE">
        <w:t xml:space="preserve"> the Bureau, with support from the secretariat and in cooperation with relevant stakeholders, to continue with the preparation of the Batumi Ministerial </w:t>
      </w:r>
      <w:r w:rsidR="00E47A11" w:rsidRPr="00A57EAE">
        <w:lastRenderedPageBreak/>
        <w:t xml:space="preserve">Conference, including preparing for the </w:t>
      </w:r>
      <w:r w:rsidR="00F867CA">
        <w:t xml:space="preserve">Committee’s </w:t>
      </w:r>
      <w:r w:rsidR="00E47A11" w:rsidRPr="00A57EAE">
        <w:t>next session the documents requested above</w:t>
      </w:r>
      <w:r w:rsidR="00F867CA">
        <w:t>,</w:t>
      </w:r>
      <w:r w:rsidR="00E47A11" w:rsidRPr="00A57EAE">
        <w:t xml:space="preserve"> as well as any o</w:t>
      </w:r>
      <w:r w:rsidR="00E47A11" w:rsidRPr="00A57EAE">
        <w:rPr>
          <w:bCs/>
        </w:rPr>
        <w:t>ther documents that might be recommended by the Bureau;</w:t>
      </w:r>
    </w:p>
    <w:p w:rsidR="00E47A11" w:rsidRPr="00A57EAE" w:rsidRDefault="00A57EAE" w:rsidP="00773ADE">
      <w:pPr>
        <w:pStyle w:val="SingleTxtG"/>
        <w:spacing w:line="240" w:lineRule="auto"/>
        <w:ind w:left="1701"/>
      </w:pPr>
      <w:r w:rsidRPr="00A57EAE">
        <w:t>(xi)</w:t>
      </w:r>
      <w:r w:rsidRPr="00A57EAE">
        <w:tab/>
      </w:r>
      <w:r w:rsidR="004818A0">
        <w:t>Also i</w:t>
      </w:r>
      <w:r w:rsidR="00E47A11" w:rsidRPr="00A57EAE">
        <w:t>nvite</w:t>
      </w:r>
      <w:r w:rsidR="00F867CA">
        <w:t>s</w:t>
      </w:r>
      <w:r w:rsidR="00E47A11" w:rsidRPr="00A57EAE">
        <w:t xml:space="preserve"> UNEP and other stakeholders to contribute to </w:t>
      </w:r>
      <w:r w:rsidR="00F867CA">
        <w:t xml:space="preserve">the </w:t>
      </w:r>
      <w:r w:rsidR="00E47A11" w:rsidRPr="00A57EAE">
        <w:t xml:space="preserve">preparation of the </w:t>
      </w:r>
      <w:r w:rsidR="00C82D2E" w:rsidRPr="00A57EAE">
        <w:t>Batumi</w:t>
      </w:r>
      <w:r w:rsidR="00E47A11" w:rsidRPr="00A57EAE">
        <w:t xml:space="preserve"> Conference;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(f)</w:t>
      </w:r>
      <w:r w:rsidRPr="00A57EAE">
        <w:tab/>
      </w:r>
      <w:r w:rsidR="00707AD4" w:rsidRPr="00A57EAE">
        <w:t>Adopt</w:t>
      </w:r>
      <w:r w:rsidR="00F867CA">
        <w:t>s</w:t>
      </w:r>
      <w:r w:rsidR="00707AD4" w:rsidRPr="00A57EAE">
        <w:t xml:space="preserve"> the recommendations in the Third EPR of Georgia (information paper No. 3);</w:t>
      </w:r>
    </w:p>
    <w:p w:rsidR="00707AD4" w:rsidRPr="00A57EAE" w:rsidRDefault="00A57EAE" w:rsidP="00BD0263">
      <w:pPr>
        <w:pStyle w:val="SingleTxtG"/>
        <w:spacing w:line="240" w:lineRule="auto"/>
        <w:ind w:firstLine="567"/>
      </w:pPr>
      <w:r w:rsidRPr="00A57EAE">
        <w:t>(g)</w:t>
      </w:r>
      <w:r w:rsidRPr="00A57EAE">
        <w:tab/>
      </w:r>
      <w:r w:rsidR="00707AD4" w:rsidRPr="00A57EAE">
        <w:t>A</w:t>
      </w:r>
      <w:r w:rsidR="004818A0">
        <w:t>lso a</w:t>
      </w:r>
      <w:r w:rsidR="00707AD4" w:rsidRPr="00A57EAE">
        <w:t>dopt</w:t>
      </w:r>
      <w:r w:rsidR="00CF4868">
        <w:t>s</w:t>
      </w:r>
      <w:r w:rsidR="00707AD4" w:rsidRPr="00A57EAE">
        <w:t xml:space="preserve"> the recommendations in the Third EPR of Belarus (information paper No. 4);</w:t>
      </w:r>
    </w:p>
    <w:p w:rsidR="00221656" w:rsidRPr="00A57EAE" w:rsidRDefault="00A57EAE" w:rsidP="00BD0263">
      <w:pPr>
        <w:pStyle w:val="SingleTxtG"/>
        <w:spacing w:line="240" w:lineRule="auto"/>
        <w:ind w:firstLine="567"/>
      </w:pPr>
      <w:r w:rsidRPr="00A57EAE">
        <w:t>(h)</w:t>
      </w:r>
      <w:r w:rsidRPr="00A57EAE">
        <w:tab/>
      </w:r>
      <w:r w:rsidR="00BF1813" w:rsidRPr="00A57EAE">
        <w:t>Welcome</w:t>
      </w:r>
      <w:r w:rsidR="00CF4868">
        <w:t>s</w:t>
      </w:r>
      <w:r w:rsidR="00BF1813" w:rsidRPr="00A57EAE">
        <w:t xml:space="preserve"> the information provided by Morocco on </w:t>
      </w:r>
      <w:r w:rsidR="00AC5AC1">
        <w:t xml:space="preserve">the </w:t>
      </w:r>
      <w:r w:rsidR="00BF1813" w:rsidRPr="00A57EAE">
        <w:t xml:space="preserve">implementation of recommendations </w:t>
      </w:r>
      <w:r w:rsidR="00AC5AC1">
        <w:t xml:space="preserve">contained in the </w:t>
      </w:r>
      <w:r w:rsidR="003E3C7D" w:rsidRPr="00A57EAE">
        <w:t>EPR</w:t>
      </w:r>
      <w:r w:rsidR="00BF1813" w:rsidRPr="00A57EAE">
        <w:t xml:space="preserve"> conducted in 2013</w:t>
      </w:r>
      <w:r w:rsidR="00AF0B6E" w:rsidRPr="00A57EAE">
        <w:t>;</w:t>
      </w:r>
    </w:p>
    <w:p w:rsidR="00D552DC" w:rsidRPr="00A57EAE" w:rsidRDefault="00A57EAE" w:rsidP="00BD0263">
      <w:pPr>
        <w:pStyle w:val="SingleTxtG"/>
        <w:spacing w:line="240" w:lineRule="auto"/>
        <w:ind w:firstLine="567"/>
      </w:pPr>
      <w:r w:rsidRPr="00A57EAE">
        <w:t>(i)</w:t>
      </w:r>
      <w:r w:rsidRPr="00A57EAE">
        <w:tab/>
      </w:r>
      <w:r w:rsidR="004818A0">
        <w:t>Also w</w:t>
      </w:r>
      <w:r w:rsidR="00BB65C4" w:rsidRPr="00A57EAE">
        <w:t>elcome</w:t>
      </w:r>
      <w:r w:rsidR="00CF4868">
        <w:t>s</w:t>
      </w:r>
      <w:r w:rsidR="00BB65C4" w:rsidRPr="00A57EAE">
        <w:t xml:space="preserve"> the information provided by Albania on </w:t>
      </w:r>
      <w:r w:rsidR="00AC5AC1">
        <w:t xml:space="preserve">the </w:t>
      </w:r>
      <w:r w:rsidR="00BB65C4" w:rsidRPr="00A57EAE">
        <w:t xml:space="preserve">implementation of recommendations </w:t>
      </w:r>
      <w:r w:rsidR="00AC5AC1">
        <w:t xml:space="preserve">contained in </w:t>
      </w:r>
      <w:r w:rsidR="00BB65C4" w:rsidRPr="00A57EAE">
        <w:t xml:space="preserve">its second </w:t>
      </w:r>
      <w:r w:rsidR="003E3C7D" w:rsidRPr="00A57EAE">
        <w:t>EPR</w:t>
      </w:r>
      <w:r w:rsidR="00AC5AC1">
        <w:t>,</w:t>
      </w:r>
      <w:r w:rsidR="00BB65C4" w:rsidRPr="00A57EAE">
        <w:t xml:space="preserve"> conducted in 2011</w:t>
      </w:r>
      <w:r w:rsidR="00D552DC" w:rsidRPr="00A57EAE">
        <w:t>;</w:t>
      </w:r>
    </w:p>
    <w:p w:rsidR="00BF3E6C" w:rsidRPr="00A57EAE" w:rsidRDefault="00A57EAE" w:rsidP="00BD0263">
      <w:pPr>
        <w:pStyle w:val="SingleTxtG"/>
        <w:spacing w:line="240" w:lineRule="auto"/>
        <w:ind w:firstLine="567"/>
      </w:pPr>
      <w:r w:rsidRPr="00A57EAE">
        <w:t>(j)</w:t>
      </w:r>
      <w:r w:rsidRPr="00A57EAE">
        <w:tab/>
      </w:r>
      <w:r w:rsidR="00534D12" w:rsidRPr="00A57EAE">
        <w:t>Welcome</w:t>
      </w:r>
      <w:r w:rsidR="00CF4868">
        <w:t>s</w:t>
      </w:r>
      <w:r w:rsidR="00534D12" w:rsidRPr="00A57EAE">
        <w:t xml:space="preserve"> </w:t>
      </w:r>
      <w:r w:rsidR="004818A0">
        <w:t xml:space="preserve">in addition </w:t>
      </w:r>
      <w:r w:rsidR="00534D12" w:rsidRPr="00A57EAE">
        <w:t xml:space="preserve">the information provided on activities under the ECE </w:t>
      </w:r>
      <w:r w:rsidR="003E3C7D" w:rsidRPr="00A57EAE">
        <w:t>EPR</w:t>
      </w:r>
      <w:r w:rsidR="00534D12" w:rsidRPr="00A57EAE">
        <w:t xml:space="preserve"> Programme</w:t>
      </w:r>
      <w:r w:rsidR="00337897" w:rsidRPr="00A57EAE">
        <w:t>, acknowledg</w:t>
      </w:r>
      <w:r w:rsidR="00CF4868">
        <w:t>es</w:t>
      </w:r>
      <w:r w:rsidR="00337897" w:rsidRPr="00A57EAE">
        <w:t xml:space="preserve"> the EPRs as a flagship </w:t>
      </w:r>
      <w:r w:rsidR="00935267" w:rsidRPr="00A57EAE">
        <w:t>p</w:t>
      </w:r>
      <w:r w:rsidR="00337897" w:rsidRPr="00A57EAE">
        <w:t xml:space="preserve">rogramme of ECE, and </w:t>
      </w:r>
      <w:r w:rsidR="001B2078" w:rsidRPr="00A57EAE">
        <w:t>expresse</w:t>
      </w:r>
      <w:r w:rsidR="00CF4868">
        <w:t>s</w:t>
      </w:r>
      <w:r w:rsidR="001B2078" w:rsidRPr="00A57EAE">
        <w:t xml:space="preserve"> its appreciation to the secretariat for the excellent work</w:t>
      </w:r>
      <w:r w:rsidR="00CF4868">
        <w:t xml:space="preserve"> in support of the EPR Programme</w:t>
      </w:r>
      <w:r w:rsidR="008C3BE6" w:rsidRPr="00A57EAE">
        <w:t>;</w:t>
      </w:r>
    </w:p>
    <w:p w:rsidR="00BB65C4" w:rsidRPr="00A57EAE" w:rsidRDefault="00A57EAE" w:rsidP="00BD0263">
      <w:pPr>
        <w:pStyle w:val="SingleTxtG"/>
        <w:spacing w:line="240" w:lineRule="auto"/>
        <w:ind w:firstLine="567"/>
      </w:pPr>
      <w:r w:rsidRPr="00A57EAE">
        <w:t>(k)</w:t>
      </w:r>
      <w:r w:rsidRPr="00A57EAE">
        <w:tab/>
      </w:r>
      <w:r w:rsidR="00CF4868">
        <w:t xml:space="preserve">Takes </w:t>
      </w:r>
      <w:r w:rsidR="00534D12" w:rsidRPr="00A57EAE">
        <w:t xml:space="preserve">note of the information provided by the secretariat on resource mobilization for the </w:t>
      </w:r>
      <w:r w:rsidR="003E3C7D" w:rsidRPr="00A57EAE">
        <w:t>EPR</w:t>
      </w:r>
      <w:r w:rsidR="00534D12" w:rsidRPr="00A57EAE">
        <w:t xml:space="preserve"> Programme in 2015 and in particular thank</w:t>
      </w:r>
      <w:r w:rsidR="00CF4868">
        <w:t>s</w:t>
      </w:r>
      <w:r w:rsidR="00534D12" w:rsidRPr="00A57EAE">
        <w:t>:</w:t>
      </w:r>
    </w:p>
    <w:p w:rsidR="00534D12" w:rsidRPr="00A57EAE" w:rsidRDefault="00A57EAE" w:rsidP="00BD0263">
      <w:pPr>
        <w:pStyle w:val="SingleTxtG"/>
        <w:spacing w:line="240" w:lineRule="auto"/>
        <w:ind w:left="1701"/>
      </w:pPr>
      <w:r w:rsidRPr="00A57EAE">
        <w:t>(i)</w:t>
      </w:r>
      <w:r w:rsidRPr="00A57EAE">
        <w:tab/>
      </w:r>
      <w:r w:rsidR="002D0BE8" w:rsidRPr="00A57EAE">
        <w:t>Austria, Germany, the Netherlands, Norway, Sweden and Switzerland for their financial support</w:t>
      </w:r>
      <w:r w:rsidR="00B04888" w:rsidRPr="00A57EAE">
        <w:t>;</w:t>
      </w:r>
    </w:p>
    <w:p w:rsidR="00B04888" w:rsidRPr="00A57EAE" w:rsidRDefault="00A57EAE" w:rsidP="00BD0263">
      <w:pPr>
        <w:pStyle w:val="SingleTxtG"/>
        <w:spacing w:line="240" w:lineRule="auto"/>
        <w:ind w:left="1701"/>
      </w:pPr>
      <w:r w:rsidRPr="00A57EAE">
        <w:t>(ii)</w:t>
      </w:r>
      <w:r w:rsidRPr="00A57EAE">
        <w:tab/>
      </w:r>
      <w:r w:rsidR="002D0BE8" w:rsidRPr="00A57EAE">
        <w:t xml:space="preserve">Finland, France, the Netherlands, Portugal, </w:t>
      </w:r>
      <w:r w:rsidR="009F4A09" w:rsidRPr="00A57EAE">
        <w:t>UNEP</w:t>
      </w:r>
      <w:r w:rsidR="002D0BE8" w:rsidRPr="00A57EAE">
        <w:t>,</w:t>
      </w:r>
      <w:r w:rsidR="0026549E" w:rsidRPr="00A57EAE">
        <w:t xml:space="preserve"> the</w:t>
      </w:r>
      <w:r w:rsidR="002D0BE8" w:rsidRPr="00A57EAE">
        <w:t xml:space="preserve"> Joint </w:t>
      </w:r>
      <w:r w:rsidR="009F4A09" w:rsidRPr="00A57EAE">
        <w:t>UNEP</w:t>
      </w:r>
      <w:r w:rsidR="002D0BE8" w:rsidRPr="00A57EAE">
        <w:t>/</w:t>
      </w:r>
      <w:r w:rsidR="00CF4868">
        <w:t xml:space="preserve">OCHA </w:t>
      </w:r>
      <w:r w:rsidR="002D0BE8" w:rsidRPr="00A57EAE">
        <w:t xml:space="preserve">Environment Unit and </w:t>
      </w:r>
      <w:r w:rsidR="00CF4868">
        <w:t xml:space="preserve">WHO </w:t>
      </w:r>
      <w:r w:rsidR="002D0BE8" w:rsidRPr="00A57EAE">
        <w:rPr>
          <w:bCs/>
        </w:rPr>
        <w:t>for providing expertise</w:t>
      </w:r>
      <w:r w:rsidR="00B04888" w:rsidRPr="00A57EAE">
        <w:t>;</w:t>
      </w:r>
    </w:p>
    <w:p w:rsidR="001C31DA" w:rsidRPr="00A57EAE" w:rsidRDefault="00A57EAE" w:rsidP="00BD0263">
      <w:pPr>
        <w:pStyle w:val="SingleTxtG"/>
        <w:spacing w:line="240" w:lineRule="auto"/>
        <w:ind w:left="2268" w:hanging="567"/>
      </w:pPr>
      <w:r w:rsidRPr="00A57EAE">
        <w:t>(iii)</w:t>
      </w:r>
      <w:r w:rsidRPr="00A57EAE">
        <w:tab/>
      </w:r>
      <w:r w:rsidR="00CF4868">
        <w:rPr>
          <w:bCs/>
        </w:rPr>
        <w:t xml:space="preserve">UNDP </w:t>
      </w:r>
      <w:r w:rsidR="00E85FEE" w:rsidRPr="00A57EAE">
        <w:rPr>
          <w:bCs/>
        </w:rPr>
        <w:t>for logistic</w:t>
      </w:r>
      <w:r w:rsidR="00AA11AA" w:rsidRPr="00A57EAE">
        <w:rPr>
          <w:bCs/>
        </w:rPr>
        <w:t>al</w:t>
      </w:r>
      <w:r w:rsidR="00E85FEE" w:rsidRPr="00A57EAE">
        <w:rPr>
          <w:bCs/>
        </w:rPr>
        <w:t xml:space="preserve"> support</w:t>
      </w:r>
      <w:r w:rsidR="001C31DA" w:rsidRPr="00A57EAE">
        <w:t>;</w:t>
      </w:r>
    </w:p>
    <w:p w:rsidR="008C1603" w:rsidRPr="00A57EAE" w:rsidRDefault="00A57EAE" w:rsidP="00BD0263">
      <w:pPr>
        <w:pStyle w:val="SingleTxtG"/>
        <w:spacing w:line="240" w:lineRule="auto"/>
        <w:ind w:left="1701"/>
      </w:pPr>
      <w:r w:rsidRPr="00A57EAE">
        <w:t>(iv)</w:t>
      </w:r>
      <w:r w:rsidRPr="00A57EAE">
        <w:tab/>
      </w:r>
      <w:r w:rsidR="008C1603" w:rsidRPr="00A57EAE">
        <w:t>Belgium and Portugal for providing training to the EPR Programme secretariat;</w:t>
      </w:r>
    </w:p>
    <w:p w:rsidR="00BB65C4" w:rsidRPr="00A57EAE" w:rsidRDefault="00A57EAE" w:rsidP="00BD0263">
      <w:pPr>
        <w:pStyle w:val="SingleTxtG"/>
        <w:spacing w:line="240" w:lineRule="auto"/>
        <w:ind w:firstLine="567"/>
      </w:pPr>
      <w:r w:rsidRPr="00A57EAE">
        <w:t>(l)</w:t>
      </w:r>
      <w:r w:rsidRPr="00A57EAE">
        <w:tab/>
      </w:r>
      <w:r w:rsidR="00836733" w:rsidRPr="00A57EAE">
        <w:t>Welcome</w:t>
      </w:r>
      <w:r w:rsidR="00CF4868">
        <w:t>s</w:t>
      </w:r>
      <w:r w:rsidR="00836733" w:rsidRPr="00A57EAE">
        <w:t xml:space="preserve"> the ongoing </w:t>
      </w:r>
      <w:r w:rsidR="00641F37" w:rsidRPr="00A57EAE">
        <w:t>t</w:t>
      </w:r>
      <w:r w:rsidR="00836733" w:rsidRPr="00A57EAE">
        <w:t xml:space="preserve">hird </w:t>
      </w:r>
      <w:r w:rsidR="00316F95" w:rsidRPr="00A57EAE">
        <w:rPr>
          <w:bCs/>
        </w:rPr>
        <w:t>EPR</w:t>
      </w:r>
      <w:r w:rsidR="00836733" w:rsidRPr="00A57EAE">
        <w:t xml:space="preserve"> of Tajikistan, as well as requests from Bulgaria, Kazakhstan and Kyrgyzstan to undergo a third </w:t>
      </w:r>
      <w:r w:rsidR="00E36832" w:rsidRPr="00A57EAE">
        <w:t>EPR</w:t>
      </w:r>
      <w:r w:rsidR="00836733" w:rsidRPr="00A57EAE">
        <w:t>;</w:t>
      </w:r>
    </w:p>
    <w:p w:rsidR="00FA6BA4" w:rsidRPr="00A57EAE" w:rsidRDefault="00A57EAE" w:rsidP="00BD0263">
      <w:pPr>
        <w:pStyle w:val="SingleTxtG"/>
        <w:spacing w:line="240" w:lineRule="auto"/>
        <w:ind w:firstLine="567"/>
      </w:pPr>
      <w:r w:rsidRPr="00A57EAE">
        <w:t>(m)</w:t>
      </w:r>
      <w:r w:rsidRPr="00A57EAE">
        <w:tab/>
      </w:r>
      <w:r w:rsidR="00AC5AC1">
        <w:t>Also w</w:t>
      </w:r>
      <w:r w:rsidR="00FA6BA4" w:rsidRPr="00A57EAE">
        <w:t>elcome</w:t>
      </w:r>
      <w:r w:rsidR="00CF4868">
        <w:t>s</w:t>
      </w:r>
      <w:r w:rsidR="00FA6BA4" w:rsidRPr="00A57EAE">
        <w:t xml:space="preserve"> the offer of Bosnia and Herzegovina to undergo a third EPR in </w:t>
      </w:r>
      <w:r w:rsidR="00252DC5" w:rsidRPr="00A57EAE">
        <w:t>2017</w:t>
      </w:r>
      <w:r w:rsidR="00E9319C" w:rsidRPr="00A57EAE">
        <w:t>–</w:t>
      </w:r>
      <w:r w:rsidR="00252DC5" w:rsidRPr="00A57EAE">
        <w:t>2018</w:t>
      </w:r>
      <w:r w:rsidR="00FA6BA4" w:rsidRPr="00A57EAE">
        <w:t>;</w:t>
      </w:r>
    </w:p>
    <w:p w:rsidR="00BB65C4" w:rsidRPr="00A57EAE" w:rsidRDefault="00A57EAE" w:rsidP="00BD0263">
      <w:pPr>
        <w:pStyle w:val="SingleTxtG"/>
        <w:spacing w:line="240" w:lineRule="auto"/>
        <w:ind w:firstLine="567"/>
      </w:pPr>
      <w:r w:rsidRPr="00A57EAE">
        <w:t>(n)</w:t>
      </w:r>
      <w:r w:rsidRPr="00A57EAE">
        <w:tab/>
      </w:r>
      <w:r w:rsidR="009E4525" w:rsidRPr="00A57EAE">
        <w:t>Request</w:t>
      </w:r>
      <w:r w:rsidR="00CF4868">
        <w:t>s</w:t>
      </w:r>
      <w:r w:rsidR="00821646" w:rsidRPr="00A57EAE">
        <w:t xml:space="preserve"> the secretariat to develop and publish review</w:t>
      </w:r>
      <w:r w:rsidR="00916203" w:rsidRPr="00A57EAE">
        <w:t>s</w:t>
      </w:r>
      <w:r w:rsidR="00821646" w:rsidRPr="00A57EAE">
        <w:t xml:space="preserve"> of lessons learned in implementation of EPR recommendations </w:t>
      </w:r>
      <w:r w:rsidR="00954BD9" w:rsidRPr="00A57EAE">
        <w:t xml:space="preserve">and </w:t>
      </w:r>
      <w:r w:rsidR="00821646" w:rsidRPr="00A57EAE">
        <w:t>to analy</w:t>
      </w:r>
      <w:r w:rsidR="00CF4868">
        <w:t>s</w:t>
      </w:r>
      <w:r w:rsidR="00821646" w:rsidRPr="00A57EAE">
        <w:t xml:space="preserve">e the impact of </w:t>
      </w:r>
      <w:r w:rsidR="00CF4868">
        <w:t xml:space="preserve">the </w:t>
      </w:r>
      <w:r w:rsidR="00821646" w:rsidRPr="00A57EAE">
        <w:t xml:space="preserve">implementation of recommended national policies, strategies and initiatives on the state of </w:t>
      </w:r>
      <w:r w:rsidR="00CF4868">
        <w:t xml:space="preserve">the </w:t>
      </w:r>
      <w:r w:rsidR="00821646" w:rsidRPr="00A57EAE">
        <w:t xml:space="preserve">environment in </w:t>
      </w:r>
      <w:r w:rsidR="00AC5AC1">
        <w:t xml:space="preserve">the </w:t>
      </w:r>
      <w:r w:rsidR="00821646" w:rsidRPr="00A57EAE">
        <w:t>countries</w:t>
      </w:r>
      <w:r w:rsidR="00AC5AC1">
        <w:t xml:space="preserve"> reviewed</w:t>
      </w:r>
      <w:r w:rsidR="003916DE" w:rsidRPr="00A57EAE">
        <w:t>, and welcome</w:t>
      </w:r>
      <w:r w:rsidR="00CF4868">
        <w:t>s</w:t>
      </w:r>
      <w:r w:rsidR="003916DE" w:rsidRPr="00A57EAE">
        <w:t xml:space="preserve"> the cooperation with UNEP in this regard to prepare such a document for the Batumi Conference</w:t>
      </w:r>
      <w:r w:rsidR="00697E4C" w:rsidRPr="00A57EAE">
        <w:t>;</w:t>
      </w:r>
    </w:p>
    <w:p w:rsidR="00DD74E1" w:rsidRPr="00A57EAE" w:rsidRDefault="00A57EAE" w:rsidP="00BD0263">
      <w:pPr>
        <w:pStyle w:val="SingleTxtG"/>
        <w:spacing w:line="240" w:lineRule="auto"/>
        <w:ind w:firstLine="567"/>
      </w:pPr>
      <w:r w:rsidRPr="00A57EAE">
        <w:t>(o)</w:t>
      </w:r>
      <w:r w:rsidRPr="00A57EAE">
        <w:tab/>
      </w:r>
      <w:r w:rsidR="000225DD" w:rsidRPr="00A57EAE">
        <w:t>Appreciate</w:t>
      </w:r>
      <w:r w:rsidR="00CF4868">
        <w:t>s</w:t>
      </w:r>
      <w:r w:rsidR="000225DD" w:rsidRPr="00A57EAE">
        <w:t xml:space="preserve"> greatly the work of the ECE Expert Group on </w:t>
      </w:r>
      <w:r w:rsidR="00F87655" w:rsidRPr="00A57EAE">
        <w:t>EPRs</w:t>
      </w:r>
      <w:r w:rsidR="000225DD" w:rsidRPr="00A57EAE">
        <w:t xml:space="preserve"> in 2015 and invite</w:t>
      </w:r>
      <w:r w:rsidR="00CF4868">
        <w:t>s</w:t>
      </w:r>
      <w:r w:rsidR="000225DD" w:rsidRPr="00A57EAE">
        <w:t xml:space="preserve"> delegations to nominate their representatives to the Group</w:t>
      </w:r>
      <w:r w:rsidR="00B70ADA" w:rsidRPr="00A57EAE">
        <w:t>;</w:t>
      </w:r>
    </w:p>
    <w:p w:rsidR="00913344" w:rsidRPr="00A57EAE" w:rsidRDefault="00A57EAE" w:rsidP="00BD0263">
      <w:pPr>
        <w:pStyle w:val="SingleTxtG"/>
        <w:spacing w:line="240" w:lineRule="auto"/>
        <w:ind w:firstLine="567"/>
      </w:pPr>
      <w:r w:rsidRPr="00A57EAE">
        <w:t>(p)</w:t>
      </w:r>
      <w:r w:rsidRPr="00A57EAE">
        <w:tab/>
      </w:r>
      <w:r w:rsidR="007C0E9E" w:rsidRPr="00A57EAE">
        <w:t>Encourage</w:t>
      </w:r>
      <w:r w:rsidR="007045AE">
        <w:t>s</w:t>
      </w:r>
      <w:r w:rsidR="00913344" w:rsidRPr="00A57EAE">
        <w:t xml:space="preserve"> delegations to provide in-kind (expert) and financial support to the EPR Programme</w:t>
      </w:r>
      <w:r w:rsidR="006F1D23" w:rsidRPr="00A57EAE">
        <w:t>;</w:t>
      </w:r>
      <w:r w:rsidR="00913344" w:rsidRPr="00A57EAE">
        <w:t xml:space="preserve"> </w:t>
      </w:r>
    </w:p>
    <w:p w:rsidR="00364F29" w:rsidRPr="00A57EAE" w:rsidRDefault="00A57EAE" w:rsidP="00BD0263">
      <w:pPr>
        <w:pStyle w:val="SingleTxtG"/>
        <w:spacing w:line="240" w:lineRule="auto"/>
        <w:ind w:firstLine="567"/>
      </w:pPr>
      <w:r w:rsidRPr="00A57EAE">
        <w:t>(q)</w:t>
      </w:r>
      <w:r w:rsidRPr="00A57EAE">
        <w:tab/>
      </w:r>
      <w:r w:rsidR="00364F29" w:rsidRPr="00A57EAE">
        <w:t>Welcome</w:t>
      </w:r>
      <w:r w:rsidR="007045AE">
        <w:t>s</w:t>
      </w:r>
      <w:r w:rsidR="00364F29" w:rsidRPr="00A57EAE">
        <w:t xml:space="preserve"> the information provided during the high-level round</w:t>
      </w:r>
      <w:r w:rsidR="007045AE">
        <w:t xml:space="preserve"> </w:t>
      </w:r>
      <w:r w:rsidR="00364F29" w:rsidRPr="00A57EAE">
        <w:t>table</w:t>
      </w:r>
      <w:r w:rsidR="007045AE">
        <w:t>,</w:t>
      </w:r>
      <w:r w:rsidR="00364F29" w:rsidRPr="00A57EAE">
        <w:t xml:space="preserve"> “Addressing air quality </w:t>
      </w:r>
      <w:r w:rsidR="007045AE">
        <w:t>—</w:t>
      </w:r>
      <w:r w:rsidR="00364F29" w:rsidRPr="00A57EAE">
        <w:t xml:space="preserve"> working across the environment, transport and energy sectors: 2015 Environmental Performance Reviews of Belarus, Georgia and the Netherlands”</w:t>
      </w:r>
      <w:r w:rsidR="007045AE">
        <w:t>,</w:t>
      </w:r>
      <w:r w:rsidR="00F33F40" w:rsidRPr="00A57EAE">
        <w:t xml:space="preserve"> and expresse</w:t>
      </w:r>
      <w:r w:rsidR="007045AE">
        <w:t>s</w:t>
      </w:r>
      <w:r w:rsidR="00F33F40" w:rsidRPr="00A57EAE">
        <w:t xml:space="preserve"> appreciation to the panellists for their contributions, and:</w:t>
      </w:r>
    </w:p>
    <w:p w:rsidR="0068285D" w:rsidRPr="00A57EAE" w:rsidRDefault="00392ECA" w:rsidP="00BD0263">
      <w:pPr>
        <w:pStyle w:val="SingleTxtG"/>
        <w:spacing w:line="240" w:lineRule="auto"/>
        <w:ind w:left="1701"/>
      </w:pPr>
      <w:r>
        <w:t>(i)</w:t>
      </w:r>
      <w:r>
        <w:tab/>
      </w:r>
      <w:r w:rsidR="0068285D" w:rsidRPr="00A57EAE">
        <w:t>Acknowledge</w:t>
      </w:r>
      <w:r w:rsidR="007045AE">
        <w:t>s</w:t>
      </w:r>
      <w:r w:rsidR="0068285D" w:rsidRPr="00A57EAE">
        <w:t xml:space="preserve"> the importance of the effective cooperation between the environment, transport and energy sectors for improving air quality;</w:t>
      </w:r>
    </w:p>
    <w:p w:rsidR="00F33F40" w:rsidRPr="00A57EAE" w:rsidRDefault="00392ECA" w:rsidP="00BD0263">
      <w:pPr>
        <w:pStyle w:val="SingleTxtG"/>
        <w:spacing w:line="240" w:lineRule="auto"/>
        <w:ind w:left="1701"/>
      </w:pPr>
      <w:r>
        <w:lastRenderedPageBreak/>
        <w:t>(ii)</w:t>
      </w:r>
      <w:r w:rsidR="00A57EAE" w:rsidRPr="00A57EAE">
        <w:tab/>
      </w:r>
      <w:r w:rsidR="007045AE">
        <w:t>Also a</w:t>
      </w:r>
      <w:r w:rsidR="00BB2FF7" w:rsidRPr="00A57EAE">
        <w:t>cknowledge</w:t>
      </w:r>
      <w:r w:rsidR="007045AE">
        <w:t>s</w:t>
      </w:r>
      <w:r w:rsidR="00BB2FF7" w:rsidRPr="00A57EAE">
        <w:t xml:space="preserve"> the importance of intersectoral cooperation to ensure an integrated approach for the achievement of SDGs</w:t>
      </w:r>
      <w:r w:rsidR="007045AE">
        <w:t>, and in particular</w:t>
      </w:r>
      <w:r w:rsidR="00BB2FF7" w:rsidRPr="00A57EAE">
        <w:t xml:space="preserve"> </w:t>
      </w:r>
      <w:r w:rsidR="007045AE">
        <w:t xml:space="preserve">those </w:t>
      </w:r>
      <w:r w:rsidR="00BB2FF7" w:rsidRPr="00A57EAE">
        <w:t>related to air quality;</w:t>
      </w:r>
    </w:p>
    <w:p w:rsidR="00BB2FF7" w:rsidRPr="00A57EAE" w:rsidRDefault="00392ECA" w:rsidP="00BD0263">
      <w:pPr>
        <w:pStyle w:val="SingleTxtG"/>
        <w:spacing w:line="240" w:lineRule="auto"/>
        <w:ind w:left="1701"/>
      </w:pPr>
      <w:r>
        <w:t>(iii)</w:t>
      </w:r>
      <w:r w:rsidR="00A57EAE" w:rsidRPr="00A57EAE">
        <w:tab/>
      </w:r>
      <w:r w:rsidR="007045AE">
        <w:t xml:space="preserve">Recognizes </w:t>
      </w:r>
      <w:r w:rsidR="001F1EDD" w:rsidRPr="00A57EAE">
        <w:t xml:space="preserve">the importance of EPRs as a mechanism for review, exchange of experiences and transfer of good practices, which may be useful </w:t>
      </w:r>
      <w:r w:rsidR="007045AE">
        <w:t xml:space="preserve">in </w:t>
      </w:r>
      <w:r w:rsidR="00F70F16" w:rsidRPr="00A57EAE">
        <w:t>review</w:t>
      </w:r>
      <w:r w:rsidR="007045AE">
        <w:t>ing</w:t>
      </w:r>
      <w:r w:rsidR="00F70F16" w:rsidRPr="00A57EAE">
        <w:t xml:space="preserve"> </w:t>
      </w:r>
      <w:r w:rsidR="007045AE">
        <w:t xml:space="preserve">the </w:t>
      </w:r>
      <w:r w:rsidR="00F70F16" w:rsidRPr="00A57EAE">
        <w:t>implementation of SDGs;</w:t>
      </w:r>
    </w:p>
    <w:p w:rsidR="00F70F16" w:rsidRPr="00A57EAE" w:rsidRDefault="00392ECA" w:rsidP="00BD0263">
      <w:pPr>
        <w:pStyle w:val="SingleTxtG"/>
        <w:spacing w:line="240" w:lineRule="auto"/>
        <w:ind w:left="1701"/>
      </w:pPr>
      <w:r>
        <w:t>(iv)</w:t>
      </w:r>
      <w:r w:rsidR="00A57EAE" w:rsidRPr="00A57EAE">
        <w:tab/>
      </w:r>
      <w:r w:rsidR="007D1084" w:rsidRPr="00A57EAE">
        <w:t>Welcome</w:t>
      </w:r>
      <w:r w:rsidR="007045AE">
        <w:t>s</w:t>
      </w:r>
      <w:r w:rsidR="007D1084" w:rsidRPr="00A57EAE">
        <w:t xml:space="preserve"> the information provided by Belarus and Georgia on their plans to join the Protocol to Abate Acidification, Eutrophication and Ground-level Ozone to the ECE Air Convention by mid-2018 and by the end of 2019, respectively;</w:t>
      </w:r>
    </w:p>
    <w:p w:rsidR="007D1084" w:rsidRPr="00A57EAE" w:rsidRDefault="00392ECA" w:rsidP="00BD0263">
      <w:pPr>
        <w:pStyle w:val="SingleTxtG"/>
        <w:spacing w:line="240" w:lineRule="auto"/>
        <w:ind w:left="1701"/>
      </w:pPr>
      <w:r>
        <w:t>(v)</w:t>
      </w:r>
      <w:r w:rsidR="00A57EAE" w:rsidRPr="00A57EAE">
        <w:tab/>
      </w:r>
      <w:r w:rsidR="00E16D6C" w:rsidRPr="00A57EAE">
        <w:t>Expresse</w:t>
      </w:r>
      <w:r w:rsidR="007045AE">
        <w:t>s</w:t>
      </w:r>
      <w:r w:rsidR="00E16D6C" w:rsidRPr="00A57EAE">
        <w:t xml:space="preserve"> appreciation of the contribution of the ECE Transport and </w:t>
      </w:r>
      <w:r w:rsidR="007344B1">
        <w:t xml:space="preserve">Sustainable </w:t>
      </w:r>
      <w:r w:rsidR="00E16D6C" w:rsidRPr="00A57EAE">
        <w:t xml:space="preserve">Energy Divisions to the preparation of </w:t>
      </w:r>
      <w:r w:rsidR="00380C18">
        <w:t xml:space="preserve">the </w:t>
      </w:r>
      <w:r w:rsidR="00E16D6C" w:rsidRPr="00A57EAE">
        <w:t>EPRs of Georgia and Belarus</w:t>
      </w:r>
      <w:r w:rsidR="00EC1FAD" w:rsidRPr="00A57EAE">
        <w:t xml:space="preserve"> and for their contributions to the round</w:t>
      </w:r>
      <w:r>
        <w:t xml:space="preserve"> </w:t>
      </w:r>
      <w:r w:rsidR="00EC1FAD" w:rsidRPr="00A57EAE">
        <w:t>table</w:t>
      </w:r>
      <w:r>
        <w:t>;</w:t>
      </w:r>
    </w:p>
    <w:p w:rsidR="00913344" w:rsidRPr="00A57EAE" w:rsidRDefault="00A57EAE" w:rsidP="00BD0263">
      <w:pPr>
        <w:pStyle w:val="SingleTxtG"/>
        <w:spacing w:line="240" w:lineRule="auto"/>
        <w:ind w:firstLine="567"/>
      </w:pPr>
      <w:r w:rsidRPr="00A57EAE">
        <w:t>(r)</w:t>
      </w:r>
      <w:r w:rsidRPr="00A57EAE">
        <w:tab/>
      </w:r>
      <w:r w:rsidR="00625746" w:rsidRPr="00A57EAE">
        <w:t>A</w:t>
      </w:r>
      <w:r w:rsidR="00355F6E" w:rsidRPr="00A57EAE">
        <w:t>ppreciate</w:t>
      </w:r>
      <w:r w:rsidR="00380C18">
        <w:t>s</w:t>
      </w:r>
      <w:r w:rsidR="00355F6E" w:rsidRPr="00A57EAE">
        <w:t xml:space="preserve"> </w:t>
      </w:r>
      <w:r w:rsidR="00625746" w:rsidRPr="00A57EAE">
        <w:t xml:space="preserve">greatly </w:t>
      </w:r>
      <w:r w:rsidR="00355F6E" w:rsidRPr="00A57EAE">
        <w:t>the work of the Joint Task Force on Environmental Indicators, and adopt</w:t>
      </w:r>
      <w:r w:rsidR="00380C18">
        <w:t>s</w:t>
      </w:r>
      <w:r w:rsidR="00355F6E" w:rsidRPr="00A57EAE">
        <w:t xml:space="preserve"> the renewed mandate of the Task Force</w:t>
      </w:r>
      <w:r w:rsidR="00D33FDB" w:rsidRPr="00A57EAE">
        <w:t>, including the new name</w:t>
      </w:r>
      <w:r w:rsidR="00355F6E" w:rsidRPr="00A57EAE">
        <w:t xml:space="preserve"> </w:t>
      </w:r>
      <w:r w:rsidR="00D33FDB" w:rsidRPr="00A57EAE">
        <w:t>Joint Task Force on Environmental Statistics and Indicators</w:t>
      </w:r>
      <w:r w:rsidR="008C2FAC" w:rsidRPr="00A57EAE">
        <w:t xml:space="preserve">, as presented in annex II to document ECE/CEP/2015/12, </w:t>
      </w:r>
      <w:r w:rsidR="00355F6E" w:rsidRPr="00A57EAE">
        <w:t xml:space="preserve">for </w:t>
      </w:r>
      <w:r w:rsidR="00D94D11" w:rsidRPr="00A57EAE">
        <w:t>two</w:t>
      </w:r>
      <w:r w:rsidR="00355F6E" w:rsidRPr="00A57EAE">
        <w:t xml:space="preserve"> year</w:t>
      </w:r>
      <w:r w:rsidR="00D94D11" w:rsidRPr="00A57EAE">
        <w:t>s</w:t>
      </w:r>
      <w:r w:rsidR="00355F6E" w:rsidRPr="00A57EAE">
        <w:t xml:space="preserve"> until the </w:t>
      </w:r>
      <w:r w:rsidR="002275AE">
        <w:t xml:space="preserve">Committee’s </w:t>
      </w:r>
      <w:r w:rsidR="00355F6E" w:rsidRPr="00A57EAE">
        <w:t>twenty-</w:t>
      </w:r>
      <w:r w:rsidR="00D94D11" w:rsidRPr="00A57EAE">
        <w:t>third</w:t>
      </w:r>
      <w:r w:rsidR="00355F6E" w:rsidRPr="00A57EAE">
        <w:t xml:space="preserve"> session in 201</w:t>
      </w:r>
      <w:r w:rsidR="00D94D11" w:rsidRPr="00A57EAE">
        <w:t>7</w:t>
      </w:r>
      <w:r w:rsidR="00355F6E" w:rsidRPr="00A57EAE">
        <w:t>, and request</w:t>
      </w:r>
      <w:r w:rsidR="002275AE">
        <w:t>s</w:t>
      </w:r>
      <w:r w:rsidR="00355F6E" w:rsidRPr="00A57EAE">
        <w:t xml:space="preserve"> the secretariat to submit the renewed mandate, as amended, </w:t>
      </w:r>
      <w:r w:rsidR="00A86CAE" w:rsidRPr="00A57EAE">
        <w:t xml:space="preserve">in coordination with the Conference of the European Statisticians, </w:t>
      </w:r>
      <w:r w:rsidR="00355F6E" w:rsidRPr="00A57EAE">
        <w:t xml:space="preserve">to the </w:t>
      </w:r>
      <w:r w:rsidR="00B23219" w:rsidRPr="00A57EAE">
        <w:t xml:space="preserve">ECE </w:t>
      </w:r>
      <w:r w:rsidR="00355F6E" w:rsidRPr="00A57EAE">
        <w:t>Executive Committee for approval;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(s)</w:t>
      </w:r>
      <w:r w:rsidRPr="00A57EAE">
        <w:tab/>
      </w:r>
      <w:r w:rsidR="005929F1" w:rsidRPr="00A57EAE">
        <w:t xml:space="preserve">Also </w:t>
      </w:r>
      <w:r w:rsidR="0069545D" w:rsidRPr="00A57EAE">
        <w:t>appreciate</w:t>
      </w:r>
      <w:r w:rsidR="002275AE">
        <w:t>s</w:t>
      </w:r>
      <w:r w:rsidR="005929F1" w:rsidRPr="00A57EAE">
        <w:t xml:space="preserve"> greatly</w:t>
      </w:r>
      <w:r w:rsidR="0069545D" w:rsidRPr="00A57EAE">
        <w:t xml:space="preserve"> the work of the Working Group on Environmental Monitoring and Assessment, and adopt</w:t>
      </w:r>
      <w:r w:rsidR="002275AE">
        <w:t>s</w:t>
      </w:r>
      <w:r w:rsidR="0069545D" w:rsidRPr="00A57EAE">
        <w:t xml:space="preserve"> the renewed mandate and terms of reference for the Working Group, as presented in annex I to document ECE/CEP/201</w:t>
      </w:r>
      <w:r w:rsidR="00FF1EA2" w:rsidRPr="00A57EAE">
        <w:t>5</w:t>
      </w:r>
      <w:r w:rsidR="0069545D" w:rsidRPr="00A57EAE">
        <w:t>/1</w:t>
      </w:r>
      <w:r w:rsidR="00FF1EA2" w:rsidRPr="00A57EAE">
        <w:t>2</w:t>
      </w:r>
      <w:r w:rsidR="0069545D" w:rsidRPr="00A57EAE">
        <w:t xml:space="preserve">, with the following amendments: </w:t>
      </w:r>
    </w:p>
    <w:p w:rsidR="0069545D" w:rsidRPr="00A57EAE" w:rsidRDefault="00A57EAE" w:rsidP="00BD0263">
      <w:pPr>
        <w:pStyle w:val="SingleTxtG"/>
        <w:spacing w:line="240" w:lineRule="auto"/>
        <w:ind w:left="1701"/>
      </w:pPr>
      <w:r w:rsidRPr="00A57EAE">
        <w:t>(i)</w:t>
      </w:r>
      <w:r w:rsidRPr="00A57EAE">
        <w:tab/>
      </w:r>
      <w:r w:rsidR="0069545D" w:rsidRPr="00A57EAE">
        <w:t xml:space="preserve">The mandate </w:t>
      </w:r>
      <w:r w:rsidR="002275AE">
        <w:t xml:space="preserve">is </w:t>
      </w:r>
      <w:r w:rsidR="0069545D" w:rsidRPr="00A57EAE">
        <w:t xml:space="preserve">renewed for one year, until the </w:t>
      </w:r>
      <w:r w:rsidR="002275AE">
        <w:t xml:space="preserve">Committee’s </w:t>
      </w:r>
      <w:r w:rsidR="0069545D" w:rsidRPr="00A57EAE">
        <w:t>twenty-</w:t>
      </w:r>
      <w:r w:rsidR="00FF1EA2" w:rsidRPr="00A57EAE">
        <w:t>second</w:t>
      </w:r>
      <w:r w:rsidR="0069545D" w:rsidRPr="00A57EAE">
        <w:t xml:space="preserve"> session in </w:t>
      </w:r>
      <w:r w:rsidR="00FF1EA2" w:rsidRPr="00A57EAE">
        <w:t xml:space="preserve">December </w:t>
      </w:r>
      <w:r w:rsidR="0069545D" w:rsidRPr="00A57EAE">
        <w:t>201</w:t>
      </w:r>
      <w:r w:rsidR="00FF1EA2" w:rsidRPr="00A57EAE">
        <w:t>6</w:t>
      </w:r>
      <w:r w:rsidR="0069545D" w:rsidRPr="00A57EAE">
        <w:t>;</w:t>
      </w:r>
    </w:p>
    <w:p w:rsidR="00EA078C" w:rsidRPr="00A57EAE" w:rsidRDefault="00A57EAE" w:rsidP="00BD0263">
      <w:pPr>
        <w:pStyle w:val="SingleTxtG"/>
        <w:spacing w:line="240" w:lineRule="auto"/>
        <w:ind w:left="1701"/>
      </w:pPr>
      <w:r w:rsidRPr="00A57EAE">
        <w:t>(ii)</w:t>
      </w:r>
      <w:r w:rsidRPr="00A57EAE">
        <w:tab/>
      </w:r>
      <w:r w:rsidR="0069545D" w:rsidRPr="00A57EAE">
        <w:t xml:space="preserve">In paragraph </w:t>
      </w:r>
      <w:r w:rsidR="000536E1" w:rsidRPr="00A57EAE">
        <w:t xml:space="preserve">3 of the annex I </w:t>
      </w:r>
      <w:r w:rsidR="00EA078C" w:rsidRPr="00A57EAE">
        <w:t>two</w:t>
      </w:r>
      <w:r w:rsidR="0069545D" w:rsidRPr="00A57EAE">
        <w:t xml:space="preserve"> additional mandate</w:t>
      </w:r>
      <w:r w:rsidR="00EA078C" w:rsidRPr="00A57EAE">
        <w:t>s</w:t>
      </w:r>
      <w:r w:rsidR="0069545D" w:rsidRPr="00A57EAE">
        <w:t xml:space="preserve"> </w:t>
      </w:r>
      <w:r w:rsidR="002275AE">
        <w:t xml:space="preserve">are </w:t>
      </w:r>
      <w:r w:rsidR="0069545D" w:rsidRPr="00A57EAE">
        <w:t>g</w:t>
      </w:r>
      <w:r w:rsidR="00EA078C" w:rsidRPr="00A57EAE">
        <w:t>iven to the Working Group, i.e.:</w:t>
      </w:r>
    </w:p>
    <w:p w:rsidR="00EA078C" w:rsidRPr="00A57EAE" w:rsidRDefault="00A57EAE" w:rsidP="00BD0263">
      <w:pPr>
        <w:pStyle w:val="SingleTxtG"/>
        <w:spacing w:line="240" w:lineRule="auto"/>
        <w:ind w:left="1701" w:firstLine="567"/>
      </w:pPr>
      <w:r w:rsidRPr="00A57EAE">
        <w:t>a.</w:t>
      </w:r>
      <w:r w:rsidRPr="00A57EAE">
        <w:tab/>
      </w:r>
      <w:r w:rsidR="00EA078C" w:rsidRPr="00A57EAE">
        <w:t>T</w:t>
      </w:r>
      <w:r w:rsidR="0069545D" w:rsidRPr="00A57EAE">
        <w:t xml:space="preserve">o </w:t>
      </w:r>
      <w:r w:rsidR="000536E1" w:rsidRPr="00A57EAE">
        <w:t xml:space="preserve">further develop </w:t>
      </w:r>
      <w:r w:rsidR="002275AE">
        <w:t xml:space="preserve">the </w:t>
      </w:r>
      <w:r w:rsidR="000536E1" w:rsidRPr="00A57EAE">
        <w:t xml:space="preserve">methods and technical means </w:t>
      </w:r>
      <w:r w:rsidR="002275AE">
        <w:t xml:space="preserve">for </w:t>
      </w:r>
      <w:r w:rsidR="000536E1" w:rsidRPr="00A57EAE">
        <w:t>monitoring environment</w:t>
      </w:r>
      <w:r w:rsidR="00A706B7" w:rsidRPr="00A57EAE">
        <w:t>al</w:t>
      </w:r>
      <w:r w:rsidR="000536E1" w:rsidRPr="00A57EAE">
        <w:t xml:space="preserve"> pollution (including automatic monitoring stations</w:t>
      </w:r>
      <w:r w:rsidR="002275AE" w:rsidRPr="00A57EAE">
        <w:t>)</w:t>
      </w:r>
      <w:r w:rsidR="002275AE">
        <w:t xml:space="preserve"> </w:t>
      </w:r>
      <w:r w:rsidR="000536E1" w:rsidRPr="00A57EAE">
        <w:t>used by national monitoring systems</w:t>
      </w:r>
      <w:r w:rsidR="0069545D" w:rsidRPr="00A57EAE">
        <w:t>;</w:t>
      </w:r>
      <w:r w:rsidR="00EA078C" w:rsidRPr="00A57EAE">
        <w:t xml:space="preserve"> </w:t>
      </w:r>
    </w:p>
    <w:p w:rsidR="0069545D" w:rsidRPr="00A57EAE" w:rsidRDefault="00A57EAE" w:rsidP="00BD0263">
      <w:pPr>
        <w:pStyle w:val="SingleTxtG"/>
        <w:spacing w:line="240" w:lineRule="auto"/>
        <w:ind w:left="1701" w:firstLine="567"/>
      </w:pPr>
      <w:r w:rsidRPr="00A57EAE">
        <w:t>b.</w:t>
      </w:r>
      <w:r w:rsidRPr="00A57EAE">
        <w:tab/>
      </w:r>
      <w:r w:rsidR="00EA078C" w:rsidRPr="00A57EAE">
        <w:t xml:space="preserve">To serve as </w:t>
      </w:r>
      <w:r w:rsidR="00FA7D7B" w:rsidRPr="00A57EAE">
        <w:t xml:space="preserve">the regional environmental information and assessment network of networks, bringing together the UNEP </w:t>
      </w:r>
      <w:r w:rsidR="00B50BEF" w:rsidRPr="00A57EAE">
        <w:t>Global Environment Outlook</w:t>
      </w:r>
      <w:r w:rsidR="00FA7D7B" w:rsidRPr="00A57EAE">
        <w:t xml:space="preserve"> expert teams and the EEA</w:t>
      </w:r>
      <w:r w:rsidR="00DF65AC" w:rsidRPr="00A57EAE">
        <w:t xml:space="preserve"> European Environment Information and Observation Network (</w:t>
      </w:r>
      <w:r w:rsidR="00FA7D7B" w:rsidRPr="00A57EAE">
        <w:t>Eionet</w:t>
      </w:r>
      <w:r w:rsidR="00DF65AC" w:rsidRPr="00A57EAE">
        <w:t>)</w:t>
      </w:r>
      <w:r w:rsidR="00FA7D7B" w:rsidRPr="00A57EAE">
        <w:t xml:space="preserve"> to formulate the regional priorities and scope for the pan-European assessments. The Working Group </w:t>
      </w:r>
      <w:r w:rsidR="002275AE">
        <w:t xml:space="preserve">will </w:t>
      </w:r>
      <w:r w:rsidR="00FA7D7B" w:rsidRPr="00A57EAE">
        <w:t>also link with thematic networks, including those under the MEAs</w:t>
      </w:r>
      <w:r w:rsidR="002275AE">
        <w:t>;</w:t>
      </w:r>
    </w:p>
    <w:p w:rsidR="0083038B" w:rsidRPr="00A57EAE" w:rsidRDefault="0083038B" w:rsidP="0083038B">
      <w:pPr>
        <w:pStyle w:val="SingleTxtG"/>
      </w:pPr>
      <w:r w:rsidRPr="00A57EAE">
        <w:t>and request</w:t>
      </w:r>
      <w:r w:rsidR="002275AE">
        <w:t>s</w:t>
      </w:r>
      <w:r w:rsidRPr="00A57EAE">
        <w:t xml:space="preserve"> the secretariat to submit the renewed mandate, as amended, to the </w:t>
      </w:r>
      <w:r w:rsidR="003C42A5" w:rsidRPr="00A57EAE">
        <w:t xml:space="preserve">ECE </w:t>
      </w:r>
      <w:r w:rsidRPr="00A57EAE">
        <w:t>Executive Committee for approval;</w:t>
      </w:r>
    </w:p>
    <w:p w:rsidR="00800426" w:rsidRPr="00A57EAE" w:rsidRDefault="00A57EAE" w:rsidP="00BD0263">
      <w:pPr>
        <w:pStyle w:val="SingleTxtG"/>
        <w:spacing w:line="240" w:lineRule="auto"/>
        <w:ind w:firstLine="567"/>
      </w:pPr>
      <w:r w:rsidRPr="00A57EAE">
        <w:t>(t)</w:t>
      </w:r>
      <w:r w:rsidRPr="00A57EAE">
        <w:tab/>
      </w:r>
      <w:r w:rsidR="00B926F6" w:rsidRPr="00A57EAE">
        <w:t>Request</w:t>
      </w:r>
      <w:r w:rsidR="002275AE">
        <w:t>s</w:t>
      </w:r>
      <w:r w:rsidR="00B926F6" w:rsidRPr="00A57EAE">
        <w:t xml:space="preserve"> the secretariat </w:t>
      </w:r>
      <w:r w:rsidR="00B476C0" w:rsidRPr="00A57EAE">
        <w:t xml:space="preserve">to prepare for the </w:t>
      </w:r>
      <w:r w:rsidR="002275AE">
        <w:t xml:space="preserve">Committee’s </w:t>
      </w:r>
      <w:r w:rsidR="00B476C0" w:rsidRPr="00A57EAE">
        <w:t>twenty-second session an updated proposal for terms of reference</w:t>
      </w:r>
      <w:r w:rsidR="002A1B83" w:rsidRPr="00A57EAE">
        <w:t xml:space="preserve"> for the Working Group on Environmental Monitoring and Assessment</w:t>
      </w:r>
      <w:r w:rsidR="00B476C0" w:rsidRPr="00A57EAE">
        <w:t>, including taking into account the outcomes of the Batumi Conference</w:t>
      </w:r>
      <w:r w:rsidR="00965C23" w:rsidRPr="00A57EAE">
        <w:t xml:space="preserve"> and further consultations with </w:t>
      </w:r>
      <w:r w:rsidR="002275AE">
        <w:t xml:space="preserve">Committee </w:t>
      </w:r>
      <w:r w:rsidR="00965C23" w:rsidRPr="00A57EAE">
        <w:t>members and observers on possible additional activities to be carried out by the Working Group</w:t>
      </w:r>
      <w:r w:rsidR="008E5040" w:rsidRPr="00A57EAE">
        <w:t>,</w:t>
      </w:r>
      <w:r w:rsidR="00B476C0" w:rsidRPr="00A57EAE">
        <w:t xml:space="preserve"> </w:t>
      </w:r>
      <w:r w:rsidR="008E5040" w:rsidRPr="00A57EAE">
        <w:t>as well as to report on activities pursued to increase cooperation with the Joint Task Force on Environmental Statistics and Indicators</w:t>
      </w:r>
      <w:r w:rsidR="000951E2">
        <w:t>,</w:t>
      </w:r>
      <w:r w:rsidR="00B26FDE" w:rsidRPr="00A57EAE">
        <w:t xml:space="preserve"> with a view to enhancing the coordination of activities </w:t>
      </w:r>
      <w:r w:rsidR="00427A95" w:rsidRPr="00A57EAE">
        <w:t xml:space="preserve">and streamlining </w:t>
      </w:r>
      <w:r w:rsidR="00B26FDE" w:rsidRPr="00A57EAE">
        <w:t>and reinforcing the work on environmental monitoring and assessment</w:t>
      </w:r>
      <w:r w:rsidR="008E5040" w:rsidRPr="00A57EAE">
        <w:t>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(u)</w:t>
      </w:r>
      <w:r w:rsidRPr="00A57EAE">
        <w:tab/>
      </w:r>
      <w:r w:rsidR="00E85946" w:rsidRPr="00A57EAE">
        <w:rPr>
          <w:bCs/>
        </w:rPr>
        <w:t>Invite</w:t>
      </w:r>
      <w:r w:rsidR="002275AE">
        <w:rPr>
          <w:bCs/>
        </w:rPr>
        <w:t>s</w:t>
      </w:r>
      <w:r w:rsidR="00E85946" w:rsidRPr="00A57EAE">
        <w:rPr>
          <w:bCs/>
        </w:rPr>
        <w:t xml:space="preserve"> member States and organizations to provide in-kind and financial support to the environmental monitoring and assessment programme, and in </w:t>
      </w:r>
      <w:r w:rsidR="00E85946" w:rsidRPr="00A57EAE">
        <w:t>particular thank</w:t>
      </w:r>
      <w:r w:rsidR="008D2EFC">
        <w:t>s</w:t>
      </w:r>
      <w:r w:rsidR="00E85946" w:rsidRPr="00A57EAE">
        <w:t xml:space="preserve"> the E</w:t>
      </w:r>
      <w:r w:rsidR="00EC52D2" w:rsidRPr="00A57EAE">
        <w:t xml:space="preserve">uropean </w:t>
      </w:r>
      <w:r w:rsidR="00E85946" w:rsidRPr="00A57EAE">
        <w:t>U</w:t>
      </w:r>
      <w:r w:rsidR="00EC52D2" w:rsidRPr="00A57EAE">
        <w:t>nion</w:t>
      </w:r>
      <w:r w:rsidR="00E85946" w:rsidRPr="00A57EAE">
        <w:t xml:space="preserve">, Norway, the Russian Federation and Switzerland for their </w:t>
      </w:r>
      <w:r w:rsidR="00E85946" w:rsidRPr="00A57EAE">
        <w:lastRenderedPageBreak/>
        <w:t>financial support</w:t>
      </w:r>
      <w:r w:rsidR="00D86812" w:rsidRPr="00A57EAE">
        <w:t>, as well as UNEP and EEA for their substantive support to the programme</w:t>
      </w:r>
      <w:r w:rsidR="0069545D" w:rsidRPr="00A57EAE">
        <w:t>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(v)</w:t>
      </w:r>
      <w:r w:rsidRPr="00A57EAE">
        <w:tab/>
      </w:r>
      <w:r w:rsidR="008D2EFC" w:rsidRPr="00A57EAE">
        <w:t>T</w:t>
      </w:r>
      <w:r w:rsidR="008D2EFC">
        <w:t xml:space="preserve">akes </w:t>
      </w:r>
      <w:r w:rsidR="0069545D" w:rsidRPr="00A57EAE">
        <w:t xml:space="preserve">note of information provided </w:t>
      </w:r>
      <w:r w:rsidR="008D2EFC">
        <w:t xml:space="preserve">by </w:t>
      </w:r>
      <w:r w:rsidR="0069545D" w:rsidRPr="00A57EAE">
        <w:t>and welcome</w:t>
      </w:r>
      <w:r w:rsidR="008D2EFC">
        <w:t>s</w:t>
      </w:r>
      <w:r w:rsidR="0069545D" w:rsidRPr="00A57EAE">
        <w:t xml:space="preserve"> the progress of work under THE PEP;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(w)</w:t>
      </w:r>
      <w:r w:rsidRPr="00A57EAE">
        <w:tab/>
      </w:r>
      <w:r w:rsidR="008D2EFC">
        <w:t>Also takes</w:t>
      </w:r>
      <w:r w:rsidR="0069545D" w:rsidRPr="00A57EAE">
        <w:t xml:space="preserve"> note of and welcome</w:t>
      </w:r>
      <w:r w:rsidR="008D2EFC">
        <w:t>s</w:t>
      </w:r>
      <w:r w:rsidR="0069545D" w:rsidRPr="00A57EAE">
        <w:t xml:space="preserve"> information provided with regard to ENVSEC;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(x)</w:t>
      </w:r>
      <w:r w:rsidRPr="00A57EAE">
        <w:tab/>
      </w:r>
      <w:r w:rsidR="0069545D" w:rsidRPr="00A57EAE">
        <w:t>Welcome</w:t>
      </w:r>
      <w:r w:rsidR="008D2EFC">
        <w:t>s</w:t>
      </w:r>
      <w:r w:rsidR="0069545D" w:rsidRPr="00A57EAE">
        <w:t xml:space="preserve"> the information provided </w:t>
      </w:r>
      <w:r w:rsidR="00612FB2" w:rsidRPr="00A57EAE">
        <w:t>regarding development</w:t>
      </w:r>
      <w:r w:rsidR="00237A95" w:rsidRPr="00A57EAE">
        <w:t>s</w:t>
      </w:r>
      <w:r w:rsidR="00612FB2" w:rsidRPr="00A57EAE">
        <w:t xml:space="preserve"> under</w:t>
      </w:r>
      <w:r w:rsidR="0069545D" w:rsidRPr="00A57EAE">
        <w:t xml:space="preserve"> the European Environment and Health Process,</w:t>
      </w:r>
      <w:r w:rsidR="0069545D" w:rsidRPr="00A57EAE" w:rsidDel="007B4EA9">
        <w:t xml:space="preserve"> </w:t>
      </w:r>
      <w:r w:rsidR="00476B97" w:rsidRPr="00A57EAE">
        <w:t xml:space="preserve">including on the outcomes of the Mid-term Review of </w:t>
      </w:r>
      <w:r w:rsidR="00AC19F4">
        <w:t xml:space="preserve">the </w:t>
      </w:r>
      <w:r w:rsidR="00AC19F4" w:rsidRPr="00A57EAE">
        <w:t>European Environment and Health Process</w:t>
      </w:r>
      <w:r w:rsidR="00476B97" w:rsidRPr="00A57EAE">
        <w:t xml:space="preserve"> (Haifa, Israel, March 2015), </w:t>
      </w:r>
      <w:r w:rsidR="0069545D" w:rsidRPr="00A57EAE">
        <w:t>and:</w:t>
      </w:r>
      <w:r w:rsidR="00EB1431">
        <w:t xml:space="preserve"> </w:t>
      </w:r>
      <w:bookmarkStart w:id="0" w:name="_GoBack"/>
      <w:bookmarkEnd w:id="0"/>
    </w:p>
    <w:p w:rsidR="00B14E09" w:rsidRPr="00A57EAE" w:rsidRDefault="00A57EAE" w:rsidP="00BD0263">
      <w:pPr>
        <w:pStyle w:val="SingleTxtG"/>
        <w:spacing w:line="240" w:lineRule="auto"/>
        <w:ind w:left="1701"/>
      </w:pPr>
      <w:r w:rsidRPr="00A57EAE">
        <w:t>(i)</w:t>
      </w:r>
      <w:r w:rsidRPr="00A57EAE">
        <w:tab/>
      </w:r>
      <w:r w:rsidR="008D2EFC">
        <w:t xml:space="preserve">Takes </w:t>
      </w:r>
      <w:r w:rsidR="00B14E09" w:rsidRPr="00A57EAE">
        <w:t xml:space="preserve">note of the reports on </w:t>
      </w:r>
      <w:r w:rsidR="008D2EFC">
        <w:t xml:space="preserve">the </w:t>
      </w:r>
      <w:r w:rsidR="008D2EFC" w:rsidRPr="00A57EAE">
        <w:t xml:space="preserve">European Environment and Health Process </w:t>
      </w:r>
      <w:r w:rsidR="00B14E09" w:rsidRPr="00A57EAE">
        <w:t>(EUR/RC65/18 and EUR/RC65/11);</w:t>
      </w:r>
    </w:p>
    <w:p w:rsidR="00476B97" w:rsidRPr="00A57EAE" w:rsidRDefault="00A57EAE" w:rsidP="00BD0263">
      <w:pPr>
        <w:pStyle w:val="SingleTxtG"/>
        <w:spacing w:line="240" w:lineRule="auto"/>
        <w:ind w:left="1701"/>
      </w:pPr>
      <w:r w:rsidRPr="00A57EAE">
        <w:t>(ii)</w:t>
      </w:r>
      <w:r w:rsidRPr="00A57EAE">
        <w:tab/>
      </w:r>
      <w:r w:rsidR="00476B97" w:rsidRPr="00A57EAE">
        <w:t>Agree</w:t>
      </w:r>
      <w:r w:rsidR="008D2EFC">
        <w:t>s</w:t>
      </w:r>
      <w:r w:rsidR="00476B97" w:rsidRPr="00A57EAE">
        <w:t xml:space="preserve"> to allocate more time in the agenda of </w:t>
      </w:r>
      <w:r w:rsidR="008D2EFC">
        <w:t xml:space="preserve">its </w:t>
      </w:r>
      <w:r w:rsidR="00476B97" w:rsidRPr="00A57EAE">
        <w:t>twenty-second session to discuss</w:t>
      </w:r>
      <w:r w:rsidR="008D2EFC">
        <w:t>ing</w:t>
      </w:r>
      <w:r w:rsidR="00476B97" w:rsidRPr="00A57EAE">
        <w:t xml:space="preserve"> progress in preparing the Sixth Ministerial Conference </w:t>
      </w:r>
      <w:r w:rsidR="005C03C7">
        <w:t xml:space="preserve">on </w:t>
      </w:r>
      <w:r w:rsidR="005C03C7" w:rsidRPr="00A57EAE">
        <w:t xml:space="preserve">Environment and Health </w:t>
      </w:r>
      <w:r w:rsidR="00476B97" w:rsidRPr="00A57EAE">
        <w:t>(2017)</w:t>
      </w:r>
      <w:r w:rsidR="00B14E09" w:rsidRPr="00A57EAE">
        <w:t>;</w:t>
      </w:r>
      <w:r w:rsidR="00FA101E">
        <w:t xml:space="preserve"> </w:t>
      </w:r>
    </w:p>
    <w:p w:rsidR="0069545D" w:rsidRPr="00A57EAE" w:rsidRDefault="00A57EAE" w:rsidP="00BD0263">
      <w:pPr>
        <w:pStyle w:val="SingleTxtG"/>
        <w:spacing w:line="240" w:lineRule="auto"/>
        <w:ind w:left="1701"/>
      </w:pPr>
      <w:r w:rsidRPr="00A57EAE">
        <w:t>(iii)</w:t>
      </w:r>
      <w:r w:rsidRPr="00A57EAE">
        <w:tab/>
      </w:r>
      <w:r w:rsidR="00575378" w:rsidRPr="00A57EAE">
        <w:t>Request</w:t>
      </w:r>
      <w:r w:rsidR="008D2EFC">
        <w:t>s</w:t>
      </w:r>
      <w:r w:rsidR="00575378" w:rsidRPr="00A57EAE">
        <w:t xml:space="preserve"> the secretariat </w:t>
      </w:r>
      <w:r w:rsidR="000B2275" w:rsidRPr="00A57EAE">
        <w:t xml:space="preserve">to </w:t>
      </w:r>
      <w:r w:rsidR="008D2EFC">
        <w:t xml:space="preserve">solicit </w:t>
      </w:r>
      <w:r w:rsidR="0051659B" w:rsidRPr="00A57EAE">
        <w:t xml:space="preserve">interest </w:t>
      </w:r>
      <w:r w:rsidR="00094CD8" w:rsidRPr="00A57EAE">
        <w:t xml:space="preserve">from the </w:t>
      </w:r>
      <w:r w:rsidR="0051659B" w:rsidRPr="00A57EAE">
        <w:t>53 ECE member States also member</w:t>
      </w:r>
      <w:r w:rsidR="008D2EFC">
        <w:t>s</w:t>
      </w:r>
      <w:r w:rsidR="0051659B" w:rsidRPr="00A57EAE">
        <w:t xml:space="preserve"> of the WHO </w:t>
      </w:r>
      <w:r w:rsidR="00F62B3A" w:rsidRPr="00A57EAE">
        <w:t>R</w:t>
      </w:r>
      <w:r w:rsidR="0051659B" w:rsidRPr="00A57EAE">
        <w:t xml:space="preserve">egional </w:t>
      </w:r>
      <w:r w:rsidR="00F62B3A" w:rsidRPr="00A57EAE">
        <w:t>O</w:t>
      </w:r>
      <w:r w:rsidR="0051659B" w:rsidRPr="00A57EAE">
        <w:t>ffice for Europe</w:t>
      </w:r>
      <w:r w:rsidR="00F62B3A" w:rsidRPr="00A57EAE">
        <w:t xml:space="preserve"> in serving on the European Environment and Health Ministerial Board during the next term (2017</w:t>
      </w:r>
      <w:r w:rsidR="008D2EFC">
        <w:t>–</w:t>
      </w:r>
      <w:r w:rsidR="00F62B3A" w:rsidRPr="00A57EAE">
        <w:t>2018)</w:t>
      </w:r>
      <w:r w:rsidR="0051659B" w:rsidRPr="00A57EAE">
        <w:t xml:space="preserve"> </w:t>
      </w:r>
      <w:r w:rsidR="004F2666" w:rsidRPr="00A57EAE">
        <w:t xml:space="preserve">by </w:t>
      </w:r>
      <w:r w:rsidR="0051659B" w:rsidRPr="00A57EAE">
        <w:t xml:space="preserve">sending official letters in June 2016 to </w:t>
      </w:r>
      <w:r w:rsidR="008D2EFC">
        <w:t>m</w:t>
      </w:r>
      <w:r w:rsidR="0051659B" w:rsidRPr="00A57EAE">
        <w:t xml:space="preserve">inisters of </w:t>
      </w:r>
      <w:r w:rsidR="008D2EFC">
        <w:t>e</w:t>
      </w:r>
      <w:r w:rsidR="0051659B" w:rsidRPr="00A57EAE">
        <w:t>nvironment</w:t>
      </w:r>
      <w:r w:rsidR="008D2EFC">
        <w:t xml:space="preserve"> to seek their views in that regard;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(y)</w:t>
      </w:r>
      <w:r w:rsidRPr="00A57EAE">
        <w:tab/>
      </w:r>
      <w:r w:rsidR="008D2EFC">
        <w:t xml:space="preserve">Takes </w:t>
      </w:r>
      <w:r w:rsidR="0069545D" w:rsidRPr="00A57EAE">
        <w:t xml:space="preserve">note of the activities of the </w:t>
      </w:r>
      <w:r w:rsidR="00381F04" w:rsidRPr="00A57EAE">
        <w:t xml:space="preserve">ECE Committee on Housing and Land Management </w:t>
      </w:r>
      <w:r w:rsidR="008D2EFC">
        <w:t xml:space="preserve">and </w:t>
      </w:r>
      <w:r w:rsidR="00381F04" w:rsidRPr="00A57EAE">
        <w:t xml:space="preserve">the </w:t>
      </w:r>
      <w:r w:rsidR="0069545D" w:rsidRPr="00A57EAE">
        <w:t>ECE Committee on Forests and the Forest Industry, in particular the progress of work on green building and greening the forestry sector;</w:t>
      </w:r>
    </w:p>
    <w:p w:rsidR="00871E43" w:rsidRPr="00A57EAE" w:rsidRDefault="00A57EAE" w:rsidP="00BD0263">
      <w:pPr>
        <w:pStyle w:val="SingleTxtG"/>
        <w:spacing w:line="240" w:lineRule="auto"/>
        <w:ind w:firstLine="567"/>
      </w:pPr>
      <w:r w:rsidRPr="00A57EAE">
        <w:t>(z)</w:t>
      </w:r>
      <w:r w:rsidRPr="00A57EAE">
        <w:tab/>
      </w:r>
      <w:r w:rsidR="00871E43" w:rsidRPr="00A57EAE">
        <w:t>Adopt</w:t>
      </w:r>
      <w:r w:rsidR="008D2EFC">
        <w:t>s</w:t>
      </w:r>
      <w:r w:rsidR="00871E43" w:rsidRPr="00A57EAE">
        <w:t xml:space="preserve"> the </w:t>
      </w:r>
      <w:r w:rsidR="008D2EFC">
        <w:t>p</w:t>
      </w:r>
      <w:r w:rsidR="00871E43" w:rsidRPr="00A57EAE">
        <w:t xml:space="preserve">rogramme of </w:t>
      </w:r>
      <w:r w:rsidR="008D2EFC">
        <w:t>w</w:t>
      </w:r>
      <w:r w:rsidR="00871E43" w:rsidRPr="00A57EAE">
        <w:t>ork of the Environment subprogramme for 2016</w:t>
      </w:r>
      <w:r w:rsidR="000D4DAB" w:rsidRPr="00A57EAE">
        <w:t>–</w:t>
      </w:r>
      <w:r w:rsidR="00871E43" w:rsidRPr="00A57EAE">
        <w:t>2017 and request</w:t>
      </w:r>
      <w:r w:rsidR="008D2EFC">
        <w:t>s</w:t>
      </w:r>
      <w:r w:rsidR="00871E43" w:rsidRPr="00A57EAE">
        <w:t xml:space="preserve"> the secretariat to </w:t>
      </w:r>
      <w:r w:rsidR="00DB1762" w:rsidRPr="00A57EAE">
        <w:t xml:space="preserve">provide information on the status of resources in the Environment subprogramme for the biennium 2014–2015 at the </w:t>
      </w:r>
      <w:r w:rsidR="008D2EFC">
        <w:t xml:space="preserve">Committee’s </w:t>
      </w:r>
      <w:r w:rsidR="00DB1762" w:rsidRPr="00A57EAE">
        <w:t>special session in February 2016;</w:t>
      </w:r>
    </w:p>
    <w:p w:rsidR="00B40C3C" w:rsidRPr="00A57EAE" w:rsidRDefault="00A57EAE" w:rsidP="00BD0263">
      <w:pPr>
        <w:pStyle w:val="SingleTxtG"/>
        <w:spacing w:line="240" w:lineRule="auto"/>
        <w:ind w:firstLine="567"/>
        <w:rPr>
          <w:bCs/>
          <w:u w:val="single"/>
        </w:rPr>
      </w:pPr>
      <w:r w:rsidRPr="00A57EAE">
        <w:rPr>
          <w:bCs/>
        </w:rPr>
        <w:t>(aa)</w:t>
      </w:r>
      <w:r w:rsidRPr="00A57EAE">
        <w:rPr>
          <w:bCs/>
        </w:rPr>
        <w:tab/>
      </w:r>
      <w:r w:rsidR="006157A3" w:rsidRPr="00A57EAE">
        <w:t>Approve</w:t>
      </w:r>
      <w:r w:rsidR="008D2EFC">
        <w:t>s</w:t>
      </w:r>
      <w:r w:rsidR="006157A3" w:rsidRPr="00A57EAE">
        <w:t xml:space="preserve"> the </w:t>
      </w:r>
      <w:r w:rsidR="00B40C3C" w:rsidRPr="00A57EAE">
        <w:rPr>
          <w:bCs/>
        </w:rPr>
        <w:t>biennial performance report of the Environment subprogramme for 2014–2015 (ECE/CEP/2015/6);</w:t>
      </w:r>
    </w:p>
    <w:p w:rsidR="006157A3" w:rsidRPr="00A57EAE" w:rsidRDefault="00A57EAE" w:rsidP="00BD0263">
      <w:pPr>
        <w:pStyle w:val="SingleTxtG"/>
        <w:spacing w:line="240" w:lineRule="auto"/>
        <w:ind w:firstLine="567"/>
      </w:pPr>
      <w:r w:rsidRPr="00A57EAE">
        <w:t>(bb)</w:t>
      </w:r>
      <w:r w:rsidRPr="00A57EAE">
        <w:tab/>
      </w:r>
      <w:r w:rsidR="00B40C3C" w:rsidRPr="00A57EAE">
        <w:rPr>
          <w:bCs/>
        </w:rPr>
        <w:t>A</w:t>
      </w:r>
      <w:r w:rsidR="000951E2">
        <w:rPr>
          <w:bCs/>
        </w:rPr>
        <w:t>lso a</w:t>
      </w:r>
      <w:r w:rsidR="00B40C3C" w:rsidRPr="00A57EAE">
        <w:rPr>
          <w:bCs/>
        </w:rPr>
        <w:t>pprove</w:t>
      </w:r>
      <w:r w:rsidR="008D2EFC">
        <w:rPr>
          <w:bCs/>
        </w:rPr>
        <w:t>s</w:t>
      </w:r>
      <w:r w:rsidR="00B40C3C" w:rsidRPr="00A57EAE">
        <w:rPr>
          <w:bCs/>
        </w:rPr>
        <w:t xml:space="preserve"> the </w:t>
      </w:r>
      <w:r w:rsidR="008D2EFC">
        <w:rPr>
          <w:bCs/>
        </w:rPr>
        <w:t>b</w:t>
      </w:r>
      <w:r w:rsidR="00B40C3C" w:rsidRPr="00A57EAE">
        <w:rPr>
          <w:bCs/>
        </w:rPr>
        <w:t>iennial performance plan of the Environment subprogramme for 2016–2017 (ECE/CEP/2015/5);</w:t>
      </w:r>
    </w:p>
    <w:p w:rsidR="006157A3" w:rsidRPr="00A57EAE" w:rsidRDefault="00A57EAE" w:rsidP="00BD0263">
      <w:pPr>
        <w:pStyle w:val="SingleTxtG"/>
        <w:spacing w:line="240" w:lineRule="auto"/>
        <w:ind w:firstLine="567"/>
      </w:pPr>
      <w:r w:rsidRPr="00A57EAE">
        <w:t>(cc)</w:t>
      </w:r>
      <w:r w:rsidRPr="00A57EAE">
        <w:tab/>
      </w:r>
      <w:r w:rsidR="008D2EFC">
        <w:t>Has r</w:t>
      </w:r>
      <w:r w:rsidR="00D90234" w:rsidRPr="00A57EAE">
        <w:t>eview</w:t>
      </w:r>
      <w:r w:rsidR="008D2EFC">
        <w:t>ed</w:t>
      </w:r>
      <w:r w:rsidR="006157A3" w:rsidRPr="00A57EAE">
        <w:t xml:space="preserve"> the </w:t>
      </w:r>
      <w:r w:rsidR="005E45F7" w:rsidRPr="00A57EAE">
        <w:t xml:space="preserve">proposed strategic framework of the Environment subprogramme for 2018–2019 (ECE/CEP/2015/7) </w:t>
      </w:r>
      <w:r w:rsidR="00D90234" w:rsidRPr="00A57EAE">
        <w:t xml:space="preserve">and provided comments, in particular </w:t>
      </w:r>
      <w:r w:rsidR="008D2EFC">
        <w:t xml:space="preserve">noting that, in </w:t>
      </w:r>
      <w:r w:rsidR="00D90234" w:rsidRPr="00A57EAE">
        <w:t>para</w:t>
      </w:r>
      <w:r w:rsidR="008D2EFC">
        <w:t>graph</w:t>
      </w:r>
      <w:r w:rsidR="00D90234" w:rsidRPr="00A57EAE">
        <w:t xml:space="preserve"> 6</w:t>
      </w:r>
      <w:r w:rsidR="008D2EFC">
        <w:t>,</w:t>
      </w:r>
      <w:r w:rsidR="00D90234" w:rsidRPr="00A57EAE">
        <w:t xml:space="preserve"> </w:t>
      </w:r>
      <w:r w:rsidR="007C39FC" w:rsidRPr="00A57EAE">
        <w:t xml:space="preserve">the wording “environmental democracy” </w:t>
      </w:r>
      <w:r w:rsidR="008D2EFC">
        <w:t xml:space="preserve">should be replaced by </w:t>
      </w:r>
      <w:r w:rsidR="007C39FC" w:rsidRPr="00A57EAE">
        <w:t>“public participation”;</w:t>
      </w:r>
    </w:p>
    <w:p w:rsidR="002D57B1" w:rsidRPr="00A57EAE" w:rsidRDefault="00A57EAE" w:rsidP="00BD0263">
      <w:pPr>
        <w:pStyle w:val="SingleTxtG"/>
        <w:spacing w:line="240" w:lineRule="auto"/>
        <w:ind w:firstLine="567"/>
      </w:pPr>
      <w:r w:rsidRPr="00A57EAE">
        <w:t>(dd)</w:t>
      </w:r>
      <w:r w:rsidRPr="00A57EAE">
        <w:tab/>
      </w:r>
      <w:r w:rsidR="008D2EFC">
        <w:t xml:space="preserve">Takes </w:t>
      </w:r>
      <w:r w:rsidR="002D57B1" w:rsidRPr="00A57EAE">
        <w:t xml:space="preserve">note of the information provided with respect to gender mainstreaming in environmental activities carried out by the Environment Division since the </w:t>
      </w:r>
      <w:r w:rsidR="008D2EFC">
        <w:t xml:space="preserve">Committee’s </w:t>
      </w:r>
      <w:r w:rsidR="002D57B1" w:rsidRPr="00A57EAE">
        <w:t>last session;</w:t>
      </w:r>
    </w:p>
    <w:p w:rsidR="006F75FE" w:rsidRPr="00A57EAE" w:rsidRDefault="00A57EAE" w:rsidP="00BD0263">
      <w:pPr>
        <w:pStyle w:val="SingleTxtG"/>
        <w:spacing w:line="240" w:lineRule="auto"/>
        <w:ind w:firstLine="567"/>
      </w:pPr>
      <w:r w:rsidRPr="00A57EAE">
        <w:t>(ee)</w:t>
      </w:r>
      <w:r w:rsidRPr="00A57EAE">
        <w:tab/>
      </w:r>
      <w:r w:rsidR="006F75FE" w:rsidRPr="00A57EAE">
        <w:t>Adopt</w:t>
      </w:r>
      <w:r w:rsidR="008D2EFC">
        <w:t>s</w:t>
      </w:r>
      <w:r w:rsidR="006F75FE" w:rsidRPr="00A57EAE">
        <w:t xml:space="preserve"> the </w:t>
      </w:r>
      <w:r w:rsidR="006F75FE" w:rsidRPr="00A57EAE">
        <w:rPr>
          <w:bCs/>
        </w:rPr>
        <w:t xml:space="preserve">revised criteria for </w:t>
      </w:r>
      <w:r w:rsidR="006F75FE" w:rsidRPr="00A57EAE">
        <w:t>financial support for participation in meetings and events as included in information paper No.</w:t>
      </w:r>
      <w:r w:rsidR="000951E2">
        <w:t xml:space="preserve"> </w:t>
      </w:r>
      <w:r w:rsidR="006F75FE" w:rsidRPr="00A57EAE">
        <w:t>7</w:t>
      </w:r>
      <w:r w:rsidR="000951E2">
        <w:t>,</w:t>
      </w:r>
      <w:r w:rsidR="006F75FE" w:rsidRPr="00A57EAE">
        <w:t xml:space="preserve"> </w:t>
      </w:r>
      <w:r w:rsidR="008D2EFC">
        <w:t xml:space="preserve">and requests that the text be </w:t>
      </w:r>
      <w:r w:rsidR="006F75FE" w:rsidRPr="00A57EAE">
        <w:t>annex</w:t>
      </w:r>
      <w:r w:rsidR="008D2EFC">
        <w:t>ed</w:t>
      </w:r>
      <w:r w:rsidR="006F75FE" w:rsidRPr="00A57EAE">
        <w:t xml:space="preserve"> to the report </w:t>
      </w:r>
      <w:r w:rsidR="008D2EFC">
        <w:t>of the Committee’s twenty-first session</w:t>
      </w:r>
      <w:r w:rsidR="006F75FE" w:rsidRPr="00A57EAE">
        <w:t>;</w:t>
      </w:r>
    </w:p>
    <w:p w:rsidR="006F75FE" w:rsidRPr="00A57EAE" w:rsidRDefault="00A57EAE" w:rsidP="00BD0263">
      <w:pPr>
        <w:pStyle w:val="SingleTxtG"/>
        <w:spacing w:line="240" w:lineRule="auto"/>
        <w:ind w:firstLine="567"/>
      </w:pPr>
      <w:r w:rsidRPr="00A57EAE">
        <w:t>(ff)</w:t>
      </w:r>
      <w:r w:rsidRPr="00A57EAE">
        <w:tab/>
      </w:r>
      <w:r w:rsidR="006F75FE" w:rsidRPr="00A57EAE">
        <w:t>Welcome</w:t>
      </w:r>
      <w:r w:rsidR="008D2EFC">
        <w:t>s</w:t>
      </w:r>
      <w:r w:rsidR="006F75FE" w:rsidRPr="00A57EAE">
        <w:t xml:space="preserve"> the information provided </w:t>
      </w:r>
      <w:r w:rsidR="008B0CFC" w:rsidRPr="00A57EAE">
        <w:t xml:space="preserve">by UNEP/ROE </w:t>
      </w:r>
      <w:r w:rsidR="00985C77" w:rsidRPr="00A57EAE">
        <w:t>about developments in preparing the second United Nations Environment Assembly</w:t>
      </w:r>
      <w:r w:rsidR="000951E2">
        <w:t>,</w:t>
      </w:r>
      <w:r w:rsidR="004B5B31" w:rsidRPr="00A57EAE">
        <w:t xml:space="preserve"> </w:t>
      </w:r>
      <w:r w:rsidR="007B7191" w:rsidRPr="00A57EAE">
        <w:t xml:space="preserve">and </w:t>
      </w:r>
      <w:r w:rsidR="001B400F" w:rsidRPr="00A57EAE">
        <w:t>invite</w:t>
      </w:r>
      <w:r w:rsidR="00F07745">
        <w:t>s</w:t>
      </w:r>
      <w:r w:rsidR="001B400F" w:rsidRPr="00A57EAE">
        <w:t xml:space="preserve"> UNEP/ROE to continue informing </w:t>
      </w:r>
      <w:r w:rsidR="00F07745">
        <w:t xml:space="preserve">the Committee </w:t>
      </w:r>
      <w:r w:rsidR="001B400F" w:rsidRPr="00A57EAE">
        <w:t xml:space="preserve">about </w:t>
      </w:r>
      <w:r w:rsidR="00F07745">
        <w:t xml:space="preserve">the </w:t>
      </w:r>
      <w:r w:rsidR="001B400F" w:rsidRPr="00A57EAE">
        <w:t>preparations</w:t>
      </w:r>
      <w:r w:rsidR="00F07745">
        <w:t xml:space="preserve"> for that meeting</w:t>
      </w:r>
      <w:r w:rsidR="002B5579" w:rsidRPr="00A57EAE">
        <w:t xml:space="preserve">, in particular at the </w:t>
      </w:r>
      <w:r w:rsidR="00F07745">
        <w:t xml:space="preserve">Committee’s </w:t>
      </w:r>
      <w:r w:rsidR="002B5579" w:rsidRPr="00A57EAE">
        <w:t>special session in February 2016</w:t>
      </w:r>
      <w:r w:rsidR="00985C77" w:rsidRPr="00A57EAE">
        <w:t>;</w:t>
      </w:r>
    </w:p>
    <w:p w:rsidR="0069545D" w:rsidRPr="00A57EAE" w:rsidRDefault="00A57EAE" w:rsidP="00BD0263">
      <w:pPr>
        <w:pStyle w:val="SingleTxtG"/>
        <w:spacing w:line="240" w:lineRule="auto"/>
        <w:ind w:firstLine="567"/>
      </w:pPr>
      <w:r w:rsidRPr="00A57EAE">
        <w:t>(gg)</w:t>
      </w:r>
      <w:r w:rsidRPr="00A57EAE">
        <w:tab/>
      </w:r>
      <w:r w:rsidR="006A1F97" w:rsidRPr="00A57EAE">
        <w:t>Expresse</w:t>
      </w:r>
      <w:r w:rsidR="00F07745">
        <w:t>s</w:t>
      </w:r>
      <w:r w:rsidR="006A1F97" w:rsidRPr="00A57EAE">
        <w:t xml:space="preserve"> appreciation to the Bureau and the secretariat for the work on the </w:t>
      </w:r>
      <w:r w:rsidR="00F07745">
        <w:t xml:space="preserve">Committee’s </w:t>
      </w:r>
      <w:r w:rsidR="006A1F97" w:rsidRPr="00A57EAE">
        <w:t xml:space="preserve">draft rules of procedure (ECE/CEP/2015/L.6), </w:t>
      </w:r>
      <w:r w:rsidR="00F07745">
        <w:t xml:space="preserve">takes </w:t>
      </w:r>
      <w:r w:rsidR="006A1F97" w:rsidRPr="00A57EAE">
        <w:t>note of the comments provided by delegations during the meeting, and decide</w:t>
      </w:r>
      <w:r w:rsidR="00F07745">
        <w:t>s</w:t>
      </w:r>
      <w:r w:rsidR="006A1F97" w:rsidRPr="00A57EAE">
        <w:t xml:space="preserve"> to postpone the consideration of </w:t>
      </w:r>
      <w:r w:rsidR="006A1F97" w:rsidRPr="00A57EAE">
        <w:lastRenderedPageBreak/>
        <w:t xml:space="preserve">the </w:t>
      </w:r>
      <w:r w:rsidR="00F07745">
        <w:t xml:space="preserve">draft </w:t>
      </w:r>
      <w:r w:rsidR="006A1F97" w:rsidRPr="00A57EAE">
        <w:t xml:space="preserve">rules of procedure </w:t>
      </w:r>
      <w:r w:rsidR="00E316EA" w:rsidRPr="00A57EAE">
        <w:t xml:space="preserve">until </w:t>
      </w:r>
      <w:r w:rsidR="006A1F97" w:rsidRPr="00A57EAE">
        <w:t>after the Batumi Conference</w:t>
      </w:r>
      <w:r w:rsidR="00F07745">
        <w:t>,</w:t>
      </w:r>
      <w:r w:rsidR="006A1F97" w:rsidRPr="00A57EAE">
        <w:t xml:space="preserve"> at the </w:t>
      </w:r>
      <w:r w:rsidR="00F07745">
        <w:t xml:space="preserve">Committee’s </w:t>
      </w:r>
      <w:r w:rsidR="006A1F97" w:rsidRPr="00A57EAE">
        <w:t>twenty-second session</w:t>
      </w:r>
      <w:r w:rsidR="00F07745">
        <w:t>,</w:t>
      </w:r>
      <w:r w:rsidR="006A1F97" w:rsidRPr="00A57EAE">
        <w:t xml:space="preserve"> on the basis of a revised proposal by the Bureau</w:t>
      </w:r>
      <w:r w:rsidR="00D436C2" w:rsidRPr="00A57EAE">
        <w:t>;</w:t>
      </w:r>
    </w:p>
    <w:p w:rsidR="00913344" w:rsidRPr="00A57EAE" w:rsidRDefault="00A57EAE" w:rsidP="00BD0263">
      <w:pPr>
        <w:pStyle w:val="SingleTxtG"/>
        <w:spacing w:line="240" w:lineRule="auto"/>
        <w:ind w:firstLine="567"/>
      </w:pPr>
      <w:r w:rsidRPr="00A57EAE">
        <w:t>(hh)</w:t>
      </w:r>
      <w:r w:rsidRPr="00A57EAE">
        <w:tab/>
      </w:r>
      <w:r w:rsidR="0059745B" w:rsidRPr="00A57EAE">
        <w:t>Elect</w:t>
      </w:r>
      <w:r w:rsidR="00F07745">
        <w:t>s</w:t>
      </w:r>
      <w:r w:rsidR="0059745B" w:rsidRPr="00A57EAE">
        <w:t xml:space="preserve"> a Chair and other members of its Bureau, as follows:</w:t>
      </w:r>
      <w:r w:rsidR="00913344" w:rsidRPr="00A57EAE">
        <w:tab/>
      </w:r>
    </w:p>
    <w:p w:rsidR="006C3834" w:rsidRPr="00BD0263" w:rsidRDefault="00392ECA" w:rsidP="001C22E4">
      <w:pPr>
        <w:pStyle w:val="SingleTxtG"/>
        <w:spacing w:after="40" w:line="240" w:lineRule="auto"/>
        <w:rPr>
          <w:lang w:val="fr-CH"/>
        </w:rPr>
      </w:pPr>
      <w:r>
        <w:rPr>
          <w:i/>
        </w:rPr>
        <w:tab/>
      </w:r>
      <w:r w:rsidR="006C3834" w:rsidRPr="00A57EAE">
        <w:rPr>
          <w:i/>
        </w:rPr>
        <w:tab/>
      </w:r>
      <w:r w:rsidR="006C3834" w:rsidRPr="00BD0263">
        <w:rPr>
          <w:i/>
          <w:lang w:val="fr-CH"/>
        </w:rPr>
        <w:t>Chair:</w:t>
      </w:r>
      <w:r w:rsidR="006C3834" w:rsidRPr="00BD0263">
        <w:rPr>
          <w:i/>
          <w:lang w:val="fr-CH"/>
        </w:rPr>
        <w:tab/>
      </w:r>
      <w:r w:rsidR="006C3834" w:rsidRPr="00BD0263">
        <w:rPr>
          <w:i/>
          <w:lang w:val="fr-CH"/>
        </w:rPr>
        <w:br/>
      </w:r>
      <w:r w:rsidR="006C3834" w:rsidRPr="00BD0263">
        <w:rPr>
          <w:i/>
          <w:lang w:val="fr-CH"/>
        </w:rPr>
        <w:tab/>
      </w:r>
      <w:r w:rsidRPr="00BD0263">
        <w:rPr>
          <w:i/>
          <w:lang w:val="fr-CH"/>
        </w:rPr>
        <w:tab/>
      </w:r>
      <w:r w:rsidR="006C3834" w:rsidRPr="00BD0263">
        <w:rPr>
          <w:i/>
          <w:lang w:val="fr-CH"/>
        </w:rPr>
        <w:tab/>
      </w:r>
      <w:r w:rsidR="006C3834" w:rsidRPr="00BD0263">
        <w:rPr>
          <w:lang w:val="fr-CH"/>
        </w:rPr>
        <w:t>Ms. Elisabete Quintas da Silva (Portugal)</w:t>
      </w:r>
    </w:p>
    <w:p w:rsidR="006C3834" w:rsidRPr="00A57EAE" w:rsidRDefault="00392ECA" w:rsidP="001C22E4">
      <w:pPr>
        <w:pStyle w:val="SingleTxtG"/>
        <w:spacing w:after="40" w:line="240" w:lineRule="auto"/>
      </w:pPr>
      <w:r w:rsidRPr="00BD0263">
        <w:rPr>
          <w:i/>
          <w:lang w:val="fr-CH"/>
        </w:rPr>
        <w:tab/>
      </w:r>
      <w:r w:rsidR="006C3834" w:rsidRPr="00BD0263">
        <w:rPr>
          <w:i/>
          <w:lang w:val="fr-CH"/>
        </w:rPr>
        <w:tab/>
      </w:r>
      <w:r w:rsidR="006C3834" w:rsidRPr="00A57EAE">
        <w:rPr>
          <w:i/>
        </w:rPr>
        <w:t>Vice-</w:t>
      </w:r>
      <w:r w:rsidR="006C3834" w:rsidRPr="00A57EAE">
        <w:t>Chairs</w:t>
      </w:r>
      <w:r w:rsidR="006C3834" w:rsidRPr="00A57EAE">
        <w:rPr>
          <w:i/>
        </w:rPr>
        <w:t xml:space="preserve">: </w:t>
      </w:r>
      <w:r w:rsidR="006C3834" w:rsidRPr="00A57EAE">
        <w:rPr>
          <w:i/>
        </w:rPr>
        <w:br/>
      </w:r>
      <w:r w:rsidR="006C3834" w:rsidRPr="00A57EAE">
        <w:tab/>
      </w:r>
      <w:r>
        <w:tab/>
      </w:r>
      <w:r w:rsidR="006C3834" w:rsidRPr="00A57EAE">
        <w:tab/>
        <w:t>Ms. Martine Rohn Brossard (Switzerland)</w:t>
      </w:r>
      <w:r w:rsidR="006C3834" w:rsidRPr="00A57EAE">
        <w:tab/>
      </w:r>
    </w:p>
    <w:p w:rsidR="006C3834" w:rsidRPr="00BD0263" w:rsidRDefault="00392ECA" w:rsidP="001C22E4">
      <w:pPr>
        <w:pStyle w:val="SingleTxtG"/>
        <w:spacing w:after="40" w:line="240" w:lineRule="auto"/>
        <w:rPr>
          <w:lang w:val="fr-CH"/>
        </w:rPr>
      </w:pPr>
      <w:r>
        <w:tab/>
      </w:r>
      <w:r w:rsidR="0002404E" w:rsidRPr="00A57EAE">
        <w:tab/>
      </w:r>
      <w:r w:rsidR="0002404E" w:rsidRPr="00A57EAE">
        <w:tab/>
      </w:r>
      <w:r w:rsidR="006C3834" w:rsidRPr="00BD0263">
        <w:rPr>
          <w:lang w:val="fr-CH"/>
        </w:rPr>
        <w:t>Ms. Marie-Charlotte Delvaux (Belgium)</w:t>
      </w:r>
    </w:p>
    <w:p w:rsidR="006C3834" w:rsidRPr="00A57EAE" w:rsidRDefault="00392ECA" w:rsidP="001C22E4">
      <w:pPr>
        <w:pStyle w:val="SingleTxtG"/>
        <w:spacing w:after="40" w:line="240" w:lineRule="auto"/>
      </w:pPr>
      <w:r w:rsidRPr="00BD0263">
        <w:rPr>
          <w:lang w:val="fr-CH"/>
        </w:rPr>
        <w:tab/>
      </w:r>
      <w:r w:rsidR="006C3834" w:rsidRPr="00BD0263">
        <w:rPr>
          <w:lang w:val="fr-CH"/>
        </w:rPr>
        <w:tab/>
      </w:r>
      <w:r w:rsidR="006C3834" w:rsidRPr="00BD0263">
        <w:rPr>
          <w:lang w:val="fr-CH"/>
        </w:rPr>
        <w:tab/>
      </w:r>
      <w:r w:rsidR="006C3834" w:rsidRPr="00A57EAE">
        <w:t>Mr. Nicolas Fairise (France)</w:t>
      </w:r>
    </w:p>
    <w:p w:rsidR="00095447" w:rsidRPr="00A57EAE" w:rsidRDefault="00392ECA" w:rsidP="001C22E4">
      <w:pPr>
        <w:pStyle w:val="SingleTxtG"/>
        <w:spacing w:after="40" w:line="240" w:lineRule="auto"/>
      </w:pPr>
      <w:r>
        <w:tab/>
      </w:r>
      <w:r w:rsidR="00095447" w:rsidRPr="00A57EAE">
        <w:tab/>
      </w:r>
      <w:r w:rsidR="00095447" w:rsidRPr="00A57EAE">
        <w:tab/>
        <w:t>Mr. Vladimir Ivlev (Russian Federation)</w:t>
      </w:r>
    </w:p>
    <w:p w:rsidR="0002404E" w:rsidRPr="00A57EAE" w:rsidRDefault="00392ECA" w:rsidP="001C22E4">
      <w:pPr>
        <w:pStyle w:val="SingleTxtG"/>
        <w:spacing w:after="40" w:line="240" w:lineRule="auto"/>
      </w:pPr>
      <w:r>
        <w:tab/>
      </w:r>
      <w:r w:rsidR="0002404E" w:rsidRPr="00A57EAE">
        <w:tab/>
      </w:r>
      <w:r w:rsidR="0002404E" w:rsidRPr="00A57EAE">
        <w:tab/>
        <w:t>Mr. Alexander Mayer (United States of America)</w:t>
      </w:r>
    </w:p>
    <w:p w:rsidR="006C3834" w:rsidRPr="00A57EAE" w:rsidRDefault="00392ECA" w:rsidP="001C22E4">
      <w:pPr>
        <w:pStyle w:val="SingleTxtG"/>
        <w:spacing w:after="40" w:line="240" w:lineRule="auto"/>
      </w:pPr>
      <w:r>
        <w:tab/>
      </w:r>
      <w:r w:rsidR="006C3834" w:rsidRPr="00A57EAE">
        <w:tab/>
      </w:r>
      <w:r w:rsidR="006C3834" w:rsidRPr="00A57EAE">
        <w:tab/>
        <w:t>Ms. Maria Nagornii (Republic of Moldova)</w:t>
      </w:r>
    </w:p>
    <w:p w:rsidR="006C3834" w:rsidRPr="00A57EAE" w:rsidRDefault="00392ECA" w:rsidP="001C22E4">
      <w:pPr>
        <w:pStyle w:val="SingleTxtG"/>
        <w:spacing w:after="40" w:line="240" w:lineRule="auto"/>
      </w:pPr>
      <w:r>
        <w:tab/>
      </w:r>
      <w:r w:rsidR="006C3834" w:rsidRPr="00A57EAE">
        <w:tab/>
      </w:r>
      <w:r w:rsidR="006C3834" w:rsidRPr="00A57EAE">
        <w:tab/>
        <w:t>Ms. Gordana Petkovic (Serbia)</w:t>
      </w:r>
    </w:p>
    <w:p w:rsidR="006C3834" w:rsidRPr="00A57EAE" w:rsidRDefault="00392ECA" w:rsidP="001C22E4">
      <w:pPr>
        <w:pStyle w:val="SingleTxtG"/>
        <w:spacing w:after="40" w:line="240" w:lineRule="auto"/>
        <w:rPr>
          <w:bCs/>
        </w:rPr>
      </w:pPr>
      <w:r>
        <w:tab/>
      </w:r>
      <w:r w:rsidR="0063052C" w:rsidRPr="00A57EAE">
        <w:tab/>
      </w:r>
      <w:r w:rsidR="0063052C" w:rsidRPr="00A57EAE">
        <w:tab/>
      </w:r>
      <w:r w:rsidR="006C3834" w:rsidRPr="00A57EAE">
        <w:rPr>
          <w:bCs/>
        </w:rPr>
        <w:t>Mr. Lukáš Pokorný (Czech Republic)</w:t>
      </w:r>
    </w:p>
    <w:p w:rsidR="00811017" w:rsidRPr="00A57EAE" w:rsidRDefault="00392ECA" w:rsidP="001C22E4">
      <w:pPr>
        <w:pStyle w:val="SingleTxtG"/>
        <w:spacing w:after="40" w:line="240" w:lineRule="auto"/>
      </w:pPr>
      <w:r>
        <w:tab/>
      </w:r>
      <w:r w:rsidR="00811017" w:rsidRPr="00A57EAE">
        <w:tab/>
      </w:r>
      <w:r w:rsidR="00811017" w:rsidRPr="00A57EAE">
        <w:tab/>
        <w:t>Ms. Marina Philipiuk (Belarus)</w:t>
      </w:r>
    </w:p>
    <w:p w:rsidR="006C3834" w:rsidRPr="00A57EAE" w:rsidRDefault="00392ECA" w:rsidP="001C22E4">
      <w:pPr>
        <w:pStyle w:val="SingleTxtG"/>
        <w:spacing w:after="40" w:line="240" w:lineRule="auto"/>
      </w:pPr>
      <w:r>
        <w:tab/>
      </w:r>
      <w:r w:rsidR="006C3834" w:rsidRPr="00A57EAE">
        <w:tab/>
      </w:r>
      <w:r w:rsidR="006C3834" w:rsidRPr="00A57EAE">
        <w:tab/>
        <w:t>Ms. Nino Tkhilava (Georgia)</w:t>
      </w:r>
    </w:p>
    <w:p w:rsidR="006C3834" w:rsidRPr="00A57EAE" w:rsidRDefault="00392ECA" w:rsidP="006C3834">
      <w:pPr>
        <w:pStyle w:val="SingleTxtG"/>
        <w:spacing w:line="240" w:lineRule="auto"/>
      </w:pPr>
      <w:r>
        <w:tab/>
      </w:r>
      <w:r w:rsidR="006C3834" w:rsidRPr="00A57EAE">
        <w:tab/>
      </w:r>
      <w:r w:rsidR="006C3834" w:rsidRPr="00A57EAE">
        <w:tab/>
        <w:t>Mr. Bulat Yessekin (Kazakhstan)</w:t>
      </w:r>
      <w:r w:rsidR="00F07745">
        <w:t>;</w:t>
      </w:r>
    </w:p>
    <w:p w:rsidR="00913344" w:rsidRPr="00A57EAE" w:rsidRDefault="00A57EAE" w:rsidP="00BD0263">
      <w:pPr>
        <w:pStyle w:val="SingleTxtG"/>
        <w:spacing w:line="240" w:lineRule="auto"/>
        <w:ind w:firstLine="567"/>
      </w:pPr>
      <w:r w:rsidRPr="00A57EAE">
        <w:t>(ii)</w:t>
      </w:r>
      <w:r w:rsidRPr="00A57EAE">
        <w:tab/>
      </w:r>
      <w:r w:rsidR="0027673E" w:rsidRPr="00A57EAE">
        <w:t>Approve</w:t>
      </w:r>
      <w:r w:rsidR="00F07745">
        <w:t>s</w:t>
      </w:r>
      <w:r w:rsidR="0027673E" w:rsidRPr="00A57EAE">
        <w:t xml:space="preserve"> the proposed schedule </w:t>
      </w:r>
      <w:r w:rsidR="00F07745">
        <w:t xml:space="preserve">of Committee </w:t>
      </w:r>
      <w:r w:rsidR="0027673E" w:rsidRPr="00A57EAE">
        <w:t>and Bureau meetings until 2018 (information paper No.</w:t>
      </w:r>
      <w:r w:rsidR="00F07745">
        <w:t xml:space="preserve"> </w:t>
      </w:r>
      <w:r w:rsidR="0027673E" w:rsidRPr="00A57EAE">
        <w:t xml:space="preserve">9), </w:t>
      </w:r>
      <w:r w:rsidR="00913344" w:rsidRPr="00A57EAE">
        <w:t>and agree</w:t>
      </w:r>
      <w:r w:rsidR="00F07745">
        <w:t>s</w:t>
      </w:r>
      <w:r w:rsidR="00913344" w:rsidRPr="00A57EAE">
        <w:t xml:space="preserve"> </w:t>
      </w:r>
      <w:r w:rsidR="0027673E" w:rsidRPr="00A57EAE">
        <w:t xml:space="preserve">to organize </w:t>
      </w:r>
      <w:r w:rsidR="00F07745">
        <w:t xml:space="preserve">the Committee’s </w:t>
      </w:r>
      <w:r w:rsidR="0027673E" w:rsidRPr="00A57EAE">
        <w:t xml:space="preserve">special session in Geneva from 23 to 25 February 2016, its special session in Batumi on 7 June 2016 and its </w:t>
      </w:r>
      <w:r w:rsidR="008D3BB2" w:rsidRPr="00A57EAE">
        <w:t xml:space="preserve">twenty-second </w:t>
      </w:r>
      <w:r w:rsidR="0027673E" w:rsidRPr="00A57EAE">
        <w:t xml:space="preserve">session in Geneva </w:t>
      </w:r>
      <w:r w:rsidR="00F07745">
        <w:t xml:space="preserve">from </w:t>
      </w:r>
      <w:r w:rsidR="0027673E" w:rsidRPr="00A57EAE">
        <w:t>7</w:t>
      </w:r>
      <w:r w:rsidR="00F07745">
        <w:t xml:space="preserve"> to </w:t>
      </w:r>
      <w:r w:rsidR="0027673E" w:rsidRPr="00A57EAE">
        <w:t>9 December 2016</w:t>
      </w:r>
      <w:r w:rsidR="00913344" w:rsidRPr="00A57EAE">
        <w:t>;</w:t>
      </w:r>
    </w:p>
    <w:p w:rsidR="00913344" w:rsidRPr="00A57EAE" w:rsidRDefault="00A57EAE" w:rsidP="00BD0263">
      <w:pPr>
        <w:pStyle w:val="SingleTxtG"/>
        <w:spacing w:line="240" w:lineRule="auto"/>
        <w:ind w:firstLine="567"/>
      </w:pPr>
      <w:r w:rsidRPr="00A57EAE">
        <w:t>(jj)</w:t>
      </w:r>
      <w:r w:rsidRPr="00A57EAE">
        <w:tab/>
      </w:r>
      <w:r w:rsidR="00913344" w:rsidRPr="00A57EAE">
        <w:t>Request</w:t>
      </w:r>
      <w:r w:rsidR="00F07745">
        <w:t>s</w:t>
      </w:r>
      <w:r w:rsidR="00913344" w:rsidRPr="00A57EAE">
        <w:t xml:space="preserve"> </w:t>
      </w:r>
      <w:r w:rsidR="00F07745">
        <w:t xml:space="preserve">the </w:t>
      </w:r>
      <w:r w:rsidR="00913344" w:rsidRPr="00A57EAE">
        <w:t xml:space="preserve">Bureau and the secretariat to follow up on the </w:t>
      </w:r>
      <w:r w:rsidR="00F07745">
        <w:t xml:space="preserve">Committee’s </w:t>
      </w:r>
      <w:r w:rsidR="00913344" w:rsidRPr="00A57EAE">
        <w:t xml:space="preserve">decisions, including by preparing the documents and reports necessary for the </w:t>
      </w:r>
      <w:r w:rsidR="00F07745">
        <w:t xml:space="preserve">Committee’s </w:t>
      </w:r>
      <w:r w:rsidR="00913344" w:rsidRPr="00A57EAE">
        <w:t>work at its session</w:t>
      </w:r>
      <w:r w:rsidR="0074100D" w:rsidRPr="00A57EAE">
        <w:t>s in 2016</w:t>
      </w:r>
      <w:r w:rsidR="00913344" w:rsidRPr="00A57EAE">
        <w:t>;</w:t>
      </w:r>
    </w:p>
    <w:p w:rsidR="00766C0D" w:rsidRPr="00A57EAE" w:rsidRDefault="00A57EAE" w:rsidP="00BD0263">
      <w:pPr>
        <w:pStyle w:val="SingleTxtG"/>
        <w:spacing w:line="240" w:lineRule="auto"/>
        <w:ind w:firstLine="567"/>
      </w:pPr>
      <w:r w:rsidRPr="00A57EAE">
        <w:t>(kk)</w:t>
      </w:r>
      <w:r w:rsidRPr="00A57EAE">
        <w:tab/>
      </w:r>
      <w:r w:rsidR="00F07745">
        <w:t xml:space="preserve">Takes </w:t>
      </w:r>
      <w:r w:rsidR="00766C0D" w:rsidRPr="00A57EAE">
        <w:t xml:space="preserve">note of the information provided on the </w:t>
      </w:r>
      <w:r w:rsidR="00F07745">
        <w:t xml:space="preserve">Memorandum of Understanding </w:t>
      </w:r>
      <w:r w:rsidR="00766C0D" w:rsidRPr="00A57EAE">
        <w:t>between ECE and UNEP;</w:t>
      </w:r>
    </w:p>
    <w:p w:rsidR="00913344" w:rsidRPr="00A57EAE" w:rsidRDefault="00A57EAE" w:rsidP="00BD0263">
      <w:pPr>
        <w:pStyle w:val="SingleTxtG"/>
        <w:spacing w:line="240" w:lineRule="auto"/>
        <w:ind w:firstLine="567"/>
      </w:pPr>
      <w:r w:rsidRPr="00A57EAE">
        <w:t>(ll)</w:t>
      </w:r>
      <w:r w:rsidRPr="00A57EAE">
        <w:tab/>
      </w:r>
      <w:r w:rsidR="00913344" w:rsidRPr="00A57EAE">
        <w:t>Expresse</w:t>
      </w:r>
      <w:r w:rsidR="00F07745">
        <w:t>s</w:t>
      </w:r>
      <w:r w:rsidR="00913344" w:rsidRPr="00A57EAE">
        <w:t xml:space="preserve"> its appreciation to the secretariat for an excellent organization of the meeting.</w:t>
      </w:r>
    </w:p>
    <w:p w:rsidR="00F969EA" w:rsidRPr="00A57EAE" w:rsidRDefault="00F969EA" w:rsidP="00114AB7">
      <w:pPr>
        <w:pStyle w:val="SingleTxtG"/>
        <w:spacing w:after="0"/>
        <w:jc w:val="center"/>
        <w:rPr>
          <w:u w:val="single"/>
        </w:rPr>
      </w:pPr>
      <w:r w:rsidRPr="00A57EAE">
        <w:rPr>
          <w:u w:val="single"/>
        </w:rPr>
        <w:tab/>
      </w:r>
      <w:r w:rsidRPr="00A57EAE">
        <w:rPr>
          <w:u w:val="single"/>
        </w:rPr>
        <w:tab/>
      </w:r>
      <w:r w:rsidRPr="00A57EAE">
        <w:rPr>
          <w:u w:val="single"/>
        </w:rPr>
        <w:tab/>
      </w:r>
    </w:p>
    <w:sectPr w:rsidR="00F969EA" w:rsidRPr="00A57EAE" w:rsidSect="00EB7E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7" w:rsidRDefault="003C0F07"/>
  </w:endnote>
  <w:endnote w:type="continuationSeparator" w:id="0">
    <w:p w:rsidR="003C0F07" w:rsidRDefault="003C0F07"/>
  </w:endnote>
  <w:endnote w:type="continuationNotice" w:id="1">
    <w:p w:rsidR="003C0F07" w:rsidRDefault="003C0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7" w:rsidRPr="00EB7E95" w:rsidRDefault="003C0F07" w:rsidP="00EB7E95">
    <w:pPr>
      <w:pStyle w:val="Footer"/>
      <w:tabs>
        <w:tab w:val="right" w:pos="9638"/>
      </w:tabs>
      <w:rPr>
        <w:sz w:val="18"/>
      </w:rPr>
    </w:pPr>
    <w:r w:rsidRPr="00EB7E95">
      <w:rPr>
        <w:b/>
        <w:sz w:val="18"/>
      </w:rPr>
      <w:fldChar w:fldCharType="begin"/>
    </w:r>
    <w:r w:rsidRPr="00EB7E95">
      <w:rPr>
        <w:b/>
        <w:sz w:val="18"/>
      </w:rPr>
      <w:instrText xml:space="preserve"> PAGE  \* MERGEFORMAT </w:instrText>
    </w:r>
    <w:r w:rsidRPr="00EB7E95">
      <w:rPr>
        <w:b/>
        <w:sz w:val="18"/>
      </w:rPr>
      <w:fldChar w:fldCharType="separate"/>
    </w:r>
    <w:r w:rsidR="005C03C7">
      <w:rPr>
        <w:b/>
        <w:noProof/>
        <w:sz w:val="18"/>
      </w:rPr>
      <w:t>8</w:t>
    </w:r>
    <w:r w:rsidRPr="00EB7E9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7" w:rsidRPr="00EB7E95" w:rsidRDefault="003C0F07" w:rsidP="00EB7E95">
    <w:pPr>
      <w:pStyle w:val="Footer"/>
      <w:tabs>
        <w:tab w:val="right" w:pos="9638"/>
      </w:tabs>
      <w:rPr>
        <w:b/>
        <w:sz w:val="18"/>
      </w:rPr>
    </w:pPr>
    <w:r>
      <w:tab/>
    </w:r>
    <w:r w:rsidRPr="00EB7E95">
      <w:rPr>
        <w:b/>
        <w:sz w:val="18"/>
      </w:rPr>
      <w:fldChar w:fldCharType="begin"/>
    </w:r>
    <w:r w:rsidRPr="00EB7E95">
      <w:rPr>
        <w:b/>
        <w:sz w:val="18"/>
      </w:rPr>
      <w:instrText xml:space="preserve"> PAGE  \* MERGEFORMAT </w:instrText>
    </w:r>
    <w:r w:rsidRPr="00EB7E95">
      <w:rPr>
        <w:b/>
        <w:sz w:val="18"/>
      </w:rPr>
      <w:fldChar w:fldCharType="separate"/>
    </w:r>
    <w:r w:rsidR="00EB1431">
      <w:rPr>
        <w:b/>
        <w:noProof/>
        <w:sz w:val="18"/>
      </w:rPr>
      <w:t>7</w:t>
    </w:r>
    <w:r w:rsidRPr="00EB7E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7" w:rsidRPr="00EB7E95" w:rsidRDefault="003C0F07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04D87C56" wp14:editId="0026A472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7" w:rsidRPr="000B175B" w:rsidRDefault="003C0F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0F07" w:rsidRPr="00FC68B7" w:rsidRDefault="003C0F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0F07" w:rsidRDefault="003C0F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7" w:rsidRPr="00EB7E95" w:rsidRDefault="003C0F07">
    <w:pPr>
      <w:pStyle w:val="Header"/>
    </w:pPr>
    <w:r>
      <w:t>Summary of decisions by CEP-21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7" w:rsidRPr="00806022" w:rsidRDefault="003C0F07" w:rsidP="00806022">
    <w:pPr>
      <w:pStyle w:val="Header"/>
      <w:jc w:val="right"/>
    </w:pPr>
    <w:r>
      <w:t>Summary of decisions by CEP-21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01780"/>
    <w:multiLevelType w:val="hybridMultilevel"/>
    <w:tmpl w:val="C9CE6170"/>
    <w:lvl w:ilvl="0" w:tplc="0BDE8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62EB8">
      <w:start w:val="18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27A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8AA54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21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C9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2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48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431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5D66DB"/>
    <w:multiLevelType w:val="hybridMultilevel"/>
    <w:tmpl w:val="5B74E78A"/>
    <w:lvl w:ilvl="0" w:tplc="8D8226D6">
      <w:start w:val="1"/>
      <w:numFmt w:val="lowerLetter"/>
      <w:lvlText w:val="(%1)"/>
      <w:lvlJc w:val="left"/>
      <w:pPr>
        <w:ind w:left="225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3">
    <w:nsid w:val="0BBD0A4A"/>
    <w:multiLevelType w:val="hybridMultilevel"/>
    <w:tmpl w:val="A8BA73E0"/>
    <w:lvl w:ilvl="0" w:tplc="0DF4A350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3542EB2"/>
    <w:multiLevelType w:val="hybridMultilevel"/>
    <w:tmpl w:val="3FE48E90"/>
    <w:lvl w:ilvl="0" w:tplc="37B46F74">
      <w:start w:val="1"/>
      <w:numFmt w:val="upperRoman"/>
      <w:pStyle w:val="Rom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AEF9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DC22F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D56002"/>
    <w:multiLevelType w:val="hybridMultilevel"/>
    <w:tmpl w:val="055E488C"/>
    <w:lvl w:ilvl="0" w:tplc="B9322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61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9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69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E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28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0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EA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09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9305E3"/>
    <w:multiLevelType w:val="hybridMultilevel"/>
    <w:tmpl w:val="23FCBE56"/>
    <w:lvl w:ilvl="0" w:tplc="3740E2F8">
      <w:start w:val="1"/>
      <w:numFmt w:val="lowerLetter"/>
      <w:pStyle w:val="Style16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BF403A8"/>
    <w:multiLevelType w:val="hybridMultilevel"/>
    <w:tmpl w:val="C994E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1DEC2459"/>
    <w:multiLevelType w:val="hybridMultilevel"/>
    <w:tmpl w:val="3ABE1B6C"/>
    <w:lvl w:ilvl="0" w:tplc="56648B36">
      <w:start w:val="1"/>
      <w:numFmt w:val="lowerRoman"/>
      <w:lvlText w:val="(%1)"/>
      <w:lvlJc w:val="left"/>
      <w:pPr>
        <w:ind w:left="4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515757"/>
    <w:multiLevelType w:val="hybridMultilevel"/>
    <w:tmpl w:val="A58EA462"/>
    <w:lvl w:ilvl="0" w:tplc="7FB6E7B4">
      <w:start w:val="1"/>
      <w:numFmt w:val="lowerLetter"/>
      <w:lvlText w:val="(%1)"/>
      <w:lvlJc w:val="left"/>
      <w:pPr>
        <w:ind w:left="2267" w:hanging="5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0E6768"/>
    <w:multiLevelType w:val="hybridMultilevel"/>
    <w:tmpl w:val="8DC2AF50"/>
    <w:lvl w:ilvl="0" w:tplc="040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ED5004"/>
    <w:multiLevelType w:val="hybridMultilevel"/>
    <w:tmpl w:val="BCE403AC"/>
    <w:lvl w:ilvl="0" w:tplc="C8FE3E1E">
      <w:start w:val="1"/>
      <w:numFmt w:val="lowerRoman"/>
      <w:lvlText w:val="(%1)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061AB"/>
    <w:multiLevelType w:val="singleLevel"/>
    <w:tmpl w:val="66CAD4CC"/>
    <w:lvl w:ilvl="0">
      <w:start w:val="1"/>
      <w:numFmt w:val="decimal"/>
      <w:pStyle w:val="Rom1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3D55281A"/>
    <w:multiLevelType w:val="hybridMultilevel"/>
    <w:tmpl w:val="4142D3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E513B"/>
    <w:multiLevelType w:val="hybridMultilevel"/>
    <w:tmpl w:val="C2E696B6"/>
    <w:lvl w:ilvl="0" w:tplc="339434B4">
      <w:start w:val="1"/>
      <w:numFmt w:val="upperRoman"/>
      <w:pStyle w:val="Style9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 w:tplc="B374E5C6">
      <w:start w:val="1"/>
      <w:numFmt w:val="upperLetter"/>
      <w:lvlText w:val="%2."/>
      <w:lvlJc w:val="center"/>
      <w:pPr>
        <w:tabs>
          <w:tab w:val="num" w:pos="1080"/>
        </w:tabs>
        <w:ind w:left="1701" w:hanging="621"/>
      </w:pPr>
      <w:rPr>
        <w:rFonts w:ascii="Times New Roman Bold" w:hAnsi="Times New Roman Bold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E24"/>
    <w:multiLevelType w:val="hybridMultilevel"/>
    <w:tmpl w:val="25C680EC"/>
    <w:lvl w:ilvl="0" w:tplc="B6E2AB54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45B61207"/>
    <w:multiLevelType w:val="hybridMultilevel"/>
    <w:tmpl w:val="151AFC4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EC091B"/>
    <w:multiLevelType w:val="hybridMultilevel"/>
    <w:tmpl w:val="362A57A4"/>
    <w:lvl w:ilvl="0" w:tplc="CD441FE6">
      <w:numFmt w:val="bullet"/>
      <w:lvlText w:val="-"/>
      <w:lvlJc w:val="left"/>
      <w:pPr>
        <w:tabs>
          <w:tab w:val="num" w:pos="2514"/>
        </w:tabs>
        <w:ind w:left="251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cs="Wingdings" w:hint="default"/>
      </w:rPr>
    </w:lvl>
  </w:abstractNum>
  <w:abstractNum w:abstractNumId="33">
    <w:nsid w:val="4E0144C3"/>
    <w:multiLevelType w:val="hybridMultilevel"/>
    <w:tmpl w:val="C976652C"/>
    <w:lvl w:ilvl="0" w:tplc="EB48B1F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B5EDE"/>
    <w:multiLevelType w:val="hybridMultilevel"/>
    <w:tmpl w:val="7E7CE2A2"/>
    <w:lvl w:ilvl="0" w:tplc="9C80699A">
      <w:start w:val="1"/>
      <w:numFmt w:val="lowerRoman"/>
      <w:lvlText w:val="(%1)"/>
      <w:lvlJc w:val="left"/>
      <w:pPr>
        <w:ind w:left="4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111DE"/>
    <w:multiLevelType w:val="hybridMultilevel"/>
    <w:tmpl w:val="45F66170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2D5291"/>
    <w:multiLevelType w:val="hybridMultilevel"/>
    <w:tmpl w:val="341C8F84"/>
    <w:lvl w:ilvl="0" w:tplc="A044C6E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0793B"/>
    <w:multiLevelType w:val="hybridMultilevel"/>
    <w:tmpl w:val="5ECAED8E"/>
    <w:lvl w:ilvl="0" w:tplc="2D5681DC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14F4455"/>
    <w:multiLevelType w:val="hybridMultilevel"/>
    <w:tmpl w:val="6B18EDF6"/>
    <w:lvl w:ilvl="0" w:tplc="30AEF90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>
    <w:nsid w:val="739E3485"/>
    <w:multiLevelType w:val="hybridMultilevel"/>
    <w:tmpl w:val="2C42393E"/>
    <w:lvl w:ilvl="0" w:tplc="55D438F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1301E"/>
    <w:multiLevelType w:val="hybridMultilevel"/>
    <w:tmpl w:val="6A440CC6"/>
    <w:lvl w:ilvl="0" w:tplc="FAE00324">
      <w:start w:val="1"/>
      <w:numFmt w:val="lowerRoman"/>
      <w:lvlText w:val="(%1)"/>
      <w:lvlJc w:val="left"/>
      <w:pPr>
        <w:ind w:left="4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1"/>
  </w:num>
  <w:num w:numId="13">
    <w:abstractNumId w:val="11"/>
  </w:num>
  <w:num w:numId="14">
    <w:abstractNumId w:val="17"/>
  </w:num>
  <w:num w:numId="15">
    <w:abstractNumId w:val="25"/>
  </w:num>
  <w:num w:numId="16">
    <w:abstractNumId w:val="19"/>
  </w:num>
  <w:num w:numId="17">
    <w:abstractNumId w:val="36"/>
  </w:num>
  <w:num w:numId="18">
    <w:abstractNumId w:val="41"/>
  </w:num>
  <w:num w:numId="19">
    <w:abstractNumId w:val="27"/>
  </w:num>
  <w:num w:numId="20">
    <w:abstractNumId w:val="14"/>
  </w:num>
  <w:num w:numId="21">
    <w:abstractNumId w:val="16"/>
  </w:num>
  <w:num w:numId="22">
    <w:abstractNumId w:val="29"/>
  </w:num>
  <w:num w:numId="23">
    <w:abstractNumId w:val="39"/>
  </w:num>
  <w:num w:numId="24">
    <w:abstractNumId w:val="30"/>
  </w:num>
  <w:num w:numId="25">
    <w:abstractNumId w:val="38"/>
  </w:num>
  <w:num w:numId="26">
    <w:abstractNumId w:val="32"/>
  </w:num>
  <w:num w:numId="27">
    <w:abstractNumId w:val="24"/>
  </w:num>
  <w:num w:numId="28">
    <w:abstractNumId w:val="28"/>
  </w:num>
  <w:num w:numId="29">
    <w:abstractNumId w:val="13"/>
  </w:num>
  <w:num w:numId="30">
    <w:abstractNumId w:val="18"/>
  </w:num>
  <w:num w:numId="31">
    <w:abstractNumId w:val="35"/>
  </w:num>
  <w:num w:numId="32">
    <w:abstractNumId w:val="12"/>
  </w:num>
  <w:num w:numId="33">
    <w:abstractNumId w:val="10"/>
  </w:num>
  <w:num w:numId="34">
    <w:abstractNumId w:val="37"/>
  </w:num>
  <w:num w:numId="35">
    <w:abstractNumId w:val="15"/>
  </w:num>
  <w:num w:numId="36">
    <w:abstractNumId w:val="31"/>
  </w:num>
  <w:num w:numId="37">
    <w:abstractNumId w:val="40"/>
  </w:num>
  <w:num w:numId="38">
    <w:abstractNumId w:val="22"/>
  </w:num>
  <w:num w:numId="39">
    <w:abstractNumId w:val="33"/>
  </w:num>
  <w:num w:numId="40">
    <w:abstractNumId w:val="20"/>
  </w:num>
  <w:num w:numId="41">
    <w:abstractNumId w:val="34"/>
  </w:num>
  <w:num w:numId="42">
    <w:abstractNumId w:val="42"/>
  </w:num>
  <w:num w:numId="4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5"/>
    <w:rsid w:val="00000545"/>
    <w:rsid w:val="00001135"/>
    <w:rsid w:val="00002A7D"/>
    <w:rsid w:val="000038A8"/>
    <w:rsid w:val="000044E5"/>
    <w:rsid w:val="00005ADC"/>
    <w:rsid w:val="00006790"/>
    <w:rsid w:val="00010816"/>
    <w:rsid w:val="000225DD"/>
    <w:rsid w:val="0002404E"/>
    <w:rsid w:val="00027624"/>
    <w:rsid w:val="00034AFF"/>
    <w:rsid w:val="00037C75"/>
    <w:rsid w:val="00040580"/>
    <w:rsid w:val="000434BB"/>
    <w:rsid w:val="00043BB7"/>
    <w:rsid w:val="000450ED"/>
    <w:rsid w:val="0004703A"/>
    <w:rsid w:val="00050F6B"/>
    <w:rsid w:val="000536E1"/>
    <w:rsid w:val="0005526A"/>
    <w:rsid w:val="00064451"/>
    <w:rsid w:val="000678CD"/>
    <w:rsid w:val="00072C8C"/>
    <w:rsid w:val="000735E0"/>
    <w:rsid w:val="00080F94"/>
    <w:rsid w:val="00081CE0"/>
    <w:rsid w:val="0008486F"/>
    <w:rsid w:val="00084D30"/>
    <w:rsid w:val="00085BFF"/>
    <w:rsid w:val="00086D01"/>
    <w:rsid w:val="00090320"/>
    <w:rsid w:val="00090587"/>
    <w:rsid w:val="000917E1"/>
    <w:rsid w:val="000931C0"/>
    <w:rsid w:val="00094A80"/>
    <w:rsid w:val="00094CD8"/>
    <w:rsid w:val="000951E2"/>
    <w:rsid w:val="00095447"/>
    <w:rsid w:val="000A2AA6"/>
    <w:rsid w:val="000A2E09"/>
    <w:rsid w:val="000A2EC6"/>
    <w:rsid w:val="000A5CCE"/>
    <w:rsid w:val="000A715F"/>
    <w:rsid w:val="000B0190"/>
    <w:rsid w:val="000B175B"/>
    <w:rsid w:val="000B2275"/>
    <w:rsid w:val="000B3A0F"/>
    <w:rsid w:val="000B43CA"/>
    <w:rsid w:val="000B5C89"/>
    <w:rsid w:val="000C2CC1"/>
    <w:rsid w:val="000C40F6"/>
    <w:rsid w:val="000C4F1E"/>
    <w:rsid w:val="000C55B1"/>
    <w:rsid w:val="000C6B38"/>
    <w:rsid w:val="000D4DAB"/>
    <w:rsid w:val="000D6B4C"/>
    <w:rsid w:val="000E0415"/>
    <w:rsid w:val="000E1D5E"/>
    <w:rsid w:val="000E5C1E"/>
    <w:rsid w:val="000E6899"/>
    <w:rsid w:val="000F63DF"/>
    <w:rsid w:val="000F6C86"/>
    <w:rsid w:val="000F7715"/>
    <w:rsid w:val="00100977"/>
    <w:rsid w:val="00103A24"/>
    <w:rsid w:val="001046E9"/>
    <w:rsid w:val="00107528"/>
    <w:rsid w:val="00114AB7"/>
    <w:rsid w:val="00124982"/>
    <w:rsid w:val="00127D90"/>
    <w:rsid w:val="00135FD9"/>
    <w:rsid w:val="00136B16"/>
    <w:rsid w:val="00146214"/>
    <w:rsid w:val="0015652A"/>
    <w:rsid w:val="00156B99"/>
    <w:rsid w:val="00157938"/>
    <w:rsid w:val="00166124"/>
    <w:rsid w:val="00166963"/>
    <w:rsid w:val="00170BF4"/>
    <w:rsid w:val="001729B3"/>
    <w:rsid w:val="00173B00"/>
    <w:rsid w:val="00176CD8"/>
    <w:rsid w:val="00181F5D"/>
    <w:rsid w:val="00184DDA"/>
    <w:rsid w:val="001900CD"/>
    <w:rsid w:val="00192892"/>
    <w:rsid w:val="00197E4F"/>
    <w:rsid w:val="001A0452"/>
    <w:rsid w:val="001A121E"/>
    <w:rsid w:val="001A1CC6"/>
    <w:rsid w:val="001A2057"/>
    <w:rsid w:val="001B146D"/>
    <w:rsid w:val="001B2078"/>
    <w:rsid w:val="001B364D"/>
    <w:rsid w:val="001B400F"/>
    <w:rsid w:val="001B4B04"/>
    <w:rsid w:val="001B5588"/>
    <w:rsid w:val="001B5875"/>
    <w:rsid w:val="001C2221"/>
    <w:rsid w:val="001C22E4"/>
    <w:rsid w:val="001C31DA"/>
    <w:rsid w:val="001C4B9C"/>
    <w:rsid w:val="001C6663"/>
    <w:rsid w:val="001C7895"/>
    <w:rsid w:val="001D26DF"/>
    <w:rsid w:val="001D4C32"/>
    <w:rsid w:val="001D6C8F"/>
    <w:rsid w:val="001E3751"/>
    <w:rsid w:val="001E4018"/>
    <w:rsid w:val="001E4CE8"/>
    <w:rsid w:val="001E5F51"/>
    <w:rsid w:val="001E5F89"/>
    <w:rsid w:val="001F1599"/>
    <w:rsid w:val="001F19C4"/>
    <w:rsid w:val="001F1EDD"/>
    <w:rsid w:val="001F2FF5"/>
    <w:rsid w:val="001F46F3"/>
    <w:rsid w:val="00203595"/>
    <w:rsid w:val="002043F0"/>
    <w:rsid w:val="00204A25"/>
    <w:rsid w:val="00204D6E"/>
    <w:rsid w:val="00211E0B"/>
    <w:rsid w:val="00221656"/>
    <w:rsid w:val="002228D1"/>
    <w:rsid w:val="00224635"/>
    <w:rsid w:val="002275AE"/>
    <w:rsid w:val="00227DED"/>
    <w:rsid w:val="00232575"/>
    <w:rsid w:val="00235741"/>
    <w:rsid w:val="00237A95"/>
    <w:rsid w:val="00241B92"/>
    <w:rsid w:val="00243EFC"/>
    <w:rsid w:val="00245084"/>
    <w:rsid w:val="00246FBF"/>
    <w:rsid w:val="00247258"/>
    <w:rsid w:val="0024728E"/>
    <w:rsid w:val="00252DC5"/>
    <w:rsid w:val="00257CAC"/>
    <w:rsid w:val="00263D2F"/>
    <w:rsid w:val="0026549E"/>
    <w:rsid w:val="002713C2"/>
    <w:rsid w:val="0027195E"/>
    <w:rsid w:val="0027237A"/>
    <w:rsid w:val="00274CFF"/>
    <w:rsid w:val="00275265"/>
    <w:rsid w:val="0027536B"/>
    <w:rsid w:val="0027673E"/>
    <w:rsid w:val="00284954"/>
    <w:rsid w:val="002974E9"/>
    <w:rsid w:val="002A1B83"/>
    <w:rsid w:val="002A3177"/>
    <w:rsid w:val="002A39B5"/>
    <w:rsid w:val="002A7F94"/>
    <w:rsid w:val="002B0443"/>
    <w:rsid w:val="002B109A"/>
    <w:rsid w:val="002B5579"/>
    <w:rsid w:val="002C1D0C"/>
    <w:rsid w:val="002C2D95"/>
    <w:rsid w:val="002C34D1"/>
    <w:rsid w:val="002C6D45"/>
    <w:rsid w:val="002D0BE8"/>
    <w:rsid w:val="002D3753"/>
    <w:rsid w:val="002D57B1"/>
    <w:rsid w:val="002D6E53"/>
    <w:rsid w:val="002E2B2E"/>
    <w:rsid w:val="002F046D"/>
    <w:rsid w:val="002F2784"/>
    <w:rsid w:val="002F371B"/>
    <w:rsid w:val="002F3CD2"/>
    <w:rsid w:val="00301764"/>
    <w:rsid w:val="003040EB"/>
    <w:rsid w:val="00306D61"/>
    <w:rsid w:val="0031076F"/>
    <w:rsid w:val="00311443"/>
    <w:rsid w:val="00311D1C"/>
    <w:rsid w:val="003161E8"/>
    <w:rsid w:val="00316F95"/>
    <w:rsid w:val="003229D8"/>
    <w:rsid w:val="003242FA"/>
    <w:rsid w:val="00334542"/>
    <w:rsid w:val="00334A53"/>
    <w:rsid w:val="00334D1A"/>
    <w:rsid w:val="00336C97"/>
    <w:rsid w:val="00337897"/>
    <w:rsid w:val="00337F88"/>
    <w:rsid w:val="00341938"/>
    <w:rsid w:val="00342432"/>
    <w:rsid w:val="0034248E"/>
    <w:rsid w:val="003431A8"/>
    <w:rsid w:val="00351DF7"/>
    <w:rsid w:val="0035223F"/>
    <w:rsid w:val="00352CD2"/>
    <w:rsid w:val="00352D4B"/>
    <w:rsid w:val="00355E53"/>
    <w:rsid w:val="00355F6E"/>
    <w:rsid w:val="0035638C"/>
    <w:rsid w:val="0035659A"/>
    <w:rsid w:val="003625EF"/>
    <w:rsid w:val="00362DC5"/>
    <w:rsid w:val="00364F29"/>
    <w:rsid w:val="003672C4"/>
    <w:rsid w:val="00370143"/>
    <w:rsid w:val="00370FC8"/>
    <w:rsid w:val="00371F6F"/>
    <w:rsid w:val="00380C18"/>
    <w:rsid w:val="00381951"/>
    <w:rsid w:val="00381F04"/>
    <w:rsid w:val="003916DE"/>
    <w:rsid w:val="00392ECA"/>
    <w:rsid w:val="00396073"/>
    <w:rsid w:val="003A46BB"/>
    <w:rsid w:val="003A47EB"/>
    <w:rsid w:val="003A4C07"/>
    <w:rsid w:val="003A4EC7"/>
    <w:rsid w:val="003A6AA6"/>
    <w:rsid w:val="003A6F51"/>
    <w:rsid w:val="003A7295"/>
    <w:rsid w:val="003B1F60"/>
    <w:rsid w:val="003B30C0"/>
    <w:rsid w:val="003B5766"/>
    <w:rsid w:val="003B77B2"/>
    <w:rsid w:val="003C0687"/>
    <w:rsid w:val="003C0F07"/>
    <w:rsid w:val="003C2CC4"/>
    <w:rsid w:val="003C42A5"/>
    <w:rsid w:val="003C5B2A"/>
    <w:rsid w:val="003D0B58"/>
    <w:rsid w:val="003D14A3"/>
    <w:rsid w:val="003D4B23"/>
    <w:rsid w:val="003D7EC6"/>
    <w:rsid w:val="003E278A"/>
    <w:rsid w:val="003E3C7D"/>
    <w:rsid w:val="003E5613"/>
    <w:rsid w:val="003E7ACF"/>
    <w:rsid w:val="003F2FB6"/>
    <w:rsid w:val="004058BC"/>
    <w:rsid w:val="00413520"/>
    <w:rsid w:val="0041418F"/>
    <w:rsid w:val="0042274F"/>
    <w:rsid w:val="0042629D"/>
    <w:rsid w:val="00427A95"/>
    <w:rsid w:val="00427D56"/>
    <w:rsid w:val="00430A42"/>
    <w:rsid w:val="00431D77"/>
    <w:rsid w:val="00431F7B"/>
    <w:rsid w:val="004325CB"/>
    <w:rsid w:val="004405B5"/>
    <w:rsid w:val="00440A07"/>
    <w:rsid w:val="00441E7A"/>
    <w:rsid w:val="00443DD4"/>
    <w:rsid w:val="00451B91"/>
    <w:rsid w:val="00462880"/>
    <w:rsid w:val="004628A9"/>
    <w:rsid w:val="00463542"/>
    <w:rsid w:val="0046458B"/>
    <w:rsid w:val="00465318"/>
    <w:rsid w:val="0046607A"/>
    <w:rsid w:val="00466C21"/>
    <w:rsid w:val="00466D83"/>
    <w:rsid w:val="00466E71"/>
    <w:rsid w:val="00470F77"/>
    <w:rsid w:val="00470FC5"/>
    <w:rsid w:val="00471BE5"/>
    <w:rsid w:val="00472354"/>
    <w:rsid w:val="00476B97"/>
    <w:rsid w:val="00476F24"/>
    <w:rsid w:val="0048129E"/>
    <w:rsid w:val="004818A0"/>
    <w:rsid w:val="0048591C"/>
    <w:rsid w:val="00492938"/>
    <w:rsid w:val="004953CE"/>
    <w:rsid w:val="004A08E9"/>
    <w:rsid w:val="004A210B"/>
    <w:rsid w:val="004A47F8"/>
    <w:rsid w:val="004B5B31"/>
    <w:rsid w:val="004C3EA0"/>
    <w:rsid w:val="004C55B0"/>
    <w:rsid w:val="004D2F74"/>
    <w:rsid w:val="004D4F9A"/>
    <w:rsid w:val="004D7876"/>
    <w:rsid w:val="004F0294"/>
    <w:rsid w:val="004F208B"/>
    <w:rsid w:val="004F2666"/>
    <w:rsid w:val="004F6BA0"/>
    <w:rsid w:val="00500495"/>
    <w:rsid w:val="00500FC0"/>
    <w:rsid w:val="00503BEA"/>
    <w:rsid w:val="00505135"/>
    <w:rsid w:val="00507096"/>
    <w:rsid w:val="00510D7C"/>
    <w:rsid w:val="00511719"/>
    <w:rsid w:val="00511975"/>
    <w:rsid w:val="0051392E"/>
    <w:rsid w:val="0051556A"/>
    <w:rsid w:val="0051659B"/>
    <w:rsid w:val="00525060"/>
    <w:rsid w:val="0052727C"/>
    <w:rsid w:val="005309DF"/>
    <w:rsid w:val="00533616"/>
    <w:rsid w:val="00534D12"/>
    <w:rsid w:val="00535ABA"/>
    <w:rsid w:val="0053768B"/>
    <w:rsid w:val="005420F2"/>
    <w:rsid w:val="0054285C"/>
    <w:rsid w:val="00542A68"/>
    <w:rsid w:val="005455D3"/>
    <w:rsid w:val="005466D8"/>
    <w:rsid w:val="00553928"/>
    <w:rsid w:val="00554C8B"/>
    <w:rsid w:val="0056212E"/>
    <w:rsid w:val="00563674"/>
    <w:rsid w:val="005650E0"/>
    <w:rsid w:val="00566670"/>
    <w:rsid w:val="00574C32"/>
    <w:rsid w:val="00575378"/>
    <w:rsid w:val="00575C53"/>
    <w:rsid w:val="00576880"/>
    <w:rsid w:val="00583F90"/>
    <w:rsid w:val="00584173"/>
    <w:rsid w:val="005929F1"/>
    <w:rsid w:val="00595520"/>
    <w:rsid w:val="0059745B"/>
    <w:rsid w:val="005A44B9"/>
    <w:rsid w:val="005A543E"/>
    <w:rsid w:val="005A60F7"/>
    <w:rsid w:val="005B0CCB"/>
    <w:rsid w:val="005B1BA0"/>
    <w:rsid w:val="005B3DB3"/>
    <w:rsid w:val="005B4EAC"/>
    <w:rsid w:val="005C03C7"/>
    <w:rsid w:val="005C22BC"/>
    <w:rsid w:val="005C31B8"/>
    <w:rsid w:val="005C3C08"/>
    <w:rsid w:val="005C3C7D"/>
    <w:rsid w:val="005C77BB"/>
    <w:rsid w:val="005D15CA"/>
    <w:rsid w:val="005D46D0"/>
    <w:rsid w:val="005D480A"/>
    <w:rsid w:val="005D6A30"/>
    <w:rsid w:val="005E024B"/>
    <w:rsid w:val="005E45F7"/>
    <w:rsid w:val="005E634C"/>
    <w:rsid w:val="005E6597"/>
    <w:rsid w:val="005F3066"/>
    <w:rsid w:val="005F3A22"/>
    <w:rsid w:val="005F3E61"/>
    <w:rsid w:val="00604DDD"/>
    <w:rsid w:val="00605258"/>
    <w:rsid w:val="00607B61"/>
    <w:rsid w:val="006115CC"/>
    <w:rsid w:val="00611924"/>
    <w:rsid w:val="00611FC4"/>
    <w:rsid w:val="00612FB2"/>
    <w:rsid w:val="006157A3"/>
    <w:rsid w:val="00615EB9"/>
    <w:rsid w:val="006176FB"/>
    <w:rsid w:val="00623DC7"/>
    <w:rsid w:val="00625746"/>
    <w:rsid w:val="0063052C"/>
    <w:rsid w:val="00630FCB"/>
    <w:rsid w:val="00632C0A"/>
    <w:rsid w:val="00636E9F"/>
    <w:rsid w:val="00640B26"/>
    <w:rsid w:val="00641F37"/>
    <w:rsid w:val="006472EE"/>
    <w:rsid w:val="00652131"/>
    <w:rsid w:val="00657E44"/>
    <w:rsid w:val="00665805"/>
    <w:rsid w:val="00665B17"/>
    <w:rsid w:val="0067070D"/>
    <w:rsid w:val="00671ECA"/>
    <w:rsid w:val="006770B2"/>
    <w:rsid w:val="0068285D"/>
    <w:rsid w:val="00690084"/>
    <w:rsid w:val="006940E1"/>
    <w:rsid w:val="0069545D"/>
    <w:rsid w:val="006958B7"/>
    <w:rsid w:val="00696E2B"/>
    <w:rsid w:val="00697E4C"/>
    <w:rsid w:val="006A1F97"/>
    <w:rsid w:val="006A3B18"/>
    <w:rsid w:val="006A3C72"/>
    <w:rsid w:val="006A6EB4"/>
    <w:rsid w:val="006A7392"/>
    <w:rsid w:val="006B03A1"/>
    <w:rsid w:val="006B3634"/>
    <w:rsid w:val="006B4B8D"/>
    <w:rsid w:val="006B5716"/>
    <w:rsid w:val="006B67D9"/>
    <w:rsid w:val="006B6D77"/>
    <w:rsid w:val="006C30F1"/>
    <w:rsid w:val="006C3834"/>
    <w:rsid w:val="006C5535"/>
    <w:rsid w:val="006D0589"/>
    <w:rsid w:val="006D5F1D"/>
    <w:rsid w:val="006D66CC"/>
    <w:rsid w:val="006E261E"/>
    <w:rsid w:val="006E39C5"/>
    <w:rsid w:val="006E4C6A"/>
    <w:rsid w:val="006E564B"/>
    <w:rsid w:val="006E5D69"/>
    <w:rsid w:val="006E633C"/>
    <w:rsid w:val="006E64B2"/>
    <w:rsid w:val="006E7154"/>
    <w:rsid w:val="006F1D23"/>
    <w:rsid w:val="006F636C"/>
    <w:rsid w:val="006F75FE"/>
    <w:rsid w:val="007003CD"/>
    <w:rsid w:val="00701029"/>
    <w:rsid w:val="007045AE"/>
    <w:rsid w:val="0070701E"/>
    <w:rsid w:val="00707AD4"/>
    <w:rsid w:val="00713A89"/>
    <w:rsid w:val="007170F9"/>
    <w:rsid w:val="0072548E"/>
    <w:rsid w:val="0072632A"/>
    <w:rsid w:val="00732864"/>
    <w:rsid w:val="00733D3C"/>
    <w:rsid w:val="007344B1"/>
    <w:rsid w:val="007358E8"/>
    <w:rsid w:val="00736ECE"/>
    <w:rsid w:val="00737384"/>
    <w:rsid w:val="0074100D"/>
    <w:rsid w:val="00741F18"/>
    <w:rsid w:val="00742498"/>
    <w:rsid w:val="007437E7"/>
    <w:rsid w:val="0074533B"/>
    <w:rsid w:val="0075208A"/>
    <w:rsid w:val="007529A5"/>
    <w:rsid w:val="007542C3"/>
    <w:rsid w:val="007542C9"/>
    <w:rsid w:val="00756E39"/>
    <w:rsid w:val="00761CC0"/>
    <w:rsid w:val="007625BF"/>
    <w:rsid w:val="007643BC"/>
    <w:rsid w:val="00766B26"/>
    <w:rsid w:val="00766C0D"/>
    <w:rsid w:val="00771875"/>
    <w:rsid w:val="00771B80"/>
    <w:rsid w:val="00773ADE"/>
    <w:rsid w:val="00781C2B"/>
    <w:rsid w:val="00783734"/>
    <w:rsid w:val="00783E47"/>
    <w:rsid w:val="00795926"/>
    <w:rsid w:val="007959FE"/>
    <w:rsid w:val="0079677A"/>
    <w:rsid w:val="00796A97"/>
    <w:rsid w:val="0079711A"/>
    <w:rsid w:val="007A0CF1"/>
    <w:rsid w:val="007A1921"/>
    <w:rsid w:val="007A2783"/>
    <w:rsid w:val="007A30FA"/>
    <w:rsid w:val="007A4E5C"/>
    <w:rsid w:val="007A7502"/>
    <w:rsid w:val="007B6BA5"/>
    <w:rsid w:val="007B7191"/>
    <w:rsid w:val="007C0E9E"/>
    <w:rsid w:val="007C3390"/>
    <w:rsid w:val="007C39FC"/>
    <w:rsid w:val="007C42D8"/>
    <w:rsid w:val="007C4F4B"/>
    <w:rsid w:val="007C6DA3"/>
    <w:rsid w:val="007C74AE"/>
    <w:rsid w:val="007D1084"/>
    <w:rsid w:val="007D7362"/>
    <w:rsid w:val="007E4E80"/>
    <w:rsid w:val="007F1EC3"/>
    <w:rsid w:val="007F47D3"/>
    <w:rsid w:val="007F5CE2"/>
    <w:rsid w:val="007F6611"/>
    <w:rsid w:val="00800426"/>
    <w:rsid w:val="00802B52"/>
    <w:rsid w:val="00805118"/>
    <w:rsid w:val="00806022"/>
    <w:rsid w:val="00810BAC"/>
    <w:rsid w:val="00811017"/>
    <w:rsid w:val="00811A45"/>
    <w:rsid w:val="00811C22"/>
    <w:rsid w:val="0081247A"/>
    <w:rsid w:val="00815131"/>
    <w:rsid w:val="008175E9"/>
    <w:rsid w:val="008177D4"/>
    <w:rsid w:val="00821646"/>
    <w:rsid w:val="008242D7"/>
    <w:rsid w:val="0082577B"/>
    <w:rsid w:val="0082701E"/>
    <w:rsid w:val="00827099"/>
    <w:rsid w:val="0083038B"/>
    <w:rsid w:val="00834646"/>
    <w:rsid w:val="008347AC"/>
    <w:rsid w:val="008348BD"/>
    <w:rsid w:val="00834F1A"/>
    <w:rsid w:val="00836733"/>
    <w:rsid w:val="00844854"/>
    <w:rsid w:val="00846161"/>
    <w:rsid w:val="00856856"/>
    <w:rsid w:val="00860008"/>
    <w:rsid w:val="00860335"/>
    <w:rsid w:val="0086108B"/>
    <w:rsid w:val="00866613"/>
    <w:rsid w:val="00866893"/>
    <w:rsid w:val="00866F02"/>
    <w:rsid w:val="00867D18"/>
    <w:rsid w:val="00871E43"/>
    <w:rsid w:val="00871F9A"/>
    <w:rsid w:val="00871FD5"/>
    <w:rsid w:val="008736BA"/>
    <w:rsid w:val="00877E4D"/>
    <w:rsid w:val="0088172E"/>
    <w:rsid w:val="00881EFA"/>
    <w:rsid w:val="008850EC"/>
    <w:rsid w:val="008879CB"/>
    <w:rsid w:val="008979B1"/>
    <w:rsid w:val="008A417E"/>
    <w:rsid w:val="008A4C60"/>
    <w:rsid w:val="008A596C"/>
    <w:rsid w:val="008A6B25"/>
    <w:rsid w:val="008A6C4F"/>
    <w:rsid w:val="008B0424"/>
    <w:rsid w:val="008B0CFC"/>
    <w:rsid w:val="008B1AE4"/>
    <w:rsid w:val="008B22BC"/>
    <w:rsid w:val="008B389E"/>
    <w:rsid w:val="008B3BD9"/>
    <w:rsid w:val="008B7E12"/>
    <w:rsid w:val="008C0974"/>
    <w:rsid w:val="008C0F36"/>
    <w:rsid w:val="008C1603"/>
    <w:rsid w:val="008C2FAC"/>
    <w:rsid w:val="008C3BE6"/>
    <w:rsid w:val="008C74CE"/>
    <w:rsid w:val="008D00EC"/>
    <w:rsid w:val="008D045E"/>
    <w:rsid w:val="008D2EFC"/>
    <w:rsid w:val="008D3BB2"/>
    <w:rsid w:val="008D3F25"/>
    <w:rsid w:val="008D4D82"/>
    <w:rsid w:val="008D722E"/>
    <w:rsid w:val="008E0E46"/>
    <w:rsid w:val="008E33C8"/>
    <w:rsid w:val="008E3D38"/>
    <w:rsid w:val="008E5040"/>
    <w:rsid w:val="008E6C89"/>
    <w:rsid w:val="008E7116"/>
    <w:rsid w:val="008F143B"/>
    <w:rsid w:val="008F3882"/>
    <w:rsid w:val="008F3A17"/>
    <w:rsid w:val="008F3FF9"/>
    <w:rsid w:val="008F4B7C"/>
    <w:rsid w:val="008F5016"/>
    <w:rsid w:val="008F6FA4"/>
    <w:rsid w:val="008F7AC1"/>
    <w:rsid w:val="009061FA"/>
    <w:rsid w:val="00913344"/>
    <w:rsid w:val="00916203"/>
    <w:rsid w:val="00917433"/>
    <w:rsid w:val="00920E81"/>
    <w:rsid w:val="00926E47"/>
    <w:rsid w:val="009306EB"/>
    <w:rsid w:val="00933296"/>
    <w:rsid w:val="00935267"/>
    <w:rsid w:val="00937291"/>
    <w:rsid w:val="009430C3"/>
    <w:rsid w:val="009437E9"/>
    <w:rsid w:val="00945FF1"/>
    <w:rsid w:val="009470E3"/>
    <w:rsid w:val="00947162"/>
    <w:rsid w:val="00950975"/>
    <w:rsid w:val="00951D1E"/>
    <w:rsid w:val="009523F4"/>
    <w:rsid w:val="0095327D"/>
    <w:rsid w:val="00954BD9"/>
    <w:rsid w:val="009575FD"/>
    <w:rsid w:val="009610D0"/>
    <w:rsid w:val="009612FA"/>
    <w:rsid w:val="0096375C"/>
    <w:rsid w:val="00965C23"/>
    <w:rsid w:val="009662E6"/>
    <w:rsid w:val="00966463"/>
    <w:rsid w:val="0097095E"/>
    <w:rsid w:val="0097520F"/>
    <w:rsid w:val="009757FD"/>
    <w:rsid w:val="0098592B"/>
    <w:rsid w:val="00985C77"/>
    <w:rsid w:val="00985FC4"/>
    <w:rsid w:val="00990766"/>
    <w:rsid w:val="00991261"/>
    <w:rsid w:val="00992BD6"/>
    <w:rsid w:val="00996239"/>
    <w:rsid w:val="009964C4"/>
    <w:rsid w:val="009A2634"/>
    <w:rsid w:val="009A54CC"/>
    <w:rsid w:val="009A761A"/>
    <w:rsid w:val="009A7B7B"/>
    <w:rsid w:val="009A7B81"/>
    <w:rsid w:val="009B0ADE"/>
    <w:rsid w:val="009B126C"/>
    <w:rsid w:val="009B1C08"/>
    <w:rsid w:val="009B211C"/>
    <w:rsid w:val="009B4C3C"/>
    <w:rsid w:val="009B5573"/>
    <w:rsid w:val="009C080E"/>
    <w:rsid w:val="009C59A4"/>
    <w:rsid w:val="009C69AC"/>
    <w:rsid w:val="009D01C0"/>
    <w:rsid w:val="009D0DD8"/>
    <w:rsid w:val="009D1B1B"/>
    <w:rsid w:val="009D642C"/>
    <w:rsid w:val="009D6A08"/>
    <w:rsid w:val="009E080F"/>
    <w:rsid w:val="009E0A16"/>
    <w:rsid w:val="009E119E"/>
    <w:rsid w:val="009E14BE"/>
    <w:rsid w:val="009E4525"/>
    <w:rsid w:val="009E6CB7"/>
    <w:rsid w:val="009E7970"/>
    <w:rsid w:val="009F2EAC"/>
    <w:rsid w:val="009F4A09"/>
    <w:rsid w:val="009F57E0"/>
    <w:rsid w:val="009F57E3"/>
    <w:rsid w:val="009F5A57"/>
    <w:rsid w:val="009F5E82"/>
    <w:rsid w:val="009F634A"/>
    <w:rsid w:val="009F6F7E"/>
    <w:rsid w:val="00A0023E"/>
    <w:rsid w:val="00A10F4F"/>
    <w:rsid w:val="00A11067"/>
    <w:rsid w:val="00A1704A"/>
    <w:rsid w:val="00A2494B"/>
    <w:rsid w:val="00A27C93"/>
    <w:rsid w:val="00A34310"/>
    <w:rsid w:val="00A413DD"/>
    <w:rsid w:val="00A425EB"/>
    <w:rsid w:val="00A42EC4"/>
    <w:rsid w:val="00A44A68"/>
    <w:rsid w:val="00A520D2"/>
    <w:rsid w:val="00A54586"/>
    <w:rsid w:val="00A54D90"/>
    <w:rsid w:val="00A57EAE"/>
    <w:rsid w:val="00A62D72"/>
    <w:rsid w:val="00A706B7"/>
    <w:rsid w:val="00A72F22"/>
    <w:rsid w:val="00A733BC"/>
    <w:rsid w:val="00A748A6"/>
    <w:rsid w:val="00A76A69"/>
    <w:rsid w:val="00A819BC"/>
    <w:rsid w:val="00A825A5"/>
    <w:rsid w:val="00A86CAE"/>
    <w:rsid w:val="00A879A4"/>
    <w:rsid w:val="00AA0FF8"/>
    <w:rsid w:val="00AA11AA"/>
    <w:rsid w:val="00AA3DD2"/>
    <w:rsid w:val="00AA714D"/>
    <w:rsid w:val="00AB1440"/>
    <w:rsid w:val="00AB65C3"/>
    <w:rsid w:val="00AC098C"/>
    <w:rsid w:val="00AC0F2C"/>
    <w:rsid w:val="00AC0F7A"/>
    <w:rsid w:val="00AC19F4"/>
    <w:rsid w:val="00AC1C35"/>
    <w:rsid w:val="00AC502A"/>
    <w:rsid w:val="00AC5041"/>
    <w:rsid w:val="00AC5AC1"/>
    <w:rsid w:val="00AC6D8F"/>
    <w:rsid w:val="00AD0D6D"/>
    <w:rsid w:val="00AD1EF3"/>
    <w:rsid w:val="00AE0C94"/>
    <w:rsid w:val="00AE1112"/>
    <w:rsid w:val="00AE3F09"/>
    <w:rsid w:val="00AE4B16"/>
    <w:rsid w:val="00AE6E0E"/>
    <w:rsid w:val="00AF0B6E"/>
    <w:rsid w:val="00AF58C1"/>
    <w:rsid w:val="00AF58C9"/>
    <w:rsid w:val="00AF7B70"/>
    <w:rsid w:val="00B01608"/>
    <w:rsid w:val="00B03A75"/>
    <w:rsid w:val="00B04888"/>
    <w:rsid w:val="00B04A3F"/>
    <w:rsid w:val="00B051AB"/>
    <w:rsid w:val="00B06643"/>
    <w:rsid w:val="00B10708"/>
    <w:rsid w:val="00B14E09"/>
    <w:rsid w:val="00B15055"/>
    <w:rsid w:val="00B15507"/>
    <w:rsid w:val="00B16109"/>
    <w:rsid w:val="00B179AE"/>
    <w:rsid w:val="00B2246D"/>
    <w:rsid w:val="00B23219"/>
    <w:rsid w:val="00B258F6"/>
    <w:rsid w:val="00B26FDE"/>
    <w:rsid w:val="00B27279"/>
    <w:rsid w:val="00B30179"/>
    <w:rsid w:val="00B323A5"/>
    <w:rsid w:val="00B35267"/>
    <w:rsid w:val="00B365E4"/>
    <w:rsid w:val="00B36750"/>
    <w:rsid w:val="00B37B15"/>
    <w:rsid w:val="00B40C3C"/>
    <w:rsid w:val="00B421F8"/>
    <w:rsid w:val="00B4533A"/>
    <w:rsid w:val="00B45C02"/>
    <w:rsid w:val="00B476C0"/>
    <w:rsid w:val="00B50BEF"/>
    <w:rsid w:val="00B60239"/>
    <w:rsid w:val="00B60CA4"/>
    <w:rsid w:val="00B665B4"/>
    <w:rsid w:val="00B70ADA"/>
    <w:rsid w:val="00B72643"/>
    <w:rsid w:val="00B72A1E"/>
    <w:rsid w:val="00B734E1"/>
    <w:rsid w:val="00B74218"/>
    <w:rsid w:val="00B77937"/>
    <w:rsid w:val="00B81E12"/>
    <w:rsid w:val="00B843EA"/>
    <w:rsid w:val="00B902EA"/>
    <w:rsid w:val="00B926F6"/>
    <w:rsid w:val="00B94FD5"/>
    <w:rsid w:val="00B97F0A"/>
    <w:rsid w:val="00BA0BA9"/>
    <w:rsid w:val="00BA12E7"/>
    <w:rsid w:val="00BA24CF"/>
    <w:rsid w:val="00BA339B"/>
    <w:rsid w:val="00BA4266"/>
    <w:rsid w:val="00BA57DA"/>
    <w:rsid w:val="00BA657F"/>
    <w:rsid w:val="00BB2FF7"/>
    <w:rsid w:val="00BB3A6C"/>
    <w:rsid w:val="00BB4C55"/>
    <w:rsid w:val="00BB53DF"/>
    <w:rsid w:val="00BB65C4"/>
    <w:rsid w:val="00BC1E7E"/>
    <w:rsid w:val="00BC74E9"/>
    <w:rsid w:val="00BC7A38"/>
    <w:rsid w:val="00BC7F91"/>
    <w:rsid w:val="00BD0263"/>
    <w:rsid w:val="00BD4F3F"/>
    <w:rsid w:val="00BD6CAF"/>
    <w:rsid w:val="00BD7849"/>
    <w:rsid w:val="00BE36A9"/>
    <w:rsid w:val="00BE618E"/>
    <w:rsid w:val="00BE6A99"/>
    <w:rsid w:val="00BE7BEC"/>
    <w:rsid w:val="00BF0A5A"/>
    <w:rsid w:val="00BF0C8F"/>
    <w:rsid w:val="00BF0E63"/>
    <w:rsid w:val="00BF12A3"/>
    <w:rsid w:val="00BF16D7"/>
    <w:rsid w:val="00BF1813"/>
    <w:rsid w:val="00BF2373"/>
    <w:rsid w:val="00BF39EC"/>
    <w:rsid w:val="00BF3E6C"/>
    <w:rsid w:val="00BF5C53"/>
    <w:rsid w:val="00C00259"/>
    <w:rsid w:val="00C0250A"/>
    <w:rsid w:val="00C044E2"/>
    <w:rsid w:val="00C048CB"/>
    <w:rsid w:val="00C066F3"/>
    <w:rsid w:val="00C12DB0"/>
    <w:rsid w:val="00C15F59"/>
    <w:rsid w:val="00C1770F"/>
    <w:rsid w:val="00C21560"/>
    <w:rsid w:val="00C35AF1"/>
    <w:rsid w:val="00C37CE4"/>
    <w:rsid w:val="00C4069C"/>
    <w:rsid w:val="00C40EA3"/>
    <w:rsid w:val="00C448DD"/>
    <w:rsid w:val="00C463DD"/>
    <w:rsid w:val="00C469FE"/>
    <w:rsid w:val="00C50BA7"/>
    <w:rsid w:val="00C56D9A"/>
    <w:rsid w:val="00C61B97"/>
    <w:rsid w:val="00C717A5"/>
    <w:rsid w:val="00C72DCF"/>
    <w:rsid w:val="00C745C3"/>
    <w:rsid w:val="00C75DC0"/>
    <w:rsid w:val="00C82D2E"/>
    <w:rsid w:val="00C920EE"/>
    <w:rsid w:val="00C9416D"/>
    <w:rsid w:val="00CA24A4"/>
    <w:rsid w:val="00CA4F11"/>
    <w:rsid w:val="00CB348D"/>
    <w:rsid w:val="00CC1577"/>
    <w:rsid w:val="00CC15A3"/>
    <w:rsid w:val="00CC42A5"/>
    <w:rsid w:val="00CC657F"/>
    <w:rsid w:val="00CD128A"/>
    <w:rsid w:val="00CD46F5"/>
    <w:rsid w:val="00CE2E41"/>
    <w:rsid w:val="00CE4A8F"/>
    <w:rsid w:val="00CF071D"/>
    <w:rsid w:val="00CF3DE5"/>
    <w:rsid w:val="00CF4868"/>
    <w:rsid w:val="00CF729A"/>
    <w:rsid w:val="00D04736"/>
    <w:rsid w:val="00D05D46"/>
    <w:rsid w:val="00D11588"/>
    <w:rsid w:val="00D15B04"/>
    <w:rsid w:val="00D2031B"/>
    <w:rsid w:val="00D2068D"/>
    <w:rsid w:val="00D20BB1"/>
    <w:rsid w:val="00D23E5C"/>
    <w:rsid w:val="00D25FE2"/>
    <w:rsid w:val="00D31997"/>
    <w:rsid w:val="00D33FDB"/>
    <w:rsid w:val="00D34235"/>
    <w:rsid w:val="00D37DA9"/>
    <w:rsid w:val="00D406A7"/>
    <w:rsid w:val="00D43252"/>
    <w:rsid w:val="00D436C2"/>
    <w:rsid w:val="00D438F7"/>
    <w:rsid w:val="00D43C27"/>
    <w:rsid w:val="00D44D86"/>
    <w:rsid w:val="00D50B7D"/>
    <w:rsid w:val="00D52012"/>
    <w:rsid w:val="00D5355E"/>
    <w:rsid w:val="00D54AC1"/>
    <w:rsid w:val="00D54B15"/>
    <w:rsid w:val="00D552DC"/>
    <w:rsid w:val="00D6444B"/>
    <w:rsid w:val="00D67BF6"/>
    <w:rsid w:val="00D704E5"/>
    <w:rsid w:val="00D72727"/>
    <w:rsid w:val="00D81729"/>
    <w:rsid w:val="00D83631"/>
    <w:rsid w:val="00D84A1B"/>
    <w:rsid w:val="00D861D5"/>
    <w:rsid w:val="00D86812"/>
    <w:rsid w:val="00D87530"/>
    <w:rsid w:val="00D90234"/>
    <w:rsid w:val="00D94D11"/>
    <w:rsid w:val="00D978C6"/>
    <w:rsid w:val="00DA037E"/>
    <w:rsid w:val="00DA0956"/>
    <w:rsid w:val="00DA1888"/>
    <w:rsid w:val="00DA357F"/>
    <w:rsid w:val="00DA3E12"/>
    <w:rsid w:val="00DB1762"/>
    <w:rsid w:val="00DB4BC9"/>
    <w:rsid w:val="00DC18AD"/>
    <w:rsid w:val="00DC1FE8"/>
    <w:rsid w:val="00DD115A"/>
    <w:rsid w:val="00DD21BA"/>
    <w:rsid w:val="00DD3FE3"/>
    <w:rsid w:val="00DD5290"/>
    <w:rsid w:val="00DD74E1"/>
    <w:rsid w:val="00DD7E90"/>
    <w:rsid w:val="00DE18DB"/>
    <w:rsid w:val="00DF42AD"/>
    <w:rsid w:val="00DF65AC"/>
    <w:rsid w:val="00DF7CAE"/>
    <w:rsid w:val="00E0042A"/>
    <w:rsid w:val="00E107A2"/>
    <w:rsid w:val="00E13A2B"/>
    <w:rsid w:val="00E16D6C"/>
    <w:rsid w:val="00E17B92"/>
    <w:rsid w:val="00E26044"/>
    <w:rsid w:val="00E30B97"/>
    <w:rsid w:val="00E316EA"/>
    <w:rsid w:val="00E36832"/>
    <w:rsid w:val="00E423C0"/>
    <w:rsid w:val="00E44EAE"/>
    <w:rsid w:val="00E463F7"/>
    <w:rsid w:val="00E47A11"/>
    <w:rsid w:val="00E50167"/>
    <w:rsid w:val="00E603C8"/>
    <w:rsid w:val="00E6414C"/>
    <w:rsid w:val="00E64B28"/>
    <w:rsid w:val="00E706FF"/>
    <w:rsid w:val="00E70A2C"/>
    <w:rsid w:val="00E7260F"/>
    <w:rsid w:val="00E75C4C"/>
    <w:rsid w:val="00E82036"/>
    <w:rsid w:val="00E85946"/>
    <w:rsid w:val="00E85FEE"/>
    <w:rsid w:val="00E860DD"/>
    <w:rsid w:val="00E8702D"/>
    <w:rsid w:val="00E916A9"/>
    <w:rsid w:val="00E916DE"/>
    <w:rsid w:val="00E925AD"/>
    <w:rsid w:val="00E927EF"/>
    <w:rsid w:val="00E9319C"/>
    <w:rsid w:val="00E935E9"/>
    <w:rsid w:val="00E96630"/>
    <w:rsid w:val="00EA078C"/>
    <w:rsid w:val="00EA675B"/>
    <w:rsid w:val="00EA797D"/>
    <w:rsid w:val="00EA7C44"/>
    <w:rsid w:val="00EB1431"/>
    <w:rsid w:val="00EB7E95"/>
    <w:rsid w:val="00EC1F6B"/>
    <w:rsid w:val="00EC1FAD"/>
    <w:rsid w:val="00EC4818"/>
    <w:rsid w:val="00EC52D2"/>
    <w:rsid w:val="00EC5FFC"/>
    <w:rsid w:val="00ED061D"/>
    <w:rsid w:val="00ED18DC"/>
    <w:rsid w:val="00ED2392"/>
    <w:rsid w:val="00ED2E76"/>
    <w:rsid w:val="00ED6201"/>
    <w:rsid w:val="00ED7A2A"/>
    <w:rsid w:val="00EE3417"/>
    <w:rsid w:val="00EE76FC"/>
    <w:rsid w:val="00EF0387"/>
    <w:rsid w:val="00EF1D7F"/>
    <w:rsid w:val="00EF206C"/>
    <w:rsid w:val="00EF3586"/>
    <w:rsid w:val="00EF5011"/>
    <w:rsid w:val="00EF66DC"/>
    <w:rsid w:val="00F00FCD"/>
    <w:rsid w:val="00F0137E"/>
    <w:rsid w:val="00F01815"/>
    <w:rsid w:val="00F01851"/>
    <w:rsid w:val="00F05919"/>
    <w:rsid w:val="00F07745"/>
    <w:rsid w:val="00F10B22"/>
    <w:rsid w:val="00F13AA1"/>
    <w:rsid w:val="00F21786"/>
    <w:rsid w:val="00F24140"/>
    <w:rsid w:val="00F2423C"/>
    <w:rsid w:val="00F25AA8"/>
    <w:rsid w:val="00F27D62"/>
    <w:rsid w:val="00F3182C"/>
    <w:rsid w:val="00F338B5"/>
    <w:rsid w:val="00F33F40"/>
    <w:rsid w:val="00F36571"/>
    <w:rsid w:val="00F3742B"/>
    <w:rsid w:val="00F41408"/>
    <w:rsid w:val="00F41FDB"/>
    <w:rsid w:val="00F42299"/>
    <w:rsid w:val="00F435DD"/>
    <w:rsid w:val="00F5062A"/>
    <w:rsid w:val="00F507EC"/>
    <w:rsid w:val="00F508C3"/>
    <w:rsid w:val="00F55128"/>
    <w:rsid w:val="00F55CED"/>
    <w:rsid w:val="00F56D63"/>
    <w:rsid w:val="00F60240"/>
    <w:rsid w:val="00F609A9"/>
    <w:rsid w:val="00F609D3"/>
    <w:rsid w:val="00F624D4"/>
    <w:rsid w:val="00F62A61"/>
    <w:rsid w:val="00F62B3A"/>
    <w:rsid w:val="00F6644B"/>
    <w:rsid w:val="00F667E9"/>
    <w:rsid w:val="00F70F16"/>
    <w:rsid w:val="00F80C99"/>
    <w:rsid w:val="00F822C0"/>
    <w:rsid w:val="00F867CA"/>
    <w:rsid w:val="00F867EC"/>
    <w:rsid w:val="00F87505"/>
    <w:rsid w:val="00F87655"/>
    <w:rsid w:val="00F916D8"/>
    <w:rsid w:val="00F91B03"/>
    <w:rsid w:val="00F91B2B"/>
    <w:rsid w:val="00F941F2"/>
    <w:rsid w:val="00F9533E"/>
    <w:rsid w:val="00F969EA"/>
    <w:rsid w:val="00F9718C"/>
    <w:rsid w:val="00F9728B"/>
    <w:rsid w:val="00FA101E"/>
    <w:rsid w:val="00FA5BCE"/>
    <w:rsid w:val="00FA6BA4"/>
    <w:rsid w:val="00FA6DA0"/>
    <w:rsid w:val="00FA7D7B"/>
    <w:rsid w:val="00FC03CD"/>
    <w:rsid w:val="00FC0646"/>
    <w:rsid w:val="00FC68B7"/>
    <w:rsid w:val="00FD42BF"/>
    <w:rsid w:val="00FE6985"/>
    <w:rsid w:val="00FE7153"/>
    <w:rsid w:val="00FF1077"/>
    <w:rsid w:val="00FF1AA5"/>
    <w:rsid w:val="00FF1EA2"/>
    <w:rsid w:val="00FF3C04"/>
    <w:rsid w:val="00FF669A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B7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E9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B7E95"/>
    <w:rPr>
      <w:b/>
      <w:sz w:val="2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913344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13344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133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133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133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133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133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133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13344"/>
    <w:rPr>
      <w:lang w:eastAsia="en-US"/>
    </w:rPr>
  </w:style>
  <w:style w:type="character" w:customStyle="1" w:styleId="SingleTxtGChar">
    <w:name w:val="_ Single Txt_G Char"/>
    <w:link w:val="SingleTxtG"/>
    <w:rsid w:val="00913344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913344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913344"/>
    <w:rPr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13344"/>
    <w:rPr>
      <w:sz w:val="16"/>
      <w:lang w:eastAsia="en-US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13344"/>
    <w:rPr>
      <w:b/>
      <w:sz w:val="18"/>
      <w:lang w:eastAsia="en-US"/>
    </w:rPr>
  </w:style>
  <w:style w:type="paragraph" w:customStyle="1" w:styleId="Rom1">
    <w:name w:val="Rom1"/>
    <w:basedOn w:val="Normal"/>
    <w:rsid w:val="00913344"/>
    <w:pPr>
      <w:numPr>
        <w:numId w:val="19"/>
      </w:numPr>
      <w:tabs>
        <w:tab w:val="clear" w:pos="360"/>
        <w:tab w:val="num" w:pos="1440"/>
      </w:tabs>
      <w:suppressAutoHyphens w:val="0"/>
      <w:spacing w:after="240" w:line="240" w:lineRule="auto"/>
      <w:ind w:left="1441" w:hanging="590"/>
    </w:pPr>
    <w:rPr>
      <w:rFonts w:eastAsia="SimSun"/>
      <w:sz w:val="24"/>
    </w:rPr>
  </w:style>
  <w:style w:type="paragraph" w:customStyle="1" w:styleId="Rom2">
    <w:name w:val="Rom2"/>
    <w:basedOn w:val="Normal"/>
    <w:rsid w:val="00913344"/>
    <w:pPr>
      <w:numPr>
        <w:numId w:val="20"/>
      </w:numPr>
      <w:suppressAutoHyphens w:val="0"/>
      <w:spacing w:after="240" w:line="240" w:lineRule="auto"/>
    </w:pPr>
    <w:rPr>
      <w:rFonts w:eastAsia="SimSun"/>
      <w:sz w:val="24"/>
    </w:rPr>
  </w:style>
  <w:style w:type="paragraph" w:customStyle="1" w:styleId="ParaNo">
    <w:name w:val="ParaNo."/>
    <w:basedOn w:val="Normal"/>
    <w:rsid w:val="00913344"/>
    <w:pPr>
      <w:tabs>
        <w:tab w:val="left" w:pos="737"/>
      </w:tabs>
      <w:suppressAutoHyphens w:val="0"/>
      <w:spacing w:after="240" w:line="240" w:lineRule="auto"/>
      <w:ind w:left="-1" w:firstLine="1"/>
    </w:pPr>
    <w:rPr>
      <w:rFonts w:eastAsia="SimSun"/>
      <w:sz w:val="24"/>
      <w:lang w:val="fr-CH"/>
    </w:rPr>
  </w:style>
  <w:style w:type="paragraph" w:styleId="BodyText">
    <w:name w:val="Body Text"/>
    <w:basedOn w:val="Normal"/>
    <w:link w:val="BodyTextChar"/>
    <w:rsid w:val="00913344"/>
    <w:pPr>
      <w:suppressAutoHyphens w:val="0"/>
      <w:spacing w:before="360" w:line="240" w:lineRule="auto"/>
    </w:pPr>
    <w:rPr>
      <w:rFonts w:ascii="Arial" w:eastAsia="SimSun" w:hAnsi="Arial" w:cs="Ari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13344"/>
    <w:rPr>
      <w:rFonts w:ascii="Arial" w:eastAsia="SimSun" w:hAnsi="Arial" w:cs="Arial"/>
      <w:b/>
      <w:sz w:val="36"/>
      <w:lang w:eastAsia="en-US"/>
    </w:rPr>
  </w:style>
  <w:style w:type="paragraph" w:customStyle="1" w:styleId="Level1">
    <w:name w:val="Level 1"/>
    <w:basedOn w:val="Normal"/>
    <w:rsid w:val="0091334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SimSun" w:hAnsi="Courier New"/>
      <w:sz w:val="24"/>
      <w:lang w:val="en-US"/>
    </w:rPr>
  </w:style>
  <w:style w:type="paragraph" w:customStyle="1" w:styleId="Instruction">
    <w:name w:val="Instruction"/>
    <w:basedOn w:val="Normal"/>
    <w:rsid w:val="00913344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SimSun" w:hAnsi="Arial"/>
      <w:b/>
      <w:sz w:val="24"/>
    </w:rPr>
  </w:style>
  <w:style w:type="paragraph" w:styleId="BodyText2">
    <w:name w:val="Body Text 2"/>
    <w:basedOn w:val="Normal"/>
    <w:link w:val="BodyText2Char"/>
    <w:rsid w:val="00913344"/>
    <w:pPr>
      <w:suppressAutoHyphens w:val="0"/>
      <w:overflowPunct w:val="0"/>
      <w:autoSpaceDE w:val="0"/>
      <w:autoSpaceDN w:val="0"/>
      <w:adjustRightInd w:val="0"/>
      <w:spacing w:line="240" w:lineRule="auto"/>
      <w:ind w:firstLine="540"/>
      <w:jc w:val="both"/>
      <w:textAlignment w:val="baseline"/>
    </w:pPr>
    <w:rPr>
      <w:rFonts w:eastAsia="SimSun"/>
      <w:sz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913344"/>
    <w:rPr>
      <w:rFonts w:eastAsia="SimSun"/>
      <w:sz w:val="24"/>
      <w:lang w:val="ru-RU" w:eastAsia="en-US"/>
    </w:rPr>
  </w:style>
  <w:style w:type="paragraph" w:styleId="BodyTextIndent">
    <w:name w:val="Body Text Indent"/>
    <w:basedOn w:val="Normal"/>
    <w:link w:val="BodyTextIndentChar"/>
    <w:rsid w:val="00913344"/>
    <w:pPr>
      <w:numPr>
        <w:ilvl w:val="12"/>
      </w:numPr>
      <w:suppressAutoHyphens w:val="0"/>
      <w:spacing w:after="240" w:line="240" w:lineRule="auto"/>
      <w:ind w:left="1134" w:hanging="283"/>
    </w:pPr>
    <w:rPr>
      <w:rFonts w:eastAsia="SimSu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3344"/>
    <w:rPr>
      <w:rFonts w:eastAsia="SimSun"/>
      <w:sz w:val="24"/>
      <w:lang w:eastAsia="en-US"/>
    </w:rPr>
  </w:style>
  <w:style w:type="paragraph" w:styleId="BodyText3">
    <w:name w:val="Body Text 3"/>
    <w:basedOn w:val="Normal"/>
    <w:link w:val="BodyText3Char"/>
    <w:rsid w:val="00913344"/>
    <w:pPr>
      <w:suppressAutoHyphens w:val="0"/>
      <w:spacing w:line="240" w:lineRule="auto"/>
    </w:pPr>
    <w:rPr>
      <w:rFonts w:eastAsia="SimSu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913344"/>
    <w:rPr>
      <w:rFonts w:eastAsia="SimSun"/>
      <w:b/>
      <w:sz w:val="24"/>
      <w:lang w:eastAsia="en-US"/>
    </w:rPr>
  </w:style>
  <w:style w:type="paragraph" w:customStyle="1" w:styleId="BodyText21">
    <w:name w:val="Body Text 21"/>
    <w:basedOn w:val="Normal"/>
    <w:rsid w:val="00913344"/>
    <w:pPr>
      <w:widowControl w:val="0"/>
      <w:suppressAutoHyphens w:val="0"/>
      <w:spacing w:line="240" w:lineRule="auto"/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913344"/>
    <w:pPr>
      <w:widowControl w:val="0"/>
      <w:suppressAutoHyphens w:val="0"/>
      <w:spacing w:line="240" w:lineRule="auto"/>
      <w:jc w:val="center"/>
    </w:pPr>
    <w:rPr>
      <w:snapToGrid w:val="0"/>
      <w:sz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913344"/>
    <w:rPr>
      <w:snapToGrid w:val="0"/>
      <w:sz w:val="24"/>
      <w:u w:val="single"/>
      <w:lang w:val="en-US" w:eastAsia="en-US"/>
    </w:rPr>
  </w:style>
  <w:style w:type="paragraph" w:customStyle="1" w:styleId="Style16">
    <w:name w:val="Style16"/>
    <w:basedOn w:val="Normal"/>
    <w:rsid w:val="00913344"/>
    <w:pPr>
      <w:numPr>
        <w:numId w:val="21"/>
      </w:numPr>
      <w:suppressAutoHyphens w:val="0"/>
      <w:spacing w:after="240" w:line="245" w:lineRule="auto"/>
    </w:pPr>
    <w:rPr>
      <w:rFonts w:eastAsia="SimSun"/>
    </w:rPr>
  </w:style>
  <w:style w:type="paragraph" w:customStyle="1" w:styleId="Style9">
    <w:name w:val="Style9"/>
    <w:basedOn w:val="BodyTextIndent"/>
    <w:rsid w:val="00913344"/>
    <w:pPr>
      <w:keepNext/>
      <w:numPr>
        <w:ilvl w:val="0"/>
        <w:numId w:val="22"/>
      </w:numPr>
    </w:pPr>
    <w:rPr>
      <w:rFonts w:ascii="Times New Roman Bold" w:eastAsia="Times New Roman" w:hAnsi="Times New Roman Bold"/>
      <w:b/>
      <w:sz w:val="20"/>
      <w:lang w:val="en-US" w:eastAsia="de-AT"/>
    </w:rPr>
  </w:style>
  <w:style w:type="paragraph" w:customStyle="1" w:styleId="Default">
    <w:name w:val="Default"/>
    <w:rsid w:val="0091334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5">
    <w:name w:val="Style5"/>
    <w:basedOn w:val="FootnoteText"/>
    <w:rsid w:val="00913344"/>
    <w:pPr>
      <w:tabs>
        <w:tab w:val="clear" w:pos="1021"/>
      </w:tabs>
      <w:suppressAutoHyphens w:val="0"/>
      <w:spacing w:line="240" w:lineRule="auto"/>
      <w:ind w:left="0" w:right="0" w:firstLine="0"/>
    </w:pPr>
    <w:rPr>
      <w:rFonts w:eastAsia="SimSun"/>
      <w:b/>
      <w:sz w:val="20"/>
    </w:rPr>
  </w:style>
  <w:style w:type="character" w:styleId="Strong">
    <w:name w:val="Strong"/>
    <w:qFormat/>
    <w:rsid w:val="00913344"/>
    <w:rPr>
      <w:b/>
      <w:bCs/>
    </w:rPr>
  </w:style>
  <w:style w:type="character" w:styleId="CommentReference">
    <w:name w:val="annotation reference"/>
    <w:rsid w:val="009133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3344"/>
  </w:style>
  <w:style w:type="character" w:customStyle="1" w:styleId="CommentTextChar">
    <w:name w:val="Comment Text Char"/>
    <w:basedOn w:val="DefaultParagraphFont"/>
    <w:link w:val="CommentText"/>
    <w:rsid w:val="009133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3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3344"/>
    <w:rPr>
      <w:b/>
      <w:bCs/>
      <w:lang w:eastAsia="en-US"/>
    </w:rPr>
  </w:style>
  <w:style w:type="character" w:customStyle="1" w:styleId="H1GChar">
    <w:name w:val="_ H_1_G Char"/>
    <w:link w:val="H1G"/>
    <w:rsid w:val="00913344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913344"/>
    <w:rPr>
      <w:lang w:eastAsia="en-US"/>
    </w:rPr>
  </w:style>
  <w:style w:type="paragraph" w:styleId="NormalWeb">
    <w:name w:val="Normal (Web)"/>
    <w:basedOn w:val="Normal"/>
    <w:rsid w:val="009133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3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E5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B7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E9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B7E95"/>
    <w:rPr>
      <w:b/>
      <w:sz w:val="2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913344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13344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133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133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133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133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133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133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13344"/>
    <w:rPr>
      <w:lang w:eastAsia="en-US"/>
    </w:rPr>
  </w:style>
  <w:style w:type="character" w:customStyle="1" w:styleId="SingleTxtGChar">
    <w:name w:val="_ Single Txt_G Char"/>
    <w:link w:val="SingleTxtG"/>
    <w:rsid w:val="00913344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913344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913344"/>
    <w:rPr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13344"/>
    <w:rPr>
      <w:sz w:val="16"/>
      <w:lang w:eastAsia="en-US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13344"/>
    <w:rPr>
      <w:b/>
      <w:sz w:val="18"/>
      <w:lang w:eastAsia="en-US"/>
    </w:rPr>
  </w:style>
  <w:style w:type="paragraph" w:customStyle="1" w:styleId="Rom1">
    <w:name w:val="Rom1"/>
    <w:basedOn w:val="Normal"/>
    <w:rsid w:val="00913344"/>
    <w:pPr>
      <w:numPr>
        <w:numId w:val="19"/>
      </w:numPr>
      <w:tabs>
        <w:tab w:val="clear" w:pos="360"/>
        <w:tab w:val="num" w:pos="1440"/>
      </w:tabs>
      <w:suppressAutoHyphens w:val="0"/>
      <w:spacing w:after="240" w:line="240" w:lineRule="auto"/>
      <w:ind w:left="1441" w:hanging="590"/>
    </w:pPr>
    <w:rPr>
      <w:rFonts w:eastAsia="SimSun"/>
      <w:sz w:val="24"/>
    </w:rPr>
  </w:style>
  <w:style w:type="paragraph" w:customStyle="1" w:styleId="Rom2">
    <w:name w:val="Rom2"/>
    <w:basedOn w:val="Normal"/>
    <w:rsid w:val="00913344"/>
    <w:pPr>
      <w:numPr>
        <w:numId w:val="20"/>
      </w:numPr>
      <w:suppressAutoHyphens w:val="0"/>
      <w:spacing w:after="240" w:line="240" w:lineRule="auto"/>
    </w:pPr>
    <w:rPr>
      <w:rFonts w:eastAsia="SimSun"/>
      <w:sz w:val="24"/>
    </w:rPr>
  </w:style>
  <w:style w:type="paragraph" w:customStyle="1" w:styleId="ParaNo">
    <w:name w:val="ParaNo."/>
    <w:basedOn w:val="Normal"/>
    <w:rsid w:val="00913344"/>
    <w:pPr>
      <w:tabs>
        <w:tab w:val="left" w:pos="737"/>
      </w:tabs>
      <w:suppressAutoHyphens w:val="0"/>
      <w:spacing w:after="240" w:line="240" w:lineRule="auto"/>
      <w:ind w:left="-1" w:firstLine="1"/>
    </w:pPr>
    <w:rPr>
      <w:rFonts w:eastAsia="SimSun"/>
      <w:sz w:val="24"/>
      <w:lang w:val="fr-CH"/>
    </w:rPr>
  </w:style>
  <w:style w:type="paragraph" w:styleId="BodyText">
    <w:name w:val="Body Text"/>
    <w:basedOn w:val="Normal"/>
    <w:link w:val="BodyTextChar"/>
    <w:rsid w:val="00913344"/>
    <w:pPr>
      <w:suppressAutoHyphens w:val="0"/>
      <w:spacing w:before="360" w:line="240" w:lineRule="auto"/>
    </w:pPr>
    <w:rPr>
      <w:rFonts w:ascii="Arial" w:eastAsia="SimSun" w:hAnsi="Arial" w:cs="Ari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13344"/>
    <w:rPr>
      <w:rFonts w:ascii="Arial" w:eastAsia="SimSun" w:hAnsi="Arial" w:cs="Arial"/>
      <w:b/>
      <w:sz w:val="36"/>
      <w:lang w:eastAsia="en-US"/>
    </w:rPr>
  </w:style>
  <w:style w:type="paragraph" w:customStyle="1" w:styleId="Level1">
    <w:name w:val="Level 1"/>
    <w:basedOn w:val="Normal"/>
    <w:rsid w:val="0091334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SimSun" w:hAnsi="Courier New"/>
      <w:sz w:val="24"/>
      <w:lang w:val="en-US"/>
    </w:rPr>
  </w:style>
  <w:style w:type="paragraph" w:customStyle="1" w:styleId="Instruction">
    <w:name w:val="Instruction"/>
    <w:basedOn w:val="Normal"/>
    <w:rsid w:val="00913344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SimSun" w:hAnsi="Arial"/>
      <w:b/>
      <w:sz w:val="24"/>
    </w:rPr>
  </w:style>
  <w:style w:type="paragraph" w:styleId="BodyText2">
    <w:name w:val="Body Text 2"/>
    <w:basedOn w:val="Normal"/>
    <w:link w:val="BodyText2Char"/>
    <w:rsid w:val="00913344"/>
    <w:pPr>
      <w:suppressAutoHyphens w:val="0"/>
      <w:overflowPunct w:val="0"/>
      <w:autoSpaceDE w:val="0"/>
      <w:autoSpaceDN w:val="0"/>
      <w:adjustRightInd w:val="0"/>
      <w:spacing w:line="240" w:lineRule="auto"/>
      <w:ind w:firstLine="540"/>
      <w:jc w:val="both"/>
      <w:textAlignment w:val="baseline"/>
    </w:pPr>
    <w:rPr>
      <w:rFonts w:eastAsia="SimSun"/>
      <w:sz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913344"/>
    <w:rPr>
      <w:rFonts w:eastAsia="SimSun"/>
      <w:sz w:val="24"/>
      <w:lang w:val="ru-RU" w:eastAsia="en-US"/>
    </w:rPr>
  </w:style>
  <w:style w:type="paragraph" w:styleId="BodyTextIndent">
    <w:name w:val="Body Text Indent"/>
    <w:basedOn w:val="Normal"/>
    <w:link w:val="BodyTextIndentChar"/>
    <w:rsid w:val="00913344"/>
    <w:pPr>
      <w:numPr>
        <w:ilvl w:val="12"/>
      </w:numPr>
      <w:suppressAutoHyphens w:val="0"/>
      <w:spacing w:after="240" w:line="240" w:lineRule="auto"/>
      <w:ind w:left="1134" w:hanging="283"/>
    </w:pPr>
    <w:rPr>
      <w:rFonts w:eastAsia="SimSu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3344"/>
    <w:rPr>
      <w:rFonts w:eastAsia="SimSun"/>
      <w:sz w:val="24"/>
      <w:lang w:eastAsia="en-US"/>
    </w:rPr>
  </w:style>
  <w:style w:type="paragraph" w:styleId="BodyText3">
    <w:name w:val="Body Text 3"/>
    <w:basedOn w:val="Normal"/>
    <w:link w:val="BodyText3Char"/>
    <w:rsid w:val="00913344"/>
    <w:pPr>
      <w:suppressAutoHyphens w:val="0"/>
      <w:spacing w:line="240" w:lineRule="auto"/>
    </w:pPr>
    <w:rPr>
      <w:rFonts w:eastAsia="SimSu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913344"/>
    <w:rPr>
      <w:rFonts w:eastAsia="SimSun"/>
      <w:b/>
      <w:sz w:val="24"/>
      <w:lang w:eastAsia="en-US"/>
    </w:rPr>
  </w:style>
  <w:style w:type="paragraph" w:customStyle="1" w:styleId="BodyText21">
    <w:name w:val="Body Text 21"/>
    <w:basedOn w:val="Normal"/>
    <w:rsid w:val="00913344"/>
    <w:pPr>
      <w:widowControl w:val="0"/>
      <w:suppressAutoHyphens w:val="0"/>
      <w:spacing w:line="240" w:lineRule="auto"/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913344"/>
    <w:pPr>
      <w:widowControl w:val="0"/>
      <w:suppressAutoHyphens w:val="0"/>
      <w:spacing w:line="240" w:lineRule="auto"/>
      <w:jc w:val="center"/>
    </w:pPr>
    <w:rPr>
      <w:snapToGrid w:val="0"/>
      <w:sz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913344"/>
    <w:rPr>
      <w:snapToGrid w:val="0"/>
      <w:sz w:val="24"/>
      <w:u w:val="single"/>
      <w:lang w:val="en-US" w:eastAsia="en-US"/>
    </w:rPr>
  </w:style>
  <w:style w:type="paragraph" w:customStyle="1" w:styleId="Style16">
    <w:name w:val="Style16"/>
    <w:basedOn w:val="Normal"/>
    <w:rsid w:val="00913344"/>
    <w:pPr>
      <w:numPr>
        <w:numId w:val="21"/>
      </w:numPr>
      <w:suppressAutoHyphens w:val="0"/>
      <w:spacing w:after="240" w:line="245" w:lineRule="auto"/>
    </w:pPr>
    <w:rPr>
      <w:rFonts w:eastAsia="SimSun"/>
    </w:rPr>
  </w:style>
  <w:style w:type="paragraph" w:customStyle="1" w:styleId="Style9">
    <w:name w:val="Style9"/>
    <w:basedOn w:val="BodyTextIndent"/>
    <w:rsid w:val="00913344"/>
    <w:pPr>
      <w:keepNext/>
      <w:numPr>
        <w:ilvl w:val="0"/>
        <w:numId w:val="22"/>
      </w:numPr>
    </w:pPr>
    <w:rPr>
      <w:rFonts w:ascii="Times New Roman Bold" w:eastAsia="Times New Roman" w:hAnsi="Times New Roman Bold"/>
      <w:b/>
      <w:sz w:val="20"/>
      <w:lang w:val="en-US" w:eastAsia="de-AT"/>
    </w:rPr>
  </w:style>
  <w:style w:type="paragraph" w:customStyle="1" w:styleId="Default">
    <w:name w:val="Default"/>
    <w:rsid w:val="0091334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5">
    <w:name w:val="Style5"/>
    <w:basedOn w:val="FootnoteText"/>
    <w:rsid w:val="00913344"/>
    <w:pPr>
      <w:tabs>
        <w:tab w:val="clear" w:pos="1021"/>
      </w:tabs>
      <w:suppressAutoHyphens w:val="0"/>
      <w:spacing w:line="240" w:lineRule="auto"/>
      <w:ind w:left="0" w:right="0" w:firstLine="0"/>
    </w:pPr>
    <w:rPr>
      <w:rFonts w:eastAsia="SimSun"/>
      <w:b/>
      <w:sz w:val="20"/>
    </w:rPr>
  </w:style>
  <w:style w:type="character" w:styleId="Strong">
    <w:name w:val="Strong"/>
    <w:qFormat/>
    <w:rsid w:val="00913344"/>
    <w:rPr>
      <w:b/>
      <w:bCs/>
    </w:rPr>
  </w:style>
  <w:style w:type="character" w:styleId="CommentReference">
    <w:name w:val="annotation reference"/>
    <w:rsid w:val="009133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3344"/>
  </w:style>
  <w:style w:type="character" w:customStyle="1" w:styleId="CommentTextChar">
    <w:name w:val="Comment Text Char"/>
    <w:basedOn w:val="DefaultParagraphFont"/>
    <w:link w:val="CommentText"/>
    <w:rsid w:val="009133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3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3344"/>
    <w:rPr>
      <w:b/>
      <w:bCs/>
      <w:lang w:eastAsia="en-US"/>
    </w:rPr>
  </w:style>
  <w:style w:type="character" w:customStyle="1" w:styleId="H1GChar">
    <w:name w:val="_ H_1_G Char"/>
    <w:link w:val="H1G"/>
    <w:rsid w:val="00913344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913344"/>
    <w:rPr>
      <w:lang w:eastAsia="en-US"/>
    </w:rPr>
  </w:style>
  <w:style w:type="paragraph" w:styleId="NormalWeb">
    <w:name w:val="Normal (Web)"/>
    <w:basedOn w:val="Normal"/>
    <w:rsid w:val="009133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3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E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_La_Cruz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50</TotalTime>
  <Pages>8</Pages>
  <Words>3475</Words>
  <Characters>19813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Maricar De_La_Cruz</dc:creator>
  <cp:lastModifiedBy>sochirca</cp:lastModifiedBy>
  <cp:revision>10</cp:revision>
  <cp:lastPrinted>2015-11-03T12:40:00Z</cp:lastPrinted>
  <dcterms:created xsi:type="dcterms:W3CDTF">2015-11-03T12:37:00Z</dcterms:created>
  <dcterms:modified xsi:type="dcterms:W3CDTF">2015-11-03T13:26:00Z</dcterms:modified>
</cp:coreProperties>
</file>