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8C7B9A">
            <w:pPr>
              <w:suppressAutoHyphens w:val="0"/>
              <w:spacing w:after="20"/>
              <w:jc w:val="right"/>
              <w:rPr>
                <w:b/>
                <w:sz w:val="28"/>
                <w:szCs w:val="28"/>
              </w:rPr>
            </w:pPr>
            <w:r w:rsidRPr="00DE645C">
              <w:rPr>
                <w:b/>
                <w:sz w:val="28"/>
                <w:szCs w:val="28"/>
              </w:rPr>
              <w:t>INF</w:t>
            </w:r>
            <w:r w:rsidR="008258EA">
              <w:rPr>
                <w:b/>
                <w:sz w:val="28"/>
                <w:szCs w:val="28"/>
              </w:rPr>
              <w:t>.</w:t>
            </w:r>
            <w:r w:rsidR="007B4260">
              <w:rPr>
                <w:b/>
                <w:sz w:val="28"/>
                <w:szCs w:val="28"/>
              </w:rPr>
              <w:t>2</w:t>
            </w:r>
            <w:r w:rsidR="008C7B9A">
              <w:rPr>
                <w:b/>
                <w:sz w:val="28"/>
                <w:szCs w:val="28"/>
              </w:rPr>
              <w:t>4</w:t>
            </w:r>
            <w:r w:rsidR="00EC4078">
              <w:rPr>
                <w:b/>
                <w:sz w:val="28"/>
                <w:szCs w:val="28"/>
              </w:rPr>
              <w:t xml:space="preserve"> </w:t>
            </w:r>
          </w:p>
        </w:tc>
      </w:tr>
    </w:tbl>
    <w:p w:rsidR="00EC106A" w:rsidRDefault="00EC106A" w:rsidP="002A182A">
      <w:pPr>
        <w:spacing w:before="4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537E41" w:rsidRPr="00106CC1" w:rsidRDefault="00D93D49" w:rsidP="00537E41">
      <w:pPr>
        <w:spacing w:before="120"/>
        <w:rPr>
          <w:b/>
        </w:rPr>
      </w:pPr>
      <w:r w:rsidRPr="009E4A3F">
        <w:rPr>
          <w:b/>
        </w:rPr>
        <w:t>100</w:t>
      </w:r>
      <w:r w:rsidR="00537E41" w:rsidRPr="009E4A3F">
        <w:rPr>
          <w:b/>
        </w:rPr>
        <w:t>th session</w:t>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301B21">
        <w:rPr>
          <w:b/>
        </w:rPr>
        <w:t>3</w:t>
      </w:r>
      <w:r w:rsidR="008258EA" w:rsidRPr="009E4A3F">
        <w:rPr>
          <w:b/>
        </w:rPr>
        <w:t xml:space="preserve"> </w:t>
      </w:r>
      <w:r w:rsidR="009E4A3F" w:rsidRPr="009E4A3F">
        <w:rPr>
          <w:b/>
        </w:rPr>
        <w:t>May</w:t>
      </w:r>
      <w:r w:rsidR="00CA660C" w:rsidRPr="009E4A3F">
        <w:rPr>
          <w:b/>
        </w:rPr>
        <w:t xml:space="preserve"> 2016</w:t>
      </w:r>
    </w:p>
    <w:p w:rsidR="00537E41" w:rsidRPr="00106CC1" w:rsidRDefault="00537E41" w:rsidP="00537E41">
      <w:r w:rsidRPr="00106CC1">
        <w:t>Geneva, 9-13 May 2016</w:t>
      </w:r>
    </w:p>
    <w:p w:rsidR="008C7B9A" w:rsidRPr="00106CC1" w:rsidRDefault="008C7B9A" w:rsidP="008C7B9A">
      <w:r>
        <w:t>Item 6 b)</w:t>
      </w:r>
      <w:r w:rsidRPr="00106CC1">
        <w:t xml:space="preserve"> of the provisional agenda</w:t>
      </w:r>
    </w:p>
    <w:p w:rsidR="008C7B9A" w:rsidRPr="00BB7CD1" w:rsidRDefault="008C7B9A" w:rsidP="008C7B9A">
      <w:pPr>
        <w:rPr>
          <w:b/>
        </w:rPr>
      </w:pPr>
      <w:r>
        <w:rPr>
          <w:b/>
        </w:rPr>
        <w:t>Proposals for amendments to Annexes A and B of ADR</w:t>
      </w:r>
      <w:proofErr w:type="gramStart"/>
      <w:r>
        <w:rPr>
          <w:b/>
        </w:rPr>
        <w:t>:</w:t>
      </w:r>
      <w:proofErr w:type="gramEnd"/>
      <w:r>
        <w:rPr>
          <w:b/>
        </w:rPr>
        <w:br/>
        <w:t>miscellaneous proposals</w:t>
      </w:r>
    </w:p>
    <w:p w:rsidR="008C7B9A" w:rsidRDefault="008C7B9A" w:rsidP="008C7B9A">
      <w:pPr>
        <w:pStyle w:val="HChG"/>
        <w:outlineLvl w:val="0"/>
      </w:pPr>
      <w:r>
        <w:tab/>
      </w:r>
      <w:r>
        <w:tab/>
        <w:t>Comments on 2016/3 – Draft proposal to amend sub-sections 1.1.3.6.4 and 5.4.1.1.1 (f)</w:t>
      </w:r>
    </w:p>
    <w:p w:rsidR="008C7B9A" w:rsidRPr="008C7B9A" w:rsidRDefault="008C7B9A" w:rsidP="008C7B9A">
      <w:pPr>
        <w:pStyle w:val="HChG"/>
        <w:outlineLvl w:val="0"/>
        <w:rPr>
          <w:sz w:val="24"/>
          <w:szCs w:val="24"/>
        </w:rPr>
      </w:pPr>
      <w:r>
        <w:rPr>
          <w:sz w:val="24"/>
          <w:szCs w:val="24"/>
        </w:rPr>
        <w:tab/>
      </w:r>
      <w:r>
        <w:rPr>
          <w:sz w:val="24"/>
          <w:szCs w:val="24"/>
        </w:rPr>
        <w:tab/>
      </w:r>
      <w:r w:rsidRPr="008C7B9A">
        <w:rPr>
          <w:sz w:val="24"/>
          <w:szCs w:val="24"/>
        </w:rPr>
        <w:t>Transmitted by the Government of Swed</w:t>
      </w:r>
      <w:bookmarkStart w:id="0" w:name="_GoBack"/>
      <w:bookmarkEnd w:id="0"/>
      <w:r w:rsidRPr="008C7B9A">
        <w:rPr>
          <w:sz w:val="24"/>
          <w:szCs w:val="24"/>
        </w:rPr>
        <w:t>en</w:t>
      </w:r>
    </w:p>
    <w:p w:rsidR="008C7B9A" w:rsidRDefault="008C7B9A" w:rsidP="008C7B9A">
      <w:pPr>
        <w:spacing w:before="120" w:after="120"/>
        <w:ind w:left="1134" w:right="1134"/>
        <w:jc w:val="both"/>
      </w:pPr>
      <w:r>
        <w:t>Sweden supports the principle in IRU’s proposal. Several years ago, the note in 5.4.1.1.1 (g) actually required the value to be indicated (“</w:t>
      </w:r>
      <w:r w:rsidRPr="00A23D01">
        <w:rPr>
          <w:b/>
          <w:i/>
        </w:rPr>
        <w:t>NOTE:</w:t>
      </w:r>
      <w:r>
        <w:t xml:space="preserve"> </w:t>
      </w:r>
      <w:r w:rsidRPr="00A23D01">
        <w:rPr>
          <w:i/>
        </w:rPr>
        <w:t>In the case of application of 1.1.3.6 the total quantity of dangerous goods carried per transport unit shall be expressed as a value calculated in accordance with the provisions of 1.1.3.6</w:t>
      </w:r>
      <w:r>
        <w:t xml:space="preserve">.”). This requirement was removed in ADR 2003. </w:t>
      </w:r>
    </w:p>
    <w:p w:rsidR="008C7B9A" w:rsidRDefault="008C7B9A" w:rsidP="008C7B9A">
      <w:pPr>
        <w:spacing w:before="120" w:after="120"/>
        <w:ind w:left="1134" w:right="1134"/>
        <w:jc w:val="both"/>
      </w:pPr>
      <w:r>
        <w:t xml:space="preserve">Since a carrier might pick up goods from several consignors, the value should always be indicated in the document irrespective of whether the goods belong to the same transport category or not. Document 2016/3 from IRU proposes to amend the note in sub-section 5.4.1.1.1 (f) which seems reasonable. However, since this note refers to calculated values of </w:t>
      </w:r>
      <w:r w:rsidRPr="00A23D01">
        <w:t>1.1.3.6.4</w:t>
      </w:r>
      <w:r>
        <w:t xml:space="preserve"> – which deals with dangerous goods of </w:t>
      </w:r>
      <w:r>
        <w:rPr>
          <w:u w:val="single"/>
        </w:rPr>
        <w:t>different</w:t>
      </w:r>
      <w:r>
        <w:t xml:space="preserve"> transport categories – it might be understood that the value is not required when the goods belong to the </w:t>
      </w:r>
      <w:r w:rsidRPr="00A23D01">
        <w:t>same</w:t>
      </w:r>
      <w:r>
        <w:t xml:space="preserve"> transport category.</w:t>
      </w:r>
    </w:p>
    <w:p w:rsidR="008C7B9A" w:rsidRDefault="008C7B9A" w:rsidP="008C7B9A">
      <w:pPr>
        <w:spacing w:before="120" w:after="120"/>
        <w:ind w:left="1134" w:right="1134"/>
        <w:jc w:val="both"/>
      </w:pPr>
      <w:r w:rsidRPr="00427D3A">
        <w:t>For this reason, we would suggest an alternative solution to IRU’s proposal. The proposed changes are based on the current texts in ADR.</w:t>
      </w:r>
    </w:p>
    <w:p w:rsidR="008C7B9A" w:rsidRDefault="008C7B9A" w:rsidP="008C7B9A">
      <w:pPr>
        <w:pStyle w:val="HChG"/>
        <w:outlineLvl w:val="0"/>
        <w:rPr>
          <w:b w:val="0"/>
          <w:sz w:val="24"/>
          <w:szCs w:val="24"/>
        </w:rPr>
      </w:pPr>
      <w:r>
        <w:rPr>
          <w:sz w:val="24"/>
          <w:szCs w:val="24"/>
        </w:rPr>
        <w:tab/>
      </w:r>
      <w:r>
        <w:rPr>
          <w:sz w:val="24"/>
          <w:szCs w:val="24"/>
        </w:rPr>
        <w:tab/>
      </w:r>
      <w:r w:rsidRPr="008C7B9A">
        <w:rPr>
          <w:sz w:val="24"/>
          <w:szCs w:val="24"/>
        </w:rPr>
        <w:t>Proposal 1:</w:t>
      </w:r>
      <w:r w:rsidRPr="008C7B9A">
        <w:rPr>
          <w:b w:val="0"/>
          <w:sz w:val="24"/>
          <w:szCs w:val="24"/>
        </w:rPr>
        <w:t xml:space="preserve"> </w:t>
      </w:r>
    </w:p>
    <w:p w:rsidR="008C7B9A" w:rsidRDefault="008C7B9A" w:rsidP="008C7B9A">
      <w:pPr>
        <w:tabs>
          <w:tab w:val="left" w:pos="1134"/>
          <w:tab w:val="left" w:pos="8505"/>
        </w:tabs>
        <w:spacing w:before="120" w:after="120"/>
        <w:ind w:left="1134" w:right="1134"/>
      </w:pPr>
      <w:r>
        <w:t>Amend 1.1.3.6.4 as follows (changes stricken out or underlined):</w:t>
      </w:r>
    </w:p>
    <w:p w:rsidR="008C7B9A" w:rsidRPr="0092192E" w:rsidRDefault="008C7B9A" w:rsidP="008C7B9A">
      <w:pPr>
        <w:tabs>
          <w:tab w:val="left" w:pos="-720"/>
          <w:tab w:val="left" w:pos="-324"/>
          <w:tab w:val="left" w:pos="1418"/>
          <w:tab w:val="left" w:pos="1985"/>
          <w:tab w:val="left" w:pos="2552"/>
          <w:tab w:val="left" w:pos="3600"/>
          <w:tab w:val="left" w:pos="3686"/>
          <w:tab w:val="left" w:pos="4253"/>
          <w:tab w:val="left" w:pos="5040"/>
          <w:tab w:val="left" w:pos="5760"/>
          <w:tab w:val="left" w:pos="6480"/>
          <w:tab w:val="left" w:pos="7200"/>
          <w:tab w:val="left" w:pos="7920"/>
          <w:tab w:val="left" w:pos="8505"/>
          <w:tab w:val="left" w:pos="8640"/>
          <w:tab w:val="left" w:pos="9360"/>
          <w:tab w:val="left" w:pos="10080"/>
          <w:tab w:val="left" w:pos="10800"/>
          <w:tab w:val="left" w:pos="11520"/>
          <w:tab w:val="left" w:pos="12240"/>
        </w:tabs>
        <w:spacing w:before="120" w:after="120"/>
        <w:ind w:left="1134" w:right="1134" w:hanging="1134"/>
        <w:jc w:val="both"/>
      </w:pPr>
      <w:r>
        <w:tab/>
      </w:r>
      <w:r w:rsidRPr="0092192E">
        <w:t>1.1.3.6.4</w:t>
      </w:r>
      <w:r w:rsidRPr="0092192E">
        <w:tab/>
      </w:r>
      <w:proofErr w:type="spellStart"/>
      <w:r w:rsidRPr="004859C2">
        <w:rPr>
          <w:strike/>
        </w:rPr>
        <w:t>Where</w:t>
      </w:r>
      <w:r w:rsidRPr="004859C2">
        <w:rPr>
          <w:u w:val="single"/>
        </w:rPr>
        <w:t>When</w:t>
      </w:r>
      <w:proofErr w:type="spellEnd"/>
      <w:r w:rsidRPr="0092192E">
        <w:t xml:space="preserve"> dangerous goods </w:t>
      </w:r>
      <w:r w:rsidRPr="004859C2">
        <w:rPr>
          <w:strike/>
        </w:rPr>
        <w:t>of different transport categories</w:t>
      </w:r>
      <w:r w:rsidRPr="0092192E">
        <w:t xml:space="preserve"> are carried in the same transport unit, the sum of:</w:t>
      </w:r>
    </w:p>
    <w:p w:rsidR="008C7B9A" w:rsidRPr="008C7B9A" w:rsidRDefault="008C7B9A" w:rsidP="008C7B9A">
      <w:pPr>
        <w:spacing w:before="120" w:after="120"/>
        <w:ind w:right="1134"/>
        <w:jc w:val="both"/>
      </w:pPr>
      <w:r>
        <w:tab/>
      </w:r>
      <w:r>
        <w:tab/>
      </w:r>
      <w:r w:rsidRPr="0092192E">
        <w:t>-</w:t>
      </w:r>
      <w:r w:rsidRPr="008C7B9A">
        <w:tab/>
        <w:t>The quantity of substances and articles of transport category 1 multiplied by "50";</w:t>
      </w:r>
    </w:p>
    <w:p w:rsidR="008C7B9A" w:rsidRPr="0092192E" w:rsidRDefault="008C7B9A" w:rsidP="008C7B9A">
      <w:pPr>
        <w:spacing w:before="120" w:after="120"/>
        <w:ind w:left="1134" w:right="1134" w:hanging="1134"/>
        <w:jc w:val="both"/>
      </w:pPr>
      <w:r w:rsidRPr="0092192E">
        <w:tab/>
        <w:t>-</w:t>
      </w:r>
      <w:r w:rsidRPr="0092192E">
        <w:tab/>
        <w:t>The quantity of substances and articles of transport category 1 referred to in Note a to the table in 1.1.3.6.3 multiplied by "20";</w:t>
      </w:r>
    </w:p>
    <w:p w:rsidR="008C7B9A" w:rsidRPr="0092192E" w:rsidRDefault="008C7B9A" w:rsidP="008C7B9A">
      <w:pPr>
        <w:spacing w:before="120" w:after="120"/>
        <w:ind w:left="1134" w:right="1134" w:hanging="1134"/>
        <w:jc w:val="both"/>
      </w:pPr>
      <w:r w:rsidRPr="0092192E">
        <w:tab/>
        <w:t>-</w:t>
      </w:r>
      <w:r w:rsidRPr="0092192E">
        <w:tab/>
        <w:t>The quantity of substances and articles of transport category 2 multiplied by "3"; and</w:t>
      </w:r>
    </w:p>
    <w:p w:rsidR="008C7B9A" w:rsidRPr="0092192E" w:rsidRDefault="008C7B9A" w:rsidP="008C7B9A">
      <w:pPr>
        <w:spacing w:before="120" w:after="120"/>
        <w:ind w:left="1134" w:right="1134" w:hanging="1134"/>
        <w:jc w:val="both"/>
      </w:pPr>
      <w:r w:rsidRPr="0092192E">
        <w:tab/>
        <w:t>-</w:t>
      </w:r>
      <w:r w:rsidRPr="0092192E">
        <w:tab/>
        <w:t>The quantity of substances and articles of transport category 3;</w:t>
      </w:r>
    </w:p>
    <w:p w:rsidR="008C7B9A" w:rsidRDefault="008C7B9A" w:rsidP="008C7B9A">
      <w:pPr>
        <w:tabs>
          <w:tab w:val="left" w:pos="-1226"/>
          <w:tab w:val="left" w:pos="-720"/>
          <w:tab w:val="left" w:pos="1418"/>
          <w:tab w:val="left" w:pos="1985"/>
          <w:tab w:val="left" w:pos="2607"/>
          <w:tab w:val="left" w:pos="3600"/>
          <w:tab w:val="left" w:pos="3686"/>
          <w:tab w:val="left" w:pos="4253"/>
          <w:tab w:val="left" w:pos="5040"/>
          <w:tab w:val="left" w:pos="5760"/>
          <w:tab w:val="left" w:pos="6480"/>
          <w:tab w:val="left" w:pos="7200"/>
          <w:tab w:val="left" w:pos="7920"/>
          <w:tab w:val="left" w:pos="8640"/>
          <w:tab w:val="left" w:pos="9360"/>
        </w:tabs>
        <w:spacing w:before="120" w:after="120"/>
        <w:ind w:left="1134"/>
      </w:pPr>
      <w:proofErr w:type="gramStart"/>
      <w:r w:rsidRPr="0092192E">
        <w:t>shall</w:t>
      </w:r>
      <w:proofErr w:type="gramEnd"/>
      <w:r w:rsidRPr="0092192E">
        <w:t xml:space="preserve"> not exceed</w:t>
      </w:r>
      <w:r>
        <w:t xml:space="preserve"> </w:t>
      </w:r>
      <w:r w:rsidRPr="00FB114B">
        <w:rPr>
          <w:u w:val="single"/>
        </w:rPr>
        <w:t>a calculated value of</w:t>
      </w:r>
      <w:r>
        <w:rPr>
          <w:u w:val="single"/>
        </w:rPr>
        <w:t xml:space="preserve"> 1000</w:t>
      </w:r>
      <w:r w:rsidRPr="0092192E">
        <w:t xml:space="preserve"> </w:t>
      </w:r>
      <w:r w:rsidRPr="00FB114B">
        <w:rPr>
          <w:strike/>
        </w:rPr>
        <w:t>"1 000"</w:t>
      </w:r>
      <w:r w:rsidRPr="0092192E">
        <w:t>.</w:t>
      </w:r>
    </w:p>
    <w:p w:rsidR="008C7B9A" w:rsidRPr="008C7B9A" w:rsidRDefault="008C7B9A" w:rsidP="008C7B9A">
      <w:pPr>
        <w:pStyle w:val="HChG"/>
        <w:outlineLvl w:val="0"/>
        <w:rPr>
          <w:b w:val="0"/>
          <w:sz w:val="24"/>
          <w:szCs w:val="24"/>
        </w:rPr>
      </w:pPr>
      <w:r>
        <w:rPr>
          <w:sz w:val="24"/>
          <w:szCs w:val="24"/>
        </w:rPr>
        <w:tab/>
      </w:r>
      <w:r>
        <w:rPr>
          <w:sz w:val="24"/>
          <w:szCs w:val="24"/>
        </w:rPr>
        <w:tab/>
      </w:r>
      <w:r w:rsidRPr="008C7B9A">
        <w:rPr>
          <w:sz w:val="24"/>
          <w:szCs w:val="24"/>
        </w:rPr>
        <w:t>Proposal 2:</w:t>
      </w:r>
      <w:r w:rsidRPr="008C7B9A">
        <w:rPr>
          <w:b w:val="0"/>
          <w:sz w:val="24"/>
          <w:szCs w:val="24"/>
        </w:rPr>
        <w:t xml:space="preserve"> </w:t>
      </w:r>
    </w:p>
    <w:p w:rsidR="008C7B9A" w:rsidRDefault="008C7B9A" w:rsidP="008C7B9A">
      <w:pPr>
        <w:pStyle w:val="SingleTxtG"/>
      </w:pPr>
      <w:r>
        <w:t>Amend 5.4.1.1.1 (f), NOTE 1, as follows (changes underlined or stricken out):</w:t>
      </w:r>
    </w:p>
    <w:p w:rsidR="008C7B9A" w:rsidRDefault="008C7B9A" w:rsidP="00EA0520">
      <w:pPr>
        <w:tabs>
          <w:tab w:val="left" w:pos="11520"/>
          <w:tab w:val="left" w:pos="12240"/>
        </w:tabs>
        <w:spacing w:before="120" w:after="120"/>
        <w:ind w:left="1134" w:right="1134" w:hanging="1134"/>
        <w:jc w:val="both"/>
      </w:pPr>
      <w:r>
        <w:lastRenderedPageBreak/>
        <w:tab/>
      </w:r>
      <w:r w:rsidRPr="00693125">
        <w:t xml:space="preserve">NOTE 1: In the case of intended application of 1.1.3.6, the total quantity </w:t>
      </w:r>
      <w:r w:rsidRPr="000A4C58">
        <w:rPr>
          <w:u w:val="single"/>
        </w:rPr>
        <w:t>and calculated value</w:t>
      </w:r>
      <w:r w:rsidRPr="00693125">
        <w:t xml:space="preserve"> of dangerous goods for each transport category shall be indicated in the transport document </w:t>
      </w:r>
      <w:r w:rsidRPr="000A4C58">
        <w:rPr>
          <w:strike/>
        </w:rPr>
        <w:t>in accordance with 1.1.3.6.3</w:t>
      </w:r>
      <w:r w:rsidRPr="00693125">
        <w:t xml:space="preserve"> </w:t>
      </w:r>
      <w:r w:rsidRPr="000A4C58">
        <w:rPr>
          <w:u w:val="single"/>
        </w:rPr>
        <w:t>(see 1.1.3.6.3 and 1.1.3.6.4)</w:t>
      </w:r>
      <w:r w:rsidRPr="00693125">
        <w:t>.”</w:t>
      </w:r>
    </w:p>
    <w:p w:rsidR="00A63972" w:rsidRPr="00074BA1" w:rsidRDefault="008258EA" w:rsidP="002A182A">
      <w:pPr>
        <w:pStyle w:val="SingleTxtG"/>
        <w:spacing w:before="240" w:after="0"/>
        <w:jc w:val="center"/>
        <w:rPr>
          <w:u w:val="single"/>
        </w:rPr>
      </w:pPr>
      <w:r w:rsidRPr="008268C5">
        <w:rPr>
          <w:u w:val="single"/>
        </w:rPr>
        <w:tab/>
      </w:r>
      <w:r w:rsidRPr="008268C5">
        <w:rPr>
          <w:u w:val="single"/>
        </w:rPr>
        <w:tab/>
      </w:r>
      <w:r w:rsidRPr="008268C5">
        <w:rPr>
          <w:u w:val="single"/>
        </w:rPr>
        <w:tab/>
      </w:r>
    </w:p>
    <w:sectPr w:rsidR="00A63972" w:rsidRPr="00074BA1" w:rsidSect="002A182A">
      <w:headerReference w:type="even" r:id="rId9"/>
      <w:headerReference w:type="default" r:id="rId10"/>
      <w:footerReference w:type="even" r:id="rId11"/>
      <w:footerReference w:type="default" r:id="rId12"/>
      <w:endnotePr>
        <w:numFmt w:val="decimal"/>
      </w:endnotePr>
      <w:type w:val="continuous"/>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9A" w:rsidRDefault="008C7B9A"/>
  </w:endnote>
  <w:endnote w:type="continuationSeparator" w:id="0">
    <w:p w:rsidR="008C7B9A" w:rsidRDefault="008C7B9A"/>
  </w:endnote>
  <w:endnote w:type="continuationNotice" w:id="1">
    <w:p w:rsidR="008C7B9A" w:rsidRDefault="008C7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A" w:rsidRPr="009D2A5B" w:rsidRDefault="008C7B9A"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A0520">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A" w:rsidRPr="009D2A5B" w:rsidRDefault="008C7B9A"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9A" w:rsidRPr="000B175B" w:rsidRDefault="008C7B9A" w:rsidP="000B175B">
      <w:pPr>
        <w:tabs>
          <w:tab w:val="right" w:pos="2155"/>
        </w:tabs>
        <w:spacing w:after="80"/>
        <w:ind w:left="680"/>
        <w:rPr>
          <w:u w:val="single"/>
        </w:rPr>
      </w:pPr>
      <w:r>
        <w:rPr>
          <w:u w:val="single"/>
        </w:rPr>
        <w:tab/>
      </w:r>
    </w:p>
  </w:footnote>
  <w:footnote w:type="continuationSeparator" w:id="0">
    <w:p w:rsidR="008C7B9A" w:rsidRPr="00FC68B7" w:rsidRDefault="008C7B9A" w:rsidP="00FC68B7">
      <w:pPr>
        <w:tabs>
          <w:tab w:val="left" w:pos="2155"/>
        </w:tabs>
        <w:spacing w:after="80"/>
        <w:ind w:left="680"/>
        <w:rPr>
          <w:u w:val="single"/>
        </w:rPr>
      </w:pPr>
      <w:r>
        <w:rPr>
          <w:u w:val="single"/>
        </w:rPr>
        <w:tab/>
      </w:r>
    </w:p>
  </w:footnote>
  <w:footnote w:type="continuationNotice" w:id="1">
    <w:p w:rsidR="008C7B9A" w:rsidRDefault="008C7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A" w:rsidRPr="00995AAC" w:rsidRDefault="008C7B9A" w:rsidP="009D2A5B">
    <w:pPr>
      <w:pStyle w:val="Header"/>
      <w:rPr>
        <w:lang w:val="de-DE"/>
      </w:rPr>
    </w:pPr>
    <w:r>
      <w:rPr>
        <w:lang w:val="de-DE"/>
      </w:rPr>
      <w:t>INF.24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A" w:rsidRPr="00D33E90" w:rsidRDefault="008C7B9A" w:rsidP="009D2A5B">
    <w:pPr>
      <w:pStyle w:val="Header"/>
      <w:jc w:val="right"/>
      <w:rPr>
        <w:lang w:val="de-DE"/>
      </w:rPr>
    </w:pPr>
    <w:proofErr w:type="spellStart"/>
    <w:r>
      <w:rPr>
        <w:lang w:val="de-DE"/>
      </w:rPr>
      <w:t>INF.xx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967682"/>
    <w:multiLevelType w:val="hybridMultilevel"/>
    <w:tmpl w:val="1A7A18F8"/>
    <w:lvl w:ilvl="0" w:tplc="0A12CA3C">
      <w:start w:val="150"/>
      <w:numFmt w:val="bullet"/>
      <w:lvlText w:val=""/>
      <w:lvlJc w:val="left"/>
      <w:pPr>
        <w:ind w:left="1494" w:hanging="360"/>
      </w:pPr>
      <w:rPr>
        <w:rFonts w:ascii="Symbol" w:eastAsia="Times New Roman" w:hAnsi="Symbol"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4">
    <w:nsid w:val="10A65E77"/>
    <w:multiLevelType w:val="hybridMultilevel"/>
    <w:tmpl w:val="E8E2C680"/>
    <w:lvl w:ilvl="0" w:tplc="CE4E4476">
      <w:start w:val="1"/>
      <w:numFmt w:val="decimal"/>
      <w:lvlText w:val="%1."/>
      <w:lvlJc w:val="left"/>
      <w:pPr>
        <w:ind w:left="1689" w:hanging="555"/>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9"/>
  </w:num>
  <w:num w:numId="15">
    <w:abstractNumId w:val="15"/>
  </w:num>
  <w:num w:numId="16">
    <w:abstractNumId w:val="12"/>
  </w:num>
  <w:num w:numId="17">
    <w:abstractNumId w:val="11"/>
  </w:num>
  <w:num w:numId="18">
    <w:abstractNumId w:val="16"/>
  </w:num>
  <w:num w:numId="19">
    <w:abstractNumId w:val="14"/>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6D94"/>
    <w:rsid w:val="00020A7C"/>
    <w:rsid w:val="000306FE"/>
    <w:rsid w:val="00037F90"/>
    <w:rsid w:val="00045C1D"/>
    <w:rsid w:val="00046B1F"/>
    <w:rsid w:val="000477DC"/>
    <w:rsid w:val="00050F6B"/>
    <w:rsid w:val="0005583C"/>
    <w:rsid w:val="00057E97"/>
    <w:rsid w:val="000677E2"/>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C2C03"/>
    <w:rsid w:val="000C2D2E"/>
    <w:rsid w:val="000C4D51"/>
    <w:rsid w:val="000C4E71"/>
    <w:rsid w:val="000D5E65"/>
    <w:rsid w:val="000E0415"/>
    <w:rsid w:val="000E4EE7"/>
    <w:rsid w:val="000F6048"/>
    <w:rsid w:val="001074DE"/>
    <w:rsid w:val="001103AA"/>
    <w:rsid w:val="0011666B"/>
    <w:rsid w:val="0014202A"/>
    <w:rsid w:val="00155068"/>
    <w:rsid w:val="00165F3A"/>
    <w:rsid w:val="001A6F78"/>
    <w:rsid w:val="001A7A79"/>
    <w:rsid w:val="001B13A5"/>
    <w:rsid w:val="001B4B04"/>
    <w:rsid w:val="001B79ED"/>
    <w:rsid w:val="001C6663"/>
    <w:rsid w:val="001C7895"/>
    <w:rsid w:val="001D0C8C"/>
    <w:rsid w:val="001D1419"/>
    <w:rsid w:val="001D26DF"/>
    <w:rsid w:val="001D3A03"/>
    <w:rsid w:val="001D6092"/>
    <w:rsid w:val="001D7F46"/>
    <w:rsid w:val="001E0B9E"/>
    <w:rsid w:val="001E34F6"/>
    <w:rsid w:val="001E7B67"/>
    <w:rsid w:val="001F3427"/>
    <w:rsid w:val="001F58B8"/>
    <w:rsid w:val="001F7435"/>
    <w:rsid w:val="00202DA8"/>
    <w:rsid w:val="00203639"/>
    <w:rsid w:val="00203F5B"/>
    <w:rsid w:val="0021157B"/>
    <w:rsid w:val="00211E0B"/>
    <w:rsid w:val="00221409"/>
    <w:rsid w:val="00231F2C"/>
    <w:rsid w:val="002416BE"/>
    <w:rsid w:val="0024556B"/>
    <w:rsid w:val="0025058D"/>
    <w:rsid w:val="002564DD"/>
    <w:rsid w:val="00267F5F"/>
    <w:rsid w:val="002715E4"/>
    <w:rsid w:val="00277C12"/>
    <w:rsid w:val="00286B4D"/>
    <w:rsid w:val="002A182A"/>
    <w:rsid w:val="002A603B"/>
    <w:rsid w:val="002B1F18"/>
    <w:rsid w:val="002B4EBE"/>
    <w:rsid w:val="002B6F1C"/>
    <w:rsid w:val="002C127B"/>
    <w:rsid w:val="002C43CE"/>
    <w:rsid w:val="002D1D3B"/>
    <w:rsid w:val="002D4643"/>
    <w:rsid w:val="002D4B6C"/>
    <w:rsid w:val="002E0E39"/>
    <w:rsid w:val="002E610D"/>
    <w:rsid w:val="002F175C"/>
    <w:rsid w:val="002F41C3"/>
    <w:rsid w:val="00301B21"/>
    <w:rsid w:val="00302201"/>
    <w:rsid w:val="00302E18"/>
    <w:rsid w:val="003229D8"/>
    <w:rsid w:val="0033595B"/>
    <w:rsid w:val="00340394"/>
    <w:rsid w:val="003460B2"/>
    <w:rsid w:val="00352709"/>
    <w:rsid w:val="00371178"/>
    <w:rsid w:val="00377518"/>
    <w:rsid w:val="00381475"/>
    <w:rsid w:val="003A6810"/>
    <w:rsid w:val="003B324E"/>
    <w:rsid w:val="003B572E"/>
    <w:rsid w:val="003C2CC4"/>
    <w:rsid w:val="003C3984"/>
    <w:rsid w:val="003D4B23"/>
    <w:rsid w:val="003E0B8D"/>
    <w:rsid w:val="003F3749"/>
    <w:rsid w:val="004059B4"/>
    <w:rsid w:val="00410C89"/>
    <w:rsid w:val="00422E03"/>
    <w:rsid w:val="00426B9B"/>
    <w:rsid w:val="00430F60"/>
    <w:rsid w:val="004325CB"/>
    <w:rsid w:val="004345E5"/>
    <w:rsid w:val="0043510E"/>
    <w:rsid w:val="00437D76"/>
    <w:rsid w:val="004412A4"/>
    <w:rsid w:val="00442A83"/>
    <w:rsid w:val="00445338"/>
    <w:rsid w:val="0045495B"/>
    <w:rsid w:val="00480917"/>
    <w:rsid w:val="0048397A"/>
    <w:rsid w:val="004924BA"/>
    <w:rsid w:val="004A12F2"/>
    <w:rsid w:val="004B6BE7"/>
    <w:rsid w:val="004C2461"/>
    <w:rsid w:val="004C7462"/>
    <w:rsid w:val="004D4E04"/>
    <w:rsid w:val="004D5426"/>
    <w:rsid w:val="004E0C05"/>
    <w:rsid w:val="004E1F66"/>
    <w:rsid w:val="004E3160"/>
    <w:rsid w:val="004E77B2"/>
    <w:rsid w:val="00503DEB"/>
    <w:rsid w:val="00504B2D"/>
    <w:rsid w:val="0052136D"/>
    <w:rsid w:val="00522B58"/>
    <w:rsid w:val="0052775E"/>
    <w:rsid w:val="00534BA0"/>
    <w:rsid w:val="00535C90"/>
    <w:rsid w:val="00536641"/>
    <w:rsid w:val="00537E41"/>
    <w:rsid w:val="00537EE6"/>
    <w:rsid w:val="005420F2"/>
    <w:rsid w:val="00546993"/>
    <w:rsid w:val="00550922"/>
    <w:rsid w:val="005628B6"/>
    <w:rsid w:val="00567A76"/>
    <w:rsid w:val="00585263"/>
    <w:rsid w:val="00591EE3"/>
    <w:rsid w:val="00593B64"/>
    <w:rsid w:val="005A575C"/>
    <w:rsid w:val="005A6058"/>
    <w:rsid w:val="005B3DB3"/>
    <w:rsid w:val="005B4E13"/>
    <w:rsid w:val="005B566C"/>
    <w:rsid w:val="005B73B8"/>
    <w:rsid w:val="005C3FEF"/>
    <w:rsid w:val="005D7A86"/>
    <w:rsid w:val="005E6A77"/>
    <w:rsid w:val="005F7B75"/>
    <w:rsid w:val="006001EE"/>
    <w:rsid w:val="00605042"/>
    <w:rsid w:val="00611FC4"/>
    <w:rsid w:val="006176FB"/>
    <w:rsid w:val="00640B26"/>
    <w:rsid w:val="00642307"/>
    <w:rsid w:val="00652D0A"/>
    <w:rsid w:val="006623D5"/>
    <w:rsid w:val="00662BB6"/>
    <w:rsid w:val="00666400"/>
    <w:rsid w:val="00667F8F"/>
    <w:rsid w:val="006707E8"/>
    <w:rsid w:val="0067257D"/>
    <w:rsid w:val="00677A9E"/>
    <w:rsid w:val="006805A6"/>
    <w:rsid w:val="00682833"/>
    <w:rsid w:val="00684000"/>
    <w:rsid w:val="00684C21"/>
    <w:rsid w:val="0068767B"/>
    <w:rsid w:val="0069232B"/>
    <w:rsid w:val="006A2530"/>
    <w:rsid w:val="006C3589"/>
    <w:rsid w:val="006D1BF5"/>
    <w:rsid w:val="006D37AF"/>
    <w:rsid w:val="006D51D0"/>
    <w:rsid w:val="006E0F70"/>
    <w:rsid w:val="006E564B"/>
    <w:rsid w:val="006E6CE3"/>
    <w:rsid w:val="006E7191"/>
    <w:rsid w:val="006E7539"/>
    <w:rsid w:val="00703577"/>
    <w:rsid w:val="00705894"/>
    <w:rsid w:val="00720F89"/>
    <w:rsid w:val="0072632A"/>
    <w:rsid w:val="00731FF0"/>
    <w:rsid w:val="007327D5"/>
    <w:rsid w:val="007362E7"/>
    <w:rsid w:val="00741E33"/>
    <w:rsid w:val="007462B3"/>
    <w:rsid w:val="007611CF"/>
    <w:rsid w:val="007629C8"/>
    <w:rsid w:val="0077047D"/>
    <w:rsid w:val="00772E0E"/>
    <w:rsid w:val="007811A3"/>
    <w:rsid w:val="0078613B"/>
    <w:rsid w:val="007959D1"/>
    <w:rsid w:val="007B4260"/>
    <w:rsid w:val="007B6BA5"/>
    <w:rsid w:val="007C3390"/>
    <w:rsid w:val="007C4F4B"/>
    <w:rsid w:val="007C6B0B"/>
    <w:rsid w:val="007D120B"/>
    <w:rsid w:val="007D3F10"/>
    <w:rsid w:val="007D46D5"/>
    <w:rsid w:val="007D630D"/>
    <w:rsid w:val="007E01E9"/>
    <w:rsid w:val="007E63F3"/>
    <w:rsid w:val="007F5D25"/>
    <w:rsid w:val="007F6611"/>
    <w:rsid w:val="007F6CF2"/>
    <w:rsid w:val="007F7106"/>
    <w:rsid w:val="008075C7"/>
    <w:rsid w:val="00811920"/>
    <w:rsid w:val="00815AD0"/>
    <w:rsid w:val="008242D7"/>
    <w:rsid w:val="008257B1"/>
    <w:rsid w:val="008258EA"/>
    <w:rsid w:val="00830CF3"/>
    <w:rsid w:val="00843767"/>
    <w:rsid w:val="00845642"/>
    <w:rsid w:val="008521A5"/>
    <w:rsid w:val="00854917"/>
    <w:rsid w:val="00861EB9"/>
    <w:rsid w:val="00866460"/>
    <w:rsid w:val="008679D9"/>
    <w:rsid w:val="00871389"/>
    <w:rsid w:val="00874CB6"/>
    <w:rsid w:val="00883999"/>
    <w:rsid w:val="008878DE"/>
    <w:rsid w:val="0089055A"/>
    <w:rsid w:val="008979B1"/>
    <w:rsid w:val="008A222F"/>
    <w:rsid w:val="008A6B25"/>
    <w:rsid w:val="008A6C4F"/>
    <w:rsid w:val="008B2335"/>
    <w:rsid w:val="008B717B"/>
    <w:rsid w:val="008C3988"/>
    <w:rsid w:val="008C7B9A"/>
    <w:rsid w:val="008D5337"/>
    <w:rsid w:val="008E0678"/>
    <w:rsid w:val="009223CA"/>
    <w:rsid w:val="00940F93"/>
    <w:rsid w:val="0094558F"/>
    <w:rsid w:val="0095494F"/>
    <w:rsid w:val="00957D75"/>
    <w:rsid w:val="00961690"/>
    <w:rsid w:val="009760F3"/>
    <w:rsid w:val="00981775"/>
    <w:rsid w:val="00995AAC"/>
    <w:rsid w:val="009A0E8D"/>
    <w:rsid w:val="009B1518"/>
    <w:rsid w:val="009B26E7"/>
    <w:rsid w:val="009B6347"/>
    <w:rsid w:val="009B6669"/>
    <w:rsid w:val="009B725F"/>
    <w:rsid w:val="009C2832"/>
    <w:rsid w:val="009C3EED"/>
    <w:rsid w:val="009C454F"/>
    <w:rsid w:val="009D2A5B"/>
    <w:rsid w:val="009D6315"/>
    <w:rsid w:val="009E4A3F"/>
    <w:rsid w:val="009F25F2"/>
    <w:rsid w:val="00A00A3F"/>
    <w:rsid w:val="00A01489"/>
    <w:rsid w:val="00A05445"/>
    <w:rsid w:val="00A05718"/>
    <w:rsid w:val="00A11AE1"/>
    <w:rsid w:val="00A2229D"/>
    <w:rsid w:val="00A3009E"/>
    <w:rsid w:val="00A3026E"/>
    <w:rsid w:val="00A3172A"/>
    <w:rsid w:val="00A338F1"/>
    <w:rsid w:val="00A50701"/>
    <w:rsid w:val="00A63972"/>
    <w:rsid w:val="00A70C41"/>
    <w:rsid w:val="00A72F22"/>
    <w:rsid w:val="00A7360F"/>
    <w:rsid w:val="00A748A6"/>
    <w:rsid w:val="00A76092"/>
    <w:rsid w:val="00A769F4"/>
    <w:rsid w:val="00A776B4"/>
    <w:rsid w:val="00A81407"/>
    <w:rsid w:val="00A83F1E"/>
    <w:rsid w:val="00A94361"/>
    <w:rsid w:val="00A94E03"/>
    <w:rsid w:val="00AA293C"/>
    <w:rsid w:val="00AB6490"/>
    <w:rsid w:val="00AC4F8C"/>
    <w:rsid w:val="00AD2C08"/>
    <w:rsid w:val="00B04464"/>
    <w:rsid w:val="00B04EEB"/>
    <w:rsid w:val="00B11BB4"/>
    <w:rsid w:val="00B22BC2"/>
    <w:rsid w:val="00B232D3"/>
    <w:rsid w:val="00B30179"/>
    <w:rsid w:val="00B34325"/>
    <w:rsid w:val="00B421C1"/>
    <w:rsid w:val="00B5510C"/>
    <w:rsid w:val="00B55982"/>
    <w:rsid w:val="00B55C71"/>
    <w:rsid w:val="00B56E4A"/>
    <w:rsid w:val="00B56E9C"/>
    <w:rsid w:val="00B61320"/>
    <w:rsid w:val="00B64B1F"/>
    <w:rsid w:val="00B6553F"/>
    <w:rsid w:val="00B6706F"/>
    <w:rsid w:val="00B70F1E"/>
    <w:rsid w:val="00B77D05"/>
    <w:rsid w:val="00B81206"/>
    <w:rsid w:val="00B81E12"/>
    <w:rsid w:val="00B878FC"/>
    <w:rsid w:val="00B95341"/>
    <w:rsid w:val="00BB7CD1"/>
    <w:rsid w:val="00BC0253"/>
    <w:rsid w:val="00BC17C8"/>
    <w:rsid w:val="00BC3FA0"/>
    <w:rsid w:val="00BC74E9"/>
    <w:rsid w:val="00BD7241"/>
    <w:rsid w:val="00BF21E4"/>
    <w:rsid w:val="00BF68A8"/>
    <w:rsid w:val="00C034BC"/>
    <w:rsid w:val="00C10FE6"/>
    <w:rsid w:val="00C1176D"/>
    <w:rsid w:val="00C11A03"/>
    <w:rsid w:val="00C22C0C"/>
    <w:rsid w:val="00C249BA"/>
    <w:rsid w:val="00C251F9"/>
    <w:rsid w:val="00C30C61"/>
    <w:rsid w:val="00C32E3F"/>
    <w:rsid w:val="00C35502"/>
    <w:rsid w:val="00C362A3"/>
    <w:rsid w:val="00C40B11"/>
    <w:rsid w:val="00C4527F"/>
    <w:rsid w:val="00C463DD"/>
    <w:rsid w:val="00C4724C"/>
    <w:rsid w:val="00C56C9E"/>
    <w:rsid w:val="00C629A0"/>
    <w:rsid w:val="00C64629"/>
    <w:rsid w:val="00C745C3"/>
    <w:rsid w:val="00C755FD"/>
    <w:rsid w:val="00C76F8B"/>
    <w:rsid w:val="00C81B1C"/>
    <w:rsid w:val="00C92D21"/>
    <w:rsid w:val="00CA660C"/>
    <w:rsid w:val="00CB1150"/>
    <w:rsid w:val="00CB3E03"/>
    <w:rsid w:val="00CC671F"/>
    <w:rsid w:val="00CE1972"/>
    <w:rsid w:val="00CE4A8F"/>
    <w:rsid w:val="00CF1A46"/>
    <w:rsid w:val="00CF4F35"/>
    <w:rsid w:val="00D01AC6"/>
    <w:rsid w:val="00D1634E"/>
    <w:rsid w:val="00D2031B"/>
    <w:rsid w:val="00D25FE2"/>
    <w:rsid w:val="00D33E90"/>
    <w:rsid w:val="00D43252"/>
    <w:rsid w:val="00D47EEA"/>
    <w:rsid w:val="00D550D4"/>
    <w:rsid w:val="00D773DF"/>
    <w:rsid w:val="00D85FC6"/>
    <w:rsid w:val="00D872AC"/>
    <w:rsid w:val="00D9255F"/>
    <w:rsid w:val="00D93D49"/>
    <w:rsid w:val="00D94900"/>
    <w:rsid w:val="00D94DFB"/>
    <w:rsid w:val="00D95303"/>
    <w:rsid w:val="00D978C6"/>
    <w:rsid w:val="00DA19FA"/>
    <w:rsid w:val="00DA3C1C"/>
    <w:rsid w:val="00DC1329"/>
    <w:rsid w:val="00DC55E6"/>
    <w:rsid w:val="00DC63E5"/>
    <w:rsid w:val="00DD1F7D"/>
    <w:rsid w:val="00DD29BD"/>
    <w:rsid w:val="00DD3341"/>
    <w:rsid w:val="00DD428F"/>
    <w:rsid w:val="00DE645C"/>
    <w:rsid w:val="00DF093C"/>
    <w:rsid w:val="00E046DF"/>
    <w:rsid w:val="00E054C7"/>
    <w:rsid w:val="00E15557"/>
    <w:rsid w:val="00E16214"/>
    <w:rsid w:val="00E22867"/>
    <w:rsid w:val="00E2289D"/>
    <w:rsid w:val="00E235B1"/>
    <w:rsid w:val="00E240D2"/>
    <w:rsid w:val="00E27346"/>
    <w:rsid w:val="00E27968"/>
    <w:rsid w:val="00E553B6"/>
    <w:rsid w:val="00E71610"/>
    <w:rsid w:val="00E71BC8"/>
    <w:rsid w:val="00E7260F"/>
    <w:rsid w:val="00E73F5D"/>
    <w:rsid w:val="00E77E4E"/>
    <w:rsid w:val="00E96630"/>
    <w:rsid w:val="00EA0520"/>
    <w:rsid w:val="00EB4CB5"/>
    <w:rsid w:val="00EC106A"/>
    <w:rsid w:val="00EC24CB"/>
    <w:rsid w:val="00EC4078"/>
    <w:rsid w:val="00EC4414"/>
    <w:rsid w:val="00ED7A2A"/>
    <w:rsid w:val="00EE6ABF"/>
    <w:rsid w:val="00EE6B3A"/>
    <w:rsid w:val="00EF1D7F"/>
    <w:rsid w:val="00EF5E4E"/>
    <w:rsid w:val="00F022A9"/>
    <w:rsid w:val="00F23F8B"/>
    <w:rsid w:val="00F31E5F"/>
    <w:rsid w:val="00F32BB7"/>
    <w:rsid w:val="00F46F2C"/>
    <w:rsid w:val="00F6100A"/>
    <w:rsid w:val="00F618FA"/>
    <w:rsid w:val="00F63C9D"/>
    <w:rsid w:val="00F66565"/>
    <w:rsid w:val="00F75A16"/>
    <w:rsid w:val="00F93781"/>
    <w:rsid w:val="00F96244"/>
    <w:rsid w:val="00FB613B"/>
    <w:rsid w:val="00FC44E6"/>
    <w:rsid w:val="00FC68B7"/>
    <w:rsid w:val="00FD4024"/>
    <w:rsid w:val="00FE106A"/>
    <w:rsid w:val="00FE5CA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C212-5A53-48E6-BE60-DF448135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367</Words>
  <Characters>2098</Characters>
  <Application>Microsoft Office Word</Application>
  <DocSecurity>0</DocSecurity>
  <Lines>17</Lines>
  <Paragraphs>4</Paragraphs>
  <ScaleCrop>false</ScaleCrop>
  <HeadingPairs>
    <vt:vector size="10" baseType="variant">
      <vt:variant>
        <vt:lpstr>Title</vt:lpstr>
      </vt:variant>
      <vt:variant>
        <vt:i4>1</vt:i4>
      </vt:variant>
      <vt:variant>
        <vt:lpstr>Titre</vt:lpstr>
      </vt:variant>
      <vt:variant>
        <vt:i4>1</vt:i4>
      </vt:variant>
      <vt:variant>
        <vt:lpstr>Otsikko</vt:lpstr>
      </vt:variant>
      <vt:variant>
        <vt:i4>1</vt:i4>
      </vt:variant>
      <vt:variant>
        <vt:lpstr>Rubrik</vt:lpstr>
      </vt:variant>
      <vt:variant>
        <vt:i4>1</vt:i4>
      </vt:variant>
      <vt:variant>
        <vt:lpstr>Titel</vt:lpstr>
      </vt:variant>
      <vt:variant>
        <vt:i4>1</vt:i4>
      </vt:variant>
    </vt:vector>
  </HeadingPairs>
  <TitlesOfParts>
    <vt:vector size="5" baseType="lpstr">
      <vt:lpstr>1126259</vt:lpstr>
      <vt:lpstr>1126259</vt:lpstr>
      <vt:lpstr>1126259</vt:lpstr>
      <vt:lpstr>1126259</vt:lpstr>
      <vt:lpstr>1126259</vt:lpstr>
    </vt:vector>
  </TitlesOfParts>
  <Company>CSD</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2016-04-12T13:51:00Z</cp:lastPrinted>
  <dcterms:created xsi:type="dcterms:W3CDTF">2016-05-03T14:23:00Z</dcterms:created>
  <dcterms:modified xsi:type="dcterms:W3CDTF">2016-05-03T14:34:00Z</dcterms:modified>
</cp:coreProperties>
</file>