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7B48A" w14:textId="4BD65571" w:rsidR="00AF5B84" w:rsidRDefault="00EF460D" w:rsidP="0048028F">
      <w:pPr>
        <w:spacing w:line="240" w:lineRule="auto"/>
      </w:pPr>
      <w:bookmarkStart w:id="0" w:name="_GoBack"/>
      <w:bookmarkEnd w:id="0"/>
      <w:r>
        <w:t>/47</w:t>
      </w:r>
      <w:r w:rsidR="009A69E0">
        <w:softHyphen/>
      </w: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14:paraId="5D6956B5" w14:textId="77777777" w:rsidTr="00E42C3D">
        <w:trPr>
          <w:cantSplit/>
          <w:trHeight w:hRule="exact" w:val="851"/>
        </w:trPr>
        <w:tc>
          <w:tcPr>
            <w:tcW w:w="9639" w:type="dxa"/>
            <w:tcBorders>
              <w:bottom w:val="single" w:sz="4" w:space="0" w:color="auto"/>
            </w:tcBorders>
            <w:vAlign w:val="bottom"/>
          </w:tcPr>
          <w:p w14:paraId="1186048D" w14:textId="6FE87834" w:rsidR="0099001C" w:rsidRPr="0099001C" w:rsidRDefault="008537AA" w:rsidP="0048028F">
            <w:pPr>
              <w:spacing w:after="240" w:line="240" w:lineRule="auto"/>
              <w:jc w:val="right"/>
              <w:rPr>
                <w:b/>
                <w:sz w:val="40"/>
                <w:szCs w:val="40"/>
              </w:rPr>
            </w:pPr>
            <w:r w:rsidRPr="008537AA">
              <w:rPr>
                <w:b/>
                <w:sz w:val="40"/>
                <w:szCs w:val="40"/>
              </w:rPr>
              <w:t>UN/SCETDG</w:t>
            </w:r>
            <w:r w:rsidR="00A264E1">
              <w:rPr>
                <w:b/>
                <w:sz w:val="40"/>
                <w:szCs w:val="40"/>
              </w:rPr>
              <w:t>/49/</w:t>
            </w:r>
            <w:r w:rsidR="009715FC">
              <w:rPr>
                <w:b/>
                <w:sz w:val="40"/>
                <w:szCs w:val="40"/>
              </w:rPr>
              <w:t>INF.66</w:t>
            </w:r>
          </w:p>
        </w:tc>
      </w:tr>
      <w:tr w:rsidR="0099001C" w14:paraId="41AF6131" w14:textId="77777777" w:rsidTr="00E42C3D">
        <w:trPr>
          <w:cantSplit/>
          <w:trHeight w:val="2456"/>
          <w:hidden/>
        </w:trPr>
        <w:tc>
          <w:tcPr>
            <w:tcW w:w="9639" w:type="dxa"/>
            <w:tcBorders>
              <w:top w:val="single" w:sz="4" w:space="0" w:color="auto"/>
            </w:tcBorders>
          </w:tcPr>
          <w:p w14:paraId="2D305484" w14:textId="77777777" w:rsidR="007B634A" w:rsidRPr="00AA022C" w:rsidRDefault="007B634A" w:rsidP="0048028F">
            <w:pPr>
              <w:spacing w:before="240" w:line="240" w:lineRule="auto"/>
              <w:rPr>
                <w:vanish/>
              </w:rPr>
            </w:pPr>
          </w:p>
          <w:p w14:paraId="322721F9" w14:textId="77777777" w:rsidR="00A805EB" w:rsidRPr="00403098" w:rsidRDefault="00A805EB" w:rsidP="0048028F">
            <w:pPr>
              <w:spacing w:before="120" w:line="240" w:lineRule="auto"/>
              <w:rPr>
                <w:b/>
                <w:sz w:val="24"/>
                <w:szCs w:val="24"/>
                <w:lang w:val="en-US"/>
              </w:rPr>
            </w:pPr>
            <w:r w:rsidRPr="00403098">
              <w:rPr>
                <w:b/>
                <w:sz w:val="24"/>
                <w:szCs w:val="24"/>
                <w:lang w:val="en-US"/>
              </w:rPr>
              <w:t>Committee of Experts on the Transport of Dangerous Goods</w:t>
            </w:r>
            <w:r w:rsidRPr="00403098">
              <w:rPr>
                <w:b/>
                <w:sz w:val="24"/>
                <w:szCs w:val="24"/>
                <w:lang w:val="en-US"/>
              </w:rPr>
              <w:br/>
              <w:t>and on the Globally Harmonized System of Classification</w:t>
            </w:r>
            <w:r w:rsidRPr="00403098">
              <w:rPr>
                <w:b/>
                <w:sz w:val="24"/>
                <w:szCs w:val="24"/>
                <w:lang w:val="en-US"/>
              </w:rPr>
              <w:br/>
              <w:t>and Labelling of Chemicals</w:t>
            </w:r>
          </w:p>
          <w:p w14:paraId="224F1504" w14:textId="129DAA9E" w:rsidR="00A805EB" w:rsidRPr="00403098" w:rsidRDefault="003B17EB" w:rsidP="0048028F">
            <w:pPr>
              <w:tabs>
                <w:tab w:val="left" w:pos="8000"/>
              </w:tabs>
              <w:spacing w:before="120" w:line="240" w:lineRule="auto"/>
              <w:rPr>
                <w:b/>
                <w:lang w:val="en-US"/>
              </w:rPr>
            </w:pPr>
            <w:r>
              <w:rPr>
                <w:b/>
                <w:lang w:val="en-US"/>
              </w:rPr>
              <w:t>Sub-Committee</w:t>
            </w:r>
            <w:r w:rsidR="00A805EB" w:rsidRPr="00403098">
              <w:rPr>
                <w:b/>
                <w:lang w:val="en-US"/>
              </w:rPr>
              <w:t xml:space="preserve"> of Experts </w:t>
            </w:r>
            <w:r w:rsidR="00DE3A0C" w:rsidRPr="00403098">
              <w:rPr>
                <w:b/>
                <w:lang w:val="en-US"/>
              </w:rPr>
              <w:t>on the Transport of Dangerous Goods</w:t>
            </w:r>
            <w:r w:rsidR="007218CD">
              <w:rPr>
                <w:b/>
                <w:lang w:val="en-US"/>
              </w:rPr>
              <w:tab/>
            </w:r>
            <w:r w:rsidR="00A264E1">
              <w:rPr>
                <w:b/>
                <w:lang w:val="en-US"/>
              </w:rPr>
              <w:t>1</w:t>
            </w:r>
            <w:r w:rsidR="00EF248C">
              <w:rPr>
                <w:b/>
                <w:lang w:val="en-US"/>
              </w:rPr>
              <w:t xml:space="preserve"> </w:t>
            </w:r>
            <w:r w:rsidR="00A264E1">
              <w:rPr>
                <w:b/>
                <w:lang w:val="en-US"/>
              </w:rPr>
              <w:t>July 2016</w:t>
            </w:r>
          </w:p>
          <w:p w14:paraId="12522D67" w14:textId="5D3E8B32" w:rsidR="00EC4720" w:rsidRPr="00AB16B2" w:rsidRDefault="00EC4720" w:rsidP="0048028F">
            <w:pPr>
              <w:spacing w:before="120" w:line="240" w:lineRule="auto"/>
              <w:rPr>
                <w:b/>
              </w:rPr>
            </w:pPr>
            <w:r w:rsidRPr="00AB16B2">
              <w:rPr>
                <w:b/>
              </w:rPr>
              <w:t>Forty-</w:t>
            </w:r>
            <w:r w:rsidR="00A264E1">
              <w:rPr>
                <w:b/>
                <w:lang w:eastAsia="ko-KR"/>
              </w:rPr>
              <w:t>ninth</w:t>
            </w:r>
            <w:r w:rsidRPr="00AB16B2">
              <w:rPr>
                <w:b/>
                <w:lang w:eastAsia="ko-KR"/>
              </w:rPr>
              <w:t xml:space="preserve"> </w:t>
            </w:r>
            <w:r w:rsidRPr="00AB16B2">
              <w:rPr>
                <w:b/>
              </w:rPr>
              <w:t>session</w:t>
            </w:r>
          </w:p>
          <w:p w14:paraId="5BAC2948" w14:textId="77777777" w:rsidR="00A264E1" w:rsidRPr="00AB16B2" w:rsidRDefault="00A264E1" w:rsidP="0048028F">
            <w:pPr>
              <w:spacing w:line="240" w:lineRule="auto"/>
              <w:rPr>
                <w:lang w:eastAsia="ko-KR"/>
              </w:rPr>
            </w:pPr>
            <w:r w:rsidRPr="00E76261">
              <w:t>Geneva, 27 June – 6 July 2016</w:t>
            </w:r>
          </w:p>
          <w:p w14:paraId="2753EE9D" w14:textId="77777777" w:rsidR="004E5951" w:rsidRPr="00BE3FCE" w:rsidRDefault="004E5951" w:rsidP="0048028F">
            <w:pPr>
              <w:spacing w:line="240" w:lineRule="auto"/>
            </w:pPr>
            <w:r w:rsidRPr="007B634A">
              <w:t xml:space="preserve">Item </w:t>
            </w:r>
            <w:r w:rsidR="00381C62" w:rsidRPr="007B634A">
              <w:t xml:space="preserve">2 </w:t>
            </w:r>
            <w:r w:rsidRPr="007B634A">
              <w:t>of the provisional agenda</w:t>
            </w:r>
          </w:p>
          <w:p w14:paraId="59F5B1B5" w14:textId="77777777" w:rsidR="0099001C" w:rsidRPr="00624A20" w:rsidRDefault="00381C62" w:rsidP="0048028F">
            <w:pPr>
              <w:spacing w:after="240" w:line="240" w:lineRule="auto"/>
              <w:rPr>
                <w:b/>
              </w:rPr>
            </w:pPr>
            <w:r w:rsidRPr="00381C62">
              <w:rPr>
                <w:b/>
              </w:rPr>
              <w:t>Explosives and related matters</w:t>
            </w:r>
          </w:p>
        </w:tc>
      </w:tr>
    </w:tbl>
    <w:p w14:paraId="003078FC" w14:textId="77777777" w:rsidR="00950D47" w:rsidRPr="00A50AA8" w:rsidRDefault="00624A20" w:rsidP="0048028F">
      <w:pPr>
        <w:pStyle w:val="HChG"/>
        <w:spacing w:line="240" w:lineRule="auto"/>
      </w:pPr>
      <w:r>
        <w:tab/>
      </w:r>
      <w:r>
        <w:tab/>
      </w:r>
      <w:r w:rsidR="00A50AA8" w:rsidRPr="00A50AA8">
        <w:t>Report of the Working Group on Explosives</w:t>
      </w:r>
    </w:p>
    <w:p w14:paraId="5E9E0967" w14:textId="77777777" w:rsidR="00950D47" w:rsidRPr="00A50AA8" w:rsidRDefault="00624A20" w:rsidP="0048028F">
      <w:pPr>
        <w:pStyle w:val="H1G"/>
        <w:spacing w:line="240" w:lineRule="auto"/>
      </w:pPr>
      <w:r>
        <w:tab/>
      </w:r>
      <w:r>
        <w:tab/>
      </w:r>
      <w:r w:rsidR="00A50AA8" w:rsidRPr="00A50AA8">
        <w:t>Transmitted by the chairman of the Working Group</w:t>
      </w:r>
      <w:r w:rsidR="00411E71">
        <w:t xml:space="preserve"> on Explosives</w:t>
      </w:r>
    </w:p>
    <w:p w14:paraId="6FDB948D" w14:textId="77777777" w:rsidR="00950D47" w:rsidRPr="00950D47" w:rsidRDefault="00624A20" w:rsidP="0048028F">
      <w:pPr>
        <w:pStyle w:val="HChG"/>
        <w:spacing w:line="240" w:lineRule="auto"/>
      </w:pPr>
      <w:r>
        <w:tab/>
      </w:r>
      <w:r>
        <w:tab/>
      </w:r>
      <w:r w:rsidR="00A50AA8">
        <w:t>Introduction</w:t>
      </w:r>
    </w:p>
    <w:p w14:paraId="55DECF2C" w14:textId="5E7A7CE1" w:rsidR="00BD747D" w:rsidRPr="00072495" w:rsidRDefault="00A50AA8" w:rsidP="00F52631">
      <w:pPr>
        <w:pStyle w:val="SingleTxtG"/>
        <w:numPr>
          <w:ilvl w:val="0"/>
          <w:numId w:val="4"/>
        </w:numPr>
        <w:spacing w:line="240" w:lineRule="auto"/>
        <w:ind w:right="39"/>
      </w:pPr>
      <w:r w:rsidRPr="00072495">
        <w:t xml:space="preserve">The working group met from </w:t>
      </w:r>
      <w:r w:rsidR="00DC27B5" w:rsidRPr="00072495">
        <w:t>27 June</w:t>
      </w:r>
      <w:r w:rsidRPr="00072495">
        <w:t xml:space="preserve"> to </w:t>
      </w:r>
      <w:r w:rsidR="00DC27B5" w:rsidRPr="00072495">
        <w:t>1 July 2016</w:t>
      </w:r>
      <w:r w:rsidRPr="00072495">
        <w:t xml:space="preserve"> in a parallel session to the plenary meeting of the </w:t>
      </w:r>
      <w:r w:rsidR="003B17EB" w:rsidRPr="00072495">
        <w:t>Sub-Committee</w:t>
      </w:r>
      <w:r w:rsidRPr="00072495">
        <w:t xml:space="preserve"> on the Transport of Dangerous Goods. </w:t>
      </w:r>
      <w:proofErr w:type="gramStart"/>
      <w:r w:rsidRPr="00072495">
        <w:t xml:space="preserve">This meeting of the working group was well attended with </w:t>
      </w:r>
      <w:r w:rsidR="006F2C5A">
        <w:t>39</w:t>
      </w:r>
      <w:r w:rsidR="0001235D" w:rsidRPr="00072495">
        <w:t xml:space="preserve"> </w:t>
      </w:r>
      <w:r w:rsidRPr="00072495">
        <w:t xml:space="preserve">experts in attendance from </w:t>
      </w:r>
      <w:r w:rsidR="006F2C5A" w:rsidRPr="006F2C5A">
        <w:t xml:space="preserve">Belgium, Canada, Finland, France, Germany, Japan, Netherlands, New Zealand, Norway, Poland, Romania, Spain, Sweden, </w:t>
      </w:r>
      <w:r w:rsidR="0046712A">
        <w:t>United Kingdom</w:t>
      </w:r>
      <w:r w:rsidR="006F2C5A" w:rsidRPr="006F2C5A">
        <w:t xml:space="preserve">, </w:t>
      </w:r>
      <w:r w:rsidR="0046712A">
        <w:t>United States of America</w:t>
      </w:r>
      <w:r w:rsidR="006F2C5A" w:rsidRPr="006F2C5A">
        <w:t xml:space="preserve">, </w:t>
      </w:r>
      <w:r w:rsidR="0046712A">
        <w:t>Australian Explosives Industry and Safety Group (</w:t>
      </w:r>
      <w:r w:rsidR="006F2C5A" w:rsidRPr="006F2C5A">
        <w:t>AEISG</w:t>
      </w:r>
      <w:r w:rsidR="0046712A">
        <w:t>)</w:t>
      </w:r>
      <w:r w:rsidR="006F2C5A" w:rsidRPr="006F2C5A">
        <w:t xml:space="preserve">, </w:t>
      </w:r>
      <w:r w:rsidR="00F52631" w:rsidRPr="00F52631">
        <w:t>European Chemical Industry Council</w:t>
      </w:r>
      <w:r w:rsidR="00F52631">
        <w:t xml:space="preserve"> (</w:t>
      </w:r>
      <w:r w:rsidR="006F2C5A" w:rsidRPr="006F2C5A">
        <w:t>CEFIC</w:t>
      </w:r>
      <w:r w:rsidR="00F52631">
        <w:t>)</w:t>
      </w:r>
      <w:r w:rsidR="006F2C5A" w:rsidRPr="006F2C5A">
        <w:t xml:space="preserve">, </w:t>
      </w:r>
      <w:r w:rsidR="00F52631" w:rsidRPr="00F52631">
        <w:t>European Association of Automotive Suppliers</w:t>
      </w:r>
      <w:r w:rsidR="00F52631">
        <w:t xml:space="preserve"> (</w:t>
      </w:r>
      <w:r w:rsidR="006F2C5A" w:rsidRPr="006F2C5A">
        <w:t>CLEPA</w:t>
      </w:r>
      <w:r w:rsidR="00F52631">
        <w:t>)</w:t>
      </w:r>
      <w:r w:rsidR="006F2C5A" w:rsidRPr="006F2C5A">
        <w:t xml:space="preserve">, Fertilizers Europe, </w:t>
      </w:r>
      <w:r w:rsidR="00F52631">
        <w:t>Institute of Makers of Explosives (</w:t>
      </w:r>
      <w:r w:rsidR="006F2C5A" w:rsidRPr="006F2C5A">
        <w:t>IM</w:t>
      </w:r>
      <w:r w:rsidR="006F2C5A">
        <w:t>E</w:t>
      </w:r>
      <w:r w:rsidR="00F52631">
        <w:t>)</w:t>
      </w:r>
      <w:r w:rsidR="006F2C5A">
        <w:t xml:space="preserve">, </w:t>
      </w:r>
      <w:r w:rsidR="00F52631" w:rsidRPr="00F52631">
        <w:t>Responsible Packaging Management Association of Southern Africa</w:t>
      </w:r>
      <w:r w:rsidR="00F52631">
        <w:t xml:space="preserve"> (</w:t>
      </w:r>
      <w:r w:rsidR="006F2C5A">
        <w:t>RPMASA</w:t>
      </w:r>
      <w:r w:rsidR="00F52631">
        <w:t>)</w:t>
      </w:r>
      <w:r w:rsidR="006F2C5A">
        <w:t xml:space="preserve">, </w:t>
      </w:r>
      <w:r w:rsidR="00F52631" w:rsidRPr="00F52631">
        <w:t>Sporting Arms &amp; Ammunition Manufacturers' Institute</w:t>
      </w:r>
      <w:r w:rsidR="00F52631">
        <w:t xml:space="preserve"> (</w:t>
      </w:r>
      <w:r w:rsidR="006F2C5A">
        <w:t>SAAMI</w:t>
      </w:r>
      <w:r w:rsidR="00F52631">
        <w:t>)</w:t>
      </w:r>
      <w:r w:rsidR="006F2C5A">
        <w:t>,</w:t>
      </w:r>
      <w:r w:rsidR="00C81CFA" w:rsidRPr="00072495">
        <w:t xml:space="preserve"> and the GHS Secretariat</w:t>
      </w:r>
      <w:r w:rsidRPr="00072495">
        <w:t>.</w:t>
      </w:r>
      <w:proofErr w:type="gramEnd"/>
      <w:r w:rsidRPr="00072495">
        <w:t xml:space="preserve"> A</w:t>
      </w:r>
      <w:r w:rsidR="009A604D" w:rsidRPr="00072495">
        <w:t>nnex 1 of this report provides a</w:t>
      </w:r>
      <w:r w:rsidRPr="00072495">
        <w:t xml:space="preserve"> list of participants.  </w:t>
      </w:r>
      <w:r w:rsidR="005D3180" w:rsidRPr="00072495">
        <w:t>T</w:t>
      </w:r>
      <w:r w:rsidRPr="00072495">
        <w:t xml:space="preserve">he group </w:t>
      </w:r>
      <w:proofErr w:type="gramStart"/>
      <w:r w:rsidRPr="00072495">
        <w:t>was tasked</w:t>
      </w:r>
      <w:proofErr w:type="gramEnd"/>
      <w:r w:rsidRPr="00072495">
        <w:t xml:space="preserve"> to discuss technical matters related to </w:t>
      </w:r>
      <w:r w:rsidR="005D3180" w:rsidRPr="00072495">
        <w:t xml:space="preserve">official papers and to discuss </w:t>
      </w:r>
      <w:r w:rsidR="00C12C7C" w:rsidRPr="00072495">
        <w:t xml:space="preserve">informal </w:t>
      </w:r>
      <w:r w:rsidR="005D3180" w:rsidRPr="00072495">
        <w:t>papers as time allowed</w:t>
      </w:r>
      <w:r w:rsidRPr="00072495">
        <w:t>.</w:t>
      </w:r>
      <w:r w:rsidR="00974A5D" w:rsidRPr="00072495">
        <w:t xml:space="preserve">  Mr. Ed de Jong (Netherlands) served as chair of the working group and Mr. David Boston (IME) as secretary.</w:t>
      </w:r>
    </w:p>
    <w:p w14:paraId="11384144" w14:textId="44B8893F" w:rsidR="00401728" w:rsidRPr="00072495" w:rsidRDefault="00401728" w:rsidP="00F67F55">
      <w:pPr>
        <w:pStyle w:val="SingleTxtG"/>
        <w:numPr>
          <w:ilvl w:val="0"/>
          <w:numId w:val="4"/>
        </w:numPr>
        <w:spacing w:line="240" w:lineRule="auto"/>
        <w:ind w:right="1"/>
      </w:pPr>
      <w:r w:rsidRPr="00072495">
        <w:t xml:space="preserve">The </w:t>
      </w:r>
      <w:r w:rsidR="00784AF8" w:rsidRPr="00072495">
        <w:t>working group</w:t>
      </w:r>
      <w:r w:rsidRPr="00072495">
        <w:t xml:space="preserve"> met for three days to consider the papers assigned to it by the TDG Sub-Committee and informally on a fourth </w:t>
      </w:r>
      <w:r w:rsidR="00A966F4" w:rsidRPr="00072495">
        <w:t xml:space="preserve">day </w:t>
      </w:r>
      <w:r w:rsidRPr="00072495">
        <w:t xml:space="preserve">while this report was being prepared.  The informal discussions conducted on that fourth day </w:t>
      </w:r>
      <w:proofErr w:type="gramStart"/>
      <w:r w:rsidRPr="00072495">
        <w:t>are not reported</w:t>
      </w:r>
      <w:proofErr w:type="gramEnd"/>
      <w:r w:rsidRPr="00072495">
        <w:t xml:space="preserve"> herein.</w:t>
      </w:r>
    </w:p>
    <w:p w14:paraId="5FBE9ED4" w14:textId="5093388E" w:rsidR="00092CF5" w:rsidRPr="00072495" w:rsidRDefault="00F97063" w:rsidP="0048028F">
      <w:pPr>
        <w:pStyle w:val="SingleTxtG"/>
        <w:numPr>
          <w:ilvl w:val="0"/>
          <w:numId w:val="4"/>
        </w:numPr>
        <w:spacing w:line="240" w:lineRule="auto"/>
      </w:pPr>
      <w:r>
        <w:t>49/INF.2 listed the following</w:t>
      </w:r>
      <w:r w:rsidR="00092CF5" w:rsidRPr="00072495">
        <w:t xml:space="preserve"> papers</w:t>
      </w:r>
      <w:r>
        <w:t xml:space="preserve"> for consideration of the working group</w:t>
      </w:r>
      <w:r w:rsidR="00692C91">
        <w:t>:</w:t>
      </w:r>
    </w:p>
    <w:tbl>
      <w:tblPr>
        <w:tblW w:w="9007" w:type="dxa"/>
        <w:tblInd w:w="1108" w:type="dxa"/>
        <w:tblCellMar>
          <w:top w:w="29" w:type="dxa"/>
          <w:left w:w="115" w:type="dxa"/>
          <w:bottom w:w="29" w:type="dxa"/>
          <w:right w:w="115" w:type="dxa"/>
        </w:tblCellMar>
        <w:tblLook w:val="0000" w:firstRow="0" w:lastRow="0" w:firstColumn="0" w:lastColumn="0" w:noHBand="0" w:noVBand="0"/>
      </w:tblPr>
      <w:tblGrid>
        <w:gridCol w:w="26"/>
        <w:gridCol w:w="3481"/>
        <w:gridCol w:w="5500"/>
      </w:tblGrid>
      <w:tr w:rsidR="00F938DA" w:rsidRPr="00F938DA" w14:paraId="5BBB3B80" w14:textId="77777777" w:rsidTr="002C34C6">
        <w:trPr>
          <w:cantSplit/>
          <w:trHeight w:val="255"/>
          <w:tblHeader/>
        </w:trPr>
        <w:tc>
          <w:tcPr>
            <w:tcW w:w="3507" w:type="dxa"/>
            <w:gridSpan w:val="2"/>
            <w:tcBorders>
              <w:top w:val="nil"/>
              <w:left w:val="nil"/>
              <w:right w:val="nil"/>
            </w:tcBorders>
            <w:shd w:val="clear" w:color="auto" w:fill="auto"/>
          </w:tcPr>
          <w:p w14:paraId="2EE00EAC" w14:textId="77777777" w:rsidR="00F938DA" w:rsidRPr="00F938DA" w:rsidRDefault="00F938DA" w:rsidP="0048028F">
            <w:pPr>
              <w:suppressAutoHyphens w:val="0"/>
              <w:spacing w:line="240" w:lineRule="auto"/>
              <w:rPr>
                <w:b/>
                <w:bCs/>
                <w:lang w:val="en-US"/>
              </w:rPr>
            </w:pPr>
            <w:r w:rsidRPr="00F938DA">
              <w:rPr>
                <w:b/>
                <w:bCs/>
                <w:lang w:val="en-US"/>
              </w:rPr>
              <w:t>Document</w:t>
            </w:r>
          </w:p>
        </w:tc>
        <w:tc>
          <w:tcPr>
            <w:tcW w:w="5500" w:type="dxa"/>
            <w:tcBorders>
              <w:top w:val="nil"/>
              <w:left w:val="nil"/>
              <w:right w:val="nil"/>
            </w:tcBorders>
            <w:shd w:val="clear" w:color="auto" w:fill="auto"/>
          </w:tcPr>
          <w:p w14:paraId="649FA649" w14:textId="77777777" w:rsidR="00F938DA" w:rsidRPr="00F938DA" w:rsidRDefault="00F938DA" w:rsidP="0048028F">
            <w:pPr>
              <w:suppressAutoHyphens w:val="0"/>
              <w:spacing w:line="240" w:lineRule="auto"/>
              <w:rPr>
                <w:b/>
                <w:bCs/>
                <w:lang w:val="en-US"/>
              </w:rPr>
            </w:pPr>
            <w:r w:rsidRPr="00F938DA">
              <w:rPr>
                <w:b/>
                <w:bCs/>
                <w:lang w:val="en-US"/>
              </w:rPr>
              <w:t>Title</w:t>
            </w:r>
          </w:p>
        </w:tc>
      </w:tr>
      <w:tr w:rsidR="004B5A54" w:rsidRPr="002A3904" w14:paraId="55F7B778" w14:textId="77777777" w:rsidTr="002C34C6">
        <w:trPr>
          <w:cantSplit/>
          <w:trHeight w:val="20"/>
        </w:trPr>
        <w:tc>
          <w:tcPr>
            <w:tcW w:w="3507" w:type="dxa"/>
            <w:gridSpan w:val="2"/>
            <w:tcBorders>
              <w:top w:val="nil"/>
              <w:left w:val="nil"/>
              <w:bottom w:val="nil"/>
              <w:right w:val="nil"/>
            </w:tcBorders>
            <w:shd w:val="clear" w:color="auto" w:fill="E6E6E6"/>
          </w:tcPr>
          <w:p w14:paraId="0DD1AE18" w14:textId="77777777" w:rsidR="004B5A54" w:rsidRPr="00AF51E4" w:rsidRDefault="004B5A54" w:rsidP="0048028F">
            <w:pPr>
              <w:suppressAutoHyphens w:val="0"/>
              <w:spacing w:line="240" w:lineRule="auto"/>
              <w:rPr>
                <w:iCs/>
                <w:sz w:val="18"/>
                <w:szCs w:val="18"/>
                <w:u w:val="single"/>
                <w:lang w:val="en-US"/>
              </w:rPr>
            </w:pPr>
            <w:r w:rsidRPr="00AF51E4">
              <w:rPr>
                <w:iCs/>
                <w:sz w:val="18"/>
                <w:szCs w:val="18"/>
                <w:u w:val="single"/>
                <w:lang w:val="en-US"/>
              </w:rPr>
              <w:t>Agenda Item 2(a)</w:t>
            </w:r>
          </w:p>
        </w:tc>
        <w:tc>
          <w:tcPr>
            <w:tcW w:w="5500" w:type="dxa"/>
            <w:tcBorders>
              <w:top w:val="nil"/>
              <w:left w:val="nil"/>
              <w:bottom w:val="nil"/>
              <w:right w:val="nil"/>
            </w:tcBorders>
            <w:shd w:val="clear" w:color="auto" w:fill="E6E6E6"/>
          </w:tcPr>
          <w:p w14:paraId="40108CD6" w14:textId="77777777" w:rsidR="004B5A54" w:rsidRPr="00AF51E4" w:rsidRDefault="00AE752F" w:rsidP="0048028F">
            <w:pPr>
              <w:suppressAutoHyphens w:val="0"/>
              <w:spacing w:line="240" w:lineRule="auto"/>
              <w:rPr>
                <w:iCs/>
                <w:sz w:val="18"/>
                <w:szCs w:val="18"/>
                <w:u w:val="single"/>
                <w:lang w:val="en-US"/>
              </w:rPr>
            </w:pPr>
            <w:r w:rsidRPr="00AF51E4">
              <w:rPr>
                <w:iCs/>
                <w:sz w:val="18"/>
                <w:szCs w:val="18"/>
                <w:u w:val="single"/>
                <w:lang w:val="en-US"/>
              </w:rPr>
              <w:t>Tests and criteria for flash compositions</w:t>
            </w:r>
          </w:p>
        </w:tc>
      </w:tr>
      <w:tr w:rsidR="000E1531" w:rsidRPr="00137508" w14:paraId="4EA82DEA" w14:textId="77777777" w:rsidTr="00A50B4A">
        <w:trPr>
          <w:gridBefore w:val="1"/>
          <w:wBefore w:w="26" w:type="dxa"/>
          <w:cantSplit/>
          <w:trHeight w:val="20"/>
        </w:trPr>
        <w:tc>
          <w:tcPr>
            <w:tcW w:w="3481" w:type="dxa"/>
            <w:tcBorders>
              <w:top w:val="nil"/>
              <w:left w:val="nil"/>
              <w:bottom w:val="nil"/>
              <w:right w:val="nil"/>
            </w:tcBorders>
            <w:shd w:val="clear" w:color="auto" w:fill="auto"/>
          </w:tcPr>
          <w:p w14:paraId="1B466C9C" w14:textId="14984D5B" w:rsidR="000E1531" w:rsidRPr="00AF51E4" w:rsidRDefault="00D34FBB" w:rsidP="007B7E53">
            <w:pPr>
              <w:suppressAutoHyphens w:val="0"/>
              <w:spacing w:line="240" w:lineRule="auto"/>
              <w:rPr>
                <w:i/>
                <w:iCs/>
                <w:sz w:val="18"/>
                <w:szCs w:val="18"/>
                <w:lang w:val="en-US"/>
              </w:rPr>
            </w:pPr>
            <w:r w:rsidRPr="00D34FBB">
              <w:rPr>
                <w:i/>
                <w:iCs/>
                <w:sz w:val="18"/>
                <w:szCs w:val="18"/>
                <w:lang w:val="en-US"/>
              </w:rPr>
              <w:t>ST/SG/AC.</w:t>
            </w:r>
            <w:r w:rsidR="007B7E53" w:rsidRPr="00D34FBB">
              <w:rPr>
                <w:i/>
                <w:iCs/>
                <w:sz w:val="18"/>
                <w:szCs w:val="18"/>
                <w:lang w:val="en-US"/>
              </w:rPr>
              <w:t>1</w:t>
            </w:r>
            <w:r w:rsidR="007B7E53">
              <w:rPr>
                <w:i/>
                <w:iCs/>
                <w:sz w:val="18"/>
                <w:szCs w:val="18"/>
                <w:lang w:val="en-US"/>
              </w:rPr>
              <w:t>0</w:t>
            </w:r>
            <w:r w:rsidRPr="00D34FBB">
              <w:rPr>
                <w:i/>
                <w:iCs/>
                <w:sz w:val="18"/>
                <w:szCs w:val="18"/>
                <w:lang w:val="en-US"/>
              </w:rPr>
              <w:t>/C.3/96 para 11 and Add.1 (annexes I and II)</w:t>
            </w:r>
          </w:p>
        </w:tc>
        <w:tc>
          <w:tcPr>
            <w:tcW w:w="5500" w:type="dxa"/>
            <w:tcBorders>
              <w:top w:val="nil"/>
              <w:left w:val="nil"/>
              <w:bottom w:val="nil"/>
              <w:right w:val="nil"/>
            </w:tcBorders>
            <w:shd w:val="clear" w:color="auto" w:fill="auto"/>
          </w:tcPr>
          <w:p w14:paraId="77C1535E" w14:textId="5977B3D8" w:rsidR="000E1531" w:rsidRPr="00AF51E4" w:rsidRDefault="00D34FBB" w:rsidP="0048028F">
            <w:pPr>
              <w:suppressAutoHyphens w:val="0"/>
              <w:spacing w:line="240" w:lineRule="auto"/>
              <w:rPr>
                <w:i/>
                <w:iCs/>
                <w:sz w:val="18"/>
                <w:szCs w:val="18"/>
                <w:lang w:val="en-US"/>
              </w:rPr>
            </w:pPr>
            <w:r w:rsidRPr="00D34FBB">
              <w:rPr>
                <w:i/>
                <w:iCs/>
                <w:sz w:val="18"/>
                <w:szCs w:val="18"/>
                <w:lang w:val="en-US"/>
              </w:rPr>
              <w:t>Report of the Sub-Committee of Experts on the Transport of Dangerous Goods on its forty-eighth session</w:t>
            </w:r>
          </w:p>
        </w:tc>
      </w:tr>
      <w:tr w:rsidR="00F27965" w:rsidRPr="002C34C6" w14:paraId="6BDA65AF" w14:textId="77777777" w:rsidTr="002C34C6">
        <w:trPr>
          <w:cantSplit/>
          <w:trHeight w:val="20"/>
        </w:trPr>
        <w:tc>
          <w:tcPr>
            <w:tcW w:w="3507" w:type="dxa"/>
            <w:gridSpan w:val="2"/>
            <w:tcBorders>
              <w:top w:val="nil"/>
              <w:left w:val="nil"/>
              <w:bottom w:val="nil"/>
              <w:right w:val="nil"/>
            </w:tcBorders>
            <w:shd w:val="clear" w:color="auto" w:fill="E6E6E6"/>
          </w:tcPr>
          <w:p w14:paraId="642675A7" w14:textId="77777777" w:rsidR="00F27965" w:rsidRPr="00AF51E4" w:rsidRDefault="00F27965" w:rsidP="0048028F">
            <w:pPr>
              <w:suppressAutoHyphens w:val="0"/>
              <w:spacing w:line="240" w:lineRule="auto"/>
              <w:rPr>
                <w:iCs/>
                <w:sz w:val="18"/>
                <w:szCs w:val="18"/>
                <w:u w:val="single"/>
                <w:lang w:val="en-US"/>
              </w:rPr>
            </w:pPr>
            <w:r w:rsidRPr="00AF51E4">
              <w:rPr>
                <w:iCs/>
                <w:sz w:val="18"/>
                <w:szCs w:val="18"/>
                <w:u w:val="single"/>
                <w:lang w:val="en-US"/>
              </w:rPr>
              <w:t>Agenda Item 2(b)</w:t>
            </w:r>
          </w:p>
        </w:tc>
        <w:tc>
          <w:tcPr>
            <w:tcW w:w="5500" w:type="dxa"/>
            <w:tcBorders>
              <w:top w:val="nil"/>
              <w:left w:val="nil"/>
              <w:bottom w:val="nil"/>
              <w:right w:val="nil"/>
            </w:tcBorders>
            <w:shd w:val="clear" w:color="auto" w:fill="E6E6E6"/>
          </w:tcPr>
          <w:p w14:paraId="327C767D" w14:textId="77777777" w:rsidR="00F27965" w:rsidRPr="00AF51E4" w:rsidRDefault="00D46947" w:rsidP="0048028F">
            <w:pPr>
              <w:suppressAutoHyphens w:val="0"/>
              <w:spacing w:line="240" w:lineRule="auto"/>
              <w:rPr>
                <w:iCs/>
                <w:sz w:val="18"/>
                <w:szCs w:val="18"/>
                <w:u w:val="single"/>
                <w:lang w:val="en-US"/>
              </w:rPr>
            </w:pPr>
            <w:r w:rsidRPr="00AF51E4">
              <w:rPr>
                <w:iCs/>
                <w:sz w:val="18"/>
                <w:szCs w:val="18"/>
                <w:u w:val="single"/>
                <w:lang w:val="en-US"/>
              </w:rPr>
              <w:t xml:space="preserve">Review of </w:t>
            </w:r>
            <w:r w:rsidR="00504730" w:rsidRPr="00AF51E4">
              <w:rPr>
                <w:iCs/>
                <w:sz w:val="18"/>
                <w:szCs w:val="18"/>
                <w:u w:val="single"/>
                <w:lang w:val="en-US"/>
              </w:rPr>
              <w:t>Test Series</w:t>
            </w:r>
            <w:r w:rsidRPr="00AF51E4">
              <w:rPr>
                <w:iCs/>
                <w:sz w:val="18"/>
                <w:szCs w:val="18"/>
                <w:u w:val="single"/>
                <w:lang w:val="en-US"/>
              </w:rPr>
              <w:t xml:space="preserve"> 6</w:t>
            </w:r>
          </w:p>
        </w:tc>
      </w:tr>
      <w:tr w:rsidR="00B358FD" w:rsidRPr="00137508" w14:paraId="54833996" w14:textId="77777777" w:rsidTr="00B055A3">
        <w:trPr>
          <w:gridBefore w:val="1"/>
          <w:wBefore w:w="26" w:type="dxa"/>
          <w:cantSplit/>
          <w:trHeight w:val="20"/>
        </w:trPr>
        <w:tc>
          <w:tcPr>
            <w:tcW w:w="3481" w:type="dxa"/>
            <w:tcBorders>
              <w:top w:val="nil"/>
              <w:left w:val="nil"/>
              <w:right w:val="nil"/>
            </w:tcBorders>
            <w:shd w:val="clear" w:color="auto" w:fill="auto"/>
          </w:tcPr>
          <w:p w14:paraId="1AFAC909" w14:textId="77777777" w:rsidR="00B358FD" w:rsidRPr="00AF51E4" w:rsidRDefault="00B358FD" w:rsidP="0048028F">
            <w:pPr>
              <w:suppressAutoHyphens w:val="0"/>
              <w:spacing w:line="240" w:lineRule="auto"/>
              <w:rPr>
                <w:i/>
                <w:iCs/>
                <w:sz w:val="18"/>
                <w:szCs w:val="18"/>
                <w:lang w:val="en-US"/>
              </w:rPr>
            </w:pPr>
            <w:r w:rsidRPr="00AF51E4">
              <w:rPr>
                <w:i/>
                <w:iCs/>
                <w:sz w:val="18"/>
                <w:szCs w:val="18"/>
                <w:lang w:val="en-US"/>
              </w:rPr>
              <w:t>No documents</w:t>
            </w:r>
          </w:p>
        </w:tc>
        <w:tc>
          <w:tcPr>
            <w:tcW w:w="5500" w:type="dxa"/>
            <w:tcBorders>
              <w:top w:val="nil"/>
              <w:left w:val="nil"/>
              <w:right w:val="nil"/>
            </w:tcBorders>
            <w:shd w:val="clear" w:color="auto" w:fill="auto"/>
          </w:tcPr>
          <w:p w14:paraId="21FF26E1" w14:textId="77777777" w:rsidR="00B358FD" w:rsidRPr="00AF51E4" w:rsidRDefault="00B358FD" w:rsidP="0048028F">
            <w:pPr>
              <w:keepNext/>
              <w:suppressAutoHyphens w:val="0"/>
              <w:spacing w:line="240" w:lineRule="auto"/>
              <w:rPr>
                <w:i/>
                <w:iCs/>
                <w:sz w:val="18"/>
                <w:szCs w:val="18"/>
                <w:lang w:val="en-US"/>
              </w:rPr>
            </w:pPr>
          </w:p>
        </w:tc>
      </w:tr>
      <w:tr w:rsidR="00F27965" w:rsidRPr="00CD25DB" w14:paraId="130144E9" w14:textId="77777777" w:rsidTr="002C34C6">
        <w:trPr>
          <w:cantSplit/>
          <w:trHeight w:val="20"/>
        </w:trPr>
        <w:tc>
          <w:tcPr>
            <w:tcW w:w="3507" w:type="dxa"/>
            <w:gridSpan w:val="2"/>
            <w:tcBorders>
              <w:top w:val="nil"/>
              <w:left w:val="nil"/>
              <w:bottom w:val="nil"/>
              <w:right w:val="nil"/>
            </w:tcBorders>
            <w:shd w:val="clear" w:color="auto" w:fill="E6E6E6"/>
          </w:tcPr>
          <w:p w14:paraId="58994A0D" w14:textId="77777777" w:rsidR="00F27965" w:rsidRPr="00AF51E4" w:rsidRDefault="00F27965" w:rsidP="0048028F">
            <w:pPr>
              <w:suppressAutoHyphens w:val="0"/>
              <w:spacing w:line="240" w:lineRule="auto"/>
              <w:rPr>
                <w:iCs/>
                <w:sz w:val="18"/>
                <w:szCs w:val="18"/>
                <w:u w:val="single"/>
                <w:lang w:val="en-US"/>
              </w:rPr>
            </w:pPr>
            <w:r w:rsidRPr="00AF51E4">
              <w:rPr>
                <w:iCs/>
                <w:sz w:val="18"/>
                <w:szCs w:val="18"/>
                <w:u w:val="single"/>
                <w:lang w:val="en-US"/>
              </w:rPr>
              <w:t>Agenda Item 2(c)</w:t>
            </w:r>
          </w:p>
        </w:tc>
        <w:tc>
          <w:tcPr>
            <w:tcW w:w="5500" w:type="dxa"/>
            <w:tcBorders>
              <w:top w:val="nil"/>
              <w:left w:val="nil"/>
              <w:bottom w:val="nil"/>
              <w:right w:val="nil"/>
            </w:tcBorders>
            <w:shd w:val="clear" w:color="auto" w:fill="E6E6E6"/>
          </w:tcPr>
          <w:p w14:paraId="0BBAA965" w14:textId="77777777" w:rsidR="00F27965" w:rsidRPr="00AF51E4" w:rsidRDefault="000F7B95" w:rsidP="0048028F">
            <w:pPr>
              <w:keepNext/>
              <w:keepLines/>
              <w:suppressAutoHyphens w:val="0"/>
              <w:spacing w:line="240" w:lineRule="auto"/>
              <w:rPr>
                <w:iCs/>
                <w:sz w:val="18"/>
                <w:szCs w:val="18"/>
                <w:u w:val="single"/>
                <w:lang w:val="en-US"/>
              </w:rPr>
            </w:pPr>
            <w:r w:rsidRPr="00AF51E4">
              <w:rPr>
                <w:iCs/>
                <w:sz w:val="18"/>
                <w:szCs w:val="18"/>
                <w:u w:val="single"/>
                <w:lang w:val="en-US"/>
              </w:rPr>
              <w:t>Review of tests in parts I and II of the Manual of Tests and Criteria</w:t>
            </w:r>
          </w:p>
        </w:tc>
      </w:tr>
      <w:tr w:rsidR="00137508" w:rsidRPr="00580705" w14:paraId="209EB5CD" w14:textId="77777777" w:rsidTr="002C34C6">
        <w:trPr>
          <w:gridBefore w:val="1"/>
          <w:wBefore w:w="26" w:type="dxa"/>
          <w:cantSplit/>
          <w:trHeight w:val="20"/>
        </w:trPr>
        <w:tc>
          <w:tcPr>
            <w:tcW w:w="3481" w:type="dxa"/>
            <w:tcBorders>
              <w:top w:val="nil"/>
              <w:left w:val="nil"/>
              <w:bottom w:val="nil"/>
              <w:right w:val="nil"/>
            </w:tcBorders>
            <w:shd w:val="clear" w:color="auto" w:fill="auto"/>
          </w:tcPr>
          <w:p w14:paraId="32BD617B" w14:textId="25C70140" w:rsidR="00137508" w:rsidRPr="006F2C5A" w:rsidRDefault="00810C70" w:rsidP="0048028F">
            <w:pPr>
              <w:suppressAutoHyphens w:val="0"/>
              <w:spacing w:line="240" w:lineRule="auto"/>
              <w:rPr>
                <w:i/>
                <w:iCs/>
                <w:sz w:val="18"/>
                <w:szCs w:val="18"/>
                <w:lang w:val="en-US"/>
              </w:rPr>
            </w:pPr>
            <w:r w:rsidRPr="006F2C5A">
              <w:rPr>
                <w:i/>
                <w:iCs/>
                <w:sz w:val="18"/>
                <w:szCs w:val="18"/>
                <w:lang w:val="en-US"/>
              </w:rPr>
              <w:t>ST/SG/AC.10/C.3</w:t>
            </w:r>
            <w:r w:rsidR="004276FE" w:rsidRPr="006F2C5A">
              <w:rPr>
                <w:i/>
                <w:iCs/>
                <w:sz w:val="18"/>
                <w:szCs w:val="18"/>
                <w:lang w:val="en-US"/>
              </w:rPr>
              <w:t>/2016/6</w:t>
            </w:r>
            <w:r w:rsidRPr="006F2C5A">
              <w:rPr>
                <w:i/>
                <w:iCs/>
                <w:sz w:val="18"/>
                <w:szCs w:val="18"/>
                <w:lang w:val="en-US"/>
              </w:rPr>
              <w:t xml:space="preserve"> (</w:t>
            </w:r>
            <w:r w:rsidR="004276FE" w:rsidRPr="006F2C5A">
              <w:rPr>
                <w:i/>
                <w:iCs/>
                <w:sz w:val="18"/>
                <w:szCs w:val="18"/>
                <w:lang w:val="en-US"/>
              </w:rPr>
              <w:t>Germany</w:t>
            </w:r>
            <w:r w:rsidRPr="006F2C5A">
              <w:rPr>
                <w:i/>
                <w:iCs/>
                <w:sz w:val="18"/>
                <w:szCs w:val="18"/>
                <w:lang w:val="en-US"/>
              </w:rPr>
              <w:t>)</w:t>
            </w:r>
          </w:p>
        </w:tc>
        <w:tc>
          <w:tcPr>
            <w:tcW w:w="5500" w:type="dxa"/>
            <w:tcBorders>
              <w:top w:val="nil"/>
              <w:left w:val="nil"/>
              <w:bottom w:val="nil"/>
              <w:right w:val="nil"/>
            </w:tcBorders>
            <w:shd w:val="clear" w:color="auto" w:fill="auto"/>
          </w:tcPr>
          <w:p w14:paraId="2651866C" w14:textId="7A658661" w:rsidR="00137508" w:rsidRPr="006F2C5A" w:rsidRDefault="004276FE" w:rsidP="0048028F">
            <w:pPr>
              <w:keepNext/>
              <w:keepLines/>
              <w:suppressAutoHyphens w:val="0"/>
              <w:spacing w:line="240" w:lineRule="auto"/>
              <w:rPr>
                <w:i/>
                <w:iCs/>
                <w:sz w:val="18"/>
                <w:szCs w:val="18"/>
                <w:lang w:val="en-US"/>
              </w:rPr>
            </w:pPr>
            <w:r w:rsidRPr="006F2C5A">
              <w:rPr>
                <w:i/>
                <w:iCs/>
                <w:sz w:val="18"/>
                <w:szCs w:val="18"/>
                <w:lang w:val="en-US"/>
              </w:rPr>
              <w:t xml:space="preserve">Test results relating to the </w:t>
            </w:r>
            <w:proofErr w:type="spellStart"/>
            <w:r w:rsidRPr="006F2C5A">
              <w:rPr>
                <w:i/>
                <w:iCs/>
                <w:sz w:val="18"/>
                <w:szCs w:val="18"/>
                <w:lang w:val="en-US"/>
              </w:rPr>
              <w:t>Koenen</w:t>
            </w:r>
            <w:proofErr w:type="spellEnd"/>
            <w:r w:rsidRPr="006F2C5A">
              <w:rPr>
                <w:i/>
                <w:iCs/>
                <w:sz w:val="18"/>
                <w:szCs w:val="18"/>
                <w:lang w:val="en-US"/>
              </w:rPr>
              <w:t xml:space="preserve"> test</w:t>
            </w:r>
          </w:p>
        </w:tc>
      </w:tr>
      <w:tr w:rsidR="00561F2C" w:rsidRPr="00580705" w14:paraId="53A0C234" w14:textId="77777777" w:rsidTr="008D1641">
        <w:trPr>
          <w:gridBefore w:val="1"/>
          <w:wBefore w:w="26" w:type="dxa"/>
          <w:cantSplit/>
          <w:trHeight w:val="20"/>
        </w:trPr>
        <w:tc>
          <w:tcPr>
            <w:tcW w:w="3481" w:type="dxa"/>
            <w:tcBorders>
              <w:top w:val="nil"/>
              <w:left w:val="nil"/>
              <w:right w:val="nil"/>
            </w:tcBorders>
            <w:shd w:val="clear" w:color="auto" w:fill="auto"/>
          </w:tcPr>
          <w:p w14:paraId="4B60490B" w14:textId="1B20C82C" w:rsidR="00561F2C" w:rsidRPr="006F2C5A" w:rsidRDefault="00561F2C" w:rsidP="0048028F">
            <w:pPr>
              <w:tabs>
                <w:tab w:val="left" w:pos="176"/>
              </w:tabs>
              <w:suppressAutoHyphens w:val="0"/>
              <w:spacing w:line="240" w:lineRule="auto"/>
              <w:ind w:left="173"/>
              <w:rPr>
                <w:i/>
                <w:iCs/>
                <w:sz w:val="18"/>
                <w:szCs w:val="18"/>
                <w:lang w:val="en-US"/>
              </w:rPr>
            </w:pPr>
            <w:r w:rsidRPr="006F2C5A">
              <w:rPr>
                <w:i/>
                <w:iCs/>
                <w:sz w:val="18"/>
                <w:szCs w:val="18"/>
                <w:lang w:val="en-US"/>
              </w:rPr>
              <w:t>UN/SCETDG</w:t>
            </w:r>
            <w:r w:rsidR="00A264E1" w:rsidRPr="006F2C5A">
              <w:rPr>
                <w:i/>
                <w:iCs/>
                <w:sz w:val="18"/>
                <w:szCs w:val="18"/>
                <w:lang w:val="en-US"/>
              </w:rPr>
              <w:t>/49/</w:t>
            </w:r>
            <w:r w:rsidRPr="006F2C5A">
              <w:rPr>
                <w:i/>
                <w:iCs/>
                <w:sz w:val="18"/>
                <w:szCs w:val="18"/>
                <w:lang w:val="en-US"/>
              </w:rPr>
              <w:t>INF.</w:t>
            </w:r>
            <w:r w:rsidR="004276FE" w:rsidRPr="006F2C5A">
              <w:rPr>
                <w:i/>
                <w:iCs/>
                <w:sz w:val="18"/>
                <w:szCs w:val="18"/>
                <w:lang w:val="en-US"/>
              </w:rPr>
              <w:t>27</w:t>
            </w:r>
            <w:r w:rsidRPr="006F2C5A">
              <w:rPr>
                <w:i/>
                <w:iCs/>
                <w:sz w:val="18"/>
                <w:szCs w:val="18"/>
                <w:lang w:val="en-US"/>
              </w:rPr>
              <w:t xml:space="preserve"> (</w:t>
            </w:r>
            <w:r w:rsidR="004276FE" w:rsidRPr="006F2C5A">
              <w:rPr>
                <w:i/>
                <w:iCs/>
                <w:sz w:val="18"/>
                <w:szCs w:val="18"/>
                <w:lang w:val="en-US"/>
              </w:rPr>
              <w:t>Germany</w:t>
            </w:r>
            <w:r w:rsidRPr="006F2C5A">
              <w:rPr>
                <w:i/>
                <w:iCs/>
                <w:sz w:val="18"/>
                <w:szCs w:val="18"/>
                <w:lang w:val="en-US"/>
              </w:rPr>
              <w:t>)</w:t>
            </w:r>
          </w:p>
        </w:tc>
        <w:tc>
          <w:tcPr>
            <w:tcW w:w="5500" w:type="dxa"/>
            <w:tcBorders>
              <w:top w:val="nil"/>
              <w:left w:val="nil"/>
              <w:right w:val="nil"/>
            </w:tcBorders>
            <w:shd w:val="clear" w:color="auto" w:fill="auto"/>
          </w:tcPr>
          <w:p w14:paraId="47DF1120" w14:textId="31B0A250" w:rsidR="00561F2C" w:rsidRPr="006F2C5A" w:rsidRDefault="004276FE" w:rsidP="0048028F">
            <w:pPr>
              <w:keepNext/>
              <w:keepLines/>
              <w:suppressAutoHyphens w:val="0"/>
              <w:spacing w:line="240" w:lineRule="auto"/>
              <w:ind w:left="173"/>
              <w:rPr>
                <w:i/>
                <w:iCs/>
                <w:sz w:val="18"/>
                <w:szCs w:val="18"/>
                <w:lang w:val="en-US"/>
              </w:rPr>
            </w:pPr>
            <w:r w:rsidRPr="006F2C5A">
              <w:rPr>
                <w:i/>
                <w:iCs/>
                <w:sz w:val="18"/>
                <w:szCs w:val="18"/>
                <w:lang w:val="en-US"/>
              </w:rPr>
              <w:t xml:space="preserve">Test results with emulsions (ANE) relating to the </w:t>
            </w:r>
            <w:proofErr w:type="spellStart"/>
            <w:r w:rsidRPr="006F2C5A">
              <w:rPr>
                <w:i/>
                <w:iCs/>
                <w:sz w:val="18"/>
                <w:szCs w:val="18"/>
                <w:lang w:val="en-US"/>
              </w:rPr>
              <w:t>Koenen</w:t>
            </w:r>
            <w:proofErr w:type="spellEnd"/>
            <w:r w:rsidRPr="006F2C5A">
              <w:rPr>
                <w:i/>
                <w:iCs/>
                <w:sz w:val="18"/>
                <w:szCs w:val="18"/>
                <w:lang w:val="en-US"/>
              </w:rPr>
              <w:t xml:space="preserve"> test</w:t>
            </w:r>
          </w:p>
        </w:tc>
      </w:tr>
      <w:tr w:rsidR="003966EF" w:rsidRPr="00580705" w14:paraId="643E0339" w14:textId="77777777" w:rsidTr="00B055A3">
        <w:trPr>
          <w:gridBefore w:val="1"/>
          <w:wBefore w:w="26" w:type="dxa"/>
          <w:cantSplit/>
          <w:trHeight w:val="20"/>
        </w:trPr>
        <w:tc>
          <w:tcPr>
            <w:tcW w:w="3481" w:type="dxa"/>
            <w:tcBorders>
              <w:top w:val="nil"/>
              <w:left w:val="nil"/>
              <w:bottom w:val="nil"/>
              <w:right w:val="nil"/>
            </w:tcBorders>
            <w:shd w:val="clear" w:color="auto" w:fill="auto"/>
          </w:tcPr>
          <w:p w14:paraId="4D6D2B9F" w14:textId="4D3EFBE0" w:rsidR="003966EF" w:rsidRPr="006F2C5A" w:rsidRDefault="003966EF" w:rsidP="0048028F">
            <w:pPr>
              <w:suppressAutoHyphens w:val="0"/>
              <w:spacing w:line="240" w:lineRule="auto"/>
              <w:rPr>
                <w:i/>
                <w:iCs/>
                <w:sz w:val="18"/>
                <w:szCs w:val="18"/>
                <w:lang w:val="en-US"/>
              </w:rPr>
            </w:pPr>
            <w:r w:rsidRPr="006F2C5A">
              <w:rPr>
                <w:i/>
                <w:iCs/>
                <w:sz w:val="18"/>
                <w:szCs w:val="18"/>
                <w:lang w:val="en-US"/>
              </w:rPr>
              <w:t>ST/SG/AC.10/C.3/2016/10 (Germany)</w:t>
            </w:r>
          </w:p>
        </w:tc>
        <w:tc>
          <w:tcPr>
            <w:tcW w:w="5500" w:type="dxa"/>
            <w:tcBorders>
              <w:top w:val="nil"/>
              <w:left w:val="nil"/>
              <w:bottom w:val="nil"/>
              <w:right w:val="nil"/>
            </w:tcBorders>
            <w:shd w:val="clear" w:color="auto" w:fill="auto"/>
          </w:tcPr>
          <w:p w14:paraId="702F5E35" w14:textId="0205319A" w:rsidR="003966EF" w:rsidRPr="006F2C5A" w:rsidRDefault="003966EF" w:rsidP="0048028F">
            <w:pPr>
              <w:keepNext/>
              <w:keepLines/>
              <w:suppressAutoHyphens w:val="0"/>
              <w:spacing w:line="240" w:lineRule="auto"/>
              <w:rPr>
                <w:i/>
                <w:iCs/>
                <w:sz w:val="18"/>
                <w:szCs w:val="18"/>
                <w:lang w:val="en-US"/>
              </w:rPr>
            </w:pPr>
            <w:r w:rsidRPr="006F2C5A">
              <w:rPr>
                <w:i/>
                <w:iCs/>
                <w:sz w:val="18"/>
                <w:szCs w:val="18"/>
                <w:lang w:val="en-US"/>
              </w:rPr>
              <w:t>Supporting material for the new design proposal for the standard detonator in the Manual of Tests and Criteria</w:t>
            </w:r>
          </w:p>
        </w:tc>
      </w:tr>
      <w:tr w:rsidR="003966EF" w:rsidRPr="00580705" w14:paraId="12EFEC08" w14:textId="77777777" w:rsidTr="00B055A3">
        <w:trPr>
          <w:gridBefore w:val="1"/>
          <w:wBefore w:w="26" w:type="dxa"/>
          <w:cantSplit/>
          <w:trHeight w:val="20"/>
        </w:trPr>
        <w:tc>
          <w:tcPr>
            <w:tcW w:w="3481" w:type="dxa"/>
            <w:tcBorders>
              <w:top w:val="nil"/>
              <w:left w:val="nil"/>
              <w:right w:val="nil"/>
            </w:tcBorders>
            <w:shd w:val="clear" w:color="auto" w:fill="auto"/>
          </w:tcPr>
          <w:p w14:paraId="3A0E982B" w14:textId="51A30FE7" w:rsidR="003966EF" w:rsidRPr="006F2C5A" w:rsidRDefault="003966EF" w:rsidP="0048028F">
            <w:pPr>
              <w:tabs>
                <w:tab w:val="left" w:pos="176"/>
              </w:tabs>
              <w:suppressAutoHyphens w:val="0"/>
              <w:spacing w:line="240" w:lineRule="auto"/>
              <w:ind w:left="173"/>
              <w:rPr>
                <w:i/>
                <w:iCs/>
                <w:sz w:val="18"/>
                <w:szCs w:val="18"/>
                <w:lang w:val="en-US"/>
              </w:rPr>
            </w:pPr>
            <w:r w:rsidRPr="006F2C5A">
              <w:rPr>
                <w:i/>
                <w:iCs/>
                <w:sz w:val="18"/>
                <w:szCs w:val="18"/>
                <w:lang w:val="en-US"/>
              </w:rPr>
              <w:t>UN/SCETDG/49/INF.36 (IME)</w:t>
            </w:r>
          </w:p>
        </w:tc>
        <w:tc>
          <w:tcPr>
            <w:tcW w:w="5500" w:type="dxa"/>
            <w:tcBorders>
              <w:top w:val="nil"/>
              <w:left w:val="nil"/>
              <w:right w:val="nil"/>
            </w:tcBorders>
            <w:shd w:val="clear" w:color="auto" w:fill="auto"/>
          </w:tcPr>
          <w:p w14:paraId="5CF08A21" w14:textId="3CD10885" w:rsidR="003966EF" w:rsidRPr="006F2C5A" w:rsidRDefault="003966EF" w:rsidP="0048028F">
            <w:pPr>
              <w:keepNext/>
              <w:keepLines/>
              <w:suppressAutoHyphens w:val="0"/>
              <w:spacing w:line="240" w:lineRule="auto"/>
              <w:ind w:left="173"/>
              <w:rPr>
                <w:i/>
                <w:iCs/>
                <w:sz w:val="18"/>
                <w:szCs w:val="18"/>
                <w:lang w:val="en-US"/>
              </w:rPr>
            </w:pPr>
            <w:r w:rsidRPr="006F2C5A">
              <w:rPr>
                <w:i/>
                <w:iCs/>
                <w:sz w:val="18"/>
                <w:szCs w:val="18"/>
                <w:lang w:val="en-US"/>
              </w:rPr>
              <w:t>Design proposal for the standard detonator in the Manual of Tests and Criteria</w:t>
            </w:r>
          </w:p>
        </w:tc>
      </w:tr>
      <w:tr w:rsidR="009D2525" w:rsidRPr="00ED0D85" w14:paraId="6BD0A37E" w14:textId="77777777" w:rsidTr="00B055A3">
        <w:trPr>
          <w:gridBefore w:val="1"/>
          <w:wBefore w:w="26" w:type="dxa"/>
          <w:cantSplit/>
          <w:trHeight w:val="20"/>
        </w:trPr>
        <w:tc>
          <w:tcPr>
            <w:tcW w:w="3481" w:type="dxa"/>
            <w:tcBorders>
              <w:top w:val="nil"/>
              <w:left w:val="nil"/>
              <w:bottom w:val="nil"/>
              <w:right w:val="nil"/>
            </w:tcBorders>
            <w:shd w:val="clear" w:color="auto" w:fill="auto"/>
          </w:tcPr>
          <w:p w14:paraId="44E0C79F" w14:textId="18419CCD" w:rsidR="009D2525" w:rsidRPr="006F2C5A" w:rsidRDefault="009D2525" w:rsidP="0048028F">
            <w:pPr>
              <w:suppressAutoHyphens w:val="0"/>
              <w:spacing w:line="240" w:lineRule="auto"/>
              <w:rPr>
                <w:i/>
                <w:iCs/>
                <w:sz w:val="18"/>
                <w:szCs w:val="18"/>
                <w:lang w:val="en-US"/>
              </w:rPr>
            </w:pPr>
            <w:r w:rsidRPr="006F2C5A">
              <w:rPr>
                <w:i/>
                <w:iCs/>
                <w:sz w:val="18"/>
                <w:szCs w:val="18"/>
                <w:lang w:val="en-US"/>
              </w:rPr>
              <w:t>ST/SG/AC.10/C.3/2016/13 (France)</w:t>
            </w:r>
          </w:p>
        </w:tc>
        <w:tc>
          <w:tcPr>
            <w:tcW w:w="5500" w:type="dxa"/>
            <w:tcBorders>
              <w:top w:val="nil"/>
              <w:left w:val="nil"/>
              <w:bottom w:val="nil"/>
              <w:right w:val="nil"/>
            </w:tcBorders>
            <w:shd w:val="clear" w:color="auto" w:fill="auto"/>
          </w:tcPr>
          <w:p w14:paraId="7E5707BC" w14:textId="5E59B441" w:rsidR="009D2525" w:rsidRPr="006F2C5A" w:rsidRDefault="009D2525" w:rsidP="0048028F">
            <w:pPr>
              <w:keepNext/>
              <w:keepLines/>
              <w:suppressAutoHyphens w:val="0"/>
              <w:spacing w:line="240" w:lineRule="auto"/>
              <w:rPr>
                <w:i/>
                <w:iCs/>
                <w:sz w:val="18"/>
                <w:szCs w:val="18"/>
                <w:lang w:val="en-US"/>
              </w:rPr>
            </w:pPr>
            <w:r w:rsidRPr="006F2C5A">
              <w:rPr>
                <w:i/>
                <w:iCs/>
                <w:sz w:val="18"/>
                <w:szCs w:val="18"/>
                <w:lang w:val="en-US"/>
              </w:rPr>
              <w:t xml:space="preserve">Proposal for replacing </w:t>
            </w:r>
            <w:proofErr w:type="spellStart"/>
            <w:r w:rsidRPr="006F2C5A">
              <w:rPr>
                <w:i/>
                <w:iCs/>
                <w:sz w:val="18"/>
                <w:szCs w:val="18"/>
                <w:lang w:val="en-US"/>
              </w:rPr>
              <w:t>dibutyl</w:t>
            </w:r>
            <w:proofErr w:type="spellEnd"/>
            <w:r w:rsidRPr="006F2C5A">
              <w:rPr>
                <w:i/>
                <w:iCs/>
                <w:sz w:val="18"/>
                <w:szCs w:val="18"/>
                <w:lang w:val="en-US"/>
              </w:rPr>
              <w:t xml:space="preserve"> phthalate (DBP) in </w:t>
            </w:r>
            <w:proofErr w:type="spellStart"/>
            <w:r w:rsidRPr="006F2C5A">
              <w:rPr>
                <w:i/>
                <w:iCs/>
                <w:sz w:val="18"/>
                <w:szCs w:val="18"/>
                <w:lang w:val="en-US"/>
              </w:rPr>
              <w:t>Koenen</w:t>
            </w:r>
            <w:proofErr w:type="spellEnd"/>
            <w:r w:rsidRPr="006F2C5A">
              <w:rPr>
                <w:i/>
                <w:iCs/>
                <w:sz w:val="18"/>
                <w:szCs w:val="18"/>
                <w:lang w:val="en-US"/>
              </w:rPr>
              <w:t xml:space="preserve"> Test</w:t>
            </w:r>
          </w:p>
        </w:tc>
      </w:tr>
      <w:tr w:rsidR="001877B1" w:rsidRPr="00ED0D85" w14:paraId="5A10D6CB" w14:textId="77777777" w:rsidTr="008F0E8A">
        <w:trPr>
          <w:gridBefore w:val="1"/>
          <w:wBefore w:w="26" w:type="dxa"/>
          <w:cantSplit/>
          <w:trHeight w:val="20"/>
        </w:trPr>
        <w:tc>
          <w:tcPr>
            <w:tcW w:w="3481" w:type="dxa"/>
            <w:tcBorders>
              <w:top w:val="nil"/>
              <w:left w:val="nil"/>
              <w:bottom w:val="nil"/>
              <w:right w:val="nil"/>
            </w:tcBorders>
            <w:shd w:val="clear" w:color="auto" w:fill="auto"/>
          </w:tcPr>
          <w:p w14:paraId="35AA942E" w14:textId="77777777" w:rsidR="001877B1" w:rsidRPr="006F2C5A" w:rsidRDefault="001877B1" w:rsidP="008F0E8A">
            <w:pPr>
              <w:suppressAutoHyphens w:val="0"/>
              <w:spacing w:line="240" w:lineRule="auto"/>
              <w:rPr>
                <w:i/>
                <w:iCs/>
                <w:sz w:val="18"/>
                <w:szCs w:val="18"/>
                <w:lang w:val="en-US"/>
              </w:rPr>
            </w:pPr>
            <w:r w:rsidRPr="006F2C5A">
              <w:rPr>
                <w:i/>
                <w:iCs/>
                <w:sz w:val="18"/>
                <w:szCs w:val="18"/>
                <w:lang w:val="en-US"/>
              </w:rPr>
              <w:lastRenderedPageBreak/>
              <w:t>UN/SCETDG/49/INF.34 (Spain)</w:t>
            </w:r>
          </w:p>
        </w:tc>
        <w:tc>
          <w:tcPr>
            <w:tcW w:w="5500" w:type="dxa"/>
            <w:tcBorders>
              <w:top w:val="nil"/>
              <w:left w:val="nil"/>
              <w:bottom w:val="nil"/>
              <w:right w:val="nil"/>
            </w:tcBorders>
            <w:shd w:val="clear" w:color="auto" w:fill="auto"/>
          </w:tcPr>
          <w:p w14:paraId="6C036A45" w14:textId="77777777" w:rsidR="001877B1" w:rsidRPr="006F2C5A" w:rsidRDefault="001877B1" w:rsidP="008F0E8A">
            <w:pPr>
              <w:keepNext/>
              <w:keepLines/>
              <w:suppressAutoHyphens w:val="0"/>
              <w:spacing w:line="240" w:lineRule="auto"/>
              <w:rPr>
                <w:i/>
                <w:iCs/>
                <w:sz w:val="18"/>
                <w:szCs w:val="18"/>
                <w:lang w:val="en-US"/>
              </w:rPr>
            </w:pPr>
            <w:r w:rsidRPr="006F2C5A">
              <w:rPr>
                <w:i/>
                <w:iCs/>
                <w:sz w:val="18"/>
                <w:szCs w:val="18"/>
                <w:lang w:val="en-US"/>
              </w:rPr>
              <w:t>Temperature Influence on Minimum Burning Pressure for Ammonium Nitrate Emulsions (ANEs)</w:t>
            </w:r>
          </w:p>
        </w:tc>
      </w:tr>
      <w:tr w:rsidR="009D2525" w:rsidRPr="00ED0D85" w14:paraId="10716BE5" w14:textId="77777777" w:rsidTr="00B055A3">
        <w:trPr>
          <w:gridBefore w:val="1"/>
          <w:wBefore w:w="26" w:type="dxa"/>
          <w:cantSplit/>
          <w:trHeight w:val="20"/>
        </w:trPr>
        <w:tc>
          <w:tcPr>
            <w:tcW w:w="3481" w:type="dxa"/>
            <w:tcBorders>
              <w:top w:val="nil"/>
              <w:left w:val="nil"/>
              <w:bottom w:val="nil"/>
              <w:right w:val="nil"/>
            </w:tcBorders>
            <w:shd w:val="clear" w:color="auto" w:fill="auto"/>
          </w:tcPr>
          <w:p w14:paraId="01255D54" w14:textId="04CF2BFC" w:rsidR="006F1800" w:rsidRPr="006F2C5A" w:rsidRDefault="009D2525" w:rsidP="001877B1">
            <w:pPr>
              <w:suppressAutoHyphens w:val="0"/>
              <w:spacing w:line="240" w:lineRule="auto"/>
              <w:rPr>
                <w:i/>
                <w:iCs/>
                <w:sz w:val="18"/>
                <w:szCs w:val="18"/>
                <w:lang w:val="en-US"/>
              </w:rPr>
            </w:pPr>
            <w:r w:rsidRPr="006F2C5A">
              <w:rPr>
                <w:i/>
                <w:iCs/>
                <w:sz w:val="18"/>
                <w:szCs w:val="18"/>
                <w:lang w:val="en-US"/>
              </w:rPr>
              <w:t>UN/SCETDG/49/INF.</w:t>
            </w:r>
            <w:r w:rsidR="001877B1" w:rsidRPr="006F2C5A">
              <w:rPr>
                <w:i/>
                <w:iCs/>
                <w:sz w:val="18"/>
                <w:szCs w:val="18"/>
                <w:lang w:val="en-US"/>
              </w:rPr>
              <w:t>50</w:t>
            </w:r>
            <w:r w:rsidR="00622F6D" w:rsidRPr="006F2C5A">
              <w:rPr>
                <w:i/>
                <w:iCs/>
                <w:sz w:val="18"/>
                <w:szCs w:val="18"/>
                <w:lang w:val="en-US"/>
              </w:rPr>
              <w:t xml:space="preserve"> (</w:t>
            </w:r>
            <w:r w:rsidR="001877B1" w:rsidRPr="006F2C5A">
              <w:rPr>
                <w:i/>
                <w:iCs/>
                <w:sz w:val="18"/>
                <w:szCs w:val="18"/>
                <w:lang w:val="en-US"/>
              </w:rPr>
              <w:t>Canada</w:t>
            </w:r>
            <w:r w:rsidR="00622F6D" w:rsidRPr="006F2C5A">
              <w:rPr>
                <w:i/>
                <w:iCs/>
                <w:sz w:val="18"/>
                <w:szCs w:val="18"/>
                <w:lang w:val="en-US"/>
              </w:rPr>
              <w:t>)</w:t>
            </w:r>
          </w:p>
          <w:p w14:paraId="772794A7" w14:textId="77777777" w:rsidR="006F1800" w:rsidRPr="006F2C5A" w:rsidRDefault="006F1800" w:rsidP="006F1800">
            <w:pPr>
              <w:rPr>
                <w:sz w:val="18"/>
                <w:szCs w:val="18"/>
                <w:lang w:val="en-US"/>
              </w:rPr>
            </w:pPr>
          </w:p>
          <w:p w14:paraId="1AD7271C" w14:textId="4B04185D" w:rsidR="009D2525" w:rsidRPr="006F2C5A" w:rsidRDefault="009D2525" w:rsidP="006F1800">
            <w:pPr>
              <w:jc w:val="center"/>
              <w:rPr>
                <w:sz w:val="18"/>
                <w:szCs w:val="18"/>
                <w:lang w:val="en-US"/>
              </w:rPr>
            </w:pPr>
          </w:p>
        </w:tc>
        <w:tc>
          <w:tcPr>
            <w:tcW w:w="5500" w:type="dxa"/>
            <w:tcBorders>
              <w:top w:val="nil"/>
              <w:left w:val="nil"/>
              <w:bottom w:val="nil"/>
              <w:right w:val="nil"/>
            </w:tcBorders>
            <w:shd w:val="clear" w:color="auto" w:fill="auto"/>
          </w:tcPr>
          <w:p w14:paraId="117A007D" w14:textId="0665DA7C" w:rsidR="009D2525" w:rsidRPr="006F2C5A" w:rsidRDefault="001877B1" w:rsidP="0048028F">
            <w:pPr>
              <w:keepNext/>
              <w:keepLines/>
              <w:suppressAutoHyphens w:val="0"/>
              <w:spacing w:line="240" w:lineRule="auto"/>
              <w:rPr>
                <w:i/>
                <w:iCs/>
                <w:sz w:val="18"/>
                <w:szCs w:val="18"/>
                <w:lang w:val="en-US"/>
              </w:rPr>
            </w:pPr>
            <w:r w:rsidRPr="006F2C5A">
              <w:rPr>
                <w:i/>
                <w:iCs/>
                <w:sz w:val="18"/>
                <w:szCs w:val="18"/>
                <w:lang w:val="en-US"/>
              </w:rPr>
              <w:t>On the use of the minimum burning pressure test – Test Series 8: Tests for “ammonium nitrate emulsion or suspension or gel, intermediate for blasting explosives (ANE)” – First report on progress – Informal Correspondence Group</w:t>
            </w:r>
          </w:p>
        </w:tc>
      </w:tr>
      <w:tr w:rsidR="006F1800" w:rsidRPr="00ED0D85" w14:paraId="0080DD60" w14:textId="77777777" w:rsidTr="008F0E8A">
        <w:trPr>
          <w:gridBefore w:val="1"/>
          <w:wBefore w:w="26" w:type="dxa"/>
          <w:cantSplit/>
          <w:trHeight w:val="20"/>
        </w:trPr>
        <w:tc>
          <w:tcPr>
            <w:tcW w:w="3481" w:type="dxa"/>
            <w:tcBorders>
              <w:top w:val="nil"/>
              <w:left w:val="nil"/>
              <w:bottom w:val="nil"/>
              <w:right w:val="nil"/>
            </w:tcBorders>
            <w:shd w:val="clear" w:color="auto" w:fill="auto"/>
          </w:tcPr>
          <w:p w14:paraId="48375414" w14:textId="2B1B60A3" w:rsidR="006F1800" w:rsidRPr="006F2C5A" w:rsidRDefault="006F1800" w:rsidP="00CA2FD4">
            <w:pPr>
              <w:suppressAutoHyphens w:val="0"/>
              <w:spacing w:line="240" w:lineRule="auto"/>
              <w:rPr>
                <w:i/>
                <w:iCs/>
                <w:sz w:val="18"/>
                <w:szCs w:val="18"/>
                <w:lang w:val="en-US"/>
              </w:rPr>
            </w:pPr>
            <w:r w:rsidRPr="006F2C5A">
              <w:rPr>
                <w:i/>
                <w:iCs/>
                <w:sz w:val="18"/>
                <w:szCs w:val="18"/>
                <w:lang w:val="en-US"/>
              </w:rPr>
              <w:t>UN/SCETDG/49/INF.</w:t>
            </w:r>
            <w:r w:rsidR="00CA2FD4" w:rsidRPr="006F2C5A">
              <w:rPr>
                <w:i/>
                <w:iCs/>
                <w:sz w:val="18"/>
                <w:szCs w:val="18"/>
                <w:lang w:val="en-US"/>
              </w:rPr>
              <w:t>60</w:t>
            </w:r>
            <w:r w:rsidRPr="006F2C5A">
              <w:rPr>
                <w:i/>
                <w:iCs/>
                <w:sz w:val="18"/>
                <w:szCs w:val="18"/>
                <w:lang w:val="en-US"/>
              </w:rPr>
              <w:t xml:space="preserve"> (AEISG)</w:t>
            </w:r>
          </w:p>
        </w:tc>
        <w:tc>
          <w:tcPr>
            <w:tcW w:w="5500" w:type="dxa"/>
            <w:tcBorders>
              <w:top w:val="nil"/>
              <w:left w:val="nil"/>
              <w:bottom w:val="nil"/>
              <w:right w:val="nil"/>
            </w:tcBorders>
            <w:shd w:val="clear" w:color="auto" w:fill="auto"/>
          </w:tcPr>
          <w:p w14:paraId="0DA14FD9" w14:textId="5083A513" w:rsidR="006F1800" w:rsidRPr="006F2C5A" w:rsidRDefault="00CA2FD4" w:rsidP="008F0E8A">
            <w:pPr>
              <w:keepNext/>
              <w:keepLines/>
              <w:suppressAutoHyphens w:val="0"/>
              <w:spacing w:line="240" w:lineRule="auto"/>
              <w:rPr>
                <w:i/>
                <w:iCs/>
                <w:sz w:val="18"/>
                <w:szCs w:val="18"/>
                <w:lang w:val="en-US"/>
              </w:rPr>
            </w:pPr>
            <w:r w:rsidRPr="006F2C5A">
              <w:rPr>
                <w:i/>
                <w:iCs/>
                <w:sz w:val="18"/>
                <w:szCs w:val="18"/>
                <w:lang w:val="en-US"/>
              </w:rPr>
              <w:t>Parametric Analysis of Test Series 8 and ANE Bulk Transport Containers</w:t>
            </w:r>
          </w:p>
        </w:tc>
      </w:tr>
      <w:tr w:rsidR="00F27965" w:rsidRPr="002C34C6" w14:paraId="48C3D1B5" w14:textId="77777777" w:rsidTr="002C34C6">
        <w:trPr>
          <w:cantSplit/>
          <w:trHeight w:val="20"/>
        </w:trPr>
        <w:tc>
          <w:tcPr>
            <w:tcW w:w="3507" w:type="dxa"/>
            <w:gridSpan w:val="2"/>
            <w:tcBorders>
              <w:top w:val="nil"/>
              <w:left w:val="nil"/>
              <w:bottom w:val="nil"/>
              <w:right w:val="nil"/>
            </w:tcBorders>
            <w:shd w:val="clear" w:color="auto" w:fill="E6E6E6"/>
          </w:tcPr>
          <w:p w14:paraId="161F7EED" w14:textId="77777777" w:rsidR="00F27965" w:rsidRPr="00AF51E4" w:rsidRDefault="00F27965" w:rsidP="0048028F">
            <w:pPr>
              <w:keepNext/>
              <w:suppressAutoHyphens w:val="0"/>
              <w:spacing w:line="240" w:lineRule="auto"/>
              <w:rPr>
                <w:iCs/>
                <w:sz w:val="18"/>
                <w:szCs w:val="18"/>
                <w:u w:val="single"/>
                <w:lang w:val="en-US"/>
              </w:rPr>
            </w:pPr>
            <w:r w:rsidRPr="00AF51E4">
              <w:rPr>
                <w:iCs/>
                <w:sz w:val="18"/>
                <w:szCs w:val="18"/>
                <w:u w:val="single"/>
                <w:lang w:val="en-US"/>
              </w:rPr>
              <w:t>Agenda Item 2(d)</w:t>
            </w:r>
          </w:p>
        </w:tc>
        <w:tc>
          <w:tcPr>
            <w:tcW w:w="5500" w:type="dxa"/>
            <w:tcBorders>
              <w:top w:val="nil"/>
              <w:left w:val="nil"/>
              <w:bottom w:val="nil"/>
              <w:right w:val="nil"/>
            </w:tcBorders>
            <w:shd w:val="clear" w:color="auto" w:fill="E6E6E6"/>
          </w:tcPr>
          <w:p w14:paraId="51551999" w14:textId="77777777" w:rsidR="00F27965" w:rsidRPr="00AF51E4" w:rsidRDefault="00022AFF" w:rsidP="0048028F">
            <w:pPr>
              <w:keepNext/>
              <w:suppressAutoHyphens w:val="0"/>
              <w:spacing w:line="240" w:lineRule="auto"/>
              <w:rPr>
                <w:iCs/>
                <w:sz w:val="18"/>
                <w:szCs w:val="18"/>
                <w:u w:val="single"/>
                <w:lang w:val="en-US"/>
              </w:rPr>
            </w:pPr>
            <w:r w:rsidRPr="00AF51E4">
              <w:rPr>
                <w:iCs/>
                <w:sz w:val="18"/>
                <w:szCs w:val="18"/>
                <w:u w:val="single"/>
                <w:lang w:val="en-US"/>
              </w:rPr>
              <w:t>Review of packing instructions for explosives</w:t>
            </w:r>
          </w:p>
        </w:tc>
      </w:tr>
      <w:tr w:rsidR="00137508" w:rsidRPr="00137508" w14:paraId="2B981CB7" w14:textId="77777777" w:rsidTr="002C34C6">
        <w:trPr>
          <w:gridBefore w:val="1"/>
          <w:wBefore w:w="26" w:type="dxa"/>
          <w:cantSplit/>
          <w:trHeight w:val="20"/>
        </w:trPr>
        <w:tc>
          <w:tcPr>
            <w:tcW w:w="3481" w:type="dxa"/>
            <w:tcBorders>
              <w:top w:val="nil"/>
              <w:left w:val="nil"/>
              <w:right w:val="nil"/>
            </w:tcBorders>
            <w:shd w:val="clear" w:color="auto" w:fill="auto"/>
          </w:tcPr>
          <w:p w14:paraId="1B50DF67" w14:textId="77777777" w:rsidR="00137508" w:rsidRPr="00AF51E4" w:rsidRDefault="00A11A71" w:rsidP="0048028F">
            <w:pPr>
              <w:keepNext/>
              <w:suppressAutoHyphens w:val="0"/>
              <w:spacing w:line="240" w:lineRule="auto"/>
              <w:rPr>
                <w:i/>
                <w:iCs/>
                <w:sz w:val="18"/>
                <w:szCs w:val="18"/>
                <w:lang w:val="en-US"/>
              </w:rPr>
            </w:pPr>
            <w:r w:rsidRPr="00AF51E4">
              <w:rPr>
                <w:i/>
                <w:iCs/>
                <w:sz w:val="18"/>
                <w:szCs w:val="18"/>
                <w:lang w:val="en-US"/>
              </w:rPr>
              <w:t>No documents</w:t>
            </w:r>
          </w:p>
        </w:tc>
        <w:tc>
          <w:tcPr>
            <w:tcW w:w="5500" w:type="dxa"/>
            <w:tcBorders>
              <w:top w:val="nil"/>
              <w:left w:val="nil"/>
              <w:right w:val="nil"/>
            </w:tcBorders>
            <w:shd w:val="clear" w:color="auto" w:fill="auto"/>
          </w:tcPr>
          <w:p w14:paraId="0897334F" w14:textId="77777777" w:rsidR="00137508" w:rsidRPr="00AF51E4" w:rsidRDefault="00137508" w:rsidP="0048028F">
            <w:pPr>
              <w:keepNext/>
              <w:suppressAutoHyphens w:val="0"/>
              <w:spacing w:line="240" w:lineRule="auto"/>
              <w:rPr>
                <w:i/>
                <w:iCs/>
                <w:sz w:val="18"/>
                <w:szCs w:val="18"/>
                <w:lang w:val="en-US"/>
              </w:rPr>
            </w:pPr>
          </w:p>
        </w:tc>
      </w:tr>
      <w:tr w:rsidR="009D2525" w:rsidRPr="002C34C6" w14:paraId="7870C668" w14:textId="77777777" w:rsidTr="00B055A3">
        <w:trPr>
          <w:cantSplit/>
          <w:trHeight w:val="20"/>
        </w:trPr>
        <w:tc>
          <w:tcPr>
            <w:tcW w:w="3507" w:type="dxa"/>
            <w:gridSpan w:val="2"/>
            <w:tcBorders>
              <w:top w:val="nil"/>
              <w:left w:val="nil"/>
              <w:bottom w:val="nil"/>
              <w:right w:val="nil"/>
            </w:tcBorders>
            <w:shd w:val="clear" w:color="auto" w:fill="E6E6E6"/>
          </w:tcPr>
          <w:p w14:paraId="7D1304DA" w14:textId="34478B9D" w:rsidR="009D2525" w:rsidRPr="00AF51E4" w:rsidRDefault="009D2525" w:rsidP="0048028F">
            <w:pPr>
              <w:keepNext/>
              <w:suppressAutoHyphens w:val="0"/>
              <w:spacing w:line="240" w:lineRule="auto"/>
              <w:rPr>
                <w:iCs/>
                <w:sz w:val="18"/>
                <w:szCs w:val="18"/>
                <w:u w:val="single"/>
                <w:lang w:val="en-US"/>
              </w:rPr>
            </w:pPr>
            <w:r w:rsidRPr="00AF51E4">
              <w:rPr>
                <w:iCs/>
                <w:sz w:val="18"/>
                <w:szCs w:val="18"/>
                <w:u w:val="single"/>
                <w:lang w:val="en-US"/>
              </w:rPr>
              <w:t>Agenda Item 2(</w:t>
            </w:r>
            <w:r>
              <w:rPr>
                <w:iCs/>
                <w:sz w:val="18"/>
                <w:szCs w:val="18"/>
                <w:u w:val="single"/>
                <w:lang w:val="en-US"/>
              </w:rPr>
              <w:t>e</w:t>
            </w:r>
            <w:r w:rsidRPr="00AF51E4">
              <w:rPr>
                <w:iCs/>
                <w:sz w:val="18"/>
                <w:szCs w:val="18"/>
                <w:u w:val="single"/>
                <w:lang w:val="en-US"/>
              </w:rPr>
              <w:t>)</w:t>
            </w:r>
          </w:p>
        </w:tc>
        <w:tc>
          <w:tcPr>
            <w:tcW w:w="5500" w:type="dxa"/>
            <w:tcBorders>
              <w:top w:val="nil"/>
              <w:left w:val="nil"/>
              <w:bottom w:val="nil"/>
              <w:right w:val="nil"/>
            </w:tcBorders>
            <w:shd w:val="clear" w:color="auto" w:fill="E6E6E6"/>
          </w:tcPr>
          <w:p w14:paraId="5DAE07DE" w14:textId="55212CD0" w:rsidR="009D2525" w:rsidRPr="00AF51E4" w:rsidRDefault="009D2525" w:rsidP="0048028F">
            <w:pPr>
              <w:suppressAutoHyphens w:val="0"/>
              <w:spacing w:line="240" w:lineRule="auto"/>
              <w:rPr>
                <w:iCs/>
                <w:sz w:val="18"/>
                <w:szCs w:val="18"/>
                <w:u w:val="single"/>
                <w:lang w:val="en-US"/>
              </w:rPr>
            </w:pPr>
            <w:r w:rsidRPr="009D2525">
              <w:rPr>
                <w:iCs/>
                <w:sz w:val="18"/>
                <w:szCs w:val="18"/>
                <w:u w:val="single"/>
                <w:lang w:val="en-US"/>
              </w:rPr>
              <w:t>Globally Harmonized standard for explosives security markings</w:t>
            </w:r>
          </w:p>
        </w:tc>
      </w:tr>
      <w:tr w:rsidR="009D2525" w:rsidRPr="00ED0D85" w14:paraId="6EBCE4ED" w14:textId="77777777" w:rsidTr="00B055A3">
        <w:trPr>
          <w:gridBefore w:val="1"/>
          <w:wBefore w:w="26" w:type="dxa"/>
          <w:cantSplit/>
          <w:trHeight w:val="20"/>
        </w:trPr>
        <w:tc>
          <w:tcPr>
            <w:tcW w:w="3481" w:type="dxa"/>
            <w:tcBorders>
              <w:top w:val="nil"/>
              <w:left w:val="nil"/>
              <w:bottom w:val="nil"/>
              <w:right w:val="nil"/>
            </w:tcBorders>
            <w:shd w:val="clear" w:color="auto" w:fill="auto"/>
          </w:tcPr>
          <w:p w14:paraId="42326ED7" w14:textId="08F243EB" w:rsidR="009D2525" w:rsidRPr="006F2C5A" w:rsidRDefault="009D2525" w:rsidP="0048028F">
            <w:pPr>
              <w:keepNext/>
              <w:keepLines/>
              <w:suppressAutoHyphens w:val="0"/>
              <w:spacing w:line="240" w:lineRule="auto"/>
              <w:rPr>
                <w:i/>
                <w:iCs/>
                <w:sz w:val="18"/>
                <w:szCs w:val="18"/>
                <w:lang w:val="en-US"/>
              </w:rPr>
            </w:pPr>
            <w:r w:rsidRPr="006F2C5A">
              <w:rPr>
                <w:i/>
                <w:iCs/>
                <w:sz w:val="18"/>
                <w:szCs w:val="18"/>
                <w:lang w:val="en-US"/>
              </w:rPr>
              <w:t>UN/SCETDG/49/INF.35 (IME)</w:t>
            </w:r>
          </w:p>
        </w:tc>
        <w:tc>
          <w:tcPr>
            <w:tcW w:w="5500" w:type="dxa"/>
            <w:tcBorders>
              <w:top w:val="nil"/>
              <w:left w:val="nil"/>
              <w:bottom w:val="nil"/>
              <w:right w:val="nil"/>
            </w:tcBorders>
            <w:shd w:val="clear" w:color="auto" w:fill="auto"/>
          </w:tcPr>
          <w:p w14:paraId="23D2F2E4" w14:textId="3A905586" w:rsidR="009D2525" w:rsidRPr="006F2C5A" w:rsidRDefault="009D2525" w:rsidP="0048028F">
            <w:pPr>
              <w:keepNext/>
              <w:keepLines/>
              <w:suppressAutoHyphens w:val="0"/>
              <w:spacing w:line="240" w:lineRule="auto"/>
              <w:rPr>
                <w:i/>
                <w:iCs/>
                <w:sz w:val="18"/>
                <w:szCs w:val="18"/>
                <w:lang w:val="en-US"/>
              </w:rPr>
            </w:pPr>
            <w:r w:rsidRPr="006F2C5A">
              <w:rPr>
                <w:i/>
                <w:iCs/>
                <w:sz w:val="18"/>
                <w:szCs w:val="18"/>
                <w:lang w:val="en-US"/>
              </w:rPr>
              <w:t>Globally harmonized standard for explosives security markings</w:t>
            </w:r>
          </w:p>
        </w:tc>
      </w:tr>
      <w:tr w:rsidR="00F30C8A" w:rsidRPr="002C34C6" w14:paraId="777970DC" w14:textId="77777777" w:rsidTr="0009296B">
        <w:trPr>
          <w:cantSplit/>
          <w:trHeight w:val="20"/>
        </w:trPr>
        <w:tc>
          <w:tcPr>
            <w:tcW w:w="3507" w:type="dxa"/>
            <w:gridSpan w:val="2"/>
            <w:tcBorders>
              <w:top w:val="nil"/>
              <w:left w:val="nil"/>
              <w:bottom w:val="nil"/>
              <w:right w:val="nil"/>
            </w:tcBorders>
            <w:shd w:val="clear" w:color="auto" w:fill="E6E6E6"/>
          </w:tcPr>
          <w:p w14:paraId="4DA47F41" w14:textId="77777777" w:rsidR="00F30C8A" w:rsidRPr="00AF51E4" w:rsidRDefault="00F30C8A" w:rsidP="0048028F">
            <w:pPr>
              <w:suppressAutoHyphens w:val="0"/>
              <w:spacing w:line="240" w:lineRule="auto"/>
              <w:rPr>
                <w:iCs/>
                <w:sz w:val="18"/>
                <w:szCs w:val="18"/>
                <w:u w:val="single"/>
                <w:lang w:val="en-US"/>
              </w:rPr>
            </w:pPr>
            <w:r w:rsidRPr="00AF51E4">
              <w:rPr>
                <w:iCs/>
                <w:sz w:val="18"/>
                <w:szCs w:val="18"/>
                <w:u w:val="single"/>
                <w:lang w:val="en-US"/>
              </w:rPr>
              <w:t>Agenda Item 2(</w:t>
            </w:r>
            <w:r w:rsidR="00084D84" w:rsidRPr="00AF51E4">
              <w:rPr>
                <w:iCs/>
                <w:sz w:val="18"/>
                <w:szCs w:val="18"/>
                <w:u w:val="single"/>
                <w:lang w:val="en-US"/>
              </w:rPr>
              <w:t>f</w:t>
            </w:r>
            <w:r w:rsidRPr="00AF51E4">
              <w:rPr>
                <w:iCs/>
                <w:sz w:val="18"/>
                <w:szCs w:val="18"/>
                <w:u w:val="single"/>
                <w:lang w:val="en-US"/>
              </w:rPr>
              <w:t>)</w:t>
            </w:r>
          </w:p>
        </w:tc>
        <w:tc>
          <w:tcPr>
            <w:tcW w:w="5500" w:type="dxa"/>
            <w:tcBorders>
              <w:top w:val="nil"/>
              <w:left w:val="nil"/>
              <w:bottom w:val="nil"/>
              <w:right w:val="nil"/>
            </w:tcBorders>
            <w:shd w:val="clear" w:color="auto" w:fill="E6E6E6"/>
          </w:tcPr>
          <w:p w14:paraId="3AB2C697" w14:textId="77777777" w:rsidR="00F30C8A" w:rsidRPr="00AF51E4" w:rsidRDefault="00084D84" w:rsidP="0048028F">
            <w:pPr>
              <w:suppressAutoHyphens w:val="0"/>
              <w:spacing w:line="240" w:lineRule="auto"/>
              <w:rPr>
                <w:iCs/>
                <w:sz w:val="18"/>
                <w:szCs w:val="18"/>
                <w:u w:val="single"/>
                <w:lang w:val="en-US"/>
              </w:rPr>
            </w:pPr>
            <w:r w:rsidRPr="00AF51E4">
              <w:rPr>
                <w:iCs/>
                <w:sz w:val="18"/>
                <w:szCs w:val="18"/>
                <w:u w:val="single"/>
                <w:lang w:val="en-US"/>
              </w:rPr>
              <w:t>Classification of fireworks</w:t>
            </w:r>
          </w:p>
        </w:tc>
      </w:tr>
      <w:tr w:rsidR="00F30C8A" w:rsidRPr="00F938DA" w14:paraId="0F8E5D0D" w14:textId="77777777" w:rsidTr="0009296B">
        <w:trPr>
          <w:gridBefore w:val="1"/>
          <w:wBefore w:w="26" w:type="dxa"/>
          <w:cantSplit/>
          <w:trHeight w:val="20"/>
        </w:trPr>
        <w:tc>
          <w:tcPr>
            <w:tcW w:w="3481" w:type="dxa"/>
            <w:tcBorders>
              <w:top w:val="nil"/>
              <w:left w:val="nil"/>
              <w:right w:val="nil"/>
            </w:tcBorders>
            <w:shd w:val="clear" w:color="auto" w:fill="auto"/>
          </w:tcPr>
          <w:p w14:paraId="08EB983E" w14:textId="77777777" w:rsidR="00F30C8A" w:rsidRPr="00AF51E4" w:rsidRDefault="00A11A71" w:rsidP="0048028F">
            <w:pPr>
              <w:suppressAutoHyphens w:val="0"/>
              <w:spacing w:line="240" w:lineRule="auto"/>
              <w:rPr>
                <w:i/>
                <w:iCs/>
                <w:sz w:val="18"/>
                <w:szCs w:val="18"/>
                <w:lang w:val="en-US"/>
              </w:rPr>
            </w:pPr>
            <w:r w:rsidRPr="00AF51E4">
              <w:rPr>
                <w:i/>
                <w:iCs/>
                <w:sz w:val="18"/>
                <w:szCs w:val="18"/>
                <w:lang w:val="en-US"/>
              </w:rPr>
              <w:t>No documents</w:t>
            </w:r>
          </w:p>
        </w:tc>
        <w:tc>
          <w:tcPr>
            <w:tcW w:w="5500" w:type="dxa"/>
            <w:tcBorders>
              <w:top w:val="nil"/>
              <w:left w:val="nil"/>
              <w:right w:val="nil"/>
            </w:tcBorders>
            <w:shd w:val="clear" w:color="auto" w:fill="auto"/>
          </w:tcPr>
          <w:p w14:paraId="513C40CA" w14:textId="77777777" w:rsidR="00F30C8A" w:rsidRPr="00AF51E4" w:rsidRDefault="00F30C8A" w:rsidP="0048028F">
            <w:pPr>
              <w:keepNext/>
              <w:suppressAutoHyphens w:val="0"/>
              <w:spacing w:line="240" w:lineRule="auto"/>
              <w:rPr>
                <w:i/>
                <w:iCs/>
                <w:sz w:val="18"/>
                <w:szCs w:val="18"/>
                <w:lang w:val="en-US"/>
              </w:rPr>
            </w:pPr>
          </w:p>
        </w:tc>
      </w:tr>
      <w:tr w:rsidR="00F30C8A" w:rsidRPr="002C34C6" w14:paraId="26AF89D6" w14:textId="77777777" w:rsidTr="0009296B">
        <w:trPr>
          <w:cantSplit/>
          <w:trHeight w:val="20"/>
        </w:trPr>
        <w:tc>
          <w:tcPr>
            <w:tcW w:w="3507" w:type="dxa"/>
            <w:gridSpan w:val="2"/>
            <w:tcBorders>
              <w:top w:val="nil"/>
              <w:left w:val="nil"/>
              <w:bottom w:val="nil"/>
              <w:right w:val="nil"/>
            </w:tcBorders>
            <w:shd w:val="clear" w:color="auto" w:fill="E6E6E6"/>
          </w:tcPr>
          <w:p w14:paraId="63948321" w14:textId="77777777" w:rsidR="00F30C8A" w:rsidRPr="00AF51E4" w:rsidRDefault="00F30C8A" w:rsidP="0048028F">
            <w:pPr>
              <w:keepNext/>
              <w:suppressAutoHyphens w:val="0"/>
              <w:spacing w:line="240" w:lineRule="auto"/>
              <w:rPr>
                <w:iCs/>
                <w:sz w:val="18"/>
                <w:szCs w:val="18"/>
                <w:u w:val="single"/>
                <w:lang w:val="en-US"/>
              </w:rPr>
            </w:pPr>
            <w:r w:rsidRPr="00AF51E4">
              <w:rPr>
                <w:iCs/>
                <w:sz w:val="18"/>
                <w:szCs w:val="18"/>
                <w:u w:val="single"/>
                <w:lang w:val="en-US"/>
              </w:rPr>
              <w:t>Agenda Item 2(</w:t>
            </w:r>
            <w:r w:rsidR="00084D84" w:rsidRPr="00AF51E4">
              <w:rPr>
                <w:iCs/>
                <w:sz w:val="18"/>
                <w:szCs w:val="18"/>
                <w:u w:val="single"/>
                <w:lang w:val="en-US"/>
              </w:rPr>
              <w:t>g</w:t>
            </w:r>
            <w:r w:rsidRPr="00AF51E4">
              <w:rPr>
                <w:iCs/>
                <w:sz w:val="18"/>
                <w:szCs w:val="18"/>
                <w:u w:val="single"/>
                <w:lang w:val="en-US"/>
              </w:rPr>
              <w:t>)</w:t>
            </w:r>
          </w:p>
        </w:tc>
        <w:tc>
          <w:tcPr>
            <w:tcW w:w="5500" w:type="dxa"/>
            <w:tcBorders>
              <w:top w:val="nil"/>
              <w:left w:val="nil"/>
              <w:bottom w:val="nil"/>
              <w:right w:val="nil"/>
            </w:tcBorders>
            <w:shd w:val="clear" w:color="auto" w:fill="E6E6E6"/>
          </w:tcPr>
          <w:p w14:paraId="537766CC" w14:textId="77777777" w:rsidR="00F30C8A" w:rsidRPr="00AF51E4" w:rsidRDefault="00084D84" w:rsidP="0048028F">
            <w:pPr>
              <w:suppressAutoHyphens w:val="0"/>
              <w:spacing w:line="240" w:lineRule="auto"/>
              <w:rPr>
                <w:iCs/>
                <w:sz w:val="18"/>
                <w:szCs w:val="18"/>
                <w:u w:val="single"/>
                <w:lang w:val="en-US"/>
              </w:rPr>
            </w:pPr>
            <w:r w:rsidRPr="00AF51E4">
              <w:rPr>
                <w:iCs/>
                <w:sz w:val="18"/>
                <w:szCs w:val="18"/>
                <w:u w:val="single"/>
                <w:lang w:val="en-US"/>
              </w:rPr>
              <w:t>Classification of articles under UN 0349</w:t>
            </w:r>
          </w:p>
        </w:tc>
      </w:tr>
      <w:tr w:rsidR="00572E52" w:rsidRPr="00F938DA" w14:paraId="0D9FC6C2" w14:textId="77777777" w:rsidTr="00B055A3">
        <w:trPr>
          <w:gridBefore w:val="1"/>
          <w:wBefore w:w="26" w:type="dxa"/>
          <w:cantSplit/>
          <w:trHeight w:val="20"/>
        </w:trPr>
        <w:tc>
          <w:tcPr>
            <w:tcW w:w="3481" w:type="dxa"/>
            <w:tcBorders>
              <w:top w:val="nil"/>
              <w:left w:val="nil"/>
              <w:right w:val="nil"/>
            </w:tcBorders>
            <w:shd w:val="clear" w:color="auto" w:fill="auto"/>
          </w:tcPr>
          <w:p w14:paraId="680AD495" w14:textId="77777777" w:rsidR="00572E52" w:rsidRPr="00AF51E4" w:rsidRDefault="00572E52" w:rsidP="0048028F">
            <w:pPr>
              <w:suppressAutoHyphens w:val="0"/>
              <w:spacing w:line="240" w:lineRule="auto"/>
              <w:rPr>
                <w:i/>
                <w:iCs/>
                <w:sz w:val="18"/>
                <w:szCs w:val="18"/>
                <w:lang w:val="en-US"/>
              </w:rPr>
            </w:pPr>
            <w:r w:rsidRPr="00AF51E4">
              <w:rPr>
                <w:i/>
                <w:iCs/>
                <w:sz w:val="18"/>
                <w:szCs w:val="18"/>
                <w:lang w:val="en-US"/>
              </w:rPr>
              <w:t>No documents</w:t>
            </w:r>
          </w:p>
        </w:tc>
        <w:tc>
          <w:tcPr>
            <w:tcW w:w="5500" w:type="dxa"/>
            <w:tcBorders>
              <w:top w:val="nil"/>
              <w:left w:val="nil"/>
              <w:right w:val="nil"/>
            </w:tcBorders>
            <w:shd w:val="clear" w:color="auto" w:fill="auto"/>
          </w:tcPr>
          <w:p w14:paraId="028A45AE" w14:textId="77777777" w:rsidR="00572E52" w:rsidRPr="00AF51E4" w:rsidRDefault="00572E52" w:rsidP="0048028F">
            <w:pPr>
              <w:keepNext/>
              <w:suppressAutoHyphens w:val="0"/>
              <w:spacing w:line="240" w:lineRule="auto"/>
              <w:rPr>
                <w:i/>
                <w:iCs/>
                <w:sz w:val="18"/>
                <w:szCs w:val="18"/>
                <w:lang w:val="en-US"/>
              </w:rPr>
            </w:pPr>
          </w:p>
        </w:tc>
      </w:tr>
      <w:tr w:rsidR="00F30C8A" w:rsidRPr="002C34C6" w14:paraId="42EB7D1E" w14:textId="77777777" w:rsidTr="0009296B">
        <w:trPr>
          <w:cantSplit/>
          <w:trHeight w:val="20"/>
        </w:trPr>
        <w:tc>
          <w:tcPr>
            <w:tcW w:w="3507" w:type="dxa"/>
            <w:gridSpan w:val="2"/>
            <w:tcBorders>
              <w:top w:val="nil"/>
              <w:left w:val="nil"/>
              <w:bottom w:val="nil"/>
              <w:right w:val="nil"/>
            </w:tcBorders>
            <w:shd w:val="clear" w:color="auto" w:fill="E6E6E6"/>
          </w:tcPr>
          <w:p w14:paraId="3A725F0A" w14:textId="77777777" w:rsidR="00F30C8A" w:rsidRPr="00AF51E4" w:rsidRDefault="00F30C8A" w:rsidP="0048028F">
            <w:pPr>
              <w:suppressAutoHyphens w:val="0"/>
              <w:spacing w:line="240" w:lineRule="auto"/>
              <w:rPr>
                <w:iCs/>
                <w:sz w:val="18"/>
                <w:szCs w:val="18"/>
                <w:u w:val="single"/>
                <w:lang w:val="en-US"/>
              </w:rPr>
            </w:pPr>
            <w:r w:rsidRPr="00AF51E4">
              <w:rPr>
                <w:iCs/>
                <w:sz w:val="18"/>
                <w:szCs w:val="18"/>
                <w:u w:val="single"/>
                <w:lang w:val="en-US"/>
              </w:rPr>
              <w:t>Agenda Item 2(</w:t>
            </w:r>
            <w:r w:rsidR="00084D84" w:rsidRPr="00AF51E4">
              <w:rPr>
                <w:iCs/>
                <w:sz w:val="18"/>
                <w:szCs w:val="18"/>
                <w:u w:val="single"/>
                <w:lang w:val="en-US"/>
              </w:rPr>
              <w:t>h</w:t>
            </w:r>
            <w:r w:rsidRPr="00AF51E4">
              <w:rPr>
                <w:iCs/>
                <w:sz w:val="18"/>
                <w:szCs w:val="18"/>
                <w:u w:val="single"/>
                <w:lang w:val="en-US"/>
              </w:rPr>
              <w:t>)</w:t>
            </w:r>
          </w:p>
        </w:tc>
        <w:tc>
          <w:tcPr>
            <w:tcW w:w="5500" w:type="dxa"/>
            <w:tcBorders>
              <w:top w:val="nil"/>
              <w:left w:val="nil"/>
              <w:bottom w:val="nil"/>
              <w:right w:val="nil"/>
            </w:tcBorders>
            <w:shd w:val="clear" w:color="auto" w:fill="E6E6E6"/>
          </w:tcPr>
          <w:p w14:paraId="50B4CB63" w14:textId="77777777" w:rsidR="00F30C8A" w:rsidRPr="00AF51E4" w:rsidRDefault="00084D84" w:rsidP="0048028F">
            <w:pPr>
              <w:suppressAutoHyphens w:val="0"/>
              <w:spacing w:line="240" w:lineRule="auto"/>
              <w:rPr>
                <w:iCs/>
                <w:sz w:val="18"/>
                <w:szCs w:val="18"/>
                <w:u w:val="single"/>
                <w:lang w:val="en-US"/>
              </w:rPr>
            </w:pPr>
            <w:r w:rsidRPr="00AF51E4">
              <w:rPr>
                <w:iCs/>
                <w:sz w:val="18"/>
                <w:szCs w:val="18"/>
                <w:u w:val="single"/>
                <w:lang w:val="en-US"/>
              </w:rPr>
              <w:t>Review of Chapter 2.1 of the GHS</w:t>
            </w:r>
          </w:p>
        </w:tc>
      </w:tr>
      <w:tr w:rsidR="00F30C8A" w:rsidRPr="00E7286F" w14:paraId="05112C5B" w14:textId="77777777" w:rsidTr="0009296B">
        <w:trPr>
          <w:gridBefore w:val="1"/>
          <w:wBefore w:w="26" w:type="dxa"/>
          <w:cantSplit/>
          <w:trHeight w:val="20"/>
        </w:trPr>
        <w:tc>
          <w:tcPr>
            <w:tcW w:w="3481" w:type="dxa"/>
            <w:tcBorders>
              <w:top w:val="nil"/>
              <w:left w:val="nil"/>
              <w:bottom w:val="nil"/>
              <w:right w:val="nil"/>
            </w:tcBorders>
            <w:shd w:val="clear" w:color="auto" w:fill="auto"/>
          </w:tcPr>
          <w:p w14:paraId="5F2BADCE" w14:textId="19B62F0C" w:rsidR="00F30C8A" w:rsidRPr="006F2C5A" w:rsidRDefault="00F1420D" w:rsidP="0048028F">
            <w:pPr>
              <w:suppressAutoHyphens w:val="0"/>
              <w:spacing w:line="240" w:lineRule="auto"/>
              <w:rPr>
                <w:i/>
                <w:iCs/>
                <w:sz w:val="18"/>
                <w:szCs w:val="18"/>
                <w:lang w:val="en-US"/>
              </w:rPr>
            </w:pPr>
            <w:r w:rsidRPr="006F2C5A">
              <w:rPr>
                <w:i/>
                <w:iCs/>
                <w:sz w:val="18"/>
                <w:szCs w:val="18"/>
                <w:lang w:val="en-US"/>
              </w:rPr>
              <w:t>ST/SG/AC.10/C.3/2016/7 (ST/SG/AC.10/C.4/2016/2) (AEISG)</w:t>
            </w:r>
          </w:p>
        </w:tc>
        <w:tc>
          <w:tcPr>
            <w:tcW w:w="5500" w:type="dxa"/>
            <w:tcBorders>
              <w:top w:val="nil"/>
              <w:left w:val="nil"/>
              <w:bottom w:val="nil"/>
              <w:right w:val="nil"/>
            </w:tcBorders>
            <w:shd w:val="clear" w:color="auto" w:fill="auto"/>
          </w:tcPr>
          <w:p w14:paraId="29B7A3BC" w14:textId="66A6F36B" w:rsidR="00F30C8A" w:rsidRPr="006F2C5A" w:rsidRDefault="00F1420D" w:rsidP="0048028F">
            <w:pPr>
              <w:suppressAutoHyphens w:val="0"/>
              <w:spacing w:line="240" w:lineRule="auto"/>
              <w:rPr>
                <w:i/>
                <w:iCs/>
                <w:sz w:val="18"/>
                <w:szCs w:val="18"/>
                <w:lang w:val="en-US"/>
              </w:rPr>
            </w:pPr>
            <w:r w:rsidRPr="006F2C5A">
              <w:rPr>
                <w:i/>
                <w:iCs/>
                <w:sz w:val="18"/>
                <w:szCs w:val="18"/>
                <w:lang w:val="en-US"/>
              </w:rPr>
              <w:t>Review of Chapter 2.1 of the GHS</w:t>
            </w:r>
          </w:p>
        </w:tc>
      </w:tr>
      <w:tr w:rsidR="00432F25" w:rsidRPr="00E7286F" w14:paraId="7B4105A5" w14:textId="77777777" w:rsidTr="00B055A3">
        <w:trPr>
          <w:gridBefore w:val="1"/>
          <w:wBefore w:w="26" w:type="dxa"/>
          <w:cantSplit/>
          <w:trHeight w:val="20"/>
        </w:trPr>
        <w:tc>
          <w:tcPr>
            <w:tcW w:w="3481" w:type="dxa"/>
            <w:tcBorders>
              <w:top w:val="nil"/>
              <w:left w:val="nil"/>
              <w:right w:val="nil"/>
            </w:tcBorders>
            <w:shd w:val="clear" w:color="auto" w:fill="auto"/>
          </w:tcPr>
          <w:p w14:paraId="2D7052C3" w14:textId="189C08CF" w:rsidR="00432F25" w:rsidRPr="00692C91" w:rsidRDefault="00432F25" w:rsidP="0048028F">
            <w:pPr>
              <w:keepNext/>
              <w:keepLines/>
              <w:tabs>
                <w:tab w:val="left" w:pos="176"/>
              </w:tabs>
              <w:suppressAutoHyphens w:val="0"/>
              <w:spacing w:line="240" w:lineRule="auto"/>
              <w:ind w:left="173"/>
              <w:rPr>
                <w:i/>
                <w:iCs/>
                <w:sz w:val="18"/>
                <w:szCs w:val="18"/>
                <w:lang w:val="fr-CH"/>
              </w:rPr>
            </w:pPr>
            <w:r w:rsidRPr="00692C91">
              <w:rPr>
                <w:i/>
                <w:iCs/>
                <w:sz w:val="18"/>
                <w:szCs w:val="18"/>
                <w:lang w:val="fr-CH"/>
              </w:rPr>
              <w:t>UN/SCETDG/49/INF.15 (UN/SCEGHS/31/INF.5) (AEISG)</w:t>
            </w:r>
          </w:p>
        </w:tc>
        <w:tc>
          <w:tcPr>
            <w:tcW w:w="5500" w:type="dxa"/>
            <w:tcBorders>
              <w:top w:val="nil"/>
              <w:left w:val="nil"/>
              <w:right w:val="nil"/>
            </w:tcBorders>
            <w:shd w:val="clear" w:color="auto" w:fill="auto"/>
          </w:tcPr>
          <w:p w14:paraId="4923BE1C" w14:textId="77777777" w:rsidR="00432F25" w:rsidRPr="006F2C5A" w:rsidRDefault="00432F25" w:rsidP="0048028F">
            <w:pPr>
              <w:keepNext/>
              <w:keepLines/>
              <w:suppressAutoHyphens w:val="0"/>
              <w:spacing w:line="240" w:lineRule="auto"/>
              <w:ind w:left="173"/>
              <w:rPr>
                <w:i/>
                <w:iCs/>
                <w:sz w:val="18"/>
                <w:szCs w:val="18"/>
                <w:lang w:val="en-US"/>
              </w:rPr>
            </w:pPr>
            <w:r w:rsidRPr="006F2C5A">
              <w:rPr>
                <w:i/>
                <w:iCs/>
                <w:sz w:val="18"/>
                <w:szCs w:val="18"/>
                <w:lang w:val="en-US"/>
              </w:rPr>
              <w:t>Review of Chapter 2.1 of the GHS</w:t>
            </w:r>
          </w:p>
        </w:tc>
      </w:tr>
      <w:tr w:rsidR="00F30C8A" w:rsidRPr="00E7286F" w14:paraId="0C5997F1" w14:textId="77777777" w:rsidTr="0009296B">
        <w:trPr>
          <w:gridBefore w:val="1"/>
          <w:wBefore w:w="26" w:type="dxa"/>
          <w:cantSplit/>
          <w:trHeight w:val="20"/>
        </w:trPr>
        <w:tc>
          <w:tcPr>
            <w:tcW w:w="3481" w:type="dxa"/>
            <w:tcBorders>
              <w:top w:val="nil"/>
              <w:left w:val="nil"/>
              <w:right w:val="nil"/>
            </w:tcBorders>
            <w:shd w:val="clear" w:color="auto" w:fill="auto"/>
          </w:tcPr>
          <w:p w14:paraId="7EDF565A" w14:textId="6FA12B07" w:rsidR="00F30C8A" w:rsidRPr="006F2C5A" w:rsidRDefault="00F1420D" w:rsidP="0048028F">
            <w:pPr>
              <w:keepNext/>
              <w:suppressAutoHyphens w:val="0"/>
              <w:spacing w:line="240" w:lineRule="auto"/>
              <w:rPr>
                <w:i/>
                <w:iCs/>
                <w:sz w:val="18"/>
                <w:szCs w:val="18"/>
                <w:lang w:val="en-US"/>
              </w:rPr>
            </w:pPr>
            <w:r w:rsidRPr="006F2C5A">
              <w:rPr>
                <w:i/>
                <w:iCs/>
                <w:sz w:val="18"/>
                <w:szCs w:val="18"/>
                <w:lang w:val="en-US"/>
              </w:rPr>
              <w:t>ST/SG/AC.10/C.3/2016/47 (ST/SG/AC.10/C.4/2016/10) (SAAMI)</w:t>
            </w:r>
          </w:p>
        </w:tc>
        <w:tc>
          <w:tcPr>
            <w:tcW w:w="5500" w:type="dxa"/>
            <w:tcBorders>
              <w:top w:val="nil"/>
              <w:left w:val="nil"/>
              <w:right w:val="nil"/>
            </w:tcBorders>
            <w:shd w:val="clear" w:color="auto" w:fill="auto"/>
          </w:tcPr>
          <w:p w14:paraId="5900BCD8" w14:textId="67393B98" w:rsidR="00F30C8A" w:rsidRPr="006F2C5A" w:rsidRDefault="00F1420D" w:rsidP="0048028F">
            <w:pPr>
              <w:keepNext/>
              <w:suppressAutoHyphens w:val="0"/>
              <w:spacing w:line="240" w:lineRule="auto"/>
              <w:rPr>
                <w:i/>
                <w:iCs/>
                <w:sz w:val="18"/>
                <w:szCs w:val="18"/>
                <w:lang w:val="en-US"/>
              </w:rPr>
            </w:pPr>
            <w:r w:rsidRPr="006F2C5A">
              <w:rPr>
                <w:i/>
                <w:iCs/>
                <w:sz w:val="18"/>
                <w:szCs w:val="18"/>
                <w:lang w:val="en-US"/>
              </w:rPr>
              <w:t>Revisions to GHS section 2.1.3</w:t>
            </w:r>
          </w:p>
        </w:tc>
      </w:tr>
      <w:tr w:rsidR="00F1420D" w:rsidRPr="00E7286F" w14:paraId="753996A1" w14:textId="77777777" w:rsidTr="00B055A3">
        <w:trPr>
          <w:gridBefore w:val="1"/>
          <w:wBefore w:w="26" w:type="dxa"/>
          <w:cantSplit/>
          <w:trHeight w:val="20"/>
        </w:trPr>
        <w:tc>
          <w:tcPr>
            <w:tcW w:w="3481" w:type="dxa"/>
            <w:tcBorders>
              <w:top w:val="nil"/>
              <w:left w:val="nil"/>
              <w:right w:val="nil"/>
            </w:tcBorders>
            <w:shd w:val="clear" w:color="auto" w:fill="auto"/>
          </w:tcPr>
          <w:p w14:paraId="45CA69B4" w14:textId="18AB0B9E" w:rsidR="00F1420D" w:rsidRPr="006F2C5A" w:rsidRDefault="00F1420D" w:rsidP="0048028F">
            <w:pPr>
              <w:keepNext/>
              <w:keepLines/>
              <w:tabs>
                <w:tab w:val="left" w:pos="176"/>
              </w:tabs>
              <w:suppressAutoHyphens w:val="0"/>
              <w:spacing w:line="240" w:lineRule="auto"/>
              <w:ind w:left="173"/>
              <w:rPr>
                <w:i/>
                <w:iCs/>
                <w:sz w:val="18"/>
                <w:szCs w:val="18"/>
                <w:lang w:val="en-US"/>
              </w:rPr>
            </w:pPr>
            <w:r w:rsidRPr="006F2C5A">
              <w:rPr>
                <w:i/>
                <w:iCs/>
                <w:sz w:val="18"/>
                <w:szCs w:val="18"/>
                <w:lang w:val="en-US"/>
              </w:rPr>
              <w:t>UN/SCETDG/49/INF.45 (UN/SCEGHS/31/INF.12) (Canada)</w:t>
            </w:r>
          </w:p>
        </w:tc>
        <w:tc>
          <w:tcPr>
            <w:tcW w:w="5500" w:type="dxa"/>
            <w:tcBorders>
              <w:top w:val="nil"/>
              <w:left w:val="nil"/>
              <w:right w:val="nil"/>
            </w:tcBorders>
            <w:shd w:val="clear" w:color="auto" w:fill="auto"/>
          </w:tcPr>
          <w:p w14:paraId="0145FE4E" w14:textId="03EB6048" w:rsidR="00F1420D" w:rsidRPr="006F2C5A" w:rsidRDefault="00F1420D" w:rsidP="0048028F">
            <w:pPr>
              <w:keepNext/>
              <w:keepLines/>
              <w:suppressAutoHyphens w:val="0"/>
              <w:spacing w:line="240" w:lineRule="auto"/>
              <w:ind w:left="173"/>
              <w:rPr>
                <w:i/>
                <w:iCs/>
                <w:sz w:val="18"/>
                <w:szCs w:val="18"/>
                <w:lang w:val="en-US"/>
              </w:rPr>
            </w:pPr>
            <w:r w:rsidRPr="006F2C5A">
              <w:rPr>
                <w:i/>
                <w:iCs/>
                <w:sz w:val="18"/>
                <w:szCs w:val="18"/>
                <w:lang w:val="en-US"/>
              </w:rPr>
              <w:t>Review of Chapter 2.1 of the GHS</w:t>
            </w:r>
          </w:p>
        </w:tc>
      </w:tr>
      <w:tr w:rsidR="00023ED6" w:rsidRPr="00E7286F" w14:paraId="42A0750B" w14:textId="77777777" w:rsidTr="00202AF2">
        <w:trPr>
          <w:gridBefore w:val="1"/>
          <w:wBefore w:w="26" w:type="dxa"/>
          <w:cantSplit/>
          <w:trHeight w:val="20"/>
        </w:trPr>
        <w:tc>
          <w:tcPr>
            <w:tcW w:w="3481" w:type="dxa"/>
            <w:tcBorders>
              <w:top w:val="nil"/>
              <w:left w:val="nil"/>
              <w:right w:val="nil"/>
            </w:tcBorders>
            <w:shd w:val="clear" w:color="auto" w:fill="auto"/>
          </w:tcPr>
          <w:p w14:paraId="4BFE415B" w14:textId="46A0E9E3" w:rsidR="00023ED6" w:rsidRPr="00692C91" w:rsidRDefault="00C85AFF" w:rsidP="0048028F">
            <w:pPr>
              <w:keepNext/>
              <w:suppressAutoHyphens w:val="0"/>
              <w:spacing w:line="240" w:lineRule="auto"/>
              <w:rPr>
                <w:i/>
                <w:iCs/>
                <w:sz w:val="18"/>
                <w:szCs w:val="18"/>
                <w:lang w:val="fr-CH"/>
              </w:rPr>
            </w:pPr>
            <w:r w:rsidRPr="00692C91">
              <w:rPr>
                <w:i/>
                <w:iCs/>
                <w:sz w:val="18"/>
                <w:szCs w:val="18"/>
                <w:lang w:val="fr-CH"/>
              </w:rPr>
              <w:t>UN/SCETDG/49/INF.37 (UN/SCEGHS/31/INF.10) (</w:t>
            </w:r>
            <w:proofErr w:type="spellStart"/>
            <w:r w:rsidRPr="00692C91">
              <w:rPr>
                <w:i/>
                <w:iCs/>
                <w:sz w:val="18"/>
                <w:szCs w:val="18"/>
                <w:lang w:val="fr-CH"/>
              </w:rPr>
              <w:t>Sweden</w:t>
            </w:r>
            <w:proofErr w:type="spellEnd"/>
            <w:r w:rsidRPr="00692C91">
              <w:rPr>
                <w:i/>
                <w:iCs/>
                <w:sz w:val="18"/>
                <w:szCs w:val="18"/>
                <w:lang w:val="fr-CH"/>
              </w:rPr>
              <w:t>)</w:t>
            </w:r>
          </w:p>
        </w:tc>
        <w:tc>
          <w:tcPr>
            <w:tcW w:w="5500" w:type="dxa"/>
            <w:tcBorders>
              <w:top w:val="nil"/>
              <w:left w:val="nil"/>
              <w:right w:val="nil"/>
            </w:tcBorders>
            <w:shd w:val="clear" w:color="auto" w:fill="auto"/>
          </w:tcPr>
          <w:p w14:paraId="741E1F37" w14:textId="4D869153" w:rsidR="00023ED6" w:rsidRPr="006F2C5A" w:rsidRDefault="00023ED6" w:rsidP="0048028F">
            <w:pPr>
              <w:keepNext/>
              <w:suppressAutoHyphens w:val="0"/>
              <w:spacing w:line="240" w:lineRule="auto"/>
              <w:rPr>
                <w:i/>
                <w:iCs/>
                <w:sz w:val="18"/>
                <w:szCs w:val="18"/>
                <w:lang w:val="en-US"/>
              </w:rPr>
            </w:pPr>
            <w:r w:rsidRPr="006F2C5A">
              <w:rPr>
                <w:i/>
                <w:iCs/>
                <w:sz w:val="18"/>
                <w:szCs w:val="18"/>
                <w:lang w:val="en-US"/>
              </w:rPr>
              <w:t>Status report on the work of the informal correspondence group on the revision of GHS Chapter 2.1</w:t>
            </w:r>
          </w:p>
        </w:tc>
      </w:tr>
      <w:tr w:rsidR="00E07641" w:rsidRPr="00F30C8A" w14:paraId="24819E45" w14:textId="77777777" w:rsidTr="004A6BA0">
        <w:trPr>
          <w:cantSplit/>
          <w:trHeight w:val="20"/>
        </w:trPr>
        <w:tc>
          <w:tcPr>
            <w:tcW w:w="3507" w:type="dxa"/>
            <w:gridSpan w:val="2"/>
            <w:tcBorders>
              <w:top w:val="nil"/>
              <w:left w:val="nil"/>
              <w:bottom w:val="nil"/>
              <w:right w:val="nil"/>
            </w:tcBorders>
            <w:shd w:val="clear" w:color="auto" w:fill="E6E6E6"/>
          </w:tcPr>
          <w:p w14:paraId="6426BA7C" w14:textId="77777777" w:rsidR="00E07641" w:rsidRPr="00AF51E4" w:rsidRDefault="00E07641" w:rsidP="0048028F">
            <w:pPr>
              <w:suppressAutoHyphens w:val="0"/>
              <w:spacing w:line="240" w:lineRule="auto"/>
              <w:rPr>
                <w:iCs/>
                <w:sz w:val="18"/>
                <w:szCs w:val="18"/>
                <w:u w:val="single"/>
                <w:lang w:val="en-US"/>
              </w:rPr>
            </w:pPr>
            <w:r w:rsidRPr="00AF51E4">
              <w:rPr>
                <w:iCs/>
                <w:sz w:val="18"/>
                <w:szCs w:val="18"/>
                <w:u w:val="single"/>
                <w:lang w:val="en-US"/>
              </w:rPr>
              <w:t>Agenda Item 2(</w:t>
            </w:r>
            <w:proofErr w:type="spellStart"/>
            <w:r w:rsidRPr="00AF51E4">
              <w:rPr>
                <w:iCs/>
                <w:sz w:val="18"/>
                <w:szCs w:val="18"/>
                <w:u w:val="single"/>
                <w:lang w:val="en-US"/>
              </w:rPr>
              <w:t>i</w:t>
            </w:r>
            <w:proofErr w:type="spellEnd"/>
            <w:r w:rsidRPr="00AF51E4">
              <w:rPr>
                <w:iCs/>
                <w:sz w:val="18"/>
                <w:szCs w:val="18"/>
                <w:u w:val="single"/>
                <w:lang w:val="en-US"/>
              </w:rPr>
              <w:t>)</w:t>
            </w:r>
          </w:p>
        </w:tc>
        <w:tc>
          <w:tcPr>
            <w:tcW w:w="5500" w:type="dxa"/>
            <w:tcBorders>
              <w:top w:val="nil"/>
              <w:left w:val="nil"/>
              <w:bottom w:val="nil"/>
              <w:right w:val="nil"/>
            </w:tcBorders>
            <w:shd w:val="clear" w:color="auto" w:fill="E6E6E6"/>
          </w:tcPr>
          <w:p w14:paraId="3CCD2141" w14:textId="77777777" w:rsidR="00E07641" w:rsidRPr="00AF51E4" w:rsidRDefault="00E07641" w:rsidP="0048028F">
            <w:pPr>
              <w:suppressAutoHyphens w:val="0"/>
              <w:spacing w:line="240" w:lineRule="auto"/>
              <w:rPr>
                <w:iCs/>
                <w:sz w:val="18"/>
                <w:szCs w:val="18"/>
                <w:u w:val="single"/>
                <w:lang w:val="en-US"/>
              </w:rPr>
            </w:pPr>
            <w:r w:rsidRPr="00AF51E4">
              <w:rPr>
                <w:iCs/>
                <w:sz w:val="18"/>
                <w:szCs w:val="18"/>
                <w:u w:val="single"/>
                <w:lang w:val="en-US"/>
              </w:rPr>
              <w:t>Miscellaneous</w:t>
            </w:r>
          </w:p>
        </w:tc>
      </w:tr>
      <w:tr w:rsidR="00E07641" w:rsidRPr="00ED0D85" w14:paraId="4458CC6E" w14:textId="77777777" w:rsidTr="004A6BA0">
        <w:trPr>
          <w:gridBefore w:val="1"/>
          <w:wBefore w:w="26" w:type="dxa"/>
          <w:cantSplit/>
          <w:trHeight w:val="20"/>
        </w:trPr>
        <w:tc>
          <w:tcPr>
            <w:tcW w:w="3481" w:type="dxa"/>
            <w:tcBorders>
              <w:top w:val="nil"/>
              <w:left w:val="nil"/>
              <w:bottom w:val="nil"/>
              <w:right w:val="nil"/>
            </w:tcBorders>
            <w:shd w:val="clear" w:color="auto" w:fill="auto"/>
          </w:tcPr>
          <w:p w14:paraId="1BA186E0" w14:textId="2590EF65" w:rsidR="00E07641" w:rsidRPr="006F2C5A" w:rsidRDefault="00432F25" w:rsidP="0048028F">
            <w:pPr>
              <w:suppressAutoHyphens w:val="0"/>
              <w:spacing w:line="240" w:lineRule="auto"/>
              <w:rPr>
                <w:i/>
                <w:iCs/>
                <w:sz w:val="18"/>
                <w:szCs w:val="18"/>
                <w:lang w:val="en-US"/>
              </w:rPr>
            </w:pPr>
            <w:r w:rsidRPr="006F2C5A">
              <w:rPr>
                <w:i/>
                <w:iCs/>
                <w:sz w:val="18"/>
                <w:szCs w:val="18"/>
                <w:lang w:val="en-US"/>
              </w:rPr>
              <w:t xml:space="preserve">ST/SG/AC.10/C.3/2016/18 </w:t>
            </w:r>
            <w:r w:rsidR="005A67D8" w:rsidRPr="006F2C5A">
              <w:rPr>
                <w:i/>
                <w:iCs/>
                <w:sz w:val="18"/>
                <w:szCs w:val="18"/>
                <w:lang w:val="en-US"/>
              </w:rPr>
              <w:t>(Canada</w:t>
            </w:r>
            <w:r w:rsidR="00E07641" w:rsidRPr="006F2C5A">
              <w:rPr>
                <w:i/>
                <w:iCs/>
                <w:sz w:val="18"/>
                <w:szCs w:val="18"/>
                <w:lang w:val="en-US"/>
              </w:rPr>
              <w:t>)</w:t>
            </w:r>
          </w:p>
        </w:tc>
        <w:tc>
          <w:tcPr>
            <w:tcW w:w="5500" w:type="dxa"/>
            <w:tcBorders>
              <w:top w:val="nil"/>
              <w:left w:val="nil"/>
              <w:bottom w:val="nil"/>
              <w:right w:val="nil"/>
            </w:tcBorders>
            <w:shd w:val="clear" w:color="auto" w:fill="auto"/>
          </w:tcPr>
          <w:p w14:paraId="1EBFEFA2" w14:textId="45EC6B84" w:rsidR="00E07641" w:rsidRPr="006F2C5A" w:rsidRDefault="005A67D8" w:rsidP="0048028F">
            <w:pPr>
              <w:suppressAutoHyphens w:val="0"/>
              <w:spacing w:line="240" w:lineRule="auto"/>
              <w:rPr>
                <w:i/>
                <w:iCs/>
                <w:sz w:val="18"/>
                <w:szCs w:val="18"/>
                <w:lang w:val="en-US"/>
              </w:rPr>
            </w:pPr>
            <w:r w:rsidRPr="006F2C5A">
              <w:rPr>
                <w:i/>
                <w:iCs/>
                <w:sz w:val="18"/>
                <w:szCs w:val="18"/>
                <w:lang w:val="en-US"/>
              </w:rPr>
              <w:t>Additional entries for Special Provision 347</w:t>
            </w:r>
          </w:p>
        </w:tc>
      </w:tr>
      <w:tr w:rsidR="00E07641" w:rsidRPr="00ED0D85" w14:paraId="10FB1BD0" w14:textId="77777777" w:rsidTr="004A6BA0">
        <w:trPr>
          <w:gridBefore w:val="1"/>
          <w:wBefore w:w="26" w:type="dxa"/>
          <w:cantSplit/>
          <w:trHeight w:val="20"/>
        </w:trPr>
        <w:tc>
          <w:tcPr>
            <w:tcW w:w="3481" w:type="dxa"/>
            <w:tcBorders>
              <w:top w:val="nil"/>
              <w:left w:val="nil"/>
              <w:bottom w:val="nil"/>
              <w:right w:val="nil"/>
            </w:tcBorders>
            <w:shd w:val="clear" w:color="auto" w:fill="auto"/>
          </w:tcPr>
          <w:p w14:paraId="1DA762BE" w14:textId="7ECDFF4A" w:rsidR="00E07641" w:rsidRPr="006F2C5A" w:rsidRDefault="00432F25" w:rsidP="0048028F">
            <w:pPr>
              <w:suppressAutoHyphens w:val="0"/>
              <w:spacing w:line="240" w:lineRule="auto"/>
              <w:rPr>
                <w:i/>
                <w:iCs/>
                <w:sz w:val="18"/>
                <w:szCs w:val="18"/>
                <w:lang w:val="en-US"/>
              </w:rPr>
            </w:pPr>
            <w:r w:rsidRPr="006F2C5A">
              <w:rPr>
                <w:i/>
                <w:iCs/>
                <w:sz w:val="18"/>
                <w:szCs w:val="18"/>
                <w:lang w:val="en-US"/>
              </w:rPr>
              <w:t>ST/SG/AC.10/C.3/2016/19 (IME)</w:t>
            </w:r>
          </w:p>
        </w:tc>
        <w:tc>
          <w:tcPr>
            <w:tcW w:w="5500" w:type="dxa"/>
            <w:tcBorders>
              <w:top w:val="nil"/>
              <w:left w:val="nil"/>
              <w:bottom w:val="nil"/>
              <w:right w:val="nil"/>
            </w:tcBorders>
            <w:shd w:val="clear" w:color="auto" w:fill="auto"/>
          </w:tcPr>
          <w:p w14:paraId="3983D124" w14:textId="7E366760" w:rsidR="00E07641" w:rsidRPr="006F2C5A" w:rsidRDefault="00432F25" w:rsidP="0048028F">
            <w:pPr>
              <w:suppressAutoHyphens w:val="0"/>
              <w:spacing w:line="240" w:lineRule="auto"/>
              <w:rPr>
                <w:i/>
                <w:iCs/>
                <w:sz w:val="18"/>
                <w:szCs w:val="18"/>
                <w:lang w:val="en-US"/>
              </w:rPr>
            </w:pPr>
            <w:r w:rsidRPr="006F2C5A">
              <w:rPr>
                <w:i/>
                <w:iCs/>
                <w:sz w:val="18"/>
                <w:szCs w:val="18"/>
                <w:lang w:val="en-US"/>
              </w:rPr>
              <w:t>Amendment to section 1.1.2 of the Manual of Tests and Criteria</w:t>
            </w:r>
          </w:p>
        </w:tc>
      </w:tr>
      <w:tr w:rsidR="00CB7A85" w:rsidRPr="00B71340" w14:paraId="56FE5398" w14:textId="77777777" w:rsidTr="004A6BA0">
        <w:trPr>
          <w:gridBefore w:val="1"/>
          <w:wBefore w:w="26" w:type="dxa"/>
          <w:cantSplit/>
          <w:trHeight w:val="20"/>
        </w:trPr>
        <w:tc>
          <w:tcPr>
            <w:tcW w:w="3481" w:type="dxa"/>
            <w:tcBorders>
              <w:top w:val="nil"/>
              <w:left w:val="nil"/>
              <w:right w:val="nil"/>
            </w:tcBorders>
            <w:shd w:val="clear" w:color="auto" w:fill="auto"/>
          </w:tcPr>
          <w:p w14:paraId="0C66A3DA" w14:textId="1C212FF7" w:rsidR="00CB7A85" w:rsidRPr="006F2C5A" w:rsidRDefault="00BF0631" w:rsidP="0048028F">
            <w:pPr>
              <w:suppressAutoHyphens w:val="0"/>
              <w:spacing w:line="240" w:lineRule="auto"/>
              <w:rPr>
                <w:i/>
                <w:iCs/>
                <w:sz w:val="18"/>
                <w:szCs w:val="18"/>
                <w:lang w:val="en-US"/>
              </w:rPr>
            </w:pPr>
            <w:r w:rsidRPr="006F2C5A">
              <w:rPr>
                <w:i/>
                <w:iCs/>
                <w:sz w:val="18"/>
                <w:szCs w:val="18"/>
                <w:lang w:val="en-US"/>
              </w:rPr>
              <w:t>ST/SG/AC.10/C.3/2016/29 (Sweden)</w:t>
            </w:r>
          </w:p>
        </w:tc>
        <w:tc>
          <w:tcPr>
            <w:tcW w:w="5500" w:type="dxa"/>
            <w:tcBorders>
              <w:top w:val="nil"/>
              <w:left w:val="nil"/>
              <w:right w:val="nil"/>
            </w:tcBorders>
            <w:shd w:val="clear" w:color="auto" w:fill="auto"/>
          </w:tcPr>
          <w:p w14:paraId="58A898E4" w14:textId="1F069889" w:rsidR="00CB7A85" w:rsidRPr="006F2C5A" w:rsidRDefault="00BF0631" w:rsidP="0048028F">
            <w:pPr>
              <w:suppressAutoHyphens w:val="0"/>
              <w:spacing w:line="240" w:lineRule="auto"/>
              <w:rPr>
                <w:i/>
                <w:iCs/>
                <w:sz w:val="18"/>
                <w:szCs w:val="18"/>
                <w:lang w:val="en-US"/>
              </w:rPr>
            </w:pPr>
            <w:r w:rsidRPr="006F2C5A">
              <w:rPr>
                <w:i/>
                <w:sz w:val="18"/>
                <w:szCs w:val="18"/>
                <w:lang w:val="en-US"/>
              </w:rPr>
              <w:t>Clarification of the classification of ammonium nitrate based fertilizers – draft amendments to the Model Regulations and the Manual of Tests and Criteria</w:t>
            </w:r>
          </w:p>
        </w:tc>
      </w:tr>
      <w:tr w:rsidR="003C485B" w:rsidRPr="00B71340" w14:paraId="077C81F7" w14:textId="77777777" w:rsidTr="008D1641">
        <w:trPr>
          <w:gridBefore w:val="1"/>
          <w:wBefore w:w="26" w:type="dxa"/>
          <w:cantSplit/>
          <w:trHeight w:val="20"/>
        </w:trPr>
        <w:tc>
          <w:tcPr>
            <w:tcW w:w="3481" w:type="dxa"/>
            <w:tcBorders>
              <w:top w:val="nil"/>
              <w:left w:val="nil"/>
              <w:right w:val="nil"/>
            </w:tcBorders>
            <w:shd w:val="clear" w:color="auto" w:fill="auto"/>
          </w:tcPr>
          <w:p w14:paraId="242AB6F4" w14:textId="57BD2120" w:rsidR="003C485B" w:rsidRPr="006F2C5A" w:rsidRDefault="00BF0631" w:rsidP="0048028F">
            <w:pPr>
              <w:tabs>
                <w:tab w:val="left" w:pos="176"/>
              </w:tabs>
              <w:suppressAutoHyphens w:val="0"/>
              <w:spacing w:line="240" w:lineRule="auto"/>
              <w:ind w:left="173"/>
              <w:rPr>
                <w:i/>
                <w:iCs/>
                <w:sz w:val="18"/>
                <w:szCs w:val="18"/>
                <w:lang w:val="en-US"/>
              </w:rPr>
            </w:pPr>
            <w:r w:rsidRPr="006F2C5A">
              <w:rPr>
                <w:i/>
                <w:iCs/>
                <w:sz w:val="18"/>
                <w:szCs w:val="18"/>
                <w:lang w:val="en-US"/>
              </w:rPr>
              <w:t>UN/SCETDG/49/INF.5 (Sweden)</w:t>
            </w:r>
          </w:p>
        </w:tc>
        <w:tc>
          <w:tcPr>
            <w:tcW w:w="5500" w:type="dxa"/>
            <w:tcBorders>
              <w:top w:val="nil"/>
              <w:left w:val="nil"/>
              <w:right w:val="nil"/>
            </w:tcBorders>
            <w:shd w:val="clear" w:color="auto" w:fill="auto"/>
          </w:tcPr>
          <w:p w14:paraId="15B979A6" w14:textId="1019729A" w:rsidR="003C485B" w:rsidRPr="006F2C5A" w:rsidRDefault="00BF0631" w:rsidP="0048028F">
            <w:pPr>
              <w:suppressAutoHyphens w:val="0"/>
              <w:spacing w:line="240" w:lineRule="auto"/>
              <w:ind w:left="173"/>
              <w:rPr>
                <w:i/>
                <w:iCs/>
                <w:sz w:val="18"/>
                <w:szCs w:val="18"/>
                <w:lang w:val="en-US"/>
              </w:rPr>
            </w:pPr>
            <w:r w:rsidRPr="006F2C5A">
              <w:rPr>
                <w:i/>
                <w:iCs/>
                <w:sz w:val="18"/>
                <w:szCs w:val="18"/>
                <w:lang w:val="en-US"/>
              </w:rPr>
              <w:t>Clarification of the classification of ammonium nitrate based fertilizers - draft amendments to the Model Regulations and the Manual of Tests and Criteria</w:t>
            </w:r>
          </w:p>
        </w:tc>
      </w:tr>
      <w:tr w:rsidR="00F33533" w:rsidRPr="00B71340" w14:paraId="4E3BCD92" w14:textId="77777777" w:rsidTr="00202AF2">
        <w:trPr>
          <w:gridBefore w:val="1"/>
          <w:wBefore w:w="26" w:type="dxa"/>
          <w:cantSplit/>
          <w:trHeight w:val="20"/>
        </w:trPr>
        <w:tc>
          <w:tcPr>
            <w:tcW w:w="3481" w:type="dxa"/>
            <w:tcBorders>
              <w:top w:val="nil"/>
              <w:left w:val="nil"/>
              <w:right w:val="nil"/>
            </w:tcBorders>
            <w:shd w:val="clear" w:color="auto" w:fill="auto"/>
          </w:tcPr>
          <w:p w14:paraId="1E047830" w14:textId="7E20C38D" w:rsidR="00F33533" w:rsidRPr="006F2C5A" w:rsidRDefault="00BF0631" w:rsidP="0048028F">
            <w:pPr>
              <w:tabs>
                <w:tab w:val="left" w:pos="176"/>
              </w:tabs>
              <w:suppressAutoHyphens w:val="0"/>
              <w:spacing w:line="240" w:lineRule="auto"/>
              <w:ind w:left="173"/>
              <w:rPr>
                <w:i/>
                <w:iCs/>
                <w:sz w:val="18"/>
                <w:szCs w:val="18"/>
                <w:lang w:val="en-US"/>
              </w:rPr>
            </w:pPr>
            <w:r w:rsidRPr="006F2C5A">
              <w:rPr>
                <w:i/>
                <w:iCs/>
                <w:sz w:val="18"/>
                <w:szCs w:val="18"/>
                <w:lang w:val="en-US"/>
              </w:rPr>
              <w:t>UN/SCETDG/49/INF.23 (Sweden)</w:t>
            </w:r>
          </w:p>
        </w:tc>
        <w:tc>
          <w:tcPr>
            <w:tcW w:w="5500" w:type="dxa"/>
            <w:tcBorders>
              <w:top w:val="nil"/>
              <w:left w:val="nil"/>
              <w:right w:val="nil"/>
            </w:tcBorders>
            <w:shd w:val="clear" w:color="auto" w:fill="auto"/>
          </w:tcPr>
          <w:p w14:paraId="2C839019" w14:textId="616847F0" w:rsidR="00F33533" w:rsidRPr="006F2C5A" w:rsidRDefault="00BF0631" w:rsidP="0048028F">
            <w:pPr>
              <w:suppressAutoHyphens w:val="0"/>
              <w:spacing w:line="240" w:lineRule="auto"/>
              <w:ind w:left="173"/>
              <w:rPr>
                <w:i/>
                <w:iCs/>
                <w:sz w:val="18"/>
                <w:szCs w:val="18"/>
                <w:lang w:val="en-US"/>
              </w:rPr>
            </w:pPr>
            <w:r w:rsidRPr="006F2C5A">
              <w:rPr>
                <w:i/>
                <w:iCs/>
                <w:sz w:val="18"/>
                <w:szCs w:val="18"/>
                <w:lang w:val="en-US"/>
              </w:rPr>
              <w:t>Clarification of the classification of ammonium nitrate based fertilizers – additional clarifications and discussion topics for possible amendments</w:t>
            </w:r>
          </w:p>
        </w:tc>
      </w:tr>
      <w:tr w:rsidR="009E7D45" w:rsidRPr="00ED0D85" w14:paraId="7FCFAED9" w14:textId="77777777" w:rsidTr="007351E9">
        <w:trPr>
          <w:gridBefore w:val="1"/>
          <w:wBefore w:w="26" w:type="dxa"/>
          <w:cantSplit/>
          <w:trHeight w:val="20"/>
        </w:trPr>
        <w:tc>
          <w:tcPr>
            <w:tcW w:w="3481" w:type="dxa"/>
            <w:tcBorders>
              <w:top w:val="nil"/>
              <w:left w:val="nil"/>
              <w:right w:val="nil"/>
            </w:tcBorders>
            <w:shd w:val="clear" w:color="auto" w:fill="auto"/>
          </w:tcPr>
          <w:p w14:paraId="56B01261" w14:textId="6668DAE8" w:rsidR="009E7D45" w:rsidRPr="006F2C5A" w:rsidRDefault="00B95E32" w:rsidP="0048028F">
            <w:pPr>
              <w:suppressAutoHyphens w:val="0"/>
              <w:spacing w:line="240" w:lineRule="auto"/>
              <w:rPr>
                <w:i/>
                <w:iCs/>
                <w:sz w:val="18"/>
                <w:szCs w:val="18"/>
                <w:lang w:val="en-US"/>
              </w:rPr>
            </w:pPr>
            <w:r w:rsidRPr="006F2C5A">
              <w:rPr>
                <w:i/>
                <w:iCs/>
                <w:sz w:val="18"/>
                <w:szCs w:val="18"/>
                <w:lang w:val="en-US"/>
              </w:rPr>
              <w:t>ST/SG/AC.10/C.3/2016/31 (SAAMI)</w:t>
            </w:r>
          </w:p>
        </w:tc>
        <w:tc>
          <w:tcPr>
            <w:tcW w:w="5500" w:type="dxa"/>
            <w:tcBorders>
              <w:top w:val="nil"/>
              <w:left w:val="nil"/>
              <w:right w:val="nil"/>
            </w:tcBorders>
            <w:shd w:val="clear" w:color="auto" w:fill="auto"/>
          </w:tcPr>
          <w:p w14:paraId="3BBDEA3B" w14:textId="027BAA8C" w:rsidR="009E7D45" w:rsidRPr="006F2C5A" w:rsidRDefault="00B95E32" w:rsidP="0048028F">
            <w:pPr>
              <w:suppressAutoHyphens w:val="0"/>
              <w:spacing w:line="240" w:lineRule="auto"/>
              <w:rPr>
                <w:i/>
                <w:iCs/>
                <w:sz w:val="18"/>
                <w:szCs w:val="18"/>
                <w:lang w:val="en-US"/>
              </w:rPr>
            </w:pPr>
            <w:r w:rsidRPr="006F2C5A">
              <w:rPr>
                <w:i/>
                <w:iCs/>
                <w:sz w:val="18"/>
                <w:szCs w:val="18"/>
                <w:lang w:val="en-US"/>
              </w:rPr>
              <w:t>Amendments to the provisions applicable to transport of Class 1 articles packed in limited quantities</w:t>
            </w:r>
          </w:p>
        </w:tc>
      </w:tr>
      <w:tr w:rsidR="006722C5" w:rsidRPr="007A33E9" w14:paraId="34D0B1F1" w14:textId="77777777" w:rsidTr="00B055A3">
        <w:trPr>
          <w:gridBefore w:val="1"/>
          <w:wBefore w:w="26" w:type="dxa"/>
          <w:cantSplit/>
          <w:trHeight w:val="20"/>
        </w:trPr>
        <w:tc>
          <w:tcPr>
            <w:tcW w:w="3481" w:type="dxa"/>
            <w:tcBorders>
              <w:top w:val="nil"/>
              <w:left w:val="nil"/>
              <w:right w:val="nil"/>
            </w:tcBorders>
            <w:shd w:val="clear" w:color="auto" w:fill="auto"/>
          </w:tcPr>
          <w:p w14:paraId="35CB41F8" w14:textId="5755B698" w:rsidR="006722C5" w:rsidRPr="006F2C5A" w:rsidRDefault="006722C5" w:rsidP="0048028F">
            <w:pPr>
              <w:suppressAutoHyphens w:val="0"/>
              <w:spacing w:line="240" w:lineRule="auto"/>
              <w:rPr>
                <w:i/>
                <w:iCs/>
                <w:sz w:val="18"/>
                <w:szCs w:val="18"/>
                <w:lang w:val="en-US"/>
              </w:rPr>
            </w:pPr>
            <w:r w:rsidRPr="006F2C5A">
              <w:rPr>
                <w:i/>
                <w:iCs/>
                <w:sz w:val="18"/>
                <w:szCs w:val="18"/>
                <w:lang w:val="en-US"/>
              </w:rPr>
              <w:t>UN/SCETDG/49/INF.16 (Germany)</w:t>
            </w:r>
          </w:p>
        </w:tc>
        <w:tc>
          <w:tcPr>
            <w:tcW w:w="5500" w:type="dxa"/>
            <w:tcBorders>
              <w:top w:val="nil"/>
              <w:left w:val="nil"/>
              <w:right w:val="nil"/>
            </w:tcBorders>
            <w:shd w:val="clear" w:color="auto" w:fill="auto"/>
          </w:tcPr>
          <w:p w14:paraId="51AEAA86" w14:textId="63FFD5B1" w:rsidR="006722C5" w:rsidRPr="006F2C5A" w:rsidRDefault="006722C5" w:rsidP="0048028F">
            <w:pPr>
              <w:suppressAutoHyphens w:val="0"/>
              <w:spacing w:line="240" w:lineRule="auto"/>
              <w:rPr>
                <w:i/>
                <w:iCs/>
                <w:sz w:val="18"/>
                <w:szCs w:val="18"/>
                <w:lang w:val="en-US"/>
              </w:rPr>
            </w:pPr>
            <w:r w:rsidRPr="006F2C5A">
              <w:rPr>
                <w:i/>
                <w:iCs/>
                <w:sz w:val="18"/>
                <w:szCs w:val="18"/>
                <w:lang w:val="en-US"/>
              </w:rPr>
              <w:t>Clarification of SP 364</w:t>
            </w:r>
          </w:p>
        </w:tc>
      </w:tr>
      <w:tr w:rsidR="006722C5" w:rsidRPr="007A33E9" w14:paraId="1F8D74BF" w14:textId="77777777" w:rsidTr="00B055A3">
        <w:trPr>
          <w:gridBefore w:val="1"/>
          <w:wBefore w:w="26" w:type="dxa"/>
          <w:cantSplit/>
          <w:trHeight w:val="20"/>
        </w:trPr>
        <w:tc>
          <w:tcPr>
            <w:tcW w:w="3481" w:type="dxa"/>
            <w:tcBorders>
              <w:top w:val="nil"/>
              <w:left w:val="nil"/>
              <w:right w:val="nil"/>
            </w:tcBorders>
            <w:shd w:val="clear" w:color="auto" w:fill="auto"/>
          </w:tcPr>
          <w:p w14:paraId="7EA32017" w14:textId="50A93D4A" w:rsidR="006722C5" w:rsidRPr="006F2C5A" w:rsidRDefault="006722C5" w:rsidP="0048028F">
            <w:pPr>
              <w:suppressAutoHyphens w:val="0"/>
              <w:spacing w:line="240" w:lineRule="auto"/>
              <w:rPr>
                <w:i/>
                <w:iCs/>
                <w:sz w:val="18"/>
                <w:szCs w:val="18"/>
                <w:lang w:val="en-US"/>
              </w:rPr>
            </w:pPr>
            <w:r w:rsidRPr="006F2C5A">
              <w:rPr>
                <w:i/>
                <w:iCs/>
                <w:sz w:val="18"/>
                <w:szCs w:val="18"/>
                <w:lang w:val="en-US"/>
              </w:rPr>
              <w:t>UN/SCETDG/49/INF.9 (Germany)</w:t>
            </w:r>
          </w:p>
        </w:tc>
        <w:tc>
          <w:tcPr>
            <w:tcW w:w="5500" w:type="dxa"/>
            <w:tcBorders>
              <w:top w:val="nil"/>
              <w:left w:val="nil"/>
              <w:right w:val="nil"/>
            </w:tcBorders>
            <w:shd w:val="clear" w:color="auto" w:fill="auto"/>
          </w:tcPr>
          <w:p w14:paraId="53131EB2" w14:textId="22E2E5E9" w:rsidR="006722C5" w:rsidRPr="006F2C5A" w:rsidRDefault="006722C5" w:rsidP="0048028F">
            <w:pPr>
              <w:suppressAutoHyphens w:val="0"/>
              <w:spacing w:line="240" w:lineRule="auto"/>
              <w:rPr>
                <w:i/>
                <w:iCs/>
                <w:sz w:val="18"/>
                <w:szCs w:val="18"/>
                <w:lang w:val="en-US"/>
              </w:rPr>
            </w:pPr>
            <w:r w:rsidRPr="006F2C5A">
              <w:rPr>
                <w:i/>
                <w:iCs/>
                <w:sz w:val="18"/>
                <w:szCs w:val="18"/>
                <w:lang w:val="en-US"/>
              </w:rPr>
              <w:t>Transport of PENTAERYTHRITE TETRANITRATE (PETN) with less than 25 % of water but more than 9 % of water</w:t>
            </w:r>
          </w:p>
        </w:tc>
      </w:tr>
      <w:tr w:rsidR="006722C5" w:rsidRPr="007A33E9" w14:paraId="1A03973B" w14:textId="77777777" w:rsidTr="00B055A3">
        <w:trPr>
          <w:gridBefore w:val="1"/>
          <w:wBefore w:w="26" w:type="dxa"/>
          <w:cantSplit/>
          <w:trHeight w:val="20"/>
        </w:trPr>
        <w:tc>
          <w:tcPr>
            <w:tcW w:w="3481" w:type="dxa"/>
            <w:tcBorders>
              <w:top w:val="nil"/>
              <w:left w:val="nil"/>
              <w:right w:val="nil"/>
            </w:tcBorders>
            <w:shd w:val="clear" w:color="auto" w:fill="auto"/>
          </w:tcPr>
          <w:p w14:paraId="775C7AFF" w14:textId="2E40DBA2" w:rsidR="006722C5" w:rsidRPr="006F2C5A" w:rsidRDefault="006722C5" w:rsidP="0048028F">
            <w:pPr>
              <w:tabs>
                <w:tab w:val="left" w:pos="176"/>
              </w:tabs>
              <w:suppressAutoHyphens w:val="0"/>
              <w:spacing w:line="240" w:lineRule="auto"/>
              <w:ind w:left="173"/>
              <w:rPr>
                <w:i/>
                <w:iCs/>
                <w:sz w:val="18"/>
                <w:szCs w:val="18"/>
                <w:lang w:val="en-US"/>
              </w:rPr>
            </w:pPr>
            <w:r w:rsidRPr="006F2C5A">
              <w:rPr>
                <w:i/>
                <w:iCs/>
                <w:sz w:val="18"/>
                <w:szCs w:val="18"/>
                <w:lang w:val="en-US"/>
              </w:rPr>
              <w:t>UN/SCETDG/49/INF.38 - (Spain)</w:t>
            </w:r>
          </w:p>
        </w:tc>
        <w:tc>
          <w:tcPr>
            <w:tcW w:w="5500" w:type="dxa"/>
            <w:tcBorders>
              <w:top w:val="nil"/>
              <w:left w:val="nil"/>
              <w:right w:val="nil"/>
            </w:tcBorders>
            <w:shd w:val="clear" w:color="auto" w:fill="auto"/>
          </w:tcPr>
          <w:p w14:paraId="31E785C5" w14:textId="3E776CBF" w:rsidR="006722C5" w:rsidRPr="006F2C5A" w:rsidRDefault="006722C5" w:rsidP="0048028F">
            <w:pPr>
              <w:suppressAutoHyphens w:val="0"/>
              <w:spacing w:line="240" w:lineRule="auto"/>
              <w:ind w:left="173"/>
              <w:rPr>
                <w:i/>
                <w:iCs/>
                <w:sz w:val="18"/>
                <w:szCs w:val="18"/>
                <w:lang w:val="en-US"/>
              </w:rPr>
            </w:pPr>
            <w:r w:rsidRPr="006F2C5A">
              <w:rPr>
                <w:i/>
                <w:iCs/>
                <w:sz w:val="18"/>
                <w:szCs w:val="18"/>
                <w:lang w:val="en-US"/>
              </w:rPr>
              <w:t>Transport of PENTAERYTHRITE TETRANITRATE (PETN) with less than 25 % but more than 9% of water amendments</w:t>
            </w:r>
          </w:p>
        </w:tc>
      </w:tr>
      <w:tr w:rsidR="00D85317" w:rsidRPr="00ED0D85" w14:paraId="5BA4DC64" w14:textId="77777777" w:rsidTr="00B055A3">
        <w:trPr>
          <w:gridBefore w:val="1"/>
          <w:wBefore w:w="26" w:type="dxa"/>
          <w:cantSplit/>
          <w:trHeight w:val="20"/>
        </w:trPr>
        <w:tc>
          <w:tcPr>
            <w:tcW w:w="3481" w:type="dxa"/>
            <w:tcBorders>
              <w:top w:val="nil"/>
              <w:left w:val="nil"/>
              <w:right w:val="nil"/>
            </w:tcBorders>
            <w:shd w:val="clear" w:color="auto" w:fill="auto"/>
          </w:tcPr>
          <w:p w14:paraId="0C553BDB" w14:textId="08D22AA9" w:rsidR="00D85317" w:rsidRPr="006F2C5A" w:rsidRDefault="00D85317" w:rsidP="0048028F">
            <w:pPr>
              <w:suppressAutoHyphens w:val="0"/>
              <w:spacing w:line="240" w:lineRule="auto"/>
              <w:rPr>
                <w:i/>
                <w:iCs/>
                <w:sz w:val="18"/>
                <w:szCs w:val="18"/>
                <w:lang w:val="en-US"/>
              </w:rPr>
            </w:pPr>
            <w:r w:rsidRPr="006F2C5A">
              <w:rPr>
                <w:i/>
                <w:iCs/>
                <w:sz w:val="18"/>
                <w:szCs w:val="18"/>
                <w:lang w:val="en-US"/>
              </w:rPr>
              <w:t>UN/SCETDG/49/INF.20 - (CEFIC)</w:t>
            </w:r>
          </w:p>
        </w:tc>
        <w:tc>
          <w:tcPr>
            <w:tcW w:w="5500" w:type="dxa"/>
            <w:tcBorders>
              <w:top w:val="nil"/>
              <w:left w:val="nil"/>
              <w:right w:val="nil"/>
            </w:tcBorders>
            <w:shd w:val="clear" w:color="auto" w:fill="auto"/>
          </w:tcPr>
          <w:p w14:paraId="3CE5EC3E" w14:textId="4CB14C38" w:rsidR="00D85317" w:rsidRPr="006F2C5A" w:rsidRDefault="00D85317" w:rsidP="0048028F">
            <w:pPr>
              <w:suppressAutoHyphens w:val="0"/>
              <w:spacing w:line="240" w:lineRule="auto"/>
              <w:rPr>
                <w:i/>
                <w:iCs/>
                <w:sz w:val="18"/>
                <w:szCs w:val="18"/>
                <w:lang w:val="en-US"/>
              </w:rPr>
            </w:pPr>
            <w:r w:rsidRPr="006F2C5A">
              <w:rPr>
                <w:i/>
                <w:iCs/>
                <w:sz w:val="18"/>
                <w:szCs w:val="18"/>
                <w:lang w:val="en-US"/>
              </w:rPr>
              <w:t>Transport of energetic samples for further testing</w:t>
            </w:r>
          </w:p>
        </w:tc>
      </w:tr>
      <w:tr w:rsidR="00251238" w:rsidRPr="00A939BF" w14:paraId="59F790C4" w14:textId="77777777" w:rsidTr="00F65B19">
        <w:trPr>
          <w:gridBefore w:val="1"/>
          <w:wBefore w:w="26" w:type="dxa"/>
          <w:cantSplit/>
          <w:trHeight w:val="20"/>
        </w:trPr>
        <w:tc>
          <w:tcPr>
            <w:tcW w:w="3481" w:type="dxa"/>
            <w:tcBorders>
              <w:top w:val="nil"/>
              <w:left w:val="nil"/>
              <w:bottom w:val="nil"/>
              <w:right w:val="nil"/>
            </w:tcBorders>
            <w:shd w:val="clear" w:color="auto" w:fill="E6E6E6"/>
          </w:tcPr>
          <w:p w14:paraId="3395A3E0" w14:textId="27E9998F" w:rsidR="00251238" w:rsidRPr="00A939BF" w:rsidRDefault="00251238" w:rsidP="00F65B19">
            <w:pPr>
              <w:suppressAutoHyphens w:val="0"/>
              <w:spacing w:line="240" w:lineRule="auto"/>
              <w:rPr>
                <w:iCs/>
                <w:sz w:val="18"/>
                <w:szCs w:val="18"/>
                <w:u w:val="single"/>
                <w:lang w:val="en-US"/>
              </w:rPr>
            </w:pPr>
            <w:r>
              <w:rPr>
                <w:iCs/>
                <w:sz w:val="18"/>
                <w:szCs w:val="18"/>
                <w:u w:val="single"/>
                <w:lang w:val="en-US"/>
              </w:rPr>
              <w:t>Agenda Item 7</w:t>
            </w:r>
          </w:p>
        </w:tc>
        <w:tc>
          <w:tcPr>
            <w:tcW w:w="5500" w:type="dxa"/>
            <w:tcBorders>
              <w:top w:val="nil"/>
              <w:left w:val="nil"/>
              <w:bottom w:val="nil"/>
              <w:right w:val="nil"/>
            </w:tcBorders>
            <w:shd w:val="clear" w:color="auto" w:fill="E6E6E6"/>
          </w:tcPr>
          <w:p w14:paraId="0EBC8C7D" w14:textId="6F994895" w:rsidR="00251238" w:rsidRPr="00AF51E4" w:rsidRDefault="00251238" w:rsidP="00F65B19">
            <w:pPr>
              <w:suppressAutoHyphens w:val="0"/>
              <w:spacing w:line="240" w:lineRule="auto"/>
              <w:rPr>
                <w:iCs/>
                <w:sz w:val="18"/>
                <w:szCs w:val="18"/>
                <w:u w:val="single"/>
                <w:lang w:val="en-US"/>
              </w:rPr>
            </w:pPr>
            <w:r w:rsidRPr="00251238">
              <w:rPr>
                <w:iCs/>
                <w:sz w:val="18"/>
                <w:szCs w:val="18"/>
                <w:u w:val="single"/>
                <w:lang w:val="en-US"/>
              </w:rPr>
              <w:t>Global harmonization of transport of dangerous goods regulations with the Model Regulations</w:t>
            </w:r>
          </w:p>
          <w:p w14:paraId="72664F27" w14:textId="77777777" w:rsidR="00251238" w:rsidRPr="00A939BF" w:rsidRDefault="00251238" w:rsidP="00F65B19">
            <w:pPr>
              <w:suppressAutoHyphens w:val="0"/>
              <w:spacing w:line="240" w:lineRule="auto"/>
              <w:rPr>
                <w:iCs/>
                <w:sz w:val="18"/>
                <w:szCs w:val="18"/>
                <w:u w:val="single"/>
                <w:lang w:val="en-US"/>
              </w:rPr>
            </w:pPr>
          </w:p>
        </w:tc>
      </w:tr>
      <w:tr w:rsidR="00251238" w:rsidRPr="00ED0D85" w14:paraId="423065BA" w14:textId="77777777" w:rsidTr="00F65B19">
        <w:trPr>
          <w:gridBefore w:val="1"/>
          <w:wBefore w:w="26" w:type="dxa"/>
          <w:cantSplit/>
          <w:trHeight w:val="20"/>
        </w:trPr>
        <w:tc>
          <w:tcPr>
            <w:tcW w:w="3481" w:type="dxa"/>
            <w:tcBorders>
              <w:top w:val="nil"/>
              <w:left w:val="nil"/>
              <w:bottom w:val="nil"/>
              <w:right w:val="nil"/>
            </w:tcBorders>
            <w:shd w:val="clear" w:color="auto" w:fill="auto"/>
          </w:tcPr>
          <w:p w14:paraId="2E2F8C05" w14:textId="25D1794B" w:rsidR="00251238" w:rsidRPr="006F2C5A" w:rsidRDefault="00251238" w:rsidP="00251238">
            <w:pPr>
              <w:suppressAutoHyphens w:val="0"/>
              <w:spacing w:line="240" w:lineRule="auto"/>
              <w:rPr>
                <w:i/>
                <w:iCs/>
                <w:sz w:val="18"/>
                <w:szCs w:val="18"/>
                <w:lang w:val="en-US"/>
              </w:rPr>
            </w:pPr>
            <w:r w:rsidRPr="006F2C5A">
              <w:rPr>
                <w:i/>
                <w:iCs/>
                <w:sz w:val="18"/>
                <w:szCs w:val="18"/>
                <w:lang w:val="en-US"/>
              </w:rPr>
              <w:t>ST/SG/AC.10/C.3/2016/15 (Romania)</w:t>
            </w:r>
            <w:r w:rsidRPr="006F2C5A">
              <w:rPr>
                <w:i/>
                <w:iCs/>
                <w:sz w:val="18"/>
                <w:szCs w:val="18"/>
                <w:lang w:val="en-US"/>
              </w:rPr>
              <w:br/>
              <w:t>(paras. 11 – 15)</w:t>
            </w:r>
          </w:p>
        </w:tc>
        <w:tc>
          <w:tcPr>
            <w:tcW w:w="5500" w:type="dxa"/>
            <w:tcBorders>
              <w:top w:val="nil"/>
              <w:left w:val="nil"/>
              <w:bottom w:val="nil"/>
              <w:right w:val="nil"/>
            </w:tcBorders>
            <w:shd w:val="clear" w:color="auto" w:fill="auto"/>
          </w:tcPr>
          <w:p w14:paraId="711B5FA0" w14:textId="484FA636" w:rsidR="00251238" w:rsidRPr="006F2C5A" w:rsidRDefault="00251238" w:rsidP="00F65B19">
            <w:pPr>
              <w:suppressAutoHyphens w:val="0"/>
              <w:spacing w:line="240" w:lineRule="auto"/>
              <w:rPr>
                <w:i/>
                <w:iCs/>
                <w:sz w:val="18"/>
                <w:szCs w:val="18"/>
                <w:lang w:val="en-US"/>
              </w:rPr>
            </w:pPr>
            <w:r w:rsidRPr="006F2C5A">
              <w:rPr>
                <w:i/>
                <w:iCs/>
                <w:sz w:val="18"/>
                <w:szCs w:val="18"/>
                <w:lang w:val="en-US"/>
              </w:rPr>
              <w:t>Proposals to insert the definitions “Reference steel” and “Mild steel” in section 1.2.1 of the UN Model Regulations</w:t>
            </w:r>
          </w:p>
        </w:tc>
      </w:tr>
      <w:tr w:rsidR="00ED5940" w:rsidRPr="00A939BF" w14:paraId="1EB2E110" w14:textId="77777777" w:rsidTr="007351E9">
        <w:trPr>
          <w:gridBefore w:val="1"/>
          <w:wBefore w:w="26" w:type="dxa"/>
          <w:cantSplit/>
          <w:trHeight w:val="20"/>
        </w:trPr>
        <w:tc>
          <w:tcPr>
            <w:tcW w:w="3481" w:type="dxa"/>
            <w:tcBorders>
              <w:top w:val="nil"/>
              <w:left w:val="nil"/>
              <w:bottom w:val="nil"/>
              <w:right w:val="nil"/>
            </w:tcBorders>
            <w:shd w:val="clear" w:color="auto" w:fill="E6E6E6"/>
          </w:tcPr>
          <w:p w14:paraId="75D9D637" w14:textId="283A14EB" w:rsidR="00ED5940" w:rsidRPr="00A939BF" w:rsidRDefault="00ED5940" w:rsidP="0048028F">
            <w:pPr>
              <w:suppressAutoHyphens w:val="0"/>
              <w:spacing w:line="240" w:lineRule="auto"/>
              <w:rPr>
                <w:iCs/>
                <w:sz w:val="18"/>
                <w:szCs w:val="18"/>
                <w:u w:val="single"/>
                <w:lang w:val="en-US"/>
              </w:rPr>
            </w:pPr>
            <w:r w:rsidRPr="00AF51E4">
              <w:rPr>
                <w:iCs/>
                <w:sz w:val="18"/>
                <w:szCs w:val="18"/>
                <w:u w:val="single"/>
                <w:lang w:val="en-US"/>
              </w:rPr>
              <w:lastRenderedPageBreak/>
              <w:t>Agenda Item 10(g)</w:t>
            </w:r>
          </w:p>
        </w:tc>
        <w:tc>
          <w:tcPr>
            <w:tcW w:w="5500" w:type="dxa"/>
            <w:tcBorders>
              <w:top w:val="nil"/>
              <w:left w:val="nil"/>
              <w:bottom w:val="nil"/>
              <w:right w:val="nil"/>
            </w:tcBorders>
            <w:shd w:val="clear" w:color="auto" w:fill="E6E6E6"/>
          </w:tcPr>
          <w:p w14:paraId="09AF5A2E" w14:textId="77777777" w:rsidR="00B37D68" w:rsidRPr="00AF51E4" w:rsidRDefault="00B37D68" w:rsidP="0048028F">
            <w:pPr>
              <w:suppressAutoHyphens w:val="0"/>
              <w:spacing w:line="240" w:lineRule="auto"/>
              <w:rPr>
                <w:iCs/>
                <w:sz w:val="18"/>
                <w:szCs w:val="18"/>
                <w:u w:val="single"/>
                <w:lang w:val="en-US"/>
              </w:rPr>
            </w:pPr>
            <w:r w:rsidRPr="00AF51E4">
              <w:rPr>
                <w:iCs/>
                <w:sz w:val="18"/>
                <w:szCs w:val="18"/>
                <w:u w:val="single"/>
                <w:lang w:val="en-US"/>
              </w:rPr>
              <w:t>Use of the Manual of Tests and Criteria in the context of the GHS</w:t>
            </w:r>
          </w:p>
          <w:p w14:paraId="40FC00AE" w14:textId="701F641C" w:rsidR="00ED5940" w:rsidRPr="00A939BF" w:rsidRDefault="00ED5940" w:rsidP="0048028F">
            <w:pPr>
              <w:suppressAutoHyphens w:val="0"/>
              <w:spacing w:line="240" w:lineRule="auto"/>
              <w:rPr>
                <w:iCs/>
                <w:sz w:val="18"/>
                <w:szCs w:val="18"/>
                <w:u w:val="single"/>
                <w:lang w:val="en-US"/>
              </w:rPr>
            </w:pPr>
          </w:p>
        </w:tc>
      </w:tr>
      <w:tr w:rsidR="00ED5940" w:rsidRPr="00B71340" w14:paraId="26E2E46A" w14:textId="77777777" w:rsidTr="00ED5940">
        <w:trPr>
          <w:gridBefore w:val="1"/>
          <w:wBefore w:w="26" w:type="dxa"/>
          <w:cantSplit/>
          <w:trHeight w:val="20"/>
        </w:trPr>
        <w:tc>
          <w:tcPr>
            <w:tcW w:w="3481" w:type="dxa"/>
            <w:tcBorders>
              <w:top w:val="nil"/>
              <w:left w:val="nil"/>
              <w:bottom w:val="nil"/>
              <w:right w:val="nil"/>
            </w:tcBorders>
            <w:shd w:val="clear" w:color="auto" w:fill="auto"/>
          </w:tcPr>
          <w:p w14:paraId="4F70F216" w14:textId="2D11E40B" w:rsidR="00D90BBE" w:rsidRPr="0084734F" w:rsidRDefault="00A939BF" w:rsidP="0048028F">
            <w:pPr>
              <w:suppressAutoHyphens w:val="0"/>
              <w:spacing w:line="240" w:lineRule="auto"/>
              <w:rPr>
                <w:i/>
                <w:iCs/>
                <w:sz w:val="18"/>
                <w:szCs w:val="18"/>
                <w:lang w:val="en-US"/>
              </w:rPr>
            </w:pPr>
            <w:r w:rsidRPr="0084734F">
              <w:rPr>
                <w:i/>
                <w:iCs/>
                <w:sz w:val="18"/>
                <w:szCs w:val="18"/>
                <w:lang w:val="en-US"/>
              </w:rPr>
              <w:t>UN/SCETDG/49/INF.4  (UN/SCEGHS/31/INF.3) and Add.1 – Add.5 (</w:t>
            </w:r>
            <w:r w:rsidR="00784AF8" w:rsidRPr="0084734F">
              <w:rPr>
                <w:i/>
                <w:iCs/>
                <w:sz w:val="18"/>
                <w:szCs w:val="18"/>
                <w:lang w:val="en-US"/>
              </w:rPr>
              <w:t>working group</w:t>
            </w:r>
            <w:r w:rsidRPr="0084734F">
              <w:rPr>
                <w:i/>
                <w:iCs/>
                <w:sz w:val="18"/>
                <w:szCs w:val="18"/>
                <w:lang w:val="en-US"/>
              </w:rPr>
              <w:t xml:space="preserve"> Chair)</w:t>
            </w:r>
          </w:p>
        </w:tc>
        <w:tc>
          <w:tcPr>
            <w:tcW w:w="5500" w:type="dxa"/>
            <w:tcBorders>
              <w:top w:val="nil"/>
              <w:left w:val="nil"/>
              <w:bottom w:val="nil"/>
              <w:right w:val="nil"/>
            </w:tcBorders>
            <w:shd w:val="clear" w:color="auto" w:fill="auto"/>
          </w:tcPr>
          <w:p w14:paraId="3B041693" w14:textId="4FBAA44E" w:rsidR="00D90BBE" w:rsidRPr="0084734F" w:rsidRDefault="00A939BF" w:rsidP="0048028F">
            <w:pPr>
              <w:suppressAutoHyphens w:val="0"/>
              <w:spacing w:line="240" w:lineRule="auto"/>
              <w:rPr>
                <w:i/>
                <w:iCs/>
                <w:sz w:val="18"/>
                <w:szCs w:val="18"/>
                <w:lang w:val="en-US"/>
              </w:rPr>
            </w:pPr>
            <w:r w:rsidRPr="0084734F">
              <w:rPr>
                <w:i/>
                <w:iCs/>
                <w:sz w:val="18"/>
                <w:szCs w:val="18"/>
                <w:lang w:val="en-US"/>
              </w:rPr>
              <w:t>Revision of the Manual of tests and Criteria</w:t>
            </w:r>
          </w:p>
        </w:tc>
      </w:tr>
      <w:tr w:rsidR="00F577FD" w:rsidRPr="00B95E32" w14:paraId="171D90DF" w14:textId="77777777" w:rsidTr="008F0E8A">
        <w:trPr>
          <w:gridBefore w:val="1"/>
          <w:wBefore w:w="26" w:type="dxa"/>
          <w:cantSplit/>
          <w:trHeight w:val="20"/>
        </w:trPr>
        <w:tc>
          <w:tcPr>
            <w:tcW w:w="3481" w:type="dxa"/>
            <w:tcBorders>
              <w:top w:val="nil"/>
              <w:left w:val="nil"/>
              <w:right w:val="nil"/>
            </w:tcBorders>
            <w:shd w:val="clear" w:color="auto" w:fill="auto"/>
          </w:tcPr>
          <w:p w14:paraId="50D15EA0" w14:textId="7F4C9055" w:rsidR="00F577FD" w:rsidRPr="00AF51E4" w:rsidRDefault="00F577FD" w:rsidP="00F577FD">
            <w:pPr>
              <w:suppressAutoHyphens w:val="0"/>
              <w:spacing w:line="240" w:lineRule="auto"/>
              <w:rPr>
                <w:i/>
                <w:iCs/>
                <w:sz w:val="18"/>
                <w:szCs w:val="18"/>
                <w:lang w:val="en-US"/>
              </w:rPr>
            </w:pPr>
            <w:r w:rsidRPr="00C85AFF">
              <w:rPr>
                <w:i/>
                <w:iCs/>
                <w:sz w:val="18"/>
                <w:szCs w:val="18"/>
                <w:lang w:val="en-US"/>
              </w:rPr>
              <w:t>UN/SCETDG/49/INF.</w:t>
            </w:r>
            <w:r>
              <w:rPr>
                <w:i/>
                <w:iCs/>
                <w:sz w:val="18"/>
                <w:szCs w:val="18"/>
                <w:lang w:val="en-US"/>
              </w:rPr>
              <w:t>6</w:t>
            </w:r>
            <w:r w:rsidRPr="00C85AFF">
              <w:rPr>
                <w:i/>
                <w:iCs/>
                <w:sz w:val="18"/>
                <w:szCs w:val="18"/>
                <w:lang w:val="en-US"/>
              </w:rPr>
              <w:t xml:space="preserve"> (UN/SCEGHS/31/INF.</w:t>
            </w:r>
            <w:r>
              <w:rPr>
                <w:i/>
                <w:iCs/>
                <w:sz w:val="18"/>
                <w:szCs w:val="18"/>
                <w:lang w:val="en-US"/>
              </w:rPr>
              <w:t>4</w:t>
            </w:r>
            <w:r w:rsidRPr="00C85AFF">
              <w:rPr>
                <w:i/>
                <w:iCs/>
                <w:sz w:val="18"/>
                <w:szCs w:val="18"/>
                <w:lang w:val="en-US"/>
              </w:rPr>
              <w:t>)</w:t>
            </w:r>
            <w:r>
              <w:rPr>
                <w:i/>
                <w:iCs/>
                <w:sz w:val="18"/>
                <w:szCs w:val="18"/>
                <w:lang w:val="en-US"/>
              </w:rPr>
              <w:t xml:space="preserve"> </w:t>
            </w:r>
            <w:r w:rsidRPr="00C85AFF">
              <w:rPr>
                <w:i/>
                <w:iCs/>
                <w:sz w:val="18"/>
                <w:szCs w:val="18"/>
                <w:lang w:val="en-US"/>
              </w:rPr>
              <w:t>(</w:t>
            </w:r>
            <w:r>
              <w:rPr>
                <w:i/>
                <w:iCs/>
                <w:sz w:val="18"/>
                <w:szCs w:val="18"/>
                <w:lang w:val="en-US"/>
              </w:rPr>
              <w:t>Canada, FEA</w:t>
            </w:r>
            <w:r w:rsidRPr="00C85AFF">
              <w:rPr>
                <w:i/>
                <w:iCs/>
                <w:sz w:val="18"/>
                <w:szCs w:val="18"/>
                <w:lang w:val="en-US"/>
              </w:rPr>
              <w:t>)</w:t>
            </w:r>
          </w:p>
        </w:tc>
        <w:tc>
          <w:tcPr>
            <w:tcW w:w="5500" w:type="dxa"/>
            <w:tcBorders>
              <w:top w:val="nil"/>
              <w:left w:val="nil"/>
              <w:right w:val="nil"/>
            </w:tcBorders>
            <w:shd w:val="clear" w:color="auto" w:fill="auto"/>
          </w:tcPr>
          <w:p w14:paraId="0B27F639" w14:textId="2D9E601B" w:rsidR="00F577FD" w:rsidRPr="00AF51E4" w:rsidRDefault="00F577FD" w:rsidP="00F577FD">
            <w:pPr>
              <w:suppressAutoHyphens w:val="0"/>
              <w:spacing w:line="240" w:lineRule="auto"/>
              <w:rPr>
                <w:i/>
                <w:iCs/>
                <w:sz w:val="18"/>
                <w:szCs w:val="18"/>
                <w:lang w:val="en-US"/>
              </w:rPr>
            </w:pPr>
            <w:r w:rsidRPr="00F577FD">
              <w:rPr>
                <w:i/>
                <w:iCs/>
                <w:sz w:val="18"/>
                <w:szCs w:val="18"/>
                <w:lang w:val="en-US"/>
              </w:rPr>
              <w:t>Proposed amendments to Chapter 31 of Part III of the Manual</w:t>
            </w:r>
          </w:p>
        </w:tc>
      </w:tr>
      <w:tr w:rsidR="00A939BF" w:rsidRPr="00A939BF" w14:paraId="48FB2181" w14:textId="77777777" w:rsidTr="00B055A3">
        <w:trPr>
          <w:gridBefore w:val="1"/>
          <w:wBefore w:w="26" w:type="dxa"/>
          <w:cantSplit/>
          <w:trHeight w:val="20"/>
        </w:trPr>
        <w:tc>
          <w:tcPr>
            <w:tcW w:w="3481" w:type="dxa"/>
            <w:tcBorders>
              <w:top w:val="nil"/>
              <w:left w:val="nil"/>
              <w:bottom w:val="nil"/>
              <w:right w:val="nil"/>
            </w:tcBorders>
            <w:shd w:val="clear" w:color="auto" w:fill="E6E6E6"/>
          </w:tcPr>
          <w:p w14:paraId="3E025B85" w14:textId="35EC1E9D" w:rsidR="00A939BF" w:rsidRPr="00A939BF" w:rsidRDefault="00A939BF" w:rsidP="0048028F">
            <w:pPr>
              <w:suppressAutoHyphens w:val="0"/>
              <w:spacing w:line="240" w:lineRule="auto"/>
              <w:rPr>
                <w:iCs/>
                <w:sz w:val="18"/>
                <w:szCs w:val="18"/>
                <w:u w:val="single"/>
                <w:lang w:val="en-US"/>
              </w:rPr>
            </w:pPr>
            <w:r w:rsidRPr="00AF51E4">
              <w:rPr>
                <w:iCs/>
                <w:sz w:val="18"/>
                <w:szCs w:val="18"/>
                <w:u w:val="single"/>
                <w:lang w:val="en-US"/>
              </w:rPr>
              <w:t>Agenda Item 10(</w:t>
            </w:r>
            <w:proofErr w:type="spellStart"/>
            <w:r>
              <w:rPr>
                <w:iCs/>
                <w:sz w:val="18"/>
                <w:szCs w:val="18"/>
                <w:u w:val="single"/>
                <w:lang w:val="en-US"/>
              </w:rPr>
              <w:t>i</w:t>
            </w:r>
            <w:proofErr w:type="spellEnd"/>
            <w:r w:rsidRPr="00AF51E4">
              <w:rPr>
                <w:iCs/>
                <w:sz w:val="18"/>
                <w:szCs w:val="18"/>
                <w:u w:val="single"/>
                <w:lang w:val="en-US"/>
              </w:rPr>
              <w:t>)</w:t>
            </w:r>
          </w:p>
        </w:tc>
        <w:tc>
          <w:tcPr>
            <w:tcW w:w="5500" w:type="dxa"/>
            <w:tcBorders>
              <w:top w:val="nil"/>
              <w:left w:val="nil"/>
              <w:bottom w:val="nil"/>
              <w:right w:val="nil"/>
            </w:tcBorders>
            <w:shd w:val="clear" w:color="auto" w:fill="E6E6E6"/>
          </w:tcPr>
          <w:p w14:paraId="271E1AE9" w14:textId="6239EB2E" w:rsidR="00A939BF" w:rsidRPr="00A939BF" w:rsidRDefault="00A939BF" w:rsidP="0048028F">
            <w:pPr>
              <w:suppressAutoHyphens w:val="0"/>
              <w:spacing w:line="240" w:lineRule="auto"/>
              <w:rPr>
                <w:iCs/>
                <w:sz w:val="18"/>
                <w:szCs w:val="18"/>
                <w:u w:val="single"/>
                <w:lang w:val="en-US"/>
              </w:rPr>
            </w:pPr>
            <w:r w:rsidRPr="00A939BF">
              <w:rPr>
                <w:iCs/>
                <w:sz w:val="18"/>
                <w:szCs w:val="18"/>
                <w:u w:val="single"/>
                <w:lang w:val="en-US"/>
              </w:rPr>
              <w:t xml:space="preserve">Issues relating to the Globally Harmonized System of Classification and Labelling of Chemicals: miscellaneous </w:t>
            </w:r>
          </w:p>
        </w:tc>
      </w:tr>
      <w:tr w:rsidR="00ED5940" w:rsidRPr="00ED0D85" w14:paraId="4D8332BF" w14:textId="77777777" w:rsidTr="00B56644">
        <w:trPr>
          <w:gridBefore w:val="1"/>
          <w:wBefore w:w="26" w:type="dxa"/>
          <w:cantSplit/>
          <w:trHeight w:val="20"/>
        </w:trPr>
        <w:tc>
          <w:tcPr>
            <w:tcW w:w="3481" w:type="dxa"/>
            <w:tcBorders>
              <w:top w:val="nil"/>
              <w:left w:val="nil"/>
              <w:right w:val="nil"/>
            </w:tcBorders>
            <w:shd w:val="clear" w:color="auto" w:fill="auto"/>
          </w:tcPr>
          <w:p w14:paraId="7A8E21BA" w14:textId="59E86DA9" w:rsidR="00ED5940" w:rsidRPr="0084734F" w:rsidRDefault="00A939BF" w:rsidP="0048028F">
            <w:pPr>
              <w:suppressAutoHyphens w:val="0"/>
              <w:spacing w:line="240" w:lineRule="auto"/>
              <w:rPr>
                <w:i/>
                <w:iCs/>
                <w:sz w:val="18"/>
                <w:szCs w:val="18"/>
                <w:lang w:val="en-US"/>
              </w:rPr>
            </w:pPr>
            <w:r w:rsidRPr="0084734F">
              <w:rPr>
                <w:i/>
                <w:iCs/>
                <w:sz w:val="18"/>
                <w:szCs w:val="18"/>
                <w:lang w:val="en-US"/>
              </w:rPr>
              <w:t>ST/SG/AC.10/C.3/2016/30 (ST/SG/AC.10/C.4/2016/6) - (AEISG, SAAMI)</w:t>
            </w:r>
          </w:p>
        </w:tc>
        <w:tc>
          <w:tcPr>
            <w:tcW w:w="5500" w:type="dxa"/>
            <w:tcBorders>
              <w:top w:val="nil"/>
              <w:left w:val="nil"/>
              <w:right w:val="nil"/>
            </w:tcBorders>
            <w:shd w:val="clear" w:color="auto" w:fill="auto"/>
          </w:tcPr>
          <w:p w14:paraId="39B0C505" w14:textId="2DC7C057" w:rsidR="00ED5940" w:rsidRPr="0084734F" w:rsidRDefault="00A939BF" w:rsidP="0048028F">
            <w:pPr>
              <w:suppressAutoHyphens w:val="0"/>
              <w:spacing w:line="240" w:lineRule="auto"/>
              <w:rPr>
                <w:i/>
                <w:iCs/>
                <w:sz w:val="18"/>
                <w:szCs w:val="18"/>
                <w:lang w:val="en-US"/>
              </w:rPr>
            </w:pPr>
            <w:r w:rsidRPr="0084734F">
              <w:rPr>
                <w:i/>
                <w:iCs/>
                <w:sz w:val="18"/>
                <w:szCs w:val="18"/>
                <w:lang w:val="en-US"/>
              </w:rPr>
              <w:t xml:space="preserve">Clarification of the classification criteria for </w:t>
            </w:r>
            <w:proofErr w:type="spellStart"/>
            <w:r w:rsidRPr="0084734F">
              <w:rPr>
                <w:i/>
                <w:iCs/>
                <w:sz w:val="18"/>
                <w:szCs w:val="18"/>
                <w:lang w:val="en-US"/>
              </w:rPr>
              <w:t>desensitised</w:t>
            </w:r>
            <w:proofErr w:type="spellEnd"/>
            <w:r w:rsidRPr="0084734F">
              <w:rPr>
                <w:i/>
                <w:iCs/>
                <w:sz w:val="18"/>
                <w:szCs w:val="18"/>
                <w:lang w:val="en-US"/>
              </w:rPr>
              <w:t xml:space="preserve"> explosives in GHS</w:t>
            </w:r>
          </w:p>
        </w:tc>
      </w:tr>
    </w:tbl>
    <w:p w14:paraId="7DF4171E" w14:textId="77777777" w:rsidR="00944445" w:rsidRPr="00EC512C" w:rsidRDefault="00944445" w:rsidP="0048028F">
      <w:pPr>
        <w:pStyle w:val="HChG"/>
        <w:spacing w:line="240" w:lineRule="auto"/>
        <w:ind w:left="1138" w:right="43" w:firstLine="0"/>
      </w:pPr>
      <w:r w:rsidRPr="00A75CF8">
        <w:t xml:space="preserve">Agenda Item 2(a) – </w:t>
      </w:r>
      <w:r w:rsidR="00EC512C" w:rsidRPr="00A75CF8">
        <w:t>Tests and criteria for flash compositions</w:t>
      </w:r>
    </w:p>
    <w:p w14:paraId="1827D442" w14:textId="74F0ECD5" w:rsidR="00E55E2B" w:rsidRPr="00072495" w:rsidRDefault="00092CF5" w:rsidP="0048028F">
      <w:pPr>
        <w:pStyle w:val="SingleTxtG"/>
        <w:keepNext/>
        <w:numPr>
          <w:ilvl w:val="0"/>
          <w:numId w:val="4"/>
        </w:numPr>
        <w:spacing w:after="240" w:line="240" w:lineRule="auto"/>
        <w:ind w:right="43"/>
      </w:pPr>
      <w:r w:rsidRPr="00072495">
        <w:rPr>
          <w:b/>
          <w:u w:val="single"/>
        </w:rPr>
        <w:t>Subject:</w:t>
      </w:r>
      <w:r w:rsidR="00E55E2B" w:rsidRPr="00072495">
        <w:t xml:space="preserve">  </w:t>
      </w:r>
      <w:r w:rsidR="002C4580" w:rsidRPr="00072495">
        <w:rPr>
          <w:iCs/>
          <w:lang w:val="en-US"/>
        </w:rPr>
        <w:t>Updates to the US and HSL flash composition tests</w:t>
      </w:r>
    </w:p>
    <w:p w14:paraId="4B06B347" w14:textId="42D28747" w:rsidR="00E55E2B" w:rsidRPr="00072495" w:rsidRDefault="00E55E2B" w:rsidP="007B7E53">
      <w:pPr>
        <w:pStyle w:val="SingleTxtG"/>
        <w:spacing w:after="240" w:line="240" w:lineRule="auto"/>
        <w:ind w:left="3700" w:right="39" w:hanging="2001"/>
        <w:jc w:val="left"/>
        <w:rPr>
          <w:i/>
          <w:iCs/>
          <w:lang w:val="en-US"/>
        </w:rPr>
      </w:pPr>
      <w:r w:rsidRPr="00072495">
        <w:rPr>
          <w:i/>
        </w:rPr>
        <w:t>Documents:</w:t>
      </w:r>
      <w:r w:rsidRPr="00072495">
        <w:rPr>
          <w:i/>
        </w:rPr>
        <w:tab/>
      </w:r>
      <w:r w:rsidR="00B11B4B" w:rsidRPr="00072495">
        <w:rPr>
          <w:i/>
          <w:iCs/>
          <w:lang w:val="en-US"/>
        </w:rPr>
        <w:t>ST/SG/AC.</w:t>
      </w:r>
      <w:r w:rsidR="007B7E53" w:rsidRPr="00072495">
        <w:rPr>
          <w:i/>
          <w:iCs/>
          <w:lang w:val="en-US"/>
        </w:rPr>
        <w:t>1</w:t>
      </w:r>
      <w:r w:rsidR="007B7E53">
        <w:rPr>
          <w:i/>
          <w:iCs/>
          <w:lang w:val="en-US"/>
        </w:rPr>
        <w:t>0</w:t>
      </w:r>
      <w:r w:rsidR="00B11B4B" w:rsidRPr="00072495">
        <w:rPr>
          <w:i/>
          <w:iCs/>
          <w:lang w:val="en-US"/>
        </w:rPr>
        <w:t>/C.3/96 para 11 and Add.1 (annexes I and II)</w:t>
      </w:r>
    </w:p>
    <w:p w14:paraId="5B1899AF" w14:textId="7C22CB4E" w:rsidR="00E55E2B" w:rsidRPr="00072495" w:rsidRDefault="00E55E2B" w:rsidP="0048028F">
      <w:pPr>
        <w:pStyle w:val="SingleTxtG"/>
        <w:spacing w:after="240" w:line="240" w:lineRule="auto"/>
        <w:ind w:left="3700" w:right="39" w:hanging="2001"/>
        <w:jc w:val="left"/>
        <w:rPr>
          <w:i/>
          <w:iCs/>
          <w:lang w:val="en-US"/>
        </w:rPr>
      </w:pPr>
      <w:r w:rsidRPr="00072495">
        <w:rPr>
          <w:i/>
        </w:rPr>
        <w:t xml:space="preserve">Informal documents: </w:t>
      </w:r>
      <w:r w:rsidRPr="00072495">
        <w:rPr>
          <w:i/>
        </w:rPr>
        <w:tab/>
      </w:r>
      <w:r w:rsidR="00F40A38" w:rsidRPr="00072495">
        <w:rPr>
          <w:i/>
        </w:rPr>
        <w:t>None</w:t>
      </w:r>
    </w:p>
    <w:p w14:paraId="280DBC93" w14:textId="57074FCC" w:rsidR="00514043" w:rsidRPr="00072495" w:rsidRDefault="00E55E2B" w:rsidP="0048028F">
      <w:pPr>
        <w:pStyle w:val="SingleTxtG"/>
        <w:spacing w:after="240" w:line="240" w:lineRule="auto"/>
        <w:ind w:left="1701" w:right="39"/>
      </w:pPr>
      <w:r w:rsidRPr="00072495">
        <w:rPr>
          <w:b/>
          <w:u w:val="single"/>
        </w:rPr>
        <w:t>Discussion:</w:t>
      </w:r>
      <w:r w:rsidR="00BA6AB8" w:rsidRPr="00072495">
        <w:t xml:space="preserve">  </w:t>
      </w:r>
      <w:r w:rsidR="00B11B4B" w:rsidRPr="00072495">
        <w:t>The report from the 47</w:t>
      </w:r>
      <w:r w:rsidR="00B11B4B" w:rsidRPr="00072495">
        <w:rPr>
          <w:vertAlign w:val="superscript"/>
        </w:rPr>
        <w:t>th</w:t>
      </w:r>
      <w:r w:rsidR="00B11B4B" w:rsidRPr="00072495">
        <w:t xml:space="preserve"> session states that the sub-committee accepted proposals 1 – 8 as shown in </w:t>
      </w:r>
      <w:r w:rsidR="004B0A33">
        <w:t>C.3/96/</w:t>
      </w:r>
      <w:r w:rsidR="00B11B4B" w:rsidRPr="00072495">
        <w:t xml:space="preserve">Add.1.   Some text in the adopted text </w:t>
      </w:r>
      <w:proofErr w:type="gramStart"/>
      <w:r w:rsidR="00B11B4B" w:rsidRPr="00072495">
        <w:t>was placed</w:t>
      </w:r>
      <w:proofErr w:type="gramEnd"/>
      <w:r w:rsidR="00B11B4B" w:rsidRPr="00072495">
        <w:t xml:space="preserve"> in square brackets and has yet to be accepted.  Adopted text </w:t>
      </w:r>
      <w:proofErr w:type="gramStart"/>
      <w:r w:rsidR="00B11B4B" w:rsidRPr="00072495">
        <w:t>may be found</w:t>
      </w:r>
      <w:proofErr w:type="gramEnd"/>
      <w:r w:rsidR="00B11B4B" w:rsidRPr="00072495">
        <w:t xml:space="preserve"> in Add.1:</w:t>
      </w:r>
    </w:p>
    <w:p w14:paraId="3305A107" w14:textId="73E4D90B" w:rsidR="00514043" w:rsidRPr="00072495" w:rsidRDefault="00246803" w:rsidP="004B0A33">
      <w:pPr>
        <w:pStyle w:val="SingleTxtG"/>
        <w:numPr>
          <w:ilvl w:val="0"/>
          <w:numId w:val="9"/>
        </w:numPr>
        <w:spacing w:after="0" w:line="240" w:lineRule="auto"/>
        <w:ind w:left="2419" w:right="43"/>
      </w:pPr>
      <w:r w:rsidRPr="00072495">
        <w:t xml:space="preserve">Annex I, </w:t>
      </w:r>
      <w:r w:rsidR="00B11B4B" w:rsidRPr="004B0A33">
        <w:t>Appendix 7</w:t>
      </w:r>
      <w:r w:rsidR="00C37CE0" w:rsidRPr="00072495">
        <w:t xml:space="preserve">  </w:t>
      </w:r>
    </w:p>
    <w:p w14:paraId="6C6E3CE5" w14:textId="20ADAF30" w:rsidR="00A750CC" w:rsidRDefault="00246803" w:rsidP="0048028F">
      <w:pPr>
        <w:pStyle w:val="SingleTxtG"/>
        <w:numPr>
          <w:ilvl w:val="0"/>
          <w:numId w:val="9"/>
        </w:numPr>
        <w:spacing w:after="240" w:line="240" w:lineRule="auto"/>
        <w:ind w:right="39"/>
      </w:pPr>
      <w:r w:rsidRPr="00072495">
        <w:t xml:space="preserve">Annex II, </w:t>
      </w:r>
      <w:r w:rsidRPr="004B0A33">
        <w:t>Chapter 2.1</w:t>
      </w:r>
    </w:p>
    <w:p w14:paraId="422679DD" w14:textId="48860705" w:rsidR="00516EAC" w:rsidRPr="00072495" w:rsidRDefault="00516EAC" w:rsidP="00516EAC">
      <w:pPr>
        <w:pStyle w:val="SingleTxtG"/>
        <w:spacing w:after="240" w:line="240" w:lineRule="auto"/>
        <w:ind w:left="1701" w:right="39"/>
      </w:pPr>
      <w:r>
        <w:t xml:space="preserve">The working group noted that in C.3/96/Add.1 (Annex 1, Appendix 7) the term “lifting charge” still appears in new section 2.4 and </w:t>
      </w:r>
      <w:proofErr w:type="gramStart"/>
      <w:r>
        <w:t>should be replaced</w:t>
      </w:r>
      <w:proofErr w:type="gramEnd"/>
      <w:r>
        <w:t xml:space="preserve"> with “propellant charge”.</w:t>
      </w:r>
    </w:p>
    <w:p w14:paraId="12A62FB3" w14:textId="77777777" w:rsidR="00D03CE2" w:rsidRDefault="00F90627" w:rsidP="0048028F">
      <w:pPr>
        <w:pStyle w:val="SingleTxtG"/>
        <w:spacing w:after="240" w:line="240" w:lineRule="auto"/>
        <w:ind w:left="1701" w:right="39"/>
      </w:pPr>
      <w:r w:rsidRPr="00072495">
        <w:rPr>
          <w:b/>
          <w:u w:val="single"/>
        </w:rPr>
        <w:t>Conclusion:</w:t>
      </w:r>
      <w:r w:rsidRPr="00072495">
        <w:t xml:space="preserve"> </w:t>
      </w:r>
      <w:r w:rsidR="00A24A2C" w:rsidRPr="00072495">
        <w:t xml:space="preserve">  </w:t>
      </w:r>
      <w:r w:rsidR="00D03CE2" w:rsidRPr="00D03CE2">
        <w:t xml:space="preserve">The working group accepted the revisions shown in C.3/96 Add.1 (annexes </w:t>
      </w:r>
      <w:proofErr w:type="gramStart"/>
      <w:r w:rsidR="00D03CE2" w:rsidRPr="00D03CE2">
        <w:t>I and II</w:t>
      </w:r>
      <w:proofErr w:type="gramEnd"/>
      <w:r w:rsidR="00D03CE2" w:rsidRPr="00D03CE2">
        <w:t>) and the revision to change “lifting charge” to “propellant charge” in new section 2.4 (C.3/96/Add.1</w:t>
      </w:r>
      <w:r w:rsidR="00D03CE2">
        <w:t>, Annex I</w:t>
      </w:r>
      <w:r w:rsidR="00D03CE2" w:rsidRPr="00D03CE2">
        <w:t xml:space="preserve">) and recommended removal of the square brackets from those revisions.  </w:t>
      </w:r>
    </w:p>
    <w:p w14:paraId="7EFD1347" w14:textId="73D6CDE8" w:rsidR="004F7FF4" w:rsidRDefault="00D03CE2" w:rsidP="0048028F">
      <w:pPr>
        <w:pStyle w:val="SingleTxtG"/>
        <w:spacing w:after="240" w:line="240" w:lineRule="auto"/>
        <w:ind w:left="1701" w:right="39"/>
      </w:pPr>
      <w:r w:rsidRPr="00D03CE2">
        <w:t xml:space="preserve">See C.3/96 Add.1 (annexes </w:t>
      </w:r>
      <w:proofErr w:type="gramStart"/>
      <w:r w:rsidRPr="00D03CE2">
        <w:t>I and II</w:t>
      </w:r>
      <w:proofErr w:type="gramEnd"/>
      <w:r w:rsidRPr="00D03CE2">
        <w:t>), revisions to Appendix 7 and to Chapter 2.1 for amendments.  See below for revision to new section 2.4 (C.3/96/Add.1</w:t>
      </w:r>
      <w:r>
        <w:t xml:space="preserve">, </w:t>
      </w:r>
      <w:r w:rsidRPr="00D03CE2">
        <w:t>Annex I):</w:t>
      </w:r>
    </w:p>
    <w:p w14:paraId="2560222F" w14:textId="7321BAAF" w:rsidR="00516EAC" w:rsidRPr="00C57D44" w:rsidRDefault="00516EAC" w:rsidP="00900AA2">
      <w:pPr>
        <w:pStyle w:val="H1G"/>
        <w:ind w:left="2430" w:firstLine="0"/>
        <w:rPr>
          <w:sz w:val="20"/>
        </w:rPr>
      </w:pPr>
      <w:r>
        <w:rPr>
          <w:sz w:val="20"/>
          <w:lang w:eastAsia="ja-JP"/>
        </w:rPr>
        <w:t>“</w:t>
      </w:r>
      <w:r w:rsidRPr="00C57D44">
        <w:rPr>
          <w:sz w:val="20"/>
          <w:lang w:eastAsia="ja-JP"/>
        </w:rPr>
        <w:t>2.4</w:t>
      </w:r>
      <w:r w:rsidR="00C50A7B" w:rsidRPr="00C57D44">
        <w:rPr>
          <w:sz w:val="20"/>
          <w:lang w:eastAsia="ja-JP"/>
        </w:rPr>
        <w:tab/>
      </w:r>
      <w:r w:rsidR="00C50A7B">
        <w:rPr>
          <w:sz w:val="20"/>
          <w:lang w:eastAsia="ja-JP"/>
        </w:rPr>
        <w:t xml:space="preserve"> </w:t>
      </w:r>
      <w:r w:rsidR="00C50A7B" w:rsidRPr="00C50A7B">
        <w:rPr>
          <w:i/>
          <w:sz w:val="20"/>
          <w:lang w:eastAsia="ja-JP"/>
        </w:rPr>
        <w:t>Test</w:t>
      </w:r>
      <w:r w:rsidRPr="00C57D44">
        <w:rPr>
          <w:i/>
          <w:sz w:val="20"/>
        </w:rPr>
        <w:t xml:space="preserve"> criteria and method of assessing results</w:t>
      </w:r>
    </w:p>
    <w:p w14:paraId="740C3984" w14:textId="13A1494C" w:rsidR="00516EAC" w:rsidRPr="00C57D44" w:rsidRDefault="00516EAC" w:rsidP="007B7E53">
      <w:pPr>
        <w:pStyle w:val="SingleTxtG"/>
        <w:ind w:left="2430"/>
      </w:pPr>
      <w:r w:rsidRPr="00C57D44">
        <w:tab/>
        <w:t xml:space="preserve">The result is considered positive “+” and the pyrotechnic substances in powder form or as pyrotechnic units as presented in the fireworks, that are used in waterfalls, or to produce an aural effect, or used as a bursting charge or </w:t>
      </w:r>
      <w:r w:rsidRPr="00516EAC">
        <w:rPr>
          <w:color w:val="0070C0"/>
          <w:u w:val="single"/>
        </w:rPr>
        <w:t xml:space="preserve">propellant </w:t>
      </w:r>
      <w:r w:rsidRPr="00516EAC">
        <w:rPr>
          <w:strike/>
          <w:color w:val="FF0000"/>
        </w:rPr>
        <w:t xml:space="preserve">lifting </w:t>
      </w:r>
      <w:r w:rsidRPr="00C57D44">
        <w:t>charge,</w:t>
      </w:r>
      <w:r w:rsidR="00692C91">
        <w:t xml:space="preserve"> </w:t>
      </w:r>
      <w:proofErr w:type="spellStart"/>
      <w:r w:rsidR="00692C91" w:rsidRPr="00692C91">
        <w:rPr>
          <w:strike/>
          <w:color w:val="FF0000"/>
        </w:rPr>
        <w:t>is</w:t>
      </w:r>
      <w:r w:rsidR="00692C91" w:rsidRPr="00692C91">
        <w:rPr>
          <w:color w:val="0070C0"/>
          <w:u w:val="single"/>
        </w:rPr>
        <w:t>are</w:t>
      </w:r>
      <w:proofErr w:type="spellEnd"/>
      <w:r w:rsidRPr="00C57D44">
        <w:t xml:space="preserve"> to be con</w:t>
      </w:r>
      <w:r>
        <w:t>sidered as flash composition</w:t>
      </w:r>
      <w:r w:rsidR="007B7E53" w:rsidRPr="00692C91">
        <w:rPr>
          <w:color w:val="0070C0"/>
          <w:u w:val="single"/>
        </w:rPr>
        <w:t>s</w:t>
      </w:r>
      <w:r>
        <w:t xml:space="preserve"> if …”</w:t>
      </w:r>
    </w:p>
    <w:p w14:paraId="4E2F85E1" w14:textId="77777777" w:rsidR="00516EAC" w:rsidRPr="00072495" w:rsidRDefault="00516EAC" w:rsidP="0048028F">
      <w:pPr>
        <w:pStyle w:val="SingleTxtG"/>
        <w:spacing w:after="240" w:line="240" w:lineRule="auto"/>
        <w:ind w:left="1701" w:right="39"/>
        <w:rPr>
          <w:color w:val="FF0000"/>
        </w:rPr>
      </w:pPr>
    </w:p>
    <w:p w14:paraId="0B15DC3E" w14:textId="77777777" w:rsidR="007D712E" w:rsidRPr="00950D47" w:rsidRDefault="007D712E" w:rsidP="0048028F">
      <w:pPr>
        <w:pStyle w:val="HChG"/>
        <w:spacing w:line="240" w:lineRule="auto"/>
        <w:ind w:left="1138" w:right="39" w:firstLine="0"/>
      </w:pPr>
      <w:r w:rsidRPr="00A75CF8">
        <w:lastRenderedPageBreak/>
        <w:t>Agenda Item 2(</w:t>
      </w:r>
      <w:r w:rsidR="00C416E5" w:rsidRPr="00A75CF8">
        <w:t>b</w:t>
      </w:r>
      <w:r w:rsidRPr="00A75CF8">
        <w:t xml:space="preserve">) – </w:t>
      </w:r>
      <w:r w:rsidR="00806E2D" w:rsidRPr="00A75CF8">
        <w:t xml:space="preserve">Review of </w:t>
      </w:r>
      <w:r w:rsidR="00504730">
        <w:t>Test Series</w:t>
      </w:r>
      <w:r w:rsidR="00806E2D" w:rsidRPr="00A75CF8">
        <w:t xml:space="preserve"> 6</w:t>
      </w:r>
      <w:r>
        <w:t xml:space="preserve"> </w:t>
      </w:r>
    </w:p>
    <w:p w14:paraId="60AEDB3D" w14:textId="18864DE1" w:rsidR="00BA6AB8" w:rsidRPr="004F1D03" w:rsidRDefault="00C63FA6" w:rsidP="0048028F">
      <w:pPr>
        <w:pStyle w:val="SingleTxtG"/>
        <w:keepNext/>
        <w:numPr>
          <w:ilvl w:val="0"/>
          <w:numId w:val="4"/>
        </w:numPr>
        <w:spacing w:after="240" w:line="240" w:lineRule="auto"/>
        <w:ind w:right="43"/>
      </w:pPr>
      <w:r w:rsidRPr="00952B42">
        <w:t>No documents were submitted</w:t>
      </w:r>
    </w:p>
    <w:p w14:paraId="5956021D" w14:textId="02857D45" w:rsidR="00944445" w:rsidRPr="00950D47" w:rsidRDefault="00944445" w:rsidP="0048028F">
      <w:pPr>
        <w:pStyle w:val="HChG"/>
        <w:spacing w:line="240" w:lineRule="auto"/>
        <w:ind w:left="1138" w:right="43" w:firstLine="0"/>
      </w:pPr>
      <w:r w:rsidRPr="00A75CF8">
        <w:t xml:space="preserve">Agenda Item 2(c) – </w:t>
      </w:r>
      <w:r w:rsidR="00D12966" w:rsidRPr="00A75CF8">
        <w:t>Review of tests in parts I and II of the Manual of Tests and Criteria</w:t>
      </w:r>
      <w:r w:rsidR="002E1A64">
        <w:rPr>
          <w:rStyle w:val="FootnoteReference"/>
        </w:rPr>
        <w:footnoteReference w:id="2"/>
      </w:r>
      <w:r>
        <w:t xml:space="preserve"> </w:t>
      </w:r>
    </w:p>
    <w:p w14:paraId="539BF464" w14:textId="26DCABC5" w:rsidR="00BA6AB8" w:rsidRPr="00072495" w:rsidRDefault="00BA6AB8" w:rsidP="0048028F">
      <w:pPr>
        <w:pStyle w:val="SingleTxtG"/>
        <w:keepNext/>
        <w:numPr>
          <w:ilvl w:val="0"/>
          <w:numId w:val="4"/>
        </w:numPr>
        <w:spacing w:after="240" w:line="240" w:lineRule="auto"/>
        <w:ind w:right="43"/>
      </w:pPr>
      <w:r w:rsidRPr="00072495">
        <w:rPr>
          <w:b/>
          <w:u w:val="single"/>
        </w:rPr>
        <w:t>Subject:</w:t>
      </w:r>
      <w:r w:rsidRPr="00072495">
        <w:t xml:space="preserve">  </w:t>
      </w:r>
      <w:r w:rsidR="00697B82" w:rsidRPr="00072495">
        <w:t xml:space="preserve">Improvements to </w:t>
      </w:r>
      <w:proofErr w:type="spellStart"/>
      <w:r w:rsidR="00697B82" w:rsidRPr="00072495">
        <w:t>Koenen</w:t>
      </w:r>
      <w:proofErr w:type="spellEnd"/>
      <w:r w:rsidR="00697B82" w:rsidRPr="00072495">
        <w:t xml:space="preserve"> Test</w:t>
      </w:r>
    </w:p>
    <w:p w14:paraId="20FB82B6" w14:textId="26561120" w:rsidR="00BA6AB8" w:rsidRPr="00072495" w:rsidRDefault="00BA6AB8" w:rsidP="0048028F">
      <w:pPr>
        <w:pStyle w:val="SingleTxtG"/>
        <w:spacing w:after="240" w:line="240" w:lineRule="auto"/>
        <w:ind w:left="3700" w:right="39" w:hanging="2001"/>
        <w:jc w:val="left"/>
        <w:rPr>
          <w:i/>
          <w:iCs/>
          <w:lang w:val="en-US"/>
        </w:rPr>
      </w:pPr>
      <w:r w:rsidRPr="00072495">
        <w:rPr>
          <w:i/>
        </w:rPr>
        <w:t>Documents:</w:t>
      </w:r>
      <w:r w:rsidRPr="00072495">
        <w:rPr>
          <w:i/>
        </w:rPr>
        <w:tab/>
      </w:r>
      <w:r w:rsidR="00C40C26" w:rsidRPr="00072495">
        <w:rPr>
          <w:i/>
          <w:iCs/>
          <w:lang w:val="en-US"/>
        </w:rPr>
        <w:t>ST/SG/AC.10/C.3</w:t>
      </w:r>
      <w:r w:rsidR="004276FE" w:rsidRPr="00072495">
        <w:rPr>
          <w:i/>
          <w:iCs/>
          <w:lang w:val="en-US"/>
        </w:rPr>
        <w:t>/2016/</w:t>
      </w:r>
      <w:r w:rsidR="00C15AEC" w:rsidRPr="00072495">
        <w:rPr>
          <w:i/>
          <w:iCs/>
          <w:lang w:val="en-US"/>
        </w:rPr>
        <w:t>6</w:t>
      </w:r>
      <w:r w:rsidR="00C40C26" w:rsidRPr="00072495">
        <w:rPr>
          <w:i/>
          <w:iCs/>
          <w:lang w:val="en-US"/>
        </w:rPr>
        <w:t xml:space="preserve"> (</w:t>
      </w:r>
      <w:r w:rsidR="00C15AEC" w:rsidRPr="00072495">
        <w:rPr>
          <w:i/>
          <w:iCs/>
          <w:lang w:val="en-US"/>
        </w:rPr>
        <w:t>Germany</w:t>
      </w:r>
      <w:r w:rsidR="00C40C26" w:rsidRPr="00072495">
        <w:rPr>
          <w:i/>
          <w:iCs/>
          <w:lang w:val="en-US"/>
        </w:rPr>
        <w:t>)</w:t>
      </w:r>
    </w:p>
    <w:p w14:paraId="6BD2468C" w14:textId="07F962F1" w:rsidR="00BA6AB8" w:rsidRPr="00ED63EC" w:rsidRDefault="00BA6AB8" w:rsidP="0048028F">
      <w:pPr>
        <w:pStyle w:val="SingleTxtG"/>
        <w:spacing w:after="240" w:line="240" w:lineRule="auto"/>
        <w:ind w:left="3700" w:right="39" w:hanging="2001"/>
        <w:jc w:val="left"/>
        <w:rPr>
          <w:i/>
          <w:iCs/>
          <w:lang w:val="fr-CH"/>
        </w:rPr>
      </w:pPr>
      <w:r w:rsidRPr="00ED63EC">
        <w:rPr>
          <w:i/>
          <w:lang w:val="fr-CH"/>
        </w:rPr>
        <w:t xml:space="preserve">Informal </w:t>
      </w:r>
      <w:proofErr w:type="gramStart"/>
      <w:r w:rsidRPr="00ED63EC">
        <w:rPr>
          <w:i/>
          <w:lang w:val="fr-CH"/>
        </w:rPr>
        <w:t>documents:</w:t>
      </w:r>
      <w:proofErr w:type="gramEnd"/>
      <w:r w:rsidRPr="00ED63EC">
        <w:rPr>
          <w:i/>
          <w:lang w:val="fr-CH"/>
        </w:rPr>
        <w:t xml:space="preserve"> </w:t>
      </w:r>
      <w:r w:rsidRPr="00ED63EC">
        <w:rPr>
          <w:i/>
          <w:lang w:val="fr-CH"/>
        </w:rPr>
        <w:tab/>
      </w:r>
      <w:r w:rsidR="00561F2C" w:rsidRPr="00ED63EC">
        <w:rPr>
          <w:i/>
          <w:lang w:val="fr-CH"/>
        </w:rPr>
        <w:t>UN/SCETDG</w:t>
      </w:r>
      <w:r w:rsidR="00A264E1" w:rsidRPr="00ED63EC">
        <w:rPr>
          <w:i/>
          <w:lang w:val="fr-CH"/>
        </w:rPr>
        <w:t>/49/</w:t>
      </w:r>
      <w:r w:rsidR="00561F2C" w:rsidRPr="00ED63EC">
        <w:rPr>
          <w:i/>
          <w:lang w:val="fr-CH"/>
        </w:rPr>
        <w:t>INF.</w:t>
      </w:r>
      <w:r w:rsidR="00C15AEC" w:rsidRPr="00ED63EC">
        <w:rPr>
          <w:i/>
          <w:lang w:val="fr-CH"/>
        </w:rPr>
        <w:t>27</w:t>
      </w:r>
      <w:r w:rsidR="00561F2C" w:rsidRPr="00ED63EC">
        <w:rPr>
          <w:i/>
          <w:lang w:val="fr-CH"/>
        </w:rPr>
        <w:t xml:space="preserve"> (</w:t>
      </w:r>
      <w:r w:rsidR="00C15AEC" w:rsidRPr="00ED63EC">
        <w:rPr>
          <w:i/>
          <w:lang w:val="fr-CH"/>
        </w:rPr>
        <w:t>Germany</w:t>
      </w:r>
      <w:r w:rsidR="00561F2C" w:rsidRPr="00ED63EC">
        <w:rPr>
          <w:i/>
          <w:lang w:val="fr-CH"/>
        </w:rPr>
        <w:t>)</w:t>
      </w:r>
    </w:p>
    <w:p w14:paraId="2493E228" w14:textId="14451505" w:rsidR="005F02A0" w:rsidRPr="00072495" w:rsidRDefault="00DA0AE3" w:rsidP="005F02A0">
      <w:pPr>
        <w:pStyle w:val="SingleTxtG"/>
        <w:spacing w:after="240" w:line="240" w:lineRule="auto"/>
        <w:ind w:left="1699" w:right="39"/>
      </w:pPr>
      <w:r w:rsidRPr="00072495">
        <w:rPr>
          <w:b/>
          <w:u w:val="single"/>
        </w:rPr>
        <w:t>Discussion:</w:t>
      </w:r>
      <w:r w:rsidRPr="00072495">
        <w:t xml:space="preserve">  </w:t>
      </w:r>
      <w:r w:rsidR="005F02A0" w:rsidRPr="00072495">
        <w:t xml:space="preserve">At the 47th session, Germany proposed to amend the quality requirement of the steel tube in the </w:t>
      </w:r>
      <w:proofErr w:type="spellStart"/>
      <w:r w:rsidR="005F02A0" w:rsidRPr="00072495">
        <w:t>Koenen</w:t>
      </w:r>
      <w:proofErr w:type="spellEnd"/>
      <w:r w:rsidR="005F02A0" w:rsidRPr="00072495">
        <w:t xml:space="preserve"> Test (ST/SG/AC.10/C.3/2015/4).  The </w:t>
      </w:r>
      <w:r w:rsidR="00F67F55">
        <w:t>Sub-Committee</w:t>
      </w:r>
      <w:r w:rsidR="005F02A0" w:rsidRPr="00072495">
        <w:t xml:space="preserve"> encouraged Germany to continue research into replacement materials for the unavailable tube steel and prepare a revised </w:t>
      </w:r>
      <w:proofErr w:type="gramStart"/>
      <w:r w:rsidR="005F02A0" w:rsidRPr="00072495">
        <w:t>proposal which</w:t>
      </w:r>
      <w:proofErr w:type="gramEnd"/>
      <w:r w:rsidR="005F02A0" w:rsidRPr="00072495">
        <w:t xml:space="preserve"> consider</w:t>
      </w:r>
      <w:r w:rsidR="00F67F55">
        <w:t>ed</w:t>
      </w:r>
      <w:r w:rsidR="005F02A0" w:rsidRPr="00072495">
        <w:t xml:space="preserve"> the comments of the working group on explosives.  The </w:t>
      </w:r>
      <w:r w:rsidR="00F67F55">
        <w:t>UK</w:t>
      </w:r>
      <w:r w:rsidR="005F02A0" w:rsidRPr="00072495">
        <w:t xml:space="preserve">, CEFIC and IME suggested running comparison tests on pharmaceutical and ANE samples.  </w:t>
      </w:r>
    </w:p>
    <w:p w14:paraId="1485F51B" w14:textId="0FC78893" w:rsidR="00DA0AE3" w:rsidRPr="00072495" w:rsidRDefault="005F02A0" w:rsidP="005F02A0">
      <w:pPr>
        <w:pStyle w:val="SingleTxtG"/>
        <w:spacing w:after="240" w:line="240" w:lineRule="auto"/>
        <w:ind w:left="1699" w:right="39"/>
      </w:pPr>
      <w:r w:rsidRPr="00072495">
        <w:t xml:space="preserve">As of the writing of 2016/6, Germany had not received any further test results, so it executed comparison tests with ANE samples and reports on those in </w:t>
      </w:r>
      <w:r w:rsidR="00CF24ED">
        <w:t>49/INF.</w:t>
      </w:r>
      <w:r w:rsidRPr="00072495">
        <w:t xml:space="preserve">27.  The tests were done on </w:t>
      </w:r>
      <w:proofErr w:type="gramStart"/>
      <w:r w:rsidRPr="00072495">
        <w:t>2</w:t>
      </w:r>
      <w:proofErr w:type="gramEnd"/>
      <w:r w:rsidRPr="00072495">
        <w:t xml:space="preserve"> emulsions with 6 trials each.  </w:t>
      </w:r>
      <w:r w:rsidR="00CF24ED">
        <w:t>49/INF.</w:t>
      </w:r>
      <w:r w:rsidRPr="00072495">
        <w:t xml:space="preserve">27 concludes that the test results </w:t>
      </w:r>
      <w:proofErr w:type="gramStart"/>
      <w:r w:rsidRPr="00072495">
        <w:t>demonstrate,</w:t>
      </w:r>
      <w:proofErr w:type="gramEnd"/>
      <w:r w:rsidRPr="00072495">
        <w:t xml:space="preserve"> that also for emulsions and slow responding samples the change of steel quality does not have an effect on the outcome of the </w:t>
      </w:r>
      <w:proofErr w:type="spellStart"/>
      <w:r w:rsidRPr="00072495">
        <w:t>Koenen</w:t>
      </w:r>
      <w:proofErr w:type="spellEnd"/>
      <w:r w:rsidRPr="00072495">
        <w:t xml:space="preserve"> test.</w:t>
      </w:r>
    </w:p>
    <w:p w14:paraId="2D73E743" w14:textId="77777777" w:rsidR="00E60339" w:rsidRDefault="005F02A0" w:rsidP="0048028F">
      <w:pPr>
        <w:pStyle w:val="SingleTxtG"/>
        <w:spacing w:after="240" w:line="240" w:lineRule="auto"/>
        <w:ind w:left="1699" w:right="39"/>
      </w:pPr>
      <w:proofErr w:type="gramStart"/>
      <w:r w:rsidRPr="00072495">
        <w:t>As a result</w:t>
      </w:r>
      <w:proofErr w:type="gramEnd"/>
      <w:r w:rsidRPr="00072495">
        <w:t xml:space="preserve"> of the comparison tests, Germany recommended changing the steel tube bursting pressure criteria in terms of quality control to 28 </w:t>
      </w:r>
      <w:proofErr w:type="spellStart"/>
      <w:r w:rsidRPr="00072495">
        <w:t>MPa</w:t>
      </w:r>
      <w:proofErr w:type="spellEnd"/>
      <w:r w:rsidRPr="00072495">
        <w:t xml:space="preserve"> ± 4 </w:t>
      </w:r>
      <w:proofErr w:type="spellStart"/>
      <w:r w:rsidRPr="00072495">
        <w:t>MPa</w:t>
      </w:r>
      <w:proofErr w:type="spellEnd"/>
      <w:r w:rsidR="002B03F3" w:rsidRPr="00072495">
        <w:t>.</w:t>
      </w:r>
      <w:r w:rsidR="00E60339" w:rsidRPr="00E60339">
        <w:t xml:space="preserve"> </w:t>
      </w:r>
    </w:p>
    <w:p w14:paraId="4AA1130B" w14:textId="527BD03A" w:rsidR="008D74B7" w:rsidRDefault="00E60339" w:rsidP="0048028F">
      <w:pPr>
        <w:pStyle w:val="SingleTxtG"/>
        <w:spacing w:after="240" w:line="240" w:lineRule="auto"/>
        <w:ind w:left="1699" w:right="39"/>
      </w:pPr>
      <w:r w:rsidRPr="00996136">
        <w:t xml:space="preserve">There was some support for the proposal in these documents; however, questions </w:t>
      </w:r>
      <w:proofErr w:type="gramStart"/>
      <w:r w:rsidRPr="00996136">
        <w:t>were raised</w:t>
      </w:r>
      <w:proofErr w:type="gramEnd"/>
      <w:r w:rsidRPr="00996136">
        <w:t xml:space="preserve"> about the range of tube bursting pressure criteria and the potential that current classifications might be undesirably impacted.  </w:t>
      </w:r>
      <w:r>
        <w:t xml:space="preserve">The working group </w:t>
      </w:r>
      <w:r w:rsidRPr="00996136">
        <w:t xml:space="preserve">suggested that the proposed pressure range be </w:t>
      </w:r>
      <w:r>
        <w:t>shifted</w:t>
      </w:r>
      <w:r w:rsidRPr="00996136">
        <w:t xml:space="preserve"> </w:t>
      </w:r>
      <w:r>
        <w:t xml:space="preserve">(from the proposed </w:t>
      </w:r>
      <w:r w:rsidRPr="00072495">
        <w:t xml:space="preserve">28 </w:t>
      </w:r>
      <w:proofErr w:type="spellStart"/>
      <w:r w:rsidRPr="00072495">
        <w:t>MPa</w:t>
      </w:r>
      <w:proofErr w:type="spellEnd"/>
      <w:r w:rsidRPr="00072495">
        <w:t xml:space="preserve"> ± 4 </w:t>
      </w:r>
      <w:proofErr w:type="spellStart"/>
      <w:r w:rsidRPr="00072495">
        <w:t>MPa</w:t>
      </w:r>
      <w:proofErr w:type="spellEnd"/>
      <w:r w:rsidRPr="00996136">
        <w:t xml:space="preserve"> </w:t>
      </w:r>
      <w:r>
        <w:t xml:space="preserve">to </w:t>
      </w:r>
      <w:r w:rsidRPr="00072495">
        <w:t>2</w:t>
      </w:r>
      <w:r>
        <w:t>9</w:t>
      </w:r>
      <w:r w:rsidRPr="00072495">
        <w:t xml:space="preserve"> </w:t>
      </w:r>
      <w:proofErr w:type="spellStart"/>
      <w:r w:rsidRPr="00072495">
        <w:t>MPa</w:t>
      </w:r>
      <w:proofErr w:type="spellEnd"/>
      <w:r w:rsidRPr="00072495">
        <w:t xml:space="preserve"> ± 4 </w:t>
      </w:r>
      <w:proofErr w:type="spellStart"/>
      <w:r w:rsidRPr="00072495">
        <w:t>MPa</w:t>
      </w:r>
      <w:proofErr w:type="spellEnd"/>
      <w:r>
        <w:t xml:space="preserve">) </w:t>
      </w:r>
      <w:r w:rsidRPr="00996136">
        <w:t xml:space="preserve">so that it included the criteria currently found in the </w:t>
      </w:r>
      <w:r>
        <w:t>Manual (30</w:t>
      </w:r>
      <w:r w:rsidRPr="00072495">
        <w:t xml:space="preserve"> </w:t>
      </w:r>
      <w:proofErr w:type="spellStart"/>
      <w:r w:rsidRPr="00072495">
        <w:t>MPa</w:t>
      </w:r>
      <w:proofErr w:type="spellEnd"/>
      <w:r w:rsidRPr="00072495">
        <w:t xml:space="preserve"> ± </w:t>
      </w:r>
      <w:r>
        <w:t>3</w:t>
      </w:r>
      <w:r w:rsidRPr="00072495">
        <w:t xml:space="preserve"> </w:t>
      </w:r>
      <w:proofErr w:type="spellStart"/>
      <w:r w:rsidRPr="00072495">
        <w:t>MPa</w:t>
      </w:r>
      <w:proofErr w:type="spellEnd"/>
      <w:r>
        <w:t>) as well as the new test results</w:t>
      </w:r>
      <w:r w:rsidRPr="00996136">
        <w:t xml:space="preserve">.  </w:t>
      </w:r>
    </w:p>
    <w:p w14:paraId="0CC17F82" w14:textId="66647328" w:rsidR="00996136" w:rsidRPr="00072495" w:rsidRDefault="0011568E" w:rsidP="00E60339">
      <w:pPr>
        <w:pStyle w:val="SingleTxtG"/>
        <w:spacing w:after="240" w:line="240" w:lineRule="auto"/>
        <w:ind w:left="1699" w:right="39"/>
      </w:pPr>
      <w:r>
        <w:rPr>
          <w:b/>
          <w:u w:val="single"/>
        </w:rPr>
        <w:t>Conclusion:</w:t>
      </w:r>
      <w:r>
        <w:t xml:space="preserve">  </w:t>
      </w:r>
      <w:r w:rsidR="001462D0">
        <w:t>Taking into account the change recommended by the working group, the proposal</w:t>
      </w:r>
      <w:r w:rsidR="00ED63EC">
        <w:t>s in 2016/6</w:t>
      </w:r>
      <w:r w:rsidR="001462D0">
        <w:t xml:space="preserve"> </w:t>
      </w:r>
      <w:r w:rsidR="00ED63EC">
        <w:t>were</w:t>
      </w:r>
      <w:r w:rsidR="001462D0">
        <w:t xml:space="preserve"> accepted</w:t>
      </w:r>
      <w:r w:rsidR="00996136" w:rsidRPr="00996136">
        <w:t>.</w:t>
      </w:r>
      <w:r w:rsidR="00ED63EC" w:rsidRPr="00ED63EC">
        <w:t xml:space="preserve"> </w:t>
      </w:r>
      <w:r w:rsidR="00ED63EC" w:rsidRPr="00072495">
        <w:t>See Amendments 1 – 4 in Annex 3 of this report.</w:t>
      </w:r>
    </w:p>
    <w:p w14:paraId="13EB6F8B" w14:textId="6C8E7B64" w:rsidR="0083374F" w:rsidRPr="00072495" w:rsidRDefault="0083374F" w:rsidP="004A550F">
      <w:pPr>
        <w:pStyle w:val="SingleTxtG"/>
        <w:keepNext/>
        <w:numPr>
          <w:ilvl w:val="0"/>
          <w:numId w:val="4"/>
        </w:numPr>
        <w:spacing w:after="240" w:line="240" w:lineRule="auto"/>
        <w:ind w:right="43"/>
      </w:pPr>
      <w:r w:rsidRPr="00072495">
        <w:rPr>
          <w:b/>
          <w:u w:val="single"/>
        </w:rPr>
        <w:t>Subject:</w:t>
      </w:r>
      <w:r w:rsidRPr="00072495">
        <w:t xml:space="preserve">  </w:t>
      </w:r>
      <w:r w:rsidR="004A550F" w:rsidRPr="004A550F">
        <w:t xml:space="preserve">Proposal for replacing </w:t>
      </w:r>
      <w:proofErr w:type="spellStart"/>
      <w:r w:rsidR="004A550F" w:rsidRPr="004A550F">
        <w:t>dibutyl</w:t>
      </w:r>
      <w:proofErr w:type="spellEnd"/>
      <w:r w:rsidR="004A550F" w:rsidRPr="004A550F">
        <w:t xml:space="preserve"> phthalate (DBP) in </w:t>
      </w:r>
      <w:proofErr w:type="spellStart"/>
      <w:r w:rsidR="004A550F" w:rsidRPr="004A550F">
        <w:t>Koenen</w:t>
      </w:r>
      <w:proofErr w:type="spellEnd"/>
      <w:r w:rsidR="004A550F" w:rsidRPr="004A550F">
        <w:t xml:space="preserve"> Test</w:t>
      </w:r>
    </w:p>
    <w:p w14:paraId="4A22F486" w14:textId="5D8A673F" w:rsidR="0083374F" w:rsidRPr="00847830" w:rsidRDefault="0083374F" w:rsidP="0083374F">
      <w:pPr>
        <w:pStyle w:val="SingleTxtG"/>
        <w:spacing w:after="240" w:line="240" w:lineRule="auto"/>
        <w:ind w:left="3700" w:right="39" w:hanging="2001"/>
        <w:jc w:val="left"/>
        <w:rPr>
          <w:i/>
          <w:iCs/>
          <w:lang w:val="en-US"/>
        </w:rPr>
      </w:pPr>
      <w:r w:rsidRPr="00847830">
        <w:rPr>
          <w:i/>
        </w:rPr>
        <w:t>Documents:</w:t>
      </w:r>
      <w:r w:rsidRPr="00847830">
        <w:rPr>
          <w:i/>
        </w:rPr>
        <w:tab/>
      </w:r>
      <w:r w:rsidRPr="00847830">
        <w:rPr>
          <w:i/>
          <w:iCs/>
          <w:lang w:val="en-US"/>
        </w:rPr>
        <w:t>ST/SG/AC.10/C.3/2016/13 (France)</w:t>
      </w:r>
    </w:p>
    <w:p w14:paraId="3A0B8808" w14:textId="6FE910C9" w:rsidR="0083374F" w:rsidRPr="00847830" w:rsidRDefault="0083374F" w:rsidP="0083374F">
      <w:pPr>
        <w:pStyle w:val="SingleTxtG"/>
        <w:spacing w:after="240" w:line="240" w:lineRule="auto"/>
        <w:ind w:left="3700" w:right="39" w:hanging="2001"/>
        <w:jc w:val="left"/>
        <w:rPr>
          <w:i/>
          <w:iCs/>
          <w:lang w:val="en-US"/>
        </w:rPr>
      </w:pPr>
      <w:r w:rsidRPr="00847830">
        <w:rPr>
          <w:i/>
        </w:rPr>
        <w:t xml:space="preserve">Informal documents: </w:t>
      </w:r>
      <w:r w:rsidRPr="00847830">
        <w:rPr>
          <w:i/>
        </w:rPr>
        <w:tab/>
        <w:t>None</w:t>
      </w:r>
    </w:p>
    <w:p w14:paraId="54C0975C" w14:textId="4CE0AB3A" w:rsidR="00570B91" w:rsidRPr="00072495" w:rsidRDefault="0083374F" w:rsidP="00570B91">
      <w:pPr>
        <w:pStyle w:val="SingleTxtG"/>
        <w:spacing w:after="240" w:line="240" w:lineRule="auto"/>
        <w:ind w:left="1699" w:right="39"/>
      </w:pPr>
      <w:r>
        <w:rPr>
          <w:b/>
          <w:u w:val="single"/>
        </w:rPr>
        <w:t>Discussion:</w:t>
      </w:r>
      <w:r w:rsidR="00570B91" w:rsidRPr="00072495">
        <w:t xml:space="preserve">  </w:t>
      </w:r>
      <w:proofErr w:type="spellStart"/>
      <w:r w:rsidR="00570B91" w:rsidRPr="00072495">
        <w:t>Dibutyl</w:t>
      </w:r>
      <w:proofErr w:type="spellEnd"/>
      <w:r w:rsidR="00570B91" w:rsidRPr="00072495">
        <w:t xml:space="preserve"> phthalate (DBP) </w:t>
      </w:r>
      <w:proofErr w:type="gramStart"/>
      <w:r w:rsidR="00570B91" w:rsidRPr="00072495">
        <w:t>is used</w:t>
      </w:r>
      <w:proofErr w:type="gramEnd"/>
      <w:r w:rsidR="00570B91" w:rsidRPr="00072495">
        <w:t xml:space="preserve"> for calibrating the heating rate in the </w:t>
      </w:r>
      <w:proofErr w:type="spellStart"/>
      <w:r w:rsidR="00570B91" w:rsidRPr="00072495">
        <w:t>Koenen</w:t>
      </w:r>
      <w:proofErr w:type="spellEnd"/>
      <w:r w:rsidR="00570B91" w:rsidRPr="00072495">
        <w:t xml:space="preserve"> Tests 1(b), 2(b), 8(c), and E.1</w:t>
      </w:r>
      <w:r w:rsidR="00F67F55">
        <w:t>.</w:t>
      </w:r>
      <w:r w:rsidR="00570B91" w:rsidRPr="00072495">
        <w:t xml:space="preserve">  DBP </w:t>
      </w:r>
      <w:proofErr w:type="gramStart"/>
      <w:r w:rsidR="00570B91" w:rsidRPr="00072495">
        <w:t>is forbidden</w:t>
      </w:r>
      <w:proofErr w:type="gramEnd"/>
      <w:r w:rsidR="00570B91" w:rsidRPr="00072495">
        <w:t xml:space="preserve"> for general use within the European Union because it has been identified as substance of very high concern within the EU’s REACH regulations.  </w:t>
      </w:r>
      <w:proofErr w:type="gramStart"/>
      <w:r w:rsidR="00570B91" w:rsidRPr="00072495">
        <w:t>France has been seeking an acceptable alternative for DBP and presented the results of its research in 47/INF.40 of the 47th session.</w:t>
      </w:r>
      <w:proofErr w:type="gramEnd"/>
      <w:r w:rsidR="00570B91" w:rsidRPr="00072495">
        <w:t xml:space="preserve">  At that session, the </w:t>
      </w:r>
      <w:r w:rsidR="00784AF8" w:rsidRPr="00072495">
        <w:t>working group</w:t>
      </w:r>
      <w:r w:rsidR="00570B91" w:rsidRPr="00072495">
        <w:t xml:space="preserve"> suggested that the use of </w:t>
      </w:r>
      <w:r w:rsidR="00570B91" w:rsidRPr="00072495">
        <w:lastRenderedPageBreak/>
        <w:t>synthetic oils rather than natural oils might be a viable solution to the problem described by France.</w:t>
      </w:r>
    </w:p>
    <w:p w14:paraId="0A90F7CC" w14:textId="0AFC24DA" w:rsidR="00570B91" w:rsidRDefault="00570B91" w:rsidP="00570B91">
      <w:pPr>
        <w:pStyle w:val="SingleTxtG"/>
        <w:spacing w:after="240" w:line="240" w:lineRule="auto"/>
        <w:ind w:left="1699" w:right="39"/>
      </w:pPr>
      <w:r w:rsidRPr="00072495">
        <w:t xml:space="preserve">France has identified </w:t>
      </w:r>
      <w:proofErr w:type="gramStart"/>
      <w:r w:rsidRPr="00072495">
        <w:t>a silicone</w:t>
      </w:r>
      <w:proofErr w:type="gramEnd"/>
      <w:r w:rsidRPr="00072495">
        <w:t xml:space="preserve"> oil that it believes is a suitable replacement for DBP and suggests that the silicone oil could be specified by its apparent density and by its heat capacity, with appropriate tolerances for possible regional variations in the manufacturing process and availability in various parts of the world.</w:t>
      </w:r>
      <w:r w:rsidR="00ED2817">
        <w:t xml:space="preserve">  </w:t>
      </w:r>
    </w:p>
    <w:p w14:paraId="3099B771" w14:textId="085D6C29" w:rsidR="0034513E" w:rsidRDefault="00DA0AE3" w:rsidP="003C45C3">
      <w:pPr>
        <w:pStyle w:val="SingleTxtG"/>
        <w:spacing w:after="240" w:line="240" w:lineRule="auto"/>
        <w:ind w:left="1699" w:right="39"/>
      </w:pPr>
      <w:r w:rsidRPr="00072495">
        <w:rPr>
          <w:b/>
          <w:u w:val="single"/>
        </w:rPr>
        <w:t>Conclusion</w:t>
      </w:r>
      <w:r w:rsidR="00570B91" w:rsidRPr="00072495">
        <w:rPr>
          <w:b/>
          <w:u w:val="single"/>
        </w:rPr>
        <w:t>s</w:t>
      </w:r>
      <w:r w:rsidRPr="00072495">
        <w:rPr>
          <w:b/>
          <w:u w:val="single"/>
        </w:rPr>
        <w:t>:</w:t>
      </w:r>
      <w:r w:rsidRPr="00072495">
        <w:t xml:space="preserve">  </w:t>
      </w:r>
      <w:r w:rsidR="0003447E" w:rsidRPr="00072495">
        <w:t xml:space="preserve"> </w:t>
      </w:r>
      <w:r w:rsidR="004A550F" w:rsidRPr="004A550F">
        <w:t xml:space="preserve">The </w:t>
      </w:r>
      <w:r w:rsidR="004A550F">
        <w:t>working group</w:t>
      </w:r>
      <w:r w:rsidR="004A550F" w:rsidRPr="004A550F">
        <w:t xml:space="preserve"> agreed that </w:t>
      </w:r>
      <w:r w:rsidR="00F37E57">
        <w:t>synthetic</w:t>
      </w:r>
      <w:r w:rsidR="00F37E57" w:rsidRPr="004A550F">
        <w:t xml:space="preserve"> </w:t>
      </w:r>
      <w:r w:rsidR="004A550F" w:rsidRPr="004A550F">
        <w:t xml:space="preserve">oil (as proposed by France) was a good substitute.  It was suggested that </w:t>
      </w:r>
      <w:r w:rsidR="00F37E57">
        <w:t>synthetic</w:t>
      </w:r>
      <w:r w:rsidR="00F37E57" w:rsidRPr="004A550F">
        <w:t xml:space="preserve"> </w:t>
      </w:r>
      <w:r w:rsidR="004A550F" w:rsidRPr="004A550F">
        <w:t xml:space="preserve">oils might vary </w:t>
      </w:r>
      <w:r w:rsidR="003C45C3">
        <w:t>by manufacturer</w:t>
      </w:r>
      <w:r w:rsidR="003C45C3" w:rsidRPr="004A550F">
        <w:t xml:space="preserve"> </w:t>
      </w:r>
      <w:r w:rsidR="004A550F" w:rsidRPr="004A550F">
        <w:t xml:space="preserve">and so a round robin testing program will likely take place (coordinated by France) to investigate </w:t>
      </w:r>
      <w:r w:rsidR="00804D76">
        <w:t xml:space="preserve">before the next session </w:t>
      </w:r>
      <w:r w:rsidR="004A550F" w:rsidRPr="004A550F">
        <w:t>whether this is an issue of concern or not.</w:t>
      </w:r>
      <w:r w:rsidR="00ED2817">
        <w:t xml:space="preserve">  To facilitate the round robin testing, France has provided the following Internet links for information regarding the </w:t>
      </w:r>
      <w:r w:rsidR="00804D76">
        <w:t>silicone</w:t>
      </w:r>
      <w:r w:rsidR="00F37E57">
        <w:t xml:space="preserve"> </w:t>
      </w:r>
      <w:r w:rsidR="00ED2817">
        <w:t>oil (</w:t>
      </w:r>
      <w:r w:rsidR="00ED2817" w:rsidRPr="00ED2817">
        <w:t>BLUESIL FLD 47V100</w:t>
      </w:r>
      <w:r w:rsidR="00ED2817">
        <w:t>) it tested:</w:t>
      </w:r>
    </w:p>
    <w:p w14:paraId="44881ABB" w14:textId="18BF8F34" w:rsidR="00ED2817" w:rsidRDefault="00B7457B" w:rsidP="00ED2817">
      <w:pPr>
        <w:pStyle w:val="SingleTxtG"/>
        <w:numPr>
          <w:ilvl w:val="0"/>
          <w:numId w:val="39"/>
        </w:numPr>
        <w:spacing w:after="0" w:line="240" w:lineRule="auto"/>
        <w:ind w:right="43"/>
      </w:pPr>
      <w:hyperlink r:id="rId9" w:history="1">
        <w:r w:rsidR="00ED2817" w:rsidRPr="0056592D">
          <w:rPr>
            <w:rStyle w:val="Hyperlink"/>
          </w:rPr>
          <w:t>http://www.silitech.ch/upload/complement_info_fournisseur_d/32.pdf</w:t>
        </w:r>
      </w:hyperlink>
      <w:r w:rsidR="00ED2817">
        <w:t xml:space="preserve"> </w:t>
      </w:r>
    </w:p>
    <w:p w14:paraId="60CE3AAD" w14:textId="29A619D7" w:rsidR="00ED2817" w:rsidRDefault="00B7457B" w:rsidP="00ED2817">
      <w:pPr>
        <w:pStyle w:val="SingleTxtG"/>
        <w:numPr>
          <w:ilvl w:val="0"/>
          <w:numId w:val="39"/>
        </w:numPr>
        <w:spacing w:after="240" w:line="240" w:lineRule="auto"/>
        <w:ind w:right="39"/>
      </w:pPr>
      <w:hyperlink r:id="rId10" w:history="1">
        <w:r w:rsidR="00ED2817" w:rsidRPr="0056592D">
          <w:rPr>
            <w:rStyle w:val="Hyperlink"/>
          </w:rPr>
          <w:t>https://www.bluestarsilicones.com/EN/our_offer/Product/90000817/_/BLUESIL-FLD-47V100</w:t>
        </w:r>
      </w:hyperlink>
      <w:r w:rsidR="00ED2817">
        <w:t xml:space="preserve"> (when open the second link scroll down to access TDS and SDS related to BLUESIL FLD 47V100)</w:t>
      </w:r>
    </w:p>
    <w:p w14:paraId="414E5E6D" w14:textId="259B52D9" w:rsidR="003A3A35" w:rsidRPr="00072495" w:rsidRDefault="003A3A35" w:rsidP="003A3A35">
      <w:pPr>
        <w:pStyle w:val="SingleTxtG"/>
        <w:keepNext/>
        <w:numPr>
          <w:ilvl w:val="0"/>
          <w:numId w:val="4"/>
        </w:numPr>
        <w:spacing w:after="240" w:line="240" w:lineRule="auto"/>
        <w:ind w:right="43"/>
      </w:pPr>
      <w:r w:rsidRPr="00072495">
        <w:rPr>
          <w:b/>
          <w:u w:val="single"/>
        </w:rPr>
        <w:t>Subject:</w:t>
      </w:r>
      <w:r w:rsidRPr="00072495">
        <w:t xml:space="preserve">  UN Standard Detonator</w:t>
      </w:r>
    </w:p>
    <w:p w14:paraId="76895B5A" w14:textId="15B1D2D0" w:rsidR="003A3A35" w:rsidRPr="00072495" w:rsidRDefault="003A3A35" w:rsidP="003A3A35">
      <w:pPr>
        <w:pStyle w:val="SingleTxtG"/>
        <w:spacing w:after="240" w:line="240" w:lineRule="auto"/>
        <w:ind w:left="3700" w:right="39" w:hanging="2001"/>
        <w:jc w:val="left"/>
        <w:rPr>
          <w:i/>
          <w:iCs/>
          <w:lang w:val="en-US"/>
        </w:rPr>
      </w:pPr>
      <w:r w:rsidRPr="00072495">
        <w:rPr>
          <w:i/>
        </w:rPr>
        <w:t>Documents:</w:t>
      </w:r>
      <w:r w:rsidRPr="00072495">
        <w:rPr>
          <w:i/>
        </w:rPr>
        <w:tab/>
      </w:r>
      <w:r w:rsidRPr="00072495">
        <w:rPr>
          <w:i/>
          <w:iCs/>
          <w:lang w:val="en-US"/>
        </w:rPr>
        <w:t>ST/SG/AC.10/C.3/2016/10 (Germany)</w:t>
      </w:r>
    </w:p>
    <w:p w14:paraId="0E829125" w14:textId="609CDA16" w:rsidR="003A3A35" w:rsidRPr="00847830" w:rsidRDefault="003A3A35" w:rsidP="003A3A35">
      <w:pPr>
        <w:pStyle w:val="SingleTxtG"/>
        <w:spacing w:after="240" w:line="240" w:lineRule="auto"/>
        <w:ind w:left="3700" w:right="39" w:hanging="2001"/>
        <w:jc w:val="left"/>
        <w:rPr>
          <w:i/>
          <w:iCs/>
          <w:lang w:val="fr-CH"/>
        </w:rPr>
      </w:pPr>
      <w:r w:rsidRPr="00847830">
        <w:rPr>
          <w:i/>
          <w:lang w:val="fr-CH"/>
        </w:rPr>
        <w:t xml:space="preserve">Informal </w:t>
      </w:r>
      <w:proofErr w:type="gramStart"/>
      <w:r w:rsidRPr="00847830">
        <w:rPr>
          <w:i/>
          <w:lang w:val="fr-CH"/>
        </w:rPr>
        <w:t>documents:</w:t>
      </w:r>
      <w:proofErr w:type="gramEnd"/>
      <w:r w:rsidRPr="00847830">
        <w:rPr>
          <w:i/>
          <w:lang w:val="fr-CH"/>
        </w:rPr>
        <w:t xml:space="preserve"> </w:t>
      </w:r>
      <w:r w:rsidRPr="00847830">
        <w:rPr>
          <w:i/>
          <w:lang w:val="fr-CH"/>
        </w:rPr>
        <w:tab/>
        <w:t>UN/SCETDG/49/INF.36 (IME)</w:t>
      </w:r>
    </w:p>
    <w:p w14:paraId="4206FF40" w14:textId="60274790" w:rsidR="003A3A35" w:rsidRPr="00072495" w:rsidRDefault="003A3A35" w:rsidP="005B10BD">
      <w:pPr>
        <w:pStyle w:val="SingleTxtG"/>
        <w:spacing w:after="240" w:line="240" w:lineRule="auto"/>
        <w:ind w:left="1699" w:right="39"/>
      </w:pPr>
      <w:r w:rsidRPr="00072495">
        <w:rPr>
          <w:b/>
          <w:u w:val="single"/>
        </w:rPr>
        <w:t>Discussion:</w:t>
      </w:r>
      <w:r w:rsidRPr="00072495">
        <w:t xml:space="preserve">  One of the </w:t>
      </w:r>
      <w:proofErr w:type="gramStart"/>
      <w:r w:rsidRPr="00072495">
        <w:t>longer term</w:t>
      </w:r>
      <w:proofErr w:type="gramEnd"/>
      <w:r w:rsidRPr="00072495">
        <w:t xml:space="preserve"> problems identified by IME in 2014/4 of the 45th session, and discussed in 47/INF.10</w:t>
      </w:r>
      <w:r w:rsidR="003A464A" w:rsidRPr="00072495">
        <w:t xml:space="preserve"> of the 47</w:t>
      </w:r>
      <w:r w:rsidR="003A464A" w:rsidRPr="00072495">
        <w:rPr>
          <w:vertAlign w:val="superscript"/>
        </w:rPr>
        <w:t>th</w:t>
      </w:r>
      <w:r w:rsidR="003A464A" w:rsidRPr="00072495">
        <w:t xml:space="preserve"> session</w:t>
      </w:r>
      <w:r w:rsidRPr="00072495">
        <w:t xml:space="preserve"> (see para. 7) was the lack of availability of detonators meeting the specifications of the standard detonator that is described in Appendix 1 of the Manual of Tests and Criteria</w:t>
      </w:r>
      <w:r w:rsidRPr="00072495">
        <w:rPr>
          <w:rStyle w:val="FootnoteReference"/>
          <w:sz w:val="20"/>
        </w:rPr>
        <w:footnoteReference w:id="3"/>
      </w:r>
      <w:r w:rsidRPr="00072495">
        <w:t>.  In 2015/26</w:t>
      </w:r>
      <w:r w:rsidR="003A464A" w:rsidRPr="00072495">
        <w:t xml:space="preserve"> of the 47</w:t>
      </w:r>
      <w:r w:rsidR="003A464A" w:rsidRPr="00072495">
        <w:rPr>
          <w:vertAlign w:val="superscript"/>
        </w:rPr>
        <w:t>th</w:t>
      </w:r>
      <w:r w:rsidR="003A464A" w:rsidRPr="00072495">
        <w:t xml:space="preserve"> session</w:t>
      </w:r>
      <w:r w:rsidRPr="00072495">
        <w:t xml:space="preserve">, Germany sought to update the specifications for the European version of the standard detonator </w:t>
      </w:r>
      <w:r w:rsidR="0082410A">
        <w:t>to align with current technological developments</w:t>
      </w:r>
      <w:r w:rsidRPr="00072495">
        <w:t xml:space="preserve"> while seeking to avoid “… any change to the performance of the detonator, since test results should not depend on the use of the former type or the new type.”   In 2016/10 of the current session, Germany has provided some test data to support a new design for the </w:t>
      </w:r>
      <w:r w:rsidR="0073213F">
        <w:t>European version of the</w:t>
      </w:r>
      <w:r w:rsidRPr="00072495">
        <w:t xml:space="preserve"> standard detonator.</w:t>
      </w:r>
      <w:r w:rsidR="002B03F3" w:rsidRPr="00072495">
        <w:t xml:space="preserve">  Also</w:t>
      </w:r>
      <w:r w:rsidR="003A464A" w:rsidRPr="00072495">
        <w:t xml:space="preserve"> provided </w:t>
      </w:r>
      <w:r w:rsidR="002B03F3" w:rsidRPr="00072495">
        <w:t>in 2016/10</w:t>
      </w:r>
      <w:r w:rsidR="003A464A" w:rsidRPr="00072495">
        <w:t xml:space="preserve"> is</w:t>
      </w:r>
      <w:r w:rsidR="002B03F3" w:rsidRPr="00072495">
        <w:t xml:space="preserve"> an </w:t>
      </w:r>
      <w:r w:rsidR="005B10BD">
        <w:t xml:space="preserve">intention to </w:t>
      </w:r>
      <w:r w:rsidR="002B03F3" w:rsidRPr="00072495">
        <w:t xml:space="preserve">update </w:t>
      </w:r>
      <w:r w:rsidR="005B10BD">
        <w:t xml:space="preserve">the </w:t>
      </w:r>
      <w:r w:rsidR="002B03F3" w:rsidRPr="00072495">
        <w:t xml:space="preserve">proposal </w:t>
      </w:r>
      <w:r w:rsidR="005B10BD">
        <w:t>in</w:t>
      </w:r>
      <w:r w:rsidR="002B03F3" w:rsidRPr="00072495">
        <w:t xml:space="preserve"> 2015/26 taking into account comments from the </w:t>
      </w:r>
      <w:r w:rsidR="00784AF8" w:rsidRPr="00072495">
        <w:t>working group</w:t>
      </w:r>
      <w:r w:rsidR="002B03F3" w:rsidRPr="00072495">
        <w:t xml:space="preserve"> at the 47</w:t>
      </w:r>
      <w:r w:rsidR="002B03F3" w:rsidRPr="00072495">
        <w:rPr>
          <w:vertAlign w:val="superscript"/>
        </w:rPr>
        <w:t>th</w:t>
      </w:r>
      <w:r w:rsidR="002B03F3" w:rsidRPr="00072495">
        <w:t xml:space="preserve"> Session.</w:t>
      </w:r>
    </w:p>
    <w:p w14:paraId="217B06AE" w14:textId="2E195927" w:rsidR="003A3A35" w:rsidRPr="00072495" w:rsidRDefault="002B03F3" w:rsidP="00F97063">
      <w:pPr>
        <w:pStyle w:val="SingleTxtG"/>
        <w:spacing w:after="240" w:line="240" w:lineRule="auto"/>
        <w:ind w:left="1699" w:right="39"/>
      </w:pPr>
      <w:r w:rsidRPr="00072495">
        <w:t xml:space="preserve">During the discussion of this issue by the </w:t>
      </w:r>
      <w:r w:rsidR="00784AF8" w:rsidRPr="00072495">
        <w:t>working group</w:t>
      </w:r>
      <w:r w:rsidRPr="00072495">
        <w:t xml:space="preserve"> at the 47</w:t>
      </w:r>
      <w:r w:rsidRPr="00072495">
        <w:rPr>
          <w:vertAlign w:val="superscript"/>
        </w:rPr>
        <w:t>th</w:t>
      </w:r>
      <w:r w:rsidRPr="00072495">
        <w:t xml:space="preserve"> Session, IME suggested that it might be possible to simplify the specifications of the standard detonator and to replace the European and US versions with a single universal version.  The </w:t>
      </w:r>
      <w:r w:rsidR="00784AF8" w:rsidRPr="00072495">
        <w:t>working group</w:t>
      </w:r>
      <w:r w:rsidRPr="00072495">
        <w:t xml:space="preserve"> agreed that this concept was desirable and encouraged IME to review further and to </w:t>
      </w:r>
      <w:proofErr w:type="gramStart"/>
      <w:r w:rsidRPr="00072495">
        <w:t>report back</w:t>
      </w:r>
      <w:proofErr w:type="gramEnd"/>
      <w:r w:rsidRPr="00072495">
        <w:t xml:space="preserve">.  In </w:t>
      </w:r>
      <w:r w:rsidR="00CF24ED">
        <w:t>49/INF.</w:t>
      </w:r>
      <w:r w:rsidRPr="00072495">
        <w:t xml:space="preserve">36 of this session, IME starts with the proposal from Germany in </w:t>
      </w:r>
      <w:r w:rsidR="00F97063">
        <w:t>2015/26</w:t>
      </w:r>
      <w:r w:rsidRPr="00072495">
        <w:t xml:space="preserve"> and suggests revisions that would simplify the specifications and achieve the goal of a universal version of the standard detonator.</w:t>
      </w:r>
    </w:p>
    <w:p w14:paraId="52394381" w14:textId="094A046B" w:rsidR="003A3A35" w:rsidRPr="00072495" w:rsidRDefault="003A3A35" w:rsidP="004858F7">
      <w:pPr>
        <w:pStyle w:val="SingleTxtG"/>
        <w:spacing w:after="240" w:line="240" w:lineRule="auto"/>
        <w:ind w:left="1699" w:right="39"/>
      </w:pPr>
      <w:r w:rsidRPr="00072495">
        <w:rPr>
          <w:b/>
          <w:u w:val="single"/>
        </w:rPr>
        <w:t>Conclusion:</w:t>
      </w:r>
      <w:r w:rsidRPr="00072495">
        <w:t xml:space="preserve">   </w:t>
      </w:r>
      <w:r w:rsidR="00AF30D8" w:rsidRPr="00AF30D8">
        <w:t xml:space="preserve">The </w:t>
      </w:r>
      <w:r w:rsidR="00AF30D8">
        <w:t>working group</w:t>
      </w:r>
      <w:r w:rsidR="00AF30D8" w:rsidRPr="00AF30D8">
        <w:t xml:space="preserve"> </w:t>
      </w:r>
      <w:r w:rsidR="00B8300F">
        <w:t>continued to support</w:t>
      </w:r>
      <w:r w:rsidR="00AF30D8" w:rsidRPr="00AF30D8">
        <w:t xml:space="preserve"> </w:t>
      </w:r>
      <w:r w:rsidR="00AF30D8">
        <w:t xml:space="preserve">the possible </w:t>
      </w:r>
      <w:r w:rsidR="00AF30D8" w:rsidRPr="00AF30D8">
        <w:t>development of a single</w:t>
      </w:r>
      <w:r w:rsidR="00B8300F">
        <w:t>, universal version of the</w:t>
      </w:r>
      <w:r w:rsidR="00AF30D8" w:rsidRPr="00AF30D8">
        <w:t xml:space="preserve"> standard detonator instead of the two versions currently described in Appendix 1 of the </w:t>
      </w:r>
      <w:r w:rsidR="00B8300F">
        <w:t>Manual</w:t>
      </w:r>
      <w:r w:rsidR="00AF30D8" w:rsidRPr="00AF30D8">
        <w:t xml:space="preserve">.  However, it feels that not enough actual data exists to perform a thorough comparison of the two current versions, specifically in regards to </w:t>
      </w:r>
      <w:r w:rsidR="00EE0856">
        <w:t>net explosive weight</w:t>
      </w:r>
      <w:r w:rsidR="00AF30D8" w:rsidRPr="00AF30D8">
        <w:t>, content, pressing pressure of the base load</w:t>
      </w:r>
      <w:r w:rsidR="00847830">
        <w:t>,</w:t>
      </w:r>
      <w:r w:rsidR="00AF30D8" w:rsidRPr="00AF30D8">
        <w:t xml:space="preserve"> material of construction </w:t>
      </w:r>
      <w:r w:rsidR="00F4484A">
        <w:t>(aluminium vs. copper)</w:t>
      </w:r>
      <w:r w:rsidR="00847830">
        <w:t>,</w:t>
      </w:r>
      <w:r w:rsidR="00F4484A">
        <w:t xml:space="preserve"> and bottom shape </w:t>
      </w:r>
      <w:r w:rsidR="00AF30D8" w:rsidRPr="00AF30D8">
        <w:t xml:space="preserve">for the detonator shell.  </w:t>
      </w:r>
      <w:r w:rsidR="00AF30D8">
        <w:t>Additionally, i</w:t>
      </w:r>
      <w:r w:rsidR="00AF30D8" w:rsidRPr="00AF30D8">
        <w:t xml:space="preserve">t was generally agreed that some references to </w:t>
      </w:r>
      <w:r w:rsidR="00AF30D8" w:rsidRPr="00AF30D8">
        <w:lastRenderedPageBreak/>
        <w:t xml:space="preserve">a standard detonator in some tests </w:t>
      </w:r>
      <w:proofErr w:type="gramStart"/>
      <w:r w:rsidR="00AF30D8" w:rsidRPr="00AF30D8">
        <w:t>may</w:t>
      </w:r>
      <w:proofErr w:type="gramEnd"/>
      <w:r w:rsidR="00AF30D8" w:rsidRPr="00AF30D8">
        <w:t xml:space="preserve"> not be necessary since the intent </w:t>
      </w:r>
      <w:r w:rsidR="00AF30D8">
        <w:t xml:space="preserve">(in those tests) </w:t>
      </w:r>
      <w:r w:rsidR="00AF30D8" w:rsidRPr="00AF30D8">
        <w:t xml:space="preserve">is simply to ensure that a booster is initiated.  However, in other cases, </w:t>
      </w:r>
      <w:r w:rsidR="00F4484A">
        <w:t xml:space="preserve">for instance, the </w:t>
      </w:r>
      <w:r w:rsidR="00AF30D8" w:rsidRPr="00AF30D8">
        <w:t xml:space="preserve">cap sensitivity test, a standard, consistent output is imperative.  </w:t>
      </w:r>
      <w:r w:rsidR="00AF30D8">
        <w:t xml:space="preserve">Work will continue </w:t>
      </w:r>
      <w:r w:rsidR="00AF30D8" w:rsidRPr="00AF30D8">
        <w:t xml:space="preserve">through the 2017/2018 biennium with a goal </w:t>
      </w:r>
      <w:r w:rsidR="00AF30D8">
        <w:t xml:space="preserve">of a formal proposal by the </w:t>
      </w:r>
      <w:r w:rsidR="00AF30D8" w:rsidRPr="00AF30D8">
        <w:t xml:space="preserve">end of that biennium.  The work </w:t>
      </w:r>
      <w:proofErr w:type="gramStart"/>
      <w:r w:rsidR="00AF30D8" w:rsidRPr="00AF30D8">
        <w:t>will likely be coordinated</w:t>
      </w:r>
      <w:proofErr w:type="gramEnd"/>
      <w:r w:rsidR="00AF30D8" w:rsidRPr="00AF30D8">
        <w:t xml:space="preserve"> </w:t>
      </w:r>
      <w:r w:rsidR="00AF30D8">
        <w:t>by</w:t>
      </w:r>
      <w:r w:rsidR="00AF30D8" w:rsidRPr="00AF30D8">
        <w:t xml:space="preserve"> Germany and IME.</w:t>
      </w:r>
    </w:p>
    <w:p w14:paraId="61DCDAB5" w14:textId="4CB4049A" w:rsidR="00917EDB" w:rsidRPr="00072495" w:rsidRDefault="00917EDB" w:rsidP="00276FF5">
      <w:pPr>
        <w:pStyle w:val="SingleTxtG"/>
        <w:keepNext/>
        <w:numPr>
          <w:ilvl w:val="0"/>
          <w:numId w:val="4"/>
        </w:numPr>
        <w:spacing w:after="240" w:line="240" w:lineRule="auto"/>
        <w:ind w:left="1710" w:right="43" w:hanging="572"/>
      </w:pPr>
      <w:r w:rsidRPr="00072495">
        <w:rPr>
          <w:b/>
          <w:u w:val="single"/>
        </w:rPr>
        <w:t>Subject:</w:t>
      </w:r>
      <w:r w:rsidRPr="00072495">
        <w:t xml:space="preserve">   </w:t>
      </w:r>
      <w:r w:rsidR="00E9765E">
        <w:t>The Minimum Burning Pressure (MBP) Tests as a possible alternate or replacement for the 8(c) and/or the 8(d) tests</w:t>
      </w:r>
    </w:p>
    <w:p w14:paraId="70BF3AE0" w14:textId="162DE8C9" w:rsidR="00917EDB" w:rsidRPr="006F1A86" w:rsidRDefault="00917EDB" w:rsidP="00917EDB">
      <w:pPr>
        <w:pStyle w:val="SingleTxtG"/>
        <w:spacing w:after="240" w:line="240" w:lineRule="auto"/>
        <w:ind w:left="3700" w:right="39" w:hanging="2001"/>
        <w:jc w:val="left"/>
        <w:rPr>
          <w:i/>
          <w:iCs/>
          <w:lang w:val="fr-CH"/>
        </w:rPr>
      </w:pPr>
      <w:proofErr w:type="gramStart"/>
      <w:r w:rsidRPr="006F1A86">
        <w:rPr>
          <w:i/>
          <w:lang w:val="fr-CH"/>
        </w:rPr>
        <w:t>Documents:</w:t>
      </w:r>
      <w:proofErr w:type="gramEnd"/>
      <w:r w:rsidRPr="006F1A86">
        <w:rPr>
          <w:i/>
          <w:lang w:val="fr-CH"/>
        </w:rPr>
        <w:tab/>
      </w:r>
      <w:r w:rsidRPr="006F1A86">
        <w:rPr>
          <w:i/>
          <w:iCs/>
          <w:lang w:val="fr-CH"/>
        </w:rPr>
        <w:t>None</w:t>
      </w:r>
    </w:p>
    <w:p w14:paraId="73429D81" w14:textId="14BB4E8E" w:rsidR="00917EDB" w:rsidRPr="006F1A86" w:rsidRDefault="00917EDB" w:rsidP="00917EDB">
      <w:pPr>
        <w:pStyle w:val="SingleTxtG"/>
        <w:spacing w:after="240" w:line="240" w:lineRule="auto"/>
        <w:ind w:left="3700" w:right="39" w:hanging="2001"/>
        <w:jc w:val="left"/>
        <w:rPr>
          <w:i/>
          <w:iCs/>
          <w:lang w:val="fr-CH"/>
        </w:rPr>
      </w:pPr>
      <w:r w:rsidRPr="006F1A86">
        <w:rPr>
          <w:i/>
          <w:lang w:val="fr-CH"/>
        </w:rPr>
        <w:t xml:space="preserve">Informal </w:t>
      </w:r>
      <w:proofErr w:type="gramStart"/>
      <w:r w:rsidRPr="006F1A86">
        <w:rPr>
          <w:i/>
          <w:lang w:val="fr-CH"/>
        </w:rPr>
        <w:t>documents:</w:t>
      </w:r>
      <w:proofErr w:type="gramEnd"/>
      <w:r w:rsidRPr="006F1A86">
        <w:rPr>
          <w:i/>
          <w:lang w:val="fr-CH"/>
        </w:rPr>
        <w:t xml:space="preserve"> </w:t>
      </w:r>
      <w:r w:rsidRPr="006F1A86">
        <w:rPr>
          <w:i/>
          <w:lang w:val="fr-CH"/>
        </w:rPr>
        <w:tab/>
        <w:t>UN/SCETDG/49/INF.</w:t>
      </w:r>
      <w:r w:rsidR="00CF5B7A" w:rsidRPr="006F1A86">
        <w:rPr>
          <w:i/>
          <w:lang w:val="fr-CH"/>
        </w:rPr>
        <w:t>34</w:t>
      </w:r>
      <w:r w:rsidRPr="006F1A86">
        <w:rPr>
          <w:i/>
          <w:lang w:val="fr-CH"/>
        </w:rPr>
        <w:t xml:space="preserve"> (Spain)</w:t>
      </w:r>
      <w:r w:rsidR="00E9765E" w:rsidRPr="006F1A86">
        <w:rPr>
          <w:i/>
          <w:lang w:val="fr-CH"/>
        </w:rPr>
        <w:br/>
        <w:t>UN/SCETDG/49/INF.50 (Canada)</w:t>
      </w:r>
      <w:r w:rsidR="00E9765E" w:rsidRPr="006F1A86">
        <w:rPr>
          <w:i/>
          <w:lang w:val="fr-CH"/>
        </w:rPr>
        <w:br/>
        <w:t>UN/SCETDG/49/INF.60 (AEISG)</w:t>
      </w:r>
    </w:p>
    <w:p w14:paraId="733D6460" w14:textId="3E259672" w:rsidR="00CF5B7A" w:rsidRDefault="00917EDB" w:rsidP="002A0877">
      <w:pPr>
        <w:pStyle w:val="SingleTxtG"/>
        <w:spacing w:after="240" w:line="240" w:lineRule="auto"/>
        <w:ind w:left="1699" w:right="39"/>
      </w:pPr>
      <w:proofErr w:type="gramStart"/>
      <w:r w:rsidRPr="00072495">
        <w:rPr>
          <w:b/>
          <w:u w:val="single"/>
        </w:rPr>
        <w:t>Discussion:</w:t>
      </w:r>
      <w:r w:rsidRPr="00072495">
        <w:t xml:space="preserve">  </w:t>
      </w:r>
      <w:r w:rsidR="00E9765E">
        <w:t xml:space="preserve">In </w:t>
      </w:r>
      <w:r w:rsidR="00CF24ED">
        <w:t>49/INF.</w:t>
      </w:r>
      <w:r w:rsidR="00E9765E">
        <w:t>34 Spain p</w:t>
      </w:r>
      <w:r w:rsidR="00CF5B7A" w:rsidRPr="00CF5B7A">
        <w:t>resents a</w:t>
      </w:r>
      <w:r w:rsidR="00E9765E">
        <w:t xml:space="preserve">n industry </w:t>
      </w:r>
      <w:r w:rsidR="00CF5B7A" w:rsidRPr="00CF5B7A">
        <w:t xml:space="preserve">report on temperature influence on </w:t>
      </w:r>
      <w:r w:rsidR="00E9765E">
        <w:t xml:space="preserve">the </w:t>
      </w:r>
      <w:r w:rsidR="00CF5B7A" w:rsidRPr="00CF5B7A">
        <w:t>MBP test.</w:t>
      </w:r>
      <w:proofErr w:type="gramEnd"/>
      <w:r w:rsidR="00CF5B7A" w:rsidRPr="00CF5B7A">
        <w:t xml:space="preserve">  S</w:t>
      </w:r>
      <w:r w:rsidR="00E9765E">
        <w:t xml:space="preserve">pain </w:t>
      </w:r>
      <w:r w:rsidR="00EE0856">
        <w:t>noted</w:t>
      </w:r>
      <w:r w:rsidR="00EE0856" w:rsidRPr="00CF5B7A">
        <w:t xml:space="preserve"> </w:t>
      </w:r>
      <w:r w:rsidR="00CF5B7A" w:rsidRPr="00CF5B7A">
        <w:t xml:space="preserve">that </w:t>
      </w:r>
      <w:r w:rsidR="00EE0856">
        <w:t xml:space="preserve">the </w:t>
      </w:r>
      <w:r w:rsidR="00CF5B7A" w:rsidRPr="00CF5B7A">
        <w:t xml:space="preserve">MBP </w:t>
      </w:r>
      <w:r w:rsidR="00EE0856">
        <w:t>tests hither</w:t>
      </w:r>
      <w:r w:rsidR="00CA470B">
        <w:t>t</w:t>
      </w:r>
      <w:r w:rsidR="00EE0856">
        <w:t xml:space="preserve">o </w:t>
      </w:r>
      <w:proofErr w:type="gramStart"/>
      <w:r w:rsidR="00CF5B7A" w:rsidRPr="00CF5B7A">
        <w:t>have been performed</w:t>
      </w:r>
      <w:proofErr w:type="gramEnd"/>
      <w:r w:rsidR="00CF5B7A" w:rsidRPr="00CF5B7A">
        <w:t xml:space="preserve"> at ambient temperature and not at elevated temperatures such as in a transport fire</w:t>
      </w:r>
      <w:r w:rsidR="00F67F55">
        <w:t>.</w:t>
      </w:r>
      <w:r w:rsidR="00CF5B7A" w:rsidRPr="00CF5B7A">
        <w:t xml:space="preserve">  </w:t>
      </w:r>
      <w:r w:rsidR="00CF24ED">
        <w:t>49/INF.</w:t>
      </w:r>
      <w:r w:rsidR="00E9765E">
        <w:t xml:space="preserve">34 </w:t>
      </w:r>
      <w:proofErr w:type="gramStart"/>
      <w:r w:rsidR="00E9765E">
        <w:t>c</w:t>
      </w:r>
      <w:r w:rsidR="00CF5B7A" w:rsidRPr="00CF5B7A">
        <w:t>oncludes that</w:t>
      </w:r>
      <w:proofErr w:type="gramEnd"/>
      <w:r w:rsidR="00CF5B7A" w:rsidRPr="00CF5B7A">
        <w:t xml:space="preserve"> “MBPs showed a decreasing linear dependence on temperature, the MBP of the studied emulsions tend to converge to similar values as the temperature at which the measurement has been carried out increases. The MBPs reach a null value at temperatures close to 200 °C.”  </w:t>
      </w:r>
      <w:r w:rsidR="00F67F55">
        <w:t>Spain r</w:t>
      </w:r>
      <w:r w:rsidR="00CF5B7A" w:rsidRPr="00CF5B7A">
        <w:t xml:space="preserve">ecommends </w:t>
      </w:r>
      <w:proofErr w:type="gramStart"/>
      <w:r w:rsidR="00CF5B7A" w:rsidRPr="00CF5B7A">
        <w:t>“ …</w:t>
      </w:r>
      <w:proofErr w:type="gramEnd"/>
      <w:r w:rsidR="00CF5B7A" w:rsidRPr="00CF5B7A">
        <w:t xml:space="preserve"> to take into account the dependence of the MBP on the ANE temperature when the suitability of the MBP test to analyse the risk of an external fire is under consideration.”</w:t>
      </w:r>
    </w:p>
    <w:p w14:paraId="6CA33EC3" w14:textId="3DA9EB0D" w:rsidR="00E9765E" w:rsidRDefault="00E9765E" w:rsidP="00E9765E">
      <w:pPr>
        <w:pStyle w:val="SingleTxtG"/>
        <w:spacing w:after="240" w:line="240" w:lineRule="auto"/>
        <w:ind w:left="1699" w:right="39"/>
      </w:pPr>
      <w:r>
        <w:t xml:space="preserve">In </w:t>
      </w:r>
      <w:r w:rsidR="00CF24ED">
        <w:t>49/INF.</w:t>
      </w:r>
      <w:r>
        <w:t xml:space="preserve">50, Canada reports on the progress made by an </w:t>
      </w:r>
      <w:proofErr w:type="spellStart"/>
      <w:r>
        <w:t>intersessional</w:t>
      </w:r>
      <w:proofErr w:type="spellEnd"/>
      <w:r>
        <w:t xml:space="preserve"> correspondence group (ICG) established in January 2016 by the expert from Canada.  The ICG includes seven CAs and four NGOs, and its work was previously reviewed at the IGUS-EPP and CIE conference held in Bern (</w:t>
      </w:r>
      <w:proofErr w:type="gramStart"/>
      <w:r>
        <w:t>April,</w:t>
      </w:r>
      <w:proofErr w:type="gramEnd"/>
      <w:r>
        <w:t xml:space="preserve"> 2016) for further progressing the proposal, if deemed appropriate, or exploring alternatives.  The ICG has identified </w:t>
      </w:r>
      <w:proofErr w:type="gramStart"/>
      <w:r>
        <w:t>3</w:t>
      </w:r>
      <w:proofErr w:type="gramEnd"/>
      <w:r>
        <w:t xml:space="preserve"> work streams:</w:t>
      </w:r>
    </w:p>
    <w:p w14:paraId="4DABA890" w14:textId="7E2328A4" w:rsidR="00E9765E" w:rsidRDefault="00E9765E" w:rsidP="00127730">
      <w:pPr>
        <w:pStyle w:val="SingleTxtG"/>
        <w:numPr>
          <w:ilvl w:val="2"/>
          <w:numId w:val="37"/>
        </w:numPr>
        <w:spacing w:after="0" w:line="240" w:lineRule="auto"/>
        <w:ind w:left="2347" w:right="43"/>
      </w:pPr>
      <w:r>
        <w:t xml:space="preserve">How to include </w:t>
      </w:r>
      <w:r w:rsidR="00F97063">
        <w:t xml:space="preserve">the </w:t>
      </w:r>
      <w:r>
        <w:t>MBP</w:t>
      </w:r>
      <w:r w:rsidR="00F97063">
        <w:t xml:space="preserve"> test</w:t>
      </w:r>
      <w:r>
        <w:t xml:space="preserve"> as part of TS 8 (c)</w:t>
      </w:r>
    </w:p>
    <w:p w14:paraId="4D6E818A" w14:textId="0A5E80DA" w:rsidR="00E9765E" w:rsidRDefault="00E9765E" w:rsidP="00127730">
      <w:pPr>
        <w:pStyle w:val="SingleTxtG"/>
        <w:numPr>
          <w:ilvl w:val="2"/>
          <w:numId w:val="37"/>
        </w:numPr>
        <w:spacing w:after="0" w:line="240" w:lineRule="auto"/>
        <w:ind w:left="2347" w:right="43"/>
        <w:jc w:val="left"/>
      </w:pPr>
      <w:r>
        <w:t>MBP Criteria to determine the suitability of a candidate ANE to be</w:t>
      </w:r>
      <w:r w:rsidR="00127730">
        <w:t xml:space="preserve"> </w:t>
      </w:r>
      <w:r>
        <w:t>classified in Division 5.1</w:t>
      </w:r>
    </w:p>
    <w:p w14:paraId="236C742F" w14:textId="5E83FEE8" w:rsidR="00E9765E" w:rsidRDefault="00E9765E" w:rsidP="00E9765E">
      <w:pPr>
        <w:pStyle w:val="SingleTxtG"/>
        <w:numPr>
          <w:ilvl w:val="2"/>
          <w:numId w:val="37"/>
        </w:numPr>
        <w:spacing w:after="240" w:line="240" w:lineRule="auto"/>
        <w:ind w:left="2340" w:right="39"/>
      </w:pPr>
      <w:r>
        <w:t xml:space="preserve">Should </w:t>
      </w:r>
      <w:r w:rsidR="00F97063">
        <w:t xml:space="preserve">the </w:t>
      </w:r>
      <w:r>
        <w:t>MBP</w:t>
      </w:r>
      <w:r w:rsidR="00F97063">
        <w:t xml:space="preserve"> test</w:t>
      </w:r>
      <w:r>
        <w:t xml:space="preserve"> be proposed as an alternative or replacement to 8 (d) Vented pipe test</w:t>
      </w:r>
    </w:p>
    <w:p w14:paraId="12B1FBE1" w14:textId="34362562" w:rsidR="00E9765E" w:rsidRPr="00072495" w:rsidRDefault="00CF24ED" w:rsidP="00E9765E">
      <w:pPr>
        <w:pStyle w:val="SingleTxtG"/>
        <w:spacing w:after="240" w:line="240" w:lineRule="auto"/>
        <w:ind w:left="1699" w:right="39"/>
      </w:pPr>
      <w:r>
        <w:t>49/INF.</w:t>
      </w:r>
      <w:r w:rsidR="003D1D4B" w:rsidRPr="003D1D4B">
        <w:t xml:space="preserve">50 discusses initial responses to the </w:t>
      </w:r>
      <w:proofErr w:type="gramStart"/>
      <w:r w:rsidR="003D1D4B" w:rsidRPr="003D1D4B">
        <w:t>3</w:t>
      </w:r>
      <w:proofErr w:type="gramEnd"/>
      <w:r w:rsidR="003D1D4B" w:rsidRPr="003D1D4B">
        <w:t xml:space="preserve"> work streams and acknowledges the report provided in </w:t>
      </w:r>
      <w:r>
        <w:t>49/INF.</w:t>
      </w:r>
      <w:r w:rsidR="003D1D4B" w:rsidRPr="003D1D4B">
        <w:t>34 as well as a similar report from CERL from 2013</w:t>
      </w:r>
      <w:r w:rsidR="00E9765E">
        <w:t>.</w:t>
      </w:r>
    </w:p>
    <w:p w14:paraId="51322EBC" w14:textId="681F6979" w:rsidR="00966C41" w:rsidRDefault="00CF24ED" w:rsidP="00B31ED9">
      <w:pPr>
        <w:pStyle w:val="SingleTxtG"/>
        <w:spacing w:after="240" w:line="240" w:lineRule="auto"/>
        <w:ind w:left="1699" w:right="39"/>
      </w:pPr>
      <w:r>
        <w:t>49/INF.</w:t>
      </w:r>
      <w:r w:rsidR="00B67187" w:rsidRPr="00B67187">
        <w:t xml:space="preserve">60 from AEISG provides context </w:t>
      </w:r>
      <w:proofErr w:type="gramStart"/>
      <w:r w:rsidR="00B67187" w:rsidRPr="00B67187">
        <w:t>to the discussion on the MBP</w:t>
      </w:r>
      <w:r w:rsidR="00F97063">
        <w:t xml:space="preserve"> test</w:t>
      </w:r>
      <w:r w:rsidR="00B67187" w:rsidRPr="00B67187">
        <w:t xml:space="preserve"> as a potential alternative to the 8(c) </w:t>
      </w:r>
      <w:proofErr w:type="spellStart"/>
      <w:r w:rsidR="00B67187" w:rsidRPr="00B67187">
        <w:t>Koenen</w:t>
      </w:r>
      <w:proofErr w:type="spellEnd"/>
      <w:r w:rsidR="00B67187" w:rsidRPr="00B67187">
        <w:t xml:space="preserve"> Test.</w:t>
      </w:r>
      <w:proofErr w:type="gramEnd"/>
      <w:r w:rsidR="00B67187" w:rsidRPr="00B67187">
        <w:t xml:space="preserve"> The presentation, which </w:t>
      </w:r>
      <w:proofErr w:type="gramStart"/>
      <w:r w:rsidR="00B67187" w:rsidRPr="00B67187">
        <w:t>was distributed</w:t>
      </w:r>
      <w:proofErr w:type="gramEnd"/>
      <w:r w:rsidR="00B67187" w:rsidRPr="00B67187">
        <w:t xml:space="preserve"> to the working group, highlighted the large differences in heat transfer and burst pressure between the </w:t>
      </w:r>
      <w:proofErr w:type="spellStart"/>
      <w:r w:rsidR="00B67187" w:rsidRPr="00B67187">
        <w:t>Koenen</w:t>
      </w:r>
      <w:proofErr w:type="spellEnd"/>
      <w:r w:rsidR="00B67187" w:rsidRPr="00B67187">
        <w:t xml:space="preserve"> test, the vented pipe test and tanks used in actual road transport. Results of </w:t>
      </w:r>
      <w:proofErr w:type="spellStart"/>
      <w:r w:rsidR="00B67187" w:rsidRPr="00B67187">
        <w:t>Koenen</w:t>
      </w:r>
      <w:proofErr w:type="spellEnd"/>
      <w:r w:rsidR="00B67187" w:rsidRPr="00B67187">
        <w:t xml:space="preserve"> tests </w:t>
      </w:r>
      <w:proofErr w:type="gramStart"/>
      <w:r w:rsidR="00B67187" w:rsidRPr="00B67187">
        <w:t>were also shown</w:t>
      </w:r>
      <w:proofErr w:type="gramEnd"/>
      <w:r w:rsidR="00B67187" w:rsidRPr="00B67187">
        <w:t xml:space="preserve"> that demonstrated negative results (pass) for ANEs with low (8%) water content</w:t>
      </w:r>
      <w:r w:rsidR="00B67187">
        <w:t>.</w:t>
      </w:r>
      <w:r w:rsidR="00B67187" w:rsidRPr="00B67187">
        <w:t xml:space="preserve">  An example of an incident </w:t>
      </w:r>
      <w:proofErr w:type="gramStart"/>
      <w:r w:rsidR="00B67187" w:rsidRPr="00B67187">
        <w:t>was given</w:t>
      </w:r>
      <w:proofErr w:type="gramEnd"/>
      <w:r w:rsidR="00B67187" w:rsidRPr="00B67187">
        <w:t xml:space="preserve"> that shows the poor thermal conductivity of ANEs. Reference </w:t>
      </w:r>
      <w:proofErr w:type="gramStart"/>
      <w:r w:rsidR="00B67187" w:rsidRPr="00B67187">
        <w:t>was also made</w:t>
      </w:r>
      <w:proofErr w:type="gramEnd"/>
      <w:r w:rsidR="00B67187" w:rsidRPr="00B67187">
        <w:t xml:space="preserve"> to the MBP research carried out by CERL and MAXAM in which the MBP is shown to decrease with increasing temperature, as expected. The observed null MBP </w:t>
      </w:r>
      <w:proofErr w:type="gramStart"/>
      <w:r w:rsidR="00B67187" w:rsidRPr="00B67187">
        <w:t>was shown</w:t>
      </w:r>
      <w:proofErr w:type="gramEnd"/>
      <w:r w:rsidR="00B67187" w:rsidRPr="00B67187">
        <w:t xml:space="preserve"> to be consistent with the thermal decomposition seen for ANEs. </w:t>
      </w:r>
    </w:p>
    <w:p w14:paraId="269FAE74" w14:textId="77777777" w:rsidR="007F7CDB" w:rsidRDefault="002A0877" w:rsidP="00B31ED9">
      <w:pPr>
        <w:pStyle w:val="SingleTxtG"/>
        <w:spacing w:after="240" w:line="240" w:lineRule="auto"/>
        <w:ind w:left="1699" w:right="39"/>
      </w:pPr>
      <w:r>
        <w:t xml:space="preserve">There was a discussion on the issues of classifying all ANEs using two alternative </w:t>
      </w:r>
      <w:proofErr w:type="gramStart"/>
      <w:r>
        <w:t>tests which</w:t>
      </w:r>
      <w:proofErr w:type="gramEnd"/>
      <w:r>
        <w:t xml:space="preserve"> are known to have different outcomes.  </w:t>
      </w:r>
      <w:r w:rsidR="00966C41">
        <w:t xml:space="preserve">A suggestion </w:t>
      </w:r>
      <w:proofErr w:type="gramStart"/>
      <w:r w:rsidR="00966C41">
        <w:t>was made</w:t>
      </w:r>
      <w:proofErr w:type="gramEnd"/>
      <w:r w:rsidR="00966C41">
        <w:t xml:space="preserve"> to amend the criteria in the 8(c) test.  Germany pointed out that consistency with Test Series 2 and classification of other chemicals would then be lost.  </w:t>
      </w:r>
    </w:p>
    <w:p w14:paraId="36DCE850" w14:textId="45F5B8A6" w:rsidR="00E9765E" w:rsidRPr="00E9765E" w:rsidRDefault="00C4494C" w:rsidP="00B31ED9">
      <w:pPr>
        <w:pStyle w:val="SingleTxtG"/>
        <w:spacing w:after="240" w:line="240" w:lineRule="auto"/>
        <w:ind w:left="1699" w:right="39"/>
      </w:pPr>
      <w:proofErr w:type="gramStart"/>
      <w:r>
        <w:lastRenderedPageBreak/>
        <w:t xml:space="preserve">The UK does not consider the </w:t>
      </w:r>
      <w:proofErr w:type="spellStart"/>
      <w:r>
        <w:t>Koenen</w:t>
      </w:r>
      <w:proofErr w:type="spellEnd"/>
      <w:r>
        <w:t xml:space="preserve"> test as suitable for emulsion ANEs and proposed </w:t>
      </w:r>
      <w:r w:rsidR="00B67187" w:rsidRPr="00B67187">
        <w:t xml:space="preserve">to have the </w:t>
      </w:r>
      <w:proofErr w:type="spellStart"/>
      <w:r w:rsidR="00B67187" w:rsidRPr="00B67187">
        <w:t>Koenen</w:t>
      </w:r>
      <w:proofErr w:type="spellEnd"/>
      <w:r w:rsidR="00B67187" w:rsidRPr="00B67187">
        <w:t xml:space="preserve"> test applicable for suspensions or gels, and the MBP test applicable for</w:t>
      </w:r>
      <w:r>
        <w:t xml:space="preserve"> emulsions</w:t>
      </w:r>
      <w:r w:rsidR="00B67187" w:rsidRPr="00B67187">
        <w:t xml:space="preserve"> due to their much higher water content</w:t>
      </w:r>
      <w:r w:rsidR="007E7803">
        <w:t xml:space="preserve"> and other factors</w:t>
      </w:r>
      <w:r>
        <w:t>.</w:t>
      </w:r>
      <w:proofErr w:type="gramEnd"/>
      <w:r>
        <w:t xml:space="preserve">  The USA </w:t>
      </w:r>
      <w:r w:rsidR="00B31ED9">
        <w:t>believes</w:t>
      </w:r>
      <w:r>
        <w:t xml:space="preserve"> this could be a favourable path pending further discussion</w:t>
      </w:r>
      <w:r w:rsidR="00B31ED9">
        <w:t xml:space="preserve"> at the ICG</w:t>
      </w:r>
      <w:r>
        <w:t>.</w:t>
      </w:r>
    </w:p>
    <w:p w14:paraId="3AAC60B8" w14:textId="4961803D" w:rsidR="00917EDB" w:rsidRPr="00072495" w:rsidRDefault="00917EDB" w:rsidP="00346755">
      <w:pPr>
        <w:pStyle w:val="SingleTxtG"/>
        <w:spacing w:after="240" w:line="240" w:lineRule="auto"/>
        <w:ind w:left="1699" w:right="39"/>
      </w:pPr>
      <w:r w:rsidRPr="00072495">
        <w:rPr>
          <w:b/>
          <w:u w:val="single"/>
        </w:rPr>
        <w:t>Conclusion:</w:t>
      </w:r>
      <w:r w:rsidRPr="00072495">
        <w:t xml:space="preserve">   </w:t>
      </w:r>
      <w:r w:rsidR="00346755">
        <w:rPr>
          <w:color w:val="1F497D"/>
        </w:rPr>
        <w:t xml:space="preserve">The </w:t>
      </w:r>
      <w:r w:rsidR="00E64E7F">
        <w:t xml:space="preserve">ICG will continue to work </w:t>
      </w:r>
      <w:r w:rsidR="00E64E7F" w:rsidRPr="00E64E7F">
        <w:t xml:space="preserve">through the summer to consider whether the </w:t>
      </w:r>
      <w:proofErr w:type="spellStart"/>
      <w:r w:rsidR="00E64E7F" w:rsidRPr="00E64E7F">
        <w:t>Koenen</w:t>
      </w:r>
      <w:proofErr w:type="spellEnd"/>
      <w:r w:rsidR="00E64E7F" w:rsidRPr="00E64E7F">
        <w:t xml:space="preserve"> test might be a suitable 8(c) test for gels and </w:t>
      </w:r>
      <w:r w:rsidR="00C4494C">
        <w:t>suspensions</w:t>
      </w:r>
      <w:r w:rsidR="00C4494C" w:rsidRPr="00E64E7F">
        <w:t xml:space="preserve"> </w:t>
      </w:r>
      <w:r w:rsidR="00E64E7F" w:rsidRPr="00E64E7F">
        <w:t>and the MBP</w:t>
      </w:r>
      <w:r w:rsidR="007B7E53">
        <w:t xml:space="preserve"> test</w:t>
      </w:r>
      <w:r w:rsidR="00E64E7F" w:rsidRPr="00E64E7F">
        <w:t xml:space="preserve"> for </w:t>
      </w:r>
      <w:r w:rsidR="00C4494C">
        <w:t>emulsions</w:t>
      </w:r>
      <w:r w:rsidR="00E64E7F" w:rsidRPr="00E64E7F">
        <w:t>.</w:t>
      </w:r>
    </w:p>
    <w:p w14:paraId="25E07B20" w14:textId="77777777" w:rsidR="007D712E" w:rsidRPr="00952B42" w:rsidRDefault="007D712E" w:rsidP="0048028F">
      <w:pPr>
        <w:pStyle w:val="HChG"/>
        <w:spacing w:line="240" w:lineRule="auto"/>
        <w:ind w:left="1138" w:right="39" w:firstLine="0"/>
      </w:pPr>
      <w:r w:rsidRPr="00952B42">
        <w:t xml:space="preserve">Agenda Item 2(d) – </w:t>
      </w:r>
      <w:r w:rsidR="006E29C9" w:rsidRPr="00952B42">
        <w:t>Review of packing instructions for explosives</w:t>
      </w:r>
      <w:r w:rsidRPr="00952B42">
        <w:t xml:space="preserve"> </w:t>
      </w:r>
    </w:p>
    <w:p w14:paraId="2FE035F8" w14:textId="77777777" w:rsidR="00BA6AB8" w:rsidRPr="00952B42" w:rsidRDefault="00952B42" w:rsidP="0048028F">
      <w:pPr>
        <w:pStyle w:val="SingleTxtG"/>
        <w:keepNext/>
        <w:numPr>
          <w:ilvl w:val="0"/>
          <w:numId w:val="4"/>
        </w:numPr>
        <w:spacing w:after="240" w:line="240" w:lineRule="auto"/>
        <w:ind w:right="43"/>
      </w:pPr>
      <w:r w:rsidRPr="00952B42">
        <w:t>No documents were submitted</w:t>
      </w:r>
    </w:p>
    <w:p w14:paraId="49019FE4" w14:textId="535AF39D" w:rsidR="004A40CC" w:rsidRPr="00950D47" w:rsidRDefault="004A40CC" w:rsidP="004A40CC">
      <w:pPr>
        <w:pStyle w:val="HChG"/>
        <w:spacing w:line="240" w:lineRule="auto"/>
        <w:ind w:left="1138" w:right="39" w:firstLine="0"/>
      </w:pPr>
      <w:r w:rsidRPr="001A6CE6">
        <w:t>Agenda Item 2(</w:t>
      </w:r>
      <w:r>
        <w:t>e</w:t>
      </w:r>
      <w:r w:rsidRPr="001A6CE6">
        <w:t xml:space="preserve">) – </w:t>
      </w:r>
      <w:r w:rsidRPr="004A40CC">
        <w:t>Globally Harmonized standard for explosives security markings</w:t>
      </w:r>
      <w:r>
        <w:t xml:space="preserve"> </w:t>
      </w:r>
    </w:p>
    <w:p w14:paraId="5E2F9B4A" w14:textId="1DEB6391" w:rsidR="005438FB" w:rsidRPr="004F1D03" w:rsidRDefault="005438FB" w:rsidP="005438FB">
      <w:pPr>
        <w:pStyle w:val="SingleTxtG"/>
        <w:keepNext/>
        <w:numPr>
          <w:ilvl w:val="0"/>
          <w:numId w:val="4"/>
        </w:numPr>
        <w:spacing w:after="240" w:line="240" w:lineRule="auto"/>
        <w:ind w:right="43"/>
      </w:pPr>
      <w:r w:rsidRPr="004F1D03">
        <w:rPr>
          <w:b/>
          <w:u w:val="single"/>
        </w:rPr>
        <w:t>Subject:</w:t>
      </w:r>
      <w:r>
        <w:t xml:space="preserve">   A simplified approach to a standardized marking format</w:t>
      </w:r>
    </w:p>
    <w:p w14:paraId="636545A4" w14:textId="77777777" w:rsidR="005438FB" w:rsidRPr="006D74E4" w:rsidRDefault="005438FB" w:rsidP="005438FB">
      <w:pPr>
        <w:pStyle w:val="SingleTxtG"/>
        <w:spacing w:after="240" w:line="240" w:lineRule="auto"/>
        <w:ind w:left="3700" w:right="39" w:hanging="2001"/>
        <w:jc w:val="left"/>
        <w:rPr>
          <w:i/>
          <w:iCs/>
          <w:lang w:val="fr-CH"/>
        </w:rPr>
      </w:pPr>
      <w:proofErr w:type="gramStart"/>
      <w:r w:rsidRPr="006D74E4">
        <w:rPr>
          <w:i/>
          <w:lang w:val="fr-CH"/>
        </w:rPr>
        <w:t>Documents:</w:t>
      </w:r>
      <w:proofErr w:type="gramEnd"/>
      <w:r w:rsidRPr="006D74E4">
        <w:rPr>
          <w:i/>
          <w:lang w:val="fr-CH"/>
        </w:rPr>
        <w:tab/>
      </w:r>
      <w:r w:rsidRPr="006D74E4">
        <w:rPr>
          <w:i/>
          <w:iCs/>
          <w:lang w:val="fr-CH"/>
        </w:rPr>
        <w:t>None</w:t>
      </w:r>
    </w:p>
    <w:p w14:paraId="3F2D83AA" w14:textId="22048264" w:rsidR="005438FB" w:rsidRPr="006D74E4" w:rsidRDefault="005438FB" w:rsidP="005438FB">
      <w:pPr>
        <w:pStyle w:val="SingleTxtG"/>
        <w:spacing w:after="240" w:line="240" w:lineRule="auto"/>
        <w:ind w:left="3700" w:right="39" w:hanging="2001"/>
        <w:jc w:val="left"/>
        <w:rPr>
          <w:i/>
          <w:iCs/>
          <w:lang w:val="fr-CH"/>
        </w:rPr>
      </w:pPr>
      <w:r w:rsidRPr="006D74E4">
        <w:rPr>
          <w:i/>
          <w:lang w:val="fr-CH"/>
        </w:rPr>
        <w:t xml:space="preserve">Informal </w:t>
      </w:r>
      <w:proofErr w:type="gramStart"/>
      <w:r w:rsidRPr="006D74E4">
        <w:rPr>
          <w:i/>
          <w:lang w:val="fr-CH"/>
        </w:rPr>
        <w:t>documents:</w:t>
      </w:r>
      <w:proofErr w:type="gramEnd"/>
      <w:r w:rsidRPr="006D74E4">
        <w:rPr>
          <w:i/>
          <w:lang w:val="fr-CH"/>
        </w:rPr>
        <w:t xml:space="preserve"> </w:t>
      </w:r>
      <w:r w:rsidRPr="006D74E4">
        <w:rPr>
          <w:i/>
          <w:lang w:val="fr-CH"/>
        </w:rPr>
        <w:tab/>
        <w:t>UN/SCETDG/49/INF.35 (IME)</w:t>
      </w:r>
    </w:p>
    <w:p w14:paraId="5020D77D" w14:textId="7B90CAA7" w:rsidR="005438FB" w:rsidRDefault="005438FB" w:rsidP="005438FB">
      <w:pPr>
        <w:pStyle w:val="SingleTxtG"/>
        <w:spacing w:after="240" w:line="240" w:lineRule="auto"/>
        <w:ind w:left="1699" w:right="39"/>
      </w:pPr>
      <w:r w:rsidRPr="004F1D03">
        <w:rPr>
          <w:b/>
          <w:u w:val="single"/>
        </w:rPr>
        <w:t>Discussion:</w:t>
      </w:r>
      <w:r w:rsidRPr="004F1D03">
        <w:t xml:space="preserve">  </w:t>
      </w:r>
      <w:r w:rsidR="0012515D">
        <w:t xml:space="preserve">This paper </w:t>
      </w:r>
      <w:proofErr w:type="gramStart"/>
      <w:r w:rsidR="0012515D">
        <w:t>was discussed</w:t>
      </w:r>
      <w:proofErr w:type="gramEnd"/>
      <w:r w:rsidR="0012515D">
        <w:t xml:space="preserve"> in the TDG plenary and was not discussed by the </w:t>
      </w:r>
      <w:r w:rsidR="00610971">
        <w:t>working group</w:t>
      </w:r>
      <w:r>
        <w:t>.</w:t>
      </w:r>
    </w:p>
    <w:p w14:paraId="16F7C23C" w14:textId="5D6C7750" w:rsidR="005438FB" w:rsidRPr="004F1D03" w:rsidRDefault="005438FB" w:rsidP="005438FB">
      <w:pPr>
        <w:pStyle w:val="SingleTxtG"/>
        <w:spacing w:after="240" w:line="240" w:lineRule="auto"/>
        <w:ind w:left="1699" w:right="39"/>
      </w:pPr>
      <w:r w:rsidRPr="004F1D03">
        <w:rPr>
          <w:b/>
          <w:u w:val="single"/>
        </w:rPr>
        <w:t>Conclusion:</w:t>
      </w:r>
      <w:r w:rsidRPr="004F1D03">
        <w:t xml:space="preserve">  </w:t>
      </w:r>
      <w:r>
        <w:t xml:space="preserve"> None</w:t>
      </w:r>
    </w:p>
    <w:p w14:paraId="7B4D5765" w14:textId="77777777" w:rsidR="001A6CE6" w:rsidRPr="00950D47" w:rsidRDefault="001A6CE6" w:rsidP="0048028F">
      <w:pPr>
        <w:pStyle w:val="HChG"/>
        <w:spacing w:line="240" w:lineRule="auto"/>
        <w:ind w:left="1138" w:right="39" w:firstLine="0"/>
      </w:pPr>
      <w:r w:rsidRPr="001A6CE6">
        <w:t>Agenda Item 2(f) – Classification of fireworks</w:t>
      </w:r>
      <w:r>
        <w:t xml:space="preserve"> </w:t>
      </w:r>
    </w:p>
    <w:p w14:paraId="611EBDAB" w14:textId="77777777" w:rsidR="00952B42" w:rsidRPr="00952B42" w:rsidRDefault="00952B42" w:rsidP="0048028F">
      <w:pPr>
        <w:pStyle w:val="SingleTxtG"/>
        <w:keepNext/>
        <w:numPr>
          <w:ilvl w:val="0"/>
          <w:numId w:val="4"/>
        </w:numPr>
        <w:spacing w:after="240" w:line="240" w:lineRule="auto"/>
        <w:ind w:right="43"/>
      </w:pPr>
      <w:r w:rsidRPr="00952B42">
        <w:t>No documents were submitted</w:t>
      </w:r>
    </w:p>
    <w:p w14:paraId="735F2C40" w14:textId="77777777" w:rsidR="001A6CE6" w:rsidRPr="00950D47" w:rsidRDefault="001A6CE6" w:rsidP="0048028F">
      <w:pPr>
        <w:pStyle w:val="HChG"/>
        <w:spacing w:line="240" w:lineRule="auto"/>
        <w:ind w:left="1138" w:right="39" w:firstLine="0"/>
      </w:pPr>
      <w:r w:rsidRPr="001A6CE6">
        <w:t>Agenda Item 2(g) – Classification of articles under UN 0349</w:t>
      </w:r>
      <w:r>
        <w:t xml:space="preserve"> </w:t>
      </w:r>
    </w:p>
    <w:p w14:paraId="199CD11F" w14:textId="00DD0BB4" w:rsidR="003448B0" w:rsidRPr="004F1D03" w:rsidRDefault="003448B0" w:rsidP="0048028F">
      <w:pPr>
        <w:pStyle w:val="SingleTxtG"/>
        <w:keepNext/>
        <w:numPr>
          <w:ilvl w:val="0"/>
          <w:numId w:val="4"/>
        </w:numPr>
        <w:spacing w:after="240" w:line="240" w:lineRule="auto"/>
        <w:ind w:right="43"/>
      </w:pPr>
      <w:r w:rsidRPr="004F1D03">
        <w:t>No documents were submitted</w:t>
      </w:r>
    </w:p>
    <w:p w14:paraId="5003FBA7" w14:textId="77777777" w:rsidR="001A6CE6" w:rsidRPr="00950D47" w:rsidRDefault="001A6CE6" w:rsidP="0048028F">
      <w:pPr>
        <w:pStyle w:val="HChG"/>
        <w:spacing w:line="240" w:lineRule="auto"/>
        <w:ind w:left="1138" w:right="39" w:firstLine="0"/>
      </w:pPr>
      <w:r w:rsidRPr="001A6CE6">
        <w:t>Agenda Item 2(h) – Review of Chapter 2.1 of the GHS</w:t>
      </w:r>
      <w:r>
        <w:t xml:space="preserve"> </w:t>
      </w:r>
    </w:p>
    <w:p w14:paraId="43DA12CE" w14:textId="77777777" w:rsidR="001A6CE6" w:rsidRPr="004F1D03" w:rsidRDefault="001A6CE6" w:rsidP="0048028F">
      <w:pPr>
        <w:pStyle w:val="SingleTxtG"/>
        <w:keepNext/>
        <w:numPr>
          <w:ilvl w:val="0"/>
          <w:numId w:val="4"/>
        </w:numPr>
        <w:spacing w:after="240" w:line="240" w:lineRule="auto"/>
        <w:ind w:right="43"/>
      </w:pPr>
      <w:r w:rsidRPr="004F1D03">
        <w:rPr>
          <w:b/>
          <w:u w:val="single"/>
        </w:rPr>
        <w:t>Subject:</w:t>
      </w:r>
      <w:r w:rsidRPr="004F1D03">
        <w:t xml:space="preserve">  </w:t>
      </w:r>
      <w:r w:rsidR="0042616B" w:rsidRPr="004F1D03">
        <w:t>Review of Chapter 2.1 of the GHS</w:t>
      </w:r>
    </w:p>
    <w:p w14:paraId="20103A36" w14:textId="0C6A537B" w:rsidR="001A6CE6" w:rsidRPr="004F1D03" w:rsidRDefault="001A6CE6" w:rsidP="0048028F">
      <w:pPr>
        <w:pStyle w:val="SingleTxtG"/>
        <w:spacing w:after="240" w:line="240" w:lineRule="auto"/>
        <w:ind w:left="3700" w:right="39" w:hanging="2001"/>
        <w:jc w:val="left"/>
        <w:rPr>
          <w:i/>
          <w:iCs/>
          <w:lang w:val="en-US"/>
        </w:rPr>
      </w:pPr>
      <w:r w:rsidRPr="004F1D03">
        <w:rPr>
          <w:i/>
        </w:rPr>
        <w:t>Documents:</w:t>
      </w:r>
      <w:r w:rsidRPr="004F1D03">
        <w:rPr>
          <w:i/>
        </w:rPr>
        <w:tab/>
      </w:r>
      <w:r w:rsidR="00133AB5" w:rsidRPr="00133AB5">
        <w:rPr>
          <w:i/>
          <w:iCs/>
          <w:lang w:val="en-US"/>
        </w:rPr>
        <w:t>ST/SG/AC.10/C.3/2016/7 (ST/SG/AC.10/C.4/2016/2)</w:t>
      </w:r>
      <w:r w:rsidR="00133AB5">
        <w:rPr>
          <w:i/>
          <w:iCs/>
          <w:lang w:val="en-US"/>
        </w:rPr>
        <w:t xml:space="preserve"> </w:t>
      </w:r>
      <w:r w:rsidR="00133AB5" w:rsidRPr="00133AB5">
        <w:rPr>
          <w:i/>
          <w:iCs/>
          <w:lang w:val="en-US"/>
        </w:rPr>
        <w:t>(AEISG</w:t>
      </w:r>
      <w:proofErr w:type="gramStart"/>
      <w:r w:rsidR="00133AB5" w:rsidRPr="00133AB5">
        <w:rPr>
          <w:i/>
          <w:iCs/>
          <w:lang w:val="en-US"/>
        </w:rPr>
        <w:t>)</w:t>
      </w:r>
      <w:proofErr w:type="gramEnd"/>
      <w:r w:rsidR="00F86B18">
        <w:rPr>
          <w:i/>
          <w:iCs/>
          <w:lang w:val="en-US"/>
        </w:rPr>
        <w:br/>
      </w:r>
      <w:r w:rsidR="00F86B18" w:rsidRPr="00F86B18">
        <w:rPr>
          <w:i/>
          <w:iCs/>
          <w:lang w:val="en-US"/>
        </w:rPr>
        <w:t>ST/SG/AC.10/C.3/2016/47 (ST/SG/AC.10/C.4/2016/10)</w:t>
      </w:r>
      <w:r w:rsidR="00F86B18">
        <w:rPr>
          <w:i/>
          <w:iCs/>
          <w:lang w:val="en-US"/>
        </w:rPr>
        <w:t xml:space="preserve"> </w:t>
      </w:r>
      <w:r w:rsidR="00F86B18" w:rsidRPr="00F86B18">
        <w:rPr>
          <w:i/>
          <w:iCs/>
          <w:lang w:val="en-US"/>
        </w:rPr>
        <w:t>(SAAMI)</w:t>
      </w:r>
    </w:p>
    <w:p w14:paraId="2995E723" w14:textId="13299153" w:rsidR="001A6CE6" w:rsidRPr="006F1A86" w:rsidRDefault="001A6CE6" w:rsidP="00F86B18">
      <w:pPr>
        <w:pStyle w:val="SingleTxtG"/>
        <w:spacing w:after="240" w:line="240" w:lineRule="auto"/>
        <w:ind w:left="3700" w:right="39" w:hanging="2001"/>
        <w:jc w:val="left"/>
        <w:rPr>
          <w:i/>
          <w:iCs/>
          <w:lang w:val="fr-CH"/>
        </w:rPr>
      </w:pPr>
      <w:r w:rsidRPr="006F1A86">
        <w:rPr>
          <w:i/>
          <w:lang w:val="fr-CH"/>
        </w:rPr>
        <w:t xml:space="preserve">Informal </w:t>
      </w:r>
      <w:proofErr w:type="gramStart"/>
      <w:r w:rsidRPr="006F1A86">
        <w:rPr>
          <w:i/>
          <w:lang w:val="fr-CH"/>
        </w:rPr>
        <w:t>documents:</w:t>
      </w:r>
      <w:proofErr w:type="gramEnd"/>
      <w:r w:rsidRPr="006F1A86">
        <w:rPr>
          <w:i/>
          <w:lang w:val="fr-CH"/>
        </w:rPr>
        <w:t xml:space="preserve"> </w:t>
      </w:r>
      <w:r w:rsidRPr="006F1A86">
        <w:rPr>
          <w:i/>
          <w:lang w:val="fr-CH"/>
        </w:rPr>
        <w:tab/>
      </w:r>
      <w:r w:rsidR="00F86B18" w:rsidRPr="006F1A86">
        <w:rPr>
          <w:i/>
          <w:lang w:val="fr-CH"/>
        </w:rPr>
        <w:t>UN/SCETDG/49/INF.15 (UN/SCEGHS/31/INF.5) (AEISG)</w:t>
      </w:r>
      <w:r w:rsidR="00F86B18" w:rsidRPr="006F1A86">
        <w:rPr>
          <w:i/>
          <w:lang w:val="fr-CH"/>
        </w:rPr>
        <w:br/>
      </w:r>
      <w:r w:rsidR="00F86B18" w:rsidRPr="006F1A86">
        <w:rPr>
          <w:i/>
          <w:iCs/>
          <w:lang w:val="fr-CH"/>
        </w:rPr>
        <w:t>UN/SCETDG/49/INF.45 (UN/SCEGHS/31/INF.12 (Canada)</w:t>
      </w:r>
      <w:r w:rsidR="00F86B18" w:rsidRPr="006F1A86">
        <w:rPr>
          <w:i/>
          <w:iCs/>
          <w:lang w:val="fr-CH"/>
        </w:rPr>
        <w:br/>
        <w:t>UN/SCETDG/49/INF.37 (UN/SCEGHS/31/INF.10) (</w:t>
      </w:r>
      <w:proofErr w:type="spellStart"/>
      <w:r w:rsidR="00F86B18" w:rsidRPr="006F1A86">
        <w:rPr>
          <w:i/>
          <w:iCs/>
          <w:lang w:val="fr-CH"/>
        </w:rPr>
        <w:t>Sweden</w:t>
      </w:r>
      <w:proofErr w:type="spellEnd"/>
      <w:r w:rsidR="00F86B18" w:rsidRPr="006F1A86">
        <w:rPr>
          <w:i/>
          <w:iCs/>
          <w:lang w:val="fr-CH"/>
        </w:rPr>
        <w:t>)</w:t>
      </w:r>
    </w:p>
    <w:p w14:paraId="1B0A931C" w14:textId="3B03A216" w:rsidR="00EB4CB8" w:rsidRDefault="006F1A86" w:rsidP="006F1A86">
      <w:pPr>
        <w:pStyle w:val="SingleTxtG"/>
        <w:spacing w:after="240" w:line="240" w:lineRule="auto"/>
        <w:ind w:left="1699" w:right="39"/>
      </w:pPr>
      <w:r>
        <w:rPr>
          <w:b/>
          <w:u w:val="single"/>
        </w:rPr>
        <w:t>Discussion:</w:t>
      </w:r>
      <w:r>
        <w:t xml:space="preserve">  The papers other than </w:t>
      </w:r>
      <w:r w:rsidR="00CF24ED">
        <w:t>49/INF.</w:t>
      </w:r>
      <w:r>
        <w:t xml:space="preserve">37 provide comments and suggestions for solving problems identified by the ICG and reported in </w:t>
      </w:r>
      <w:r w:rsidR="00CF24ED">
        <w:t>49/INF.</w:t>
      </w:r>
      <w:r>
        <w:t xml:space="preserve">37.  </w:t>
      </w:r>
      <w:r w:rsidR="00CF24ED">
        <w:t>49/INF.</w:t>
      </w:r>
      <w:r>
        <w:t xml:space="preserve">37 served as the basis for discussion, which </w:t>
      </w:r>
      <w:proofErr w:type="gramStart"/>
      <w:r>
        <w:t>was in particular focused</w:t>
      </w:r>
      <w:proofErr w:type="gramEnd"/>
      <w:r>
        <w:t xml:space="preserve"> on the GHS</w:t>
      </w:r>
      <w:r w:rsidR="00EB4CB8">
        <w:t xml:space="preserve"> </w:t>
      </w:r>
      <w:r>
        <w:t xml:space="preserve">labelling of explosives. It </w:t>
      </w:r>
      <w:proofErr w:type="gramStart"/>
      <w:r>
        <w:t>was recognized</w:t>
      </w:r>
      <w:proofErr w:type="gramEnd"/>
      <w:r>
        <w:t xml:space="preserve"> that some of the problems encountered originate from an unclear definition of the scope and applicability of the GHS to the life cycle of explosives, and the working group agreed that this </w:t>
      </w:r>
      <w:r>
        <w:lastRenderedPageBreak/>
        <w:t>needs be reviewed and clarified.  In order to overcome the package-dependence of current GHS</w:t>
      </w:r>
      <w:r w:rsidR="00EB4CB8">
        <w:t xml:space="preserve"> </w:t>
      </w:r>
      <w:r>
        <w:t xml:space="preserve">labelling elements, the working group discussed a generalization of the GHS label requirements presented in GHS Table 2.1.2, with some variations.  This generalization acknowledges that </w:t>
      </w:r>
      <w:proofErr w:type="gramStart"/>
      <w:r>
        <w:t>detailed information on the hazard of explosives when they are not in the transport configuration is included by the manufacturer in the safety data sheet</w:t>
      </w:r>
      <w:proofErr w:type="gramEnd"/>
      <w:r>
        <w:t xml:space="preserve">.  </w:t>
      </w:r>
    </w:p>
    <w:p w14:paraId="59331F6C" w14:textId="1C32CF22" w:rsidR="006F1A86" w:rsidRDefault="006F1A86" w:rsidP="006F1A86">
      <w:pPr>
        <w:pStyle w:val="SingleTxtG"/>
        <w:spacing w:after="240" w:line="240" w:lineRule="auto"/>
        <w:ind w:left="1699" w:right="39"/>
      </w:pPr>
      <w:r>
        <w:t>The working group</w:t>
      </w:r>
      <w:r w:rsidR="00EB4CB8">
        <w:t xml:space="preserve"> considered the use of the term “unstable explosives” within Chapter 2.1 and</w:t>
      </w:r>
      <w:r>
        <w:t xml:space="preserve"> concluded that the term is technically incorrect as what is being identified are explosives that fail Test Series 3 (substances) or 4 (articles), i.e., unsuitable for transport, but </w:t>
      </w:r>
      <w:r w:rsidR="000559A5">
        <w:t xml:space="preserve">may </w:t>
      </w:r>
      <w:r>
        <w:t xml:space="preserve">remain suitable for other purposes.  </w:t>
      </w:r>
    </w:p>
    <w:p w14:paraId="19495DFC" w14:textId="77777777" w:rsidR="006F1A86" w:rsidRDefault="006F1A86" w:rsidP="006F1A86">
      <w:pPr>
        <w:pStyle w:val="SingleTxtG"/>
        <w:spacing w:after="240" w:line="240" w:lineRule="auto"/>
        <w:ind w:left="1699" w:right="39"/>
      </w:pPr>
      <w:r>
        <w:t xml:space="preserve">The working group advanced the idea that all explosive divisions other than 1.4 and the category currently termed unstable explosives should bear the exploding bomb pictogram, the signal word “Danger” and the hazard statement “Explosive”. For Division 1.4, there was no consensus on the most appropriate labelling, but the idea of separating out from this Division those substances, mixtures and articles </w:t>
      </w:r>
      <w:proofErr w:type="gramStart"/>
      <w:r>
        <w:t>that also</w:t>
      </w:r>
      <w:proofErr w:type="gramEnd"/>
      <w:r>
        <w:t xml:space="preserve"> without (transport) packaging pose only a minor hazard was generally accepted. The exemption list is yet to be agreed, but a draft list based on UN-numbers for transport was developed. The USA was not supportive, and the UK agreed, of a list based only on UN numbers unless additional parameters </w:t>
      </w:r>
      <w:proofErr w:type="gramStart"/>
      <w:r>
        <w:t>were put</w:t>
      </w:r>
      <w:proofErr w:type="gramEnd"/>
      <w:r>
        <w:t xml:space="preserve"> in place to cover the wide variety of packaging possibilities.  </w:t>
      </w:r>
    </w:p>
    <w:p w14:paraId="2EA747AB" w14:textId="77777777" w:rsidR="006F1A86" w:rsidRDefault="006F1A86" w:rsidP="006F1A86">
      <w:pPr>
        <w:pStyle w:val="SingleTxtG"/>
        <w:spacing w:after="240" w:line="240" w:lineRule="auto"/>
        <w:ind w:left="1699" w:right="39"/>
      </w:pPr>
      <w:r>
        <w:t xml:space="preserve">The idea of introducing GHS Categories in the classification of explosives </w:t>
      </w:r>
      <w:proofErr w:type="gramStart"/>
      <w:r>
        <w:t>was discussed</w:t>
      </w:r>
      <w:proofErr w:type="gramEnd"/>
      <w:r>
        <w:t>, which would also replace the denotation “unstable explosive” with Category 1.</w:t>
      </w:r>
    </w:p>
    <w:p w14:paraId="62752AA9" w14:textId="77777777" w:rsidR="006F1A86" w:rsidRPr="00731523" w:rsidRDefault="006F1A86" w:rsidP="006F1A86">
      <w:pPr>
        <w:pStyle w:val="SingleTxtG"/>
        <w:spacing w:before="240" w:after="240" w:line="240" w:lineRule="auto"/>
        <w:ind w:left="1699" w:right="43"/>
      </w:pPr>
      <w:r w:rsidRPr="004F1D03">
        <w:rPr>
          <w:b/>
          <w:u w:val="single"/>
        </w:rPr>
        <w:t>Conclusion:</w:t>
      </w:r>
      <w:r w:rsidRPr="004F1D03">
        <w:t xml:space="preserve">  </w:t>
      </w:r>
      <w:r w:rsidRPr="00515F74">
        <w:tab/>
      </w:r>
      <w:r w:rsidRPr="00731523">
        <w:t xml:space="preserve">The above </w:t>
      </w:r>
      <w:proofErr w:type="gramStart"/>
      <w:r w:rsidRPr="00731523">
        <w:t>will be discussed</w:t>
      </w:r>
      <w:proofErr w:type="gramEnd"/>
      <w:r w:rsidRPr="00731523">
        <w:t xml:space="preserve"> </w:t>
      </w:r>
      <w:r>
        <w:t xml:space="preserve">at </w:t>
      </w:r>
      <w:r w:rsidRPr="00731523">
        <w:t xml:space="preserve">a </w:t>
      </w:r>
      <w:r>
        <w:t>dedicated</w:t>
      </w:r>
      <w:r w:rsidRPr="00731523">
        <w:t xml:space="preserve"> meeting </w:t>
      </w:r>
      <w:r>
        <w:t xml:space="preserve">during the session of the GHS-subcommittee </w:t>
      </w:r>
      <w:r w:rsidRPr="00731523">
        <w:t xml:space="preserve">and work will continue to refine the issues reported above as well as others identified in the </w:t>
      </w:r>
      <w:r>
        <w:t>papers listed under this section, resulting in proposals for the next session.</w:t>
      </w:r>
    </w:p>
    <w:p w14:paraId="61BE311F" w14:textId="77777777" w:rsidR="00AF33E9" w:rsidRPr="00950D47" w:rsidRDefault="00AF33E9" w:rsidP="0048028F">
      <w:pPr>
        <w:pStyle w:val="HChG"/>
        <w:spacing w:line="240" w:lineRule="auto"/>
        <w:ind w:left="1138" w:right="39" w:firstLine="0"/>
      </w:pPr>
      <w:r w:rsidRPr="001A6CE6">
        <w:t>Agenda Item 2(</w:t>
      </w:r>
      <w:proofErr w:type="spellStart"/>
      <w:r w:rsidR="001A6CE6" w:rsidRPr="001A6CE6">
        <w:t>i</w:t>
      </w:r>
      <w:proofErr w:type="spellEnd"/>
      <w:r w:rsidRPr="001A6CE6">
        <w:t>) – Miscellaneous</w:t>
      </w:r>
      <w:r>
        <w:t xml:space="preserve"> </w:t>
      </w:r>
    </w:p>
    <w:p w14:paraId="586F6F51" w14:textId="1228C6C5" w:rsidR="00D16357" w:rsidRPr="00072495" w:rsidRDefault="00D16357" w:rsidP="0048028F">
      <w:pPr>
        <w:pStyle w:val="SingleTxtG"/>
        <w:keepNext/>
        <w:numPr>
          <w:ilvl w:val="0"/>
          <w:numId w:val="4"/>
        </w:numPr>
        <w:spacing w:after="240" w:line="240" w:lineRule="auto"/>
        <w:ind w:right="43"/>
      </w:pPr>
      <w:r w:rsidRPr="00072495">
        <w:rPr>
          <w:b/>
          <w:u w:val="single"/>
        </w:rPr>
        <w:t>Subject:</w:t>
      </w:r>
      <w:r w:rsidRPr="00072495">
        <w:t xml:space="preserve">  </w:t>
      </w:r>
      <w:r w:rsidR="00511A6C" w:rsidRPr="00072495">
        <w:rPr>
          <w:iCs/>
          <w:lang w:val="en-US"/>
        </w:rPr>
        <w:t>Additional entries for Special Provision 347</w:t>
      </w:r>
    </w:p>
    <w:p w14:paraId="460E5655" w14:textId="59E837DF" w:rsidR="00D16357" w:rsidRPr="00072495" w:rsidRDefault="00D16357" w:rsidP="0048028F">
      <w:pPr>
        <w:pStyle w:val="SingleTxtG"/>
        <w:spacing w:after="240" w:line="240" w:lineRule="auto"/>
        <w:ind w:left="3700" w:right="39" w:hanging="2001"/>
        <w:rPr>
          <w:i/>
          <w:iCs/>
          <w:lang w:val="en-US"/>
        </w:rPr>
      </w:pPr>
      <w:r w:rsidRPr="00072495">
        <w:rPr>
          <w:i/>
        </w:rPr>
        <w:t>Documents:</w:t>
      </w:r>
      <w:r w:rsidRPr="00072495">
        <w:rPr>
          <w:i/>
        </w:rPr>
        <w:tab/>
      </w:r>
      <w:r w:rsidR="00511A6C" w:rsidRPr="00DE5AC6">
        <w:rPr>
          <w:i/>
          <w:iCs/>
          <w:lang w:val="en-US"/>
        </w:rPr>
        <w:t>ST/SG/AC.10/C.3</w:t>
      </w:r>
      <w:r w:rsidR="004276FE" w:rsidRPr="00DE5AC6">
        <w:rPr>
          <w:i/>
          <w:iCs/>
          <w:lang w:val="en-US"/>
        </w:rPr>
        <w:t>/2016/</w:t>
      </w:r>
      <w:r w:rsidR="00206E5E" w:rsidRPr="00DE5AC6">
        <w:rPr>
          <w:i/>
          <w:iCs/>
          <w:lang w:val="en-US"/>
        </w:rPr>
        <w:t>18</w:t>
      </w:r>
      <w:r w:rsidR="00511A6C" w:rsidRPr="00DE5AC6">
        <w:rPr>
          <w:i/>
          <w:iCs/>
          <w:lang w:val="en-US"/>
        </w:rPr>
        <w:t xml:space="preserve"> (Canada)</w:t>
      </w:r>
    </w:p>
    <w:p w14:paraId="2F12E7E7" w14:textId="77777777" w:rsidR="00D16357" w:rsidRPr="00072495" w:rsidRDefault="00D16357" w:rsidP="0048028F">
      <w:pPr>
        <w:pStyle w:val="SingleTxtG"/>
        <w:spacing w:after="240" w:line="240" w:lineRule="auto"/>
        <w:ind w:left="3700" w:right="39" w:hanging="2001"/>
        <w:jc w:val="left"/>
        <w:rPr>
          <w:i/>
          <w:iCs/>
          <w:lang w:val="en-US"/>
        </w:rPr>
      </w:pPr>
      <w:r w:rsidRPr="00072495">
        <w:rPr>
          <w:i/>
        </w:rPr>
        <w:t xml:space="preserve">Informal documents: </w:t>
      </w:r>
      <w:r w:rsidRPr="00072495">
        <w:rPr>
          <w:i/>
        </w:rPr>
        <w:tab/>
      </w:r>
      <w:r w:rsidR="00124359" w:rsidRPr="00072495">
        <w:rPr>
          <w:i/>
          <w:iCs/>
          <w:lang w:val="en-US"/>
        </w:rPr>
        <w:t>None</w:t>
      </w:r>
    </w:p>
    <w:p w14:paraId="50C54D78" w14:textId="1C7C3DB7" w:rsidR="00206E5E" w:rsidRPr="00072495" w:rsidRDefault="00511A6C" w:rsidP="00206E5E">
      <w:pPr>
        <w:spacing w:before="120" w:after="120" w:line="240" w:lineRule="auto"/>
        <w:ind w:left="1699"/>
      </w:pPr>
      <w:r w:rsidRPr="00072495">
        <w:rPr>
          <w:b/>
          <w:u w:val="single"/>
        </w:rPr>
        <w:t>Discussion:</w:t>
      </w:r>
      <w:r w:rsidRPr="00072495">
        <w:t xml:space="preserve">  </w:t>
      </w:r>
      <w:r w:rsidR="00206E5E" w:rsidRPr="00072495">
        <w:t xml:space="preserve">When SP 347 </w:t>
      </w:r>
      <w:proofErr w:type="gramStart"/>
      <w:r w:rsidR="00206E5E" w:rsidRPr="00072495">
        <w:t>is applied</w:t>
      </w:r>
      <w:proofErr w:type="gramEnd"/>
      <w:r w:rsidR="00206E5E" w:rsidRPr="00072495">
        <w:t xml:space="preserve"> against an explosives entry, it requires that the 6(d) test be passed before 1.4S can be assigned.  Currently SP 347 applies to eight 1.4S entries including shaped charges, detonators, power device cartridges, detonator assemblies, and plastic bonded bursting charges.  At the 48th session, Canada recommended reviewing the list of UN entries for articles and substances whose classification is normally package dependent or that are generic, and to apply SP 347 to those entries as well as the </w:t>
      </w:r>
      <w:proofErr w:type="gramStart"/>
      <w:r w:rsidR="00206E5E" w:rsidRPr="00072495">
        <w:t>8</w:t>
      </w:r>
      <w:proofErr w:type="gramEnd"/>
      <w:r w:rsidR="00206E5E" w:rsidRPr="00072495">
        <w:t xml:space="preserve"> entries to which SP 347 already applies (2015/42). This would have expanded SP 347 applicability to an additional 10 entries including fireworks, tubular primers, detonating </w:t>
      </w:r>
      <w:proofErr w:type="spellStart"/>
      <w:r w:rsidR="00206E5E" w:rsidRPr="00072495">
        <w:t>fuzes</w:t>
      </w:r>
      <w:proofErr w:type="spellEnd"/>
      <w:r w:rsidR="00206E5E" w:rsidRPr="00072495">
        <w:t xml:space="preserve">, flares, pyrotechnic articles, ships flares, and </w:t>
      </w:r>
      <w:proofErr w:type="spellStart"/>
      <w:r w:rsidR="00206E5E" w:rsidRPr="00072495">
        <w:t>n.o.s</w:t>
      </w:r>
      <w:proofErr w:type="spellEnd"/>
      <w:r w:rsidR="00206E5E" w:rsidRPr="00072495">
        <w:t xml:space="preserve">. entries.  The working group didn't agree that 1.4S classifications of all of these explosives needed examination by the 6(d) test; however, </w:t>
      </w:r>
      <w:r w:rsidR="006A5690" w:rsidRPr="00072495">
        <w:t>it supported</w:t>
      </w:r>
      <w:r w:rsidR="00206E5E" w:rsidRPr="00072495">
        <w:t xml:space="preserve"> applying SP 347 to the NOS entries cited in the paper and to UN 0367 (</w:t>
      </w:r>
      <w:proofErr w:type="spellStart"/>
      <w:r w:rsidR="00206E5E" w:rsidRPr="00072495">
        <w:t>Fuzes</w:t>
      </w:r>
      <w:proofErr w:type="spellEnd"/>
      <w:r w:rsidR="00206E5E" w:rsidRPr="00072495">
        <w:t xml:space="preserve">, detonating).  Canada agreed to return with a modified proposal and in 2016/18 Canada proposes to apply SP 347 </w:t>
      </w:r>
      <w:proofErr w:type="gramStart"/>
      <w:r w:rsidR="00206E5E" w:rsidRPr="00072495">
        <w:t>to</w:t>
      </w:r>
      <w:proofErr w:type="gramEnd"/>
      <w:r w:rsidR="00206E5E" w:rsidRPr="00072495">
        <w:t>:</w:t>
      </w:r>
    </w:p>
    <w:p w14:paraId="3C39DAB9" w14:textId="77777777" w:rsidR="00206E5E" w:rsidRPr="001400AC" w:rsidRDefault="00206E5E" w:rsidP="00206E5E">
      <w:pPr>
        <w:pStyle w:val="ListParagraph"/>
        <w:numPr>
          <w:ilvl w:val="0"/>
          <w:numId w:val="17"/>
        </w:numPr>
        <w:spacing w:before="120" w:after="120" w:line="240" w:lineRule="auto"/>
        <w:rPr>
          <w:rFonts w:ascii="Times New Roman" w:hAnsi="Times New Roman"/>
          <w:sz w:val="20"/>
          <w:szCs w:val="20"/>
          <w:lang w:val="fr-CH"/>
        </w:rPr>
      </w:pPr>
      <w:r w:rsidRPr="001400AC">
        <w:rPr>
          <w:rFonts w:ascii="Times New Roman" w:hAnsi="Times New Roman"/>
          <w:sz w:val="20"/>
          <w:szCs w:val="20"/>
          <w:lang w:val="fr-CH"/>
        </w:rPr>
        <w:t>UN 0349 (ARTICLES, EXPLOSIVE, N.O.S.)</w:t>
      </w:r>
    </w:p>
    <w:p w14:paraId="1288B4CA" w14:textId="77777777" w:rsidR="00206E5E" w:rsidRPr="00072495" w:rsidRDefault="00206E5E" w:rsidP="00206E5E">
      <w:pPr>
        <w:pStyle w:val="ListParagraph"/>
        <w:numPr>
          <w:ilvl w:val="0"/>
          <w:numId w:val="17"/>
        </w:numPr>
        <w:spacing w:before="120" w:after="120" w:line="240" w:lineRule="auto"/>
        <w:rPr>
          <w:rFonts w:ascii="Times New Roman" w:hAnsi="Times New Roman"/>
          <w:sz w:val="20"/>
          <w:szCs w:val="20"/>
        </w:rPr>
      </w:pPr>
      <w:r w:rsidRPr="00072495">
        <w:rPr>
          <w:rFonts w:ascii="Times New Roman" w:hAnsi="Times New Roman"/>
          <w:sz w:val="20"/>
          <w:szCs w:val="20"/>
        </w:rPr>
        <w:t>UN 0367 (FUZES, DETONATING)</w:t>
      </w:r>
    </w:p>
    <w:p w14:paraId="218C6B19" w14:textId="77777777" w:rsidR="00206E5E" w:rsidRPr="001400AC" w:rsidRDefault="00206E5E" w:rsidP="00206E5E">
      <w:pPr>
        <w:pStyle w:val="ListParagraph"/>
        <w:numPr>
          <w:ilvl w:val="0"/>
          <w:numId w:val="17"/>
        </w:numPr>
        <w:spacing w:before="120" w:after="120" w:line="240" w:lineRule="auto"/>
        <w:rPr>
          <w:rFonts w:ascii="Times New Roman" w:hAnsi="Times New Roman"/>
          <w:sz w:val="20"/>
          <w:szCs w:val="20"/>
          <w:lang w:val="fr-CH"/>
        </w:rPr>
      </w:pPr>
      <w:r w:rsidRPr="001400AC">
        <w:rPr>
          <w:rFonts w:ascii="Times New Roman" w:hAnsi="Times New Roman"/>
          <w:sz w:val="20"/>
          <w:szCs w:val="20"/>
          <w:lang w:val="fr-CH"/>
        </w:rPr>
        <w:t>UN 0384 (COMPONENTS, EXPLOSIVE TRAIN, N.O.S.)</w:t>
      </w:r>
    </w:p>
    <w:p w14:paraId="22F55D06" w14:textId="77777777" w:rsidR="00206E5E" w:rsidRPr="001400AC" w:rsidRDefault="00206E5E" w:rsidP="00206E5E">
      <w:pPr>
        <w:pStyle w:val="ListParagraph"/>
        <w:numPr>
          <w:ilvl w:val="0"/>
          <w:numId w:val="17"/>
        </w:numPr>
        <w:spacing w:before="120" w:after="120" w:line="240" w:lineRule="auto"/>
        <w:rPr>
          <w:rFonts w:ascii="Times New Roman" w:hAnsi="Times New Roman"/>
          <w:sz w:val="20"/>
          <w:szCs w:val="20"/>
          <w:lang w:val="fr-CH"/>
        </w:rPr>
      </w:pPr>
      <w:r w:rsidRPr="001400AC">
        <w:rPr>
          <w:rFonts w:ascii="Times New Roman" w:hAnsi="Times New Roman"/>
          <w:sz w:val="20"/>
          <w:szCs w:val="20"/>
          <w:lang w:val="fr-CH"/>
        </w:rPr>
        <w:t>UN 0481 (SUBSTANCES, EXPLOSIVE, N.O.S.)</w:t>
      </w:r>
    </w:p>
    <w:p w14:paraId="0A93232C" w14:textId="5EBBDB23" w:rsidR="00511A6C" w:rsidRPr="00072495" w:rsidRDefault="00511A6C" w:rsidP="0048028F">
      <w:pPr>
        <w:pStyle w:val="SingleTxtG"/>
        <w:spacing w:after="240" w:line="240" w:lineRule="auto"/>
        <w:ind w:left="1699" w:right="39"/>
      </w:pPr>
      <w:r w:rsidRPr="00072495">
        <w:rPr>
          <w:b/>
          <w:u w:val="single"/>
        </w:rPr>
        <w:lastRenderedPageBreak/>
        <w:t>Conclusion:</w:t>
      </w:r>
      <w:r w:rsidRPr="00072495">
        <w:t xml:space="preserve">  </w:t>
      </w:r>
      <w:r w:rsidR="00206E5E" w:rsidRPr="00072495">
        <w:t xml:space="preserve">The working group </w:t>
      </w:r>
      <w:r w:rsidR="0012515D">
        <w:t xml:space="preserve">unanimously </w:t>
      </w:r>
      <w:r w:rsidR="00206E5E" w:rsidRPr="00072495">
        <w:t>accepted the proposal in 2016/18</w:t>
      </w:r>
      <w:r w:rsidR="0012515D">
        <w:t xml:space="preserve"> and recommends acceptance by the Sub-Committee</w:t>
      </w:r>
      <w:r w:rsidR="00206E5E" w:rsidRPr="00072495">
        <w:t>.  See Amendment 1 in Annex 2 of this report.</w:t>
      </w:r>
    </w:p>
    <w:p w14:paraId="37B3571A" w14:textId="5CB0EA63" w:rsidR="00BA6AB8" w:rsidRPr="00072495" w:rsidRDefault="00BA6AB8" w:rsidP="0048028F">
      <w:pPr>
        <w:pStyle w:val="SingleTxtG"/>
        <w:keepNext/>
        <w:numPr>
          <w:ilvl w:val="0"/>
          <w:numId w:val="4"/>
        </w:numPr>
        <w:spacing w:after="240" w:line="240" w:lineRule="auto"/>
        <w:ind w:right="43"/>
      </w:pPr>
      <w:r w:rsidRPr="00072495">
        <w:rPr>
          <w:b/>
          <w:u w:val="single"/>
        </w:rPr>
        <w:t>Subject:</w:t>
      </w:r>
      <w:r w:rsidRPr="00072495">
        <w:t xml:space="preserve">  </w:t>
      </w:r>
      <w:r w:rsidR="00C27822">
        <w:t>Revision of Sections 1.1.2 and 2.3 of the Manual</w:t>
      </w:r>
    </w:p>
    <w:p w14:paraId="76215F60" w14:textId="2DEE97D2" w:rsidR="00BA6AB8" w:rsidRPr="001400AC" w:rsidRDefault="00BA6AB8" w:rsidP="0048028F">
      <w:pPr>
        <w:pStyle w:val="SingleTxtG"/>
        <w:spacing w:after="240" w:line="240" w:lineRule="auto"/>
        <w:ind w:left="3700" w:right="39" w:hanging="2001"/>
        <w:rPr>
          <w:i/>
          <w:iCs/>
          <w:lang w:val="fr-CH"/>
        </w:rPr>
      </w:pPr>
      <w:proofErr w:type="gramStart"/>
      <w:r w:rsidRPr="001400AC">
        <w:rPr>
          <w:i/>
          <w:lang w:val="fr-CH"/>
        </w:rPr>
        <w:t>Documents:</w:t>
      </w:r>
      <w:proofErr w:type="gramEnd"/>
      <w:r w:rsidRPr="001400AC">
        <w:rPr>
          <w:i/>
          <w:lang w:val="fr-CH"/>
        </w:rPr>
        <w:tab/>
      </w:r>
      <w:r w:rsidR="005526EF" w:rsidRPr="001400AC">
        <w:rPr>
          <w:i/>
          <w:iCs/>
          <w:lang w:val="fr-CH"/>
        </w:rPr>
        <w:t>ST/SG/AC.10/C.3/2016/19 (IME)</w:t>
      </w:r>
    </w:p>
    <w:p w14:paraId="7954EB65" w14:textId="77777777" w:rsidR="00BA6AB8" w:rsidRPr="001400AC" w:rsidRDefault="00BA6AB8" w:rsidP="0048028F">
      <w:pPr>
        <w:pStyle w:val="SingleTxtG"/>
        <w:spacing w:after="240" w:line="240" w:lineRule="auto"/>
        <w:ind w:left="3700" w:right="39" w:hanging="2001"/>
        <w:jc w:val="left"/>
        <w:rPr>
          <w:i/>
          <w:iCs/>
          <w:lang w:val="fr-CH"/>
        </w:rPr>
      </w:pPr>
      <w:r w:rsidRPr="001400AC">
        <w:rPr>
          <w:i/>
          <w:lang w:val="fr-CH"/>
        </w:rPr>
        <w:t xml:space="preserve">Informal </w:t>
      </w:r>
      <w:proofErr w:type="gramStart"/>
      <w:r w:rsidRPr="001400AC">
        <w:rPr>
          <w:i/>
          <w:lang w:val="fr-CH"/>
        </w:rPr>
        <w:t>documents:</w:t>
      </w:r>
      <w:proofErr w:type="gramEnd"/>
      <w:r w:rsidRPr="001400AC">
        <w:rPr>
          <w:i/>
          <w:lang w:val="fr-CH"/>
        </w:rPr>
        <w:t xml:space="preserve"> </w:t>
      </w:r>
      <w:r w:rsidRPr="001400AC">
        <w:rPr>
          <w:i/>
          <w:lang w:val="fr-CH"/>
        </w:rPr>
        <w:tab/>
      </w:r>
      <w:r w:rsidR="003B71EC" w:rsidRPr="001400AC">
        <w:rPr>
          <w:i/>
          <w:iCs/>
          <w:lang w:val="fr-CH"/>
        </w:rPr>
        <w:t>None</w:t>
      </w:r>
    </w:p>
    <w:p w14:paraId="3095AA99" w14:textId="4A040306" w:rsidR="004E7481" w:rsidRDefault="00511A6C" w:rsidP="005526EF">
      <w:pPr>
        <w:pStyle w:val="SingleTxtG"/>
        <w:spacing w:after="240" w:line="240" w:lineRule="auto"/>
        <w:ind w:left="1699" w:right="39"/>
      </w:pPr>
      <w:r w:rsidRPr="00072495">
        <w:rPr>
          <w:b/>
          <w:u w:val="single"/>
        </w:rPr>
        <w:t>Discussion:</w:t>
      </w:r>
      <w:r w:rsidRPr="00072495">
        <w:t xml:space="preserve">  </w:t>
      </w:r>
      <w:r w:rsidR="005526EF" w:rsidRPr="00072495">
        <w:t xml:space="preserve">During the </w:t>
      </w:r>
      <w:r w:rsidR="00610971">
        <w:t>working group</w:t>
      </w:r>
      <w:r w:rsidR="005526EF" w:rsidRPr="00072495">
        <w:t xml:space="preserve"> meeting at the 48th session, it </w:t>
      </w:r>
      <w:proofErr w:type="gramStart"/>
      <w:r w:rsidR="005526EF" w:rsidRPr="00072495">
        <w:t>was noted</w:t>
      </w:r>
      <w:proofErr w:type="gramEnd"/>
      <w:r w:rsidR="005526EF" w:rsidRPr="00072495">
        <w:t xml:space="preserve"> that a reference to “testing authority” in Section 1.1.2 of the Manual incorrectly implies that the testing authority has the responsibility for classification of dangerous goods.   IME agreed to submit a proposal for the 49th session to correct this misconception.  </w:t>
      </w:r>
      <w:proofErr w:type="gramStart"/>
      <w:r w:rsidR="005526EF" w:rsidRPr="00072495">
        <w:t>Working with the working group chair,</w:t>
      </w:r>
      <w:proofErr w:type="gramEnd"/>
      <w:r w:rsidR="005526EF" w:rsidRPr="00072495">
        <w:t xml:space="preserve"> </w:t>
      </w:r>
      <w:proofErr w:type="gramStart"/>
      <w:r w:rsidR="005526EF" w:rsidRPr="00072495">
        <w:t>it</w:t>
      </w:r>
      <w:proofErr w:type="gramEnd"/>
      <w:r w:rsidR="005526EF" w:rsidRPr="00072495">
        <w:t xml:space="preserve"> was discovered that Section 2.3</w:t>
      </w:r>
      <w:r w:rsidR="001E4105">
        <w:t xml:space="preserve"> of Appendix 6</w:t>
      </w:r>
      <w:r w:rsidR="005526EF" w:rsidRPr="00072495">
        <w:t xml:space="preserve"> also required a similar correction.  In 2016/19, IME propose</w:t>
      </w:r>
      <w:r w:rsidR="001E4105">
        <w:t>s</w:t>
      </w:r>
      <w:r w:rsidR="005526EF" w:rsidRPr="00072495">
        <w:t xml:space="preserve"> to amend references to “testing authority” in Sec</w:t>
      </w:r>
      <w:r w:rsidR="001E4105">
        <w:t>tion</w:t>
      </w:r>
      <w:r w:rsidR="005526EF" w:rsidRPr="00072495">
        <w:t xml:space="preserve"> 1.1.2 and </w:t>
      </w:r>
      <w:r w:rsidR="001E4105">
        <w:t xml:space="preserve">Section </w:t>
      </w:r>
      <w:r w:rsidR="005526EF" w:rsidRPr="00072495">
        <w:t>2.3</w:t>
      </w:r>
      <w:r w:rsidR="001E4105">
        <w:t xml:space="preserve"> (of Appendix 6</w:t>
      </w:r>
      <w:r w:rsidR="00C50A7B">
        <w:t xml:space="preserve">) </w:t>
      </w:r>
      <w:r w:rsidR="00C50A7B" w:rsidRPr="00072495">
        <w:t>to</w:t>
      </w:r>
      <w:r w:rsidR="005526EF" w:rsidRPr="00072495">
        <w:t xml:space="preserve"> read “testing body” and to remove the comments in both sections referring to responsibility for classification.</w:t>
      </w:r>
    </w:p>
    <w:p w14:paraId="620DD72D" w14:textId="52143C1D" w:rsidR="001B7425" w:rsidRDefault="001B7425" w:rsidP="005526EF">
      <w:pPr>
        <w:pStyle w:val="SingleTxtG"/>
        <w:spacing w:after="240" w:line="240" w:lineRule="auto"/>
        <w:ind w:left="1699" w:right="39"/>
      </w:pPr>
      <w:r>
        <w:t>The working group considered the proposal by IME to replace the term “testing authority” with “testing body” and agreed that “testing body</w:t>
      </w:r>
      <w:r w:rsidR="001E4105">
        <w:t>”</w:t>
      </w:r>
      <w:r>
        <w:t xml:space="preserve"> was the more appropriate descriptor.</w:t>
      </w:r>
    </w:p>
    <w:p w14:paraId="0E22F7A8" w14:textId="27948B53" w:rsidR="00E23106" w:rsidRDefault="00E23106" w:rsidP="000A751A">
      <w:pPr>
        <w:pStyle w:val="SingleTxtG"/>
        <w:spacing w:after="240" w:line="240" w:lineRule="auto"/>
        <w:ind w:left="1699" w:right="39"/>
      </w:pPr>
      <w:r>
        <w:t xml:space="preserve">Since the terms “competence” and “competent authority” </w:t>
      </w:r>
      <w:proofErr w:type="gramStart"/>
      <w:r>
        <w:t>might be used</w:t>
      </w:r>
      <w:proofErr w:type="gramEnd"/>
      <w:r>
        <w:t xml:space="preserve"> in different contexts in </w:t>
      </w:r>
      <w:r w:rsidR="00651C2F">
        <w:t>several</w:t>
      </w:r>
      <w:r>
        <w:t xml:space="preserve"> regulations</w:t>
      </w:r>
      <w:r w:rsidR="00651C2F">
        <w:t xml:space="preserve"> (e.g. transport modal regulations),</w:t>
      </w:r>
      <w:r>
        <w:t xml:space="preserve"> France suggested that the proposal recommending “competence” of testing bodies be amended to recommend “technical competence” of testing bodies.  Germany and Netherlands support</w:t>
      </w:r>
      <w:r w:rsidR="001E4105">
        <w:t>ed</w:t>
      </w:r>
      <w:r>
        <w:t xml:space="preserve"> this modification and the working group </w:t>
      </w:r>
      <w:r w:rsidR="001B7425">
        <w:t>recommended amending the proposal by IME to read “technical competence” in the place of “competence”</w:t>
      </w:r>
      <w:r>
        <w:t>.</w:t>
      </w:r>
    </w:p>
    <w:p w14:paraId="69A543D4" w14:textId="29F3CACB" w:rsidR="00E23106" w:rsidRPr="00E23106" w:rsidRDefault="00910340" w:rsidP="00910340">
      <w:pPr>
        <w:pStyle w:val="SingleTxtG"/>
        <w:spacing w:after="240" w:line="240" w:lineRule="auto"/>
        <w:ind w:left="1699" w:right="39"/>
      </w:pPr>
      <w:r>
        <w:t>The USA supported</w:t>
      </w:r>
      <w:r w:rsidR="00E23106">
        <w:t xml:space="preserve"> the proposal in 2016/19, </w:t>
      </w:r>
      <w:r>
        <w:t xml:space="preserve">and noted that the change would not conflict </w:t>
      </w:r>
      <w:r w:rsidR="00651C2F">
        <w:t xml:space="preserve">with situations </w:t>
      </w:r>
      <w:r>
        <w:t>where testing bodies can be designated greater responsibility by the Competent Authority.</w:t>
      </w:r>
      <w:r w:rsidR="001B7425">
        <w:t xml:space="preserve"> Since the Manual is a collection of tests used to classify dangerous goods and since the responsibility of the competent authority to classify explosives </w:t>
      </w:r>
      <w:proofErr w:type="gramStart"/>
      <w:r w:rsidR="001B7425">
        <w:t>is established</w:t>
      </w:r>
      <w:proofErr w:type="gramEnd"/>
      <w:r w:rsidR="001B7425">
        <w:t xml:space="preserve"> in the Model Regulations, the working group agreed with the IME proposal to remove those references from Section 1.1.2 and </w:t>
      </w:r>
      <w:r w:rsidR="001E4105">
        <w:t xml:space="preserve">Section </w:t>
      </w:r>
      <w:r w:rsidR="001B7425">
        <w:t>2.3</w:t>
      </w:r>
      <w:r w:rsidR="001E4105">
        <w:t xml:space="preserve"> of Appendix 6</w:t>
      </w:r>
      <w:r w:rsidR="001B7425">
        <w:t>.</w:t>
      </w:r>
    </w:p>
    <w:p w14:paraId="62F85EE5" w14:textId="1F592C91" w:rsidR="004E7481" w:rsidRPr="00072495" w:rsidRDefault="00511A6C" w:rsidP="0048028F">
      <w:pPr>
        <w:pStyle w:val="SingleTxtG"/>
        <w:spacing w:after="240" w:line="240" w:lineRule="auto"/>
        <w:ind w:left="1699" w:right="39"/>
      </w:pPr>
      <w:r w:rsidRPr="00072495">
        <w:rPr>
          <w:b/>
          <w:u w:val="single"/>
        </w:rPr>
        <w:t>Conclusion:</w:t>
      </w:r>
      <w:r w:rsidRPr="00072495">
        <w:t xml:space="preserve">  </w:t>
      </w:r>
      <w:r w:rsidR="0024638D" w:rsidRPr="00072495">
        <w:t>The working</w:t>
      </w:r>
      <w:r w:rsidR="00CE142D" w:rsidRPr="00072495">
        <w:t xml:space="preserve"> group </w:t>
      </w:r>
      <w:r w:rsidR="001B7425">
        <w:t xml:space="preserve">unanimously accepted the proposals </w:t>
      </w:r>
      <w:r w:rsidR="00CE142D" w:rsidRPr="00072495">
        <w:t>in 2016/19</w:t>
      </w:r>
      <w:r w:rsidR="001B7425">
        <w:t xml:space="preserve"> as modified by France</w:t>
      </w:r>
      <w:r w:rsidR="0024638D">
        <w:t xml:space="preserve"> and recommends </w:t>
      </w:r>
      <w:r w:rsidR="005C5832">
        <w:t>acceptance by</w:t>
      </w:r>
      <w:r w:rsidR="0024638D">
        <w:t xml:space="preserve"> the </w:t>
      </w:r>
      <w:r w:rsidR="00F67F55">
        <w:t>Sub-Committee</w:t>
      </w:r>
      <w:r w:rsidR="00CE142D" w:rsidRPr="00072495">
        <w:t xml:space="preserve">.  See Amendments </w:t>
      </w:r>
      <w:r w:rsidR="00E735C6">
        <w:t>5</w:t>
      </w:r>
      <w:r w:rsidR="00CE142D" w:rsidRPr="00072495">
        <w:t xml:space="preserve"> and </w:t>
      </w:r>
      <w:r w:rsidR="00E735C6">
        <w:t>6</w:t>
      </w:r>
      <w:r w:rsidR="00CE142D" w:rsidRPr="00072495">
        <w:t xml:space="preserve"> in Annex 3 of this report.</w:t>
      </w:r>
    </w:p>
    <w:p w14:paraId="4F30F685" w14:textId="5C433142" w:rsidR="00CB7A85" w:rsidRPr="00072495" w:rsidRDefault="00CB7A85" w:rsidP="0048028F">
      <w:pPr>
        <w:pStyle w:val="SingleTxtG"/>
        <w:numPr>
          <w:ilvl w:val="0"/>
          <w:numId w:val="4"/>
        </w:numPr>
        <w:spacing w:after="240" w:line="240" w:lineRule="auto"/>
        <w:ind w:right="43"/>
      </w:pPr>
      <w:r w:rsidRPr="00072495">
        <w:rPr>
          <w:b/>
          <w:u w:val="single"/>
        </w:rPr>
        <w:t>Subject:</w:t>
      </w:r>
      <w:r w:rsidRPr="00072495">
        <w:t xml:space="preserve">  </w:t>
      </w:r>
      <w:r w:rsidR="00491098" w:rsidRPr="00072495">
        <w:rPr>
          <w:lang w:val="en-US"/>
        </w:rPr>
        <w:t>Classification of ammonium nitrate based fertilizers (UN 2067 &amp; 2071 &amp; SP 307)</w:t>
      </w:r>
    </w:p>
    <w:p w14:paraId="246E32D2" w14:textId="612EBD57" w:rsidR="00CB7A85" w:rsidRPr="00072495" w:rsidRDefault="00CB7A85" w:rsidP="0048028F">
      <w:pPr>
        <w:pStyle w:val="SingleTxtG"/>
        <w:spacing w:after="240" w:line="240" w:lineRule="auto"/>
        <w:ind w:left="3700" w:right="39" w:hanging="2001"/>
        <w:rPr>
          <w:i/>
          <w:iCs/>
          <w:lang w:val="en-US"/>
        </w:rPr>
      </w:pPr>
      <w:r w:rsidRPr="00072495">
        <w:rPr>
          <w:i/>
        </w:rPr>
        <w:t>Documents:</w:t>
      </w:r>
      <w:r w:rsidRPr="00072495">
        <w:rPr>
          <w:i/>
        </w:rPr>
        <w:tab/>
      </w:r>
      <w:r w:rsidR="00C7757F" w:rsidRPr="00B373DB">
        <w:rPr>
          <w:i/>
          <w:iCs/>
          <w:lang w:val="en-US"/>
        </w:rPr>
        <w:t>ST/SG/AC.10/C.3</w:t>
      </w:r>
      <w:r w:rsidR="004276FE" w:rsidRPr="00B373DB">
        <w:rPr>
          <w:i/>
          <w:iCs/>
          <w:lang w:val="en-US"/>
        </w:rPr>
        <w:t>/2016/</w:t>
      </w:r>
      <w:r w:rsidR="009E6300" w:rsidRPr="00B373DB">
        <w:rPr>
          <w:i/>
          <w:iCs/>
          <w:lang w:val="en-US"/>
        </w:rPr>
        <w:t>29</w:t>
      </w:r>
      <w:r w:rsidR="00C7757F" w:rsidRPr="00072495">
        <w:rPr>
          <w:i/>
          <w:iCs/>
          <w:lang w:val="en-US"/>
        </w:rPr>
        <w:t xml:space="preserve"> (</w:t>
      </w:r>
      <w:r w:rsidR="009E6300" w:rsidRPr="00072495">
        <w:rPr>
          <w:i/>
          <w:iCs/>
          <w:lang w:val="en-US"/>
        </w:rPr>
        <w:t>Sweden</w:t>
      </w:r>
      <w:r w:rsidR="00C7757F" w:rsidRPr="00072495">
        <w:rPr>
          <w:i/>
          <w:iCs/>
          <w:lang w:val="en-US"/>
        </w:rPr>
        <w:t>)</w:t>
      </w:r>
    </w:p>
    <w:p w14:paraId="32A06859" w14:textId="746EA8A9" w:rsidR="00CB7A85" w:rsidRPr="00072495" w:rsidRDefault="00CB7A85" w:rsidP="0048028F">
      <w:pPr>
        <w:pStyle w:val="SingleTxtG"/>
        <w:spacing w:after="240" w:line="240" w:lineRule="auto"/>
        <w:ind w:left="3700" w:right="39" w:hanging="2001"/>
        <w:jc w:val="left"/>
        <w:rPr>
          <w:i/>
          <w:iCs/>
          <w:lang w:val="en-US"/>
        </w:rPr>
      </w:pPr>
      <w:r w:rsidRPr="00072495">
        <w:rPr>
          <w:i/>
        </w:rPr>
        <w:t xml:space="preserve">Informal documents: </w:t>
      </w:r>
      <w:r w:rsidRPr="00072495">
        <w:rPr>
          <w:i/>
        </w:rPr>
        <w:tab/>
      </w:r>
      <w:r w:rsidR="00C7757F" w:rsidRPr="00B373DB">
        <w:rPr>
          <w:i/>
          <w:iCs/>
          <w:lang w:val="en-US"/>
        </w:rPr>
        <w:t>UN/SCETDG</w:t>
      </w:r>
      <w:r w:rsidR="00A264E1" w:rsidRPr="00B373DB">
        <w:rPr>
          <w:i/>
          <w:iCs/>
          <w:lang w:val="en-US"/>
        </w:rPr>
        <w:t>/49/</w:t>
      </w:r>
      <w:r w:rsidR="00C7757F" w:rsidRPr="00B373DB">
        <w:rPr>
          <w:i/>
          <w:iCs/>
          <w:lang w:val="en-US"/>
        </w:rPr>
        <w:t>INF.</w:t>
      </w:r>
      <w:r w:rsidR="009E6300" w:rsidRPr="00B373DB">
        <w:rPr>
          <w:i/>
          <w:iCs/>
          <w:lang w:val="en-US"/>
        </w:rPr>
        <w:t>5</w:t>
      </w:r>
      <w:r w:rsidR="00C7757F" w:rsidRPr="00072495">
        <w:rPr>
          <w:i/>
          <w:iCs/>
          <w:lang w:val="en-US"/>
        </w:rPr>
        <w:t xml:space="preserve"> (</w:t>
      </w:r>
      <w:r w:rsidR="009E6300" w:rsidRPr="00072495">
        <w:rPr>
          <w:i/>
          <w:iCs/>
          <w:lang w:val="en-US"/>
        </w:rPr>
        <w:t>Sweden</w:t>
      </w:r>
      <w:r w:rsidR="001D18E8" w:rsidRPr="00072495">
        <w:rPr>
          <w:i/>
          <w:iCs/>
          <w:lang w:val="en-US"/>
        </w:rPr>
        <w:t xml:space="preserve">) </w:t>
      </w:r>
      <w:r w:rsidR="003C485B" w:rsidRPr="00072495">
        <w:rPr>
          <w:i/>
          <w:iCs/>
          <w:lang w:val="en-US"/>
        </w:rPr>
        <w:br/>
      </w:r>
      <w:r w:rsidR="003C485B" w:rsidRPr="00B373DB">
        <w:rPr>
          <w:i/>
          <w:iCs/>
          <w:lang w:val="en-US"/>
        </w:rPr>
        <w:t>UN/SCETDG</w:t>
      </w:r>
      <w:r w:rsidR="00A264E1" w:rsidRPr="00B373DB">
        <w:rPr>
          <w:i/>
          <w:iCs/>
          <w:lang w:val="en-US"/>
        </w:rPr>
        <w:t>/49/</w:t>
      </w:r>
      <w:r w:rsidR="003C485B" w:rsidRPr="00B373DB">
        <w:rPr>
          <w:i/>
          <w:iCs/>
          <w:lang w:val="en-US"/>
        </w:rPr>
        <w:t>INF.2</w:t>
      </w:r>
      <w:r w:rsidR="009E6300" w:rsidRPr="00B373DB">
        <w:rPr>
          <w:i/>
          <w:iCs/>
          <w:lang w:val="en-US"/>
        </w:rPr>
        <w:t>3</w:t>
      </w:r>
      <w:r w:rsidR="003C485B" w:rsidRPr="00072495">
        <w:rPr>
          <w:i/>
          <w:iCs/>
          <w:lang w:val="en-US"/>
        </w:rPr>
        <w:t xml:space="preserve"> (Sweden</w:t>
      </w:r>
      <w:r w:rsidR="001D18E8" w:rsidRPr="00072495">
        <w:rPr>
          <w:i/>
          <w:iCs/>
          <w:lang w:val="en-US"/>
        </w:rPr>
        <w:t xml:space="preserve">) </w:t>
      </w:r>
    </w:p>
    <w:p w14:paraId="2E933778" w14:textId="4BB1EFA6" w:rsidR="005C6DEB" w:rsidRPr="00072495" w:rsidRDefault="00511A6C" w:rsidP="006E594A">
      <w:pPr>
        <w:pStyle w:val="SingleTxtG"/>
        <w:spacing w:after="240" w:line="240" w:lineRule="auto"/>
        <w:ind w:left="1699" w:right="39"/>
      </w:pPr>
      <w:r w:rsidRPr="00072495">
        <w:rPr>
          <w:b/>
          <w:u w:val="single"/>
        </w:rPr>
        <w:t>Discussion:</w:t>
      </w:r>
      <w:r w:rsidRPr="00072495">
        <w:t xml:space="preserve">  </w:t>
      </w:r>
      <w:r w:rsidR="005C6DEB" w:rsidRPr="00072495">
        <w:t xml:space="preserve">Citing difficulties in understanding and applying </w:t>
      </w:r>
      <w:r w:rsidR="00F50A81">
        <w:t xml:space="preserve">the provisions for classification of ammonium nitrate based fertilizers, especially </w:t>
      </w:r>
      <w:r w:rsidR="005C6DEB" w:rsidRPr="00072495">
        <w:t>SP307</w:t>
      </w:r>
      <w:r w:rsidR="00F50A81">
        <w:t>,</w:t>
      </w:r>
      <w:r w:rsidR="005C6DEB" w:rsidRPr="00072495">
        <w:t xml:space="preserve"> to properly classify (for transport) AN-containing fertilizers, an </w:t>
      </w:r>
      <w:r w:rsidR="005C6DEB" w:rsidRPr="00072495">
        <w:rPr>
          <w:i/>
        </w:rPr>
        <w:t>ad hoc</w:t>
      </w:r>
      <w:r w:rsidR="005C6DEB" w:rsidRPr="00072495">
        <w:t xml:space="preserve"> working group under IGUS</w:t>
      </w:r>
      <w:r w:rsidR="005C6DEB" w:rsidRPr="00072495">
        <w:rPr>
          <w:rStyle w:val="FootnoteReference"/>
          <w:sz w:val="20"/>
        </w:rPr>
        <w:footnoteReference w:id="4"/>
      </w:r>
      <w:r w:rsidR="005C6DEB" w:rsidRPr="00072495">
        <w:t xml:space="preserve">, consisting of experts from Sweden, </w:t>
      </w:r>
      <w:r w:rsidR="005C6DEB" w:rsidRPr="00072495">
        <w:lastRenderedPageBreak/>
        <w:t xml:space="preserve">Netherlands, United Kingdom, France and Germany is seeking to make the process more easily understood.  To this end, in 2016/29, they have developed a new section (proposed Section 39) for the Manual that provides procedures and criteria for classifying AN-based fertilizers and a flow chart to assist in determining the correct classification.  </w:t>
      </w:r>
      <w:proofErr w:type="gramStart"/>
      <w:r w:rsidR="000C4A53">
        <w:t>While i</w:t>
      </w:r>
      <w:r w:rsidR="005C6DEB" w:rsidRPr="00072495">
        <w:t>t is stated that “ … the aim of the work at this point is not to introduce any new requirements or criteria for fertilizers – only to clarify the already existing ones in order to avoid misinterpretations (deliberate or unintended) in the classification of fertilizers”</w:t>
      </w:r>
      <w:r w:rsidR="00124AAB">
        <w:t>,</w:t>
      </w:r>
      <w:r w:rsidR="000C4A53">
        <w:t xml:space="preserve"> the USA noted that the flowchart has decision points based on ammonium sulphate content which are not in the current special provisions.</w:t>
      </w:r>
      <w:proofErr w:type="gramEnd"/>
      <w:r w:rsidR="000C4A53">
        <w:t xml:space="preserve">  The working group discussed these changes and </w:t>
      </w:r>
      <w:r w:rsidR="006E594A">
        <w:t>agreed</w:t>
      </w:r>
      <w:r w:rsidR="000C4A53">
        <w:t xml:space="preserve"> there was adequate justification for their addition.</w:t>
      </w:r>
      <w:r w:rsidR="005C6DEB" w:rsidRPr="00072495">
        <w:t xml:space="preserve"> </w:t>
      </w:r>
    </w:p>
    <w:p w14:paraId="069B71EF" w14:textId="3F6EF86C" w:rsidR="00C06628" w:rsidRDefault="000C4A53" w:rsidP="000C4A53">
      <w:pPr>
        <w:pStyle w:val="SingleTxtG"/>
        <w:spacing w:after="240" w:line="240" w:lineRule="auto"/>
        <w:ind w:left="1699" w:right="39"/>
      </w:pPr>
      <w:r>
        <w:t>C</w:t>
      </w:r>
      <w:r w:rsidR="00C06628">
        <w:t xml:space="preserve">oncerns were raised that the proposals as presented included </w:t>
      </w:r>
      <w:r>
        <w:t xml:space="preserve">further </w:t>
      </w:r>
      <w:r w:rsidR="00C06628">
        <w:t xml:space="preserve">changes to existing provisions of the Model Regulations and introduced new terms, particularly for various </w:t>
      </w:r>
      <w:proofErr w:type="gramStart"/>
      <w:r w:rsidR="00C06628">
        <w:t>AN</w:t>
      </w:r>
      <w:proofErr w:type="gramEnd"/>
      <w:r w:rsidR="00C06628">
        <w:t xml:space="preserve"> types, which were </w:t>
      </w:r>
      <w:r w:rsidR="002A023E">
        <w:t>ill-</w:t>
      </w:r>
      <w:r w:rsidR="00C06628">
        <w:t xml:space="preserve">defined, </w:t>
      </w:r>
      <w:r>
        <w:t>could lead to</w:t>
      </w:r>
      <w:r w:rsidR="00C06628">
        <w:t xml:space="preserve"> confusion.</w:t>
      </w:r>
    </w:p>
    <w:p w14:paraId="502DD572" w14:textId="67892894" w:rsidR="00475B46" w:rsidRPr="00072495" w:rsidRDefault="00CF24ED" w:rsidP="006E594A">
      <w:pPr>
        <w:pStyle w:val="SingleTxtG"/>
        <w:spacing w:after="240" w:line="240" w:lineRule="auto"/>
        <w:ind w:left="1699" w:right="39"/>
      </w:pPr>
      <w:r>
        <w:t>49/INF.</w:t>
      </w:r>
      <w:r w:rsidR="005C6DEB" w:rsidRPr="00072495">
        <w:t xml:space="preserve">5 (which is Annex III of 2016/29) provides a detailed explanation </w:t>
      </w:r>
      <w:r w:rsidR="006E594A">
        <w:t xml:space="preserve">as </w:t>
      </w:r>
      <w:r w:rsidR="005C6DEB" w:rsidRPr="00072495">
        <w:t>to how the proposed draft changes correspond to the current provisions for classification of AN-based fertilizers.</w:t>
      </w:r>
    </w:p>
    <w:p w14:paraId="69FB2B6F" w14:textId="6F1ED8C7" w:rsidR="00C567A1" w:rsidRDefault="00CF24ED" w:rsidP="000A751A">
      <w:pPr>
        <w:pStyle w:val="SingleTxtG"/>
        <w:spacing w:after="240" w:line="240" w:lineRule="auto"/>
        <w:ind w:left="1699" w:right="39"/>
      </w:pPr>
      <w:r>
        <w:t>49/INF.</w:t>
      </w:r>
      <w:r w:rsidR="00800654" w:rsidRPr="00072495">
        <w:t xml:space="preserve">23 provides some late arriving </w:t>
      </w:r>
      <w:r w:rsidR="00F50A81">
        <w:t xml:space="preserve">additional </w:t>
      </w:r>
      <w:r w:rsidR="00800654" w:rsidRPr="00072495">
        <w:t>clarifications by way of some amendments to the proposed section 39</w:t>
      </w:r>
      <w:r w:rsidR="00F50A81">
        <w:t>, as well as a few points for discussion</w:t>
      </w:r>
      <w:r w:rsidR="00800654" w:rsidRPr="00072495">
        <w:t>.</w:t>
      </w:r>
    </w:p>
    <w:p w14:paraId="040F9906" w14:textId="5F92DE3B" w:rsidR="00B373DB" w:rsidRDefault="00511A6C" w:rsidP="00B373DB">
      <w:pPr>
        <w:pStyle w:val="SingleTxtG"/>
        <w:spacing w:after="240" w:line="240" w:lineRule="auto"/>
        <w:ind w:left="1699" w:right="39"/>
      </w:pPr>
      <w:r w:rsidRPr="00072495">
        <w:rPr>
          <w:b/>
          <w:u w:val="single"/>
        </w:rPr>
        <w:t>Conclusion</w:t>
      </w:r>
      <w:proofErr w:type="gramStart"/>
      <w:r w:rsidRPr="00072495">
        <w:rPr>
          <w:b/>
          <w:u w:val="single"/>
        </w:rPr>
        <w:t>:</w:t>
      </w:r>
      <w:r w:rsidRPr="00072495">
        <w:t xml:space="preserve">  </w:t>
      </w:r>
      <w:r w:rsidR="00B373DB">
        <w:t xml:space="preserve">The proposals in documents 2016/29, </w:t>
      </w:r>
      <w:r w:rsidR="00CF24ED">
        <w:t>49/INF.</w:t>
      </w:r>
      <w:r w:rsidR="00B373DB">
        <w:t xml:space="preserve">5, and </w:t>
      </w:r>
      <w:r w:rsidR="00CF24ED">
        <w:t>49/INF.</w:t>
      </w:r>
      <w:r w:rsidR="00B373DB">
        <w:t xml:space="preserve">23 were discussed in detail </w:t>
      </w:r>
      <w:r w:rsidR="00833418">
        <w:t>by</w:t>
      </w:r>
      <w:r w:rsidR="00B373DB">
        <w:t xml:space="preserve"> the working group</w:t>
      </w:r>
      <w:proofErr w:type="gramEnd"/>
      <w:r w:rsidR="00B373DB">
        <w:t xml:space="preserve">. There was general support for the insertion of a new section 39 in the Manual and for reflecting the complicated requirements in a flow chart. A </w:t>
      </w:r>
      <w:r w:rsidR="00926493">
        <w:t>few</w:t>
      </w:r>
      <w:r w:rsidR="00B373DB">
        <w:t xml:space="preserve"> modifications </w:t>
      </w:r>
      <w:proofErr w:type="gramStart"/>
      <w:r w:rsidR="00926493">
        <w:t>were</w:t>
      </w:r>
      <w:r w:rsidR="00B373DB">
        <w:t xml:space="preserve"> made</w:t>
      </w:r>
      <w:proofErr w:type="gramEnd"/>
      <w:r w:rsidR="00B373DB">
        <w:t xml:space="preserve"> to assure that only the current Special Provisions are reflected in the proposals and no new criteria, definitions or limits are introduced. </w:t>
      </w:r>
      <w:r w:rsidR="00DF2B73">
        <w:t xml:space="preserve"> Sweden will prepare an amended proposal for a future session taking account of the comments of the working group.</w:t>
      </w:r>
    </w:p>
    <w:p w14:paraId="656E1F4B" w14:textId="389F0B94" w:rsidR="00B373DB" w:rsidRPr="00072495" w:rsidRDefault="00B373DB" w:rsidP="00B373DB">
      <w:pPr>
        <w:pStyle w:val="SingleTxtG"/>
        <w:spacing w:after="240" w:line="240" w:lineRule="auto"/>
        <w:ind w:left="1699" w:right="39"/>
      </w:pPr>
      <w:r>
        <w:t xml:space="preserve">It </w:t>
      </w:r>
      <w:proofErr w:type="gramStart"/>
      <w:r>
        <w:t>was confirmed</w:t>
      </w:r>
      <w:proofErr w:type="gramEnd"/>
      <w:r>
        <w:t xml:space="preserve"> that the current section 38 of the Manual contained a requirement on ammonium nitrate that originated from an old version of SP193 that was accidentally not removed when the SP193 was modified. The group concluded that </w:t>
      </w:r>
      <w:r w:rsidR="00DF2B73">
        <w:t>it</w:t>
      </w:r>
      <w:r>
        <w:t xml:space="preserve"> was appropriate to remove that sentence since test results take precedence over this no longer applicable requirement. This change will be highlighted and included in the next consolidated version of the revised draft of the </w:t>
      </w:r>
      <w:proofErr w:type="gramStart"/>
      <w:r>
        <w:t>7th</w:t>
      </w:r>
      <w:proofErr w:type="gramEnd"/>
      <w:r>
        <w:t xml:space="preserve"> edition of the Manual.</w:t>
      </w:r>
    </w:p>
    <w:p w14:paraId="28BC04F1" w14:textId="16E18240" w:rsidR="00FD771D" w:rsidRPr="00072495" w:rsidRDefault="00FD771D" w:rsidP="00FD771D">
      <w:pPr>
        <w:pStyle w:val="SingleTxtG"/>
        <w:keepNext/>
        <w:numPr>
          <w:ilvl w:val="0"/>
          <w:numId w:val="4"/>
        </w:numPr>
        <w:spacing w:after="240" w:line="240" w:lineRule="auto"/>
        <w:ind w:right="43"/>
      </w:pPr>
      <w:r w:rsidRPr="00072495">
        <w:rPr>
          <w:b/>
          <w:u w:val="single"/>
        </w:rPr>
        <w:t>Subject:</w:t>
      </w:r>
      <w:r w:rsidRPr="00072495">
        <w:t xml:space="preserve">  Transport of class 1 articles in limited quantities</w:t>
      </w:r>
    </w:p>
    <w:p w14:paraId="50164B3F" w14:textId="6C51B4F0" w:rsidR="00FD771D" w:rsidRPr="005E20EC" w:rsidRDefault="00FD771D" w:rsidP="00FD771D">
      <w:pPr>
        <w:pStyle w:val="SingleTxtG"/>
        <w:spacing w:after="240" w:line="240" w:lineRule="auto"/>
        <w:ind w:left="3700" w:right="39" w:hanging="2001"/>
        <w:rPr>
          <w:i/>
          <w:iCs/>
          <w:lang w:val="fr-CH"/>
        </w:rPr>
      </w:pPr>
      <w:proofErr w:type="gramStart"/>
      <w:r w:rsidRPr="005E20EC">
        <w:rPr>
          <w:i/>
          <w:lang w:val="fr-CH"/>
        </w:rPr>
        <w:t>Documents:</w:t>
      </w:r>
      <w:proofErr w:type="gramEnd"/>
      <w:r w:rsidRPr="005E20EC">
        <w:rPr>
          <w:i/>
          <w:lang w:val="fr-CH"/>
        </w:rPr>
        <w:tab/>
        <w:t>S</w:t>
      </w:r>
      <w:r w:rsidRPr="005E20EC">
        <w:rPr>
          <w:i/>
          <w:iCs/>
          <w:lang w:val="fr-CH"/>
        </w:rPr>
        <w:t>T/SG/AC.10/C.3/2016/31 (SAAMI)</w:t>
      </w:r>
    </w:p>
    <w:p w14:paraId="0251847C" w14:textId="77777777" w:rsidR="00FD771D" w:rsidRPr="005E20EC" w:rsidRDefault="00FD771D" w:rsidP="00FD771D">
      <w:pPr>
        <w:pStyle w:val="SingleTxtG"/>
        <w:spacing w:after="240" w:line="240" w:lineRule="auto"/>
        <w:ind w:left="3700" w:right="39" w:hanging="2001"/>
        <w:jc w:val="left"/>
        <w:rPr>
          <w:i/>
          <w:iCs/>
          <w:lang w:val="fr-CH"/>
        </w:rPr>
      </w:pPr>
      <w:r w:rsidRPr="005E20EC">
        <w:rPr>
          <w:i/>
          <w:lang w:val="fr-CH"/>
        </w:rPr>
        <w:t xml:space="preserve">Informal </w:t>
      </w:r>
      <w:proofErr w:type="gramStart"/>
      <w:r w:rsidRPr="005E20EC">
        <w:rPr>
          <w:i/>
          <w:lang w:val="fr-CH"/>
        </w:rPr>
        <w:t>documents:</w:t>
      </w:r>
      <w:proofErr w:type="gramEnd"/>
      <w:r w:rsidRPr="005E20EC">
        <w:rPr>
          <w:i/>
          <w:lang w:val="fr-CH"/>
        </w:rPr>
        <w:t xml:space="preserve"> </w:t>
      </w:r>
      <w:r w:rsidRPr="005E20EC">
        <w:rPr>
          <w:i/>
          <w:lang w:val="fr-CH"/>
        </w:rPr>
        <w:tab/>
      </w:r>
      <w:r w:rsidRPr="005E20EC">
        <w:rPr>
          <w:i/>
          <w:iCs/>
          <w:lang w:val="fr-CH"/>
        </w:rPr>
        <w:t>None</w:t>
      </w:r>
    </w:p>
    <w:p w14:paraId="4690FB34" w14:textId="24E62177" w:rsidR="00E917A6" w:rsidRDefault="00FD771D" w:rsidP="00E917A6">
      <w:pPr>
        <w:pStyle w:val="SingleTxtG"/>
        <w:spacing w:after="240" w:line="240" w:lineRule="auto"/>
        <w:ind w:left="1699" w:right="39"/>
      </w:pPr>
      <w:r w:rsidRPr="00072495">
        <w:rPr>
          <w:b/>
          <w:u w:val="single"/>
        </w:rPr>
        <w:t>Discussion:</w:t>
      </w:r>
      <w:r w:rsidRPr="00072495">
        <w:t xml:space="preserve">  </w:t>
      </w:r>
      <w:r w:rsidR="005868AE" w:rsidRPr="00072495">
        <w:t>In 2016/31, SAAMI makes two proposals: (1) to remove the requirement for spec</w:t>
      </w:r>
      <w:r w:rsidR="00F66352">
        <w:t>ification</w:t>
      </w:r>
      <w:r w:rsidR="005868AE" w:rsidRPr="00072495">
        <w:t xml:space="preserve"> packaging of ammunition (UN0012, UN0014, and UN0055) to better align with the </w:t>
      </w:r>
      <w:r w:rsidR="00F66352">
        <w:t>limited quantity</w:t>
      </w:r>
      <w:r w:rsidR="005868AE" w:rsidRPr="00072495">
        <w:t xml:space="preserve"> system, and (2) to allow an alternative to the 6(d) test when ammunition </w:t>
      </w:r>
      <w:proofErr w:type="gramStart"/>
      <w:r w:rsidR="005868AE" w:rsidRPr="00072495">
        <w:t>is packaged</w:t>
      </w:r>
      <w:proofErr w:type="gramEnd"/>
      <w:r w:rsidR="005868AE" w:rsidRPr="00072495">
        <w:t xml:space="preserve"> according to a proven configuration</w:t>
      </w:r>
      <w:r w:rsidR="00E917A6">
        <w:t>.</w:t>
      </w:r>
    </w:p>
    <w:p w14:paraId="0AE74912" w14:textId="662A4B32" w:rsidR="00E917A6" w:rsidRPr="00E917A6" w:rsidRDefault="008D2F45" w:rsidP="00BF559F">
      <w:pPr>
        <w:pStyle w:val="SingleTxtG"/>
        <w:spacing w:after="240" w:line="240" w:lineRule="auto"/>
        <w:ind w:left="1699" w:right="39"/>
      </w:pPr>
      <w:r>
        <w:t xml:space="preserve">There was </w:t>
      </w:r>
      <w:r w:rsidR="00074E5E">
        <w:t xml:space="preserve">some </w:t>
      </w:r>
      <w:r>
        <w:t xml:space="preserve">support </w:t>
      </w:r>
      <w:r w:rsidR="00BF559F">
        <w:t xml:space="preserve">and some reservations in general </w:t>
      </w:r>
      <w:r>
        <w:t>for proposal 1 in 2016/31 but</w:t>
      </w:r>
      <w:r w:rsidR="00E917A6">
        <w:t xml:space="preserve"> the working group did not support </w:t>
      </w:r>
      <w:r>
        <w:t>proposal 2</w:t>
      </w:r>
      <w:r w:rsidR="00E917A6">
        <w:t xml:space="preserve"> as written.  The working group supported the possibility of developing a default classification system for ammunition that would preclude the dependence on specification packaging requirements and the 6(d) test for transport in limited quantities.</w:t>
      </w:r>
    </w:p>
    <w:p w14:paraId="170D0D92" w14:textId="3710BD86" w:rsidR="00FD771D" w:rsidRPr="00072495" w:rsidRDefault="00FD771D" w:rsidP="00FD771D">
      <w:pPr>
        <w:pStyle w:val="SingleTxtG"/>
        <w:spacing w:after="240" w:line="240" w:lineRule="auto"/>
        <w:ind w:left="1699" w:right="39"/>
      </w:pPr>
      <w:r w:rsidRPr="00072495">
        <w:rPr>
          <w:b/>
          <w:u w:val="single"/>
        </w:rPr>
        <w:t>Conclusion:</w:t>
      </w:r>
      <w:r w:rsidR="00E917A6">
        <w:t xml:space="preserve">  SAAMI will consider the comments from the working group as it prepares an amended proposal for a future session.</w:t>
      </w:r>
    </w:p>
    <w:p w14:paraId="64FE8CD4" w14:textId="77777777" w:rsidR="009E388C" w:rsidRPr="00072495" w:rsidRDefault="009E388C" w:rsidP="009E388C">
      <w:pPr>
        <w:pStyle w:val="SingleTxtG"/>
        <w:keepNext/>
        <w:numPr>
          <w:ilvl w:val="0"/>
          <w:numId w:val="4"/>
        </w:numPr>
        <w:spacing w:after="240" w:line="240" w:lineRule="auto"/>
        <w:ind w:right="43"/>
      </w:pPr>
      <w:r w:rsidRPr="00072495">
        <w:rPr>
          <w:b/>
          <w:u w:val="single"/>
        </w:rPr>
        <w:lastRenderedPageBreak/>
        <w:t>Subject:</w:t>
      </w:r>
      <w:r w:rsidRPr="00072495">
        <w:t xml:space="preserve">  Clarification of SP 364</w:t>
      </w:r>
    </w:p>
    <w:p w14:paraId="146D8439" w14:textId="582DDA51" w:rsidR="009E388C" w:rsidRPr="00072495" w:rsidRDefault="009E388C" w:rsidP="009E388C">
      <w:pPr>
        <w:pStyle w:val="SingleTxtG"/>
        <w:spacing w:after="240" w:line="240" w:lineRule="auto"/>
        <w:ind w:left="3700" w:right="39" w:hanging="2001"/>
        <w:rPr>
          <w:i/>
          <w:iCs/>
          <w:lang w:val="en-US"/>
        </w:rPr>
      </w:pPr>
      <w:r w:rsidRPr="00072495">
        <w:rPr>
          <w:i/>
        </w:rPr>
        <w:t>Documents:</w:t>
      </w:r>
      <w:r w:rsidRPr="00072495">
        <w:rPr>
          <w:i/>
        </w:rPr>
        <w:tab/>
      </w:r>
      <w:r w:rsidRPr="008D2F45">
        <w:rPr>
          <w:i/>
        </w:rPr>
        <w:t>None</w:t>
      </w:r>
    </w:p>
    <w:p w14:paraId="48764511" w14:textId="072CA1EB" w:rsidR="009E388C" w:rsidRPr="005E20EC" w:rsidRDefault="009E388C" w:rsidP="009E388C">
      <w:pPr>
        <w:pStyle w:val="SingleTxtG"/>
        <w:spacing w:after="240" w:line="240" w:lineRule="auto"/>
        <w:ind w:left="3700" w:right="39" w:hanging="2001"/>
        <w:jc w:val="left"/>
        <w:rPr>
          <w:i/>
          <w:iCs/>
          <w:lang w:val="fr-CH"/>
        </w:rPr>
      </w:pPr>
      <w:r w:rsidRPr="005E20EC">
        <w:rPr>
          <w:i/>
          <w:lang w:val="fr-CH"/>
        </w:rPr>
        <w:t xml:space="preserve">Informal </w:t>
      </w:r>
      <w:proofErr w:type="gramStart"/>
      <w:r w:rsidRPr="005E20EC">
        <w:rPr>
          <w:i/>
          <w:lang w:val="fr-CH"/>
        </w:rPr>
        <w:t>documents:</w:t>
      </w:r>
      <w:proofErr w:type="gramEnd"/>
      <w:r w:rsidRPr="005E20EC">
        <w:rPr>
          <w:i/>
          <w:lang w:val="fr-CH"/>
        </w:rPr>
        <w:t xml:space="preserve"> </w:t>
      </w:r>
      <w:r w:rsidRPr="005E20EC">
        <w:rPr>
          <w:i/>
          <w:lang w:val="fr-CH"/>
        </w:rPr>
        <w:tab/>
      </w:r>
      <w:r w:rsidRPr="005E20EC">
        <w:rPr>
          <w:i/>
          <w:iCs/>
          <w:lang w:val="fr-CH"/>
        </w:rPr>
        <w:t>UN/SCETDG/49/INF.16 (Germany)</w:t>
      </w:r>
    </w:p>
    <w:p w14:paraId="7C446627" w14:textId="63083CDF" w:rsidR="009E388C" w:rsidRDefault="009E388C" w:rsidP="009E388C">
      <w:pPr>
        <w:pStyle w:val="SingleTxtG"/>
        <w:spacing w:after="240" w:line="240" w:lineRule="auto"/>
        <w:ind w:left="1699" w:right="39"/>
      </w:pPr>
      <w:r w:rsidRPr="00072495">
        <w:rPr>
          <w:b/>
          <w:u w:val="single"/>
        </w:rPr>
        <w:t>Discussion:</w:t>
      </w:r>
      <w:r w:rsidRPr="00072495">
        <w:t xml:space="preserve">  In </w:t>
      </w:r>
      <w:r w:rsidR="00CF24ED">
        <w:t>49/INF.</w:t>
      </w:r>
      <w:r w:rsidRPr="00072495">
        <w:t>16, Germany proposes to clarify that wording in SP 364 should make clear that tests (and not mere consideration or, if possible, by a calculation or other form of separate procedure without practical demonstration) are the basis for the application of SP 364 and should be aligned with wordings found in other similar places.</w:t>
      </w:r>
      <w:r w:rsidR="00074E5E">
        <w:t xml:space="preserve">  The Netherlands and Sweden supported the proposal from Germany.</w:t>
      </w:r>
    </w:p>
    <w:p w14:paraId="45349B8E" w14:textId="19972079" w:rsidR="00E270F0" w:rsidRPr="00072495" w:rsidRDefault="00E270F0" w:rsidP="00B37626">
      <w:pPr>
        <w:pStyle w:val="SingleTxtG"/>
        <w:spacing w:after="240" w:line="240" w:lineRule="auto"/>
        <w:ind w:left="1699" w:right="39"/>
      </w:pPr>
      <w:r>
        <w:t xml:space="preserve">SAAMI explained that capability requirements are frequently used in the LQ system, and </w:t>
      </w:r>
      <w:proofErr w:type="gramStart"/>
      <w:r>
        <w:t>this also</w:t>
      </w:r>
      <w:proofErr w:type="gramEnd"/>
      <w:r>
        <w:t xml:space="preserve"> allows for variations in the approaches of different Competent Authorities.</w:t>
      </w:r>
      <w:r w:rsidR="00B37626">
        <w:t xml:space="preserve">  USA noted that they classify these articles by default and do not support the change proposed in 49/INF.16.</w:t>
      </w:r>
    </w:p>
    <w:p w14:paraId="670FE339" w14:textId="4F485354" w:rsidR="009E388C" w:rsidRPr="00072495" w:rsidRDefault="009E388C" w:rsidP="00BF559F">
      <w:pPr>
        <w:pStyle w:val="SingleTxtG"/>
        <w:spacing w:after="240" w:line="240" w:lineRule="auto"/>
        <w:ind w:left="1699" w:right="39"/>
      </w:pPr>
      <w:r w:rsidRPr="00072495">
        <w:rPr>
          <w:b/>
          <w:u w:val="single"/>
        </w:rPr>
        <w:t>Conclusion:</w:t>
      </w:r>
      <w:r w:rsidRPr="00072495">
        <w:t xml:space="preserve">  </w:t>
      </w:r>
      <w:r w:rsidR="00BF559F">
        <w:t xml:space="preserve">Considering </w:t>
      </w:r>
      <w:r w:rsidR="00D41FEB" w:rsidRPr="00D41FEB">
        <w:t xml:space="preserve">a review of the 6(d) test and evaluation of a default </w:t>
      </w:r>
      <w:proofErr w:type="gramStart"/>
      <w:r w:rsidR="00D41FEB" w:rsidRPr="00D41FEB">
        <w:t>classification for certain</w:t>
      </w:r>
      <w:proofErr w:type="gramEnd"/>
      <w:r w:rsidR="00D41FEB" w:rsidRPr="00D41FEB">
        <w:t xml:space="preserve"> ammunition</w:t>
      </w:r>
      <w:r w:rsidR="00353040">
        <w:t>,</w:t>
      </w:r>
      <w:r w:rsidR="00D41FEB" w:rsidRPr="00D41FEB">
        <w:t xml:space="preserve"> </w:t>
      </w:r>
      <w:r w:rsidR="00BF559F">
        <w:t xml:space="preserve">the working group agreed to defer this topic to a future discussion </w:t>
      </w:r>
      <w:r w:rsidR="00D41FEB" w:rsidRPr="00D41FEB">
        <w:t xml:space="preserve">before considering </w:t>
      </w:r>
      <w:r w:rsidR="00BF559F">
        <w:t xml:space="preserve">this </w:t>
      </w:r>
      <w:r w:rsidR="00D41FEB" w:rsidRPr="00D41FEB">
        <w:t>proposal for amending SP 364.</w:t>
      </w:r>
    </w:p>
    <w:p w14:paraId="698DFD16" w14:textId="02D279C6" w:rsidR="00696AF9" w:rsidRPr="004F1D03" w:rsidRDefault="00696AF9" w:rsidP="009E388C">
      <w:pPr>
        <w:pStyle w:val="SingleTxtG"/>
        <w:keepNext/>
        <w:numPr>
          <w:ilvl w:val="0"/>
          <w:numId w:val="4"/>
        </w:numPr>
        <w:spacing w:after="240" w:line="240" w:lineRule="auto"/>
        <w:ind w:right="43"/>
      </w:pPr>
      <w:r w:rsidRPr="004F1D03">
        <w:rPr>
          <w:b/>
          <w:u w:val="single"/>
        </w:rPr>
        <w:t>Subject:</w:t>
      </w:r>
      <w:r w:rsidRPr="004F1D03">
        <w:t xml:space="preserve">  </w:t>
      </w:r>
      <w:r w:rsidR="009E388C" w:rsidRPr="009E388C">
        <w:t>Transport of PENTAERYTHRITE TETRANITRATE (PETN) with less than 25 % of water but more than 9 % of water</w:t>
      </w:r>
    </w:p>
    <w:p w14:paraId="07332085" w14:textId="4003B8F2" w:rsidR="00696AF9" w:rsidRPr="00353040" w:rsidRDefault="00696AF9" w:rsidP="00696AF9">
      <w:pPr>
        <w:pStyle w:val="SingleTxtG"/>
        <w:spacing w:after="240" w:line="240" w:lineRule="auto"/>
        <w:ind w:left="3700" w:right="39" w:hanging="2001"/>
        <w:rPr>
          <w:i/>
          <w:iCs/>
          <w:lang w:val="fr-CH"/>
        </w:rPr>
      </w:pPr>
      <w:proofErr w:type="gramStart"/>
      <w:r w:rsidRPr="00353040">
        <w:rPr>
          <w:i/>
          <w:lang w:val="fr-CH"/>
        </w:rPr>
        <w:t>Documents:</w:t>
      </w:r>
      <w:proofErr w:type="gramEnd"/>
      <w:r w:rsidRPr="00353040">
        <w:rPr>
          <w:i/>
          <w:lang w:val="fr-CH"/>
        </w:rPr>
        <w:tab/>
      </w:r>
      <w:r w:rsidR="0058171E" w:rsidRPr="00353040">
        <w:rPr>
          <w:i/>
          <w:lang w:val="fr-CH"/>
        </w:rPr>
        <w:t>None</w:t>
      </w:r>
    </w:p>
    <w:p w14:paraId="4F733487" w14:textId="3FFE95C7" w:rsidR="00696AF9" w:rsidRPr="00353040" w:rsidRDefault="00696AF9" w:rsidP="00696AF9">
      <w:pPr>
        <w:pStyle w:val="SingleTxtG"/>
        <w:spacing w:after="240" w:line="240" w:lineRule="auto"/>
        <w:ind w:left="3700" w:right="39" w:hanging="2001"/>
        <w:jc w:val="left"/>
        <w:rPr>
          <w:i/>
          <w:iCs/>
          <w:lang w:val="fr-CH"/>
        </w:rPr>
      </w:pPr>
      <w:r w:rsidRPr="00353040">
        <w:rPr>
          <w:i/>
          <w:lang w:val="fr-CH"/>
        </w:rPr>
        <w:t xml:space="preserve">Informal </w:t>
      </w:r>
      <w:proofErr w:type="gramStart"/>
      <w:r w:rsidRPr="00353040">
        <w:rPr>
          <w:i/>
          <w:lang w:val="fr-CH"/>
        </w:rPr>
        <w:t>documents:</w:t>
      </w:r>
      <w:proofErr w:type="gramEnd"/>
      <w:r w:rsidRPr="00353040">
        <w:rPr>
          <w:i/>
          <w:lang w:val="fr-CH"/>
        </w:rPr>
        <w:t xml:space="preserve"> </w:t>
      </w:r>
      <w:r w:rsidRPr="00353040">
        <w:rPr>
          <w:i/>
          <w:lang w:val="fr-CH"/>
        </w:rPr>
        <w:tab/>
      </w:r>
      <w:r w:rsidR="009E388C" w:rsidRPr="00353040">
        <w:rPr>
          <w:i/>
          <w:lang w:val="fr-CH"/>
        </w:rPr>
        <w:t>UN/SCETDG/49/INF.9 (Germany)</w:t>
      </w:r>
      <w:r w:rsidR="009E388C" w:rsidRPr="00353040">
        <w:rPr>
          <w:i/>
          <w:lang w:val="fr-CH"/>
        </w:rPr>
        <w:br/>
        <w:t>UN/SCETDG/49/INF.38 (Spain)</w:t>
      </w:r>
    </w:p>
    <w:p w14:paraId="11B31150" w14:textId="75C5E775" w:rsidR="00696AF9" w:rsidRDefault="00696AF9" w:rsidP="00A27160">
      <w:pPr>
        <w:pStyle w:val="SingleTxtG"/>
        <w:spacing w:after="240" w:line="240" w:lineRule="auto"/>
        <w:ind w:left="1699" w:right="39"/>
      </w:pPr>
      <w:r w:rsidRPr="004F1D03">
        <w:rPr>
          <w:b/>
          <w:u w:val="single"/>
        </w:rPr>
        <w:t>Discussion:</w:t>
      </w:r>
      <w:r w:rsidRPr="004F1D03">
        <w:t xml:space="preserve">  </w:t>
      </w:r>
      <w:r w:rsidR="00CF24ED">
        <w:t>49/INF.</w:t>
      </w:r>
      <w:r w:rsidR="001C0BE5">
        <w:t xml:space="preserve">9 </w:t>
      </w:r>
      <w:r w:rsidR="001C0BE5" w:rsidRPr="001C0BE5">
        <w:t>provides information on sensitivity tests of PETN with different water contents</w:t>
      </w:r>
      <w:r w:rsidR="00A27160">
        <w:t xml:space="preserve"> and c</w:t>
      </w:r>
      <w:r w:rsidR="001C0BE5" w:rsidRPr="001C0BE5">
        <w:t xml:space="preserve">oncludes that the water in wetted PETN </w:t>
      </w:r>
      <w:proofErr w:type="gramStart"/>
      <w:r w:rsidR="001C0BE5" w:rsidRPr="001C0BE5">
        <w:t>is only loosely attached</w:t>
      </w:r>
      <w:proofErr w:type="gramEnd"/>
      <w:r w:rsidR="001C0BE5" w:rsidRPr="001C0BE5">
        <w:t xml:space="preserve"> to the crystals and can easily be removed even at ambient temperature.</w:t>
      </w:r>
      <w:r w:rsidR="001C0BE5">
        <w:t xml:space="preserve">  </w:t>
      </w:r>
      <w:r w:rsidR="001C0BE5" w:rsidRPr="001C0BE5">
        <w:t xml:space="preserve">Proposes </w:t>
      </w:r>
      <w:proofErr w:type="gramStart"/>
      <w:r w:rsidR="001C0BE5" w:rsidRPr="001C0BE5">
        <w:t>to not change</w:t>
      </w:r>
      <w:proofErr w:type="gramEnd"/>
      <w:r w:rsidR="001C0BE5" w:rsidRPr="001C0BE5">
        <w:t xml:space="preserve"> the actual conditions for the transport of PETN. This avoids an undue increase in risk during transport.</w:t>
      </w:r>
    </w:p>
    <w:p w14:paraId="7A5AA2AC" w14:textId="23A49F0B" w:rsidR="001C0BE5" w:rsidRDefault="00052F64" w:rsidP="00696AF9">
      <w:pPr>
        <w:pStyle w:val="SingleTxtG"/>
        <w:spacing w:after="240" w:line="240" w:lineRule="auto"/>
        <w:ind w:left="1699" w:right="39"/>
      </w:pPr>
      <w:r w:rsidRPr="00052F64">
        <w:t xml:space="preserve">In </w:t>
      </w:r>
      <w:r w:rsidR="00CF24ED">
        <w:t>49/INF.</w:t>
      </w:r>
      <w:r w:rsidRPr="00052F64">
        <w:t>38, Spain r</w:t>
      </w:r>
      <w:r w:rsidR="001C0BE5" w:rsidRPr="001C0BE5">
        <w:t xml:space="preserve">eports that the results </w:t>
      </w:r>
      <w:r>
        <w:t>provided</w:t>
      </w:r>
      <w:r w:rsidR="001C0BE5" w:rsidRPr="001C0BE5">
        <w:t xml:space="preserve"> in </w:t>
      </w:r>
      <w:r w:rsidR="00CF24ED">
        <w:t>49/INF.</w:t>
      </w:r>
      <w:r w:rsidR="001C0BE5" w:rsidRPr="001C0BE5">
        <w:t xml:space="preserve">9 vary significantly from tests results obtained by LOM in Spain.  </w:t>
      </w:r>
      <w:r>
        <w:t>Spain s</w:t>
      </w:r>
      <w:r w:rsidR="001C0BE5" w:rsidRPr="001C0BE5">
        <w:t xml:space="preserve">uggests </w:t>
      </w:r>
      <w:proofErr w:type="gramStart"/>
      <w:r w:rsidR="001C0BE5" w:rsidRPr="001C0BE5">
        <w:t>to perform</w:t>
      </w:r>
      <w:proofErr w:type="gramEnd"/>
      <w:r w:rsidR="001C0BE5" w:rsidRPr="001C0BE5">
        <w:t xml:space="preserve"> a round robin test with interested laboratories</w:t>
      </w:r>
      <w:r>
        <w:t xml:space="preserve"> and</w:t>
      </w:r>
      <w:r w:rsidR="001C0BE5" w:rsidRPr="001C0BE5">
        <w:t xml:space="preserve"> it would provide test material to interested labs and would coordinate the work.</w:t>
      </w:r>
    </w:p>
    <w:p w14:paraId="05E29A14" w14:textId="791F6B68" w:rsidR="00052F64" w:rsidRPr="001C0BE5" w:rsidRDefault="00052F64" w:rsidP="00EE6645">
      <w:pPr>
        <w:pStyle w:val="SingleTxtG"/>
        <w:spacing w:after="240" w:line="240" w:lineRule="auto"/>
        <w:ind w:left="1699" w:right="39"/>
      </w:pPr>
      <w:r>
        <w:t xml:space="preserve">The USA </w:t>
      </w:r>
      <w:r w:rsidR="00B42421">
        <w:t xml:space="preserve">noted </w:t>
      </w:r>
      <w:r>
        <w:t xml:space="preserve">that </w:t>
      </w:r>
      <w:r w:rsidR="0075483C">
        <w:t>Competent Authorities can authorize lower percentages of water on a case-by-case basis, but</w:t>
      </w:r>
      <w:r w:rsidR="00B42421">
        <w:t xml:space="preserve"> that</w:t>
      </w:r>
      <w:r w:rsidR="0075483C">
        <w:t xml:space="preserve"> </w:t>
      </w:r>
      <w:r>
        <w:t xml:space="preserve">the test results reported in </w:t>
      </w:r>
      <w:r w:rsidR="00CF24ED">
        <w:t>49/INF.</w:t>
      </w:r>
      <w:r>
        <w:t>9 confirm that there is a lot of variability in the affinity of PETN to water and agreed with the conclusion that no changes should be made.</w:t>
      </w:r>
      <w:r w:rsidR="0075483C">
        <w:t xml:space="preserve">  </w:t>
      </w:r>
      <w:r>
        <w:t xml:space="preserve">  Since PETN’s affinity for water is so low, the UK </w:t>
      </w:r>
      <w:r w:rsidR="003D5AB8">
        <w:t>opposed reducing the current water content</w:t>
      </w:r>
      <w:r w:rsidR="00E87372">
        <w:t xml:space="preserve"> of UN 0150</w:t>
      </w:r>
      <w:r w:rsidR="003D5AB8">
        <w:t xml:space="preserve"> below 25% since </w:t>
      </w:r>
      <w:r w:rsidR="00E87372">
        <w:t>there</w:t>
      </w:r>
      <w:r w:rsidR="003D5AB8">
        <w:t xml:space="preserve"> may be</w:t>
      </w:r>
      <w:r w:rsidR="003E4D34">
        <w:t xml:space="preserve"> in general</w:t>
      </w:r>
      <w:r w:rsidR="003D5AB8">
        <w:t xml:space="preserve"> insufficient water present </w:t>
      </w:r>
      <w:r>
        <w:t xml:space="preserve">to ensure </w:t>
      </w:r>
      <w:r w:rsidR="003D5AB8">
        <w:t>homogeneous</w:t>
      </w:r>
      <w:r>
        <w:t xml:space="preserve"> desensitization of the PETN while in transport.  Spain advised that their current concern is not to lower the water content</w:t>
      </w:r>
      <w:r w:rsidR="00EE6645">
        <w:t xml:space="preserve"> in UN 0150</w:t>
      </w:r>
      <w:r>
        <w:t xml:space="preserve">, but rather it is the wide variability in test results.  They explained that they proposed the round </w:t>
      </w:r>
      <w:r w:rsidR="00833418">
        <w:t>robin</w:t>
      </w:r>
      <w:r>
        <w:t xml:space="preserve"> tests so that the phenomenon </w:t>
      </w:r>
      <w:proofErr w:type="gramStart"/>
      <w:r>
        <w:t>could be better understood and possibly controlled</w:t>
      </w:r>
      <w:proofErr w:type="gramEnd"/>
      <w:r>
        <w:t>.  A number of labs expressed an interest to participate.</w:t>
      </w:r>
    </w:p>
    <w:p w14:paraId="1DABDD9E" w14:textId="085A8514" w:rsidR="00696AF9" w:rsidRPr="004F1D03" w:rsidRDefault="00696AF9" w:rsidP="008513B5">
      <w:pPr>
        <w:pStyle w:val="SingleTxtG"/>
        <w:spacing w:after="240" w:line="240" w:lineRule="auto"/>
        <w:ind w:left="1699" w:right="39"/>
      </w:pPr>
      <w:r w:rsidRPr="00083B90">
        <w:rPr>
          <w:b/>
          <w:u w:val="single"/>
        </w:rPr>
        <w:t>Conclusion:</w:t>
      </w:r>
      <w:r w:rsidRPr="00083B90">
        <w:t xml:space="preserve">  </w:t>
      </w:r>
      <w:r w:rsidR="00052F64" w:rsidRPr="00052F64">
        <w:t xml:space="preserve">The working group </w:t>
      </w:r>
      <w:proofErr w:type="spellStart"/>
      <w:r w:rsidR="00052F64" w:rsidRPr="00052F64">
        <w:t>favored</w:t>
      </w:r>
      <w:proofErr w:type="spellEnd"/>
      <w:r w:rsidR="00052F64" w:rsidRPr="00052F64">
        <w:t xml:space="preserve"> the conclusions in </w:t>
      </w:r>
      <w:r w:rsidR="00CF24ED">
        <w:t>49/INF.</w:t>
      </w:r>
      <w:r w:rsidR="00052F64" w:rsidRPr="00052F64">
        <w:t xml:space="preserve">9 that no changes be made to the water desensitization requirements for UN0150 PETN (1.1D).  Also, because of the disparity noted between tests reported by Germany in </w:t>
      </w:r>
      <w:r w:rsidR="00CF24ED">
        <w:t>49/INF.</w:t>
      </w:r>
      <w:r w:rsidR="00052F64" w:rsidRPr="00052F64">
        <w:t xml:space="preserve">9 and those reported by Spain in </w:t>
      </w:r>
      <w:r w:rsidR="00CF24ED">
        <w:t>49/INF.</w:t>
      </w:r>
      <w:r w:rsidR="00052F64" w:rsidRPr="00052F64">
        <w:t xml:space="preserve">38, several labs agreed to participate in </w:t>
      </w:r>
      <w:r w:rsidR="00052F64">
        <w:t>the</w:t>
      </w:r>
      <w:r w:rsidR="00052F64" w:rsidRPr="00052F64">
        <w:t xml:space="preserve"> round robin testing to investigate further.  </w:t>
      </w:r>
      <w:proofErr w:type="gramStart"/>
      <w:r w:rsidR="008513B5">
        <w:t>This</w:t>
      </w:r>
      <w:r w:rsidR="008513B5" w:rsidRPr="00052F64">
        <w:t xml:space="preserve"> </w:t>
      </w:r>
      <w:r w:rsidR="00052F64" w:rsidRPr="00052F64">
        <w:t>testing will be coordinated by Spain</w:t>
      </w:r>
      <w:r w:rsidR="00EE6645">
        <w:t xml:space="preserve"> (LOM)</w:t>
      </w:r>
      <w:proofErr w:type="gramEnd"/>
      <w:r w:rsidR="00052F64" w:rsidRPr="00052F64">
        <w:t>.</w:t>
      </w:r>
      <w:r w:rsidR="00052F64">
        <w:t xml:space="preserve"> </w:t>
      </w:r>
    </w:p>
    <w:p w14:paraId="4CCF88E9" w14:textId="2B0E658A" w:rsidR="00473987" w:rsidRPr="004F1D03" w:rsidRDefault="00473987" w:rsidP="00473987">
      <w:pPr>
        <w:pStyle w:val="SingleTxtG"/>
        <w:keepNext/>
        <w:numPr>
          <w:ilvl w:val="0"/>
          <w:numId w:val="4"/>
        </w:numPr>
        <w:spacing w:after="240" w:line="240" w:lineRule="auto"/>
        <w:ind w:right="43"/>
      </w:pPr>
      <w:r w:rsidRPr="004F1D03">
        <w:rPr>
          <w:b/>
          <w:u w:val="single"/>
        </w:rPr>
        <w:lastRenderedPageBreak/>
        <w:t>Subject:</w:t>
      </w:r>
      <w:r w:rsidRPr="004F1D03">
        <w:t xml:space="preserve">  </w:t>
      </w:r>
      <w:r w:rsidRPr="00473987">
        <w:t>Transport of energetic samples for further testing</w:t>
      </w:r>
    </w:p>
    <w:p w14:paraId="50C42344" w14:textId="73B092C5" w:rsidR="00473987" w:rsidRPr="00353040" w:rsidRDefault="00473987" w:rsidP="00473987">
      <w:pPr>
        <w:pStyle w:val="SingleTxtG"/>
        <w:spacing w:after="240" w:line="240" w:lineRule="auto"/>
        <w:ind w:left="3700" w:right="39" w:hanging="2001"/>
        <w:rPr>
          <w:i/>
          <w:iCs/>
          <w:lang w:val="fr-CH"/>
        </w:rPr>
      </w:pPr>
      <w:proofErr w:type="gramStart"/>
      <w:r w:rsidRPr="00353040">
        <w:rPr>
          <w:i/>
          <w:lang w:val="fr-CH"/>
        </w:rPr>
        <w:t>Documents:</w:t>
      </w:r>
      <w:proofErr w:type="gramEnd"/>
      <w:r w:rsidRPr="00353040">
        <w:rPr>
          <w:i/>
          <w:lang w:val="fr-CH"/>
        </w:rPr>
        <w:tab/>
      </w:r>
      <w:r w:rsidR="00CA138E" w:rsidRPr="00353040">
        <w:rPr>
          <w:i/>
          <w:lang w:val="fr-CH"/>
        </w:rPr>
        <w:t>None</w:t>
      </w:r>
    </w:p>
    <w:p w14:paraId="0F89D2A1" w14:textId="2B6B92A1" w:rsidR="00473987" w:rsidRPr="00353040" w:rsidRDefault="00473987" w:rsidP="00473987">
      <w:pPr>
        <w:pStyle w:val="SingleTxtG"/>
        <w:spacing w:after="240" w:line="240" w:lineRule="auto"/>
        <w:ind w:left="3700" w:right="39" w:hanging="2001"/>
        <w:jc w:val="left"/>
        <w:rPr>
          <w:i/>
          <w:iCs/>
          <w:lang w:val="fr-CH"/>
        </w:rPr>
      </w:pPr>
      <w:r w:rsidRPr="00353040">
        <w:rPr>
          <w:i/>
          <w:lang w:val="fr-CH"/>
        </w:rPr>
        <w:t xml:space="preserve">Informal </w:t>
      </w:r>
      <w:proofErr w:type="gramStart"/>
      <w:r w:rsidRPr="00353040">
        <w:rPr>
          <w:i/>
          <w:lang w:val="fr-CH"/>
        </w:rPr>
        <w:t>documents:</w:t>
      </w:r>
      <w:proofErr w:type="gramEnd"/>
      <w:r w:rsidRPr="00353040">
        <w:rPr>
          <w:i/>
          <w:lang w:val="fr-CH"/>
        </w:rPr>
        <w:t xml:space="preserve"> </w:t>
      </w:r>
      <w:r w:rsidRPr="00353040">
        <w:rPr>
          <w:i/>
          <w:lang w:val="fr-CH"/>
        </w:rPr>
        <w:tab/>
        <w:t>UN/SCETDG/49/INF.20 (CEFIC)</w:t>
      </w:r>
    </w:p>
    <w:p w14:paraId="3C9B098C" w14:textId="0C3F6102" w:rsidR="00473987" w:rsidRPr="001C0BE5" w:rsidRDefault="00473987" w:rsidP="00E4658C">
      <w:pPr>
        <w:pStyle w:val="SingleTxtG"/>
        <w:spacing w:after="240" w:line="240" w:lineRule="auto"/>
        <w:ind w:left="1699" w:right="39"/>
      </w:pPr>
      <w:proofErr w:type="gramStart"/>
      <w:r w:rsidRPr="004F1D03">
        <w:rPr>
          <w:b/>
          <w:u w:val="single"/>
        </w:rPr>
        <w:t>Discussion:</w:t>
      </w:r>
      <w:r w:rsidRPr="004F1D03">
        <w:t xml:space="preserve">  </w:t>
      </w:r>
      <w:r w:rsidR="00E4658C" w:rsidRPr="00E4658C">
        <w:t>CEFIC, along with BAM (Germany), is looking for acceptable packaging to allow transport of very small quantities (mg to grams) of samples of energetic materials that may have “…functional groups listed in tables A6.1 and/or A6.2 in Annex 6 (Screening Procedures) of the Manual of Tests and Criteria, thus indicating explosive or self-reactive properties; however, they are not designed to be explosives of Class 1.”</w:t>
      </w:r>
      <w:proofErr w:type="gramEnd"/>
      <w:r w:rsidR="00E4658C" w:rsidRPr="00E4658C">
        <w:t xml:space="preserve">  This paper reports on results of tests performed at BAM and concludes that a safe package design </w:t>
      </w:r>
      <w:proofErr w:type="gramStart"/>
      <w:r w:rsidR="00E4658C" w:rsidRPr="00E4658C">
        <w:t>has been found</w:t>
      </w:r>
      <w:proofErr w:type="gramEnd"/>
      <w:r w:rsidR="00E4658C" w:rsidRPr="00E4658C">
        <w:t xml:space="preserve">.  Proposes review by the </w:t>
      </w:r>
      <w:r w:rsidR="00610971">
        <w:t>working group</w:t>
      </w:r>
      <w:r w:rsidR="00E4658C" w:rsidRPr="00E4658C">
        <w:t xml:space="preserve"> so that a formal proposal </w:t>
      </w:r>
      <w:proofErr w:type="gramStart"/>
      <w:r w:rsidR="00E4658C" w:rsidRPr="00E4658C">
        <w:t>can be developed</w:t>
      </w:r>
      <w:proofErr w:type="gramEnd"/>
      <w:r w:rsidR="00E4658C" w:rsidRPr="00E4658C">
        <w:t xml:space="preserve"> for the 50th Session.</w:t>
      </w:r>
    </w:p>
    <w:p w14:paraId="22CA0E50" w14:textId="73B5A408" w:rsidR="00473987" w:rsidRPr="004F1D03" w:rsidRDefault="00473987" w:rsidP="00E056EC">
      <w:pPr>
        <w:pStyle w:val="SingleTxtG"/>
        <w:spacing w:after="240" w:line="240" w:lineRule="auto"/>
        <w:ind w:left="1699" w:right="39"/>
      </w:pPr>
      <w:r w:rsidRPr="00083B90">
        <w:rPr>
          <w:b/>
          <w:u w:val="single"/>
        </w:rPr>
        <w:t>Conclusion:</w:t>
      </w:r>
      <w:r w:rsidRPr="00083B90">
        <w:t xml:space="preserve">  </w:t>
      </w:r>
      <w:r w:rsidR="00322850" w:rsidRPr="00322850">
        <w:t xml:space="preserve">The working group </w:t>
      </w:r>
      <w:r w:rsidR="00322850">
        <w:t xml:space="preserve">supported the </w:t>
      </w:r>
      <w:r w:rsidR="00E056EC">
        <w:t xml:space="preserve">proposal in principle.  Several delegations noted that the scope of applicable substances </w:t>
      </w:r>
      <w:proofErr w:type="gramStart"/>
      <w:r w:rsidR="00E056EC">
        <w:t>should be more precisely defined</w:t>
      </w:r>
      <w:proofErr w:type="gramEnd"/>
      <w:r w:rsidR="00E056EC">
        <w:t>.</w:t>
      </w:r>
      <w:r w:rsidR="00322850">
        <w:t xml:space="preserve">  CEFIC </w:t>
      </w:r>
      <w:r w:rsidR="00E056EC">
        <w:t>intends to</w:t>
      </w:r>
      <w:r w:rsidR="00322850">
        <w:t xml:space="preserve"> prepare </w:t>
      </w:r>
      <w:r w:rsidR="00322850" w:rsidRPr="00322850">
        <w:t>a formal proposal for the 50th Session (Dec 2016).</w:t>
      </w:r>
    </w:p>
    <w:p w14:paraId="4C2462E6" w14:textId="3370AAFE" w:rsidR="00251238" w:rsidRPr="00950D47" w:rsidRDefault="00251238" w:rsidP="00251238">
      <w:pPr>
        <w:pStyle w:val="HChG"/>
        <w:spacing w:line="240" w:lineRule="auto"/>
        <w:ind w:left="1138" w:right="39" w:firstLine="0"/>
      </w:pPr>
      <w:r w:rsidRPr="001A6CE6">
        <w:t xml:space="preserve">Agenda Item </w:t>
      </w:r>
      <w:r>
        <w:t>7</w:t>
      </w:r>
      <w:r w:rsidRPr="001A6CE6">
        <w:t xml:space="preserve"> – </w:t>
      </w:r>
      <w:r w:rsidRPr="00251238">
        <w:t>Global harmonization of transport of dangerous goods regulations with the Model Regulations</w:t>
      </w:r>
      <w:r>
        <w:t xml:space="preserve"> </w:t>
      </w:r>
    </w:p>
    <w:p w14:paraId="2AF2F5A9" w14:textId="48BB5C18" w:rsidR="00251238" w:rsidRPr="00072495" w:rsidRDefault="00251238" w:rsidP="00251238">
      <w:pPr>
        <w:pStyle w:val="SingleTxtG"/>
        <w:keepNext/>
        <w:numPr>
          <w:ilvl w:val="0"/>
          <w:numId w:val="4"/>
        </w:numPr>
        <w:spacing w:after="240" w:line="240" w:lineRule="auto"/>
        <w:ind w:left="1710" w:right="43" w:hanging="572"/>
      </w:pPr>
      <w:r w:rsidRPr="00072495">
        <w:rPr>
          <w:b/>
          <w:u w:val="single"/>
        </w:rPr>
        <w:t>Subject:</w:t>
      </w:r>
      <w:r w:rsidRPr="00072495">
        <w:t xml:space="preserve">  </w:t>
      </w:r>
      <w:r w:rsidRPr="00251238">
        <w:rPr>
          <w:iCs/>
          <w:lang w:val="en-US"/>
        </w:rPr>
        <w:t>Proposals to insert the definitions “Reference steel” and “Mild steel” in section 1.2.1 of the UN Model Regulations</w:t>
      </w:r>
    </w:p>
    <w:p w14:paraId="45C721A5" w14:textId="667D3B9F" w:rsidR="00251238" w:rsidRPr="00072495" w:rsidRDefault="00251238" w:rsidP="00251238">
      <w:pPr>
        <w:pStyle w:val="SingleTxtG"/>
        <w:spacing w:after="240" w:line="240" w:lineRule="auto"/>
        <w:ind w:left="3700" w:right="39" w:hanging="2001"/>
        <w:rPr>
          <w:i/>
          <w:iCs/>
          <w:lang w:val="en-US"/>
        </w:rPr>
      </w:pPr>
      <w:r w:rsidRPr="00072495">
        <w:rPr>
          <w:i/>
        </w:rPr>
        <w:t>Documents:</w:t>
      </w:r>
      <w:r w:rsidRPr="00072495">
        <w:rPr>
          <w:i/>
        </w:rPr>
        <w:tab/>
      </w:r>
      <w:r w:rsidRPr="000A1652">
        <w:rPr>
          <w:i/>
          <w:iCs/>
          <w:lang w:val="en-US"/>
        </w:rPr>
        <w:t>ST/SG/AC.10/C.3/2016/1</w:t>
      </w:r>
      <w:r w:rsidR="00F65B19" w:rsidRPr="000A1652">
        <w:rPr>
          <w:i/>
          <w:iCs/>
          <w:lang w:val="en-US"/>
        </w:rPr>
        <w:t>5</w:t>
      </w:r>
      <w:r w:rsidRPr="000A1652">
        <w:rPr>
          <w:i/>
          <w:iCs/>
          <w:lang w:val="en-US"/>
        </w:rPr>
        <w:t xml:space="preserve"> (</w:t>
      </w:r>
      <w:r w:rsidR="00F65B19" w:rsidRPr="000A1652">
        <w:rPr>
          <w:i/>
          <w:iCs/>
          <w:lang w:val="en-US"/>
        </w:rPr>
        <w:t>Romania</w:t>
      </w:r>
      <w:r w:rsidRPr="000A1652">
        <w:rPr>
          <w:i/>
          <w:iCs/>
          <w:lang w:val="en-US"/>
        </w:rPr>
        <w:t>)</w:t>
      </w:r>
    </w:p>
    <w:p w14:paraId="03629B33" w14:textId="77777777" w:rsidR="00251238" w:rsidRPr="00072495" w:rsidRDefault="00251238" w:rsidP="00251238">
      <w:pPr>
        <w:pStyle w:val="SingleTxtG"/>
        <w:spacing w:after="240" w:line="240" w:lineRule="auto"/>
        <w:ind w:left="3700" w:right="39" w:hanging="2001"/>
        <w:jc w:val="left"/>
        <w:rPr>
          <w:i/>
          <w:iCs/>
          <w:lang w:val="en-US"/>
        </w:rPr>
      </w:pPr>
      <w:r w:rsidRPr="00072495">
        <w:rPr>
          <w:i/>
        </w:rPr>
        <w:t xml:space="preserve">Informal documents: </w:t>
      </w:r>
      <w:r w:rsidRPr="00072495">
        <w:rPr>
          <w:i/>
        </w:rPr>
        <w:tab/>
      </w:r>
      <w:r w:rsidRPr="00072495">
        <w:rPr>
          <w:i/>
          <w:iCs/>
          <w:lang w:val="en-US"/>
        </w:rPr>
        <w:t>None</w:t>
      </w:r>
    </w:p>
    <w:p w14:paraId="78E8A859" w14:textId="4151B478" w:rsidR="00251238" w:rsidRPr="00072495" w:rsidRDefault="00251238" w:rsidP="00251238">
      <w:pPr>
        <w:spacing w:before="120" w:after="120" w:line="240" w:lineRule="auto"/>
        <w:ind w:left="1699"/>
      </w:pPr>
      <w:r w:rsidRPr="00072495">
        <w:rPr>
          <w:b/>
          <w:u w:val="single"/>
        </w:rPr>
        <w:t>Discussion:</w:t>
      </w:r>
      <w:r w:rsidRPr="00072495">
        <w:t xml:space="preserve">  </w:t>
      </w:r>
      <w:r w:rsidR="00F65B19">
        <w:t xml:space="preserve">At the request of Romania and the Sub-Committee, the working group discussed the proposals in 2016/15 in light of paras. </w:t>
      </w:r>
      <w:proofErr w:type="gramStart"/>
      <w:r w:rsidR="00F65B19">
        <w:t>11 – 15 of that document.</w:t>
      </w:r>
      <w:proofErr w:type="gramEnd"/>
      <w:r w:rsidR="00F65B19">
        <w:t xml:space="preserve">  </w:t>
      </w:r>
      <w:r w:rsidR="000A1652">
        <w:t xml:space="preserve">After a review of the occurrences of “mild steel” within the Manual, it </w:t>
      </w:r>
      <w:proofErr w:type="gramStart"/>
      <w:r w:rsidR="000A1652">
        <w:t>was concluded</w:t>
      </w:r>
      <w:proofErr w:type="gramEnd"/>
      <w:r w:rsidR="000A1652">
        <w:t xml:space="preserve"> that the proposals in 2016/15 would have no impact on performance of tests described in the Manual.</w:t>
      </w:r>
    </w:p>
    <w:p w14:paraId="1AC76D9B" w14:textId="77777777" w:rsidR="00D34728" w:rsidRPr="00950D47" w:rsidRDefault="00D34728" w:rsidP="00C50A7B">
      <w:pPr>
        <w:pStyle w:val="HChG"/>
        <w:keepLines w:val="0"/>
        <w:spacing w:line="240" w:lineRule="auto"/>
        <w:ind w:left="1138" w:right="43" w:firstLine="0"/>
      </w:pPr>
      <w:r w:rsidRPr="001A6CE6">
        <w:t xml:space="preserve">Agenda Item </w:t>
      </w:r>
      <w:r>
        <w:t>10</w:t>
      </w:r>
      <w:r w:rsidRPr="001A6CE6">
        <w:t>(</w:t>
      </w:r>
      <w:r>
        <w:t>g</w:t>
      </w:r>
      <w:r w:rsidRPr="001A6CE6">
        <w:t xml:space="preserve">) – </w:t>
      </w:r>
      <w:r w:rsidRPr="00D34728">
        <w:t>Issues relating to the Globally Harmonized System of Classification and Labelling of Chemicals: use of the Manual of tests and criteria in the context of the GHS</w:t>
      </w:r>
      <w:r>
        <w:t xml:space="preserve"> </w:t>
      </w:r>
    </w:p>
    <w:p w14:paraId="6FC48FC6" w14:textId="040B107E" w:rsidR="00D34728" w:rsidRPr="00072495" w:rsidRDefault="00D34728" w:rsidP="000641E2">
      <w:pPr>
        <w:pStyle w:val="SingleTxtG"/>
        <w:keepNext/>
        <w:numPr>
          <w:ilvl w:val="0"/>
          <w:numId w:val="4"/>
        </w:numPr>
        <w:spacing w:after="240" w:line="240" w:lineRule="auto"/>
        <w:ind w:right="43"/>
      </w:pPr>
      <w:r w:rsidRPr="00072495">
        <w:rPr>
          <w:b/>
          <w:u w:val="single"/>
        </w:rPr>
        <w:t>Subject:</w:t>
      </w:r>
      <w:r w:rsidRPr="00072495">
        <w:t xml:space="preserve">  </w:t>
      </w:r>
      <w:r w:rsidR="000641E2" w:rsidRPr="00072495">
        <w:t xml:space="preserve">Revision of the Manual of </w:t>
      </w:r>
      <w:r w:rsidR="00F44270">
        <w:t>T</w:t>
      </w:r>
      <w:r w:rsidR="000641E2" w:rsidRPr="00072495">
        <w:t>ests and Criteria</w:t>
      </w:r>
    </w:p>
    <w:p w14:paraId="62CC8F2C" w14:textId="5FAA6788" w:rsidR="00D34728" w:rsidRPr="00072495" w:rsidRDefault="00D34728" w:rsidP="0048028F">
      <w:pPr>
        <w:pStyle w:val="SingleTxtG"/>
        <w:spacing w:after="240" w:line="240" w:lineRule="auto"/>
        <w:ind w:left="3700" w:right="39" w:hanging="2001"/>
        <w:rPr>
          <w:i/>
          <w:iCs/>
          <w:lang w:val="en-US"/>
        </w:rPr>
      </w:pPr>
      <w:r w:rsidRPr="00072495">
        <w:rPr>
          <w:i/>
        </w:rPr>
        <w:t>Documents:</w:t>
      </w:r>
      <w:r w:rsidRPr="00072495">
        <w:rPr>
          <w:i/>
        </w:rPr>
        <w:tab/>
      </w:r>
      <w:r w:rsidR="00ED2755" w:rsidRPr="00072495">
        <w:rPr>
          <w:i/>
          <w:iCs/>
          <w:lang w:val="en-US"/>
        </w:rPr>
        <w:t>None</w:t>
      </w:r>
    </w:p>
    <w:p w14:paraId="5C9D68B8" w14:textId="2CF91FD4" w:rsidR="00D34728" w:rsidRPr="00072495" w:rsidRDefault="00D34728" w:rsidP="0048028F">
      <w:pPr>
        <w:pStyle w:val="SingleTxtG"/>
        <w:spacing w:after="240" w:line="240" w:lineRule="auto"/>
        <w:ind w:left="3700" w:right="39" w:hanging="2001"/>
        <w:jc w:val="left"/>
        <w:rPr>
          <w:i/>
          <w:iCs/>
          <w:lang w:val="en-US"/>
        </w:rPr>
      </w:pPr>
      <w:r w:rsidRPr="00072495">
        <w:rPr>
          <w:i/>
        </w:rPr>
        <w:t xml:space="preserve">Informal documents: </w:t>
      </w:r>
      <w:r w:rsidRPr="00072495">
        <w:rPr>
          <w:i/>
        </w:rPr>
        <w:tab/>
      </w:r>
      <w:r w:rsidR="00FC62F6" w:rsidRPr="00072495">
        <w:rPr>
          <w:i/>
        </w:rPr>
        <w:t>UN/SCETDG</w:t>
      </w:r>
      <w:r w:rsidR="00A264E1" w:rsidRPr="00072495">
        <w:rPr>
          <w:i/>
        </w:rPr>
        <w:t>/49/</w:t>
      </w:r>
      <w:r w:rsidR="00FC62F6" w:rsidRPr="00072495">
        <w:rPr>
          <w:i/>
        </w:rPr>
        <w:t>INF.4 (UN/SCEGHS/3</w:t>
      </w:r>
      <w:r w:rsidR="00ED2755" w:rsidRPr="00072495">
        <w:rPr>
          <w:i/>
        </w:rPr>
        <w:t>1</w:t>
      </w:r>
      <w:r w:rsidR="00FC62F6" w:rsidRPr="00072495">
        <w:rPr>
          <w:i/>
        </w:rPr>
        <w:t>/INF.3) (</w:t>
      </w:r>
      <w:r w:rsidR="00ED2755" w:rsidRPr="00072495">
        <w:rPr>
          <w:i/>
        </w:rPr>
        <w:t>Working Group Chair</w:t>
      </w:r>
      <w:proofErr w:type="gramStart"/>
      <w:r w:rsidR="00FC62F6" w:rsidRPr="00072495">
        <w:rPr>
          <w:i/>
        </w:rPr>
        <w:t>)</w:t>
      </w:r>
      <w:proofErr w:type="gramEnd"/>
      <w:r w:rsidR="00FC62F6" w:rsidRPr="00072495">
        <w:rPr>
          <w:i/>
        </w:rPr>
        <w:br/>
      </w:r>
      <w:r w:rsidR="00ED2755" w:rsidRPr="00072495">
        <w:rPr>
          <w:i/>
        </w:rPr>
        <w:t xml:space="preserve">and Adds. 1 </w:t>
      </w:r>
      <w:r w:rsidR="00F577FD" w:rsidRPr="00072495">
        <w:rPr>
          <w:i/>
        </w:rPr>
        <w:t>–</w:t>
      </w:r>
      <w:r w:rsidR="00ED2755" w:rsidRPr="00072495">
        <w:rPr>
          <w:i/>
        </w:rPr>
        <w:t xml:space="preserve"> 5</w:t>
      </w:r>
      <w:r w:rsidR="00F577FD" w:rsidRPr="00072495">
        <w:rPr>
          <w:i/>
        </w:rPr>
        <w:br/>
      </w:r>
      <w:r w:rsidR="00F577FD" w:rsidRPr="00AE6AD0">
        <w:rPr>
          <w:i/>
          <w:iCs/>
          <w:lang w:val="en-US"/>
        </w:rPr>
        <w:t>UN/SCETDG/49/INF.6 (UN/SCEGHS/31/INF.4) (Canada, FEA)</w:t>
      </w:r>
    </w:p>
    <w:p w14:paraId="0D44AEB9" w14:textId="441D74FF" w:rsidR="005966E1" w:rsidRPr="00072495" w:rsidRDefault="00C7757F" w:rsidP="00766F6C">
      <w:pPr>
        <w:pStyle w:val="SingleTxtG"/>
        <w:spacing w:after="240" w:line="240" w:lineRule="auto"/>
        <w:ind w:left="1699" w:right="39"/>
      </w:pPr>
      <w:r w:rsidRPr="00072495">
        <w:rPr>
          <w:b/>
          <w:u w:val="single"/>
        </w:rPr>
        <w:t>Discussion:</w:t>
      </w:r>
      <w:r w:rsidRPr="00072495">
        <w:t xml:space="preserve">  </w:t>
      </w:r>
      <w:r w:rsidR="00CF24ED">
        <w:t>49/INF.</w:t>
      </w:r>
      <w:r w:rsidR="00766F6C" w:rsidRPr="00072495">
        <w:t>4 and its addenda contain a proposed revised text of the Manual to take account of i</w:t>
      </w:r>
      <w:r w:rsidR="000A1652">
        <w:t xml:space="preserve">ts use in the context of the GHS.  The work </w:t>
      </w:r>
      <w:proofErr w:type="gramStart"/>
      <w:r w:rsidR="000A1652">
        <w:t>is split</w:t>
      </w:r>
      <w:proofErr w:type="gramEnd"/>
      <w:r w:rsidR="000A1652">
        <w:t xml:space="preserve"> between the documents as follows</w:t>
      </w:r>
      <w:r w:rsidR="00766F6C" w:rsidRPr="00072495">
        <w:t>:</w:t>
      </w:r>
    </w:p>
    <w:p w14:paraId="583F6923" w14:textId="15A68846" w:rsidR="005966E1" w:rsidRPr="00072495" w:rsidRDefault="00CF24ED" w:rsidP="005966E1">
      <w:pPr>
        <w:pStyle w:val="bodytext0"/>
        <w:keepNext/>
        <w:numPr>
          <w:ilvl w:val="0"/>
          <w:numId w:val="32"/>
        </w:numPr>
        <w:ind w:left="2160"/>
        <w:rPr>
          <w:bCs/>
          <w:sz w:val="20"/>
          <w:szCs w:val="20"/>
        </w:rPr>
      </w:pPr>
      <w:r>
        <w:rPr>
          <w:bCs/>
          <w:sz w:val="20"/>
          <w:szCs w:val="20"/>
        </w:rPr>
        <w:lastRenderedPageBreak/>
        <w:t>49/INF.</w:t>
      </w:r>
      <w:r w:rsidR="005966E1" w:rsidRPr="00AE6AD0">
        <w:rPr>
          <w:bCs/>
          <w:sz w:val="20"/>
          <w:szCs w:val="20"/>
        </w:rPr>
        <w:t>4</w:t>
      </w:r>
      <w:r w:rsidR="005966E1" w:rsidRPr="00072495">
        <w:rPr>
          <w:rStyle w:val="Hyperlink"/>
          <w:szCs w:val="20"/>
        </w:rPr>
        <w:t xml:space="preserve"> </w:t>
      </w:r>
      <w:r w:rsidR="005966E1" w:rsidRPr="00072495">
        <w:rPr>
          <w:bCs/>
          <w:sz w:val="20"/>
          <w:szCs w:val="20"/>
        </w:rPr>
        <w:t>– Chapter 1 (General Introduction)</w:t>
      </w:r>
    </w:p>
    <w:p w14:paraId="13B13C82" w14:textId="3F95FCEA" w:rsidR="005966E1" w:rsidRPr="00072495" w:rsidRDefault="00CF24ED" w:rsidP="005966E1">
      <w:pPr>
        <w:pStyle w:val="bodytext0"/>
        <w:keepNext/>
        <w:numPr>
          <w:ilvl w:val="0"/>
          <w:numId w:val="32"/>
        </w:numPr>
        <w:ind w:left="2160"/>
        <w:rPr>
          <w:bCs/>
          <w:sz w:val="20"/>
          <w:szCs w:val="20"/>
        </w:rPr>
      </w:pPr>
      <w:r>
        <w:rPr>
          <w:bCs/>
          <w:sz w:val="20"/>
          <w:szCs w:val="20"/>
        </w:rPr>
        <w:t>49/INF.</w:t>
      </w:r>
      <w:r w:rsidR="005966E1" w:rsidRPr="00AE6AD0">
        <w:rPr>
          <w:bCs/>
          <w:sz w:val="20"/>
          <w:szCs w:val="20"/>
        </w:rPr>
        <w:t>4/Add.1</w:t>
      </w:r>
      <w:r w:rsidR="005966E1" w:rsidRPr="00072495">
        <w:rPr>
          <w:bCs/>
          <w:sz w:val="20"/>
          <w:szCs w:val="20"/>
        </w:rPr>
        <w:t xml:space="preserve"> – Chapters 10 – 17 (Test Series 1 – 7)</w:t>
      </w:r>
    </w:p>
    <w:p w14:paraId="116B0412" w14:textId="3F867CEE" w:rsidR="005966E1" w:rsidRPr="00072495" w:rsidRDefault="00CF24ED" w:rsidP="005966E1">
      <w:pPr>
        <w:pStyle w:val="bodytext0"/>
        <w:keepNext/>
        <w:numPr>
          <w:ilvl w:val="0"/>
          <w:numId w:val="32"/>
        </w:numPr>
        <w:ind w:left="2160"/>
        <w:rPr>
          <w:bCs/>
          <w:sz w:val="20"/>
          <w:szCs w:val="20"/>
        </w:rPr>
      </w:pPr>
      <w:r>
        <w:rPr>
          <w:bCs/>
          <w:sz w:val="20"/>
          <w:szCs w:val="20"/>
        </w:rPr>
        <w:t>49/INF.</w:t>
      </w:r>
      <w:r w:rsidR="005966E1" w:rsidRPr="00AE6AD0">
        <w:rPr>
          <w:bCs/>
          <w:sz w:val="20"/>
          <w:szCs w:val="20"/>
        </w:rPr>
        <w:t>4/Add.2</w:t>
      </w:r>
      <w:r w:rsidR="005966E1" w:rsidRPr="00072495">
        <w:rPr>
          <w:bCs/>
          <w:sz w:val="20"/>
          <w:szCs w:val="20"/>
        </w:rPr>
        <w:t xml:space="preserve"> – Chapter 18 (Test Series 8)</w:t>
      </w:r>
    </w:p>
    <w:p w14:paraId="5187ECE5" w14:textId="38E0CCE2" w:rsidR="005966E1" w:rsidRPr="00072495" w:rsidRDefault="00CF24ED" w:rsidP="005966E1">
      <w:pPr>
        <w:pStyle w:val="bodytext0"/>
        <w:keepNext/>
        <w:numPr>
          <w:ilvl w:val="0"/>
          <w:numId w:val="32"/>
        </w:numPr>
        <w:ind w:left="2160"/>
        <w:rPr>
          <w:bCs/>
          <w:sz w:val="20"/>
          <w:szCs w:val="20"/>
        </w:rPr>
      </w:pPr>
      <w:r>
        <w:rPr>
          <w:bCs/>
          <w:sz w:val="20"/>
          <w:szCs w:val="20"/>
        </w:rPr>
        <w:t>49/INF.</w:t>
      </w:r>
      <w:r w:rsidR="005966E1" w:rsidRPr="00AE6AD0">
        <w:rPr>
          <w:bCs/>
          <w:sz w:val="20"/>
          <w:szCs w:val="20"/>
        </w:rPr>
        <w:t>4/Add.3</w:t>
      </w:r>
      <w:r w:rsidR="005966E1" w:rsidRPr="00072495">
        <w:rPr>
          <w:bCs/>
          <w:sz w:val="20"/>
          <w:szCs w:val="20"/>
        </w:rPr>
        <w:t xml:space="preserve"> – Chapters 20 – 28 (Test Series A – H)</w:t>
      </w:r>
    </w:p>
    <w:p w14:paraId="6697FC88" w14:textId="4F1A9B17" w:rsidR="005966E1" w:rsidRPr="00072495" w:rsidRDefault="00CF24ED" w:rsidP="005966E1">
      <w:pPr>
        <w:pStyle w:val="bodytext0"/>
        <w:keepNext/>
        <w:numPr>
          <w:ilvl w:val="0"/>
          <w:numId w:val="32"/>
        </w:numPr>
        <w:ind w:left="2160"/>
        <w:rPr>
          <w:bCs/>
          <w:sz w:val="20"/>
          <w:szCs w:val="20"/>
        </w:rPr>
      </w:pPr>
      <w:r>
        <w:rPr>
          <w:bCs/>
          <w:sz w:val="20"/>
          <w:szCs w:val="20"/>
        </w:rPr>
        <w:t>49/INF.</w:t>
      </w:r>
      <w:r w:rsidR="005966E1" w:rsidRPr="00AE6AD0">
        <w:rPr>
          <w:bCs/>
          <w:sz w:val="20"/>
          <w:szCs w:val="20"/>
        </w:rPr>
        <w:t>4/Add.4</w:t>
      </w:r>
      <w:r w:rsidR="005966E1" w:rsidRPr="00072495">
        <w:rPr>
          <w:bCs/>
          <w:sz w:val="20"/>
          <w:szCs w:val="20"/>
        </w:rPr>
        <w:t xml:space="preserve"> – Chapters 30 – 51 (Class 2, </w:t>
      </w:r>
      <w:r w:rsidR="00BC1700" w:rsidRPr="00072495">
        <w:rPr>
          <w:bCs/>
          <w:sz w:val="20"/>
          <w:szCs w:val="20"/>
        </w:rPr>
        <w:t xml:space="preserve">Class </w:t>
      </w:r>
      <w:r w:rsidR="005966E1" w:rsidRPr="00072495">
        <w:rPr>
          <w:bCs/>
          <w:sz w:val="20"/>
          <w:szCs w:val="20"/>
        </w:rPr>
        <w:t>3, Class 4, Division 5.1, Class 8 and Class 9)</w:t>
      </w:r>
    </w:p>
    <w:p w14:paraId="51DF3D8A" w14:textId="706D3CDE" w:rsidR="005966E1" w:rsidRPr="00072495" w:rsidRDefault="00CF24ED" w:rsidP="005966E1">
      <w:pPr>
        <w:pStyle w:val="SingleTxtG"/>
        <w:numPr>
          <w:ilvl w:val="0"/>
          <w:numId w:val="32"/>
        </w:numPr>
        <w:spacing w:after="240" w:line="240" w:lineRule="auto"/>
        <w:ind w:left="2160" w:right="39"/>
      </w:pPr>
      <w:r>
        <w:rPr>
          <w:bCs/>
        </w:rPr>
        <w:t>49/INF.</w:t>
      </w:r>
      <w:r w:rsidR="005966E1" w:rsidRPr="00AE6AD0">
        <w:rPr>
          <w:bCs/>
        </w:rPr>
        <w:t>4/Add.5</w:t>
      </w:r>
      <w:r w:rsidR="005966E1" w:rsidRPr="00072495">
        <w:rPr>
          <w:bCs/>
        </w:rPr>
        <w:t xml:space="preserve"> – Appendices</w:t>
      </w:r>
    </w:p>
    <w:p w14:paraId="6E08A270" w14:textId="6D287D65" w:rsidR="00BA714A" w:rsidRDefault="00BA714A" w:rsidP="0048028F">
      <w:pPr>
        <w:pStyle w:val="SingleTxtG"/>
        <w:spacing w:after="240" w:line="240" w:lineRule="auto"/>
        <w:ind w:left="1699" w:right="39"/>
      </w:pPr>
      <w:r w:rsidRPr="00072495">
        <w:t xml:space="preserve">In </w:t>
      </w:r>
      <w:r w:rsidR="00CF24ED">
        <w:t>49/INF.</w:t>
      </w:r>
      <w:r w:rsidRPr="00072495">
        <w:t xml:space="preserve">6 Canada and </w:t>
      </w:r>
      <w:proofErr w:type="gramStart"/>
      <w:r w:rsidRPr="00072495">
        <w:t>FEA</w:t>
      </w:r>
      <w:proofErr w:type="gramEnd"/>
      <w:r w:rsidRPr="00072495">
        <w:t xml:space="preserve"> propose a minor correction to Table 31.5.4.4 as published in </w:t>
      </w:r>
      <w:r w:rsidR="00CF24ED">
        <w:t>49/INF.</w:t>
      </w:r>
      <w:r w:rsidRPr="00072495">
        <w:t>4/Add.4.</w:t>
      </w:r>
    </w:p>
    <w:p w14:paraId="33D5F520" w14:textId="31179D58" w:rsidR="00AE6AD0" w:rsidRPr="00072495" w:rsidRDefault="00A93A15" w:rsidP="00B52889">
      <w:pPr>
        <w:pStyle w:val="SingleTxtG"/>
        <w:spacing w:after="240" w:line="240" w:lineRule="auto"/>
        <w:ind w:left="1699" w:right="39"/>
        <w:rPr>
          <w:u w:val="single"/>
        </w:rPr>
      </w:pPr>
      <w:r>
        <w:t xml:space="preserve">The working group spent considerable time reviewing </w:t>
      </w:r>
      <w:r w:rsidR="00CF24ED">
        <w:t>49/INF.</w:t>
      </w:r>
      <w:r>
        <w:t xml:space="preserve">4 and Section 10 of Add.1 and noted that several of the general changes led to confusion. The group identified solutions and the </w:t>
      </w:r>
      <w:proofErr w:type="gramStart"/>
      <w:r>
        <w:t>chairman</w:t>
      </w:r>
      <w:proofErr w:type="gramEnd"/>
      <w:r>
        <w:t xml:space="preserve"> will follow up with new proposals.</w:t>
      </w:r>
    </w:p>
    <w:p w14:paraId="1EBC2993" w14:textId="52EF0986" w:rsidR="00C7757F" w:rsidRPr="00072495" w:rsidRDefault="00C7757F">
      <w:pPr>
        <w:pStyle w:val="SingleTxtG"/>
        <w:spacing w:after="240" w:line="240" w:lineRule="auto"/>
        <w:ind w:left="1699" w:right="39"/>
      </w:pPr>
      <w:r w:rsidRPr="00072495">
        <w:rPr>
          <w:b/>
          <w:u w:val="single"/>
        </w:rPr>
        <w:t>Conclusion:</w:t>
      </w:r>
      <w:r w:rsidRPr="00072495">
        <w:t xml:space="preserve">  </w:t>
      </w:r>
      <w:r w:rsidR="00C129B8" w:rsidRPr="00C129B8">
        <w:t xml:space="preserve">It was determined to create text in </w:t>
      </w:r>
      <w:r w:rsidR="0020735F">
        <w:t>Part I of the Manual</w:t>
      </w:r>
      <w:r w:rsidR="00C129B8" w:rsidRPr="00C129B8">
        <w:t xml:space="preserve"> to clarify the intent that the configuration is most often the transport package and no additional testing is required for other sectors. </w:t>
      </w:r>
      <w:r w:rsidR="00AE6AD0">
        <w:t xml:space="preserve">The working group completed its review of </w:t>
      </w:r>
      <w:r w:rsidR="00CF24ED">
        <w:t>49/INF.</w:t>
      </w:r>
      <w:r w:rsidR="00AE6AD0">
        <w:t xml:space="preserve">4 and Section 10 within </w:t>
      </w:r>
      <w:r w:rsidR="00CF24ED">
        <w:t>49/INF.</w:t>
      </w:r>
      <w:r w:rsidR="00AE6AD0">
        <w:t>4/Add.1</w:t>
      </w:r>
      <w:r w:rsidR="00783A6B" w:rsidRPr="00072495">
        <w:t>.</w:t>
      </w:r>
      <w:r w:rsidR="00AE6AD0">
        <w:t xml:space="preserve">  The work will continue in the intercessional period and will include continuing the review of the rest of Add.1, review of Add.2 – Add.5, development of a chapter to describe in general terms how to use the manual in GHS efforts and to explain the importance of packaging for certain explosives classifications.</w:t>
      </w:r>
    </w:p>
    <w:p w14:paraId="7988D339" w14:textId="5B861422" w:rsidR="00B37D68" w:rsidRPr="00950D47" w:rsidRDefault="00B37D68" w:rsidP="0048028F">
      <w:pPr>
        <w:pStyle w:val="HChG"/>
        <w:keepNext w:val="0"/>
        <w:keepLines w:val="0"/>
        <w:spacing w:line="240" w:lineRule="auto"/>
        <w:ind w:left="1138" w:right="43" w:firstLine="0"/>
      </w:pPr>
      <w:r w:rsidRPr="001A6CE6">
        <w:t xml:space="preserve">Agenda Item </w:t>
      </w:r>
      <w:r>
        <w:t>10</w:t>
      </w:r>
      <w:r w:rsidRPr="001A6CE6">
        <w:t>(</w:t>
      </w:r>
      <w:proofErr w:type="spellStart"/>
      <w:r w:rsidR="008562A8">
        <w:t>i</w:t>
      </w:r>
      <w:proofErr w:type="spellEnd"/>
      <w:r w:rsidRPr="001A6CE6">
        <w:t xml:space="preserve">) – </w:t>
      </w:r>
      <w:r w:rsidRPr="00D34728">
        <w:t xml:space="preserve">Issues relating to the Globally Harmonized System of Classification and Labelling of Chemicals: </w:t>
      </w:r>
      <w:r>
        <w:t xml:space="preserve">Miscellaneous </w:t>
      </w:r>
    </w:p>
    <w:p w14:paraId="111C39DB" w14:textId="53822BB1" w:rsidR="00B37D68" w:rsidRPr="00072495" w:rsidRDefault="00B37D68" w:rsidP="008562A8">
      <w:pPr>
        <w:pStyle w:val="SingleTxtG"/>
        <w:keepNext/>
        <w:numPr>
          <w:ilvl w:val="0"/>
          <w:numId w:val="4"/>
        </w:numPr>
        <w:spacing w:after="240" w:line="240" w:lineRule="auto"/>
        <w:ind w:right="43"/>
      </w:pPr>
      <w:r w:rsidRPr="00072495">
        <w:rPr>
          <w:b/>
          <w:u w:val="single"/>
        </w:rPr>
        <w:t>Subject:</w:t>
      </w:r>
      <w:r w:rsidRPr="00072495">
        <w:t xml:space="preserve">  </w:t>
      </w:r>
      <w:r w:rsidR="008562A8" w:rsidRPr="00072495">
        <w:t>Clarification of the classification criteria for desensitised explosives in GHS</w:t>
      </w:r>
    </w:p>
    <w:p w14:paraId="02E43BB0" w14:textId="14159DEE" w:rsidR="00B37D68" w:rsidRPr="00072495" w:rsidRDefault="00B37D68" w:rsidP="0048028F">
      <w:pPr>
        <w:pStyle w:val="SingleTxtG"/>
        <w:spacing w:after="240" w:line="240" w:lineRule="auto"/>
        <w:ind w:left="3700" w:right="39" w:hanging="2001"/>
        <w:rPr>
          <w:i/>
          <w:iCs/>
          <w:lang w:val="en-US"/>
        </w:rPr>
      </w:pPr>
      <w:r w:rsidRPr="00072495">
        <w:rPr>
          <w:i/>
        </w:rPr>
        <w:t>Documents:</w:t>
      </w:r>
      <w:r w:rsidRPr="00072495">
        <w:rPr>
          <w:i/>
        </w:rPr>
        <w:tab/>
      </w:r>
      <w:r w:rsidR="008562A8" w:rsidRPr="00F85CBE">
        <w:rPr>
          <w:i/>
          <w:iCs/>
          <w:lang w:val="en-US"/>
        </w:rPr>
        <w:t>ST/SG/AC.10/C.3/2016/30 (ST/SG/AC.10/C.4/2016/6) (AEISG, SAAMI)</w:t>
      </w:r>
    </w:p>
    <w:p w14:paraId="0DA2DC8A" w14:textId="1688714A" w:rsidR="00B37D68" w:rsidRPr="00072495" w:rsidRDefault="00B37D68" w:rsidP="0048028F">
      <w:pPr>
        <w:pStyle w:val="SingleTxtG"/>
        <w:spacing w:after="240" w:line="240" w:lineRule="auto"/>
        <w:ind w:left="3700" w:right="39" w:hanging="2001"/>
        <w:jc w:val="left"/>
        <w:rPr>
          <w:i/>
          <w:iCs/>
          <w:lang w:val="en-US"/>
        </w:rPr>
      </w:pPr>
      <w:r w:rsidRPr="00072495">
        <w:rPr>
          <w:i/>
        </w:rPr>
        <w:t xml:space="preserve">Informal documents: </w:t>
      </w:r>
      <w:r w:rsidRPr="00072495">
        <w:rPr>
          <w:i/>
        </w:rPr>
        <w:tab/>
      </w:r>
      <w:r w:rsidR="008562A8" w:rsidRPr="00072495">
        <w:rPr>
          <w:i/>
        </w:rPr>
        <w:t>None</w:t>
      </w:r>
    </w:p>
    <w:p w14:paraId="3BF3613B" w14:textId="6CF60549" w:rsidR="00B37D68" w:rsidRDefault="00B37D68" w:rsidP="00A04358">
      <w:pPr>
        <w:pStyle w:val="SingleTxtG"/>
        <w:spacing w:after="240" w:line="240" w:lineRule="auto"/>
        <w:ind w:left="1699" w:right="39"/>
      </w:pPr>
      <w:r w:rsidRPr="00072495">
        <w:rPr>
          <w:b/>
          <w:u w:val="single"/>
        </w:rPr>
        <w:t>Discussion:</w:t>
      </w:r>
      <w:r w:rsidRPr="00072495">
        <w:t xml:space="preserve">  </w:t>
      </w:r>
      <w:r w:rsidR="001545BC" w:rsidRPr="00072495">
        <w:t xml:space="preserve">AEISG and SAAMI </w:t>
      </w:r>
      <w:r w:rsidR="00A04358">
        <w:t>have indicated</w:t>
      </w:r>
      <w:r w:rsidR="001545BC" w:rsidRPr="00072495">
        <w:t xml:space="preserve"> that some regulatory authorities have misconstrued the intent of GHS section 2.17.2.1 to mean that it applies </w:t>
      </w:r>
      <w:proofErr w:type="gramStart"/>
      <w:r w:rsidR="001545BC" w:rsidRPr="00072495">
        <w:t>“ …</w:t>
      </w:r>
      <w:proofErr w:type="gramEnd"/>
      <w:r w:rsidR="001545BC" w:rsidRPr="00072495">
        <w:t xml:space="preserve"> to the explosive in its non-desensitised state. For example, paragraph (a) has been interpreted that wet TNT (UN 1356) that meets the test criteria must nevertheless be classified as an explosive because the intent is to later remove the desensitiser and use the material as an explosive.”  In 2016/30, AEISG and SAAMI are seeking to correct this misconception with some revisions to section 2.17.2.1.</w:t>
      </w:r>
    </w:p>
    <w:p w14:paraId="43E5443A" w14:textId="55174644" w:rsidR="00F85CBE" w:rsidRDefault="00F85CBE" w:rsidP="0048028F">
      <w:pPr>
        <w:pStyle w:val="SingleTxtG"/>
        <w:spacing w:after="240" w:line="240" w:lineRule="auto"/>
        <w:ind w:left="1699" w:right="39"/>
      </w:pPr>
      <w:r>
        <w:t xml:space="preserve">There was general support for the problem described by AEISG and SAAMI; however, the working group was of the opinion that the proposed revisions to GHS section 2.17.2.1 were too difficult to understand.  SAAMI provided some revised text to amend the proposal in 2016/30 and </w:t>
      </w:r>
      <w:proofErr w:type="gramStart"/>
      <w:r>
        <w:t>that was accepted by the working group</w:t>
      </w:r>
      <w:proofErr w:type="gramEnd"/>
      <w:r>
        <w:t>.</w:t>
      </w:r>
      <w:r w:rsidR="00353040">
        <w:t xml:space="preserve">  The working group noted that acceptance of this proposal would also require a consequential amendment in Note 1 of section 2.17.2.1.</w:t>
      </w:r>
    </w:p>
    <w:p w14:paraId="4C5D0D8C" w14:textId="3A2FCB6E" w:rsidR="00F85CBE" w:rsidRPr="00F85CBE" w:rsidRDefault="00F85CBE" w:rsidP="0048028F">
      <w:pPr>
        <w:pStyle w:val="SingleTxtG"/>
        <w:spacing w:after="240" w:line="240" w:lineRule="auto"/>
        <w:ind w:left="1699" w:right="39"/>
      </w:pPr>
      <w:r>
        <w:t xml:space="preserve">New Zealand noted that similar wording </w:t>
      </w:r>
      <w:proofErr w:type="gramStart"/>
      <w:r>
        <w:t>is also found</w:t>
      </w:r>
      <w:proofErr w:type="gramEnd"/>
      <w:r>
        <w:t xml:space="preserve"> in Section 51 of the Manual.  The working group took note of this and suggested a consequential amendment to that section.</w:t>
      </w:r>
    </w:p>
    <w:p w14:paraId="0BF45E8B" w14:textId="4637BCE8" w:rsidR="002E1A64" w:rsidRPr="00072495" w:rsidRDefault="00B37D68" w:rsidP="00E13738">
      <w:pPr>
        <w:pStyle w:val="SingleTxtG"/>
        <w:spacing w:line="240" w:lineRule="auto"/>
        <w:ind w:left="1699" w:right="43"/>
      </w:pPr>
      <w:r w:rsidRPr="00072495">
        <w:rPr>
          <w:b/>
          <w:u w:val="single"/>
        </w:rPr>
        <w:t>Conclusion:</w:t>
      </w:r>
      <w:r w:rsidRPr="00072495">
        <w:t xml:space="preserve">  </w:t>
      </w:r>
      <w:r w:rsidR="001545BC" w:rsidRPr="00072495">
        <w:t xml:space="preserve">The working group </w:t>
      </w:r>
      <w:r w:rsidR="00F85CBE">
        <w:t xml:space="preserve">unanimously </w:t>
      </w:r>
      <w:r w:rsidR="001545BC" w:rsidRPr="00072495">
        <w:t>accepted the proposals in 2016/30</w:t>
      </w:r>
      <w:r w:rsidR="00F85CBE">
        <w:t xml:space="preserve"> as modified by SAAMI</w:t>
      </w:r>
      <w:r w:rsidR="004B340C">
        <w:t xml:space="preserve"> as well as the consequential amendment to Note1</w:t>
      </w:r>
      <w:r w:rsidR="001545BC" w:rsidRPr="00072495">
        <w:t>.  See Amendment 1 in Annex 4 of this report.</w:t>
      </w:r>
      <w:r w:rsidR="00F85CBE">
        <w:t xml:space="preserve">  A consequential amendment is required in Section 51 of the Manual.  See Amendment </w:t>
      </w:r>
      <w:r w:rsidR="004B340C">
        <w:t>7</w:t>
      </w:r>
      <w:r w:rsidR="00881E9C">
        <w:t xml:space="preserve"> </w:t>
      </w:r>
      <w:r w:rsidR="00F85CBE">
        <w:t>in Annex 3 of this report.</w:t>
      </w:r>
    </w:p>
    <w:p w14:paraId="0AB33997" w14:textId="77777777" w:rsidR="003160CC" w:rsidRDefault="003160CC" w:rsidP="00E13738">
      <w:pPr>
        <w:pStyle w:val="SingleTxtG"/>
        <w:spacing w:after="0" w:line="240" w:lineRule="auto"/>
        <w:ind w:left="1138" w:right="1138"/>
        <w:jc w:val="center"/>
        <w:rPr>
          <w:u w:val="single"/>
        </w:rPr>
      </w:pPr>
      <w:r>
        <w:rPr>
          <w:u w:val="single"/>
        </w:rPr>
        <w:tab/>
      </w:r>
      <w:r>
        <w:rPr>
          <w:u w:val="single"/>
        </w:rPr>
        <w:tab/>
      </w:r>
      <w:r>
        <w:rPr>
          <w:u w:val="single"/>
        </w:rPr>
        <w:tab/>
      </w:r>
    </w:p>
    <w:p w14:paraId="18B515FF" w14:textId="01736077" w:rsidR="00E02A97" w:rsidRPr="00AF5B84" w:rsidRDefault="00E02A97" w:rsidP="0048028F">
      <w:pPr>
        <w:pStyle w:val="HChG"/>
        <w:spacing w:after="480" w:line="240" w:lineRule="auto"/>
        <w:ind w:left="0" w:right="1138" w:firstLine="0"/>
        <w:rPr>
          <w:rFonts w:eastAsia="MS Mincho"/>
          <w:sz w:val="26"/>
          <w:lang w:val="en-US" w:eastAsia="ja-JP"/>
        </w:rPr>
      </w:pPr>
      <w:r>
        <w:rPr>
          <w:u w:val="single"/>
        </w:rPr>
        <w:br w:type="page"/>
      </w:r>
      <w:bookmarkStart w:id="1" w:name="Annex1"/>
      <w:bookmarkEnd w:id="1"/>
      <w:r>
        <w:rPr>
          <w:rFonts w:eastAsia="MS Mincho"/>
          <w:lang w:val="en-US" w:eastAsia="ja-JP"/>
        </w:rPr>
        <w:lastRenderedPageBreak/>
        <w:t>Annex 1</w:t>
      </w:r>
      <w:r>
        <w:rPr>
          <w:rFonts w:eastAsia="MS Mincho"/>
          <w:lang w:val="en-US" w:eastAsia="ja-JP"/>
        </w:rPr>
        <w:br/>
      </w:r>
      <w:r w:rsidRPr="00092CF5">
        <w:rPr>
          <w:rFonts w:eastAsia="MS Mincho"/>
          <w:sz w:val="26"/>
          <w:lang w:val="en-US" w:eastAsia="ja-JP"/>
        </w:rPr>
        <w:t>Working Group on Explosives (</w:t>
      </w:r>
      <w:r w:rsidR="00B055A3">
        <w:rPr>
          <w:rFonts w:eastAsia="MS Mincho"/>
          <w:sz w:val="26"/>
          <w:lang w:val="en-US" w:eastAsia="ja-JP"/>
        </w:rPr>
        <w:t>27 June - 1 July 2016</w:t>
      </w:r>
      <w:r w:rsidR="004B3DF9" w:rsidRPr="00092CF5">
        <w:rPr>
          <w:rFonts w:eastAsia="MS Mincho"/>
          <w:sz w:val="26"/>
          <w:lang w:val="en-US" w:eastAsia="ja-JP"/>
        </w:rPr>
        <w:t xml:space="preserve">) </w:t>
      </w:r>
      <w:r w:rsidRPr="00AF5B84">
        <w:rPr>
          <w:rFonts w:eastAsia="MS Mincho"/>
          <w:sz w:val="26"/>
          <w:lang w:val="en-US" w:eastAsia="ja-JP"/>
        </w:rPr>
        <w:br/>
        <w:t>List of Participants</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4"/>
        <w:gridCol w:w="1895"/>
        <w:gridCol w:w="4422"/>
      </w:tblGrid>
      <w:tr w:rsidR="00E02A97" w:rsidRPr="003C322E" w14:paraId="44A503AA" w14:textId="77777777" w:rsidTr="006F2C5A">
        <w:trPr>
          <w:trHeight w:val="255"/>
          <w:jc w:val="center"/>
        </w:trPr>
        <w:tc>
          <w:tcPr>
            <w:tcW w:w="2774" w:type="dxa"/>
            <w:shd w:val="clear" w:color="auto" w:fill="auto"/>
            <w:noWrap/>
            <w:vAlign w:val="bottom"/>
          </w:tcPr>
          <w:p w14:paraId="4FC38922" w14:textId="267349D9" w:rsidR="00E02A97" w:rsidRPr="003C322E" w:rsidRDefault="00E02A97" w:rsidP="0048028F">
            <w:pPr>
              <w:suppressAutoHyphens w:val="0"/>
              <w:spacing w:line="240" w:lineRule="auto"/>
              <w:jc w:val="center"/>
              <w:rPr>
                <w:b/>
                <w:lang w:val="en-US"/>
              </w:rPr>
            </w:pPr>
            <w:r w:rsidRPr="003C322E">
              <w:rPr>
                <w:rFonts w:eastAsia="MS Mincho"/>
                <w:b/>
                <w:lang w:val="en-US" w:eastAsia="ja-JP"/>
              </w:rPr>
              <w:t xml:space="preserve"> </w:t>
            </w:r>
            <w:r w:rsidRPr="003C322E">
              <w:rPr>
                <w:b/>
                <w:lang w:val="en-US"/>
              </w:rPr>
              <w:t>Name</w:t>
            </w:r>
          </w:p>
        </w:tc>
        <w:tc>
          <w:tcPr>
            <w:tcW w:w="1895" w:type="dxa"/>
            <w:shd w:val="clear" w:color="auto" w:fill="auto"/>
            <w:noWrap/>
            <w:vAlign w:val="bottom"/>
          </w:tcPr>
          <w:p w14:paraId="1B70C4AE" w14:textId="77777777" w:rsidR="00E02A97" w:rsidRPr="003C322E" w:rsidRDefault="00E02A97" w:rsidP="0048028F">
            <w:pPr>
              <w:suppressAutoHyphens w:val="0"/>
              <w:spacing w:line="240" w:lineRule="auto"/>
              <w:jc w:val="center"/>
              <w:rPr>
                <w:b/>
                <w:lang w:val="en-US"/>
              </w:rPr>
            </w:pPr>
            <w:r w:rsidRPr="003C322E">
              <w:rPr>
                <w:b/>
                <w:lang w:val="en-US"/>
              </w:rPr>
              <w:t>Representing</w:t>
            </w:r>
          </w:p>
        </w:tc>
        <w:tc>
          <w:tcPr>
            <w:tcW w:w="4422" w:type="dxa"/>
            <w:shd w:val="clear" w:color="auto" w:fill="auto"/>
            <w:noWrap/>
            <w:vAlign w:val="bottom"/>
          </w:tcPr>
          <w:p w14:paraId="50360D31" w14:textId="77777777" w:rsidR="00E02A97" w:rsidRPr="003C322E" w:rsidRDefault="00E02A97" w:rsidP="0048028F">
            <w:pPr>
              <w:suppressAutoHyphens w:val="0"/>
              <w:spacing w:line="240" w:lineRule="auto"/>
              <w:jc w:val="center"/>
              <w:rPr>
                <w:b/>
                <w:lang w:val="en-US"/>
              </w:rPr>
            </w:pPr>
            <w:r w:rsidRPr="003C322E">
              <w:rPr>
                <w:b/>
                <w:lang w:val="en-US"/>
              </w:rPr>
              <w:t>Email address</w:t>
            </w:r>
          </w:p>
        </w:tc>
      </w:tr>
      <w:tr w:rsidR="003C322E" w:rsidRPr="003C322E" w14:paraId="1CA25706" w14:textId="77777777" w:rsidTr="006F2C5A">
        <w:trPr>
          <w:trHeight w:val="255"/>
          <w:jc w:val="center"/>
        </w:trPr>
        <w:tc>
          <w:tcPr>
            <w:tcW w:w="2774" w:type="dxa"/>
            <w:shd w:val="clear" w:color="auto" w:fill="auto"/>
            <w:noWrap/>
            <w:vAlign w:val="bottom"/>
          </w:tcPr>
          <w:p w14:paraId="3FDB9FB5" w14:textId="77777777" w:rsidR="003C322E" w:rsidRPr="003C322E" w:rsidRDefault="003C322E" w:rsidP="003C322E">
            <w:pPr>
              <w:suppressAutoHyphens w:val="0"/>
              <w:spacing w:line="240" w:lineRule="auto"/>
              <w:rPr>
                <w:rFonts w:eastAsia="MS Mincho"/>
                <w:lang w:val="en-US" w:eastAsia="ja-JP"/>
              </w:rPr>
            </w:pPr>
            <w:r w:rsidRPr="003C322E">
              <w:rPr>
                <w:rFonts w:eastAsia="MS Mincho"/>
                <w:lang w:val="en-US" w:eastAsia="ja-JP"/>
              </w:rPr>
              <w:t xml:space="preserve">Arnaud </w:t>
            </w:r>
            <w:proofErr w:type="spellStart"/>
            <w:r w:rsidRPr="003C322E">
              <w:rPr>
                <w:rFonts w:eastAsia="MS Mincho"/>
                <w:lang w:val="en-US" w:eastAsia="ja-JP"/>
              </w:rPr>
              <w:t>Vandenbroucke</w:t>
            </w:r>
            <w:proofErr w:type="spellEnd"/>
          </w:p>
        </w:tc>
        <w:tc>
          <w:tcPr>
            <w:tcW w:w="1895" w:type="dxa"/>
            <w:shd w:val="clear" w:color="auto" w:fill="auto"/>
            <w:noWrap/>
            <w:vAlign w:val="bottom"/>
          </w:tcPr>
          <w:p w14:paraId="678AC702" w14:textId="77777777" w:rsidR="003C322E" w:rsidRPr="003C322E" w:rsidRDefault="003C322E" w:rsidP="003C322E">
            <w:pPr>
              <w:suppressAutoHyphens w:val="0"/>
              <w:spacing w:line="240" w:lineRule="auto"/>
              <w:rPr>
                <w:lang w:val="en-US"/>
              </w:rPr>
            </w:pPr>
            <w:r w:rsidRPr="003C322E">
              <w:rPr>
                <w:lang w:val="en-US"/>
              </w:rPr>
              <w:t>Belgium</w:t>
            </w:r>
          </w:p>
        </w:tc>
        <w:tc>
          <w:tcPr>
            <w:tcW w:w="4422" w:type="dxa"/>
            <w:shd w:val="clear" w:color="auto" w:fill="auto"/>
            <w:noWrap/>
            <w:vAlign w:val="bottom"/>
          </w:tcPr>
          <w:p w14:paraId="520172EA" w14:textId="77777777" w:rsidR="003C322E" w:rsidRPr="003C322E" w:rsidRDefault="003C322E" w:rsidP="003C322E">
            <w:pPr>
              <w:suppressAutoHyphens w:val="0"/>
              <w:spacing w:line="240" w:lineRule="auto"/>
              <w:rPr>
                <w:lang w:val="en-US"/>
              </w:rPr>
            </w:pPr>
            <w:r w:rsidRPr="003C322E">
              <w:rPr>
                <w:lang w:val="en-US"/>
              </w:rPr>
              <w:t>arnaud.vandenbroucke@economie.fgov.be</w:t>
            </w:r>
          </w:p>
        </w:tc>
      </w:tr>
      <w:tr w:rsidR="003C322E" w:rsidRPr="003C322E" w14:paraId="70D7488E" w14:textId="77777777" w:rsidTr="006F2C5A">
        <w:trPr>
          <w:trHeight w:val="255"/>
          <w:jc w:val="center"/>
        </w:trPr>
        <w:tc>
          <w:tcPr>
            <w:tcW w:w="2774" w:type="dxa"/>
            <w:shd w:val="clear" w:color="auto" w:fill="auto"/>
            <w:noWrap/>
            <w:vAlign w:val="bottom"/>
          </w:tcPr>
          <w:p w14:paraId="1AF136C2" w14:textId="77777777" w:rsidR="003C322E" w:rsidRPr="003C322E" w:rsidRDefault="003C322E" w:rsidP="003C322E">
            <w:pPr>
              <w:suppressAutoHyphens w:val="0"/>
              <w:spacing w:line="240" w:lineRule="auto"/>
              <w:rPr>
                <w:rFonts w:eastAsia="MS Mincho"/>
                <w:lang w:val="en-US" w:eastAsia="ja-JP"/>
              </w:rPr>
            </w:pPr>
            <w:r w:rsidRPr="003C322E">
              <w:rPr>
                <w:rFonts w:eastAsia="MS Mincho"/>
                <w:lang w:val="en-US" w:eastAsia="ja-JP"/>
              </w:rPr>
              <w:t xml:space="preserve">Jean-Luc </w:t>
            </w:r>
            <w:proofErr w:type="spellStart"/>
            <w:r w:rsidRPr="003C322E">
              <w:rPr>
                <w:rFonts w:eastAsia="MS Mincho"/>
                <w:lang w:val="en-US" w:eastAsia="ja-JP"/>
              </w:rPr>
              <w:t>Arpin</w:t>
            </w:r>
            <w:proofErr w:type="spellEnd"/>
          </w:p>
        </w:tc>
        <w:tc>
          <w:tcPr>
            <w:tcW w:w="1895" w:type="dxa"/>
            <w:shd w:val="clear" w:color="auto" w:fill="auto"/>
            <w:noWrap/>
            <w:vAlign w:val="bottom"/>
          </w:tcPr>
          <w:p w14:paraId="32CE5F15" w14:textId="77777777" w:rsidR="003C322E" w:rsidRPr="003C322E" w:rsidRDefault="003C322E" w:rsidP="003C322E">
            <w:pPr>
              <w:suppressAutoHyphens w:val="0"/>
              <w:spacing w:line="240" w:lineRule="auto"/>
              <w:rPr>
                <w:lang w:val="en-US"/>
              </w:rPr>
            </w:pPr>
            <w:r w:rsidRPr="003C322E">
              <w:rPr>
                <w:lang w:val="en-US"/>
              </w:rPr>
              <w:t>Canada</w:t>
            </w:r>
          </w:p>
        </w:tc>
        <w:tc>
          <w:tcPr>
            <w:tcW w:w="4422" w:type="dxa"/>
            <w:shd w:val="clear" w:color="auto" w:fill="auto"/>
            <w:noWrap/>
            <w:vAlign w:val="bottom"/>
          </w:tcPr>
          <w:p w14:paraId="322281B8" w14:textId="77777777" w:rsidR="003C322E" w:rsidRPr="003C322E" w:rsidRDefault="003C322E" w:rsidP="003C322E">
            <w:pPr>
              <w:suppressAutoHyphens w:val="0"/>
              <w:spacing w:line="240" w:lineRule="auto"/>
              <w:rPr>
                <w:lang w:val="en-US"/>
              </w:rPr>
            </w:pPr>
            <w:r w:rsidRPr="003C322E">
              <w:rPr>
                <w:lang w:val="en-US"/>
              </w:rPr>
              <w:t>jean-luc.arpin@canada.ca</w:t>
            </w:r>
          </w:p>
        </w:tc>
      </w:tr>
      <w:tr w:rsidR="003C322E" w:rsidRPr="003C322E" w14:paraId="5EF6AAEC" w14:textId="77777777" w:rsidTr="006F2C5A">
        <w:trPr>
          <w:trHeight w:val="255"/>
          <w:jc w:val="center"/>
        </w:trPr>
        <w:tc>
          <w:tcPr>
            <w:tcW w:w="2774" w:type="dxa"/>
            <w:shd w:val="clear" w:color="auto" w:fill="auto"/>
            <w:noWrap/>
            <w:vAlign w:val="bottom"/>
          </w:tcPr>
          <w:p w14:paraId="0E077230" w14:textId="77777777" w:rsidR="003C322E" w:rsidRPr="003C322E" w:rsidRDefault="003C322E" w:rsidP="003C322E">
            <w:pPr>
              <w:suppressAutoHyphens w:val="0"/>
              <w:spacing w:line="240" w:lineRule="auto"/>
              <w:rPr>
                <w:rFonts w:eastAsia="MS Mincho"/>
                <w:lang w:val="en-US" w:eastAsia="ja-JP"/>
              </w:rPr>
            </w:pPr>
            <w:proofErr w:type="spellStart"/>
            <w:r w:rsidRPr="003C322E">
              <w:rPr>
                <w:rFonts w:eastAsia="MS Mincho"/>
                <w:lang w:val="en-US" w:eastAsia="ja-JP"/>
              </w:rPr>
              <w:t>Mikko</w:t>
            </w:r>
            <w:proofErr w:type="spellEnd"/>
            <w:r w:rsidRPr="003C322E">
              <w:rPr>
                <w:rFonts w:eastAsia="MS Mincho"/>
                <w:lang w:val="en-US" w:eastAsia="ja-JP"/>
              </w:rPr>
              <w:t xml:space="preserve"> </w:t>
            </w:r>
            <w:proofErr w:type="spellStart"/>
            <w:r w:rsidRPr="003C322E">
              <w:rPr>
                <w:rFonts w:eastAsia="MS Mincho"/>
                <w:lang w:val="en-US" w:eastAsia="ja-JP"/>
              </w:rPr>
              <w:t>Ojala</w:t>
            </w:r>
            <w:proofErr w:type="spellEnd"/>
          </w:p>
        </w:tc>
        <w:tc>
          <w:tcPr>
            <w:tcW w:w="1895" w:type="dxa"/>
            <w:shd w:val="clear" w:color="auto" w:fill="auto"/>
            <w:noWrap/>
            <w:vAlign w:val="bottom"/>
          </w:tcPr>
          <w:p w14:paraId="4EB465FE" w14:textId="77777777" w:rsidR="003C322E" w:rsidRPr="003C322E" w:rsidRDefault="003C322E" w:rsidP="003C322E">
            <w:pPr>
              <w:suppressAutoHyphens w:val="0"/>
              <w:spacing w:line="240" w:lineRule="auto"/>
              <w:rPr>
                <w:lang w:val="en-US"/>
              </w:rPr>
            </w:pPr>
            <w:r w:rsidRPr="003C322E">
              <w:rPr>
                <w:lang w:val="en-US"/>
              </w:rPr>
              <w:t>Finland</w:t>
            </w:r>
          </w:p>
        </w:tc>
        <w:tc>
          <w:tcPr>
            <w:tcW w:w="4422" w:type="dxa"/>
            <w:shd w:val="clear" w:color="auto" w:fill="auto"/>
            <w:noWrap/>
            <w:vAlign w:val="bottom"/>
          </w:tcPr>
          <w:p w14:paraId="79B990D8" w14:textId="77777777" w:rsidR="003C322E" w:rsidRPr="003C322E" w:rsidRDefault="003C322E" w:rsidP="003C322E">
            <w:pPr>
              <w:suppressAutoHyphens w:val="0"/>
              <w:spacing w:line="240" w:lineRule="auto"/>
              <w:rPr>
                <w:lang w:val="en-US"/>
              </w:rPr>
            </w:pPr>
            <w:r w:rsidRPr="003C322E">
              <w:rPr>
                <w:lang w:val="en-US"/>
              </w:rPr>
              <w:t>mikko.ojala@tukes.fi</w:t>
            </w:r>
          </w:p>
        </w:tc>
      </w:tr>
      <w:tr w:rsidR="003C322E" w:rsidRPr="003C322E" w14:paraId="6B625CDF" w14:textId="77777777" w:rsidTr="006F2C5A">
        <w:trPr>
          <w:trHeight w:val="255"/>
          <w:jc w:val="center"/>
        </w:trPr>
        <w:tc>
          <w:tcPr>
            <w:tcW w:w="2774" w:type="dxa"/>
            <w:shd w:val="clear" w:color="auto" w:fill="auto"/>
            <w:noWrap/>
            <w:vAlign w:val="bottom"/>
          </w:tcPr>
          <w:p w14:paraId="380814B3" w14:textId="77777777" w:rsidR="003C322E" w:rsidRPr="003C322E" w:rsidRDefault="003C322E" w:rsidP="003C322E">
            <w:pPr>
              <w:suppressAutoHyphens w:val="0"/>
              <w:spacing w:line="240" w:lineRule="auto"/>
              <w:rPr>
                <w:rFonts w:eastAsia="MS Mincho"/>
                <w:lang w:val="en-US" w:eastAsia="ja-JP"/>
              </w:rPr>
            </w:pPr>
            <w:r w:rsidRPr="003C322E">
              <w:rPr>
                <w:rFonts w:eastAsia="MS Mincho"/>
                <w:lang w:val="en-US" w:eastAsia="ja-JP"/>
              </w:rPr>
              <w:t xml:space="preserve">Lionel </w:t>
            </w:r>
            <w:proofErr w:type="spellStart"/>
            <w:r w:rsidRPr="003C322E">
              <w:rPr>
                <w:rFonts w:eastAsia="MS Mincho"/>
                <w:lang w:val="en-US" w:eastAsia="ja-JP"/>
              </w:rPr>
              <w:t>Aufauvre</w:t>
            </w:r>
            <w:proofErr w:type="spellEnd"/>
          </w:p>
        </w:tc>
        <w:tc>
          <w:tcPr>
            <w:tcW w:w="1895" w:type="dxa"/>
            <w:shd w:val="clear" w:color="auto" w:fill="auto"/>
            <w:noWrap/>
            <w:vAlign w:val="bottom"/>
          </w:tcPr>
          <w:p w14:paraId="290EDF43" w14:textId="77777777" w:rsidR="003C322E" w:rsidRPr="003C322E" w:rsidRDefault="003C322E" w:rsidP="003C322E">
            <w:pPr>
              <w:suppressAutoHyphens w:val="0"/>
              <w:spacing w:line="240" w:lineRule="auto"/>
              <w:rPr>
                <w:lang w:val="en-US"/>
              </w:rPr>
            </w:pPr>
            <w:r w:rsidRPr="003C322E">
              <w:rPr>
                <w:lang w:val="en-US"/>
              </w:rPr>
              <w:t>France</w:t>
            </w:r>
          </w:p>
        </w:tc>
        <w:tc>
          <w:tcPr>
            <w:tcW w:w="4422" w:type="dxa"/>
            <w:shd w:val="clear" w:color="auto" w:fill="auto"/>
            <w:noWrap/>
            <w:vAlign w:val="bottom"/>
          </w:tcPr>
          <w:p w14:paraId="3A97C4B6" w14:textId="77777777" w:rsidR="003C322E" w:rsidRPr="003C322E" w:rsidRDefault="003C322E" w:rsidP="003C322E">
            <w:pPr>
              <w:suppressAutoHyphens w:val="0"/>
              <w:spacing w:line="240" w:lineRule="auto"/>
              <w:rPr>
                <w:lang w:val="en-US"/>
              </w:rPr>
            </w:pPr>
            <w:r w:rsidRPr="003C322E">
              <w:rPr>
                <w:lang w:val="en-US"/>
              </w:rPr>
              <w:t>lionel.aufauvre@ineris.fr</w:t>
            </w:r>
          </w:p>
        </w:tc>
      </w:tr>
      <w:tr w:rsidR="003C322E" w:rsidRPr="003C322E" w14:paraId="4F8CF385" w14:textId="77777777" w:rsidTr="006F2C5A">
        <w:trPr>
          <w:trHeight w:val="255"/>
          <w:jc w:val="center"/>
        </w:trPr>
        <w:tc>
          <w:tcPr>
            <w:tcW w:w="2774" w:type="dxa"/>
            <w:shd w:val="clear" w:color="auto" w:fill="auto"/>
            <w:noWrap/>
            <w:vAlign w:val="bottom"/>
          </w:tcPr>
          <w:p w14:paraId="3791C049" w14:textId="77777777" w:rsidR="003C322E" w:rsidRPr="003C322E" w:rsidRDefault="003C322E" w:rsidP="003C322E">
            <w:pPr>
              <w:suppressAutoHyphens w:val="0"/>
              <w:spacing w:line="240" w:lineRule="auto"/>
              <w:rPr>
                <w:rFonts w:eastAsia="MS Mincho"/>
                <w:lang w:val="en-US" w:eastAsia="ja-JP"/>
              </w:rPr>
            </w:pPr>
            <w:r w:rsidRPr="003C322E">
              <w:rPr>
                <w:rFonts w:eastAsia="MS Mincho"/>
                <w:lang w:val="en-US" w:eastAsia="ja-JP"/>
              </w:rPr>
              <w:t xml:space="preserve">Christian </w:t>
            </w:r>
            <w:proofErr w:type="spellStart"/>
            <w:r w:rsidRPr="003C322E">
              <w:rPr>
                <w:rFonts w:eastAsia="MS Mincho"/>
                <w:lang w:val="en-US" w:eastAsia="ja-JP"/>
              </w:rPr>
              <w:t>Michot</w:t>
            </w:r>
            <w:proofErr w:type="spellEnd"/>
          </w:p>
        </w:tc>
        <w:tc>
          <w:tcPr>
            <w:tcW w:w="1895" w:type="dxa"/>
            <w:shd w:val="clear" w:color="auto" w:fill="auto"/>
            <w:noWrap/>
            <w:vAlign w:val="bottom"/>
          </w:tcPr>
          <w:p w14:paraId="6D8A924C" w14:textId="77777777" w:rsidR="003C322E" w:rsidRPr="003C322E" w:rsidRDefault="003C322E" w:rsidP="003C322E">
            <w:pPr>
              <w:suppressAutoHyphens w:val="0"/>
              <w:spacing w:line="240" w:lineRule="auto"/>
              <w:rPr>
                <w:lang w:val="en-US"/>
              </w:rPr>
            </w:pPr>
            <w:r w:rsidRPr="003C322E">
              <w:rPr>
                <w:lang w:val="en-US"/>
              </w:rPr>
              <w:t>France</w:t>
            </w:r>
          </w:p>
        </w:tc>
        <w:tc>
          <w:tcPr>
            <w:tcW w:w="4422" w:type="dxa"/>
            <w:shd w:val="clear" w:color="auto" w:fill="auto"/>
            <w:noWrap/>
            <w:vAlign w:val="bottom"/>
          </w:tcPr>
          <w:p w14:paraId="781B6F62" w14:textId="77777777" w:rsidR="003C322E" w:rsidRPr="003C322E" w:rsidRDefault="003C322E" w:rsidP="003C322E">
            <w:pPr>
              <w:suppressAutoHyphens w:val="0"/>
              <w:spacing w:line="240" w:lineRule="auto"/>
              <w:rPr>
                <w:lang w:val="en-US"/>
              </w:rPr>
            </w:pPr>
            <w:r w:rsidRPr="003C322E">
              <w:rPr>
                <w:lang w:val="en-US"/>
              </w:rPr>
              <w:t>christian.michot@ineris.fr</w:t>
            </w:r>
          </w:p>
        </w:tc>
      </w:tr>
      <w:tr w:rsidR="003C322E" w:rsidRPr="003C322E" w14:paraId="1A7AEB8D" w14:textId="77777777" w:rsidTr="006F2C5A">
        <w:trPr>
          <w:trHeight w:val="255"/>
          <w:jc w:val="center"/>
        </w:trPr>
        <w:tc>
          <w:tcPr>
            <w:tcW w:w="2774" w:type="dxa"/>
            <w:shd w:val="clear" w:color="auto" w:fill="auto"/>
            <w:noWrap/>
            <w:vAlign w:val="bottom"/>
          </w:tcPr>
          <w:p w14:paraId="6D6704F6" w14:textId="77777777" w:rsidR="003C322E" w:rsidRPr="003C322E" w:rsidRDefault="003C322E" w:rsidP="003C322E">
            <w:pPr>
              <w:suppressAutoHyphens w:val="0"/>
              <w:spacing w:line="240" w:lineRule="auto"/>
              <w:rPr>
                <w:rFonts w:eastAsia="MS Mincho"/>
                <w:lang w:val="en-US" w:eastAsia="ja-JP"/>
              </w:rPr>
            </w:pPr>
            <w:r w:rsidRPr="003C322E">
              <w:rPr>
                <w:rFonts w:eastAsia="MS Mincho"/>
                <w:lang w:val="en-US" w:eastAsia="ja-JP"/>
              </w:rPr>
              <w:t>Heike Michael-Schulz</w:t>
            </w:r>
          </w:p>
        </w:tc>
        <w:tc>
          <w:tcPr>
            <w:tcW w:w="1895" w:type="dxa"/>
            <w:shd w:val="clear" w:color="auto" w:fill="auto"/>
            <w:noWrap/>
            <w:vAlign w:val="bottom"/>
          </w:tcPr>
          <w:p w14:paraId="243654CB" w14:textId="77777777" w:rsidR="003C322E" w:rsidRPr="003C322E" w:rsidRDefault="003C322E" w:rsidP="003C322E">
            <w:pPr>
              <w:suppressAutoHyphens w:val="0"/>
              <w:spacing w:line="240" w:lineRule="auto"/>
              <w:rPr>
                <w:lang w:val="en-US"/>
              </w:rPr>
            </w:pPr>
            <w:r w:rsidRPr="003C322E">
              <w:rPr>
                <w:lang w:val="en-US"/>
              </w:rPr>
              <w:t>Germany</w:t>
            </w:r>
          </w:p>
        </w:tc>
        <w:tc>
          <w:tcPr>
            <w:tcW w:w="4422" w:type="dxa"/>
            <w:shd w:val="clear" w:color="auto" w:fill="auto"/>
            <w:noWrap/>
            <w:vAlign w:val="bottom"/>
          </w:tcPr>
          <w:p w14:paraId="535FBA4D" w14:textId="77777777" w:rsidR="003C322E" w:rsidRPr="003C322E" w:rsidRDefault="003C322E" w:rsidP="003C322E">
            <w:pPr>
              <w:suppressAutoHyphens w:val="0"/>
              <w:spacing w:line="240" w:lineRule="auto"/>
              <w:rPr>
                <w:lang w:val="en-US"/>
              </w:rPr>
            </w:pPr>
            <w:r w:rsidRPr="003C322E">
              <w:rPr>
                <w:lang w:val="en-US"/>
              </w:rPr>
              <w:t>heike.michael-schulz@bam.de</w:t>
            </w:r>
          </w:p>
        </w:tc>
      </w:tr>
      <w:tr w:rsidR="003C322E" w:rsidRPr="003C322E" w14:paraId="4D8A6BF5" w14:textId="77777777" w:rsidTr="006F2C5A">
        <w:trPr>
          <w:trHeight w:val="255"/>
          <w:jc w:val="center"/>
        </w:trPr>
        <w:tc>
          <w:tcPr>
            <w:tcW w:w="2774" w:type="dxa"/>
            <w:shd w:val="clear" w:color="auto" w:fill="auto"/>
            <w:noWrap/>
            <w:vAlign w:val="bottom"/>
          </w:tcPr>
          <w:p w14:paraId="78AB2FF3" w14:textId="77777777" w:rsidR="003C322E" w:rsidRPr="003C322E" w:rsidRDefault="003C322E" w:rsidP="003C322E">
            <w:pPr>
              <w:suppressAutoHyphens w:val="0"/>
              <w:spacing w:line="240" w:lineRule="auto"/>
              <w:rPr>
                <w:rFonts w:eastAsia="MS Mincho"/>
                <w:lang w:val="en-US" w:eastAsia="ja-JP"/>
              </w:rPr>
            </w:pPr>
            <w:r w:rsidRPr="003C322E">
              <w:rPr>
                <w:rFonts w:eastAsia="MS Mincho"/>
                <w:lang w:val="en-US" w:eastAsia="ja-JP"/>
              </w:rPr>
              <w:t xml:space="preserve">Alexander von </w:t>
            </w:r>
            <w:proofErr w:type="spellStart"/>
            <w:r w:rsidRPr="003C322E">
              <w:rPr>
                <w:rFonts w:eastAsia="MS Mincho"/>
                <w:lang w:val="en-US" w:eastAsia="ja-JP"/>
              </w:rPr>
              <w:t>Oertzen</w:t>
            </w:r>
            <w:proofErr w:type="spellEnd"/>
          </w:p>
        </w:tc>
        <w:tc>
          <w:tcPr>
            <w:tcW w:w="1895" w:type="dxa"/>
            <w:shd w:val="clear" w:color="auto" w:fill="auto"/>
            <w:noWrap/>
            <w:vAlign w:val="bottom"/>
          </w:tcPr>
          <w:p w14:paraId="5A5B722A" w14:textId="77777777" w:rsidR="003C322E" w:rsidRPr="003C322E" w:rsidRDefault="003C322E" w:rsidP="003C322E">
            <w:pPr>
              <w:suppressAutoHyphens w:val="0"/>
              <w:spacing w:line="240" w:lineRule="auto"/>
              <w:rPr>
                <w:lang w:val="en-US"/>
              </w:rPr>
            </w:pPr>
            <w:r w:rsidRPr="003C322E">
              <w:rPr>
                <w:lang w:val="en-US"/>
              </w:rPr>
              <w:t>Germany</w:t>
            </w:r>
          </w:p>
        </w:tc>
        <w:tc>
          <w:tcPr>
            <w:tcW w:w="4422" w:type="dxa"/>
            <w:shd w:val="clear" w:color="auto" w:fill="auto"/>
            <w:noWrap/>
            <w:vAlign w:val="bottom"/>
          </w:tcPr>
          <w:p w14:paraId="01379CE3" w14:textId="77777777" w:rsidR="003C322E" w:rsidRPr="003C322E" w:rsidRDefault="003C322E" w:rsidP="003C322E">
            <w:pPr>
              <w:suppressAutoHyphens w:val="0"/>
              <w:spacing w:line="240" w:lineRule="auto"/>
              <w:rPr>
                <w:lang w:val="en-US"/>
              </w:rPr>
            </w:pPr>
            <w:r w:rsidRPr="003C322E">
              <w:rPr>
                <w:lang w:val="en-US"/>
              </w:rPr>
              <w:t>alexander.von_oertzen@bam.de</w:t>
            </w:r>
          </w:p>
        </w:tc>
      </w:tr>
      <w:tr w:rsidR="003C322E" w:rsidRPr="003C322E" w14:paraId="58752B34" w14:textId="77777777" w:rsidTr="006F2C5A">
        <w:trPr>
          <w:trHeight w:val="255"/>
          <w:jc w:val="center"/>
        </w:trPr>
        <w:tc>
          <w:tcPr>
            <w:tcW w:w="2774" w:type="dxa"/>
            <w:shd w:val="clear" w:color="auto" w:fill="auto"/>
            <w:noWrap/>
            <w:vAlign w:val="bottom"/>
          </w:tcPr>
          <w:p w14:paraId="525C7863" w14:textId="77777777" w:rsidR="003C322E" w:rsidRPr="003C322E" w:rsidRDefault="003C322E" w:rsidP="003C322E">
            <w:pPr>
              <w:suppressAutoHyphens w:val="0"/>
              <w:spacing w:line="240" w:lineRule="auto"/>
              <w:rPr>
                <w:rFonts w:eastAsia="MS Mincho"/>
                <w:lang w:val="en-US" w:eastAsia="ja-JP"/>
              </w:rPr>
            </w:pPr>
            <w:r w:rsidRPr="003C322E">
              <w:rPr>
                <w:rFonts w:eastAsia="MS Mincho"/>
                <w:lang w:val="en-US" w:eastAsia="ja-JP"/>
              </w:rPr>
              <w:t xml:space="preserve">Shu </w:t>
            </w:r>
            <w:proofErr w:type="spellStart"/>
            <w:r w:rsidRPr="003C322E">
              <w:rPr>
                <w:rFonts w:eastAsia="MS Mincho"/>
                <w:lang w:val="en-US" w:eastAsia="ja-JP"/>
              </w:rPr>
              <w:t>Usuba</w:t>
            </w:r>
            <w:proofErr w:type="spellEnd"/>
          </w:p>
        </w:tc>
        <w:tc>
          <w:tcPr>
            <w:tcW w:w="1895" w:type="dxa"/>
            <w:shd w:val="clear" w:color="auto" w:fill="auto"/>
            <w:noWrap/>
            <w:vAlign w:val="bottom"/>
          </w:tcPr>
          <w:p w14:paraId="40833FDD" w14:textId="77777777" w:rsidR="003C322E" w:rsidRPr="003C322E" w:rsidRDefault="003C322E" w:rsidP="003C322E">
            <w:pPr>
              <w:suppressAutoHyphens w:val="0"/>
              <w:spacing w:line="240" w:lineRule="auto"/>
              <w:rPr>
                <w:lang w:val="en-US"/>
              </w:rPr>
            </w:pPr>
            <w:r w:rsidRPr="003C322E">
              <w:rPr>
                <w:lang w:val="en-US"/>
              </w:rPr>
              <w:t>Japan</w:t>
            </w:r>
          </w:p>
        </w:tc>
        <w:tc>
          <w:tcPr>
            <w:tcW w:w="4422" w:type="dxa"/>
            <w:shd w:val="clear" w:color="auto" w:fill="auto"/>
            <w:noWrap/>
            <w:vAlign w:val="bottom"/>
          </w:tcPr>
          <w:p w14:paraId="0635C938" w14:textId="77777777" w:rsidR="003C322E" w:rsidRPr="003C322E" w:rsidRDefault="003C322E" w:rsidP="003C322E">
            <w:pPr>
              <w:suppressAutoHyphens w:val="0"/>
              <w:spacing w:line="240" w:lineRule="auto"/>
              <w:rPr>
                <w:lang w:val="en-US"/>
              </w:rPr>
            </w:pPr>
            <w:r w:rsidRPr="003C322E">
              <w:rPr>
                <w:lang w:val="en-US"/>
              </w:rPr>
              <w:t>s-usuba@aist.go.jp</w:t>
            </w:r>
          </w:p>
        </w:tc>
      </w:tr>
      <w:tr w:rsidR="003C322E" w:rsidRPr="003C322E" w14:paraId="226ADAFE" w14:textId="77777777" w:rsidTr="006F2C5A">
        <w:trPr>
          <w:trHeight w:val="255"/>
          <w:jc w:val="center"/>
        </w:trPr>
        <w:tc>
          <w:tcPr>
            <w:tcW w:w="2774" w:type="dxa"/>
            <w:shd w:val="clear" w:color="auto" w:fill="auto"/>
            <w:noWrap/>
            <w:vAlign w:val="bottom"/>
          </w:tcPr>
          <w:p w14:paraId="22075D22" w14:textId="77777777" w:rsidR="003C322E" w:rsidRPr="003C322E" w:rsidRDefault="003C322E" w:rsidP="003C322E">
            <w:pPr>
              <w:suppressAutoHyphens w:val="0"/>
              <w:spacing w:line="240" w:lineRule="auto"/>
              <w:rPr>
                <w:rFonts w:eastAsia="MS Mincho"/>
                <w:lang w:val="en-US" w:eastAsia="ja-JP"/>
              </w:rPr>
            </w:pPr>
            <w:r w:rsidRPr="003C322E">
              <w:rPr>
                <w:rFonts w:eastAsia="MS Mincho"/>
                <w:lang w:val="en-US" w:eastAsia="ja-JP"/>
              </w:rPr>
              <w:t>Ed de Jong</w:t>
            </w:r>
          </w:p>
        </w:tc>
        <w:tc>
          <w:tcPr>
            <w:tcW w:w="1895" w:type="dxa"/>
            <w:shd w:val="clear" w:color="auto" w:fill="auto"/>
            <w:noWrap/>
            <w:vAlign w:val="bottom"/>
          </w:tcPr>
          <w:p w14:paraId="0F8CA2C4" w14:textId="77777777" w:rsidR="003C322E" w:rsidRPr="003C322E" w:rsidRDefault="003C322E" w:rsidP="003C322E">
            <w:pPr>
              <w:suppressAutoHyphens w:val="0"/>
              <w:spacing w:line="240" w:lineRule="auto"/>
              <w:rPr>
                <w:lang w:val="en-US"/>
              </w:rPr>
            </w:pPr>
            <w:r w:rsidRPr="003C322E">
              <w:rPr>
                <w:lang w:val="en-US"/>
              </w:rPr>
              <w:t>Netherlands</w:t>
            </w:r>
          </w:p>
        </w:tc>
        <w:tc>
          <w:tcPr>
            <w:tcW w:w="4422" w:type="dxa"/>
            <w:shd w:val="clear" w:color="auto" w:fill="auto"/>
            <w:noWrap/>
            <w:vAlign w:val="bottom"/>
          </w:tcPr>
          <w:p w14:paraId="214D02A3" w14:textId="77777777" w:rsidR="003C322E" w:rsidRPr="003C322E" w:rsidRDefault="003C322E" w:rsidP="003C322E">
            <w:pPr>
              <w:suppressAutoHyphens w:val="0"/>
              <w:spacing w:line="240" w:lineRule="auto"/>
              <w:rPr>
                <w:lang w:val="en-US"/>
              </w:rPr>
            </w:pPr>
            <w:r w:rsidRPr="003C322E">
              <w:rPr>
                <w:lang w:val="en-US"/>
              </w:rPr>
              <w:t>ed.dejong@tno.nl</w:t>
            </w:r>
          </w:p>
        </w:tc>
      </w:tr>
      <w:tr w:rsidR="003C322E" w:rsidRPr="003C322E" w14:paraId="18B44D8D" w14:textId="77777777" w:rsidTr="006F2C5A">
        <w:trPr>
          <w:trHeight w:val="255"/>
          <w:jc w:val="center"/>
        </w:trPr>
        <w:tc>
          <w:tcPr>
            <w:tcW w:w="2774" w:type="dxa"/>
            <w:shd w:val="clear" w:color="auto" w:fill="auto"/>
            <w:noWrap/>
            <w:vAlign w:val="bottom"/>
          </w:tcPr>
          <w:p w14:paraId="78600974" w14:textId="77777777" w:rsidR="003C322E" w:rsidRPr="003C322E" w:rsidRDefault="003C322E" w:rsidP="003C322E">
            <w:pPr>
              <w:suppressAutoHyphens w:val="0"/>
              <w:spacing w:line="240" w:lineRule="auto"/>
              <w:rPr>
                <w:rFonts w:eastAsia="MS Mincho"/>
                <w:lang w:val="en-US" w:eastAsia="ja-JP"/>
              </w:rPr>
            </w:pPr>
            <w:proofErr w:type="spellStart"/>
            <w:r w:rsidRPr="003C322E">
              <w:rPr>
                <w:rFonts w:eastAsia="MS Mincho"/>
                <w:lang w:val="en-US" w:eastAsia="ja-JP"/>
              </w:rPr>
              <w:t>Soedesh</w:t>
            </w:r>
            <w:proofErr w:type="spellEnd"/>
            <w:r w:rsidRPr="003C322E">
              <w:rPr>
                <w:rFonts w:eastAsia="MS Mincho"/>
                <w:lang w:val="en-US" w:eastAsia="ja-JP"/>
              </w:rPr>
              <w:t xml:space="preserve"> Mahesh</w:t>
            </w:r>
          </w:p>
        </w:tc>
        <w:tc>
          <w:tcPr>
            <w:tcW w:w="1895" w:type="dxa"/>
            <w:shd w:val="clear" w:color="auto" w:fill="auto"/>
            <w:noWrap/>
            <w:vAlign w:val="bottom"/>
          </w:tcPr>
          <w:p w14:paraId="17579669" w14:textId="77777777" w:rsidR="003C322E" w:rsidRPr="003C322E" w:rsidRDefault="003C322E" w:rsidP="003C322E">
            <w:pPr>
              <w:suppressAutoHyphens w:val="0"/>
              <w:spacing w:line="240" w:lineRule="auto"/>
              <w:rPr>
                <w:lang w:val="en-US"/>
              </w:rPr>
            </w:pPr>
            <w:r w:rsidRPr="003C322E">
              <w:rPr>
                <w:lang w:val="en-US"/>
              </w:rPr>
              <w:t>Netherlands</w:t>
            </w:r>
          </w:p>
        </w:tc>
        <w:tc>
          <w:tcPr>
            <w:tcW w:w="4422" w:type="dxa"/>
            <w:shd w:val="clear" w:color="auto" w:fill="auto"/>
            <w:noWrap/>
            <w:vAlign w:val="bottom"/>
          </w:tcPr>
          <w:p w14:paraId="163209F2" w14:textId="77777777" w:rsidR="003C322E" w:rsidRPr="003C322E" w:rsidRDefault="003C322E" w:rsidP="003C322E">
            <w:pPr>
              <w:suppressAutoHyphens w:val="0"/>
              <w:spacing w:line="240" w:lineRule="auto"/>
              <w:rPr>
                <w:lang w:val="en-US"/>
              </w:rPr>
            </w:pPr>
            <w:r w:rsidRPr="003C322E">
              <w:rPr>
                <w:lang w:val="en-US"/>
              </w:rPr>
              <w:t>soedesh.mahesh@rivm.nl</w:t>
            </w:r>
          </w:p>
        </w:tc>
      </w:tr>
      <w:tr w:rsidR="003C322E" w:rsidRPr="003C322E" w14:paraId="5C267FE9" w14:textId="77777777" w:rsidTr="006F2C5A">
        <w:trPr>
          <w:trHeight w:val="255"/>
          <w:jc w:val="center"/>
        </w:trPr>
        <w:tc>
          <w:tcPr>
            <w:tcW w:w="2774" w:type="dxa"/>
            <w:shd w:val="clear" w:color="auto" w:fill="auto"/>
            <w:noWrap/>
            <w:vAlign w:val="bottom"/>
          </w:tcPr>
          <w:p w14:paraId="580FDC62" w14:textId="77777777" w:rsidR="003C322E" w:rsidRPr="003C322E" w:rsidRDefault="003C322E" w:rsidP="003C322E">
            <w:pPr>
              <w:suppressAutoHyphens w:val="0"/>
              <w:spacing w:line="240" w:lineRule="auto"/>
              <w:rPr>
                <w:rFonts w:eastAsia="MS Mincho"/>
                <w:lang w:val="en-US" w:eastAsia="ja-JP"/>
              </w:rPr>
            </w:pPr>
            <w:r w:rsidRPr="003C322E">
              <w:rPr>
                <w:rFonts w:eastAsia="MS Mincho"/>
                <w:lang w:val="en-US" w:eastAsia="ja-JP"/>
              </w:rPr>
              <w:t>Peter Dawson</w:t>
            </w:r>
          </w:p>
        </w:tc>
        <w:tc>
          <w:tcPr>
            <w:tcW w:w="1895" w:type="dxa"/>
            <w:shd w:val="clear" w:color="auto" w:fill="auto"/>
            <w:noWrap/>
            <w:vAlign w:val="bottom"/>
          </w:tcPr>
          <w:p w14:paraId="73868459" w14:textId="77777777" w:rsidR="003C322E" w:rsidRPr="003C322E" w:rsidRDefault="003C322E" w:rsidP="003C322E">
            <w:pPr>
              <w:suppressAutoHyphens w:val="0"/>
              <w:spacing w:line="240" w:lineRule="auto"/>
              <w:rPr>
                <w:lang w:val="en-US"/>
              </w:rPr>
            </w:pPr>
            <w:r w:rsidRPr="003C322E">
              <w:rPr>
                <w:lang w:val="en-US"/>
              </w:rPr>
              <w:t>New Zealand</w:t>
            </w:r>
          </w:p>
        </w:tc>
        <w:tc>
          <w:tcPr>
            <w:tcW w:w="4422" w:type="dxa"/>
            <w:shd w:val="clear" w:color="auto" w:fill="auto"/>
            <w:noWrap/>
            <w:vAlign w:val="bottom"/>
          </w:tcPr>
          <w:p w14:paraId="0A9047FE" w14:textId="77777777" w:rsidR="003C322E" w:rsidRPr="003C322E" w:rsidRDefault="003C322E" w:rsidP="003C322E">
            <w:pPr>
              <w:suppressAutoHyphens w:val="0"/>
              <w:spacing w:line="240" w:lineRule="auto"/>
              <w:rPr>
                <w:lang w:val="en-US"/>
              </w:rPr>
            </w:pPr>
            <w:r w:rsidRPr="003C322E">
              <w:rPr>
                <w:lang w:val="en-US"/>
              </w:rPr>
              <w:t>peter.dawson@epa.govt.nz</w:t>
            </w:r>
          </w:p>
        </w:tc>
      </w:tr>
      <w:tr w:rsidR="003C322E" w:rsidRPr="003C322E" w14:paraId="76D78662" w14:textId="77777777" w:rsidTr="006F2C5A">
        <w:trPr>
          <w:trHeight w:val="255"/>
          <w:jc w:val="center"/>
        </w:trPr>
        <w:tc>
          <w:tcPr>
            <w:tcW w:w="2774" w:type="dxa"/>
            <w:shd w:val="clear" w:color="auto" w:fill="auto"/>
            <w:noWrap/>
            <w:vAlign w:val="bottom"/>
          </w:tcPr>
          <w:p w14:paraId="4C060707" w14:textId="77777777" w:rsidR="003C322E" w:rsidRPr="003C322E" w:rsidRDefault="003C322E" w:rsidP="003C322E">
            <w:pPr>
              <w:suppressAutoHyphens w:val="0"/>
              <w:spacing w:line="240" w:lineRule="auto"/>
              <w:rPr>
                <w:rFonts w:eastAsia="MS Mincho"/>
                <w:lang w:val="en-US" w:eastAsia="ja-JP"/>
              </w:rPr>
            </w:pPr>
            <w:proofErr w:type="spellStart"/>
            <w:r w:rsidRPr="003C322E">
              <w:rPr>
                <w:rFonts w:eastAsia="MS Mincho"/>
                <w:lang w:val="en-US" w:eastAsia="ja-JP"/>
              </w:rPr>
              <w:t>Guro</w:t>
            </w:r>
            <w:proofErr w:type="spellEnd"/>
            <w:r w:rsidRPr="003C322E">
              <w:rPr>
                <w:rFonts w:eastAsia="MS Mincho"/>
                <w:lang w:val="en-US" w:eastAsia="ja-JP"/>
              </w:rPr>
              <w:t xml:space="preserve"> </w:t>
            </w:r>
            <w:proofErr w:type="spellStart"/>
            <w:r w:rsidRPr="003C322E">
              <w:rPr>
                <w:rFonts w:eastAsia="MS Mincho"/>
                <w:lang w:val="en-US" w:eastAsia="ja-JP"/>
              </w:rPr>
              <w:t>Blakstad</w:t>
            </w:r>
            <w:proofErr w:type="spellEnd"/>
          </w:p>
        </w:tc>
        <w:tc>
          <w:tcPr>
            <w:tcW w:w="1895" w:type="dxa"/>
            <w:shd w:val="clear" w:color="auto" w:fill="auto"/>
            <w:noWrap/>
            <w:vAlign w:val="bottom"/>
          </w:tcPr>
          <w:p w14:paraId="1E487B46" w14:textId="77777777" w:rsidR="003C322E" w:rsidRPr="003C322E" w:rsidRDefault="003C322E" w:rsidP="003C322E">
            <w:pPr>
              <w:suppressAutoHyphens w:val="0"/>
              <w:spacing w:line="240" w:lineRule="auto"/>
              <w:rPr>
                <w:lang w:val="en-US"/>
              </w:rPr>
            </w:pPr>
            <w:r w:rsidRPr="003C322E">
              <w:rPr>
                <w:lang w:val="en-US"/>
              </w:rPr>
              <w:t>Norway</w:t>
            </w:r>
          </w:p>
        </w:tc>
        <w:tc>
          <w:tcPr>
            <w:tcW w:w="4422" w:type="dxa"/>
            <w:shd w:val="clear" w:color="auto" w:fill="auto"/>
            <w:noWrap/>
            <w:vAlign w:val="bottom"/>
          </w:tcPr>
          <w:p w14:paraId="5DADFD33" w14:textId="77777777" w:rsidR="003C322E" w:rsidRPr="003C322E" w:rsidRDefault="003C322E" w:rsidP="003C322E">
            <w:pPr>
              <w:suppressAutoHyphens w:val="0"/>
              <w:spacing w:line="240" w:lineRule="auto"/>
              <w:rPr>
                <w:lang w:val="en-US"/>
              </w:rPr>
            </w:pPr>
            <w:r w:rsidRPr="003C322E">
              <w:rPr>
                <w:lang w:val="en-US"/>
              </w:rPr>
              <w:t>guro.blakstad@dsb.no</w:t>
            </w:r>
          </w:p>
        </w:tc>
      </w:tr>
      <w:tr w:rsidR="003C322E" w:rsidRPr="003C322E" w14:paraId="73A2CF5A" w14:textId="77777777" w:rsidTr="006F2C5A">
        <w:trPr>
          <w:trHeight w:val="255"/>
          <w:jc w:val="center"/>
        </w:trPr>
        <w:tc>
          <w:tcPr>
            <w:tcW w:w="2774" w:type="dxa"/>
            <w:shd w:val="clear" w:color="auto" w:fill="auto"/>
            <w:noWrap/>
            <w:vAlign w:val="bottom"/>
          </w:tcPr>
          <w:p w14:paraId="454B5D48" w14:textId="77777777" w:rsidR="003C322E" w:rsidRPr="003C322E" w:rsidRDefault="003C322E" w:rsidP="003C322E">
            <w:pPr>
              <w:suppressAutoHyphens w:val="0"/>
              <w:spacing w:line="240" w:lineRule="auto"/>
              <w:rPr>
                <w:rFonts w:eastAsia="MS Mincho"/>
                <w:lang w:val="en-US" w:eastAsia="ja-JP"/>
              </w:rPr>
            </w:pPr>
            <w:r w:rsidRPr="003C322E">
              <w:rPr>
                <w:rFonts w:eastAsia="MS Mincho"/>
                <w:lang w:val="en-US" w:eastAsia="ja-JP"/>
              </w:rPr>
              <w:t xml:space="preserve">Bjorn </w:t>
            </w:r>
            <w:proofErr w:type="spellStart"/>
            <w:r w:rsidRPr="003C322E">
              <w:rPr>
                <w:rFonts w:eastAsia="MS Mincho"/>
                <w:lang w:val="en-US" w:eastAsia="ja-JP"/>
              </w:rPr>
              <w:t>Arnfinn</w:t>
            </w:r>
            <w:proofErr w:type="spellEnd"/>
            <w:r w:rsidRPr="003C322E">
              <w:rPr>
                <w:rFonts w:eastAsia="MS Mincho"/>
                <w:lang w:val="en-US" w:eastAsia="ja-JP"/>
              </w:rPr>
              <w:t xml:space="preserve"> </w:t>
            </w:r>
            <w:proofErr w:type="spellStart"/>
            <w:r w:rsidRPr="003C322E">
              <w:rPr>
                <w:rFonts w:eastAsia="MS Mincho"/>
                <w:lang w:val="en-US" w:eastAsia="ja-JP"/>
              </w:rPr>
              <w:t>Gregertsen</w:t>
            </w:r>
            <w:proofErr w:type="spellEnd"/>
          </w:p>
        </w:tc>
        <w:tc>
          <w:tcPr>
            <w:tcW w:w="1895" w:type="dxa"/>
            <w:shd w:val="clear" w:color="auto" w:fill="auto"/>
            <w:noWrap/>
            <w:vAlign w:val="bottom"/>
          </w:tcPr>
          <w:p w14:paraId="77465A69" w14:textId="77777777" w:rsidR="003C322E" w:rsidRPr="003C322E" w:rsidRDefault="003C322E" w:rsidP="003C322E">
            <w:pPr>
              <w:suppressAutoHyphens w:val="0"/>
              <w:spacing w:line="240" w:lineRule="auto"/>
              <w:rPr>
                <w:lang w:val="en-US"/>
              </w:rPr>
            </w:pPr>
            <w:r w:rsidRPr="003C322E">
              <w:rPr>
                <w:lang w:val="en-US"/>
              </w:rPr>
              <w:t>Norway</w:t>
            </w:r>
          </w:p>
        </w:tc>
        <w:tc>
          <w:tcPr>
            <w:tcW w:w="4422" w:type="dxa"/>
            <w:shd w:val="clear" w:color="auto" w:fill="auto"/>
            <w:noWrap/>
            <w:vAlign w:val="bottom"/>
          </w:tcPr>
          <w:p w14:paraId="61076461" w14:textId="77777777" w:rsidR="003C322E" w:rsidRPr="003C322E" w:rsidRDefault="003C322E" w:rsidP="003C322E">
            <w:pPr>
              <w:suppressAutoHyphens w:val="0"/>
              <w:spacing w:line="240" w:lineRule="auto"/>
              <w:rPr>
                <w:lang w:val="en-US"/>
              </w:rPr>
            </w:pPr>
            <w:r w:rsidRPr="003C322E">
              <w:rPr>
                <w:lang w:val="en-US"/>
              </w:rPr>
              <w:t>bjorn.gregertsen@dsb.no</w:t>
            </w:r>
          </w:p>
        </w:tc>
      </w:tr>
      <w:tr w:rsidR="003C322E" w:rsidRPr="003C322E" w14:paraId="0C72395E" w14:textId="77777777" w:rsidTr="006F2C5A">
        <w:trPr>
          <w:trHeight w:val="255"/>
          <w:jc w:val="center"/>
        </w:trPr>
        <w:tc>
          <w:tcPr>
            <w:tcW w:w="2774" w:type="dxa"/>
            <w:shd w:val="clear" w:color="auto" w:fill="auto"/>
            <w:noWrap/>
            <w:vAlign w:val="bottom"/>
          </w:tcPr>
          <w:p w14:paraId="47F9A209" w14:textId="77777777" w:rsidR="003C322E" w:rsidRPr="003C322E" w:rsidRDefault="003C322E" w:rsidP="003C322E">
            <w:pPr>
              <w:suppressAutoHyphens w:val="0"/>
              <w:spacing w:line="240" w:lineRule="auto"/>
              <w:rPr>
                <w:rFonts w:eastAsia="MS Mincho"/>
                <w:lang w:val="en-US" w:eastAsia="ja-JP"/>
              </w:rPr>
            </w:pPr>
            <w:r w:rsidRPr="003C322E">
              <w:rPr>
                <w:rFonts w:eastAsia="MS Mincho"/>
                <w:lang w:val="en-US" w:eastAsia="ja-JP"/>
              </w:rPr>
              <w:t xml:space="preserve">Joanna </w:t>
            </w:r>
            <w:proofErr w:type="spellStart"/>
            <w:r w:rsidRPr="003C322E">
              <w:rPr>
                <w:rFonts w:eastAsia="MS Mincho"/>
                <w:lang w:val="en-US" w:eastAsia="ja-JP"/>
              </w:rPr>
              <w:t>Szczygielska</w:t>
            </w:r>
            <w:proofErr w:type="spellEnd"/>
          </w:p>
        </w:tc>
        <w:tc>
          <w:tcPr>
            <w:tcW w:w="1895" w:type="dxa"/>
            <w:shd w:val="clear" w:color="auto" w:fill="auto"/>
            <w:noWrap/>
            <w:vAlign w:val="bottom"/>
          </w:tcPr>
          <w:p w14:paraId="4ECA144D" w14:textId="77777777" w:rsidR="003C322E" w:rsidRPr="003C322E" w:rsidRDefault="003C322E" w:rsidP="003C322E">
            <w:pPr>
              <w:suppressAutoHyphens w:val="0"/>
              <w:spacing w:line="240" w:lineRule="auto"/>
              <w:rPr>
                <w:lang w:val="en-US"/>
              </w:rPr>
            </w:pPr>
            <w:r w:rsidRPr="003C322E">
              <w:rPr>
                <w:lang w:val="en-US"/>
              </w:rPr>
              <w:t>Poland</w:t>
            </w:r>
          </w:p>
        </w:tc>
        <w:tc>
          <w:tcPr>
            <w:tcW w:w="4422" w:type="dxa"/>
            <w:shd w:val="clear" w:color="auto" w:fill="auto"/>
            <w:noWrap/>
            <w:vAlign w:val="bottom"/>
          </w:tcPr>
          <w:p w14:paraId="3979B06E" w14:textId="77777777" w:rsidR="003C322E" w:rsidRPr="003C322E" w:rsidRDefault="003C322E" w:rsidP="003C322E">
            <w:pPr>
              <w:suppressAutoHyphens w:val="0"/>
              <w:spacing w:line="240" w:lineRule="auto"/>
              <w:rPr>
                <w:lang w:val="en-US"/>
              </w:rPr>
            </w:pPr>
            <w:r w:rsidRPr="003C322E">
              <w:rPr>
                <w:lang w:val="en-US"/>
              </w:rPr>
              <w:t>szczygielska@ipo.waw.pl</w:t>
            </w:r>
          </w:p>
        </w:tc>
      </w:tr>
      <w:tr w:rsidR="003C322E" w:rsidRPr="003C322E" w14:paraId="4F891ECF" w14:textId="77777777" w:rsidTr="006F2C5A">
        <w:trPr>
          <w:trHeight w:val="255"/>
          <w:jc w:val="center"/>
        </w:trPr>
        <w:tc>
          <w:tcPr>
            <w:tcW w:w="2774" w:type="dxa"/>
            <w:shd w:val="clear" w:color="auto" w:fill="auto"/>
            <w:noWrap/>
            <w:vAlign w:val="bottom"/>
          </w:tcPr>
          <w:p w14:paraId="150F709E" w14:textId="77777777" w:rsidR="003C322E" w:rsidRPr="003C322E" w:rsidRDefault="003C322E" w:rsidP="003C322E">
            <w:pPr>
              <w:suppressAutoHyphens w:val="0"/>
              <w:spacing w:line="240" w:lineRule="auto"/>
              <w:rPr>
                <w:rFonts w:eastAsia="MS Mincho"/>
                <w:lang w:val="en-US" w:eastAsia="ja-JP"/>
              </w:rPr>
            </w:pPr>
            <w:proofErr w:type="spellStart"/>
            <w:r w:rsidRPr="003C322E">
              <w:rPr>
                <w:rFonts w:eastAsia="MS Mincho"/>
                <w:lang w:val="en-US" w:eastAsia="ja-JP"/>
              </w:rPr>
              <w:t>Nicolae</w:t>
            </w:r>
            <w:proofErr w:type="spellEnd"/>
            <w:r w:rsidRPr="003C322E">
              <w:rPr>
                <w:rFonts w:eastAsia="MS Mincho"/>
                <w:lang w:val="en-US" w:eastAsia="ja-JP"/>
              </w:rPr>
              <w:t xml:space="preserve"> Mihai </w:t>
            </w:r>
            <w:proofErr w:type="spellStart"/>
            <w:r w:rsidRPr="003C322E">
              <w:rPr>
                <w:rFonts w:eastAsia="MS Mincho"/>
                <w:lang w:val="en-US" w:eastAsia="ja-JP"/>
              </w:rPr>
              <w:t>Cuciureanu</w:t>
            </w:r>
            <w:proofErr w:type="spellEnd"/>
          </w:p>
        </w:tc>
        <w:tc>
          <w:tcPr>
            <w:tcW w:w="1895" w:type="dxa"/>
            <w:shd w:val="clear" w:color="auto" w:fill="auto"/>
            <w:noWrap/>
            <w:vAlign w:val="bottom"/>
          </w:tcPr>
          <w:p w14:paraId="0C6009FC" w14:textId="77777777" w:rsidR="003C322E" w:rsidRPr="003C322E" w:rsidRDefault="003C322E" w:rsidP="003C322E">
            <w:pPr>
              <w:suppressAutoHyphens w:val="0"/>
              <w:spacing w:line="240" w:lineRule="auto"/>
              <w:rPr>
                <w:lang w:val="en-US"/>
              </w:rPr>
            </w:pPr>
            <w:r w:rsidRPr="003C322E">
              <w:rPr>
                <w:lang w:val="en-US"/>
              </w:rPr>
              <w:t>Romania</w:t>
            </w:r>
          </w:p>
        </w:tc>
        <w:tc>
          <w:tcPr>
            <w:tcW w:w="4422" w:type="dxa"/>
            <w:shd w:val="clear" w:color="auto" w:fill="auto"/>
            <w:noWrap/>
            <w:vAlign w:val="bottom"/>
          </w:tcPr>
          <w:p w14:paraId="5B6BBEF2" w14:textId="77777777" w:rsidR="003C322E" w:rsidRPr="003C322E" w:rsidRDefault="003C322E" w:rsidP="003C322E">
            <w:pPr>
              <w:suppressAutoHyphens w:val="0"/>
              <w:spacing w:line="240" w:lineRule="auto"/>
              <w:rPr>
                <w:lang w:val="en-US"/>
              </w:rPr>
            </w:pPr>
            <w:r w:rsidRPr="003C322E">
              <w:rPr>
                <w:lang w:val="en-US"/>
              </w:rPr>
              <w:t>adr@arr.ro</w:t>
            </w:r>
          </w:p>
        </w:tc>
      </w:tr>
      <w:tr w:rsidR="003C322E" w:rsidRPr="003C322E" w14:paraId="77D59FE8" w14:textId="77777777" w:rsidTr="006F2C5A">
        <w:trPr>
          <w:trHeight w:val="255"/>
          <w:jc w:val="center"/>
        </w:trPr>
        <w:tc>
          <w:tcPr>
            <w:tcW w:w="2774" w:type="dxa"/>
            <w:shd w:val="clear" w:color="auto" w:fill="auto"/>
            <w:noWrap/>
            <w:vAlign w:val="bottom"/>
          </w:tcPr>
          <w:p w14:paraId="5A6FBD52" w14:textId="77777777" w:rsidR="003C322E" w:rsidRPr="003C322E" w:rsidRDefault="003C322E" w:rsidP="003C322E">
            <w:pPr>
              <w:suppressAutoHyphens w:val="0"/>
              <w:spacing w:line="240" w:lineRule="auto"/>
              <w:rPr>
                <w:rFonts w:eastAsia="MS Mincho"/>
                <w:lang w:val="en-US" w:eastAsia="ja-JP"/>
              </w:rPr>
            </w:pPr>
            <w:r w:rsidRPr="003C322E">
              <w:rPr>
                <w:rFonts w:eastAsia="MS Mincho"/>
                <w:lang w:val="en-US" w:eastAsia="ja-JP"/>
              </w:rPr>
              <w:t>Ramon Gonzalez</w:t>
            </w:r>
          </w:p>
        </w:tc>
        <w:tc>
          <w:tcPr>
            <w:tcW w:w="1895" w:type="dxa"/>
            <w:shd w:val="clear" w:color="auto" w:fill="auto"/>
            <w:noWrap/>
            <w:vAlign w:val="bottom"/>
          </w:tcPr>
          <w:p w14:paraId="0BBECFA1" w14:textId="77777777" w:rsidR="003C322E" w:rsidRPr="003C322E" w:rsidRDefault="003C322E" w:rsidP="003C322E">
            <w:pPr>
              <w:suppressAutoHyphens w:val="0"/>
              <w:spacing w:line="240" w:lineRule="auto"/>
              <w:rPr>
                <w:lang w:val="en-US"/>
              </w:rPr>
            </w:pPr>
            <w:r w:rsidRPr="003C322E">
              <w:rPr>
                <w:lang w:val="en-US"/>
              </w:rPr>
              <w:t>Spain</w:t>
            </w:r>
          </w:p>
        </w:tc>
        <w:tc>
          <w:tcPr>
            <w:tcW w:w="4422" w:type="dxa"/>
            <w:shd w:val="clear" w:color="auto" w:fill="auto"/>
            <w:noWrap/>
            <w:vAlign w:val="bottom"/>
          </w:tcPr>
          <w:p w14:paraId="323008FD" w14:textId="77777777" w:rsidR="003C322E" w:rsidRPr="003C322E" w:rsidRDefault="003C322E" w:rsidP="003C322E">
            <w:pPr>
              <w:suppressAutoHyphens w:val="0"/>
              <w:spacing w:line="240" w:lineRule="auto"/>
              <w:rPr>
                <w:lang w:val="en-US"/>
              </w:rPr>
            </w:pPr>
            <w:r w:rsidRPr="003C322E">
              <w:rPr>
                <w:lang w:val="en-US"/>
              </w:rPr>
              <w:t>reguren@maxam.net</w:t>
            </w:r>
          </w:p>
        </w:tc>
      </w:tr>
      <w:tr w:rsidR="003C322E" w:rsidRPr="003C322E" w14:paraId="2E9ADA26" w14:textId="77777777" w:rsidTr="006F2C5A">
        <w:trPr>
          <w:trHeight w:val="255"/>
          <w:jc w:val="center"/>
        </w:trPr>
        <w:tc>
          <w:tcPr>
            <w:tcW w:w="2774" w:type="dxa"/>
            <w:shd w:val="clear" w:color="auto" w:fill="auto"/>
            <w:noWrap/>
            <w:vAlign w:val="bottom"/>
          </w:tcPr>
          <w:p w14:paraId="59648ADB" w14:textId="77777777" w:rsidR="003C322E" w:rsidRPr="003C322E" w:rsidRDefault="003C322E" w:rsidP="003C322E">
            <w:pPr>
              <w:suppressAutoHyphens w:val="0"/>
              <w:spacing w:line="240" w:lineRule="auto"/>
              <w:rPr>
                <w:rFonts w:eastAsia="MS Mincho"/>
                <w:lang w:val="en-US" w:eastAsia="ja-JP"/>
              </w:rPr>
            </w:pPr>
            <w:r w:rsidRPr="003C322E">
              <w:rPr>
                <w:rFonts w:eastAsia="MS Mincho"/>
                <w:lang w:val="en-US" w:eastAsia="ja-JP"/>
              </w:rPr>
              <w:t>Jose R. Quintana</w:t>
            </w:r>
          </w:p>
        </w:tc>
        <w:tc>
          <w:tcPr>
            <w:tcW w:w="1895" w:type="dxa"/>
            <w:shd w:val="clear" w:color="auto" w:fill="auto"/>
            <w:noWrap/>
            <w:vAlign w:val="bottom"/>
          </w:tcPr>
          <w:p w14:paraId="012FCBE7" w14:textId="77777777" w:rsidR="003C322E" w:rsidRPr="003C322E" w:rsidRDefault="003C322E" w:rsidP="003C322E">
            <w:pPr>
              <w:suppressAutoHyphens w:val="0"/>
              <w:spacing w:line="240" w:lineRule="auto"/>
              <w:rPr>
                <w:lang w:val="en-US"/>
              </w:rPr>
            </w:pPr>
            <w:r w:rsidRPr="003C322E">
              <w:rPr>
                <w:lang w:val="en-US"/>
              </w:rPr>
              <w:t>Spain</w:t>
            </w:r>
          </w:p>
        </w:tc>
        <w:tc>
          <w:tcPr>
            <w:tcW w:w="4422" w:type="dxa"/>
            <w:shd w:val="clear" w:color="auto" w:fill="auto"/>
            <w:noWrap/>
            <w:vAlign w:val="bottom"/>
          </w:tcPr>
          <w:p w14:paraId="21AE1651" w14:textId="77777777" w:rsidR="003C322E" w:rsidRPr="003C322E" w:rsidRDefault="003C322E" w:rsidP="003C322E">
            <w:pPr>
              <w:suppressAutoHyphens w:val="0"/>
              <w:spacing w:line="240" w:lineRule="auto"/>
              <w:rPr>
                <w:lang w:val="en-US"/>
              </w:rPr>
            </w:pPr>
            <w:r w:rsidRPr="003C322E">
              <w:rPr>
                <w:lang w:val="en-US"/>
              </w:rPr>
              <w:t>jrquintana@maxam.net</w:t>
            </w:r>
          </w:p>
        </w:tc>
      </w:tr>
      <w:tr w:rsidR="003C322E" w:rsidRPr="003C322E" w14:paraId="3B020B35" w14:textId="77777777" w:rsidTr="006F2C5A">
        <w:trPr>
          <w:trHeight w:val="255"/>
          <w:jc w:val="center"/>
        </w:trPr>
        <w:tc>
          <w:tcPr>
            <w:tcW w:w="2774" w:type="dxa"/>
            <w:shd w:val="clear" w:color="auto" w:fill="auto"/>
            <w:noWrap/>
            <w:vAlign w:val="bottom"/>
          </w:tcPr>
          <w:p w14:paraId="05AFB60B" w14:textId="77777777" w:rsidR="003C322E" w:rsidRPr="003C322E" w:rsidRDefault="003C322E" w:rsidP="003C322E">
            <w:pPr>
              <w:suppressAutoHyphens w:val="0"/>
              <w:spacing w:line="240" w:lineRule="auto"/>
              <w:rPr>
                <w:rFonts w:eastAsia="MS Mincho"/>
                <w:lang w:val="en-US" w:eastAsia="ja-JP"/>
              </w:rPr>
            </w:pPr>
            <w:proofErr w:type="spellStart"/>
            <w:r w:rsidRPr="003C322E">
              <w:rPr>
                <w:rFonts w:eastAsia="MS Mincho"/>
                <w:lang w:val="en-US" w:eastAsia="ja-JP"/>
              </w:rPr>
              <w:t>Shulin</w:t>
            </w:r>
            <w:proofErr w:type="spellEnd"/>
            <w:r w:rsidRPr="003C322E">
              <w:rPr>
                <w:rFonts w:eastAsia="MS Mincho"/>
                <w:lang w:val="en-US" w:eastAsia="ja-JP"/>
              </w:rPr>
              <w:t xml:space="preserve"> </w:t>
            </w:r>
            <w:proofErr w:type="spellStart"/>
            <w:r w:rsidRPr="003C322E">
              <w:rPr>
                <w:rFonts w:eastAsia="MS Mincho"/>
                <w:lang w:val="en-US" w:eastAsia="ja-JP"/>
              </w:rPr>
              <w:t>Nie</w:t>
            </w:r>
            <w:proofErr w:type="spellEnd"/>
          </w:p>
        </w:tc>
        <w:tc>
          <w:tcPr>
            <w:tcW w:w="1895" w:type="dxa"/>
            <w:shd w:val="clear" w:color="auto" w:fill="auto"/>
            <w:noWrap/>
            <w:vAlign w:val="bottom"/>
          </w:tcPr>
          <w:p w14:paraId="40E771BD" w14:textId="77777777" w:rsidR="003C322E" w:rsidRPr="003C322E" w:rsidRDefault="003C322E" w:rsidP="003C322E">
            <w:pPr>
              <w:suppressAutoHyphens w:val="0"/>
              <w:spacing w:line="240" w:lineRule="auto"/>
              <w:rPr>
                <w:lang w:val="en-US"/>
              </w:rPr>
            </w:pPr>
            <w:r w:rsidRPr="003C322E">
              <w:rPr>
                <w:lang w:val="en-US"/>
              </w:rPr>
              <w:t>Sweden</w:t>
            </w:r>
          </w:p>
        </w:tc>
        <w:tc>
          <w:tcPr>
            <w:tcW w:w="4422" w:type="dxa"/>
            <w:shd w:val="clear" w:color="auto" w:fill="auto"/>
            <w:noWrap/>
            <w:vAlign w:val="bottom"/>
          </w:tcPr>
          <w:p w14:paraId="0A034887" w14:textId="77777777" w:rsidR="003C322E" w:rsidRPr="003C322E" w:rsidRDefault="003C322E" w:rsidP="003C322E">
            <w:pPr>
              <w:suppressAutoHyphens w:val="0"/>
              <w:spacing w:line="240" w:lineRule="auto"/>
              <w:rPr>
                <w:lang w:val="en-US"/>
              </w:rPr>
            </w:pPr>
            <w:r w:rsidRPr="003C322E">
              <w:rPr>
                <w:lang w:val="en-US"/>
              </w:rPr>
              <w:t>shulin.nie@msb.se</w:t>
            </w:r>
          </w:p>
        </w:tc>
      </w:tr>
      <w:tr w:rsidR="003C322E" w:rsidRPr="003C322E" w14:paraId="46592B90" w14:textId="77777777" w:rsidTr="006F2C5A">
        <w:trPr>
          <w:trHeight w:val="255"/>
          <w:jc w:val="center"/>
        </w:trPr>
        <w:tc>
          <w:tcPr>
            <w:tcW w:w="2774" w:type="dxa"/>
            <w:shd w:val="clear" w:color="auto" w:fill="auto"/>
            <w:noWrap/>
            <w:vAlign w:val="bottom"/>
          </w:tcPr>
          <w:p w14:paraId="5874B184" w14:textId="77777777" w:rsidR="003C322E" w:rsidRPr="003C322E" w:rsidRDefault="003C322E" w:rsidP="003C322E">
            <w:pPr>
              <w:suppressAutoHyphens w:val="0"/>
              <w:spacing w:line="240" w:lineRule="auto"/>
              <w:rPr>
                <w:rFonts w:eastAsia="MS Mincho"/>
                <w:lang w:val="en-US" w:eastAsia="ja-JP"/>
              </w:rPr>
            </w:pPr>
            <w:proofErr w:type="spellStart"/>
            <w:r w:rsidRPr="003C322E">
              <w:rPr>
                <w:rFonts w:eastAsia="MS Mincho"/>
                <w:lang w:val="en-US" w:eastAsia="ja-JP"/>
              </w:rPr>
              <w:t>Lorens</w:t>
            </w:r>
            <w:proofErr w:type="spellEnd"/>
            <w:r w:rsidRPr="003C322E">
              <w:rPr>
                <w:rFonts w:eastAsia="MS Mincho"/>
                <w:lang w:val="en-US" w:eastAsia="ja-JP"/>
              </w:rPr>
              <w:t xml:space="preserve"> Van Dam</w:t>
            </w:r>
          </w:p>
        </w:tc>
        <w:tc>
          <w:tcPr>
            <w:tcW w:w="1895" w:type="dxa"/>
            <w:shd w:val="clear" w:color="auto" w:fill="auto"/>
            <w:noWrap/>
            <w:vAlign w:val="bottom"/>
          </w:tcPr>
          <w:p w14:paraId="0FCAF6D0" w14:textId="77777777" w:rsidR="003C322E" w:rsidRPr="003C322E" w:rsidRDefault="003C322E" w:rsidP="003C322E">
            <w:pPr>
              <w:suppressAutoHyphens w:val="0"/>
              <w:spacing w:line="240" w:lineRule="auto"/>
              <w:rPr>
                <w:lang w:val="en-US"/>
              </w:rPr>
            </w:pPr>
            <w:r w:rsidRPr="003C322E">
              <w:rPr>
                <w:lang w:val="en-US"/>
              </w:rPr>
              <w:t>Sweden</w:t>
            </w:r>
          </w:p>
        </w:tc>
        <w:tc>
          <w:tcPr>
            <w:tcW w:w="4422" w:type="dxa"/>
            <w:shd w:val="clear" w:color="auto" w:fill="auto"/>
            <w:noWrap/>
            <w:vAlign w:val="bottom"/>
          </w:tcPr>
          <w:p w14:paraId="786B4594" w14:textId="77777777" w:rsidR="003C322E" w:rsidRPr="003C322E" w:rsidRDefault="003C322E" w:rsidP="003C322E">
            <w:pPr>
              <w:suppressAutoHyphens w:val="0"/>
              <w:spacing w:line="240" w:lineRule="auto"/>
              <w:rPr>
                <w:lang w:val="en-US"/>
              </w:rPr>
            </w:pPr>
            <w:r w:rsidRPr="003C322E">
              <w:rPr>
                <w:lang w:val="en-US"/>
              </w:rPr>
              <w:t>lorens.van.dam@msb.se</w:t>
            </w:r>
          </w:p>
        </w:tc>
      </w:tr>
      <w:tr w:rsidR="003C322E" w:rsidRPr="003C322E" w14:paraId="5DCC9A98" w14:textId="77777777" w:rsidTr="006F2C5A">
        <w:trPr>
          <w:trHeight w:val="255"/>
          <w:jc w:val="center"/>
        </w:trPr>
        <w:tc>
          <w:tcPr>
            <w:tcW w:w="2774" w:type="dxa"/>
            <w:shd w:val="clear" w:color="auto" w:fill="auto"/>
            <w:noWrap/>
            <w:vAlign w:val="bottom"/>
          </w:tcPr>
          <w:p w14:paraId="65E90342" w14:textId="77777777" w:rsidR="003C322E" w:rsidRPr="003C322E" w:rsidRDefault="003C322E" w:rsidP="003C322E">
            <w:pPr>
              <w:suppressAutoHyphens w:val="0"/>
              <w:spacing w:line="240" w:lineRule="auto"/>
              <w:rPr>
                <w:rFonts w:eastAsia="MS Mincho"/>
                <w:lang w:val="en-US" w:eastAsia="ja-JP"/>
              </w:rPr>
            </w:pPr>
            <w:r w:rsidRPr="003C322E">
              <w:rPr>
                <w:rFonts w:eastAsia="MS Mincho"/>
                <w:lang w:val="en-US" w:eastAsia="ja-JP"/>
              </w:rPr>
              <w:t>Robert Hodgson</w:t>
            </w:r>
          </w:p>
        </w:tc>
        <w:tc>
          <w:tcPr>
            <w:tcW w:w="1895" w:type="dxa"/>
            <w:shd w:val="clear" w:color="auto" w:fill="auto"/>
            <w:noWrap/>
            <w:vAlign w:val="bottom"/>
          </w:tcPr>
          <w:p w14:paraId="372EF3E9" w14:textId="77777777" w:rsidR="003C322E" w:rsidRPr="003C322E" w:rsidRDefault="003C322E" w:rsidP="003C322E">
            <w:pPr>
              <w:suppressAutoHyphens w:val="0"/>
              <w:spacing w:line="240" w:lineRule="auto"/>
              <w:rPr>
                <w:lang w:val="en-US"/>
              </w:rPr>
            </w:pPr>
            <w:r w:rsidRPr="003C322E">
              <w:rPr>
                <w:lang w:val="en-US"/>
              </w:rPr>
              <w:t>UK</w:t>
            </w:r>
          </w:p>
        </w:tc>
        <w:tc>
          <w:tcPr>
            <w:tcW w:w="4422" w:type="dxa"/>
            <w:shd w:val="clear" w:color="auto" w:fill="auto"/>
            <w:noWrap/>
            <w:vAlign w:val="bottom"/>
          </w:tcPr>
          <w:p w14:paraId="1F5011EE" w14:textId="77777777" w:rsidR="003C322E" w:rsidRPr="003C322E" w:rsidRDefault="003C322E" w:rsidP="003C322E">
            <w:pPr>
              <w:suppressAutoHyphens w:val="0"/>
              <w:spacing w:line="240" w:lineRule="auto"/>
              <w:rPr>
                <w:lang w:val="en-US"/>
              </w:rPr>
            </w:pPr>
            <w:r w:rsidRPr="003C322E">
              <w:rPr>
                <w:lang w:val="en-US"/>
              </w:rPr>
              <w:t>robert.hodgson@hse.gov.uk</w:t>
            </w:r>
          </w:p>
        </w:tc>
      </w:tr>
      <w:tr w:rsidR="003C322E" w:rsidRPr="003C322E" w14:paraId="3F8820C1" w14:textId="77777777" w:rsidTr="006F2C5A">
        <w:trPr>
          <w:trHeight w:val="255"/>
          <w:jc w:val="center"/>
        </w:trPr>
        <w:tc>
          <w:tcPr>
            <w:tcW w:w="2774" w:type="dxa"/>
            <w:shd w:val="clear" w:color="auto" w:fill="auto"/>
            <w:noWrap/>
            <w:vAlign w:val="bottom"/>
          </w:tcPr>
          <w:p w14:paraId="0D53AFD5" w14:textId="77777777" w:rsidR="003C322E" w:rsidRPr="003C322E" w:rsidRDefault="003C322E" w:rsidP="003C322E">
            <w:pPr>
              <w:suppressAutoHyphens w:val="0"/>
              <w:spacing w:line="240" w:lineRule="auto"/>
              <w:rPr>
                <w:rFonts w:eastAsia="MS Mincho"/>
                <w:lang w:val="en-US" w:eastAsia="ja-JP"/>
              </w:rPr>
            </w:pPr>
            <w:r w:rsidRPr="003C322E">
              <w:rPr>
                <w:rFonts w:eastAsia="MS Mincho"/>
                <w:lang w:val="en-US" w:eastAsia="ja-JP"/>
              </w:rPr>
              <w:t xml:space="preserve">Brian </w:t>
            </w:r>
            <w:proofErr w:type="spellStart"/>
            <w:r w:rsidRPr="003C322E">
              <w:rPr>
                <w:rFonts w:eastAsia="MS Mincho"/>
                <w:lang w:val="en-US" w:eastAsia="ja-JP"/>
              </w:rPr>
              <w:t>Vos</w:t>
            </w:r>
            <w:proofErr w:type="spellEnd"/>
          </w:p>
        </w:tc>
        <w:tc>
          <w:tcPr>
            <w:tcW w:w="1895" w:type="dxa"/>
            <w:shd w:val="clear" w:color="auto" w:fill="auto"/>
            <w:noWrap/>
            <w:vAlign w:val="bottom"/>
          </w:tcPr>
          <w:p w14:paraId="5E8D4675" w14:textId="77777777" w:rsidR="003C322E" w:rsidRPr="003C322E" w:rsidRDefault="003C322E" w:rsidP="003C322E">
            <w:pPr>
              <w:suppressAutoHyphens w:val="0"/>
              <w:spacing w:line="240" w:lineRule="auto"/>
              <w:rPr>
                <w:lang w:val="en-US"/>
              </w:rPr>
            </w:pPr>
            <w:r w:rsidRPr="003C322E">
              <w:rPr>
                <w:lang w:val="en-US"/>
              </w:rPr>
              <w:t>USA</w:t>
            </w:r>
          </w:p>
        </w:tc>
        <w:tc>
          <w:tcPr>
            <w:tcW w:w="4422" w:type="dxa"/>
            <w:shd w:val="clear" w:color="auto" w:fill="auto"/>
            <w:noWrap/>
            <w:vAlign w:val="bottom"/>
          </w:tcPr>
          <w:p w14:paraId="6CD4ECAA" w14:textId="77777777" w:rsidR="003C322E" w:rsidRPr="003C322E" w:rsidRDefault="003C322E" w:rsidP="003C322E">
            <w:pPr>
              <w:suppressAutoHyphens w:val="0"/>
              <w:spacing w:line="240" w:lineRule="auto"/>
              <w:rPr>
                <w:lang w:val="en-US"/>
              </w:rPr>
            </w:pPr>
            <w:r w:rsidRPr="003C322E">
              <w:rPr>
                <w:lang w:val="en-US"/>
              </w:rPr>
              <w:t>brian.vos@dot.gov</w:t>
            </w:r>
          </w:p>
        </w:tc>
      </w:tr>
      <w:tr w:rsidR="003C322E" w:rsidRPr="003C322E" w14:paraId="4230412F" w14:textId="77777777" w:rsidTr="006F2C5A">
        <w:trPr>
          <w:trHeight w:val="255"/>
          <w:jc w:val="center"/>
        </w:trPr>
        <w:tc>
          <w:tcPr>
            <w:tcW w:w="2774" w:type="dxa"/>
            <w:shd w:val="clear" w:color="auto" w:fill="auto"/>
            <w:noWrap/>
            <w:vAlign w:val="bottom"/>
          </w:tcPr>
          <w:p w14:paraId="645D74A3" w14:textId="77777777" w:rsidR="003C322E" w:rsidRPr="003C322E" w:rsidRDefault="003C322E" w:rsidP="003C322E">
            <w:pPr>
              <w:suppressAutoHyphens w:val="0"/>
              <w:spacing w:line="240" w:lineRule="auto"/>
              <w:rPr>
                <w:rFonts w:eastAsia="MS Mincho"/>
                <w:lang w:val="en-US" w:eastAsia="ja-JP"/>
              </w:rPr>
            </w:pPr>
            <w:r w:rsidRPr="003C322E">
              <w:rPr>
                <w:rFonts w:eastAsia="MS Mincho"/>
                <w:lang w:val="en-US" w:eastAsia="ja-JP"/>
              </w:rPr>
              <w:t>Ken Price</w:t>
            </w:r>
          </w:p>
        </w:tc>
        <w:tc>
          <w:tcPr>
            <w:tcW w:w="1895" w:type="dxa"/>
            <w:shd w:val="clear" w:color="auto" w:fill="auto"/>
            <w:noWrap/>
            <w:vAlign w:val="bottom"/>
          </w:tcPr>
          <w:p w14:paraId="705079F6" w14:textId="77777777" w:rsidR="003C322E" w:rsidRPr="003C322E" w:rsidRDefault="003C322E" w:rsidP="003C322E">
            <w:pPr>
              <w:suppressAutoHyphens w:val="0"/>
              <w:spacing w:line="240" w:lineRule="auto"/>
              <w:rPr>
                <w:lang w:val="en-US"/>
              </w:rPr>
            </w:pPr>
            <w:r w:rsidRPr="003C322E">
              <w:rPr>
                <w:lang w:val="en-US"/>
              </w:rPr>
              <w:t>AEISG</w:t>
            </w:r>
          </w:p>
        </w:tc>
        <w:tc>
          <w:tcPr>
            <w:tcW w:w="4422" w:type="dxa"/>
            <w:shd w:val="clear" w:color="auto" w:fill="auto"/>
            <w:noWrap/>
            <w:vAlign w:val="bottom"/>
          </w:tcPr>
          <w:p w14:paraId="5A63D005" w14:textId="77777777" w:rsidR="003C322E" w:rsidRPr="003C322E" w:rsidRDefault="003C322E" w:rsidP="003C322E">
            <w:pPr>
              <w:suppressAutoHyphens w:val="0"/>
              <w:spacing w:line="240" w:lineRule="auto"/>
              <w:rPr>
                <w:lang w:val="en-US"/>
              </w:rPr>
            </w:pPr>
            <w:r w:rsidRPr="003C322E">
              <w:rPr>
                <w:lang w:val="en-US"/>
              </w:rPr>
              <w:t>ken@riskom.com.au</w:t>
            </w:r>
          </w:p>
        </w:tc>
      </w:tr>
      <w:tr w:rsidR="003C322E" w:rsidRPr="003C322E" w14:paraId="74B112DE" w14:textId="77777777" w:rsidTr="006F2C5A">
        <w:trPr>
          <w:trHeight w:val="255"/>
          <w:jc w:val="center"/>
        </w:trPr>
        <w:tc>
          <w:tcPr>
            <w:tcW w:w="2774" w:type="dxa"/>
            <w:shd w:val="clear" w:color="auto" w:fill="auto"/>
            <w:noWrap/>
            <w:vAlign w:val="bottom"/>
          </w:tcPr>
          <w:p w14:paraId="50417B18" w14:textId="77777777" w:rsidR="003C322E" w:rsidRPr="003C322E" w:rsidRDefault="003C322E" w:rsidP="003C322E">
            <w:pPr>
              <w:suppressAutoHyphens w:val="0"/>
              <w:spacing w:line="240" w:lineRule="auto"/>
              <w:rPr>
                <w:rFonts w:eastAsia="MS Mincho"/>
                <w:lang w:val="en-US" w:eastAsia="ja-JP"/>
              </w:rPr>
            </w:pPr>
            <w:r w:rsidRPr="003C322E">
              <w:rPr>
                <w:rFonts w:eastAsia="MS Mincho"/>
                <w:lang w:val="en-US" w:eastAsia="ja-JP"/>
              </w:rPr>
              <w:t>Bob Sheridan</w:t>
            </w:r>
          </w:p>
        </w:tc>
        <w:tc>
          <w:tcPr>
            <w:tcW w:w="1895" w:type="dxa"/>
            <w:shd w:val="clear" w:color="auto" w:fill="auto"/>
            <w:noWrap/>
            <w:vAlign w:val="bottom"/>
          </w:tcPr>
          <w:p w14:paraId="7B1C2B72" w14:textId="77777777" w:rsidR="003C322E" w:rsidRPr="003C322E" w:rsidRDefault="003C322E" w:rsidP="003C322E">
            <w:pPr>
              <w:suppressAutoHyphens w:val="0"/>
              <w:spacing w:line="240" w:lineRule="auto"/>
              <w:rPr>
                <w:lang w:val="en-US"/>
              </w:rPr>
            </w:pPr>
            <w:r w:rsidRPr="003C322E">
              <w:rPr>
                <w:lang w:val="en-US"/>
              </w:rPr>
              <w:t>AEISG</w:t>
            </w:r>
          </w:p>
        </w:tc>
        <w:tc>
          <w:tcPr>
            <w:tcW w:w="4422" w:type="dxa"/>
            <w:shd w:val="clear" w:color="auto" w:fill="auto"/>
            <w:noWrap/>
            <w:vAlign w:val="bottom"/>
          </w:tcPr>
          <w:p w14:paraId="02BBAB8E" w14:textId="77777777" w:rsidR="003C322E" w:rsidRPr="003C322E" w:rsidRDefault="003C322E" w:rsidP="003C322E">
            <w:pPr>
              <w:suppressAutoHyphens w:val="0"/>
              <w:spacing w:line="240" w:lineRule="auto"/>
              <w:rPr>
                <w:lang w:val="en-US"/>
              </w:rPr>
            </w:pPr>
            <w:r w:rsidRPr="003C322E">
              <w:rPr>
                <w:lang w:val="en-US"/>
              </w:rPr>
              <w:t>bob.sheridan@aeisg.org.au</w:t>
            </w:r>
          </w:p>
        </w:tc>
      </w:tr>
      <w:tr w:rsidR="003C322E" w:rsidRPr="003C322E" w14:paraId="20CDA8AA" w14:textId="77777777" w:rsidTr="006F2C5A">
        <w:trPr>
          <w:trHeight w:val="255"/>
          <w:jc w:val="center"/>
        </w:trPr>
        <w:tc>
          <w:tcPr>
            <w:tcW w:w="2774" w:type="dxa"/>
            <w:shd w:val="clear" w:color="auto" w:fill="auto"/>
            <w:noWrap/>
            <w:vAlign w:val="bottom"/>
          </w:tcPr>
          <w:p w14:paraId="482DB5E7" w14:textId="77777777" w:rsidR="003C322E" w:rsidRPr="003C322E" w:rsidRDefault="003C322E" w:rsidP="003C322E">
            <w:pPr>
              <w:suppressAutoHyphens w:val="0"/>
              <w:spacing w:line="240" w:lineRule="auto"/>
              <w:rPr>
                <w:rFonts w:eastAsia="MS Mincho"/>
                <w:lang w:val="en-US" w:eastAsia="ja-JP"/>
              </w:rPr>
            </w:pPr>
            <w:r w:rsidRPr="003C322E">
              <w:rPr>
                <w:rFonts w:eastAsia="MS Mincho"/>
                <w:lang w:val="en-US" w:eastAsia="ja-JP"/>
              </w:rPr>
              <w:t xml:space="preserve">Dieter </w:t>
            </w:r>
            <w:proofErr w:type="spellStart"/>
            <w:r w:rsidRPr="003C322E">
              <w:rPr>
                <w:rFonts w:eastAsia="MS Mincho"/>
                <w:lang w:val="en-US" w:eastAsia="ja-JP"/>
              </w:rPr>
              <w:t>Heitkamp</w:t>
            </w:r>
            <w:proofErr w:type="spellEnd"/>
          </w:p>
        </w:tc>
        <w:tc>
          <w:tcPr>
            <w:tcW w:w="1895" w:type="dxa"/>
            <w:shd w:val="clear" w:color="auto" w:fill="auto"/>
            <w:noWrap/>
            <w:vAlign w:val="bottom"/>
          </w:tcPr>
          <w:p w14:paraId="1CA83503" w14:textId="77777777" w:rsidR="003C322E" w:rsidRPr="003C322E" w:rsidRDefault="003C322E" w:rsidP="003C322E">
            <w:pPr>
              <w:suppressAutoHyphens w:val="0"/>
              <w:spacing w:line="240" w:lineRule="auto"/>
              <w:rPr>
                <w:lang w:val="en-US"/>
              </w:rPr>
            </w:pPr>
            <w:r w:rsidRPr="003C322E">
              <w:rPr>
                <w:lang w:val="en-US"/>
              </w:rPr>
              <w:t>CEFIC</w:t>
            </w:r>
          </w:p>
        </w:tc>
        <w:tc>
          <w:tcPr>
            <w:tcW w:w="4422" w:type="dxa"/>
            <w:shd w:val="clear" w:color="auto" w:fill="auto"/>
            <w:noWrap/>
            <w:vAlign w:val="bottom"/>
          </w:tcPr>
          <w:p w14:paraId="7C06829D" w14:textId="77777777" w:rsidR="003C322E" w:rsidRPr="003C322E" w:rsidRDefault="003C322E" w:rsidP="003C322E">
            <w:pPr>
              <w:suppressAutoHyphens w:val="0"/>
              <w:spacing w:line="240" w:lineRule="auto"/>
              <w:rPr>
                <w:lang w:val="en-US"/>
              </w:rPr>
            </w:pPr>
            <w:r w:rsidRPr="003C322E">
              <w:rPr>
                <w:lang w:val="en-US"/>
              </w:rPr>
              <w:t>dieter.heitkamp@bayer.com</w:t>
            </w:r>
          </w:p>
        </w:tc>
      </w:tr>
      <w:tr w:rsidR="003C322E" w:rsidRPr="003C322E" w14:paraId="3466FBAC" w14:textId="77777777" w:rsidTr="006F2C5A">
        <w:trPr>
          <w:trHeight w:val="255"/>
          <w:jc w:val="center"/>
        </w:trPr>
        <w:tc>
          <w:tcPr>
            <w:tcW w:w="2774" w:type="dxa"/>
            <w:shd w:val="clear" w:color="auto" w:fill="auto"/>
            <w:noWrap/>
            <w:vAlign w:val="bottom"/>
          </w:tcPr>
          <w:p w14:paraId="0CCC3D54" w14:textId="77777777" w:rsidR="003C322E" w:rsidRPr="003C322E" w:rsidRDefault="003C322E" w:rsidP="003C322E">
            <w:pPr>
              <w:suppressAutoHyphens w:val="0"/>
              <w:spacing w:line="240" w:lineRule="auto"/>
              <w:rPr>
                <w:rFonts w:eastAsia="MS Mincho"/>
                <w:lang w:val="en-US" w:eastAsia="ja-JP"/>
              </w:rPr>
            </w:pPr>
            <w:r w:rsidRPr="003C322E">
              <w:rPr>
                <w:rFonts w:eastAsia="MS Mincho"/>
                <w:lang w:val="en-US" w:eastAsia="ja-JP"/>
              </w:rPr>
              <w:t xml:space="preserve">Peter </w:t>
            </w:r>
            <w:proofErr w:type="spellStart"/>
            <w:r w:rsidRPr="003C322E">
              <w:rPr>
                <w:rFonts w:eastAsia="MS Mincho"/>
                <w:lang w:val="en-US" w:eastAsia="ja-JP"/>
              </w:rPr>
              <w:t>Schuurman</w:t>
            </w:r>
            <w:proofErr w:type="spellEnd"/>
          </w:p>
        </w:tc>
        <w:tc>
          <w:tcPr>
            <w:tcW w:w="1895" w:type="dxa"/>
            <w:shd w:val="clear" w:color="auto" w:fill="auto"/>
            <w:noWrap/>
            <w:vAlign w:val="bottom"/>
          </w:tcPr>
          <w:p w14:paraId="12598281" w14:textId="77777777" w:rsidR="003C322E" w:rsidRPr="003C322E" w:rsidRDefault="003C322E" w:rsidP="003C322E">
            <w:pPr>
              <w:suppressAutoHyphens w:val="0"/>
              <w:spacing w:line="240" w:lineRule="auto"/>
              <w:rPr>
                <w:lang w:val="en-US"/>
              </w:rPr>
            </w:pPr>
            <w:r w:rsidRPr="003C322E">
              <w:rPr>
                <w:lang w:val="en-US"/>
              </w:rPr>
              <w:t>CEFIC</w:t>
            </w:r>
          </w:p>
        </w:tc>
        <w:tc>
          <w:tcPr>
            <w:tcW w:w="4422" w:type="dxa"/>
            <w:shd w:val="clear" w:color="auto" w:fill="auto"/>
            <w:noWrap/>
            <w:vAlign w:val="bottom"/>
          </w:tcPr>
          <w:p w14:paraId="0EF0512E" w14:textId="77777777" w:rsidR="003C322E" w:rsidRPr="003C322E" w:rsidRDefault="003C322E" w:rsidP="003C322E">
            <w:pPr>
              <w:suppressAutoHyphens w:val="0"/>
              <w:spacing w:line="240" w:lineRule="auto"/>
              <w:rPr>
                <w:lang w:val="en-US"/>
              </w:rPr>
            </w:pPr>
            <w:r w:rsidRPr="003C322E">
              <w:rPr>
                <w:lang w:val="en-US"/>
              </w:rPr>
              <w:t>peter.schuurman@akzonobel.com</w:t>
            </w:r>
          </w:p>
        </w:tc>
      </w:tr>
      <w:tr w:rsidR="003C322E" w:rsidRPr="003C322E" w14:paraId="4FC0C2C3" w14:textId="77777777" w:rsidTr="006F2C5A">
        <w:trPr>
          <w:trHeight w:val="255"/>
          <w:jc w:val="center"/>
        </w:trPr>
        <w:tc>
          <w:tcPr>
            <w:tcW w:w="2774" w:type="dxa"/>
            <w:shd w:val="clear" w:color="auto" w:fill="auto"/>
            <w:noWrap/>
            <w:vAlign w:val="bottom"/>
          </w:tcPr>
          <w:p w14:paraId="6DD1C488" w14:textId="77777777" w:rsidR="003C322E" w:rsidRPr="003C322E" w:rsidRDefault="003C322E" w:rsidP="003C322E">
            <w:pPr>
              <w:suppressAutoHyphens w:val="0"/>
              <w:spacing w:line="240" w:lineRule="auto"/>
              <w:rPr>
                <w:rFonts w:eastAsia="MS Mincho"/>
                <w:lang w:val="en-US" w:eastAsia="ja-JP"/>
              </w:rPr>
            </w:pPr>
            <w:r w:rsidRPr="003C322E">
              <w:rPr>
                <w:rFonts w:eastAsia="MS Mincho"/>
                <w:lang w:val="en-US" w:eastAsia="ja-JP"/>
              </w:rPr>
              <w:t>Klaus Pilatus</w:t>
            </w:r>
          </w:p>
        </w:tc>
        <w:tc>
          <w:tcPr>
            <w:tcW w:w="1895" w:type="dxa"/>
            <w:shd w:val="clear" w:color="auto" w:fill="auto"/>
            <w:noWrap/>
            <w:vAlign w:val="bottom"/>
          </w:tcPr>
          <w:p w14:paraId="236D8773" w14:textId="77777777" w:rsidR="003C322E" w:rsidRPr="003C322E" w:rsidRDefault="003C322E" w:rsidP="003C322E">
            <w:pPr>
              <w:suppressAutoHyphens w:val="0"/>
              <w:spacing w:line="240" w:lineRule="auto"/>
              <w:rPr>
                <w:lang w:val="en-US"/>
              </w:rPr>
            </w:pPr>
            <w:r w:rsidRPr="003C322E">
              <w:rPr>
                <w:lang w:val="en-US"/>
              </w:rPr>
              <w:t>CLEPA</w:t>
            </w:r>
          </w:p>
        </w:tc>
        <w:tc>
          <w:tcPr>
            <w:tcW w:w="4422" w:type="dxa"/>
            <w:shd w:val="clear" w:color="auto" w:fill="auto"/>
            <w:noWrap/>
            <w:vAlign w:val="bottom"/>
          </w:tcPr>
          <w:p w14:paraId="3BF20BF0" w14:textId="77777777" w:rsidR="003C322E" w:rsidRPr="003C322E" w:rsidRDefault="003C322E" w:rsidP="003C322E">
            <w:pPr>
              <w:suppressAutoHyphens w:val="0"/>
              <w:spacing w:line="240" w:lineRule="auto"/>
              <w:rPr>
                <w:lang w:val="en-US"/>
              </w:rPr>
            </w:pPr>
            <w:r w:rsidRPr="003C322E">
              <w:rPr>
                <w:lang w:val="en-US"/>
              </w:rPr>
              <w:t>Klaus.pilatus@autoliv.com</w:t>
            </w:r>
          </w:p>
        </w:tc>
      </w:tr>
      <w:tr w:rsidR="003C322E" w:rsidRPr="003C322E" w14:paraId="679C0D19" w14:textId="77777777" w:rsidTr="006F2C5A">
        <w:trPr>
          <w:trHeight w:val="255"/>
          <w:jc w:val="center"/>
        </w:trPr>
        <w:tc>
          <w:tcPr>
            <w:tcW w:w="2774" w:type="dxa"/>
            <w:shd w:val="clear" w:color="auto" w:fill="auto"/>
            <w:noWrap/>
            <w:vAlign w:val="bottom"/>
          </w:tcPr>
          <w:p w14:paraId="30FCA51B" w14:textId="77777777" w:rsidR="003C322E" w:rsidRPr="003C322E" w:rsidRDefault="003C322E" w:rsidP="003C322E">
            <w:pPr>
              <w:suppressAutoHyphens w:val="0"/>
              <w:spacing w:line="240" w:lineRule="auto"/>
              <w:rPr>
                <w:rFonts w:eastAsia="MS Mincho"/>
                <w:lang w:val="en-US" w:eastAsia="ja-JP"/>
              </w:rPr>
            </w:pPr>
            <w:r w:rsidRPr="003C322E">
              <w:rPr>
                <w:rFonts w:eastAsia="MS Mincho"/>
                <w:lang w:val="en-US" w:eastAsia="ja-JP"/>
              </w:rPr>
              <w:t>Nicholas Cook</w:t>
            </w:r>
          </w:p>
        </w:tc>
        <w:tc>
          <w:tcPr>
            <w:tcW w:w="1895" w:type="dxa"/>
            <w:shd w:val="clear" w:color="auto" w:fill="auto"/>
            <w:noWrap/>
            <w:vAlign w:val="bottom"/>
          </w:tcPr>
          <w:p w14:paraId="6756D6B8" w14:textId="77777777" w:rsidR="003C322E" w:rsidRPr="003C322E" w:rsidRDefault="003C322E" w:rsidP="003C322E">
            <w:pPr>
              <w:suppressAutoHyphens w:val="0"/>
              <w:spacing w:line="240" w:lineRule="auto"/>
              <w:rPr>
                <w:lang w:val="en-US"/>
              </w:rPr>
            </w:pPr>
            <w:r w:rsidRPr="003C322E">
              <w:rPr>
                <w:lang w:val="en-US"/>
              </w:rPr>
              <w:t>Fertilizers Europe</w:t>
            </w:r>
          </w:p>
        </w:tc>
        <w:tc>
          <w:tcPr>
            <w:tcW w:w="4422" w:type="dxa"/>
            <w:shd w:val="clear" w:color="auto" w:fill="auto"/>
            <w:noWrap/>
            <w:vAlign w:val="bottom"/>
          </w:tcPr>
          <w:p w14:paraId="09784FDA" w14:textId="77777777" w:rsidR="003C322E" w:rsidRPr="003C322E" w:rsidRDefault="003C322E" w:rsidP="003C322E">
            <w:pPr>
              <w:suppressAutoHyphens w:val="0"/>
              <w:spacing w:line="240" w:lineRule="auto"/>
              <w:rPr>
                <w:lang w:val="en-US"/>
              </w:rPr>
            </w:pPr>
            <w:r w:rsidRPr="003C322E">
              <w:rPr>
                <w:lang w:val="en-US"/>
              </w:rPr>
              <w:t>nicholas.cook@cffertilisers.co.uk</w:t>
            </w:r>
          </w:p>
        </w:tc>
      </w:tr>
      <w:tr w:rsidR="003C322E" w:rsidRPr="003C322E" w14:paraId="19079E9D" w14:textId="77777777" w:rsidTr="006F2C5A">
        <w:trPr>
          <w:trHeight w:val="255"/>
          <w:jc w:val="center"/>
        </w:trPr>
        <w:tc>
          <w:tcPr>
            <w:tcW w:w="2774" w:type="dxa"/>
            <w:shd w:val="clear" w:color="auto" w:fill="auto"/>
            <w:noWrap/>
            <w:vAlign w:val="bottom"/>
          </w:tcPr>
          <w:p w14:paraId="68AF6D0B" w14:textId="77777777" w:rsidR="003C322E" w:rsidRPr="003C322E" w:rsidRDefault="003C322E" w:rsidP="003C322E">
            <w:pPr>
              <w:suppressAutoHyphens w:val="0"/>
              <w:spacing w:line="240" w:lineRule="auto"/>
              <w:rPr>
                <w:rFonts w:eastAsia="MS Mincho"/>
                <w:lang w:val="en-US" w:eastAsia="ja-JP"/>
              </w:rPr>
            </w:pPr>
            <w:r w:rsidRPr="003C322E">
              <w:rPr>
                <w:rFonts w:eastAsia="MS Mincho"/>
                <w:lang w:val="en-US" w:eastAsia="ja-JP"/>
              </w:rPr>
              <w:t>Kishore Shah</w:t>
            </w:r>
          </w:p>
        </w:tc>
        <w:tc>
          <w:tcPr>
            <w:tcW w:w="1895" w:type="dxa"/>
            <w:shd w:val="clear" w:color="auto" w:fill="auto"/>
            <w:noWrap/>
            <w:vAlign w:val="bottom"/>
          </w:tcPr>
          <w:p w14:paraId="2CF72D97" w14:textId="77777777" w:rsidR="003C322E" w:rsidRPr="003C322E" w:rsidRDefault="003C322E" w:rsidP="003C322E">
            <w:pPr>
              <w:suppressAutoHyphens w:val="0"/>
              <w:spacing w:line="240" w:lineRule="auto"/>
              <w:rPr>
                <w:lang w:val="en-US"/>
              </w:rPr>
            </w:pPr>
            <w:r w:rsidRPr="003C322E">
              <w:rPr>
                <w:lang w:val="en-US"/>
              </w:rPr>
              <w:t>Fertilizers Europe</w:t>
            </w:r>
          </w:p>
        </w:tc>
        <w:tc>
          <w:tcPr>
            <w:tcW w:w="4422" w:type="dxa"/>
            <w:shd w:val="clear" w:color="auto" w:fill="auto"/>
            <w:noWrap/>
            <w:vAlign w:val="bottom"/>
          </w:tcPr>
          <w:p w14:paraId="219CD798" w14:textId="77777777" w:rsidR="003C322E" w:rsidRPr="003C322E" w:rsidRDefault="003C322E" w:rsidP="003C322E">
            <w:pPr>
              <w:suppressAutoHyphens w:val="0"/>
              <w:spacing w:line="240" w:lineRule="auto"/>
              <w:rPr>
                <w:lang w:val="en-US"/>
              </w:rPr>
            </w:pPr>
            <w:r w:rsidRPr="003C322E">
              <w:rPr>
                <w:lang w:val="en-US"/>
              </w:rPr>
              <w:t>kish@shah4she.co.uk</w:t>
            </w:r>
          </w:p>
        </w:tc>
      </w:tr>
      <w:tr w:rsidR="003C322E" w:rsidRPr="003C322E" w14:paraId="70C43FEE" w14:textId="77777777" w:rsidTr="006F2C5A">
        <w:trPr>
          <w:trHeight w:val="255"/>
          <w:jc w:val="center"/>
        </w:trPr>
        <w:tc>
          <w:tcPr>
            <w:tcW w:w="2774" w:type="dxa"/>
            <w:shd w:val="clear" w:color="auto" w:fill="auto"/>
            <w:noWrap/>
            <w:vAlign w:val="bottom"/>
          </w:tcPr>
          <w:p w14:paraId="545CAFF2" w14:textId="77777777" w:rsidR="003C322E" w:rsidRPr="003C322E" w:rsidRDefault="003C322E" w:rsidP="003C322E">
            <w:pPr>
              <w:suppressAutoHyphens w:val="0"/>
              <w:spacing w:line="240" w:lineRule="auto"/>
              <w:rPr>
                <w:rFonts w:eastAsia="MS Mincho"/>
                <w:lang w:val="en-US" w:eastAsia="ja-JP"/>
              </w:rPr>
            </w:pPr>
            <w:r w:rsidRPr="003C322E">
              <w:rPr>
                <w:rFonts w:eastAsia="MS Mincho"/>
                <w:lang w:val="en-US" w:eastAsia="ja-JP"/>
              </w:rPr>
              <w:t>David Boston</w:t>
            </w:r>
          </w:p>
        </w:tc>
        <w:tc>
          <w:tcPr>
            <w:tcW w:w="1895" w:type="dxa"/>
            <w:shd w:val="clear" w:color="auto" w:fill="auto"/>
            <w:noWrap/>
            <w:vAlign w:val="bottom"/>
          </w:tcPr>
          <w:p w14:paraId="02D6B8A0" w14:textId="77777777" w:rsidR="003C322E" w:rsidRPr="003C322E" w:rsidRDefault="003C322E" w:rsidP="003C322E">
            <w:pPr>
              <w:suppressAutoHyphens w:val="0"/>
              <w:spacing w:line="240" w:lineRule="auto"/>
              <w:rPr>
                <w:lang w:val="en-US"/>
              </w:rPr>
            </w:pPr>
            <w:r w:rsidRPr="003C322E">
              <w:rPr>
                <w:lang w:val="en-US"/>
              </w:rPr>
              <w:t>IME</w:t>
            </w:r>
          </w:p>
        </w:tc>
        <w:tc>
          <w:tcPr>
            <w:tcW w:w="4422" w:type="dxa"/>
            <w:shd w:val="clear" w:color="auto" w:fill="auto"/>
            <w:noWrap/>
            <w:vAlign w:val="bottom"/>
          </w:tcPr>
          <w:p w14:paraId="02758036" w14:textId="77777777" w:rsidR="003C322E" w:rsidRPr="003C322E" w:rsidRDefault="003C322E" w:rsidP="003C322E">
            <w:pPr>
              <w:suppressAutoHyphens w:val="0"/>
              <w:spacing w:line="240" w:lineRule="auto"/>
              <w:rPr>
                <w:lang w:val="en-US"/>
              </w:rPr>
            </w:pPr>
            <w:r w:rsidRPr="003C322E">
              <w:rPr>
                <w:lang w:val="en-US"/>
              </w:rPr>
              <w:t>dboston@ime.org</w:t>
            </w:r>
          </w:p>
        </w:tc>
      </w:tr>
      <w:tr w:rsidR="003C322E" w:rsidRPr="003C322E" w14:paraId="525DF479" w14:textId="77777777" w:rsidTr="006F2C5A">
        <w:trPr>
          <w:trHeight w:val="255"/>
          <w:jc w:val="center"/>
        </w:trPr>
        <w:tc>
          <w:tcPr>
            <w:tcW w:w="2774" w:type="dxa"/>
            <w:shd w:val="clear" w:color="auto" w:fill="auto"/>
            <w:noWrap/>
            <w:vAlign w:val="bottom"/>
          </w:tcPr>
          <w:p w14:paraId="33D573A9" w14:textId="77777777" w:rsidR="003C322E" w:rsidRPr="003C322E" w:rsidRDefault="003C322E" w:rsidP="003C322E">
            <w:pPr>
              <w:suppressAutoHyphens w:val="0"/>
              <w:spacing w:line="240" w:lineRule="auto"/>
              <w:rPr>
                <w:rFonts w:eastAsia="MS Mincho"/>
                <w:lang w:val="en-US" w:eastAsia="ja-JP"/>
              </w:rPr>
            </w:pPr>
            <w:r w:rsidRPr="003C322E">
              <w:rPr>
                <w:rFonts w:eastAsia="MS Mincho"/>
                <w:lang w:val="en-US" w:eastAsia="ja-JP"/>
              </w:rPr>
              <w:t xml:space="preserve">Timothy </w:t>
            </w:r>
            <w:proofErr w:type="spellStart"/>
            <w:r w:rsidRPr="003C322E">
              <w:rPr>
                <w:rFonts w:eastAsia="MS Mincho"/>
                <w:lang w:val="en-US" w:eastAsia="ja-JP"/>
              </w:rPr>
              <w:t>Golian</w:t>
            </w:r>
            <w:proofErr w:type="spellEnd"/>
          </w:p>
        </w:tc>
        <w:tc>
          <w:tcPr>
            <w:tcW w:w="1895" w:type="dxa"/>
            <w:shd w:val="clear" w:color="auto" w:fill="auto"/>
            <w:noWrap/>
            <w:vAlign w:val="bottom"/>
          </w:tcPr>
          <w:p w14:paraId="1EC2E374" w14:textId="77777777" w:rsidR="003C322E" w:rsidRPr="003C322E" w:rsidRDefault="003C322E" w:rsidP="003C322E">
            <w:pPr>
              <w:suppressAutoHyphens w:val="0"/>
              <w:spacing w:line="240" w:lineRule="auto"/>
              <w:rPr>
                <w:lang w:val="en-US"/>
              </w:rPr>
            </w:pPr>
            <w:r w:rsidRPr="003C322E">
              <w:rPr>
                <w:lang w:val="en-US"/>
              </w:rPr>
              <w:t>IME</w:t>
            </w:r>
          </w:p>
        </w:tc>
        <w:tc>
          <w:tcPr>
            <w:tcW w:w="4422" w:type="dxa"/>
            <w:shd w:val="clear" w:color="auto" w:fill="auto"/>
            <w:noWrap/>
            <w:vAlign w:val="bottom"/>
          </w:tcPr>
          <w:p w14:paraId="359C9070" w14:textId="77777777" w:rsidR="003C322E" w:rsidRPr="003C322E" w:rsidRDefault="003C322E" w:rsidP="003C322E">
            <w:pPr>
              <w:suppressAutoHyphens w:val="0"/>
              <w:spacing w:line="240" w:lineRule="auto"/>
              <w:rPr>
                <w:lang w:val="en-US"/>
              </w:rPr>
            </w:pPr>
            <w:r w:rsidRPr="003C322E">
              <w:rPr>
                <w:lang w:val="en-US"/>
              </w:rPr>
              <w:t>tim.golian@hunting-intl.com</w:t>
            </w:r>
          </w:p>
        </w:tc>
      </w:tr>
      <w:tr w:rsidR="003C322E" w:rsidRPr="003C322E" w14:paraId="14545F61" w14:textId="77777777" w:rsidTr="006F2C5A">
        <w:trPr>
          <w:trHeight w:val="255"/>
          <w:jc w:val="center"/>
        </w:trPr>
        <w:tc>
          <w:tcPr>
            <w:tcW w:w="2774" w:type="dxa"/>
            <w:shd w:val="clear" w:color="auto" w:fill="auto"/>
            <w:noWrap/>
            <w:vAlign w:val="bottom"/>
          </w:tcPr>
          <w:p w14:paraId="7978B359" w14:textId="77777777" w:rsidR="003C322E" w:rsidRPr="003C322E" w:rsidRDefault="003C322E" w:rsidP="003C322E">
            <w:pPr>
              <w:suppressAutoHyphens w:val="0"/>
              <w:spacing w:line="240" w:lineRule="auto"/>
              <w:rPr>
                <w:rFonts w:eastAsia="MS Mincho"/>
                <w:lang w:val="en-US" w:eastAsia="ja-JP"/>
              </w:rPr>
            </w:pPr>
            <w:r w:rsidRPr="003C322E">
              <w:rPr>
                <w:rFonts w:eastAsia="MS Mincho"/>
                <w:lang w:val="en-US" w:eastAsia="ja-JP"/>
              </w:rPr>
              <w:t>Noel Hsu</w:t>
            </w:r>
          </w:p>
        </w:tc>
        <w:tc>
          <w:tcPr>
            <w:tcW w:w="1895" w:type="dxa"/>
            <w:shd w:val="clear" w:color="auto" w:fill="auto"/>
            <w:noWrap/>
            <w:vAlign w:val="bottom"/>
          </w:tcPr>
          <w:p w14:paraId="26856507" w14:textId="77777777" w:rsidR="003C322E" w:rsidRPr="003C322E" w:rsidRDefault="003C322E" w:rsidP="003C322E">
            <w:pPr>
              <w:suppressAutoHyphens w:val="0"/>
              <w:spacing w:line="240" w:lineRule="auto"/>
              <w:rPr>
                <w:lang w:val="en-US"/>
              </w:rPr>
            </w:pPr>
            <w:r w:rsidRPr="003C322E">
              <w:rPr>
                <w:lang w:val="en-US"/>
              </w:rPr>
              <w:t>IME</w:t>
            </w:r>
          </w:p>
        </w:tc>
        <w:tc>
          <w:tcPr>
            <w:tcW w:w="4422" w:type="dxa"/>
            <w:shd w:val="clear" w:color="auto" w:fill="auto"/>
            <w:noWrap/>
            <w:vAlign w:val="bottom"/>
          </w:tcPr>
          <w:p w14:paraId="66819595" w14:textId="77777777" w:rsidR="003C322E" w:rsidRPr="003C322E" w:rsidRDefault="003C322E" w:rsidP="003C322E">
            <w:pPr>
              <w:suppressAutoHyphens w:val="0"/>
              <w:spacing w:line="240" w:lineRule="auto"/>
              <w:rPr>
                <w:lang w:val="en-US"/>
              </w:rPr>
            </w:pPr>
            <w:r w:rsidRPr="003C322E">
              <w:rPr>
                <w:lang w:val="en-US"/>
              </w:rPr>
              <w:t>noel.hsu@orica.com</w:t>
            </w:r>
          </w:p>
        </w:tc>
      </w:tr>
      <w:tr w:rsidR="003C322E" w:rsidRPr="003C322E" w14:paraId="6B86CCF9" w14:textId="77777777" w:rsidTr="006F2C5A">
        <w:trPr>
          <w:trHeight w:val="255"/>
          <w:jc w:val="center"/>
        </w:trPr>
        <w:tc>
          <w:tcPr>
            <w:tcW w:w="2774" w:type="dxa"/>
            <w:shd w:val="clear" w:color="auto" w:fill="auto"/>
            <w:noWrap/>
            <w:vAlign w:val="bottom"/>
          </w:tcPr>
          <w:p w14:paraId="03DBD572" w14:textId="77777777" w:rsidR="003C322E" w:rsidRPr="003C322E" w:rsidRDefault="003C322E" w:rsidP="003C322E">
            <w:pPr>
              <w:suppressAutoHyphens w:val="0"/>
              <w:spacing w:line="240" w:lineRule="auto"/>
              <w:rPr>
                <w:rFonts w:eastAsia="MS Mincho"/>
                <w:lang w:val="en-US" w:eastAsia="ja-JP"/>
              </w:rPr>
            </w:pPr>
            <w:r w:rsidRPr="003C322E">
              <w:rPr>
                <w:rFonts w:eastAsia="MS Mincho"/>
                <w:lang w:val="en-US" w:eastAsia="ja-JP"/>
              </w:rPr>
              <w:t>Brad Preston</w:t>
            </w:r>
          </w:p>
        </w:tc>
        <w:tc>
          <w:tcPr>
            <w:tcW w:w="1895" w:type="dxa"/>
            <w:shd w:val="clear" w:color="auto" w:fill="auto"/>
            <w:noWrap/>
            <w:vAlign w:val="bottom"/>
          </w:tcPr>
          <w:p w14:paraId="23983BA6" w14:textId="77777777" w:rsidR="003C322E" w:rsidRPr="003C322E" w:rsidRDefault="003C322E" w:rsidP="003C322E">
            <w:pPr>
              <w:suppressAutoHyphens w:val="0"/>
              <w:spacing w:line="240" w:lineRule="auto"/>
              <w:rPr>
                <w:lang w:val="en-US"/>
              </w:rPr>
            </w:pPr>
            <w:r w:rsidRPr="003C322E">
              <w:rPr>
                <w:lang w:val="en-US"/>
              </w:rPr>
              <w:t>IME</w:t>
            </w:r>
          </w:p>
        </w:tc>
        <w:tc>
          <w:tcPr>
            <w:tcW w:w="4422" w:type="dxa"/>
            <w:shd w:val="clear" w:color="auto" w:fill="auto"/>
            <w:noWrap/>
            <w:vAlign w:val="bottom"/>
          </w:tcPr>
          <w:p w14:paraId="223522DA" w14:textId="77777777" w:rsidR="003C322E" w:rsidRPr="003C322E" w:rsidRDefault="003C322E" w:rsidP="003C322E">
            <w:pPr>
              <w:suppressAutoHyphens w:val="0"/>
              <w:spacing w:line="240" w:lineRule="auto"/>
              <w:rPr>
                <w:lang w:val="en-US"/>
              </w:rPr>
            </w:pPr>
            <w:r w:rsidRPr="003C322E">
              <w:rPr>
                <w:lang w:val="en-US"/>
              </w:rPr>
              <w:t>bradley.b.preston.mil@mail.mil</w:t>
            </w:r>
          </w:p>
        </w:tc>
      </w:tr>
      <w:tr w:rsidR="003C322E" w:rsidRPr="003C322E" w14:paraId="1BA8AE03" w14:textId="77777777" w:rsidTr="006F2C5A">
        <w:trPr>
          <w:trHeight w:val="255"/>
          <w:jc w:val="center"/>
        </w:trPr>
        <w:tc>
          <w:tcPr>
            <w:tcW w:w="2774" w:type="dxa"/>
            <w:shd w:val="clear" w:color="auto" w:fill="auto"/>
            <w:noWrap/>
            <w:vAlign w:val="bottom"/>
          </w:tcPr>
          <w:p w14:paraId="2D726D1C" w14:textId="77777777" w:rsidR="003C322E" w:rsidRPr="003C322E" w:rsidRDefault="003C322E" w:rsidP="003C322E">
            <w:pPr>
              <w:suppressAutoHyphens w:val="0"/>
              <w:spacing w:line="240" w:lineRule="auto"/>
              <w:rPr>
                <w:rFonts w:eastAsia="MS Mincho"/>
                <w:lang w:val="en-US" w:eastAsia="ja-JP"/>
              </w:rPr>
            </w:pPr>
            <w:r w:rsidRPr="003C322E">
              <w:rPr>
                <w:rFonts w:eastAsia="MS Mincho"/>
                <w:lang w:val="en-US" w:eastAsia="ja-JP"/>
              </w:rPr>
              <w:t>Kaylee Baker</w:t>
            </w:r>
          </w:p>
        </w:tc>
        <w:tc>
          <w:tcPr>
            <w:tcW w:w="1895" w:type="dxa"/>
            <w:shd w:val="clear" w:color="auto" w:fill="auto"/>
            <w:noWrap/>
            <w:vAlign w:val="bottom"/>
          </w:tcPr>
          <w:p w14:paraId="19D0A05E" w14:textId="77777777" w:rsidR="003C322E" w:rsidRPr="003C322E" w:rsidRDefault="003C322E" w:rsidP="003C322E">
            <w:pPr>
              <w:suppressAutoHyphens w:val="0"/>
              <w:spacing w:line="240" w:lineRule="auto"/>
              <w:rPr>
                <w:lang w:val="en-US"/>
              </w:rPr>
            </w:pPr>
            <w:r w:rsidRPr="003C322E">
              <w:rPr>
                <w:lang w:val="en-US"/>
              </w:rPr>
              <w:t>RPMASA</w:t>
            </w:r>
          </w:p>
        </w:tc>
        <w:tc>
          <w:tcPr>
            <w:tcW w:w="4422" w:type="dxa"/>
            <w:shd w:val="clear" w:color="auto" w:fill="auto"/>
            <w:noWrap/>
            <w:vAlign w:val="bottom"/>
          </w:tcPr>
          <w:p w14:paraId="73A4FDC7" w14:textId="77777777" w:rsidR="003C322E" w:rsidRPr="003C322E" w:rsidRDefault="003C322E" w:rsidP="003C322E">
            <w:pPr>
              <w:suppressAutoHyphens w:val="0"/>
              <w:spacing w:line="240" w:lineRule="auto"/>
              <w:rPr>
                <w:lang w:val="en-US"/>
              </w:rPr>
            </w:pPr>
            <w:r w:rsidRPr="003C322E">
              <w:rPr>
                <w:lang w:val="en-US"/>
              </w:rPr>
              <w:t>kaylee.baker@aelms.com</w:t>
            </w:r>
          </w:p>
        </w:tc>
      </w:tr>
      <w:tr w:rsidR="003C322E" w:rsidRPr="003C322E" w14:paraId="0A1A5C3E" w14:textId="77777777" w:rsidTr="006F2C5A">
        <w:trPr>
          <w:trHeight w:val="255"/>
          <w:jc w:val="center"/>
        </w:trPr>
        <w:tc>
          <w:tcPr>
            <w:tcW w:w="2774" w:type="dxa"/>
            <w:shd w:val="clear" w:color="auto" w:fill="auto"/>
            <w:noWrap/>
            <w:vAlign w:val="bottom"/>
          </w:tcPr>
          <w:p w14:paraId="3128602A" w14:textId="77777777" w:rsidR="003C322E" w:rsidRPr="003C322E" w:rsidRDefault="003C322E" w:rsidP="003C322E">
            <w:pPr>
              <w:suppressAutoHyphens w:val="0"/>
              <w:spacing w:line="240" w:lineRule="auto"/>
              <w:rPr>
                <w:rFonts w:eastAsia="MS Mincho"/>
                <w:lang w:val="en-US" w:eastAsia="ja-JP"/>
              </w:rPr>
            </w:pPr>
            <w:r w:rsidRPr="003C322E">
              <w:rPr>
                <w:rFonts w:eastAsia="MS Mincho"/>
                <w:lang w:val="en-US" w:eastAsia="ja-JP"/>
              </w:rPr>
              <w:t>Cheryl Kelly</w:t>
            </w:r>
          </w:p>
        </w:tc>
        <w:tc>
          <w:tcPr>
            <w:tcW w:w="1895" w:type="dxa"/>
            <w:shd w:val="clear" w:color="auto" w:fill="auto"/>
            <w:noWrap/>
            <w:vAlign w:val="bottom"/>
          </w:tcPr>
          <w:p w14:paraId="74FDF223" w14:textId="77777777" w:rsidR="003C322E" w:rsidRPr="003C322E" w:rsidRDefault="003C322E" w:rsidP="003C322E">
            <w:pPr>
              <w:suppressAutoHyphens w:val="0"/>
              <w:spacing w:line="240" w:lineRule="auto"/>
              <w:rPr>
                <w:lang w:val="en-US"/>
              </w:rPr>
            </w:pPr>
            <w:r w:rsidRPr="003C322E">
              <w:rPr>
                <w:lang w:val="en-US"/>
              </w:rPr>
              <w:t>RPMASA</w:t>
            </w:r>
          </w:p>
        </w:tc>
        <w:tc>
          <w:tcPr>
            <w:tcW w:w="4422" w:type="dxa"/>
            <w:shd w:val="clear" w:color="auto" w:fill="auto"/>
            <w:noWrap/>
            <w:vAlign w:val="bottom"/>
          </w:tcPr>
          <w:p w14:paraId="4D3F2279" w14:textId="77777777" w:rsidR="003C322E" w:rsidRPr="003C322E" w:rsidRDefault="003C322E" w:rsidP="003C322E">
            <w:pPr>
              <w:suppressAutoHyphens w:val="0"/>
              <w:spacing w:line="240" w:lineRule="auto"/>
              <w:rPr>
                <w:lang w:val="en-US"/>
              </w:rPr>
            </w:pPr>
            <w:r w:rsidRPr="003C322E">
              <w:rPr>
                <w:lang w:val="en-US"/>
              </w:rPr>
              <w:t>cheryl.kelly@aelms.com</w:t>
            </w:r>
          </w:p>
        </w:tc>
      </w:tr>
      <w:tr w:rsidR="003C322E" w:rsidRPr="003C322E" w14:paraId="71E1C7FA" w14:textId="77777777" w:rsidTr="006F2C5A">
        <w:trPr>
          <w:trHeight w:val="255"/>
          <w:jc w:val="center"/>
        </w:trPr>
        <w:tc>
          <w:tcPr>
            <w:tcW w:w="2774" w:type="dxa"/>
            <w:shd w:val="clear" w:color="auto" w:fill="auto"/>
            <w:noWrap/>
            <w:vAlign w:val="bottom"/>
          </w:tcPr>
          <w:p w14:paraId="305179A9" w14:textId="77777777" w:rsidR="003C322E" w:rsidRPr="003C322E" w:rsidRDefault="003C322E" w:rsidP="003C322E">
            <w:pPr>
              <w:suppressAutoHyphens w:val="0"/>
              <w:spacing w:line="240" w:lineRule="auto"/>
              <w:rPr>
                <w:rFonts w:eastAsia="MS Mincho"/>
                <w:lang w:val="en-US" w:eastAsia="ja-JP"/>
              </w:rPr>
            </w:pPr>
            <w:r w:rsidRPr="003C322E">
              <w:rPr>
                <w:rFonts w:eastAsia="MS Mincho"/>
                <w:lang w:val="en-US" w:eastAsia="ja-JP"/>
              </w:rPr>
              <w:t>Ben Barrett</w:t>
            </w:r>
          </w:p>
        </w:tc>
        <w:tc>
          <w:tcPr>
            <w:tcW w:w="1895" w:type="dxa"/>
            <w:shd w:val="clear" w:color="auto" w:fill="auto"/>
            <w:noWrap/>
            <w:vAlign w:val="bottom"/>
          </w:tcPr>
          <w:p w14:paraId="40B518A5" w14:textId="77777777" w:rsidR="003C322E" w:rsidRPr="003C322E" w:rsidRDefault="003C322E" w:rsidP="003C322E">
            <w:pPr>
              <w:suppressAutoHyphens w:val="0"/>
              <w:spacing w:line="240" w:lineRule="auto"/>
              <w:rPr>
                <w:lang w:val="en-US"/>
              </w:rPr>
            </w:pPr>
            <w:r w:rsidRPr="003C322E">
              <w:rPr>
                <w:lang w:val="en-US"/>
              </w:rPr>
              <w:t>SAAMI</w:t>
            </w:r>
          </w:p>
        </w:tc>
        <w:tc>
          <w:tcPr>
            <w:tcW w:w="4422" w:type="dxa"/>
            <w:shd w:val="clear" w:color="auto" w:fill="auto"/>
            <w:noWrap/>
            <w:vAlign w:val="bottom"/>
          </w:tcPr>
          <w:p w14:paraId="7E7F3A05" w14:textId="77777777" w:rsidR="003C322E" w:rsidRPr="003C322E" w:rsidRDefault="003C322E" w:rsidP="003C322E">
            <w:pPr>
              <w:suppressAutoHyphens w:val="0"/>
              <w:spacing w:line="240" w:lineRule="auto"/>
              <w:rPr>
                <w:lang w:val="en-US"/>
              </w:rPr>
            </w:pPr>
            <w:r w:rsidRPr="003C322E">
              <w:rPr>
                <w:lang w:val="en-US"/>
              </w:rPr>
              <w:t>ben.barrett@dgadvisor.com</w:t>
            </w:r>
          </w:p>
        </w:tc>
      </w:tr>
      <w:tr w:rsidR="003C322E" w:rsidRPr="003C322E" w14:paraId="29B5A64D" w14:textId="77777777" w:rsidTr="006F2C5A">
        <w:trPr>
          <w:trHeight w:val="255"/>
          <w:jc w:val="center"/>
        </w:trPr>
        <w:tc>
          <w:tcPr>
            <w:tcW w:w="2774" w:type="dxa"/>
            <w:shd w:val="clear" w:color="auto" w:fill="auto"/>
            <w:noWrap/>
            <w:vAlign w:val="bottom"/>
          </w:tcPr>
          <w:p w14:paraId="7DC1ACE4" w14:textId="77777777" w:rsidR="003C322E" w:rsidRPr="003C322E" w:rsidRDefault="003C322E" w:rsidP="003C322E">
            <w:pPr>
              <w:suppressAutoHyphens w:val="0"/>
              <w:spacing w:line="240" w:lineRule="auto"/>
              <w:rPr>
                <w:rFonts w:eastAsia="MS Mincho"/>
                <w:lang w:val="en-US" w:eastAsia="ja-JP"/>
              </w:rPr>
            </w:pPr>
            <w:r w:rsidRPr="003C322E">
              <w:rPr>
                <w:rFonts w:eastAsia="MS Mincho"/>
                <w:lang w:val="en-US" w:eastAsia="ja-JP"/>
              </w:rPr>
              <w:t>Robert Ford</w:t>
            </w:r>
          </w:p>
        </w:tc>
        <w:tc>
          <w:tcPr>
            <w:tcW w:w="1895" w:type="dxa"/>
            <w:shd w:val="clear" w:color="auto" w:fill="auto"/>
            <w:noWrap/>
            <w:vAlign w:val="bottom"/>
          </w:tcPr>
          <w:p w14:paraId="0A129666" w14:textId="77777777" w:rsidR="003C322E" w:rsidRPr="003C322E" w:rsidRDefault="003C322E" w:rsidP="003C322E">
            <w:pPr>
              <w:suppressAutoHyphens w:val="0"/>
              <w:spacing w:line="240" w:lineRule="auto"/>
              <w:rPr>
                <w:lang w:val="en-US"/>
              </w:rPr>
            </w:pPr>
            <w:r w:rsidRPr="003C322E">
              <w:rPr>
                <w:lang w:val="en-US"/>
              </w:rPr>
              <w:t>SAAMI</w:t>
            </w:r>
          </w:p>
        </w:tc>
        <w:tc>
          <w:tcPr>
            <w:tcW w:w="4422" w:type="dxa"/>
            <w:shd w:val="clear" w:color="auto" w:fill="auto"/>
            <w:noWrap/>
            <w:vAlign w:val="bottom"/>
          </w:tcPr>
          <w:p w14:paraId="06208C5E" w14:textId="77777777" w:rsidR="003C322E" w:rsidRPr="003C322E" w:rsidRDefault="003C322E" w:rsidP="003C322E">
            <w:pPr>
              <w:suppressAutoHyphens w:val="0"/>
              <w:spacing w:line="240" w:lineRule="auto"/>
              <w:rPr>
                <w:lang w:val="en-US"/>
              </w:rPr>
            </w:pPr>
            <w:r w:rsidRPr="003C322E">
              <w:rPr>
                <w:lang w:val="en-US"/>
              </w:rPr>
              <w:t>rford@smsenergetics.com</w:t>
            </w:r>
          </w:p>
        </w:tc>
      </w:tr>
      <w:tr w:rsidR="003C322E" w:rsidRPr="003C322E" w14:paraId="02EB78A6" w14:textId="77777777" w:rsidTr="006F2C5A">
        <w:trPr>
          <w:trHeight w:val="255"/>
          <w:jc w:val="center"/>
        </w:trPr>
        <w:tc>
          <w:tcPr>
            <w:tcW w:w="2774" w:type="dxa"/>
            <w:shd w:val="clear" w:color="auto" w:fill="auto"/>
            <w:noWrap/>
            <w:vAlign w:val="bottom"/>
          </w:tcPr>
          <w:p w14:paraId="38B99BA2" w14:textId="77777777" w:rsidR="003C322E" w:rsidRPr="003C322E" w:rsidRDefault="003C322E" w:rsidP="003C322E">
            <w:pPr>
              <w:suppressAutoHyphens w:val="0"/>
              <w:spacing w:line="240" w:lineRule="auto"/>
              <w:rPr>
                <w:rFonts w:eastAsia="MS Mincho"/>
                <w:lang w:val="en-US" w:eastAsia="ja-JP"/>
              </w:rPr>
            </w:pPr>
            <w:r w:rsidRPr="003C322E">
              <w:rPr>
                <w:rFonts w:eastAsia="MS Mincho"/>
                <w:lang w:val="en-US" w:eastAsia="ja-JP"/>
              </w:rPr>
              <w:t xml:space="preserve">Brian </w:t>
            </w:r>
            <w:proofErr w:type="spellStart"/>
            <w:r w:rsidRPr="003C322E">
              <w:rPr>
                <w:rFonts w:eastAsia="MS Mincho"/>
                <w:lang w:val="en-US" w:eastAsia="ja-JP"/>
              </w:rPr>
              <w:t>Osowiecki</w:t>
            </w:r>
            <w:proofErr w:type="spellEnd"/>
          </w:p>
        </w:tc>
        <w:tc>
          <w:tcPr>
            <w:tcW w:w="1895" w:type="dxa"/>
            <w:shd w:val="clear" w:color="auto" w:fill="auto"/>
            <w:noWrap/>
            <w:vAlign w:val="bottom"/>
          </w:tcPr>
          <w:p w14:paraId="43947084" w14:textId="77777777" w:rsidR="003C322E" w:rsidRPr="003C322E" w:rsidRDefault="003C322E" w:rsidP="003C322E">
            <w:pPr>
              <w:suppressAutoHyphens w:val="0"/>
              <w:spacing w:line="240" w:lineRule="auto"/>
              <w:rPr>
                <w:lang w:val="en-US"/>
              </w:rPr>
            </w:pPr>
            <w:r w:rsidRPr="003C322E">
              <w:rPr>
                <w:lang w:val="en-US"/>
              </w:rPr>
              <w:t>SAAMI</w:t>
            </w:r>
          </w:p>
        </w:tc>
        <w:tc>
          <w:tcPr>
            <w:tcW w:w="4422" w:type="dxa"/>
            <w:shd w:val="clear" w:color="auto" w:fill="auto"/>
            <w:noWrap/>
            <w:vAlign w:val="bottom"/>
          </w:tcPr>
          <w:p w14:paraId="30AD498D" w14:textId="77777777" w:rsidR="003C322E" w:rsidRPr="003C322E" w:rsidRDefault="003C322E" w:rsidP="003C322E">
            <w:pPr>
              <w:suppressAutoHyphens w:val="0"/>
              <w:spacing w:line="240" w:lineRule="auto"/>
              <w:rPr>
                <w:lang w:val="en-US"/>
              </w:rPr>
            </w:pPr>
            <w:r w:rsidRPr="003C322E">
              <w:rPr>
                <w:lang w:val="en-US"/>
              </w:rPr>
              <w:t>bosowiecki@saami.org</w:t>
            </w:r>
          </w:p>
        </w:tc>
      </w:tr>
      <w:tr w:rsidR="003C322E" w:rsidRPr="003C322E" w14:paraId="405D7A87" w14:textId="77777777" w:rsidTr="006F2C5A">
        <w:trPr>
          <w:trHeight w:val="255"/>
          <w:jc w:val="center"/>
        </w:trPr>
        <w:tc>
          <w:tcPr>
            <w:tcW w:w="2774" w:type="dxa"/>
            <w:shd w:val="clear" w:color="auto" w:fill="auto"/>
            <w:noWrap/>
            <w:vAlign w:val="bottom"/>
          </w:tcPr>
          <w:p w14:paraId="1E80244A" w14:textId="77777777" w:rsidR="003C322E" w:rsidRPr="003C322E" w:rsidRDefault="003C322E" w:rsidP="003C322E">
            <w:pPr>
              <w:suppressAutoHyphens w:val="0"/>
              <w:spacing w:line="240" w:lineRule="auto"/>
              <w:rPr>
                <w:rFonts w:eastAsia="MS Mincho"/>
                <w:lang w:val="en-US" w:eastAsia="ja-JP"/>
              </w:rPr>
            </w:pPr>
            <w:r w:rsidRPr="003C322E">
              <w:rPr>
                <w:rFonts w:eastAsia="MS Mincho"/>
                <w:lang w:val="en-US" w:eastAsia="ja-JP"/>
              </w:rPr>
              <w:t>Richard Patterson</w:t>
            </w:r>
          </w:p>
        </w:tc>
        <w:tc>
          <w:tcPr>
            <w:tcW w:w="1895" w:type="dxa"/>
            <w:shd w:val="clear" w:color="auto" w:fill="auto"/>
            <w:noWrap/>
            <w:vAlign w:val="bottom"/>
          </w:tcPr>
          <w:p w14:paraId="34FCF644" w14:textId="77777777" w:rsidR="003C322E" w:rsidRPr="003C322E" w:rsidRDefault="003C322E" w:rsidP="003C322E">
            <w:pPr>
              <w:suppressAutoHyphens w:val="0"/>
              <w:spacing w:line="240" w:lineRule="auto"/>
              <w:rPr>
                <w:lang w:val="en-US"/>
              </w:rPr>
            </w:pPr>
            <w:r w:rsidRPr="003C322E">
              <w:rPr>
                <w:lang w:val="en-US"/>
              </w:rPr>
              <w:t>SAAMI</w:t>
            </w:r>
          </w:p>
        </w:tc>
        <w:tc>
          <w:tcPr>
            <w:tcW w:w="4422" w:type="dxa"/>
            <w:shd w:val="clear" w:color="auto" w:fill="auto"/>
            <w:noWrap/>
            <w:vAlign w:val="bottom"/>
          </w:tcPr>
          <w:p w14:paraId="67804ED7" w14:textId="77777777" w:rsidR="003C322E" w:rsidRPr="003C322E" w:rsidRDefault="003C322E" w:rsidP="003C322E">
            <w:pPr>
              <w:suppressAutoHyphens w:val="0"/>
              <w:spacing w:line="240" w:lineRule="auto"/>
              <w:rPr>
                <w:lang w:val="en-US"/>
              </w:rPr>
            </w:pPr>
            <w:r w:rsidRPr="003C322E">
              <w:rPr>
                <w:lang w:val="en-US"/>
              </w:rPr>
              <w:t>rpatterson@saami.org</w:t>
            </w:r>
          </w:p>
        </w:tc>
      </w:tr>
      <w:tr w:rsidR="003C322E" w:rsidRPr="003C322E" w14:paraId="54792CC7" w14:textId="77777777" w:rsidTr="006F2C5A">
        <w:trPr>
          <w:trHeight w:val="255"/>
          <w:jc w:val="center"/>
        </w:trPr>
        <w:tc>
          <w:tcPr>
            <w:tcW w:w="2774" w:type="dxa"/>
            <w:shd w:val="clear" w:color="auto" w:fill="auto"/>
            <w:noWrap/>
            <w:vAlign w:val="bottom"/>
          </w:tcPr>
          <w:p w14:paraId="5D326083" w14:textId="77777777" w:rsidR="003C322E" w:rsidRPr="003C322E" w:rsidRDefault="003C322E" w:rsidP="003C322E">
            <w:pPr>
              <w:suppressAutoHyphens w:val="0"/>
              <w:spacing w:line="240" w:lineRule="auto"/>
              <w:rPr>
                <w:rFonts w:eastAsia="MS Mincho"/>
                <w:lang w:val="en-US" w:eastAsia="ja-JP"/>
              </w:rPr>
            </w:pPr>
            <w:r w:rsidRPr="003C322E">
              <w:rPr>
                <w:rFonts w:eastAsia="MS Mincho"/>
                <w:lang w:val="en-US" w:eastAsia="ja-JP"/>
              </w:rPr>
              <w:t xml:space="preserve">Rosa Garcia </w:t>
            </w:r>
            <w:proofErr w:type="spellStart"/>
            <w:r w:rsidRPr="003C322E">
              <w:rPr>
                <w:rFonts w:eastAsia="MS Mincho"/>
                <w:lang w:val="en-US" w:eastAsia="ja-JP"/>
              </w:rPr>
              <w:t>Couto</w:t>
            </w:r>
            <w:proofErr w:type="spellEnd"/>
          </w:p>
        </w:tc>
        <w:tc>
          <w:tcPr>
            <w:tcW w:w="1895" w:type="dxa"/>
            <w:shd w:val="clear" w:color="auto" w:fill="auto"/>
            <w:noWrap/>
            <w:vAlign w:val="bottom"/>
          </w:tcPr>
          <w:p w14:paraId="70AD68C3" w14:textId="77777777" w:rsidR="003C322E" w:rsidRPr="003C322E" w:rsidRDefault="003C322E" w:rsidP="003C322E">
            <w:pPr>
              <w:suppressAutoHyphens w:val="0"/>
              <w:spacing w:line="240" w:lineRule="auto"/>
              <w:rPr>
                <w:lang w:val="en-US"/>
              </w:rPr>
            </w:pPr>
            <w:r w:rsidRPr="003C322E">
              <w:rPr>
                <w:lang w:val="en-US"/>
              </w:rPr>
              <w:t>UN/ECE/GHS</w:t>
            </w:r>
          </w:p>
        </w:tc>
        <w:tc>
          <w:tcPr>
            <w:tcW w:w="4422" w:type="dxa"/>
            <w:shd w:val="clear" w:color="auto" w:fill="auto"/>
            <w:noWrap/>
            <w:vAlign w:val="bottom"/>
          </w:tcPr>
          <w:p w14:paraId="4799059D" w14:textId="77777777" w:rsidR="003C322E" w:rsidRPr="003C322E" w:rsidRDefault="003C322E" w:rsidP="003C322E">
            <w:pPr>
              <w:suppressAutoHyphens w:val="0"/>
              <w:spacing w:line="240" w:lineRule="auto"/>
              <w:rPr>
                <w:lang w:val="en-US"/>
              </w:rPr>
            </w:pPr>
            <w:r w:rsidRPr="003C322E">
              <w:rPr>
                <w:lang w:val="en-US"/>
              </w:rPr>
              <w:t>Rosa.Garcia.Couto@unece.org</w:t>
            </w:r>
          </w:p>
        </w:tc>
      </w:tr>
    </w:tbl>
    <w:p w14:paraId="6F3512EB" w14:textId="77777777" w:rsidR="00E92815" w:rsidRDefault="00E92815" w:rsidP="0048028F">
      <w:pPr>
        <w:pStyle w:val="SingleTxtG"/>
        <w:spacing w:before="240" w:after="0" w:line="240" w:lineRule="auto"/>
        <w:jc w:val="center"/>
        <w:rPr>
          <w:u w:val="single"/>
          <w:lang w:val="en-US" w:eastAsia="ko-KR"/>
        </w:rPr>
      </w:pPr>
      <w:r>
        <w:rPr>
          <w:u w:val="single"/>
          <w:lang w:val="en-US" w:eastAsia="ko-KR"/>
        </w:rPr>
        <w:tab/>
      </w:r>
      <w:r>
        <w:rPr>
          <w:u w:val="single"/>
          <w:lang w:val="en-US" w:eastAsia="ko-KR"/>
        </w:rPr>
        <w:tab/>
      </w:r>
      <w:r>
        <w:rPr>
          <w:u w:val="single"/>
          <w:lang w:val="en-US" w:eastAsia="ko-KR"/>
        </w:rPr>
        <w:tab/>
      </w:r>
    </w:p>
    <w:p w14:paraId="6223AE77" w14:textId="6C1730C1" w:rsidR="00E92815" w:rsidRDefault="00E02A97" w:rsidP="0048028F">
      <w:pPr>
        <w:pStyle w:val="HChG"/>
        <w:spacing w:line="240" w:lineRule="auto"/>
        <w:ind w:left="0" w:right="39" w:firstLine="0"/>
        <w:rPr>
          <w:rFonts w:eastAsia="MS Mincho"/>
          <w:sz w:val="26"/>
          <w:lang w:val="en-US" w:eastAsia="ja-JP"/>
        </w:rPr>
      </w:pPr>
      <w:r>
        <w:rPr>
          <w:u w:val="single"/>
        </w:rPr>
        <w:br w:type="page"/>
      </w:r>
      <w:bookmarkStart w:id="2" w:name="Annex2"/>
      <w:bookmarkEnd w:id="2"/>
      <w:r w:rsidR="00E92815">
        <w:rPr>
          <w:rFonts w:eastAsia="MS Mincho"/>
          <w:lang w:val="en-US" w:eastAsia="ja-JP"/>
        </w:rPr>
        <w:lastRenderedPageBreak/>
        <w:t>Annex 2</w:t>
      </w:r>
      <w:r w:rsidR="00E92815">
        <w:rPr>
          <w:rFonts w:eastAsia="MS Mincho"/>
          <w:lang w:val="en-US" w:eastAsia="ja-JP"/>
        </w:rPr>
        <w:br/>
      </w:r>
      <w:r w:rsidR="00E92815" w:rsidRPr="00AF5B84">
        <w:rPr>
          <w:rFonts w:eastAsia="MS Mincho"/>
          <w:sz w:val="26"/>
          <w:lang w:val="en-US" w:eastAsia="ja-JP"/>
        </w:rPr>
        <w:t xml:space="preserve">Working Group on Explosives </w:t>
      </w:r>
      <w:r w:rsidR="00C7757F" w:rsidRPr="00092CF5">
        <w:rPr>
          <w:rFonts w:eastAsia="MS Mincho"/>
          <w:sz w:val="26"/>
          <w:lang w:val="en-US" w:eastAsia="ja-JP"/>
        </w:rPr>
        <w:t>(</w:t>
      </w:r>
      <w:r w:rsidR="00B055A3">
        <w:rPr>
          <w:rFonts w:eastAsia="MS Mincho"/>
          <w:sz w:val="26"/>
          <w:lang w:val="en-US" w:eastAsia="ja-JP"/>
        </w:rPr>
        <w:t>27 June - 1 July 2016</w:t>
      </w:r>
      <w:proofErr w:type="gramStart"/>
      <w:r w:rsidR="00C7757F" w:rsidRPr="00092CF5">
        <w:rPr>
          <w:rFonts w:eastAsia="MS Mincho"/>
          <w:sz w:val="26"/>
          <w:lang w:val="en-US" w:eastAsia="ja-JP"/>
        </w:rPr>
        <w:t>)</w:t>
      </w:r>
      <w:proofErr w:type="gramEnd"/>
      <w:r w:rsidR="00E92815" w:rsidRPr="00AF5B84">
        <w:rPr>
          <w:rFonts w:eastAsia="MS Mincho"/>
          <w:sz w:val="26"/>
          <w:lang w:val="en-US" w:eastAsia="ja-JP"/>
        </w:rPr>
        <w:br/>
      </w:r>
      <w:r w:rsidR="001B412D">
        <w:rPr>
          <w:rFonts w:eastAsia="MS Mincho"/>
          <w:sz w:val="26"/>
          <w:lang w:val="en-US" w:eastAsia="ja-JP"/>
        </w:rPr>
        <w:t>Changes for the Model Regulations (19th Revised Edition)</w:t>
      </w:r>
    </w:p>
    <w:p w14:paraId="00A3C265" w14:textId="77777777" w:rsidR="002B72B9" w:rsidRPr="00195E9D" w:rsidRDefault="002B72B9" w:rsidP="0048028F">
      <w:pPr>
        <w:tabs>
          <w:tab w:val="left" w:pos="720"/>
        </w:tabs>
        <w:spacing w:line="240" w:lineRule="auto"/>
        <w:ind w:right="43"/>
        <w:rPr>
          <w:b/>
        </w:rPr>
      </w:pPr>
      <w:r w:rsidRPr="00195E9D">
        <w:rPr>
          <w:rFonts w:eastAsia="MS Mincho"/>
          <w:lang w:eastAsia="ja-JP"/>
        </w:rPr>
        <w:t xml:space="preserve">Notes:  Source of proposed change </w:t>
      </w:r>
      <w:proofErr w:type="gramStart"/>
      <w:r w:rsidRPr="00195E9D">
        <w:rPr>
          <w:rFonts w:eastAsia="MS Mincho"/>
          <w:lang w:eastAsia="ja-JP"/>
        </w:rPr>
        <w:t>is indicated</w:t>
      </w:r>
      <w:proofErr w:type="gramEnd"/>
      <w:r w:rsidRPr="00195E9D">
        <w:rPr>
          <w:rFonts w:eastAsia="MS Mincho"/>
          <w:lang w:eastAsia="ja-JP"/>
        </w:rPr>
        <w:t xml:space="preserve"> by </w:t>
      </w:r>
      <w:r w:rsidRPr="00195E9D">
        <w:rPr>
          <w:rFonts w:eastAsia="MS Mincho"/>
          <w:i/>
          <w:lang w:eastAsia="ja-JP"/>
        </w:rPr>
        <w:t>italicized text (Source:  XXX)</w:t>
      </w:r>
      <w:r w:rsidRPr="00195E9D">
        <w:rPr>
          <w:b/>
        </w:rPr>
        <w:t xml:space="preserve">  </w:t>
      </w:r>
    </w:p>
    <w:p w14:paraId="25653C17" w14:textId="77777777" w:rsidR="002B72B9" w:rsidRPr="00195E9D" w:rsidRDefault="002B72B9" w:rsidP="0048028F">
      <w:pPr>
        <w:tabs>
          <w:tab w:val="left" w:pos="630"/>
        </w:tabs>
        <w:spacing w:line="240" w:lineRule="auto"/>
        <w:ind w:right="43"/>
      </w:pPr>
      <w:r w:rsidRPr="00195E9D">
        <w:rPr>
          <w:color w:val="FF0000"/>
        </w:rPr>
        <w:tab/>
      </w:r>
      <w:r w:rsidRPr="00195E9D">
        <w:rPr>
          <w:strike/>
          <w:color w:val="FF0000"/>
        </w:rPr>
        <w:t>Red</w:t>
      </w:r>
      <w:r w:rsidRPr="00195E9D">
        <w:t xml:space="preserve"> indicates deleted text</w:t>
      </w:r>
    </w:p>
    <w:p w14:paraId="37BEF5F4" w14:textId="77777777" w:rsidR="002B72B9" w:rsidRPr="00195E9D" w:rsidRDefault="002B72B9" w:rsidP="0048028F">
      <w:pPr>
        <w:tabs>
          <w:tab w:val="left" w:pos="630"/>
        </w:tabs>
        <w:spacing w:after="120" w:line="240" w:lineRule="auto"/>
        <w:ind w:right="43"/>
      </w:pPr>
      <w:r w:rsidRPr="00195E9D">
        <w:rPr>
          <w:color w:val="0070C0"/>
        </w:rPr>
        <w:tab/>
      </w:r>
      <w:r w:rsidRPr="00195E9D">
        <w:rPr>
          <w:color w:val="0070C0"/>
          <w:u w:val="single"/>
        </w:rPr>
        <w:t>Blue</w:t>
      </w:r>
      <w:r w:rsidRPr="00195E9D">
        <w:rPr>
          <w:color w:val="0070C0"/>
        </w:rPr>
        <w:t xml:space="preserve"> </w:t>
      </w:r>
      <w:r w:rsidRPr="00195E9D">
        <w:t>indicates inserted text</w:t>
      </w:r>
    </w:p>
    <w:p w14:paraId="3D5A962C" w14:textId="77777777" w:rsidR="00EE4C7C" w:rsidRPr="00195E9D" w:rsidRDefault="00EE4C7C" w:rsidP="0048028F">
      <w:pPr>
        <w:pStyle w:val="SingleTxtG"/>
        <w:keepNext/>
        <w:keepLines/>
        <w:numPr>
          <w:ilvl w:val="0"/>
          <w:numId w:val="5"/>
        </w:numPr>
        <w:pBdr>
          <w:top w:val="single" w:sz="4" w:space="1" w:color="auto"/>
        </w:pBdr>
        <w:spacing w:line="240" w:lineRule="auto"/>
        <w:ind w:right="43"/>
        <w:rPr>
          <w:b/>
        </w:rPr>
      </w:pPr>
    </w:p>
    <w:p w14:paraId="573FF7C4" w14:textId="7F5F314D" w:rsidR="00E92815" w:rsidRPr="00195E9D" w:rsidRDefault="00C41189" w:rsidP="0048028F">
      <w:pPr>
        <w:pStyle w:val="SingleTxtG"/>
        <w:keepNext/>
        <w:keepLines/>
        <w:spacing w:line="240" w:lineRule="auto"/>
        <w:ind w:left="0" w:right="39"/>
      </w:pPr>
      <w:r>
        <w:rPr>
          <w:b/>
          <w:u w:val="single"/>
        </w:rPr>
        <w:t>Chapter 3.2, Dangerous Goods List</w:t>
      </w:r>
      <w:r w:rsidR="002B72B9" w:rsidRPr="00195E9D">
        <w:rPr>
          <w:b/>
        </w:rPr>
        <w:t xml:space="preserve"> </w:t>
      </w:r>
      <w:r w:rsidR="00E92815" w:rsidRPr="00195E9D">
        <w:t xml:space="preserve">– </w:t>
      </w:r>
      <w:r>
        <w:t>Insert “347” in Column 6 (Special Provisions) against the following UN Nos.:  0349, 0367, 0384, and 481</w:t>
      </w:r>
    </w:p>
    <w:p w14:paraId="41AB78F4" w14:textId="558E4EC2" w:rsidR="00E92815" w:rsidRPr="00195E9D" w:rsidRDefault="00C2138C" w:rsidP="0048028F">
      <w:pPr>
        <w:pStyle w:val="SingleTxtG"/>
        <w:keepNext/>
        <w:keepLines/>
        <w:spacing w:line="240" w:lineRule="auto"/>
        <w:ind w:left="0" w:right="39"/>
        <w:rPr>
          <w:i/>
        </w:rPr>
      </w:pPr>
      <w:proofErr w:type="gramStart"/>
      <w:r w:rsidRPr="00195E9D">
        <w:rPr>
          <w:i/>
        </w:rPr>
        <w:t>Source:  ST/SG/AC.10/C.3</w:t>
      </w:r>
      <w:r w:rsidR="004276FE">
        <w:rPr>
          <w:i/>
        </w:rPr>
        <w:t>/2016/</w:t>
      </w:r>
      <w:r w:rsidR="00C41189">
        <w:rPr>
          <w:i/>
        </w:rPr>
        <w:t>18</w:t>
      </w:r>
      <w:r w:rsidRPr="00195E9D">
        <w:rPr>
          <w:i/>
        </w:rPr>
        <w:t>, Para.</w:t>
      </w:r>
      <w:proofErr w:type="gramEnd"/>
      <w:r w:rsidRPr="00195E9D">
        <w:rPr>
          <w:i/>
        </w:rPr>
        <w:t xml:space="preserve"> </w:t>
      </w:r>
      <w:proofErr w:type="gramStart"/>
      <w:r w:rsidR="005604D9">
        <w:rPr>
          <w:i/>
        </w:rPr>
        <w:t>1</w:t>
      </w:r>
      <w:r w:rsidR="00FF1CE8">
        <w:rPr>
          <w:i/>
        </w:rPr>
        <w:t>5</w:t>
      </w:r>
      <w:proofErr w:type="gramEnd"/>
      <w:r w:rsidR="004F7FF4" w:rsidRPr="00195E9D">
        <w:rPr>
          <w:i/>
        </w:rPr>
        <w:t xml:space="preserve"> and Para. </w:t>
      </w:r>
      <w:proofErr w:type="gramStart"/>
      <w:r w:rsidR="005604D9">
        <w:rPr>
          <w:i/>
        </w:rPr>
        <w:t>7</w:t>
      </w:r>
      <w:proofErr w:type="gramEnd"/>
      <w:r w:rsidR="004F7FF4" w:rsidRPr="00195E9D">
        <w:rPr>
          <w:i/>
        </w:rPr>
        <w:t xml:space="preserve"> of this report.</w:t>
      </w:r>
    </w:p>
    <w:p w14:paraId="0216B131" w14:textId="4A26B446" w:rsidR="000704F4" w:rsidRPr="00E23862" w:rsidRDefault="000704F4" w:rsidP="00E23862">
      <w:pPr>
        <w:pStyle w:val="SingleTxtG"/>
        <w:pBdr>
          <w:top w:val="single" w:sz="4" w:space="1" w:color="auto"/>
        </w:pBdr>
        <w:spacing w:line="240" w:lineRule="auto"/>
        <w:ind w:left="0" w:right="43"/>
        <w:rPr>
          <w:b/>
        </w:rPr>
      </w:pPr>
    </w:p>
    <w:p w14:paraId="33105619" w14:textId="04F06702" w:rsidR="001B412D" w:rsidRPr="00E30980" w:rsidRDefault="00BC60D1" w:rsidP="0048028F">
      <w:pPr>
        <w:pStyle w:val="SingleTxtG"/>
        <w:spacing w:before="240" w:line="240" w:lineRule="auto"/>
        <w:ind w:left="0" w:right="43"/>
        <w:rPr>
          <w:i/>
        </w:rPr>
      </w:pPr>
      <w:r>
        <w:rPr>
          <w:u w:val="single"/>
        </w:rPr>
        <w:br w:type="page"/>
      </w:r>
    </w:p>
    <w:p w14:paraId="1CA1B7B0" w14:textId="136ACB06" w:rsidR="001B412D" w:rsidRDefault="001B412D" w:rsidP="0048028F">
      <w:pPr>
        <w:pStyle w:val="HChG"/>
        <w:spacing w:line="240" w:lineRule="auto"/>
        <w:ind w:left="0" w:right="39" w:firstLine="0"/>
        <w:rPr>
          <w:rFonts w:eastAsia="MS Mincho"/>
          <w:sz w:val="26"/>
          <w:lang w:val="en-US" w:eastAsia="ja-JP"/>
        </w:rPr>
      </w:pPr>
      <w:bookmarkStart w:id="3" w:name="Annex3"/>
      <w:bookmarkEnd w:id="3"/>
      <w:r>
        <w:rPr>
          <w:rFonts w:eastAsia="MS Mincho"/>
          <w:lang w:val="en-US" w:eastAsia="ja-JP"/>
        </w:rPr>
        <w:lastRenderedPageBreak/>
        <w:t>Annex 3</w:t>
      </w:r>
      <w:r>
        <w:rPr>
          <w:rFonts w:eastAsia="MS Mincho"/>
          <w:lang w:val="en-US" w:eastAsia="ja-JP"/>
        </w:rPr>
        <w:br/>
      </w:r>
      <w:r w:rsidRPr="00AF5B84">
        <w:rPr>
          <w:rFonts w:eastAsia="MS Mincho"/>
          <w:sz w:val="26"/>
          <w:lang w:val="en-US" w:eastAsia="ja-JP"/>
        </w:rPr>
        <w:t xml:space="preserve">Working Group on Explosives </w:t>
      </w:r>
      <w:r w:rsidRPr="00092CF5">
        <w:rPr>
          <w:rFonts w:eastAsia="MS Mincho"/>
          <w:sz w:val="26"/>
          <w:lang w:val="en-US" w:eastAsia="ja-JP"/>
        </w:rPr>
        <w:t>(</w:t>
      </w:r>
      <w:r w:rsidR="00B055A3">
        <w:rPr>
          <w:rFonts w:eastAsia="MS Mincho"/>
          <w:sz w:val="26"/>
          <w:lang w:val="en-US" w:eastAsia="ja-JP"/>
        </w:rPr>
        <w:t>27 June - 1 July 2016</w:t>
      </w:r>
      <w:proofErr w:type="gramStart"/>
      <w:r w:rsidRPr="00092CF5">
        <w:rPr>
          <w:rFonts w:eastAsia="MS Mincho"/>
          <w:sz w:val="26"/>
          <w:lang w:val="en-US" w:eastAsia="ja-JP"/>
        </w:rPr>
        <w:t>)</w:t>
      </w:r>
      <w:proofErr w:type="gramEnd"/>
      <w:r w:rsidRPr="00AF5B84">
        <w:rPr>
          <w:rFonts w:eastAsia="MS Mincho"/>
          <w:sz w:val="26"/>
          <w:lang w:val="en-US" w:eastAsia="ja-JP"/>
        </w:rPr>
        <w:br/>
      </w:r>
      <w:r>
        <w:rPr>
          <w:rFonts w:eastAsia="MS Mincho"/>
          <w:sz w:val="26"/>
          <w:lang w:val="en-US" w:eastAsia="ja-JP"/>
        </w:rPr>
        <w:t>Changes for the Test Manual (6th Revised Edition)</w:t>
      </w:r>
    </w:p>
    <w:p w14:paraId="67F6829C" w14:textId="2D1F6FCB" w:rsidR="001B412D" w:rsidRPr="00195E9D" w:rsidRDefault="001B412D" w:rsidP="0048028F">
      <w:pPr>
        <w:tabs>
          <w:tab w:val="left" w:pos="720"/>
        </w:tabs>
        <w:spacing w:line="240" w:lineRule="auto"/>
        <w:ind w:right="43"/>
        <w:rPr>
          <w:b/>
        </w:rPr>
      </w:pPr>
      <w:r w:rsidRPr="00195E9D">
        <w:rPr>
          <w:rFonts w:eastAsia="MS Mincho"/>
          <w:lang w:eastAsia="ja-JP"/>
        </w:rPr>
        <w:t>Note</w:t>
      </w:r>
      <w:r w:rsidR="00AB42E1" w:rsidRPr="00195E9D">
        <w:rPr>
          <w:rFonts w:eastAsia="MS Mincho"/>
          <w:lang w:eastAsia="ja-JP"/>
        </w:rPr>
        <w:t>s</w:t>
      </w:r>
      <w:r w:rsidRPr="00195E9D">
        <w:rPr>
          <w:rFonts w:eastAsia="MS Mincho"/>
          <w:lang w:eastAsia="ja-JP"/>
        </w:rPr>
        <w:t xml:space="preserve">:  Source of proposed change </w:t>
      </w:r>
      <w:proofErr w:type="gramStart"/>
      <w:r w:rsidRPr="00195E9D">
        <w:rPr>
          <w:rFonts w:eastAsia="MS Mincho"/>
          <w:lang w:eastAsia="ja-JP"/>
        </w:rPr>
        <w:t>is indicated</w:t>
      </w:r>
      <w:proofErr w:type="gramEnd"/>
      <w:r w:rsidRPr="00195E9D">
        <w:rPr>
          <w:rFonts w:eastAsia="MS Mincho"/>
          <w:lang w:eastAsia="ja-JP"/>
        </w:rPr>
        <w:t xml:space="preserve"> by </w:t>
      </w:r>
      <w:r w:rsidRPr="00195E9D">
        <w:rPr>
          <w:rFonts w:eastAsia="MS Mincho"/>
          <w:i/>
          <w:lang w:eastAsia="ja-JP"/>
        </w:rPr>
        <w:t>italicized text (Source:  XXX)</w:t>
      </w:r>
      <w:r w:rsidRPr="00195E9D">
        <w:rPr>
          <w:b/>
        </w:rPr>
        <w:t xml:space="preserve">  </w:t>
      </w:r>
    </w:p>
    <w:p w14:paraId="148C5B2F" w14:textId="26C11024" w:rsidR="00AB42E1" w:rsidRPr="00195E9D" w:rsidRDefault="00AB42E1" w:rsidP="0048028F">
      <w:pPr>
        <w:tabs>
          <w:tab w:val="left" w:pos="630"/>
        </w:tabs>
        <w:spacing w:line="240" w:lineRule="auto"/>
        <w:ind w:right="43"/>
      </w:pPr>
      <w:r w:rsidRPr="00195E9D">
        <w:rPr>
          <w:color w:val="FF0000"/>
        </w:rPr>
        <w:tab/>
      </w:r>
      <w:r w:rsidRPr="00195E9D">
        <w:rPr>
          <w:strike/>
          <w:color w:val="FF0000"/>
        </w:rPr>
        <w:t>Red</w:t>
      </w:r>
      <w:r w:rsidRPr="00195E9D">
        <w:t xml:space="preserve"> indicates deleted text</w:t>
      </w:r>
    </w:p>
    <w:p w14:paraId="6792D08C" w14:textId="57950673" w:rsidR="00AB42E1" w:rsidRPr="00195E9D" w:rsidRDefault="00AB42E1" w:rsidP="0048028F">
      <w:pPr>
        <w:tabs>
          <w:tab w:val="left" w:pos="630"/>
        </w:tabs>
        <w:spacing w:after="120" w:line="240" w:lineRule="auto"/>
        <w:ind w:right="43"/>
      </w:pPr>
      <w:r w:rsidRPr="00195E9D">
        <w:rPr>
          <w:color w:val="0070C0"/>
        </w:rPr>
        <w:tab/>
      </w:r>
      <w:r w:rsidRPr="00195E9D">
        <w:rPr>
          <w:color w:val="0070C0"/>
          <w:u w:val="single"/>
        </w:rPr>
        <w:t>Blue</w:t>
      </w:r>
      <w:r w:rsidRPr="00195E9D">
        <w:rPr>
          <w:color w:val="0070C0"/>
        </w:rPr>
        <w:t xml:space="preserve"> </w:t>
      </w:r>
      <w:r w:rsidRPr="00195E9D">
        <w:t>indicates inserted text</w:t>
      </w:r>
    </w:p>
    <w:p w14:paraId="7D16B41F" w14:textId="77777777" w:rsidR="00BC5DEC" w:rsidRPr="00195E9D" w:rsidRDefault="00BC5DEC" w:rsidP="00BC5DEC">
      <w:pPr>
        <w:pStyle w:val="SingleTxtG"/>
        <w:numPr>
          <w:ilvl w:val="0"/>
          <w:numId w:val="15"/>
        </w:numPr>
        <w:pBdr>
          <w:top w:val="single" w:sz="4" w:space="1" w:color="auto"/>
        </w:pBdr>
        <w:spacing w:line="240" w:lineRule="auto"/>
        <w:ind w:right="43"/>
        <w:rPr>
          <w:b/>
        </w:rPr>
      </w:pPr>
    </w:p>
    <w:p w14:paraId="6B090C16" w14:textId="77777777" w:rsidR="00BC5DEC" w:rsidRPr="00195E9D" w:rsidRDefault="00BC5DEC" w:rsidP="00BC5DEC">
      <w:pPr>
        <w:pStyle w:val="SingleTxtG"/>
        <w:spacing w:line="240" w:lineRule="auto"/>
        <w:ind w:left="0" w:right="39"/>
      </w:pPr>
      <w:r w:rsidRPr="00195E9D">
        <w:rPr>
          <w:b/>
          <w:u w:val="single"/>
        </w:rPr>
        <w:t>Section</w:t>
      </w:r>
      <w:r>
        <w:rPr>
          <w:b/>
          <w:u w:val="single"/>
        </w:rPr>
        <w:t xml:space="preserve"> </w:t>
      </w:r>
      <w:proofErr w:type="gramStart"/>
      <w:r w:rsidRPr="00B055A3">
        <w:rPr>
          <w:b/>
          <w:u w:val="single"/>
        </w:rPr>
        <w:t>11.5.1.2.1</w:t>
      </w:r>
      <w:r w:rsidRPr="00195E9D">
        <w:rPr>
          <w:b/>
          <w:u w:val="single"/>
        </w:rPr>
        <w:t xml:space="preserve"> </w:t>
      </w:r>
      <w:r w:rsidRPr="00195E9D">
        <w:rPr>
          <w:b/>
        </w:rPr>
        <w:t xml:space="preserve"> </w:t>
      </w:r>
      <w:r w:rsidRPr="00195E9D">
        <w:t>–</w:t>
      </w:r>
      <w:proofErr w:type="gramEnd"/>
      <w:r w:rsidRPr="00195E9D">
        <w:t xml:space="preserve"> amend </w:t>
      </w:r>
      <w:r>
        <w:t xml:space="preserve">sub-para (d) </w:t>
      </w:r>
      <w:r w:rsidRPr="00195E9D">
        <w:t>as shown below:</w:t>
      </w:r>
    </w:p>
    <w:p w14:paraId="55218786" w14:textId="43538CAE" w:rsidR="00BC5DEC" w:rsidRPr="00B055A3" w:rsidRDefault="00BC5DEC" w:rsidP="00BC5DEC">
      <w:pPr>
        <w:pStyle w:val="SingleTxtG"/>
        <w:spacing w:line="240" w:lineRule="auto"/>
        <w:ind w:left="1170" w:right="39" w:hanging="603"/>
        <w:rPr>
          <w:sz w:val="22"/>
        </w:rPr>
      </w:pPr>
      <w:r>
        <w:rPr>
          <w:sz w:val="22"/>
          <w:szCs w:val="22"/>
        </w:rPr>
        <w:t>(d)</w:t>
      </w:r>
      <w:r>
        <w:rPr>
          <w:sz w:val="22"/>
          <w:szCs w:val="22"/>
        </w:rPr>
        <w:tab/>
      </w:r>
      <w:r w:rsidRPr="00161ADB">
        <w:rPr>
          <w:sz w:val="22"/>
        </w:rPr>
        <w:t xml:space="preserve">The bursting pressure as determined by quasi-static load through an incompressible fluid shall be </w:t>
      </w:r>
      <w:r w:rsidRPr="00D8703E">
        <w:rPr>
          <w:strike/>
          <w:color w:val="FF0000"/>
        </w:rPr>
        <w:t>30 ± 3 MPa</w:t>
      </w:r>
      <w:r w:rsidRPr="00B055A3">
        <w:rPr>
          <w:color w:val="0070C0"/>
          <w:u w:val="single"/>
        </w:rPr>
        <w:t>2</w:t>
      </w:r>
      <w:r>
        <w:rPr>
          <w:color w:val="0070C0"/>
          <w:u w:val="single"/>
        </w:rPr>
        <w:t>9</w:t>
      </w:r>
      <w:r w:rsidRPr="00B055A3">
        <w:rPr>
          <w:color w:val="0070C0"/>
          <w:u w:val="single"/>
        </w:rPr>
        <w:t xml:space="preserve"> </w:t>
      </w:r>
      <w:proofErr w:type="spellStart"/>
      <w:r w:rsidRPr="00B055A3">
        <w:rPr>
          <w:color w:val="0070C0"/>
          <w:u w:val="single"/>
        </w:rPr>
        <w:t>MPa</w:t>
      </w:r>
      <w:proofErr w:type="spellEnd"/>
      <w:r w:rsidRPr="00B055A3">
        <w:rPr>
          <w:color w:val="0070C0"/>
          <w:u w:val="single"/>
        </w:rPr>
        <w:t xml:space="preserve"> ± 4 </w:t>
      </w:r>
      <w:proofErr w:type="spellStart"/>
      <w:r w:rsidRPr="00B055A3">
        <w:rPr>
          <w:color w:val="0070C0"/>
          <w:u w:val="single"/>
        </w:rPr>
        <w:t>MPa</w:t>
      </w:r>
      <w:proofErr w:type="spellEnd"/>
      <w:r w:rsidRPr="00161ADB">
        <w:rPr>
          <w:sz w:val="22"/>
        </w:rPr>
        <w:t>.</w:t>
      </w:r>
    </w:p>
    <w:p w14:paraId="0259104D" w14:textId="09338491" w:rsidR="00BC5DEC" w:rsidRPr="00195E9D" w:rsidRDefault="00BC5DEC" w:rsidP="00BC5DEC">
      <w:pPr>
        <w:pStyle w:val="SingleTxtG"/>
        <w:spacing w:line="240" w:lineRule="auto"/>
        <w:ind w:left="0" w:right="39"/>
        <w:rPr>
          <w:i/>
        </w:rPr>
      </w:pPr>
      <w:proofErr w:type="gramStart"/>
      <w:r w:rsidRPr="00195E9D">
        <w:rPr>
          <w:i/>
        </w:rPr>
        <w:t>Source:  ST/SG/AC.10/C.3</w:t>
      </w:r>
      <w:r>
        <w:rPr>
          <w:i/>
        </w:rPr>
        <w:t>/2016/6</w:t>
      </w:r>
      <w:r w:rsidRPr="00195E9D">
        <w:rPr>
          <w:i/>
        </w:rPr>
        <w:t>, Para.</w:t>
      </w:r>
      <w:proofErr w:type="gramEnd"/>
      <w:r w:rsidRPr="00195E9D">
        <w:rPr>
          <w:i/>
        </w:rPr>
        <w:t xml:space="preserve"> </w:t>
      </w:r>
      <w:proofErr w:type="gramStart"/>
      <w:r>
        <w:rPr>
          <w:i/>
        </w:rPr>
        <w:t>6</w:t>
      </w:r>
      <w:proofErr w:type="gramEnd"/>
      <w:r w:rsidRPr="00195E9D">
        <w:rPr>
          <w:i/>
        </w:rPr>
        <w:t xml:space="preserve"> </w:t>
      </w:r>
      <w:r>
        <w:rPr>
          <w:i/>
        </w:rPr>
        <w:t xml:space="preserve">(as amended by the working group) </w:t>
      </w:r>
      <w:r w:rsidRPr="00195E9D">
        <w:rPr>
          <w:i/>
        </w:rPr>
        <w:t xml:space="preserve">and Para. </w:t>
      </w:r>
      <w:proofErr w:type="gramStart"/>
      <w:r>
        <w:rPr>
          <w:i/>
        </w:rPr>
        <w:t>6</w:t>
      </w:r>
      <w:proofErr w:type="gramEnd"/>
      <w:r w:rsidRPr="00195E9D">
        <w:rPr>
          <w:i/>
        </w:rPr>
        <w:t xml:space="preserve"> of this report.</w:t>
      </w:r>
    </w:p>
    <w:p w14:paraId="2DD30DAD" w14:textId="77777777" w:rsidR="00BC5DEC" w:rsidRPr="00195E9D" w:rsidRDefault="00BC5DEC" w:rsidP="00BC5DEC">
      <w:pPr>
        <w:pStyle w:val="SingleTxtG"/>
        <w:numPr>
          <w:ilvl w:val="0"/>
          <w:numId w:val="15"/>
        </w:numPr>
        <w:pBdr>
          <w:top w:val="single" w:sz="4" w:space="1" w:color="auto"/>
        </w:pBdr>
        <w:spacing w:line="240" w:lineRule="auto"/>
        <w:ind w:right="43"/>
        <w:rPr>
          <w:b/>
        </w:rPr>
      </w:pPr>
    </w:p>
    <w:p w14:paraId="14C06611" w14:textId="77777777" w:rsidR="00BC5DEC" w:rsidRPr="00195E9D" w:rsidRDefault="00BC5DEC" w:rsidP="00BC5DEC">
      <w:pPr>
        <w:pStyle w:val="SingleTxtG"/>
        <w:spacing w:line="240" w:lineRule="auto"/>
        <w:ind w:left="0" w:right="39"/>
      </w:pPr>
      <w:r w:rsidRPr="00195E9D">
        <w:rPr>
          <w:b/>
          <w:u w:val="single"/>
        </w:rPr>
        <w:t>Section</w:t>
      </w:r>
      <w:r>
        <w:rPr>
          <w:b/>
          <w:u w:val="single"/>
        </w:rPr>
        <w:t xml:space="preserve"> </w:t>
      </w:r>
      <w:proofErr w:type="gramStart"/>
      <w:r w:rsidRPr="00AF1671">
        <w:rPr>
          <w:b/>
          <w:u w:val="single"/>
        </w:rPr>
        <w:t>12.5.1.2.1</w:t>
      </w:r>
      <w:r w:rsidRPr="00195E9D">
        <w:rPr>
          <w:b/>
          <w:u w:val="single"/>
        </w:rPr>
        <w:t xml:space="preserve"> </w:t>
      </w:r>
      <w:r w:rsidRPr="00195E9D">
        <w:rPr>
          <w:b/>
        </w:rPr>
        <w:t xml:space="preserve"> </w:t>
      </w:r>
      <w:r w:rsidRPr="00195E9D">
        <w:t>–</w:t>
      </w:r>
      <w:proofErr w:type="gramEnd"/>
      <w:r w:rsidRPr="00195E9D">
        <w:t xml:space="preserve"> amend</w:t>
      </w:r>
      <w:r>
        <w:t xml:space="preserve"> sub-para (d)</w:t>
      </w:r>
      <w:r w:rsidRPr="00195E9D">
        <w:t xml:space="preserve"> as shown below:</w:t>
      </w:r>
    </w:p>
    <w:p w14:paraId="341857D8" w14:textId="5A12EF12" w:rsidR="00BC5DEC" w:rsidRPr="00B055A3" w:rsidRDefault="00BC5DEC" w:rsidP="00BC5DEC">
      <w:pPr>
        <w:pStyle w:val="SingleTxtG"/>
        <w:spacing w:line="240" w:lineRule="auto"/>
        <w:ind w:left="1170" w:right="39" w:hanging="603"/>
        <w:rPr>
          <w:sz w:val="22"/>
        </w:rPr>
      </w:pPr>
      <w:r>
        <w:rPr>
          <w:sz w:val="22"/>
          <w:szCs w:val="22"/>
        </w:rPr>
        <w:t>(d)</w:t>
      </w:r>
      <w:r>
        <w:rPr>
          <w:sz w:val="22"/>
          <w:szCs w:val="22"/>
        </w:rPr>
        <w:tab/>
      </w:r>
      <w:r w:rsidRPr="00161ADB">
        <w:rPr>
          <w:sz w:val="22"/>
        </w:rPr>
        <w:t xml:space="preserve">The bursting pressure as determined by quasi-static load through an incompressible fluid shall be </w:t>
      </w:r>
      <w:r w:rsidRPr="00D8703E">
        <w:rPr>
          <w:strike/>
          <w:color w:val="FF0000"/>
        </w:rPr>
        <w:t>30 ± 3 MPa</w:t>
      </w:r>
      <w:r w:rsidRPr="00B055A3">
        <w:rPr>
          <w:color w:val="0070C0"/>
          <w:u w:val="single"/>
        </w:rPr>
        <w:t>2</w:t>
      </w:r>
      <w:r>
        <w:rPr>
          <w:color w:val="0070C0"/>
          <w:u w:val="single"/>
        </w:rPr>
        <w:t>9</w:t>
      </w:r>
      <w:r w:rsidRPr="00B055A3">
        <w:rPr>
          <w:color w:val="0070C0"/>
          <w:u w:val="single"/>
        </w:rPr>
        <w:t xml:space="preserve"> </w:t>
      </w:r>
      <w:proofErr w:type="spellStart"/>
      <w:r w:rsidRPr="00B055A3">
        <w:rPr>
          <w:color w:val="0070C0"/>
          <w:u w:val="single"/>
        </w:rPr>
        <w:t>MPa</w:t>
      </w:r>
      <w:proofErr w:type="spellEnd"/>
      <w:r w:rsidRPr="00B055A3">
        <w:rPr>
          <w:color w:val="0070C0"/>
          <w:u w:val="single"/>
        </w:rPr>
        <w:t xml:space="preserve"> ± 4 </w:t>
      </w:r>
      <w:proofErr w:type="spellStart"/>
      <w:r w:rsidRPr="00B055A3">
        <w:rPr>
          <w:color w:val="0070C0"/>
          <w:u w:val="single"/>
        </w:rPr>
        <w:t>MPa</w:t>
      </w:r>
      <w:proofErr w:type="spellEnd"/>
      <w:r w:rsidRPr="00161ADB">
        <w:rPr>
          <w:sz w:val="22"/>
        </w:rPr>
        <w:t>.</w:t>
      </w:r>
    </w:p>
    <w:p w14:paraId="24EEBFC1" w14:textId="6CCAB5AD" w:rsidR="00BC5DEC" w:rsidRPr="00195E9D" w:rsidRDefault="00BC5DEC" w:rsidP="00BC5DEC">
      <w:pPr>
        <w:pStyle w:val="SingleTxtG"/>
        <w:spacing w:line="240" w:lineRule="auto"/>
        <w:ind w:left="0" w:right="39"/>
        <w:rPr>
          <w:i/>
        </w:rPr>
      </w:pPr>
      <w:proofErr w:type="gramStart"/>
      <w:r w:rsidRPr="00195E9D">
        <w:rPr>
          <w:i/>
        </w:rPr>
        <w:t>Source:  ST/SG/AC.10/C.3</w:t>
      </w:r>
      <w:r>
        <w:rPr>
          <w:i/>
        </w:rPr>
        <w:t>/2016/6</w:t>
      </w:r>
      <w:r w:rsidRPr="00195E9D">
        <w:rPr>
          <w:i/>
        </w:rPr>
        <w:t>, Para.</w:t>
      </w:r>
      <w:proofErr w:type="gramEnd"/>
      <w:r w:rsidRPr="00195E9D">
        <w:rPr>
          <w:i/>
        </w:rPr>
        <w:t xml:space="preserve"> </w:t>
      </w:r>
      <w:proofErr w:type="gramStart"/>
      <w:r>
        <w:rPr>
          <w:i/>
        </w:rPr>
        <w:t>6</w:t>
      </w:r>
      <w:proofErr w:type="gramEnd"/>
      <w:r w:rsidRPr="00195E9D">
        <w:rPr>
          <w:i/>
        </w:rPr>
        <w:t xml:space="preserve"> </w:t>
      </w:r>
      <w:r>
        <w:rPr>
          <w:i/>
        </w:rPr>
        <w:t xml:space="preserve">(as amended by the working group) </w:t>
      </w:r>
      <w:r w:rsidRPr="00195E9D">
        <w:rPr>
          <w:i/>
        </w:rPr>
        <w:t xml:space="preserve">and Para. </w:t>
      </w:r>
      <w:proofErr w:type="gramStart"/>
      <w:r>
        <w:rPr>
          <w:i/>
        </w:rPr>
        <w:t>6</w:t>
      </w:r>
      <w:proofErr w:type="gramEnd"/>
      <w:r w:rsidRPr="00195E9D">
        <w:rPr>
          <w:i/>
        </w:rPr>
        <w:t xml:space="preserve"> of this report.</w:t>
      </w:r>
    </w:p>
    <w:p w14:paraId="763F111F" w14:textId="77777777" w:rsidR="00BC5DEC" w:rsidRPr="00195E9D" w:rsidRDefault="00BC5DEC" w:rsidP="00BC5DEC">
      <w:pPr>
        <w:pStyle w:val="SingleTxtG"/>
        <w:numPr>
          <w:ilvl w:val="0"/>
          <w:numId w:val="15"/>
        </w:numPr>
        <w:pBdr>
          <w:top w:val="single" w:sz="4" w:space="1" w:color="auto"/>
        </w:pBdr>
        <w:spacing w:line="240" w:lineRule="auto"/>
        <w:ind w:right="43"/>
        <w:rPr>
          <w:b/>
        </w:rPr>
      </w:pPr>
    </w:p>
    <w:p w14:paraId="6C80D370" w14:textId="77777777" w:rsidR="00BC5DEC" w:rsidRPr="00195E9D" w:rsidRDefault="00BC5DEC" w:rsidP="00BC5DEC">
      <w:pPr>
        <w:pStyle w:val="SingleTxtG"/>
        <w:spacing w:line="240" w:lineRule="auto"/>
        <w:ind w:left="0" w:right="39"/>
      </w:pPr>
      <w:r w:rsidRPr="00195E9D">
        <w:rPr>
          <w:b/>
          <w:u w:val="single"/>
        </w:rPr>
        <w:t>Section</w:t>
      </w:r>
      <w:r>
        <w:rPr>
          <w:b/>
          <w:u w:val="single"/>
        </w:rPr>
        <w:t xml:space="preserve"> </w:t>
      </w:r>
      <w:r w:rsidRPr="00AF1671">
        <w:rPr>
          <w:b/>
          <w:u w:val="single"/>
        </w:rPr>
        <w:t>18.6.1.2.1</w:t>
      </w:r>
      <w:r w:rsidRPr="00195E9D">
        <w:rPr>
          <w:b/>
        </w:rPr>
        <w:t xml:space="preserve"> </w:t>
      </w:r>
      <w:r w:rsidRPr="00195E9D">
        <w:t xml:space="preserve">– amend </w:t>
      </w:r>
      <w:r>
        <w:t xml:space="preserve">sub-para (d) </w:t>
      </w:r>
      <w:r w:rsidRPr="00195E9D">
        <w:t>as shown below:</w:t>
      </w:r>
    </w:p>
    <w:p w14:paraId="253C4F39" w14:textId="3CBE5F60" w:rsidR="00BC5DEC" w:rsidRPr="00B055A3" w:rsidRDefault="00BC5DEC" w:rsidP="00BC5DEC">
      <w:pPr>
        <w:pStyle w:val="SingleTxtG"/>
        <w:spacing w:line="240" w:lineRule="auto"/>
        <w:ind w:left="1170" w:right="39" w:hanging="603"/>
        <w:rPr>
          <w:sz w:val="22"/>
        </w:rPr>
      </w:pPr>
      <w:r>
        <w:rPr>
          <w:sz w:val="22"/>
          <w:szCs w:val="22"/>
        </w:rPr>
        <w:t>(d)</w:t>
      </w:r>
      <w:r>
        <w:rPr>
          <w:sz w:val="22"/>
          <w:szCs w:val="22"/>
        </w:rPr>
        <w:tab/>
      </w:r>
      <w:r w:rsidRPr="00161ADB">
        <w:rPr>
          <w:sz w:val="22"/>
        </w:rPr>
        <w:t xml:space="preserve">The bursting pressure as determined by quasi-static load through an incompressible fluid shall be </w:t>
      </w:r>
      <w:r w:rsidRPr="00D8703E">
        <w:rPr>
          <w:strike/>
          <w:color w:val="FF0000"/>
        </w:rPr>
        <w:t>30 ± 3 MPa</w:t>
      </w:r>
      <w:r w:rsidRPr="00B055A3">
        <w:rPr>
          <w:color w:val="0070C0"/>
          <w:u w:val="single"/>
        </w:rPr>
        <w:t>2</w:t>
      </w:r>
      <w:r>
        <w:rPr>
          <w:color w:val="0070C0"/>
          <w:u w:val="single"/>
        </w:rPr>
        <w:t>9</w:t>
      </w:r>
      <w:r w:rsidRPr="00B055A3">
        <w:rPr>
          <w:color w:val="0070C0"/>
          <w:u w:val="single"/>
        </w:rPr>
        <w:t xml:space="preserve"> </w:t>
      </w:r>
      <w:proofErr w:type="spellStart"/>
      <w:r w:rsidRPr="00B055A3">
        <w:rPr>
          <w:color w:val="0070C0"/>
          <w:u w:val="single"/>
        </w:rPr>
        <w:t>MPa</w:t>
      </w:r>
      <w:proofErr w:type="spellEnd"/>
      <w:r w:rsidRPr="00B055A3">
        <w:rPr>
          <w:color w:val="0070C0"/>
          <w:u w:val="single"/>
        </w:rPr>
        <w:t xml:space="preserve"> ± 4 </w:t>
      </w:r>
      <w:proofErr w:type="spellStart"/>
      <w:r w:rsidRPr="00B055A3">
        <w:rPr>
          <w:color w:val="0070C0"/>
          <w:u w:val="single"/>
        </w:rPr>
        <w:t>MPa</w:t>
      </w:r>
      <w:proofErr w:type="spellEnd"/>
      <w:r w:rsidRPr="00161ADB">
        <w:rPr>
          <w:sz w:val="22"/>
        </w:rPr>
        <w:t>.</w:t>
      </w:r>
    </w:p>
    <w:p w14:paraId="15B807F7" w14:textId="1E80424D" w:rsidR="00BC5DEC" w:rsidRPr="00195E9D" w:rsidRDefault="00BC5DEC" w:rsidP="00BC5DEC">
      <w:pPr>
        <w:pStyle w:val="SingleTxtG"/>
        <w:spacing w:line="240" w:lineRule="auto"/>
        <w:ind w:left="0" w:right="39"/>
        <w:rPr>
          <w:i/>
        </w:rPr>
      </w:pPr>
      <w:proofErr w:type="gramStart"/>
      <w:r w:rsidRPr="00195E9D">
        <w:rPr>
          <w:i/>
        </w:rPr>
        <w:t>Source:  ST/SG/AC.10/C.3</w:t>
      </w:r>
      <w:r>
        <w:rPr>
          <w:i/>
        </w:rPr>
        <w:t>/2016/6</w:t>
      </w:r>
      <w:r w:rsidRPr="00195E9D">
        <w:rPr>
          <w:i/>
        </w:rPr>
        <w:t>, Para.</w:t>
      </w:r>
      <w:proofErr w:type="gramEnd"/>
      <w:r w:rsidRPr="00195E9D">
        <w:rPr>
          <w:i/>
        </w:rPr>
        <w:t xml:space="preserve"> </w:t>
      </w:r>
      <w:proofErr w:type="gramStart"/>
      <w:r>
        <w:rPr>
          <w:i/>
        </w:rPr>
        <w:t>6</w:t>
      </w:r>
      <w:proofErr w:type="gramEnd"/>
      <w:r w:rsidRPr="00195E9D">
        <w:rPr>
          <w:i/>
        </w:rPr>
        <w:t xml:space="preserve"> </w:t>
      </w:r>
      <w:r>
        <w:rPr>
          <w:i/>
        </w:rPr>
        <w:t xml:space="preserve">(as amended by the working group) </w:t>
      </w:r>
      <w:r w:rsidRPr="00195E9D">
        <w:rPr>
          <w:i/>
        </w:rPr>
        <w:t xml:space="preserve">and Para. </w:t>
      </w:r>
      <w:proofErr w:type="gramStart"/>
      <w:r>
        <w:rPr>
          <w:i/>
        </w:rPr>
        <w:t>6</w:t>
      </w:r>
      <w:proofErr w:type="gramEnd"/>
      <w:r w:rsidRPr="00195E9D">
        <w:rPr>
          <w:i/>
        </w:rPr>
        <w:t xml:space="preserve"> of this report.</w:t>
      </w:r>
    </w:p>
    <w:p w14:paraId="5016426E" w14:textId="77777777" w:rsidR="00BC5DEC" w:rsidRPr="00195E9D" w:rsidRDefault="00BC5DEC" w:rsidP="00BC5DEC">
      <w:pPr>
        <w:pStyle w:val="SingleTxtG"/>
        <w:numPr>
          <w:ilvl w:val="0"/>
          <w:numId w:val="15"/>
        </w:numPr>
        <w:pBdr>
          <w:top w:val="single" w:sz="4" w:space="1" w:color="auto"/>
        </w:pBdr>
        <w:spacing w:line="240" w:lineRule="auto"/>
        <w:ind w:right="43"/>
        <w:rPr>
          <w:b/>
        </w:rPr>
      </w:pPr>
    </w:p>
    <w:p w14:paraId="00FF5C8B" w14:textId="77777777" w:rsidR="00BC5DEC" w:rsidRPr="00195E9D" w:rsidRDefault="00BC5DEC" w:rsidP="00BC5DEC">
      <w:pPr>
        <w:pStyle w:val="SingleTxtG"/>
        <w:spacing w:line="240" w:lineRule="auto"/>
        <w:ind w:left="0" w:right="39"/>
      </w:pPr>
      <w:r w:rsidRPr="00195E9D">
        <w:rPr>
          <w:b/>
          <w:u w:val="single"/>
        </w:rPr>
        <w:t>Section</w:t>
      </w:r>
      <w:r>
        <w:rPr>
          <w:b/>
          <w:u w:val="single"/>
        </w:rPr>
        <w:t xml:space="preserve"> </w:t>
      </w:r>
      <w:r w:rsidRPr="00AF1671">
        <w:rPr>
          <w:b/>
          <w:u w:val="single"/>
        </w:rPr>
        <w:t>25.4.1.2.1</w:t>
      </w:r>
      <w:r w:rsidRPr="00195E9D">
        <w:rPr>
          <w:b/>
        </w:rPr>
        <w:t xml:space="preserve"> </w:t>
      </w:r>
      <w:r w:rsidRPr="00195E9D">
        <w:t xml:space="preserve">– amend </w:t>
      </w:r>
      <w:r>
        <w:t xml:space="preserve">sub-para (d) </w:t>
      </w:r>
      <w:r w:rsidRPr="00195E9D">
        <w:t>as shown below:</w:t>
      </w:r>
    </w:p>
    <w:p w14:paraId="5F8DE728" w14:textId="00AFA4FF" w:rsidR="00BC5DEC" w:rsidRPr="00B055A3" w:rsidRDefault="00BC5DEC" w:rsidP="00BC5DEC">
      <w:pPr>
        <w:pStyle w:val="SingleTxtG"/>
        <w:spacing w:line="240" w:lineRule="auto"/>
        <w:ind w:left="1170" w:right="39" w:hanging="603"/>
        <w:rPr>
          <w:sz w:val="22"/>
        </w:rPr>
      </w:pPr>
      <w:r>
        <w:rPr>
          <w:sz w:val="22"/>
          <w:szCs w:val="22"/>
        </w:rPr>
        <w:t>(d)</w:t>
      </w:r>
      <w:r>
        <w:rPr>
          <w:sz w:val="22"/>
          <w:szCs w:val="22"/>
        </w:rPr>
        <w:tab/>
      </w:r>
      <w:r w:rsidRPr="00161ADB">
        <w:rPr>
          <w:sz w:val="22"/>
        </w:rPr>
        <w:t xml:space="preserve">The bursting pressure as determined by quasi-static load through an incompressible fluid shall be </w:t>
      </w:r>
      <w:r w:rsidRPr="00D8703E">
        <w:rPr>
          <w:strike/>
          <w:color w:val="FF0000"/>
        </w:rPr>
        <w:t>30 ± 3 MPa</w:t>
      </w:r>
      <w:r w:rsidRPr="00B055A3">
        <w:rPr>
          <w:color w:val="0070C0"/>
          <w:u w:val="single"/>
        </w:rPr>
        <w:t>2</w:t>
      </w:r>
      <w:r>
        <w:rPr>
          <w:color w:val="0070C0"/>
          <w:u w:val="single"/>
        </w:rPr>
        <w:t>9</w:t>
      </w:r>
      <w:r w:rsidRPr="00B055A3">
        <w:rPr>
          <w:color w:val="0070C0"/>
          <w:u w:val="single"/>
        </w:rPr>
        <w:t xml:space="preserve"> </w:t>
      </w:r>
      <w:proofErr w:type="spellStart"/>
      <w:r w:rsidRPr="00B055A3">
        <w:rPr>
          <w:color w:val="0070C0"/>
          <w:u w:val="single"/>
        </w:rPr>
        <w:t>MPa</w:t>
      </w:r>
      <w:proofErr w:type="spellEnd"/>
      <w:r w:rsidRPr="00B055A3">
        <w:rPr>
          <w:color w:val="0070C0"/>
          <w:u w:val="single"/>
        </w:rPr>
        <w:t xml:space="preserve"> ± 4 </w:t>
      </w:r>
      <w:proofErr w:type="spellStart"/>
      <w:r w:rsidRPr="00B055A3">
        <w:rPr>
          <w:color w:val="0070C0"/>
          <w:u w:val="single"/>
        </w:rPr>
        <w:t>MPa</w:t>
      </w:r>
      <w:proofErr w:type="spellEnd"/>
      <w:r w:rsidRPr="00161ADB">
        <w:rPr>
          <w:sz w:val="22"/>
        </w:rPr>
        <w:t>.</w:t>
      </w:r>
    </w:p>
    <w:p w14:paraId="61E9DF3E" w14:textId="562ECD76" w:rsidR="00BC5DEC" w:rsidRPr="00195E9D" w:rsidRDefault="00BC5DEC" w:rsidP="00BC5DEC">
      <w:pPr>
        <w:pStyle w:val="SingleTxtG"/>
        <w:spacing w:line="240" w:lineRule="auto"/>
        <w:ind w:left="0" w:right="39"/>
        <w:rPr>
          <w:i/>
        </w:rPr>
      </w:pPr>
      <w:proofErr w:type="gramStart"/>
      <w:r w:rsidRPr="00195E9D">
        <w:rPr>
          <w:i/>
        </w:rPr>
        <w:t>Source:  ST/SG/AC.10/C.3</w:t>
      </w:r>
      <w:r>
        <w:rPr>
          <w:i/>
        </w:rPr>
        <w:t>/2016/6</w:t>
      </w:r>
      <w:r w:rsidRPr="00195E9D">
        <w:rPr>
          <w:i/>
        </w:rPr>
        <w:t>, Para.</w:t>
      </w:r>
      <w:proofErr w:type="gramEnd"/>
      <w:r w:rsidRPr="00195E9D">
        <w:rPr>
          <w:i/>
        </w:rPr>
        <w:t xml:space="preserve"> </w:t>
      </w:r>
      <w:proofErr w:type="gramStart"/>
      <w:r>
        <w:rPr>
          <w:i/>
        </w:rPr>
        <w:t>6</w:t>
      </w:r>
      <w:proofErr w:type="gramEnd"/>
      <w:r w:rsidRPr="00195E9D">
        <w:rPr>
          <w:i/>
        </w:rPr>
        <w:t xml:space="preserve"> </w:t>
      </w:r>
      <w:r>
        <w:rPr>
          <w:i/>
        </w:rPr>
        <w:t>(as amended by the working group)</w:t>
      </w:r>
      <w:r w:rsidRPr="00195E9D">
        <w:rPr>
          <w:i/>
        </w:rPr>
        <w:t xml:space="preserve"> and Para. </w:t>
      </w:r>
      <w:proofErr w:type="gramStart"/>
      <w:r>
        <w:rPr>
          <w:i/>
        </w:rPr>
        <w:t>6</w:t>
      </w:r>
      <w:proofErr w:type="gramEnd"/>
      <w:r w:rsidRPr="00195E9D">
        <w:rPr>
          <w:i/>
        </w:rPr>
        <w:t xml:space="preserve"> of this report.</w:t>
      </w:r>
    </w:p>
    <w:p w14:paraId="2553F29A" w14:textId="77777777" w:rsidR="00B055A3" w:rsidRPr="00195E9D" w:rsidRDefault="00B055A3" w:rsidP="000704F4">
      <w:pPr>
        <w:pStyle w:val="SingleTxtG"/>
        <w:numPr>
          <w:ilvl w:val="0"/>
          <w:numId w:val="15"/>
        </w:numPr>
        <w:pBdr>
          <w:top w:val="single" w:sz="4" w:space="1" w:color="auto"/>
        </w:pBdr>
        <w:spacing w:line="240" w:lineRule="auto"/>
        <w:ind w:right="43"/>
        <w:rPr>
          <w:b/>
        </w:rPr>
      </w:pPr>
    </w:p>
    <w:p w14:paraId="208ECCD9" w14:textId="6078FEE8" w:rsidR="00B055A3" w:rsidRPr="00195E9D" w:rsidRDefault="00B055A3" w:rsidP="000704F4">
      <w:pPr>
        <w:pStyle w:val="SingleTxtG"/>
        <w:spacing w:line="240" w:lineRule="auto"/>
        <w:ind w:left="0" w:right="39"/>
      </w:pPr>
      <w:r w:rsidRPr="00195E9D">
        <w:rPr>
          <w:b/>
          <w:u w:val="single"/>
        </w:rPr>
        <w:t xml:space="preserve">Section </w:t>
      </w:r>
      <w:r w:rsidR="00661718">
        <w:rPr>
          <w:b/>
          <w:u w:val="single"/>
        </w:rPr>
        <w:t>1.1.2</w:t>
      </w:r>
      <w:r w:rsidRPr="00195E9D">
        <w:rPr>
          <w:b/>
        </w:rPr>
        <w:t xml:space="preserve"> </w:t>
      </w:r>
      <w:r w:rsidRPr="00195E9D">
        <w:t>– amend as shown below:</w:t>
      </w:r>
    </w:p>
    <w:p w14:paraId="61B1F738" w14:textId="5AE95265" w:rsidR="00661718" w:rsidRPr="00B04F48" w:rsidRDefault="00661718" w:rsidP="00661718">
      <w:pPr>
        <w:pStyle w:val="SingleTxtG"/>
        <w:ind w:left="567" w:right="1719"/>
      </w:pPr>
      <w:r>
        <w:t xml:space="preserve">It therefore assumes </w:t>
      </w:r>
      <w:r w:rsidR="009C6FFE" w:rsidRPr="009C6FFE">
        <w:rPr>
          <w:color w:val="0070C0"/>
          <w:u w:val="single"/>
        </w:rPr>
        <w:t xml:space="preserve">technical </w:t>
      </w:r>
      <w:r>
        <w:t xml:space="preserve">competence on the part of the </w:t>
      </w:r>
      <w:r w:rsidRPr="00760441">
        <w:t>testing</w:t>
      </w:r>
      <w:r w:rsidRPr="00090473">
        <w:rPr>
          <w:strike/>
          <w:color w:val="FF0000"/>
        </w:rPr>
        <w:t xml:space="preserve"> </w:t>
      </w:r>
      <w:r w:rsidRPr="00760441">
        <w:rPr>
          <w:strike/>
          <w:color w:val="FF0000"/>
        </w:rPr>
        <w:t>authority</w:t>
      </w:r>
      <w:r>
        <w:t xml:space="preserve"> </w:t>
      </w:r>
      <w:proofErr w:type="spellStart"/>
      <w:r w:rsidRPr="00760441">
        <w:rPr>
          <w:color w:val="0070C0"/>
          <w:u w:val="single"/>
        </w:rPr>
        <w:t>bod</w:t>
      </w:r>
      <w:r>
        <w:rPr>
          <w:color w:val="0070C0"/>
          <w:u w:val="single"/>
        </w:rPr>
        <w:t>y</w:t>
      </w:r>
      <w:r w:rsidRPr="00760441">
        <w:rPr>
          <w:strike/>
          <w:color w:val="FF0000"/>
        </w:rPr>
        <w:t>and</w:t>
      </w:r>
      <w:proofErr w:type="spellEnd"/>
      <w:r w:rsidRPr="00760441">
        <w:rPr>
          <w:strike/>
          <w:color w:val="FF0000"/>
        </w:rPr>
        <w:t xml:space="preserve"> leaves responsibility for classification with them</w:t>
      </w:r>
      <w:r w:rsidRPr="00BF34E3">
        <w:t>.</w:t>
      </w:r>
    </w:p>
    <w:p w14:paraId="6319FAA7" w14:textId="4FE4B4E0" w:rsidR="00B055A3" w:rsidRPr="00195E9D" w:rsidRDefault="00B055A3" w:rsidP="00661718">
      <w:pPr>
        <w:pStyle w:val="SingleTxtG"/>
        <w:spacing w:line="240" w:lineRule="auto"/>
        <w:ind w:left="0" w:right="39"/>
        <w:rPr>
          <w:i/>
        </w:rPr>
      </w:pPr>
      <w:proofErr w:type="gramStart"/>
      <w:r w:rsidRPr="00195E9D">
        <w:rPr>
          <w:i/>
        </w:rPr>
        <w:t>Source:  ST/SG/AC.10/C.3</w:t>
      </w:r>
      <w:r>
        <w:rPr>
          <w:i/>
        </w:rPr>
        <w:t>/2016/</w:t>
      </w:r>
      <w:r w:rsidR="00661718">
        <w:rPr>
          <w:i/>
        </w:rPr>
        <w:t>19</w:t>
      </w:r>
      <w:r w:rsidRPr="00195E9D">
        <w:rPr>
          <w:i/>
        </w:rPr>
        <w:t>, Para.</w:t>
      </w:r>
      <w:proofErr w:type="gramEnd"/>
      <w:r w:rsidRPr="00195E9D">
        <w:rPr>
          <w:i/>
        </w:rPr>
        <w:t xml:space="preserve"> </w:t>
      </w:r>
      <w:proofErr w:type="gramStart"/>
      <w:r w:rsidR="00661718">
        <w:rPr>
          <w:i/>
        </w:rPr>
        <w:t>5</w:t>
      </w:r>
      <w:proofErr w:type="gramEnd"/>
      <w:r w:rsidR="0016689B">
        <w:rPr>
          <w:i/>
        </w:rPr>
        <w:t xml:space="preserve"> (as amended by the working group)</w:t>
      </w:r>
      <w:r w:rsidRPr="00195E9D">
        <w:rPr>
          <w:i/>
        </w:rPr>
        <w:t xml:space="preserve"> and </w:t>
      </w:r>
      <w:hyperlink w:anchor="para15" w:history="1">
        <w:r w:rsidRPr="002B1290">
          <w:rPr>
            <w:rStyle w:val="Hyperlink"/>
            <w:i/>
          </w:rPr>
          <w:t xml:space="preserve">Para. </w:t>
        </w:r>
        <w:proofErr w:type="gramStart"/>
        <w:r w:rsidR="00661718" w:rsidRPr="002B1290">
          <w:rPr>
            <w:rStyle w:val="Hyperlink"/>
            <w:i/>
          </w:rPr>
          <w:t>1</w:t>
        </w:r>
        <w:r w:rsidR="00047958">
          <w:rPr>
            <w:rStyle w:val="Hyperlink"/>
            <w:i/>
          </w:rPr>
          <w:t>6</w:t>
        </w:r>
        <w:proofErr w:type="gramEnd"/>
      </w:hyperlink>
      <w:r w:rsidR="009C6FFE">
        <w:rPr>
          <w:i/>
        </w:rPr>
        <w:t xml:space="preserve"> of this report.</w:t>
      </w:r>
    </w:p>
    <w:p w14:paraId="76B1BCEB" w14:textId="77777777" w:rsidR="00B055A3" w:rsidRPr="00195E9D" w:rsidRDefault="00B055A3" w:rsidP="000704F4">
      <w:pPr>
        <w:pStyle w:val="SingleTxtG"/>
        <w:numPr>
          <w:ilvl w:val="0"/>
          <w:numId w:val="15"/>
        </w:numPr>
        <w:pBdr>
          <w:top w:val="single" w:sz="4" w:space="1" w:color="auto"/>
        </w:pBdr>
        <w:spacing w:line="240" w:lineRule="auto"/>
        <w:ind w:right="43"/>
        <w:rPr>
          <w:b/>
        </w:rPr>
      </w:pPr>
    </w:p>
    <w:p w14:paraId="1BA984ED" w14:textId="27A93372" w:rsidR="00B055A3" w:rsidRPr="00195E9D" w:rsidRDefault="004659D7" w:rsidP="000704F4">
      <w:pPr>
        <w:pStyle w:val="SingleTxtG"/>
        <w:spacing w:line="240" w:lineRule="auto"/>
        <w:ind w:left="0" w:right="39"/>
      </w:pPr>
      <w:r>
        <w:rPr>
          <w:b/>
          <w:u w:val="single"/>
        </w:rPr>
        <w:t xml:space="preserve">Appendix 6, </w:t>
      </w:r>
      <w:r w:rsidR="00B055A3" w:rsidRPr="00195E9D">
        <w:rPr>
          <w:b/>
          <w:u w:val="single"/>
        </w:rPr>
        <w:t xml:space="preserve">Section </w:t>
      </w:r>
      <w:r w:rsidR="00661718">
        <w:rPr>
          <w:b/>
          <w:u w:val="single"/>
        </w:rPr>
        <w:t>2.3</w:t>
      </w:r>
      <w:r w:rsidR="00B055A3" w:rsidRPr="00195E9D">
        <w:rPr>
          <w:b/>
        </w:rPr>
        <w:t xml:space="preserve"> </w:t>
      </w:r>
      <w:r w:rsidR="00B055A3" w:rsidRPr="00195E9D">
        <w:t>– amend as shown below:</w:t>
      </w:r>
    </w:p>
    <w:p w14:paraId="558517BD" w14:textId="710EB30A" w:rsidR="00661718" w:rsidRPr="00B04F48" w:rsidRDefault="00661718" w:rsidP="00661718">
      <w:pPr>
        <w:pStyle w:val="SingleTxtG"/>
        <w:ind w:left="567" w:right="1719"/>
      </w:pPr>
      <w:r>
        <w:t xml:space="preserve">The remarks 1.1.2 from section 1 "General introduction" </w:t>
      </w:r>
      <w:proofErr w:type="gramStart"/>
      <w:r>
        <w:t>are emphasized</w:t>
      </w:r>
      <w:proofErr w:type="gramEnd"/>
      <w:r>
        <w:t xml:space="preserve"> that </w:t>
      </w:r>
      <w:r w:rsidR="009C6FFE" w:rsidRPr="009C6FFE">
        <w:rPr>
          <w:color w:val="0070C0"/>
          <w:u w:val="single"/>
        </w:rPr>
        <w:t xml:space="preserve">technical </w:t>
      </w:r>
      <w:r>
        <w:t>competence on the part of the testing</w:t>
      </w:r>
      <w:r w:rsidRPr="00090473">
        <w:rPr>
          <w:strike/>
          <w:color w:val="FF0000"/>
        </w:rPr>
        <w:t xml:space="preserve"> </w:t>
      </w:r>
      <w:r w:rsidRPr="00760441">
        <w:rPr>
          <w:strike/>
          <w:color w:val="FF0000"/>
        </w:rPr>
        <w:t>authority</w:t>
      </w:r>
      <w:r>
        <w:t xml:space="preserve"> </w:t>
      </w:r>
      <w:r w:rsidRPr="00760441">
        <w:rPr>
          <w:color w:val="0070C0"/>
          <w:u w:val="single"/>
        </w:rPr>
        <w:t>bod</w:t>
      </w:r>
      <w:r>
        <w:rPr>
          <w:color w:val="0070C0"/>
          <w:u w:val="single"/>
        </w:rPr>
        <w:t>y</w:t>
      </w:r>
      <w:r>
        <w:t xml:space="preserve"> is assumed</w:t>
      </w:r>
      <w:r w:rsidRPr="00BF34E3">
        <w:rPr>
          <w:strike/>
          <w:color w:val="FF0000"/>
        </w:rPr>
        <w:t xml:space="preserve"> and responsibility for classification is left with them</w:t>
      </w:r>
      <w:r>
        <w:t>.</w:t>
      </w:r>
    </w:p>
    <w:p w14:paraId="7EB3B431" w14:textId="0F91AFD2" w:rsidR="00B055A3" w:rsidRPr="00195E9D" w:rsidRDefault="00B055A3" w:rsidP="000704F4">
      <w:pPr>
        <w:pStyle w:val="SingleTxtG"/>
        <w:spacing w:line="240" w:lineRule="auto"/>
        <w:ind w:left="0" w:right="39"/>
        <w:rPr>
          <w:i/>
        </w:rPr>
      </w:pPr>
      <w:proofErr w:type="gramStart"/>
      <w:r w:rsidRPr="00195E9D">
        <w:rPr>
          <w:i/>
        </w:rPr>
        <w:t>Source:  ST/SG/AC.10/C.3</w:t>
      </w:r>
      <w:r>
        <w:rPr>
          <w:i/>
        </w:rPr>
        <w:t>/2016/</w:t>
      </w:r>
      <w:r w:rsidR="00661718">
        <w:rPr>
          <w:i/>
        </w:rPr>
        <w:t>19</w:t>
      </w:r>
      <w:r w:rsidRPr="00195E9D">
        <w:rPr>
          <w:i/>
        </w:rPr>
        <w:t>, Para.</w:t>
      </w:r>
      <w:proofErr w:type="gramEnd"/>
      <w:r w:rsidRPr="00195E9D">
        <w:rPr>
          <w:i/>
        </w:rPr>
        <w:t xml:space="preserve"> </w:t>
      </w:r>
      <w:proofErr w:type="gramStart"/>
      <w:r w:rsidR="00661718">
        <w:rPr>
          <w:i/>
        </w:rPr>
        <w:t>6</w:t>
      </w:r>
      <w:proofErr w:type="gramEnd"/>
      <w:r w:rsidR="0016689B">
        <w:rPr>
          <w:i/>
        </w:rPr>
        <w:t xml:space="preserve"> (as amended by the working group)</w:t>
      </w:r>
      <w:r w:rsidR="00FF1CE8">
        <w:rPr>
          <w:i/>
        </w:rPr>
        <w:t xml:space="preserve"> </w:t>
      </w:r>
      <w:r w:rsidRPr="00195E9D">
        <w:rPr>
          <w:i/>
        </w:rPr>
        <w:t xml:space="preserve">and </w:t>
      </w:r>
      <w:r w:rsidRPr="005615CE">
        <w:rPr>
          <w:i/>
        </w:rPr>
        <w:t xml:space="preserve">Para. </w:t>
      </w:r>
      <w:proofErr w:type="gramStart"/>
      <w:r w:rsidR="00661718" w:rsidRPr="005615CE">
        <w:rPr>
          <w:i/>
        </w:rPr>
        <w:t>1</w:t>
      </w:r>
      <w:r w:rsidR="005615CE">
        <w:rPr>
          <w:i/>
        </w:rPr>
        <w:t>6</w:t>
      </w:r>
      <w:proofErr w:type="gramEnd"/>
      <w:r w:rsidRPr="00195E9D">
        <w:rPr>
          <w:i/>
        </w:rPr>
        <w:t xml:space="preserve"> of this report.</w:t>
      </w:r>
    </w:p>
    <w:p w14:paraId="7E1F9819" w14:textId="77777777" w:rsidR="00F85CBE" w:rsidRPr="00555E68" w:rsidRDefault="00F85CBE" w:rsidP="00F85CBE">
      <w:pPr>
        <w:pStyle w:val="SingleTxtG"/>
        <w:keepNext/>
        <w:numPr>
          <w:ilvl w:val="0"/>
          <w:numId w:val="15"/>
        </w:numPr>
        <w:pBdr>
          <w:top w:val="single" w:sz="4" w:space="1" w:color="auto"/>
        </w:pBdr>
        <w:ind w:right="43"/>
        <w:rPr>
          <w:b/>
        </w:rPr>
      </w:pPr>
    </w:p>
    <w:p w14:paraId="1D1AE7A0" w14:textId="62F3DB53" w:rsidR="00F85CBE" w:rsidRDefault="00F85CBE" w:rsidP="00F85CBE">
      <w:pPr>
        <w:pStyle w:val="SingleTxtG"/>
        <w:ind w:left="0" w:right="39"/>
      </w:pPr>
      <w:r>
        <w:rPr>
          <w:b/>
          <w:u w:val="single"/>
        </w:rPr>
        <w:t xml:space="preserve">Section </w:t>
      </w:r>
      <w:r w:rsidR="00DE42A7">
        <w:rPr>
          <w:b/>
          <w:u w:val="single"/>
        </w:rPr>
        <w:t>51.2.2</w:t>
      </w:r>
      <w:r>
        <w:t xml:space="preserve"> – amend as shown below:</w:t>
      </w:r>
    </w:p>
    <w:p w14:paraId="2C34B85F" w14:textId="6D4D12D1" w:rsidR="00F85CBE" w:rsidRPr="00DE42A7" w:rsidRDefault="00DE42A7" w:rsidP="00247070">
      <w:pPr>
        <w:ind w:left="1701" w:right="1134" w:hanging="1134"/>
      </w:pPr>
      <w:r>
        <w:rPr>
          <w:lang w:val="en-AU"/>
        </w:rPr>
        <w:t>51.2.2</w:t>
      </w:r>
      <w:r w:rsidR="00F85CBE">
        <w:rPr>
          <w:lang w:val="en-AU"/>
        </w:rPr>
        <w:tab/>
      </w:r>
      <w:r w:rsidRPr="00DE42A7">
        <w:t>The appropriate classification procedures for desensitized explosives should be undertaken</w:t>
      </w:r>
      <w:r>
        <w:t xml:space="preserve"> </w:t>
      </w:r>
      <w:r w:rsidRPr="00DE42A7">
        <w:t xml:space="preserve">before they </w:t>
      </w:r>
      <w:proofErr w:type="gramStart"/>
      <w:r w:rsidRPr="00DE42A7">
        <w:t>are offered</w:t>
      </w:r>
      <w:proofErr w:type="gramEnd"/>
      <w:r w:rsidRPr="00DE42A7">
        <w:t xml:space="preserve"> for supply and use unless</w:t>
      </w:r>
      <w:r w:rsidRPr="00DE42A7">
        <w:rPr>
          <w:color w:val="0070C0"/>
          <w:u w:val="single"/>
        </w:rPr>
        <w:t>, in that state</w:t>
      </w:r>
      <w:r w:rsidRPr="00DE42A7">
        <w:t>:</w:t>
      </w:r>
    </w:p>
    <w:p w14:paraId="614F716D" w14:textId="62625B80" w:rsidR="00F85CBE" w:rsidRPr="00783D97" w:rsidRDefault="00F85CBE" w:rsidP="00B52889">
      <w:pPr>
        <w:suppressAutoHyphens w:val="0"/>
        <w:spacing w:before="120" w:after="120"/>
        <w:ind w:left="1701" w:right="1134"/>
        <w:rPr>
          <w:lang w:val="en-AU"/>
        </w:rPr>
      </w:pPr>
      <w:r>
        <w:rPr>
          <w:lang w:val="en-AU"/>
        </w:rPr>
        <w:t>(a)</w:t>
      </w:r>
      <w:r>
        <w:rPr>
          <w:lang w:val="en-AU"/>
        </w:rPr>
        <w:tab/>
      </w:r>
      <w:r w:rsidR="00DE42A7" w:rsidRPr="00595A0F">
        <w:rPr>
          <w:strike/>
          <w:color w:val="FF0000"/>
          <w:lang w:val="en-AU"/>
        </w:rPr>
        <w:t xml:space="preserve">They </w:t>
      </w:r>
      <w:proofErr w:type="gramStart"/>
      <w:r w:rsidR="00DE42A7" w:rsidRPr="00595A0F">
        <w:rPr>
          <w:strike/>
          <w:color w:val="FF0000"/>
          <w:lang w:val="en-AU"/>
        </w:rPr>
        <w:t>are manufactured</w:t>
      </w:r>
      <w:proofErr w:type="gramEnd"/>
      <w:r w:rsidR="00DE42A7" w:rsidRPr="00595A0F">
        <w:rPr>
          <w:strike/>
          <w:color w:val="FF0000"/>
          <w:lang w:val="en-AU"/>
        </w:rPr>
        <w:t xml:space="preserve"> with the view to producing a practical, </w:t>
      </w:r>
      <w:r w:rsidR="00DE42A7" w:rsidRPr="00595A0F">
        <w:rPr>
          <w:strike/>
          <w:color w:val="FF0000"/>
          <w:u w:val="single"/>
        </w:rPr>
        <w:t>explosive</w:t>
      </w:r>
      <w:r w:rsidR="00DE42A7" w:rsidRPr="00595A0F">
        <w:rPr>
          <w:strike/>
          <w:color w:val="FF0000"/>
          <w:lang w:val="en-AU"/>
        </w:rPr>
        <w:t xml:space="preserve"> or pyrotechnic effe</w:t>
      </w:r>
      <w:r w:rsidR="00595A0F">
        <w:rPr>
          <w:strike/>
          <w:color w:val="FF0000"/>
          <w:lang w:val="en-AU"/>
        </w:rPr>
        <w:t>ct</w:t>
      </w:r>
      <w:r w:rsidR="00595A0F">
        <w:rPr>
          <w:color w:val="0070C0"/>
          <w:u w:val="single"/>
        </w:rPr>
        <w:t>They are</w:t>
      </w:r>
      <w:r w:rsidR="00595A0F" w:rsidRPr="00621169">
        <w:rPr>
          <w:color w:val="0070C0"/>
          <w:u w:val="single"/>
        </w:rPr>
        <w:t xml:space="preserve"> intended to produce a practical explosive or pyrotechnic effect</w:t>
      </w:r>
      <w:r w:rsidR="00DE42A7" w:rsidRPr="00595A0F">
        <w:rPr>
          <w:color w:val="0070C0"/>
          <w:u w:val="single"/>
        </w:rPr>
        <w:t>;</w:t>
      </w:r>
    </w:p>
    <w:p w14:paraId="3FBF5CA8" w14:textId="0FC97F4C" w:rsidR="00F85CBE" w:rsidRDefault="00F85CBE" w:rsidP="00B52889">
      <w:pPr>
        <w:suppressAutoHyphens w:val="0"/>
        <w:spacing w:before="120" w:after="120"/>
        <w:ind w:left="1701" w:right="1134"/>
        <w:rPr>
          <w:lang w:val="en-AU"/>
        </w:rPr>
      </w:pPr>
      <w:r>
        <w:rPr>
          <w:lang w:val="en-AU"/>
        </w:rPr>
        <w:t>(b)</w:t>
      </w:r>
      <w:r>
        <w:rPr>
          <w:lang w:val="en-AU"/>
        </w:rPr>
        <w:tab/>
      </w:r>
      <w:r w:rsidR="00CD0265" w:rsidRPr="00CD0265">
        <w:rPr>
          <w:lang w:val="en-AU"/>
        </w:rPr>
        <w:t xml:space="preserve">They have a mass explosion hazard according to Test Series 6(a) or 6(b) </w:t>
      </w:r>
      <w:r w:rsidR="00CD0265">
        <w:rPr>
          <w:lang w:val="en-AU"/>
        </w:rPr>
        <w:t xml:space="preserve">or </w:t>
      </w:r>
      <w:r w:rsidR="00CD0265" w:rsidRPr="005F51C4">
        <w:rPr>
          <w:strike/>
          <w:lang w:val="en-AU"/>
        </w:rPr>
        <w:t>t</w:t>
      </w:r>
      <w:proofErr w:type="spellStart"/>
      <w:r w:rsidR="00CD0265" w:rsidRPr="002B3B17">
        <w:rPr>
          <w:strike/>
          <w:color w:val="FF0000"/>
        </w:rPr>
        <w:t>heir</w:t>
      </w:r>
      <w:r w:rsidR="00CD0265">
        <w:rPr>
          <w:color w:val="0070C0"/>
          <w:u w:val="single"/>
        </w:rPr>
        <w:t>th</w:t>
      </w:r>
      <w:r w:rsidR="00CD0265" w:rsidRPr="002B3B17">
        <w:rPr>
          <w:color w:val="0070C0"/>
          <w:u w:val="single"/>
        </w:rPr>
        <w:t>e</w:t>
      </w:r>
      <w:proofErr w:type="spellEnd"/>
      <w:r w:rsidR="00CD0265">
        <w:rPr>
          <w:lang w:val="en-AU"/>
        </w:rPr>
        <w:t xml:space="preserve"> </w:t>
      </w:r>
      <w:r w:rsidR="00CD0265" w:rsidRPr="00CD0265">
        <w:rPr>
          <w:lang w:val="en-AU"/>
        </w:rPr>
        <w:t xml:space="preserve">corrected burning rate according to the burning rate test 51.4 is more than </w:t>
      </w:r>
      <w:r w:rsidR="00B52889" w:rsidRPr="00CD0265">
        <w:rPr>
          <w:lang w:val="en-AU"/>
        </w:rPr>
        <w:t>1</w:t>
      </w:r>
      <w:r w:rsidR="00B52889">
        <w:rPr>
          <w:lang w:val="en-AU"/>
        </w:rPr>
        <w:t> </w:t>
      </w:r>
      <w:r w:rsidR="00CD0265" w:rsidRPr="00CD0265">
        <w:rPr>
          <w:lang w:val="en-AU"/>
        </w:rPr>
        <w:t>200 kg/min</w:t>
      </w:r>
      <w:r>
        <w:rPr>
          <w:lang w:val="en-AU"/>
        </w:rPr>
        <w:t>;</w:t>
      </w:r>
    </w:p>
    <w:p w14:paraId="2B526EC0" w14:textId="47151D6B" w:rsidR="00F85CBE" w:rsidRPr="0078150A" w:rsidRDefault="00F85CBE" w:rsidP="00247070">
      <w:pPr>
        <w:suppressAutoHyphens w:val="0"/>
        <w:spacing w:before="120" w:after="120"/>
        <w:ind w:left="1701" w:right="1134"/>
        <w:rPr>
          <w:lang w:val="en-AU"/>
        </w:rPr>
      </w:pPr>
      <w:r w:rsidRPr="001415A7">
        <w:rPr>
          <w:lang w:val="en-AU"/>
        </w:rPr>
        <w:t>(c)</w:t>
      </w:r>
      <w:r w:rsidRPr="001415A7">
        <w:rPr>
          <w:lang w:val="en-AU"/>
        </w:rPr>
        <w:tab/>
      </w:r>
      <w:proofErr w:type="spellStart"/>
      <w:r w:rsidRPr="002B3B17">
        <w:rPr>
          <w:strike/>
          <w:color w:val="FF0000"/>
        </w:rPr>
        <w:t>Their</w:t>
      </w:r>
      <w:r w:rsidRPr="002B3B17">
        <w:rPr>
          <w:color w:val="0070C0"/>
          <w:u w:val="single"/>
        </w:rPr>
        <w:t>The</w:t>
      </w:r>
      <w:proofErr w:type="spellEnd"/>
      <w:r w:rsidRPr="0078150A">
        <w:rPr>
          <w:lang w:val="en-AU"/>
        </w:rPr>
        <w:t xml:space="preserve"> </w:t>
      </w:r>
      <w:r w:rsidR="00CD0265" w:rsidRPr="00CD0265">
        <w:rPr>
          <w:lang w:val="en-AU"/>
        </w:rPr>
        <w:t>exothermic decomposition energy is less than 300 J/g</w:t>
      </w:r>
      <w:r w:rsidR="00CD0265" w:rsidRPr="00CD0265">
        <w:rPr>
          <w:vertAlign w:val="superscript"/>
          <w:lang w:val="en-AU"/>
        </w:rPr>
        <w:t>2</w:t>
      </w:r>
      <w:r w:rsidRPr="0078150A">
        <w:rPr>
          <w:lang w:val="en-AU"/>
        </w:rPr>
        <w:t>.</w:t>
      </w:r>
    </w:p>
    <w:p w14:paraId="04EF76CF" w14:textId="29CEF698" w:rsidR="00F85CBE" w:rsidRPr="00830A1C" w:rsidRDefault="00F85CBE" w:rsidP="00F85CBE">
      <w:pPr>
        <w:pStyle w:val="SingleTxtG"/>
        <w:ind w:left="0" w:right="39"/>
        <w:rPr>
          <w:i/>
        </w:rPr>
      </w:pPr>
      <w:proofErr w:type="gramStart"/>
      <w:r w:rsidRPr="001959B8">
        <w:rPr>
          <w:i/>
        </w:rPr>
        <w:t xml:space="preserve">Source:  </w:t>
      </w:r>
      <w:r w:rsidRPr="00247070">
        <w:rPr>
          <w:i/>
        </w:rPr>
        <w:t>Para.</w:t>
      </w:r>
      <w:proofErr w:type="gramEnd"/>
      <w:r w:rsidRPr="00247070">
        <w:rPr>
          <w:i/>
        </w:rPr>
        <w:t xml:space="preserve"> </w:t>
      </w:r>
      <w:proofErr w:type="gramStart"/>
      <w:r w:rsidRPr="00247070">
        <w:rPr>
          <w:i/>
        </w:rPr>
        <w:t>2</w:t>
      </w:r>
      <w:r w:rsidR="00247070" w:rsidRPr="00247070">
        <w:rPr>
          <w:i/>
        </w:rPr>
        <w:t>4</w:t>
      </w:r>
      <w:proofErr w:type="gramEnd"/>
      <w:r w:rsidRPr="00195E9D">
        <w:rPr>
          <w:i/>
        </w:rPr>
        <w:t xml:space="preserve"> </w:t>
      </w:r>
      <w:r w:rsidR="00247070">
        <w:rPr>
          <w:i/>
        </w:rPr>
        <w:t xml:space="preserve">(Conclusion) </w:t>
      </w:r>
      <w:r w:rsidRPr="00195E9D">
        <w:rPr>
          <w:i/>
        </w:rPr>
        <w:t>of this report</w:t>
      </w:r>
      <w:r>
        <w:rPr>
          <w:i/>
        </w:rPr>
        <w:t>.</w:t>
      </w:r>
    </w:p>
    <w:p w14:paraId="3399A076" w14:textId="7E7EA88F" w:rsidR="003C7082" w:rsidRDefault="003C7082" w:rsidP="00DD4269">
      <w:pPr>
        <w:pStyle w:val="SingleTxtG"/>
        <w:pBdr>
          <w:top w:val="single" w:sz="4" w:space="1" w:color="auto"/>
        </w:pBdr>
        <w:spacing w:line="240" w:lineRule="auto"/>
        <w:ind w:left="0" w:right="43"/>
        <w:rPr>
          <w:b/>
        </w:rPr>
      </w:pPr>
    </w:p>
    <w:p w14:paraId="6F9944A5" w14:textId="04ED49E6" w:rsidR="003539CE" w:rsidRDefault="003539CE">
      <w:pPr>
        <w:suppressAutoHyphens w:val="0"/>
        <w:spacing w:line="240" w:lineRule="auto"/>
        <w:rPr>
          <w:i/>
        </w:rPr>
      </w:pPr>
      <w:r>
        <w:rPr>
          <w:i/>
        </w:rPr>
        <w:br w:type="page"/>
      </w:r>
    </w:p>
    <w:p w14:paraId="064E8D20" w14:textId="0BF4F262" w:rsidR="003539CE" w:rsidRDefault="003539CE" w:rsidP="003539CE">
      <w:pPr>
        <w:pStyle w:val="HChG"/>
        <w:ind w:left="0" w:right="39" w:firstLine="0"/>
        <w:rPr>
          <w:rFonts w:eastAsia="MS Mincho"/>
          <w:sz w:val="26"/>
          <w:lang w:val="en-US" w:eastAsia="ja-JP"/>
        </w:rPr>
      </w:pPr>
      <w:r>
        <w:rPr>
          <w:rFonts w:eastAsia="MS Mincho"/>
          <w:lang w:val="en-US" w:eastAsia="ja-JP"/>
        </w:rPr>
        <w:lastRenderedPageBreak/>
        <w:t>Annex 4</w:t>
      </w:r>
      <w:r>
        <w:rPr>
          <w:rFonts w:eastAsia="MS Mincho"/>
          <w:lang w:val="en-US" w:eastAsia="ja-JP"/>
        </w:rPr>
        <w:br/>
      </w:r>
      <w:r w:rsidRPr="00AF5B84">
        <w:rPr>
          <w:rFonts w:eastAsia="MS Mincho"/>
          <w:sz w:val="26"/>
          <w:lang w:val="en-US" w:eastAsia="ja-JP"/>
        </w:rPr>
        <w:t xml:space="preserve">Working Group on Explosives </w:t>
      </w:r>
      <w:r w:rsidRPr="00092CF5">
        <w:rPr>
          <w:rFonts w:eastAsia="MS Mincho"/>
          <w:sz w:val="26"/>
          <w:lang w:val="en-US" w:eastAsia="ja-JP"/>
        </w:rPr>
        <w:t>(</w:t>
      </w:r>
      <w:r>
        <w:rPr>
          <w:rFonts w:eastAsia="MS Mincho"/>
          <w:sz w:val="26"/>
          <w:lang w:val="en-US" w:eastAsia="ja-JP"/>
        </w:rPr>
        <w:t>27 June - 1 July 2016</w:t>
      </w:r>
      <w:proofErr w:type="gramStart"/>
      <w:r w:rsidRPr="00092CF5">
        <w:rPr>
          <w:rFonts w:eastAsia="MS Mincho"/>
          <w:sz w:val="26"/>
          <w:lang w:val="en-US" w:eastAsia="ja-JP"/>
        </w:rPr>
        <w:t>)</w:t>
      </w:r>
      <w:proofErr w:type="gramEnd"/>
      <w:r w:rsidRPr="00AF5B84">
        <w:rPr>
          <w:rFonts w:eastAsia="MS Mincho"/>
          <w:sz w:val="26"/>
          <w:lang w:val="en-US" w:eastAsia="ja-JP"/>
        </w:rPr>
        <w:br/>
      </w:r>
      <w:r>
        <w:rPr>
          <w:rFonts w:eastAsia="MS Mincho"/>
          <w:sz w:val="26"/>
          <w:lang w:val="en-US" w:eastAsia="ja-JP"/>
        </w:rPr>
        <w:t>Changes for the GHS Document (6th Revised Edition)</w:t>
      </w:r>
    </w:p>
    <w:p w14:paraId="19A3FD7D" w14:textId="77777777" w:rsidR="002B3B17" w:rsidRPr="002B3B17" w:rsidRDefault="002B3B17" w:rsidP="002B3B17">
      <w:pPr>
        <w:tabs>
          <w:tab w:val="left" w:pos="720"/>
        </w:tabs>
        <w:spacing w:line="240" w:lineRule="auto"/>
        <w:ind w:right="43"/>
        <w:rPr>
          <w:b/>
        </w:rPr>
      </w:pPr>
      <w:r w:rsidRPr="002B3B17">
        <w:rPr>
          <w:rFonts w:eastAsia="MS Mincho"/>
          <w:lang w:eastAsia="ja-JP"/>
        </w:rPr>
        <w:t xml:space="preserve">Notes:  Source of proposed change </w:t>
      </w:r>
      <w:proofErr w:type="gramStart"/>
      <w:r w:rsidRPr="002B3B17">
        <w:rPr>
          <w:rFonts w:eastAsia="MS Mincho"/>
          <w:lang w:eastAsia="ja-JP"/>
        </w:rPr>
        <w:t>is indicated</w:t>
      </w:r>
      <w:proofErr w:type="gramEnd"/>
      <w:r w:rsidRPr="002B3B17">
        <w:rPr>
          <w:rFonts w:eastAsia="MS Mincho"/>
          <w:lang w:eastAsia="ja-JP"/>
        </w:rPr>
        <w:t xml:space="preserve"> by </w:t>
      </w:r>
      <w:r w:rsidRPr="002B3B17">
        <w:rPr>
          <w:rFonts w:eastAsia="MS Mincho"/>
          <w:i/>
          <w:lang w:eastAsia="ja-JP"/>
        </w:rPr>
        <w:t>italicized text (Source:  XXX)</w:t>
      </w:r>
      <w:r w:rsidRPr="002B3B17">
        <w:rPr>
          <w:b/>
        </w:rPr>
        <w:t xml:space="preserve">  </w:t>
      </w:r>
    </w:p>
    <w:p w14:paraId="43407243" w14:textId="77777777" w:rsidR="002B3B17" w:rsidRPr="00195E9D" w:rsidRDefault="002B3B17" w:rsidP="002B3B17">
      <w:pPr>
        <w:tabs>
          <w:tab w:val="left" w:pos="630"/>
        </w:tabs>
        <w:spacing w:line="240" w:lineRule="auto"/>
        <w:ind w:right="43"/>
      </w:pPr>
      <w:r w:rsidRPr="002B3B17">
        <w:rPr>
          <w:color w:val="FF0000"/>
        </w:rPr>
        <w:tab/>
      </w:r>
      <w:r w:rsidRPr="002B3B17">
        <w:rPr>
          <w:strike/>
          <w:color w:val="FF0000"/>
        </w:rPr>
        <w:t>Red</w:t>
      </w:r>
      <w:r w:rsidRPr="00195E9D">
        <w:t xml:space="preserve"> indicates deleted text</w:t>
      </w:r>
    </w:p>
    <w:p w14:paraId="1A6C439E" w14:textId="77777777" w:rsidR="002B3B17" w:rsidRPr="00195E9D" w:rsidRDefault="002B3B17" w:rsidP="002B3B17">
      <w:pPr>
        <w:tabs>
          <w:tab w:val="left" w:pos="630"/>
        </w:tabs>
        <w:spacing w:after="120" w:line="240" w:lineRule="auto"/>
        <w:ind w:right="43"/>
      </w:pPr>
      <w:r w:rsidRPr="002B3B17">
        <w:rPr>
          <w:color w:val="0070C0"/>
        </w:rPr>
        <w:tab/>
      </w:r>
      <w:r w:rsidRPr="002B3B17">
        <w:rPr>
          <w:color w:val="0070C0"/>
          <w:u w:val="single"/>
        </w:rPr>
        <w:t>Blue</w:t>
      </w:r>
      <w:r w:rsidRPr="002B3B17">
        <w:rPr>
          <w:color w:val="0070C0"/>
        </w:rPr>
        <w:t xml:space="preserve"> </w:t>
      </w:r>
      <w:r w:rsidRPr="00195E9D">
        <w:t>indicates inserted text</w:t>
      </w:r>
    </w:p>
    <w:p w14:paraId="30223710" w14:textId="77777777" w:rsidR="003539CE" w:rsidRPr="00555E68" w:rsidRDefault="003539CE" w:rsidP="006D74E4">
      <w:pPr>
        <w:pStyle w:val="SingleTxtG"/>
        <w:keepNext/>
        <w:numPr>
          <w:ilvl w:val="0"/>
          <w:numId w:val="43"/>
        </w:numPr>
        <w:pBdr>
          <w:top w:val="single" w:sz="4" w:space="1" w:color="auto"/>
        </w:pBdr>
        <w:ind w:right="43"/>
        <w:rPr>
          <w:b/>
        </w:rPr>
      </w:pPr>
    </w:p>
    <w:p w14:paraId="2BA73AF4" w14:textId="3086C51F" w:rsidR="003539CE" w:rsidRDefault="003539CE" w:rsidP="003539CE">
      <w:pPr>
        <w:pStyle w:val="SingleTxtG"/>
        <w:ind w:left="0" w:right="39"/>
      </w:pPr>
      <w:r>
        <w:rPr>
          <w:b/>
          <w:u w:val="single"/>
        </w:rPr>
        <w:t xml:space="preserve">Section </w:t>
      </w:r>
      <w:r w:rsidR="002B3B17">
        <w:rPr>
          <w:b/>
          <w:u w:val="single"/>
        </w:rPr>
        <w:t>2.17.2.1</w:t>
      </w:r>
      <w:r>
        <w:t xml:space="preserve"> – </w:t>
      </w:r>
      <w:r w:rsidR="002B3B17">
        <w:t>amend as shown below</w:t>
      </w:r>
      <w:r>
        <w:t>:</w:t>
      </w:r>
    </w:p>
    <w:p w14:paraId="5527DC1C" w14:textId="293D1D31" w:rsidR="002B3B17" w:rsidRPr="000F1C74" w:rsidRDefault="002B3B17" w:rsidP="002B3B17">
      <w:pPr>
        <w:ind w:left="2835" w:right="1134" w:hanging="1134"/>
        <w:jc w:val="both"/>
        <w:rPr>
          <w:color w:val="0070C0"/>
          <w:u w:val="single"/>
        </w:rPr>
      </w:pPr>
      <w:r>
        <w:rPr>
          <w:lang w:val="en-AU"/>
        </w:rPr>
        <w:t>2.17.2.1</w:t>
      </w:r>
      <w:r>
        <w:rPr>
          <w:lang w:val="en-AU"/>
        </w:rPr>
        <w:tab/>
      </w:r>
      <w:r w:rsidRPr="000F1C74">
        <w:rPr>
          <w:strike/>
          <w:color w:val="FF0000"/>
          <w:lang w:val="en-AU"/>
        </w:rPr>
        <w:t xml:space="preserve">Any </w:t>
      </w:r>
      <w:proofErr w:type="gramStart"/>
      <w:r w:rsidRPr="000F1C74">
        <w:rPr>
          <w:strike/>
          <w:color w:val="FF0000"/>
          <w:lang w:val="en-AU"/>
        </w:rPr>
        <w:t>explosive which is desensitized</w:t>
      </w:r>
      <w:proofErr w:type="gramEnd"/>
      <w:r w:rsidRPr="000F1C74">
        <w:rPr>
          <w:strike/>
          <w:color w:val="FF0000"/>
          <w:lang w:val="en-AU"/>
        </w:rPr>
        <w:t xml:space="preserve"> shall be considered in this class</w:t>
      </w:r>
      <w:r w:rsidRPr="000F1C74">
        <w:rPr>
          <w:strike/>
          <w:color w:val="FF0000"/>
          <w:u w:val="single"/>
          <w:lang w:val="en-AU"/>
        </w:rPr>
        <w:t xml:space="preserve">, </w:t>
      </w:r>
      <w:r w:rsidRPr="000F1C74">
        <w:rPr>
          <w:strike/>
          <w:color w:val="FF0000"/>
          <w:lang w:val="en-AU"/>
        </w:rPr>
        <w:t>unless:</w:t>
      </w:r>
      <w:r w:rsidR="000F1C74" w:rsidRPr="000F1C74">
        <w:rPr>
          <w:strike/>
          <w:color w:val="FF0000"/>
        </w:rPr>
        <w:t xml:space="preserve"> </w:t>
      </w:r>
      <w:r w:rsidR="000F1C74" w:rsidRPr="000F1C74">
        <w:rPr>
          <w:color w:val="0070C0"/>
          <w:u w:val="single"/>
        </w:rPr>
        <w:t>Any explosive while in a desensitized state shall be considered in this class unless, in that state:</w:t>
      </w:r>
    </w:p>
    <w:p w14:paraId="7FF93D3F" w14:textId="1FE991CA" w:rsidR="000F1C74" w:rsidRDefault="000F1C74" w:rsidP="002B3B17">
      <w:pPr>
        <w:ind w:left="2835" w:right="1134" w:hanging="1134"/>
        <w:jc w:val="both"/>
        <w:rPr>
          <w:lang w:val="en-AU"/>
        </w:rPr>
      </w:pPr>
    </w:p>
    <w:p w14:paraId="75341215" w14:textId="56D0A690" w:rsidR="002B3B17" w:rsidRPr="00783D97" w:rsidRDefault="002B3B17" w:rsidP="007B7E53">
      <w:pPr>
        <w:suppressAutoHyphens w:val="0"/>
        <w:spacing w:before="120" w:after="120"/>
        <w:ind w:left="2835" w:right="1134"/>
        <w:jc w:val="both"/>
        <w:rPr>
          <w:lang w:val="en-AU"/>
        </w:rPr>
      </w:pPr>
      <w:r>
        <w:rPr>
          <w:lang w:val="en-AU"/>
        </w:rPr>
        <w:t>(a)</w:t>
      </w:r>
      <w:r>
        <w:rPr>
          <w:lang w:val="en-AU"/>
        </w:rPr>
        <w:tab/>
      </w:r>
      <w:r w:rsidRPr="00621169">
        <w:rPr>
          <w:strike/>
          <w:color w:val="FF0000"/>
          <w:lang w:val="en-AU"/>
        </w:rPr>
        <w:t xml:space="preserve">It is manufactured with the view to producing a practical, </w:t>
      </w:r>
      <w:r w:rsidRPr="00621169">
        <w:rPr>
          <w:strike/>
          <w:color w:val="FF0000"/>
        </w:rPr>
        <w:t>explosive</w:t>
      </w:r>
      <w:r w:rsidRPr="00621169">
        <w:rPr>
          <w:strike/>
          <w:color w:val="FF0000"/>
          <w:lang w:val="en-AU"/>
        </w:rPr>
        <w:t xml:space="preserve"> or pyrotechnic </w:t>
      </w:r>
      <w:proofErr w:type="spellStart"/>
      <w:r w:rsidRPr="006D74E4">
        <w:rPr>
          <w:strike/>
          <w:color w:val="FF0000"/>
        </w:rPr>
        <w:t>effect</w:t>
      </w:r>
      <w:r w:rsidR="00621169" w:rsidRPr="00621169">
        <w:rPr>
          <w:color w:val="0070C0"/>
          <w:u w:val="single"/>
        </w:rPr>
        <w:t>It</w:t>
      </w:r>
      <w:proofErr w:type="spellEnd"/>
      <w:r w:rsidR="00621169" w:rsidRPr="00621169">
        <w:rPr>
          <w:color w:val="0070C0"/>
          <w:u w:val="single"/>
        </w:rPr>
        <w:t xml:space="preserve"> is intended to produce a practical explosive or pyrotechnic effect</w:t>
      </w:r>
      <w:r w:rsidRPr="00621169">
        <w:t>;</w:t>
      </w:r>
      <w:r w:rsidRPr="00783D97">
        <w:rPr>
          <w:lang w:val="en-AU"/>
        </w:rPr>
        <w:t xml:space="preserve"> or</w:t>
      </w:r>
    </w:p>
    <w:p w14:paraId="69A6AFC1" w14:textId="04F74541" w:rsidR="002B3B17" w:rsidRDefault="002B3B17" w:rsidP="002B3B17">
      <w:pPr>
        <w:suppressAutoHyphens w:val="0"/>
        <w:spacing w:before="120" w:after="120"/>
        <w:ind w:left="2835" w:right="1134"/>
        <w:jc w:val="both"/>
        <w:rPr>
          <w:lang w:val="en-AU"/>
        </w:rPr>
      </w:pPr>
      <w:r>
        <w:rPr>
          <w:lang w:val="en-AU"/>
        </w:rPr>
        <w:t>(b)</w:t>
      </w:r>
      <w:r>
        <w:rPr>
          <w:lang w:val="en-AU"/>
        </w:rPr>
        <w:tab/>
        <w:t xml:space="preserve">It has a mass explosion hazard according to test series 6 (a) or 6 (b) or </w:t>
      </w:r>
      <w:r w:rsidRPr="005F51C4">
        <w:rPr>
          <w:strike/>
          <w:lang w:val="en-AU"/>
        </w:rPr>
        <w:t>t</w:t>
      </w:r>
      <w:proofErr w:type="spellStart"/>
      <w:r w:rsidRPr="002B3B17">
        <w:rPr>
          <w:strike/>
          <w:color w:val="FF0000"/>
        </w:rPr>
        <w:t>heir</w:t>
      </w:r>
      <w:r>
        <w:rPr>
          <w:color w:val="0070C0"/>
          <w:u w:val="single"/>
        </w:rPr>
        <w:t>th</w:t>
      </w:r>
      <w:r w:rsidRPr="002B3B17">
        <w:rPr>
          <w:color w:val="0070C0"/>
          <w:u w:val="single"/>
        </w:rPr>
        <w:t>e</w:t>
      </w:r>
      <w:proofErr w:type="spellEnd"/>
      <w:r>
        <w:rPr>
          <w:lang w:val="en-AU"/>
        </w:rPr>
        <w:t xml:space="preserve"> corrected burning rate according to the burning rate test described in part V, subsection 51.4 </w:t>
      </w:r>
      <w:r>
        <w:rPr>
          <w:i/>
          <w:lang w:val="en-AU"/>
        </w:rPr>
        <w:t>of the United Nations Recommendations on the Transport of Dangerous Goods, Manual of Tests and Criteria</w:t>
      </w:r>
      <w:r>
        <w:rPr>
          <w:lang w:val="en-AU"/>
        </w:rPr>
        <w:t xml:space="preserve"> is greater than 1200kg/min; or</w:t>
      </w:r>
    </w:p>
    <w:p w14:paraId="3AB17055" w14:textId="1F6A8D43" w:rsidR="002B3B17" w:rsidRPr="0078150A" w:rsidRDefault="002B3B17" w:rsidP="002B3B17">
      <w:pPr>
        <w:suppressAutoHyphens w:val="0"/>
        <w:spacing w:before="120" w:after="120"/>
        <w:ind w:left="2835" w:right="1134"/>
        <w:jc w:val="both"/>
        <w:rPr>
          <w:lang w:val="en-AU"/>
        </w:rPr>
      </w:pPr>
      <w:r w:rsidRPr="001415A7">
        <w:rPr>
          <w:lang w:val="en-AU"/>
        </w:rPr>
        <w:t>(c)</w:t>
      </w:r>
      <w:r w:rsidRPr="001415A7">
        <w:rPr>
          <w:lang w:val="en-AU"/>
        </w:rPr>
        <w:tab/>
      </w:r>
      <w:proofErr w:type="spellStart"/>
      <w:r w:rsidRPr="002B3B17">
        <w:rPr>
          <w:strike/>
          <w:color w:val="FF0000"/>
        </w:rPr>
        <w:t>Their</w:t>
      </w:r>
      <w:r w:rsidRPr="002B3B17">
        <w:rPr>
          <w:color w:val="0070C0"/>
          <w:u w:val="single"/>
        </w:rPr>
        <w:t>The</w:t>
      </w:r>
      <w:proofErr w:type="spellEnd"/>
      <w:r w:rsidRPr="0078150A">
        <w:rPr>
          <w:lang w:val="en-AU"/>
        </w:rPr>
        <w:t xml:space="preserve"> exothermic decomposition energy is less than 300J/g.</w:t>
      </w:r>
    </w:p>
    <w:p w14:paraId="442F31F6" w14:textId="1D926D39" w:rsidR="002B3B17" w:rsidRPr="00A20FAE" w:rsidRDefault="002B3B17" w:rsidP="002B3B17">
      <w:pPr>
        <w:spacing w:beforeLines="120" w:before="288" w:afterLines="120" w:after="288"/>
        <w:ind w:left="2340" w:right="1134"/>
        <w:jc w:val="both"/>
        <w:rPr>
          <w:i/>
          <w:lang w:val="en-AU"/>
        </w:rPr>
      </w:pPr>
      <w:r w:rsidRPr="00A20FAE">
        <w:rPr>
          <w:b/>
          <w:i/>
          <w:lang w:val="en-AU"/>
        </w:rPr>
        <w:t xml:space="preserve">NOTE 1: </w:t>
      </w:r>
      <w:r w:rsidRPr="00A20FAE">
        <w:rPr>
          <w:i/>
          <w:lang w:val="en-AU"/>
        </w:rPr>
        <w:t xml:space="preserve">Substances or </w:t>
      </w:r>
      <w:proofErr w:type="gramStart"/>
      <w:r w:rsidRPr="00A20FAE">
        <w:rPr>
          <w:i/>
          <w:lang w:val="en-AU"/>
        </w:rPr>
        <w:t>mixtures which</w:t>
      </w:r>
      <w:proofErr w:type="gramEnd"/>
      <w:r w:rsidRPr="00A20FAE">
        <w:rPr>
          <w:i/>
          <w:lang w:val="en-AU"/>
        </w:rPr>
        <w:t xml:space="preserve"> meet the criterion (a) or (b) </w:t>
      </w:r>
      <w:r w:rsidR="00A04358" w:rsidRPr="006D74E4">
        <w:rPr>
          <w:color w:val="0070C0"/>
          <w:u w:val="single"/>
        </w:rPr>
        <w:t>in their desensitized state</w:t>
      </w:r>
      <w:r w:rsidR="00A04358">
        <w:rPr>
          <w:i/>
          <w:lang w:val="en-AU"/>
        </w:rPr>
        <w:t xml:space="preserve"> </w:t>
      </w:r>
      <w:r w:rsidRPr="00A20FAE">
        <w:rPr>
          <w:i/>
          <w:lang w:val="en-AU"/>
        </w:rPr>
        <w:t xml:space="preserve">shall be classified as explosives, see chapter 2.1. Substances or </w:t>
      </w:r>
      <w:proofErr w:type="gramStart"/>
      <w:r w:rsidRPr="00A20FAE">
        <w:rPr>
          <w:i/>
          <w:lang w:val="en-AU"/>
        </w:rPr>
        <w:t>mixtures which meet the criterion (c)</w:t>
      </w:r>
      <w:proofErr w:type="gramEnd"/>
      <w:r w:rsidRPr="00A20FAE">
        <w:rPr>
          <w:i/>
          <w:lang w:val="en-AU"/>
        </w:rPr>
        <w:t xml:space="preserve"> may fall within the scope of other physical hazard classes.</w:t>
      </w:r>
    </w:p>
    <w:p w14:paraId="619C9656" w14:textId="77777777" w:rsidR="002B3B17" w:rsidRDefault="002B3B17" w:rsidP="002B3B17">
      <w:pPr>
        <w:spacing w:beforeLines="120" w:before="288" w:afterLines="120" w:after="288"/>
        <w:ind w:left="2340" w:right="1134"/>
        <w:jc w:val="both"/>
        <w:rPr>
          <w:i/>
          <w:lang w:val="en-AU"/>
        </w:rPr>
      </w:pPr>
      <w:r w:rsidRPr="00A20FAE">
        <w:rPr>
          <w:b/>
          <w:i/>
          <w:lang w:val="en-AU"/>
        </w:rPr>
        <w:t>NOTE 2:</w:t>
      </w:r>
      <w:r w:rsidRPr="00A20FAE">
        <w:rPr>
          <w:i/>
          <w:lang w:val="en-AU"/>
        </w:rPr>
        <w:t xml:space="preserve"> The exothermic decomposition energy </w:t>
      </w:r>
      <w:proofErr w:type="gramStart"/>
      <w:r w:rsidRPr="00A20FAE">
        <w:rPr>
          <w:i/>
          <w:lang w:val="en-AU"/>
        </w:rPr>
        <w:t>may be estimated</w:t>
      </w:r>
      <w:proofErr w:type="gramEnd"/>
      <w:r w:rsidRPr="00A20FAE">
        <w:rPr>
          <w:i/>
          <w:lang w:val="en-AU"/>
        </w:rPr>
        <w:t xml:space="preserve"> using a suitable calorimetric technique (see section 20, sub-section 20.3.3.3 in Part II of the United Nations Recommendations on the Transport of Dangerous Goods, Manual of Tests and Criteria).</w:t>
      </w:r>
    </w:p>
    <w:p w14:paraId="51218C8F" w14:textId="49FC0412" w:rsidR="003539CE" w:rsidRPr="00830A1C" w:rsidRDefault="003539CE" w:rsidP="003539CE">
      <w:pPr>
        <w:pStyle w:val="SingleTxtG"/>
        <w:ind w:left="0" w:right="39"/>
        <w:rPr>
          <w:i/>
        </w:rPr>
      </w:pPr>
      <w:proofErr w:type="gramStart"/>
      <w:r w:rsidRPr="001959B8">
        <w:rPr>
          <w:i/>
        </w:rPr>
        <w:t>Source:  ST/SG/AC.10/C.3/201</w:t>
      </w:r>
      <w:r>
        <w:rPr>
          <w:i/>
        </w:rPr>
        <w:t>6</w:t>
      </w:r>
      <w:r w:rsidRPr="001959B8">
        <w:rPr>
          <w:i/>
        </w:rPr>
        <w:t>/</w:t>
      </w:r>
      <w:r>
        <w:rPr>
          <w:i/>
        </w:rPr>
        <w:t>30</w:t>
      </w:r>
      <w:r w:rsidRPr="001959B8">
        <w:rPr>
          <w:i/>
        </w:rPr>
        <w:t>, para.</w:t>
      </w:r>
      <w:proofErr w:type="gramEnd"/>
      <w:r w:rsidRPr="001959B8">
        <w:rPr>
          <w:i/>
        </w:rPr>
        <w:t xml:space="preserve"> </w:t>
      </w:r>
      <w:proofErr w:type="gramStart"/>
      <w:r>
        <w:rPr>
          <w:i/>
        </w:rPr>
        <w:t>6</w:t>
      </w:r>
      <w:proofErr w:type="gramEnd"/>
      <w:r w:rsidR="0016689B">
        <w:rPr>
          <w:i/>
        </w:rPr>
        <w:t xml:space="preserve"> (as amended by the working group)</w:t>
      </w:r>
      <w:r w:rsidRPr="001959B8">
        <w:rPr>
          <w:i/>
        </w:rPr>
        <w:t xml:space="preserve"> </w:t>
      </w:r>
      <w:r w:rsidRPr="00195E9D">
        <w:rPr>
          <w:i/>
        </w:rPr>
        <w:t xml:space="preserve">and </w:t>
      </w:r>
      <w:r w:rsidRPr="00247070">
        <w:rPr>
          <w:i/>
        </w:rPr>
        <w:t xml:space="preserve">Para. </w:t>
      </w:r>
      <w:proofErr w:type="gramStart"/>
      <w:r w:rsidRPr="00247070">
        <w:rPr>
          <w:i/>
        </w:rPr>
        <w:t>2</w:t>
      </w:r>
      <w:r w:rsidR="00247070">
        <w:rPr>
          <w:i/>
        </w:rPr>
        <w:t>4</w:t>
      </w:r>
      <w:proofErr w:type="gramEnd"/>
      <w:r w:rsidRPr="00195E9D">
        <w:rPr>
          <w:i/>
        </w:rPr>
        <w:t xml:space="preserve"> of this report</w:t>
      </w:r>
      <w:r>
        <w:rPr>
          <w:i/>
        </w:rPr>
        <w:t>.</w:t>
      </w:r>
    </w:p>
    <w:p w14:paraId="4609A867" w14:textId="77777777" w:rsidR="003C7082" w:rsidRPr="003C7082" w:rsidRDefault="003C7082" w:rsidP="003539CE">
      <w:pPr>
        <w:pStyle w:val="SingleTxtG"/>
        <w:spacing w:line="240" w:lineRule="auto"/>
        <w:ind w:left="0" w:right="39"/>
        <w:rPr>
          <w:i/>
        </w:rPr>
      </w:pPr>
    </w:p>
    <w:sectPr w:rsidR="003C7082" w:rsidRPr="003C7082" w:rsidSect="00A264E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699" w:right="1138" w:bottom="2275" w:left="1138" w:header="1138"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05D72" w14:textId="77777777" w:rsidR="00E8736B" w:rsidRDefault="00E8736B"/>
  </w:endnote>
  <w:endnote w:type="continuationSeparator" w:id="0">
    <w:p w14:paraId="03FD95E7" w14:textId="77777777" w:rsidR="00E8736B" w:rsidRDefault="00E8736B"/>
  </w:endnote>
  <w:endnote w:type="continuationNotice" w:id="1">
    <w:p w14:paraId="062835F6" w14:textId="77777777" w:rsidR="00E8736B" w:rsidRDefault="00E873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80D89" w14:textId="680DF0AD" w:rsidR="00EB4CB8" w:rsidRPr="00A264E1" w:rsidRDefault="00EB4CB8" w:rsidP="00A264E1">
    <w:pPr>
      <w:pStyle w:val="Footer"/>
      <w:tabs>
        <w:tab w:val="right" w:pos="9638"/>
      </w:tabs>
      <w:rPr>
        <w:sz w:val="18"/>
      </w:rPr>
    </w:pPr>
    <w:r>
      <w:rPr>
        <w:rStyle w:val="PageNumber"/>
      </w:rPr>
      <w:fldChar w:fldCharType="begin"/>
    </w:r>
    <w:r>
      <w:rPr>
        <w:rStyle w:val="PageNumber"/>
      </w:rPr>
      <w:instrText xml:space="preserve"> PAGE </w:instrText>
    </w:r>
    <w:r>
      <w:rPr>
        <w:rStyle w:val="PageNumber"/>
      </w:rPr>
      <w:fldChar w:fldCharType="separate"/>
    </w:r>
    <w:r w:rsidR="00B7457B">
      <w:rPr>
        <w:rStyle w:val="PageNumber"/>
        <w:noProof/>
      </w:rPr>
      <w:t>18</w:t>
    </w:r>
    <w:r>
      <w:rPr>
        <w:rStyle w:val="PageNumber"/>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CCBF3" w14:textId="049D32E3" w:rsidR="00EB4CB8" w:rsidRPr="002F6ECE" w:rsidRDefault="00EB4CB8" w:rsidP="00271195">
    <w:pPr>
      <w:pStyle w:val="Footer"/>
      <w:tabs>
        <w:tab w:val="right" w:pos="9638"/>
      </w:tabs>
      <w:rPr>
        <w:b/>
        <w:sz w:val="18"/>
      </w:rPr>
    </w:pPr>
    <w:r>
      <w:tab/>
    </w:r>
    <w:r>
      <w:rPr>
        <w:rStyle w:val="PageNumber"/>
      </w:rPr>
      <w:fldChar w:fldCharType="begin"/>
    </w:r>
    <w:r>
      <w:rPr>
        <w:rStyle w:val="PageNumber"/>
      </w:rPr>
      <w:instrText xml:space="preserve"> PAGE </w:instrText>
    </w:r>
    <w:r>
      <w:rPr>
        <w:rStyle w:val="PageNumber"/>
      </w:rPr>
      <w:fldChar w:fldCharType="separate"/>
    </w:r>
    <w:r w:rsidR="00B7457B">
      <w:rPr>
        <w:rStyle w:val="PageNumber"/>
        <w:noProof/>
      </w:rPr>
      <w:t>17</w:t>
    </w:r>
    <w:r>
      <w:rPr>
        <w:rStyle w:val="PageNumber"/>
      </w:rPr>
      <w:fldChar w:fldCharType="end"/>
    </w:r>
  </w:p>
  <w:p w14:paraId="3B778FC8" w14:textId="77777777" w:rsidR="00EB4CB8" w:rsidRDefault="00EB4C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26385" w14:textId="77777777" w:rsidR="00EB4CB8" w:rsidRPr="00965381" w:rsidRDefault="00EB4CB8" w:rsidP="00A264E1">
    <w:pPr>
      <w:pStyle w:val="Footer"/>
      <w:rPr>
        <w:sz w:val="20"/>
      </w:rPr>
    </w:pPr>
    <w:r>
      <w:rPr>
        <w:noProof/>
        <w:lang w:eastAsia="en-GB"/>
      </w:rPr>
      <w:drawing>
        <wp:anchor distT="0" distB="0" distL="114300" distR="114300" simplePos="0" relativeHeight="251659264" behindDoc="0" locked="1" layoutInCell="1" allowOverlap="1" wp14:anchorId="3C0D6C38" wp14:editId="14A8B4BB">
          <wp:simplePos x="0" y="0"/>
          <wp:positionH relativeFrom="column">
            <wp:posOffset>5148580</wp:posOffset>
          </wp:positionH>
          <wp:positionV relativeFrom="paragraph">
            <wp:posOffset>158115</wp:posOffset>
          </wp:positionV>
          <wp:extent cx="930275" cy="230505"/>
          <wp:effectExtent l="0" t="0" r="3175" b="0"/>
          <wp:wrapNone/>
          <wp:docPr id="4" name="그림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91F2C" w14:textId="77777777" w:rsidR="00E8736B" w:rsidRPr="000B175B" w:rsidRDefault="00E8736B" w:rsidP="000B175B">
      <w:pPr>
        <w:tabs>
          <w:tab w:val="right" w:pos="2155"/>
        </w:tabs>
        <w:spacing w:after="80"/>
        <w:ind w:left="680"/>
        <w:rPr>
          <w:u w:val="single"/>
        </w:rPr>
      </w:pPr>
      <w:r>
        <w:rPr>
          <w:u w:val="single"/>
        </w:rPr>
        <w:tab/>
      </w:r>
    </w:p>
  </w:footnote>
  <w:footnote w:type="continuationSeparator" w:id="0">
    <w:p w14:paraId="3BEC9817" w14:textId="77777777" w:rsidR="00E8736B" w:rsidRPr="00FC68B7" w:rsidRDefault="00E8736B" w:rsidP="00FC68B7">
      <w:pPr>
        <w:tabs>
          <w:tab w:val="left" w:pos="2155"/>
        </w:tabs>
        <w:spacing w:after="80"/>
        <w:ind w:left="680"/>
        <w:rPr>
          <w:u w:val="single"/>
        </w:rPr>
      </w:pPr>
      <w:r>
        <w:rPr>
          <w:u w:val="single"/>
        </w:rPr>
        <w:tab/>
      </w:r>
    </w:p>
  </w:footnote>
  <w:footnote w:type="continuationNotice" w:id="1">
    <w:p w14:paraId="7DDB7178" w14:textId="77777777" w:rsidR="00E8736B" w:rsidRDefault="00E8736B"/>
  </w:footnote>
  <w:footnote w:id="2">
    <w:p w14:paraId="56235EDC" w14:textId="00425491" w:rsidR="00EB4CB8" w:rsidRPr="002E1A64" w:rsidRDefault="00EB4CB8" w:rsidP="00473AAC">
      <w:pPr>
        <w:pStyle w:val="FootnoteText"/>
        <w:tabs>
          <w:tab w:val="clear" w:pos="1021"/>
        </w:tabs>
        <w:ind w:left="90" w:right="1" w:hanging="90"/>
        <w:rPr>
          <w:lang w:val="en-US"/>
        </w:rPr>
      </w:pPr>
      <w:r>
        <w:rPr>
          <w:rStyle w:val="FootnoteReference"/>
        </w:rPr>
        <w:footnoteRef/>
      </w:r>
      <w:r>
        <w:t xml:space="preserve"> </w:t>
      </w:r>
      <w:r>
        <w:rPr>
          <w:lang w:val="en-US"/>
        </w:rPr>
        <w:t>In addition to the topics discussed under Agenda Item 2(c), a report was provided by CEFIC to update the working group on the progress of the review of Test Series H in Part II of the Manual</w:t>
      </w:r>
    </w:p>
  </w:footnote>
  <w:footnote w:id="3">
    <w:p w14:paraId="4727956A" w14:textId="72EF868A" w:rsidR="00EB4CB8" w:rsidRPr="003A3A35" w:rsidRDefault="00EB4CB8">
      <w:pPr>
        <w:pStyle w:val="FootnoteText"/>
        <w:rPr>
          <w:lang w:val="en-US"/>
        </w:rPr>
      </w:pPr>
      <w:r>
        <w:rPr>
          <w:rStyle w:val="FootnoteReference"/>
        </w:rPr>
        <w:footnoteRef/>
      </w:r>
      <w:r>
        <w:t xml:space="preserve"> </w:t>
      </w:r>
      <w:r>
        <w:rPr>
          <w:lang w:val="en-US"/>
        </w:rPr>
        <w:t>Hereafter referred to as “the Manual”</w:t>
      </w:r>
    </w:p>
  </w:footnote>
  <w:footnote w:id="4">
    <w:p w14:paraId="25E23B43" w14:textId="77777777" w:rsidR="00EB4CB8" w:rsidRPr="00952B11" w:rsidRDefault="00EB4CB8" w:rsidP="005C6DEB">
      <w:pPr>
        <w:pStyle w:val="FootnoteText"/>
        <w:ind w:firstLine="0"/>
      </w:pPr>
      <w:r>
        <w:rPr>
          <w:rStyle w:val="FootnoteReference"/>
        </w:rPr>
        <w:footnoteRef/>
      </w:r>
      <w:r w:rsidRPr="00952B11">
        <w:t xml:space="preserve"> IGUS is the International Group of experts</w:t>
      </w:r>
      <w:r>
        <w:t xml:space="preserve"> on the explosion r</w:t>
      </w:r>
      <w:r w:rsidRPr="00952B11">
        <w:t>i</w:t>
      </w:r>
      <w:r>
        <w:t>sk</w:t>
      </w:r>
      <w:r w:rsidRPr="00952B11">
        <w:t>s of Unstable Substances</w:t>
      </w:r>
      <w:r>
        <w:t>, which has been active in the field of hazardous materials, including dangerous goods, for over 50 years</w:t>
      </w:r>
      <w:r w:rsidRPr="00952B11">
        <w:t>.</w:t>
      </w:r>
      <w:r>
        <w:t xml:space="preserve"> Experts participate in IGUS due to their expertise, and not as representatives of their country or organization. See </w:t>
      </w:r>
      <w:hyperlink r:id="rId1" w:history="1">
        <w:r w:rsidRPr="0046461B">
          <w:rPr>
            <w:rStyle w:val="Hyperlink"/>
          </w:rPr>
          <w:t>www.igus-experts.org</w:t>
        </w:r>
      </w:hyperlink>
      <w:r>
        <w:t xml:space="preserve"> for further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016F1" w14:textId="50AF7208" w:rsidR="00EB4CB8" w:rsidRPr="00256328" w:rsidRDefault="00EB4CB8" w:rsidP="00271195">
    <w:pPr>
      <w:pStyle w:val="Header"/>
      <w:rPr>
        <w:lang w:val="fr-CH"/>
      </w:rPr>
    </w:pPr>
    <w:r>
      <w:rPr>
        <w:lang w:val="fr-CH"/>
      </w:rPr>
      <w:t>UN/SCETDG/49/INF.66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9D402" w14:textId="75B66E80" w:rsidR="00EB4CB8" w:rsidRPr="00256328" w:rsidRDefault="00EB4CB8" w:rsidP="00271195">
    <w:pPr>
      <w:pStyle w:val="Header"/>
      <w:jc w:val="right"/>
      <w:rPr>
        <w:lang w:val="fr-CH"/>
      </w:rPr>
    </w:pPr>
    <w:r>
      <w:rPr>
        <w:lang w:val="fr-CH"/>
      </w:rPr>
      <w:t>UN/SCETDG/49/INF.66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5439A" w14:textId="34E502F6" w:rsidR="00EB4CB8" w:rsidRDefault="00EB4C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027750"/>
    <w:multiLevelType w:val="hybridMultilevel"/>
    <w:tmpl w:val="30CA23B0"/>
    <w:lvl w:ilvl="0" w:tplc="F314C598">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9679D"/>
    <w:multiLevelType w:val="hybridMultilevel"/>
    <w:tmpl w:val="53AEAB1C"/>
    <w:lvl w:ilvl="0" w:tplc="04090001">
      <w:start w:val="1"/>
      <w:numFmt w:val="bullet"/>
      <w:lvlText w:val=""/>
      <w:lvlJc w:val="left"/>
      <w:pPr>
        <w:ind w:left="1112" w:hanging="360"/>
      </w:pPr>
      <w:rPr>
        <w:rFonts w:ascii="Symbol" w:hAnsi="Symbol" w:hint="default"/>
      </w:rPr>
    </w:lvl>
    <w:lvl w:ilvl="1" w:tplc="0D26DA52">
      <w:numFmt w:val="bullet"/>
      <w:lvlText w:val="-"/>
      <w:lvlJc w:val="left"/>
      <w:pPr>
        <w:ind w:left="1832" w:hanging="360"/>
      </w:pPr>
      <w:rPr>
        <w:rFonts w:ascii="Times New Roman" w:eastAsia="Times New Roman" w:hAnsi="Times New Roman" w:cs="Times New Roman"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3">
    <w:nsid w:val="110F151D"/>
    <w:multiLevelType w:val="hybridMultilevel"/>
    <w:tmpl w:val="4A8C4DE8"/>
    <w:lvl w:ilvl="0" w:tplc="04090001">
      <w:start w:val="1"/>
      <w:numFmt w:val="bullet"/>
      <w:lvlText w:val=""/>
      <w:lvlJc w:val="left"/>
      <w:pPr>
        <w:ind w:left="2059" w:hanging="360"/>
      </w:pPr>
      <w:rPr>
        <w:rFonts w:ascii="Symbol" w:hAnsi="Symbol" w:hint="default"/>
      </w:rPr>
    </w:lvl>
    <w:lvl w:ilvl="1" w:tplc="04090003">
      <w:start w:val="1"/>
      <w:numFmt w:val="bullet"/>
      <w:lvlText w:val="o"/>
      <w:lvlJc w:val="left"/>
      <w:pPr>
        <w:ind w:left="2779" w:hanging="360"/>
      </w:pPr>
      <w:rPr>
        <w:rFonts w:ascii="Courier New" w:hAnsi="Courier New" w:cs="Courier New" w:hint="default"/>
      </w:rPr>
    </w:lvl>
    <w:lvl w:ilvl="2" w:tplc="04090005">
      <w:start w:val="1"/>
      <w:numFmt w:val="bullet"/>
      <w:lvlText w:val=""/>
      <w:lvlJc w:val="left"/>
      <w:pPr>
        <w:ind w:left="3499" w:hanging="360"/>
      </w:pPr>
      <w:rPr>
        <w:rFonts w:ascii="Wingdings" w:hAnsi="Wingdings" w:hint="default"/>
      </w:rPr>
    </w:lvl>
    <w:lvl w:ilvl="3" w:tplc="04090001">
      <w:start w:val="1"/>
      <w:numFmt w:val="bullet"/>
      <w:lvlText w:val=""/>
      <w:lvlJc w:val="left"/>
      <w:pPr>
        <w:ind w:left="4219" w:hanging="360"/>
      </w:pPr>
      <w:rPr>
        <w:rFonts w:ascii="Symbol" w:hAnsi="Symbol" w:hint="default"/>
      </w:rPr>
    </w:lvl>
    <w:lvl w:ilvl="4" w:tplc="04090003">
      <w:start w:val="1"/>
      <w:numFmt w:val="bullet"/>
      <w:lvlText w:val="o"/>
      <w:lvlJc w:val="left"/>
      <w:pPr>
        <w:ind w:left="4939" w:hanging="360"/>
      </w:pPr>
      <w:rPr>
        <w:rFonts w:ascii="Courier New" w:hAnsi="Courier New" w:cs="Courier New" w:hint="default"/>
      </w:rPr>
    </w:lvl>
    <w:lvl w:ilvl="5" w:tplc="04090005">
      <w:start w:val="1"/>
      <w:numFmt w:val="bullet"/>
      <w:lvlText w:val=""/>
      <w:lvlJc w:val="left"/>
      <w:pPr>
        <w:ind w:left="5659" w:hanging="360"/>
      </w:pPr>
      <w:rPr>
        <w:rFonts w:ascii="Wingdings" w:hAnsi="Wingdings" w:hint="default"/>
      </w:rPr>
    </w:lvl>
    <w:lvl w:ilvl="6" w:tplc="04090001">
      <w:start w:val="1"/>
      <w:numFmt w:val="bullet"/>
      <w:lvlText w:val=""/>
      <w:lvlJc w:val="left"/>
      <w:pPr>
        <w:ind w:left="6379" w:hanging="360"/>
      </w:pPr>
      <w:rPr>
        <w:rFonts w:ascii="Symbol" w:hAnsi="Symbol" w:hint="default"/>
      </w:rPr>
    </w:lvl>
    <w:lvl w:ilvl="7" w:tplc="04090003">
      <w:start w:val="1"/>
      <w:numFmt w:val="bullet"/>
      <w:lvlText w:val="o"/>
      <w:lvlJc w:val="left"/>
      <w:pPr>
        <w:ind w:left="7099" w:hanging="360"/>
      </w:pPr>
      <w:rPr>
        <w:rFonts w:ascii="Courier New" w:hAnsi="Courier New" w:cs="Courier New" w:hint="default"/>
      </w:rPr>
    </w:lvl>
    <w:lvl w:ilvl="8" w:tplc="04090005">
      <w:start w:val="1"/>
      <w:numFmt w:val="bullet"/>
      <w:lvlText w:val=""/>
      <w:lvlJc w:val="left"/>
      <w:pPr>
        <w:ind w:left="7819" w:hanging="360"/>
      </w:pPr>
      <w:rPr>
        <w:rFonts w:ascii="Wingdings" w:hAnsi="Wingdings" w:hint="default"/>
      </w:rPr>
    </w:lvl>
  </w:abstractNum>
  <w:abstractNum w:abstractNumId="4">
    <w:nsid w:val="1E5C5613"/>
    <w:multiLevelType w:val="hybridMultilevel"/>
    <w:tmpl w:val="C21E91C2"/>
    <w:lvl w:ilvl="0" w:tplc="04090001">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5">
    <w:nsid w:val="1F147DBC"/>
    <w:multiLevelType w:val="hybridMultilevel"/>
    <w:tmpl w:val="C58C2FF8"/>
    <w:lvl w:ilvl="0" w:tplc="04090001">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6">
    <w:nsid w:val="219E677A"/>
    <w:multiLevelType w:val="hybridMultilevel"/>
    <w:tmpl w:val="94FC0892"/>
    <w:lvl w:ilvl="0" w:tplc="04090001">
      <w:start w:val="1"/>
      <w:numFmt w:val="bullet"/>
      <w:lvlText w:val=""/>
      <w:lvlJc w:val="left"/>
      <w:pPr>
        <w:ind w:left="2251" w:hanging="360"/>
      </w:pPr>
      <w:rPr>
        <w:rFonts w:ascii="Symbol" w:hAnsi="Symbol" w:hint="default"/>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7">
    <w:nsid w:val="230E7FAE"/>
    <w:multiLevelType w:val="hybridMultilevel"/>
    <w:tmpl w:val="39002702"/>
    <w:lvl w:ilvl="0" w:tplc="6D5E22D8">
      <w:start w:val="1"/>
      <w:numFmt w:val="bullet"/>
      <w:lvlText w:val="•"/>
      <w:lvlJc w:val="left"/>
      <w:pPr>
        <w:tabs>
          <w:tab w:val="num" w:pos="737"/>
        </w:tabs>
        <w:ind w:left="737" w:hanging="170"/>
      </w:pPr>
      <w:rPr>
        <w:rFonts w:ascii="Times New Roman" w:hAnsi="Times New Roman" w:cs="Times New Roman" w:hint="default"/>
        <w:b w:val="0"/>
        <w:i w:val="0"/>
        <w:sz w:val="20"/>
      </w:rPr>
    </w:lvl>
    <w:lvl w:ilvl="1" w:tplc="04090003">
      <w:start w:val="1"/>
      <w:numFmt w:val="bullet"/>
      <w:lvlText w:val="o"/>
      <w:lvlJc w:val="left"/>
      <w:pPr>
        <w:ind w:left="476" w:hanging="360"/>
      </w:pPr>
      <w:rPr>
        <w:rFonts w:ascii="Courier New" w:hAnsi="Courier New" w:cs="Courier New" w:hint="default"/>
      </w:rPr>
    </w:lvl>
    <w:lvl w:ilvl="2" w:tplc="04090005">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8">
    <w:nsid w:val="25D47F9B"/>
    <w:multiLevelType w:val="hybridMultilevel"/>
    <w:tmpl w:val="75B40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713BA5"/>
    <w:multiLevelType w:val="hybridMultilevel"/>
    <w:tmpl w:val="723C099A"/>
    <w:lvl w:ilvl="0" w:tplc="1F8A331E">
      <w:numFmt w:val="bullet"/>
      <w:lvlText w:val="•"/>
      <w:lvlJc w:val="left"/>
      <w:pPr>
        <w:ind w:left="2269" w:hanging="570"/>
      </w:pPr>
      <w:rPr>
        <w:rFonts w:ascii="Times New Roman" w:eastAsia="Times New Roman" w:hAnsi="Times New Roman" w:cs="Times New Roman" w:hint="default"/>
      </w:rPr>
    </w:lvl>
    <w:lvl w:ilvl="1" w:tplc="04090003" w:tentative="1">
      <w:start w:val="1"/>
      <w:numFmt w:val="bullet"/>
      <w:lvlText w:val="o"/>
      <w:lvlJc w:val="left"/>
      <w:pPr>
        <w:ind w:left="2779" w:hanging="360"/>
      </w:pPr>
      <w:rPr>
        <w:rFonts w:ascii="Courier New" w:hAnsi="Courier New" w:cs="Courier New" w:hint="default"/>
      </w:rPr>
    </w:lvl>
    <w:lvl w:ilvl="2" w:tplc="04090005" w:tentative="1">
      <w:start w:val="1"/>
      <w:numFmt w:val="bullet"/>
      <w:lvlText w:val=""/>
      <w:lvlJc w:val="left"/>
      <w:pPr>
        <w:ind w:left="3499" w:hanging="360"/>
      </w:pPr>
      <w:rPr>
        <w:rFonts w:ascii="Wingdings" w:hAnsi="Wingdings" w:hint="default"/>
      </w:rPr>
    </w:lvl>
    <w:lvl w:ilvl="3" w:tplc="04090001" w:tentative="1">
      <w:start w:val="1"/>
      <w:numFmt w:val="bullet"/>
      <w:lvlText w:val=""/>
      <w:lvlJc w:val="left"/>
      <w:pPr>
        <w:ind w:left="4219" w:hanging="360"/>
      </w:pPr>
      <w:rPr>
        <w:rFonts w:ascii="Symbol" w:hAnsi="Symbol" w:hint="default"/>
      </w:rPr>
    </w:lvl>
    <w:lvl w:ilvl="4" w:tplc="04090003" w:tentative="1">
      <w:start w:val="1"/>
      <w:numFmt w:val="bullet"/>
      <w:lvlText w:val="o"/>
      <w:lvlJc w:val="left"/>
      <w:pPr>
        <w:ind w:left="4939" w:hanging="360"/>
      </w:pPr>
      <w:rPr>
        <w:rFonts w:ascii="Courier New" w:hAnsi="Courier New" w:cs="Courier New" w:hint="default"/>
      </w:rPr>
    </w:lvl>
    <w:lvl w:ilvl="5" w:tplc="04090005" w:tentative="1">
      <w:start w:val="1"/>
      <w:numFmt w:val="bullet"/>
      <w:lvlText w:val=""/>
      <w:lvlJc w:val="left"/>
      <w:pPr>
        <w:ind w:left="5659" w:hanging="360"/>
      </w:pPr>
      <w:rPr>
        <w:rFonts w:ascii="Wingdings" w:hAnsi="Wingdings" w:hint="default"/>
      </w:rPr>
    </w:lvl>
    <w:lvl w:ilvl="6" w:tplc="04090001" w:tentative="1">
      <w:start w:val="1"/>
      <w:numFmt w:val="bullet"/>
      <w:lvlText w:val=""/>
      <w:lvlJc w:val="left"/>
      <w:pPr>
        <w:ind w:left="6379" w:hanging="360"/>
      </w:pPr>
      <w:rPr>
        <w:rFonts w:ascii="Symbol" w:hAnsi="Symbol" w:hint="default"/>
      </w:rPr>
    </w:lvl>
    <w:lvl w:ilvl="7" w:tplc="04090003" w:tentative="1">
      <w:start w:val="1"/>
      <w:numFmt w:val="bullet"/>
      <w:lvlText w:val="o"/>
      <w:lvlJc w:val="left"/>
      <w:pPr>
        <w:ind w:left="7099" w:hanging="360"/>
      </w:pPr>
      <w:rPr>
        <w:rFonts w:ascii="Courier New" w:hAnsi="Courier New" w:cs="Courier New" w:hint="default"/>
      </w:rPr>
    </w:lvl>
    <w:lvl w:ilvl="8" w:tplc="04090005" w:tentative="1">
      <w:start w:val="1"/>
      <w:numFmt w:val="bullet"/>
      <w:lvlText w:val=""/>
      <w:lvlJc w:val="left"/>
      <w:pPr>
        <w:ind w:left="7819" w:hanging="360"/>
      </w:pPr>
      <w:rPr>
        <w:rFonts w:ascii="Wingdings" w:hAnsi="Wingdings" w:hint="default"/>
      </w:rPr>
    </w:lvl>
  </w:abstractNum>
  <w:abstractNum w:abstractNumId="10">
    <w:nsid w:val="303E0139"/>
    <w:multiLevelType w:val="hybridMultilevel"/>
    <w:tmpl w:val="3572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876D8F"/>
    <w:multiLevelType w:val="hybridMultilevel"/>
    <w:tmpl w:val="A06E3F9A"/>
    <w:lvl w:ilvl="0" w:tplc="1F8A331E">
      <w:numFmt w:val="bullet"/>
      <w:lvlText w:val="•"/>
      <w:lvlJc w:val="left"/>
      <w:pPr>
        <w:ind w:left="3968" w:hanging="570"/>
      </w:pPr>
      <w:rPr>
        <w:rFonts w:ascii="Times New Roman" w:eastAsia="Times New Roman" w:hAnsi="Times New Roman" w:cs="Times New Roman" w:hint="default"/>
      </w:rPr>
    </w:lvl>
    <w:lvl w:ilvl="1" w:tplc="04090003" w:tentative="1">
      <w:start w:val="1"/>
      <w:numFmt w:val="bullet"/>
      <w:lvlText w:val="o"/>
      <w:lvlJc w:val="left"/>
      <w:pPr>
        <w:ind w:left="3139" w:hanging="360"/>
      </w:pPr>
      <w:rPr>
        <w:rFonts w:ascii="Courier New" w:hAnsi="Courier New" w:cs="Courier New" w:hint="default"/>
      </w:rPr>
    </w:lvl>
    <w:lvl w:ilvl="2" w:tplc="04090005">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1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CB21ED"/>
    <w:multiLevelType w:val="hybridMultilevel"/>
    <w:tmpl w:val="7D3AA688"/>
    <w:lvl w:ilvl="0" w:tplc="04090001">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14">
    <w:nsid w:val="39A70E4B"/>
    <w:multiLevelType w:val="hybridMultilevel"/>
    <w:tmpl w:val="01686634"/>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96517A"/>
    <w:multiLevelType w:val="hybridMultilevel"/>
    <w:tmpl w:val="E84079FE"/>
    <w:lvl w:ilvl="0" w:tplc="04090001">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16">
    <w:nsid w:val="40FB18CC"/>
    <w:multiLevelType w:val="hybridMultilevel"/>
    <w:tmpl w:val="EDFA1F32"/>
    <w:lvl w:ilvl="0" w:tplc="1F8A331E">
      <w:numFmt w:val="bullet"/>
      <w:lvlText w:val="•"/>
      <w:lvlJc w:val="left"/>
      <w:pPr>
        <w:ind w:left="2269" w:hanging="5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4E1F34"/>
    <w:multiLevelType w:val="hybridMultilevel"/>
    <w:tmpl w:val="6DDC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3F291F"/>
    <w:multiLevelType w:val="hybridMultilevel"/>
    <w:tmpl w:val="A0AEB6F4"/>
    <w:lvl w:ilvl="0" w:tplc="6D5E22D8">
      <w:start w:val="1"/>
      <w:numFmt w:val="bullet"/>
      <w:lvlText w:val="•"/>
      <w:lvlJc w:val="left"/>
      <w:pPr>
        <w:tabs>
          <w:tab w:val="num" w:pos="3232"/>
        </w:tabs>
        <w:ind w:left="3232" w:hanging="170"/>
      </w:pPr>
      <w:rPr>
        <w:rFonts w:ascii="Times New Roman" w:hAnsi="Times New Roman" w:cs="Times New Roman" w:hint="default"/>
        <w:b w:val="0"/>
        <w:i w:val="0"/>
        <w:sz w:val="20"/>
      </w:rPr>
    </w:lvl>
    <w:lvl w:ilvl="1" w:tplc="04090003" w:tentative="1">
      <w:start w:val="1"/>
      <w:numFmt w:val="bullet"/>
      <w:lvlText w:val="o"/>
      <w:lvlJc w:val="left"/>
      <w:pPr>
        <w:ind w:left="2971" w:hanging="360"/>
      </w:pPr>
      <w:rPr>
        <w:rFonts w:ascii="Courier New" w:hAnsi="Courier New" w:cs="Courier New" w:hint="default"/>
      </w:rPr>
    </w:lvl>
    <w:lvl w:ilvl="2" w:tplc="04090005">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19">
    <w:nsid w:val="468810B6"/>
    <w:multiLevelType w:val="hybridMultilevel"/>
    <w:tmpl w:val="3926EDEE"/>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76C3E0D"/>
    <w:multiLevelType w:val="multilevel"/>
    <w:tmpl w:val="42FA0602"/>
    <w:lvl w:ilvl="0">
      <w:start w:val="1"/>
      <w:numFmt w:val="decimal"/>
      <w:lvlText w:val="%1."/>
      <w:lvlJc w:val="left"/>
      <w:pPr>
        <w:tabs>
          <w:tab w:val="num" w:pos="720"/>
        </w:tabs>
        <w:ind w:left="1138" w:firstLine="0"/>
      </w:pPr>
      <w:rPr>
        <w:rFonts w:hint="default"/>
      </w:rPr>
    </w:lvl>
    <w:lvl w:ilvl="1">
      <w:start w:val="1"/>
      <w:numFmt w:val="lowerLetter"/>
      <w:lvlText w:val="(%2)"/>
      <w:lvlJc w:val="left"/>
      <w:pPr>
        <w:tabs>
          <w:tab w:val="num" w:pos="720"/>
        </w:tabs>
        <w:ind w:left="1858" w:firstLine="0"/>
      </w:pPr>
      <w:rPr>
        <w:rFonts w:hint="default"/>
      </w:rPr>
    </w:lvl>
    <w:lvl w:ilvl="2">
      <w:start w:val="1"/>
      <w:numFmt w:val="lowerRoman"/>
      <w:lvlText w:val="%3."/>
      <w:lvlJc w:val="right"/>
      <w:pPr>
        <w:tabs>
          <w:tab w:val="num" w:pos="720"/>
        </w:tabs>
        <w:ind w:left="2578"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4DB85AA1"/>
    <w:multiLevelType w:val="hybridMultilevel"/>
    <w:tmpl w:val="5A32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E12B2E"/>
    <w:multiLevelType w:val="hybridMultilevel"/>
    <w:tmpl w:val="97BECDEE"/>
    <w:lvl w:ilvl="0" w:tplc="04090001">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23">
    <w:nsid w:val="5F6C09A8"/>
    <w:multiLevelType w:val="hybridMultilevel"/>
    <w:tmpl w:val="5306688A"/>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84570BB"/>
    <w:multiLevelType w:val="hybridMultilevel"/>
    <w:tmpl w:val="5306688A"/>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8862366"/>
    <w:multiLevelType w:val="hybridMultilevel"/>
    <w:tmpl w:val="523E6D94"/>
    <w:lvl w:ilvl="0" w:tplc="0E8EB3D0">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B8505076" w:tentative="1">
      <w:start w:val="1"/>
      <w:numFmt w:val="bullet"/>
      <w:lvlText w:val="o"/>
      <w:lvlJc w:val="left"/>
      <w:pPr>
        <w:tabs>
          <w:tab w:val="num" w:pos="1440"/>
        </w:tabs>
        <w:ind w:left="1440" w:hanging="360"/>
      </w:pPr>
      <w:rPr>
        <w:rFonts w:ascii="Courier New" w:hAnsi="Courier New" w:cs="Courier New" w:hint="default"/>
      </w:rPr>
    </w:lvl>
    <w:lvl w:ilvl="2" w:tplc="441E8610" w:tentative="1">
      <w:start w:val="1"/>
      <w:numFmt w:val="bullet"/>
      <w:lvlText w:val=""/>
      <w:lvlJc w:val="left"/>
      <w:pPr>
        <w:tabs>
          <w:tab w:val="num" w:pos="2160"/>
        </w:tabs>
        <w:ind w:left="2160" w:hanging="360"/>
      </w:pPr>
      <w:rPr>
        <w:rFonts w:ascii="Wingdings" w:hAnsi="Wingdings" w:hint="default"/>
      </w:rPr>
    </w:lvl>
    <w:lvl w:ilvl="3" w:tplc="A22CE570" w:tentative="1">
      <w:start w:val="1"/>
      <w:numFmt w:val="bullet"/>
      <w:lvlText w:val=""/>
      <w:lvlJc w:val="left"/>
      <w:pPr>
        <w:tabs>
          <w:tab w:val="num" w:pos="2880"/>
        </w:tabs>
        <w:ind w:left="2880" w:hanging="360"/>
      </w:pPr>
      <w:rPr>
        <w:rFonts w:ascii="Symbol" w:hAnsi="Symbol" w:hint="default"/>
      </w:rPr>
    </w:lvl>
    <w:lvl w:ilvl="4" w:tplc="AF68B53E" w:tentative="1">
      <w:start w:val="1"/>
      <w:numFmt w:val="bullet"/>
      <w:lvlText w:val="o"/>
      <w:lvlJc w:val="left"/>
      <w:pPr>
        <w:tabs>
          <w:tab w:val="num" w:pos="3600"/>
        </w:tabs>
        <w:ind w:left="3600" w:hanging="360"/>
      </w:pPr>
      <w:rPr>
        <w:rFonts w:ascii="Courier New" w:hAnsi="Courier New" w:cs="Courier New" w:hint="default"/>
      </w:rPr>
    </w:lvl>
    <w:lvl w:ilvl="5" w:tplc="A4586C5C" w:tentative="1">
      <w:start w:val="1"/>
      <w:numFmt w:val="bullet"/>
      <w:lvlText w:val=""/>
      <w:lvlJc w:val="left"/>
      <w:pPr>
        <w:tabs>
          <w:tab w:val="num" w:pos="4320"/>
        </w:tabs>
        <w:ind w:left="4320" w:hanging="360"/>
      </w:pPr>
      <w:rPr>
        <w:rFonts w:ascii="Wingdings" w:hAnsi="Wingdings" w:hint="default"/>
      </w:rPr>
    </w:lvl>
    <w:lvl w:ilvl="6" w:tplc="9AA64C7C" w:tentative="1">
      <w:start w:val="1"/>
      <w:numFmt w:val="bullet"/>
      <w:lvlText w:val=""/>
      <w:lvlJc w:val="left"/>
      <w:pPr>
        <w:tabs>
          <w:tab w:val="num" w:pos="5040"/>
        </w:tabs>
        <w:ind w:left="5040" w:hanging="360"/>
      </w:pPr>
      <w:rPr>
        <w:rFonts w:ascii="Symbol" w:hAnsi="Symbol" w:hint="default"/>
      </w:rPr>
    </w:lvl>
    <w:lvl w:ilvl="7" w:tplc="B2E47166" w:tentative="1">
      <w:start w:val="1"/>
      <w:numFmt w:val="bullet"/>
      <w:lvlText w:val="o"/>
      <w:lvlJc w:val="left"/>
      <w:pPr>
        <w:tabs>
          <w:tab w:val="num" w:pos="5760"/>
        </w:tabs>
        <w:ind w:left="5760" w:hanging="360"/>
      </w:pPr>
      <w:rPr>
        <w:rFonts w:ascii="Courier New" w:hAnsi="Courier New" w:cs="Courier New" w:hint="default"/>
      </w:rPr>
    </w:lvl>
    <w:lvl w:ilvl="8" w:tplc="E500B0B8" w:tentative="1">
      <w:start w:val="1"/>
      <w:numFmt w:val="bullet"/>
      <w:lvlText w:val=""/>
      <w:lvlJc w:val="left"/>
      <w:pPr>
        <w:tabs>
          <w:tab w:val="num" w:pos="6480"/>
        </w:tabs>
        <w:ind w:left="6480" w:hanging="360"/>
      </w:pPr>
      <w:rPr>
        <w:rFonts w:ascii="Wingdings" w:hAnsi="Wingdings" w:hint="default"/>
      </w:rPr>
    </w:lvl>
  </w:abstractNum>
  <w:abstractNum w:abstractNumId="26">
    <w:nsid w:val="68AD07B2"/>
    <w:multiLevelType w:val="hybridMultilevel"/>
    <w:tmpl w:val="D7D47906"/>
    <w:lvl w:ilvl="0" w:tplc="8C4849AC">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nsid w:val="70FA7BB3"/>
    <w:multiLevelType w:val="hybridMultilevel"/>
    <w:tmpl w:val="D786D4E8"/>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80E0E4D"/>
    <w:multiLevelType w:val="hybridMultilevel"/>
    <w:tmpl w:val="0054F762"/>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D504607"/>
    <w:multiLevelType w:val="hybridMultilevel"/>
    <w:tmpl w:val="76FAF63A"/>
    <w:lvl w:ilvl="0" w:tplc="04090001">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31">
    <w:nsid w:val="7EBB318B"/>
    <w:multiLevelType w:val="hybridMultilevel"/>
    <w:tmpl w:val="439AE1FE"/>
    <w:lvl w:ilvl="0" w:tplc="80DC1BF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EBE14ED"/>
    <w:multiLevelType w:val="hybridMultilevel"/>
    <w:tmpl w:val="2CCE5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3D283F"/>
    <w:multiLevelType w:val="hybridMultilevel"/>
    <w:tmpl w:val="65FCF526"/>
    <w:lvl w:ilvl="0" w:tplc="EEAA7B92">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802D16"/>
    <w:multiLevelType w:val="hybridMultilevel"/>
    <w:tmpl w:val="CD908C6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num w:numId="1">
    <w:abstractNumId w:val="0"/>
  </w:num>
  <w:num w:numId="2">
    <w:abstractNumId w:val="25"/>
  </w:num>
  <w:num w:numId="3">
    <w:abstractNumId w:val="27"/>
  </w:num>
  <w:num w:numId="4">
    <w:abstractNumId w:val="20"/>
  </w:num>
  <w:num w:numId="5">
    <w:abstractNumId w:val="24"/>
  </w:num>
  <w:num w:numId="6">
    <w:abstractNumId w:val="17"/>
  </w:num>
  <w:num w:numId="7">
    <w:abstractNumId w:val="29"/>
  </w:num>
  <w:num w:numId="8">
    <w:abstractNumId w:val="31"/>
  </w:num>
  <w:num w:numId="9">
    <w:abstractNumId w:val="34"/>
  </w:num>
  <w:num w:numId="10">
    <w:abstractNumId w:val="13"/>
  </w:num>
  <w:num w:numId="11">
    <w:abstractNumId w:val="3"/>
  </w:num>
  <w:num w:numId="12">
    <w:abstractNumId w:val="5"/>
  </w:num>
  <w:num w:numId="13">
    <w:abstractNumId w:val="33"/>
  </w:num>
  <w:num w:numId="14">
    <w:abstractNumId w:val="19"/>
  </w:num>
  <w:num w:numId="15">
    <w:abstractNumId w:val="28"/>
  </w:num>
  <w:num w:numId="16">
    <w:abstractNumId w:val="12"/>
  </w:num>
  <w:num w:numId="17">
    <w:abstractNumId w:val="4"/>
  </w:num>
  <w:num w:numId="18">
    <w:abstractNumId w:val="26"/>
  </w:num>
  <w:num w:numId="19">
    <w:abstractNumId w:val="2"/>
  </w:num>
  <w:num w:numId="20">
    <w:abstractNumId w:val="6"/>
  </w:num>
  <w:num w:numId="21">
    <w:abstractNumId w:val="0"/>
  </w:num>
  <w:num w:numId="22">
    <w:abstractNumId w:val="0"/>
  </w:num>
  <w:num w:numId="23">
    <w:abstractNumId w:val="0"/>
  </w:num>
  <w:num w:numId="24">
    <w:abstractNumId w:val="0"/>
  </w:num>
  <w:num w:numId="25">
    <w:abstractNumId w:val="0"/>
  </w:num>
  <w:num w:numId="26">
    <w:abstractNumId w:val="0"/>
  </w:num>
  <w:num w:numId="27">
    <w:abstractNumId w:val="14"/>
  </w:num>
  <w:num w:numId="28">
    <w:abstractNumId w:val="7"/>
  </w:num>
  <w:num w:numId="29">
    <w:abstractNumId w:val="0"/>
  </w:num>
  <w:num w:numId="30">
    <w:abstractNumId w:val="32"/>
  </w:num>
  <w:num w:numId="31">
    <w:abstractNumId w:val="21"/>
  </w:num>
  <w:num w:numId="32">
    <w:abstractNumId w:val="8"/>
  </w:num>
  <w:num w:numId="33">
    <w:abstractNumId w:val="23"/>
  </w:num>
  <w:num w:numId="34">
    <w:abstractNumId w:val="15"/>
  </w:num>
  <w:num w:numId="35">
    <w:abstractNumId w:val="9"/>
  </w:num>
  <w:num w:numId="36">
    <w:abstractNumId w:val="16"/>
  </w:num>
  <w:num w:numId="37">
    <w:abstractNumId w:val="11"/>
  </w:num>
  <w:num w:numId="38">
    <w:abstractNumId w:val="10"/>
  </w:num>
  <w:num w:numId="39">
    <w:abstractNumId w:val="22"/>
  </w:num>
  <w:num w:numId="40">
    <w:abstractNumId w:val="30"/>
  </w:num>
  <w:num w:numId="41">
    <w:abstractNumId w:val="18"/>
  </w:num>
  <w:num w:numId="42">
    <w:abstractNumId w:val="0"/>
  </w:num>
  <w:num w:numId="4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en-AU" w:vendorID="64" w:dllVersion="131078" w:nlCheck="1" w:checkStyle="0"/>
  <w:activeWritingStyle w:appName="MSWord" w:lang="fr-BE" w:vendorID="64" w:dllVersion="131078" w:nlCheck="1" w:checkStyle="1"/>
  <w:activeWritingStyle w:appName="MSWord" w:lang="en-CA" w:vendorID="64" w:dllVersion="131078" w:nlCheck="1" w:checkStyle="0"/>
  <w:proofState w:spelling="clean" w:grammar="clean"/>
  <w:attachedTemplate r:id="rId1"/>
  <w:stylePaneFormatFilter w:val="3024" w:allStyles="0" w:customStyles="0" w:latentStyles="1" w:stylesInUse="0" w:headingStyles="1"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08CD"/>
    <w:rsid w:val="00001807"/>
    <w:rsid w:val="000018F6"/>
    <w:rsid w:val="00002EFA"/>
    <w:rsid w:val="00003332"/>
    <w:rsid w:val="00003376"/>
    <w:rsid w:val="000046A8"/>
    <w:rsid w:val="000049B7"/>
    <w:rsid w:val="00005385"/>
    <w:rsid w:val="00005B68"/>
    <w:rsid w:val="000060C5"/>
    <w:rsid w:val="00006206"/>
    <w:rsid w:val="00006846"/>
    <w:rsid w:val="000075A4"/>
    <w:rsid w:val="00007660"/>
    <w:rsid w:val="00007C57"/>
    <w:rsid w:val="00007F4F"/>
    <w:rsid w:val="00011265"/>
    <w:rsid w:val="000118AF"/>
    <w:rsid w:val="00011F18"/>
    <w:rsid w:val="0001235D"/>
    <w:rsid w:val="00012C27"/>
    <w:rsid w:val="00013612"/>
    <w:rsid w:val="00013CD7"/>
    <w:rsid w:val="00015308"/>
    <w:rsid w:val="00015902"/>
    <w:rsid w:val="00015952"/>
    <w:rsid w:val="00016063"/>
    <w:rsid w:val="000166DB"/>
    <w:rsid w:val="00016F3E"/>
    <w:rsid w:val="00017DB1"/>
    <w:rsid w:val="000207CA"/>
    <w:rsid w:val="0002197C"/>
    <w:rsid w:val="00021C0D"/>
    <w:rsid w:val="000222FC"/>
    <w:rsid w:val="00022AFF"/>
    <w:rsid w:val="00022FD2"/>
    <w:rsid w:val="00023E13"/>
    <w:rsid w:val="00023ED6"/>
    <w:rsid w:val="000240D9"/>
    <w:rsid w:val="00024898"/>
    <w:rsid w:val="00024C20"/>
    <w:rsid w:val="00025C10"/>
    <w:rsid w:val="00025F35"/>
    <w:rsid w:val="00025F4C"/>
    <w:rsid w:val="0002606A"/>
    <w:rsid w:val="00027219"/>
    <w:rsid w:val="0003053F"/>
    <w:rsid w:val="000308FE"/>
    <w:rsid w:val="0003147F"/>
    <w:rsid w:val="0003176E"/>
    <w:rsid w:val="00032179"/>
    <w:rsid w:val="00032BF5"/>
    <w:rsid w:val="00033A5E"/>
    <w:rsid w:val="00034258"/>
    <w:rsid w:val="0003447E"/>
    <w:rsid w:val="000347B7"/>
    <w:rsid w:val="00034899"/>
    <w:rsid w:val="00035025"/>
    <w:rsid w:val="0003574C"/>
    <w:rsid w:val="00035E9D"/>
    <w:rsid w:val="00036F7D"/>
    <w:rsid w:val="00040A6D"/>
    <w:rsid w:val="000422AF"/>
    <w:rsid w:val="000423C6"/>
    <w:rsid w:val="0004240C"/>
    <w:rsid w:val="000426AF"/>
    <w:rsid w:val="00042E81"/>
    <w:rsid w:val="00043384"/>
    <w:rsid w:val="00043798"/>
    <w:rsid w:val="00044485"/>
    <w:rsid w:val="0004698A"/>
    <w:rsid w:val="0004699A"/>
    <w:rsid w:val="000476C5"/>
    <w:rsid w:val="00047958"/>
    <w:rsid w:val="00050F6B"/>
    <w:rsid w:val="0005144A"/>
    <w:rsid w:val="000527F6"/>
    <w:rsid w:val="00052920"/>
    <w:rsid w:val="00052C00"/>
    <w:rsid w:val="00052F64"/>
    <w:rsid w:val="0005316D"/>
    <w:rsid w:val="000534A8"/>
    <w:rsid w:val="00053EE5"/>
    <w:rsid w:val="00054BC8"/>
    <w:rsid w:val="00055564"/>
    <w:rsid w:val="000557ED"/>
    <w:rsid w:val="000559A5"/>
    <w:rsid w:val="00056B14"/>
    <w:rsid w:val="00057483"/>
    <w:rsid w:val="00057960"/>
    <w:rsid w:val="000640DD"/>
    <w:rsid w:val="000641E2"/>
    <w:rsid w:val="000650C2"/>
    <w:rsid w:val="000653F4"/>
    <w:rsid w:val="00065C4E"/>
    <w:rsid w:val="00067115"/>
    <w:rsid w:val="0006784B"/>
    <w:rsid w:val="000704F4"/>
    <w:rsid w:val="00070DE3"/>
    <w:rsid w:val="00071D6B"/>
    <w:rsid w:val="00071F17"/>
    <w:rsid w:val="00072495"/>
    <w:rsid w:val="00072A70"/>
    <w:rsid w:val="00072C8C"/>
    <w:rsid w:val="0007325A"/>
    <w:rsid w:val="00073995"/>
    <w:rsid w:val="0007499B"/>
    <w:rsid w:val="00074C06"/>
    <w:rsid w:val="00074E5E"/>
    <w:rsid w:val="00074FAC"/>
    <w:rsid w:val="00075611"/>
    <w:rsid w:val="0007713F"/>
    <w:rsid w:val="000777DE"/>
    <w:rsid w:val="0007794B"/>
    <w:rsid w:val="00080C9D"/>
    <w:rsid w:val="00081798"/>
    <w:rsid w:val="00081DE6"/>
    <w:rsid w:val="0008207F"/>
    <w:rsid w:val="00083162"/>
    <w:rsid w:val="000837BD"/>
    <w:rsid w:val="00083806"/>
    <w:rsid w:val="00083A74"/>
    <w:rsid w:val="00083AAD"/>
    <w:rsid w:val="00083B90"/>
    <w:rsid w:val="00084D84"/>
    <w:rsid w:val="0008593D"/>
    <w:rsid w:val="00085FA3"/>
    <w:rsid w:val="000875ED"/>
    <w:rsid w:val="00087B6A"/>
    <w:rsid w:val="000905E2"/>
    <w:rsid w:val="00090AF4"/>
    <w:rsid w:val="0009296B"/>
    <w:rsid w:val="00092CF5"/>
    <w:rsid w:val="000931C0"/>
    <w:rsid w:val="00093709"/>
    <w:rsid w:val="00093C92"/>
    <w:rsid w:val="00094053"/>
    <w:rsid w:val="00094351"/>
    <w:rsid w:val="000951DC"/>
    <w:rsid w:val="00095258"/>
    <w:rsid w:val="000959D9"/>
    <w:rsid w:val="000964A5"/>
    <w:rsid w:val="000A1652"/>
    <w:rsid w:val="000A1758"/>
    <w:rsid w:val="000A22C6"/>
    <w:rsid w:val="000A27A1"/>
    <w:rsid w:val="000A2968"/>
    <w:rsid w:val="000A3F27"/>
    <w:rsid w:val="000A4125"/>
    <w:rsid w:val="000A43B1"/>
    <w:rsid w:val="000A50EB"/>
    <w:rsid w:val="000A5634"/>
    <w:rsid w:val="000A5931"/>
    <w:rsid w:val="000A6C18"/>
    <w:rsid w:val="000A751A"/>
    <w:rsid w:val="000B033D"/>
    <w:rsid w:val="000B07D5"/>
    <w:rsid w:val="000B12CA"/>
    <w:rsid w:val="000B175B"/>
    <w:rsid w:val="000B3A0F"/>
    <w:rsid w:val="000B4D7E"/>
    <w:rsid w:val="000B5214"/>
    <w:rsid w:val="000B5CF3"/>
    <w:rsid w:val="000B656F"/>
    <w:rsid w:val="000B6CAA"/>
    <w:rsid w:val="000B7A58"/>
    <w:rsid w:val="000B7ABC"/>
    <w:rsid w:val="000C1E1D"/>
    <w:rsid w:val="000C30BB"/>
    <w:rsid w:val="000C31A2"/>
    <w:rsid w:val="000C341F"/>
    <w:rsid w:val="000C3857"/>
    <w:rsid w:val="000C3B90"/>
    <w:rsid w:val="000C4A53"/>
    <w:rsid w:val="000C4AB5"/>
    <w:rsid w:val="000C588A"/>
    <w:rsid w:val="000C64FF"/>
    <w:rsid w:val="000C6DDF"/>
    <w:rsid w:val="000C732C"/>
    <w:rsid w:val="000D0AF2"/>
    <w:rsid w:val="000D13B5"/>
    <w:rsid w:val="000D2798"/>
    <w:rsid w:val="000D394B"/>
    <w:rsid w:val="000D3A44"/>
    <w:rsid w:val="000D6AA5"/>
    <w:rsid w:val="000D720E"/>
    <w:rsid w:val="000D752A"/>
    <w:rsid w:val="000D7580"/>
    <w:rsid w:val="000E0415"/>
    <w:rsid w:val="000E07EF"/>
    <w:rsid w:val="000E08BC"/>
    <w:rsid w:val="000E0EE0"/>
    <w:rsid w:val="000E1531"/>
    <w:rsid w:val="000E2262"/>
    <w:rsid w:val="000E28BB"/>
    <w:rsid w:val="000E2FEC"/>
    <w:rsid w:val="000E41FF"/>
    <w:rsid w:val="000E5A44"/>
    <w:rsid w:val="000E60A4"/>
    <w:rsid w:val="000E701A"/>
    <w:rsid w:val="000F04A0"/>
    <w:rsid w:val="000F0840"/>
    <w:rsid w:val="000F0BFC"/>
    <w:rsid w:val="000F0E07"/>
    <w:rsid w:val="000F0F04"/>
    <w:rsid w:val="000F1C74"/>
    <w:rsid w:val="000F239C"/>
    <w:rsid w:val="000F2DB0"/>
    <w:rsid w:val="000F59F0"/>
    <w:rsid w:val="000F5C18"/>
    <w:rsid w:val="000F7431"/>
    <w:rsid w:val="000F7B95"/>
    <w:rsid w:val="0010027F"/>
    <w:rsid w:val="00102D15"/>
    <w:rsid w:val="00102F38"/>
    <w:rsid w:val="00103023"/>
    <w:rsid w:val="00104E35"/>
    <w:rsid w:val="00105DEF"/>
    <w:rsid w:val="00106169"/>
    <w:rsid w:val="00106ACD"/>
    <w:rsid w:val="00106F74"/>
    <w:rsid w:val="0010748A"/>
    <w:rsid w:val="00110639"/>
    <w:rsid w:val="00110B1B"/>
    <w:rsid w:val="0011107F"/>
    <w:rsid w:val="00111085"/>
    <w:rsid w:val="00111287"/>
    <w:rsid w:val="00111E9E"/>
    <w:rsid w:val="00114534"/>
    <w:rsid w:val="00115214"/>
    <w:rsid w:val="0011526D"/>
    <w:rsid w:val="0011529F"/>
    <w:rsid w:val="0011568E"/>
    <w:rsid w:val="001156AA"/>
    <w:rsid w:val="00115A2D"/>
    <w:rsid w:val="00115DBB"/>
    <w:rsid w:val="001165F3"/>
    <w:rsid w:val="00116F08"/>
    <w:rsid w:val="00117347"/>
    <w:rsid w:val="00120EEE"/>
    <w:rsid w:val="001220B8"/>
    <w:rsid w:val="00122348"/>
    <w:rsid w:val="001224E9"/>
    <w:rsid w:val="00124359"/>
    <w:rsid w:val="00124AAB"/>
    <w:rsid w:val="0012515D"/>
    <w:rsid w:val="001267AB"/>
    <w:rsid w:val="001268F8"/>
    <w:rsid w:val="00126EA1"/>
    <w:rsid w:val="00127730"/>
    <w:rsid w:val="001300BA"/>
    <w:rsid w:val="001300D9"/>
    <w:rsid w:val="001309A4"/>
    <w:rsid w:val="00130E4C"/>
    <w:rsid w:val="00131B62"/>
    <w:rsid w:val="0013209E"/>
    <w:rsid w:val="00132D92"/>
    <w:rsid w:val="00133AB5"/>
    <w:rsid w:val="00133C7A"/>
    <w:rsid w:val="00134142"/>
    <w:rsid w:val="001346C5"/>
    <w:rsid w:val="00135288"/>
    <w:rsid w:val="001358AC"/>
    <w:rsid w:val="00135A41"/>
    <w:rsid w:val="0013624F"/>
    <w:rsid w:val="001366BF"/>
    <w:rsid w:val="0013673C"/>
    <w:rsid w:val="00136B2E"/>
    <w:rsid w:val="001373D4"/>
    <w:rsid w:val="00137508"/>
    <w:rsid w:val="00137553"/>
    <w:rsid w:val="00137CB8"/>
    <w:rsid w:val="001400AC"/>
    <w:rsid w:val="00141D30"/>
    <w:rsid w:val="0014278E"/>
    <w:rsid w:val="0014286F"/>
    <w:rsid w:val="00143635"/>
    <w:rsid w:val="00144940"/>
    <w:rsid w:val="001451CC"/>
    <w:rsid w:val="00145C80"/>
    <w:rsid w:val="001462D0"/>
    <w:rsid w:val="00147EC1"/>
    <w:rsid w:val="001504EE"/>
    <w:rsid w:val="00150B5E"/>
    <w:rsid w:val="0015114A"/>
    <w:rsid w:val="00152372"/>
    <w:rsid w:val="00153D51"/>
    <w:rsid w:val="00153FEE"/>
    <w:rsid w:val="001545BC"/>
    <w:rsid w:val="001548CB"/>
    <w:rsid w:val="00155E10"/>
    <w:rsid w:val="0015663F"/>
    <w:rsid w:val="001570C1"/>
    <w:rsid w:val="001611AD"/>
    <w:rsid w:val="0016197D"/>
    <w:rsid w:val="00162157"/>
    <w:rsid w:val="001627E7"/>
    <w:rsid w:val="0016300E"/>
    <w:rsid w:val="001632D0"/>
    <w:rsid w:val="00164F81"/>
    <w:rsid w:val="00165EF6"/>
    <w:rsid w:val="00165FE4"/>
    <w:rsid w:val="0016689B"/>
    <w:rsid w:val="00166FCB"/>
    <w:rsid w:val="001676E4"/>
    <w:rsid w:val="0016771F"/>
    <w:rsid w:val="00170FB8"/>
    <w:rsid w:val="00171D19"/>
    <w:rsid w:val="0017248B"/>
    <w:rsid w:val="00172A5D"/>
    <w:rsid w:val="0017360B"/>
    <w:rsid w:val="0017370F"/>
    <w:rsid w:val="001738DF"/>
    <w:rsid w:val="00173C41"/>
    <w:rsid w:val="00173E97"/>
    <w:rsid w:val="00174656"/>
    <w:rsid w:val="00175555"/>
    <w:rsid w:val="0017788D"/>
    <w:rsid w:val="00177BAC"/>
    <w:rsid w:val="00177CC0"/>
    <w:rsid w:val="001811F3"/>
    <w:rsid w:val="0018231A"/>
    <w:rsid w:val="00183165"/>
    <w:rsid w:val="001832CD"/>
    <w:rsid w:val="001832E3"/>
    <w:rsid w:val="001840B9"/>
    <w:rsid w:val="00185A05"/>
    <w:rsid w:val="00186CD8"/>
    <w:rsid w:val="001877B1"/>
    <w:rsid w:val="00187B09"/>
    <w:rsid w:val="001906C3"/>
    <w:rsid w:val="00192EC3"/>
    <w:rsid w:val="00193CE7"/>
    <w:rsid w:val="00194530"/>
    <w:rsid w:val="001945BD"/>
    <w:rsid w:val="00195E9D"/>
    <w:rsid w:val="00195F43"/>
    <w:rsid w:val="0019664D"/>
    <w:rsid w:val="00196744"/>
    <w:rsid w:val="0019739A"/>
    <w:rsid w:val="00197827"/>
    <w:rsid w:val="00197EB3"/>
    <w:rsid w:val="001A0A94"/>
    <w:rsid w:val="001A33B0"/>
    <w:rsid w:val="001A34A2"/>
    <w:rsid w:val="001A3E00"/>
    <w:rsid w:val="001A40A0"/>
    <w:rsid w:val="001A5069"/>
    <w:rsid w:val="001A5F93"/>
    <w:rsid w:val="001A66E9"/>
    <w:rsid w:val="001A6A80"/>
    <w:rsid w:val="001A6CE6"/>
    <w:rsid w:val="001B0BC0"/>
    <w:rsid w:val="001B15F1"/>
    <w:rsid w:val="001B1B29"/>
    <w:rsid w:val="001B412D"/>
    <w:rsid w:val="001B43B8"/>
    <w:rsid w:val="001B4B04"/>
    <w:rsid w:val="001B4E46"/>
    <w:rsid w:val="001B5AF6"/>
    <w:rsid w:val="001B6CE0"/>
    <w:rsid w:val="001B7229"/>
    <w:rsid w:val="001B7425"/>
    <w:rsid w:val="001B7F2B"/>
    <w:rsid w:val="001C0BE5"/>
    <w:rsid w:val="001C2437"/>
    <w:rsid w:val="001C2651"/>
    <w:rsid w:val="001C43E4"/>
    <w:rsid w:val="001C5CEF"/>
    <w:rsid w:val="001C6663"/>
    <w:rsid w:val="001C6854"/>
    <w:rsid w:val="001C7895"/>
    <w:rsid w:val="001C7B1C"/>
    <w:rsid w:val="001D0218"/>
    <w:rsid w:val="001D0280"/>
    <w:rsid w:val="001D1186"/>
    <w:rsid w:val="001D18E8"/>
    <w:rsid w:val="001D2523"/>
    <w:rsid w:val="001D25CE"/>
    <w:rsid w:val="001D26DF"/>
    <w:rsid w:val="001D2AE3"/>
    <w:rsid w:val="001D2B91"/>
    <w:rsid w:val="001D3183"/>
    <w:rsid w:val="001D448B"/>
    <w:rsid w:val="001D59B2"/>
    <w:rsid w:val="001D5ABC"/>
    <w:rsid w:val="001D6EAC"/>
    <w:rsid w:val="001D79BA"/>
    <w:rsid w:val="001E01E5"/>
    <w:rsid w:val="001E0EC3"/>
    <w:rsid w:val="001E13B2"/>
    <w:rsid w:val="001E2427"/>
    <w:rsid w:val="001E2993"/>
    <w:rsid w:val="001E2A42"/>
    <w:rsid w:val="001E4105"/>
    <w:rsid w:val="001E428B"/>
    <w:rsid w:val="001E4813"/>
    <w:rsid w:val="001E4AC6"/>
    <w:rsid w:val="001E4EAF"/>
    <w:rsid w:val="001E5352"/>
    <w:rsid w:val="001E575F"/>
    <w:rsid w:val="001E5F90"/>
    <w:rsid w:val="001E7A4B"/>
    <w:rsid w:val="001F1516"/>
    <w:rsid w:val="001F1552"/>
    <w:rsid w:val="001F1EAB"/>
    <w:rsid w:val="001F26F9"/>
    <w:rsid w:val="001F640D"/>
    <w:rsid w:val="001F6778"/>
    <w:rsid w:val="001F6DE2"/>
    <w:rsid w:val="001F73AB"/>
    <w:rsid w:val="001F7EF0"/>
    <w:rsid w:val="00200A42"/>
    <w:rsid w:val="00200AD8"/>
    <w:rsid w:val="00202418"/>
    <w:rsid w:val="00202AF2"/>
    <w:rsid w:val="00202B94"/>
    <w:rsid w:val="00203188"/>
    <w:rsid w:val="00203867"/>
    <w:rsid w:val="0020484A"/>
    <w:rsid w:val="00206A72"/>
    <w:rsid w:val="00206E5E"/>
    <w:rsid w:val="0020735F"/>
    <w:rsid w:val="00211221"/>
    <w:rsid w:val="00211E0B"/>
    <w:rsid w:val="00215462"/>
    <w:rsid w:val="00216A13"/>
    <w:rsid w:val="00216B65"/>
    <w:rsid w:val="00217D1D"/>
    <w:rsid w:val="002200BC"/>
    <w:rsid w:val="0022045D"/>
    <w:rsid w:val="00220B8E"/>
    <w:rsid w:val="00221B29"/>
    <w:rsid w:val="00222DA8"/>
    <w:rsid w:val="00222EB0"/>
    <w:rsid w:val="00224360"/>
    <w:rsid w:val="00225C15"/>
    <w:rsid w:val="00225CED"/>
    <w:rsid w:val="00227E2D"/>
    <w:rsid w:val="00227F84"/>
    <w:rsid w:val="00230FAA"/>
    <w:rsid w:val="00231C93"/>
    <w:rsid w:val="00232809"/>
    <w:rsid w:val="00232E70"/>
    <w:rsid w:val="0023403C"/>
    <w:rsid w:val="0023495F"/>
    <w:rsid w:val="00235B86"/>
    <w:rsid w:val="00235C2A"/>
    <w:rsid w:val="0023698C"/>
    <w:rsid w:val="00237F31"/>
    <w:rsid w:val="002405A7"/>
    <w:rsid w:val="00240C33"/>
    <w:rsid w:val="00241101"/>
    <w:rsid w:val="00241970"/>
    <w:rsid w:val="002434D5"/>
    <w:rsid w:val="0024371C"/>
    <w:rsid w:val="00245A64"/>
    <w:rsid w:val="0024638D"/>
    <w:rsid w:val="00246803"/>
    <w:rsid w:val="00246F3E"/>
    <w:rsid w:val="00247070"/>
    <w:rsid w:val="002472E6"/>
    <w:rsid w:val="002476D8"/>
    <w:rsid w:val="00251126"/>
    <w:rsid w:val="00251238"/>
    <w:rsid w:val="00253ADD"/>
    <w:rsid w:val="00253FC2"/>
    <w:rsid w:val="00254B5B"/>
    <w:rsid w:val="002562B8"/>
    <w:rsid w:val="00256328"/>
    <w:rsid w:val="00256F9D"/>
    <w:rsid w:val="00260DAB"/>
    <w:rsid w:val="0026133D"/>
    <w:rsid w:val="0026141F"/>
    <w:rsid w:val="002618E7"/>
    <w:rsid w:val="00262480"/>
    <w:rsid w:val="00263068"/>
    <w:rsid w:val="002631E7"/>
    <w:rsid w:val="00263A97"/>
    <w:rsid w:val="0026460E"/>
    <w:rsid w:val="00264B24"/>
    <w:rsid w:val="00264F7E"/>
    <w:rsid w:val="00265D10"/>
    <w:rsid w:val="00266044"/>
    <w:rsid w:val="00266B47"/>
    <w:rsid w:val="00267430"/>
    <w:rsid w:val="002676AE"/>
    <w:rsid w:val="00267DB2"/>
    <w:rsid w:val="00267F1A"/>
    <w:rsid w:val="00270621"/>
    <w:rsid w:val="00271195"/>
    <w:rsid w:val="002711EB"/>
    <w:rsid w:val="00272644"/>
    <w:rsid w:val="00275328"/>
    <w:rsid w:val="002756BF"/>
    <w:rsid w:val="00275706"/>
    <w:rsid w:val="00275D0C"/>
    <w:rsid w:val="002769E0"/>
    <w:rsid w:val="00276D78"/>
    <w:rsid w:val="00276FF5"/>
    <w:rsid w:val="002775FB"/>
    <w:rsid w:val="00277624"/>
    <w:rsid w:val="0027798F"/>
    <w:rsid w:val="00277D58"/>
    <w:rsid w:val="00280144"/>
    <w:rsid w:val="00280C9A"/>
    <w:rsid w:val="00280F6A"/>
    <w:rsid w:val="002820B1"/>
    <w:rsid w:val="002828B1"/>
    <w:rsid w:val="0028394B"/>
    <w:rsid w:val="00283ACD"/>
    <w:rsid w:val="00283CA8"/>
    <w:rsid w:val="0028411C"/>
    <w:rsid w:val="00285CD3"/>
    <w:rsid w:val="00286477"/>
    <w:rsid w:val="002873FB"/>
    <w:rsid w:val="00287767"/>
    <w:rsid w:val="00287864"/>
    <w:rsid w:val="00287AC8"/>
    <w:rsid w:val="00287C0E"/>
    <w:rsid w:val="002908AC"/>
    <w:rsid w:val="00291560"/>
    <w:rsid w:val="00291611"/>
    <w:rsid w:val="002928CD"/>
    <w:rsid w:val="00293470"/>
    <w:rsid w:val="0029372B"/>
    <w:rsid w:val="002937D0"/>
    <w:rsid w:val="00294431"/>
    <w:rsid w:val="00294703"/>
    <w:rsid w:val="00295088"/>
    <w:rsid w:val="0029649E"/>
    <w:rsid w:val="0029653B"/>
    <w:rsid w:val="002965EA"/>
    <w:rsid w:val="002A00F7"/>
    <w:rsid w:val="002A023E"/>
    <w:rsid w:val="002A0447"/>
    <w:rsid w:val="002A0877"/>
    <w:rsid w:val="002A1180"/>
    <w:rsid w:val="002A1295"/>
    <w:rsid w:val="002A1A5C"/>
    <w:rsid w:val="002A21B2"/>
    <w:rsid w:val="002A28A8"/>
    <w:rsid w:val="002A2ECD"/>
    <w:rsid w:val="002A35C6"/>
    <w:rsid w:val="002A3904"/>
    <w:rsid w:val="002A3B9D"/>
    <w:rsid w:val="002A40DB"/>
    <w:rsid w:val="002A50DD"/>
    <w:rsid w:val="002A552D"/>
    <w:rsid w:val="002A6607"/>
    <w:rsid w:val="002B03F3"/>
    <w:rsid w:val="002B0957"/>
    <w:rsid w:val="002B0A9B"/>
    <w:rsid w:val="002B1290"/>
    <w:rsid w:val="002B12B6"/>
    <w:rsid w:val="002B1B72"/>
    <w:rsid w:val="002B1C3B"/>
    <w:rsid w:val="002B20E7"/>
    <w:rsid w:val="002B245D"/>
    <w:rsid w:val="002B2983"/>
    <w:rsid w:val="002B34DF"/>
    <w:rsid w:val="002B3B17"/>
    <w:rsid w:val="002B4232"/>
    <w:rsid w:val="002B4D46"/>
    <w:rsid w:val="002B56D9"/>
    <w:rsid w:val="002B648F"/>
    <w:rsid w:val="002B72B9"/>
    <w:rsid w:val="002B7516"/>
    <w:rsid w:val="002B783E"/>
    <w:rsid w:val="002C06DF"/>
    <w:rsid w:val="002C196E"/>
    <w:rsid w:val="002C33FF"/>
    <w:rsid w:val="002C34C6"/>
    <w:rsid w:val="002C3AB6"/>
    <w:rsid w:val="002C3E39"/>
    <w:rsid w:val="002C4580"/>
    <w:rsid w:val="002C69E8"/>
    <w:rsid w:val="002C7357"/>
    <w:rsid w:val="002C7CE5"/>
    <w:rsid w:val="002D05B5"/>
    <w:rsid w:val="002D0A72"/>
    <w:rsid w:val="002D0B06"/>
    <w:rsid w:val="002D3126"/>
    <w:rsid w:val="002D32C2"/>
    <w:rsid w:val="002D3E65"/>
    <w:rsid w:val="002D441E"/>
    <w:rsid w:val="002D4757"/>
    <w:rsid w:val="002D6039"/>
    <w:rsid w:val="002D6C5D"/>
    <w:rsid w:val="002D6F61"/>
    <w:rsid w:val="002D70EE"/>
    <w:rsid w:val="002D7A23"/>
    <w:rsid w:val="002E1A64"/>
    <w:rsid w:val="002E2891"/>
    <w:rsid w:val="002E3A4D"/>
    <w:rsid w:val="002E3A7A"/>
    <w:rsid w:val="002E42C4"/>
    <w:rsid w:val="002E45A0"/>
    <w:rsid w:val="002E69D4"/>
    <w:rsid w:val="002E6BDF"/>
    <w:rsid w:val="002E742A"/>
    <w:rsid w:val="002F00F1"/>
    <w:rsid w:val="002F044D"/>
    <w:rsid w:val="002F0B18"/>
    <w:rsid w:val="002F2B2E"/>
    <w:rsid w:val="002F2FFF"/>
    <w:rsid w:val="002F3388"/>
    <w:rsid w:val="002F36D2"/>
    <w:rsid w:val="002F3B10"/>
    <w:rsid w:val="002F3EDE"/>
    <w:rsid w:val="002F4B93"/>
    <w:rsid w:val="002F5000"/>
    <w:rsid w:val="002F5570"/>
    <w:rsid w:val="002F5674"/>
    <w:rsid w:val="002F6148"/>
    <w:rsid w:val="002F62AC"/>
    <w:rsid w:val="002F6404"/>
    <w:rsid w:val="002F6E0F"/>
    <w:rsid w:val="002F71DD"/>
    <w:rsid w:val="002F777C"/>
    <w:rsid w:val="003005AD"/>
    <w:rsid w:val="00300739"/>
    <w:rsid w:val="0030114A"/>
    <w:rsid w:val="00302DD8"/>
    <w:rsid w:val="00302FC2"/>
    <w:rsid w:val="003045B2"/>
    <w:rsid w:val="00304701"/>
    <w:rsid w:val="003050A7"/>
    <w:rsid w:val="003052AE"/>
    <w:rsid w:val="0030539D"/>
    <w:rsid w:val="00305B25"/>
    <w:rsid w:val="003071BE"/>
    <w:rsid w:val="00307B72"/>
    <w:rsid w:val="0031078E"/>
    <w:rsid w:val="003107FA"/>
    <w:rsid w:val="00311728"/>
    <w:rsid w:val="00311C15"/>
    <w:rsid w:val="00312F82"/>
    <w:rsid w:val="00313290"/>
    <w:rsid w:val="003135B5"/>
    <w:rsid w:val="003160CC"/>
    <w:rsid w:val="0031661E"/>
    <w:rsid w:val="00317109"/>
    <w:rsid w:val="003178EA"/>
    <w:rsid w:val="0032099D"/>
    <w:rsid w:val="00320BFF"/>
    <w:rsid w:val="00320E1A"/>
    <w:rsid w:val="003212D7"/>
    <w:rsid w:val="003215FD"/>
    <w:rsid w:val="00322850"/>
    <w:rsid w:val="003229D8"/>
    <w:rsid w:val="00322B44"/>
    <w:rsid w:val="00324A00"/>
    <w:rsid w:val="00325707"/>
    <w:rsid w:val="00326949"/>
    <w:rsid w:val="00326FDB"/>
    <w:rsid w:val="00327B03"/>
    <w:rsid w:val="00327D89"/>
    <w:rsid w:val="003307F1"/>
    <w:rsid w:val="00330A10"/>
    <w:rsid w:val="00330D86"/>
    <w:rsid w:val="00330E4D"/>
    <w:rsid w:val="00331822"/>
    <w:rsid w:val="003328B9"/>
    <w:rsid w:val="00332DBC"/>
    <w:rsid w:val="00334664"/>
    <w:rsid w:val="00334930"/>
    <w:rsid w:val="00334D6A"/>
    <w:rsid w:val="00334E6B"/>
    <w:rsid w:val="00335A14"/>
    <w:rsid w:val="00336DD9"/>
    <w:rsid w:val="00336FD2"/>
    <w:rsid w:val="0033740F"/>
    <w:rsid w:val="0033745A"/>
    <w:rsid w:val="00337893"/>
    <w:rsid w:val="003401AD"/>
    <w:rsid w:val="0034151C"/>
    <w:rsid w:val="003425C2"/>
    <w:rsid w:val="003448B0"/>
    <w:rsid w:val="0034513E"/>
    <w:rsid w:val="00345D32"/>
    <w:rsid w:val="00345F31"/>
    <w:rsid w:val="0034615C"/>
    <w:rsid w:val="00346755"/>
    <w:rsid w:val="00346B5E"/>
    <w:rsid w:val="00346D33"/>
    <w:rsid w:val="0034753B"/>
    <w:rsid w:val="00350879"/>
    <w:rsid w:val="00350956"/>
    <w:rsid w:val="003522AC"/>
    <w:rsid w:val="00353040"/>
    <w:rsid w:val="003539CE"/>
    <w:rsid w:val="0035560F"/>
    <w:rsid w:val="00356018"/>
    <w:rsid w:val="00357848"/>
    <w:rsid w:val="003610D5"/>
    <w:rsid w:val="00361552"/>
    <w:rsid w:val="00362B3E"/>
    <w:rsid w:val="00362E9F"/>
    <w:rsid w:val="003633AF"/>
    <w:rsid w:val="0036347F"/>
    <w:rsid w:val="003639E4"/>
    <w:rsid w:val="00363C49"/>
    <w:rsid w:val="00364BCF"/>
    <w:rsid w:val="00365502"/>
    <w:rsid w:val="00366922"/>
    <w:rsid w:val="003700D2"/>
    <w:rsid w:val="00370AB6"/>
    <w:rsid w:val="00372440"/>
    <w:rsid w:val="00372524"/>
    <w:rsid w:val="003747AC"/>
    <w:rsid w:val="00374F72"/>
    <w:rsid w:val="00374FCB"/>
    <w:rsid w:val="00375851"/>
    <w:rsid w:val="003760B0"/>
    <w:rsid w:val="0037641A"/>
    <w:rsid w:val="003776C6"/>
    <w:rsid w:val="003811A4"/>
    <w:rsid w:val="00381C62"/>
    <w:rsid w:val="00382159"/>
    <w:rsid w:val="00382AB7"/>
    <w:rsid w:val="00383000"/>
    <w:rsid w:val="00383F18"/>
    <w:rsid w:val="003843EA"/>
    <w:rsid w:val="00384563"/>
    <w:rsid w:val="0038481B"/>
    <w:rsid w:val="00384CF4"/>
    <w:rsid w:val="0038565C"/>
    <w:rsid w:val="0038623D"/>
    <w:rsid w:val="00386D55"/>
    <w:rsid w:val="003873BA"/>
    <w:rsid w:val="00387C11"/>
    <w:rsid w:val="00387DA0"/>
    <w:rsid w:val="00390CDD"/>
    <w:rsid w:val="00391605"/>
    <w:rsid w:val="0039199C"/>
    <w:rsid w:val="00391E28"/>
    <w:rsid w:val="00392253"/>
    <w:rsid w:val="0039277A"/>
    <w:rsid w:val="00394911"/>
    <w:rsid w:val="003953CC"/>
    <w:rsid w:val="00395E17"/>
    <w:rsid w:val="003966EF"/>
    <w:rsid w:val="00397075"/>
    <w:rsid w:val="003972E0"/>
    <w:rsid w:val="00397740"/>
    <w:rsid w:val="003A25AC"/>
    <w:rsid w:val="003A2B2B"/>
    <w:rsid w:val="003A3A35"/>
    <w:rsid w:val="003A3B4B"/>
    <w:rsid w:val="003A407F"/>
    <w:rsid w:val="003A464A"/>
    <w:rsid w:val="003A4AF5"/>
    <w:rsid w:val="003A6F6E"/>
    <w:rsid w:val="003A748E"/>
    <w:rsid w:val="003A7EF2"/>
    <w:rsid w:val="003A7F0D"/>
    <w:rsid w:val="003B01B2"/>
    <w:rsid w:val="003B01B7"/>
    <w:rsid w:val="003B128F"/>
    <w:rsid w:val="003B17EB"/>
    <w:rsid w:val="003B3E94"/>
    <w:rsid w:val="003B3F0D"/>
    <w:rsid w:val="003B4525"/>
    <w:rsid w:val="003B6508"/>
    <w:rsid w:val="003B6657"/>
    <w:rsid w:val="003B71EC"/>
    <w:rsid w:val="003B733B"/>
    <w:rsid w:val="003C0287"/>
    <w:rsid w:val="003C0F84"/>
    <w:rsid w:val="003C2CC4"/>
    <w:rsid w:val="003C2FDD"/>
    <w:rsid w:val="003C322E"/>
    <w:rsid w:val="003C3580"/>
    <w:rsid w:val="003C3936"/>
    <w:rsid w:val="003C415B"/>
    <w:rsid w:val="003C45C3"/>
    <w:rsid w:val="003C485B"/>
    <w:rsid w:val="003C6C3A"/>
    <w:rsid w:val="003C7044"/>
    <w:rsid w:val="003C7082"/>
    <w:rsid w:val="003D035E"/>
    <w:rsid w:val="003D1D4B"/>
    <w:rsid w:val="003D2065"/>
    <w:rsid w:val="003D2487"/>
    <w:rsid w:val="003D2A4A"/>
    <w:rsid w:val="003D2AA1"/>
    <w:rsid w:val="003D33B2"/>
    <w:rsid w:val="003D4420"/>
    <w:rsid w:val="003D4B23"/>
    <w:rsid w:val="003D4F8E"/>
    <w:rsid w:val="003D5235"/>
    <w:rsid w:val="003D56F4"/>
    <w:rsid w:val="003D5AB8"/>
    <w:rsid w:val="003D5BA1"/>
    <w:rsid w:val="003D661E"/>
    <w:rsid w:val="003E0850"/>
    <w:rsid w:val="003E1411"/>
    <w:rsid w:val="003E2062"/>
    <w:rsid w:val="003E23A6"/>
    <w:rsid w:val="003E26A1"/>
    <w:rsid w:val="003E2BB1"/>
    <w:rsid w:val="003E2DCB"/>
    <w:rsid w:val="003E360D"/>
    <w:rsid w:val="003E3829"/>
    <w:rsid w:val="003E3A66"/>
    <w:rsid w:val="003E3F7F"/>
    <w:rsid w:val="003E43CC"/>
    <w:rsid w:val="003E4D34"/>
    <w:rsid w:val="003E631C"/>
    <w:rsid w:val="003E6473"/>
    <w:rsid w:val="003E6A6E"/>
    <w:rsid w:val="003E7507"/>
    <w:rsid w:val="003F0907"/>
    <w:rsid w:val="003F0969"/>
    <w:rsid w:val="003F1ED3"/>
    <w:rsid w:val="003F27BF"/>
    <w:rsid w:val="003F32D9"/>
    <w:rsid w:val="003F3ECA"/>
    <w:rsid w:val="003F4BFC"/>
    <w:rsid w:val="003F5C47"/>
    <w:rsid w:val="003F5E9C"/>
    <w:rsid w:val="003F6285"/>
    <w:rsid w:val="003F6406"/>
    <w:rsid w:val="003F6500"/>
    <w:rsid w:val="003F7DF9"/>
    <w:rsid w:val="004000B9"/>
    <w:rsid w:val="0040099B"/>
    <w:rsid w:val="00401728"/>
    <w:rsid w:val="00401977"/>
    <w:rsid w:val="004020C3"/>
    <w:rsid w:val="00402817"/>
    <w:rsid w:val="00403098"/>
    <w:rsid w:val="00403AC1"/>
    <w:rsid w:val="00403B38"/>
    <w:rsid w:val="00403F06"/>
    <w:rsid w:val="00403FCB"/>
    <w:rsid w:val="00404482"/>
    <w:rsid w:val="00404E45"/>
    <w:rsid w:val="004056A6"/>
    <w:rsid w:val="004064DF"/>
    <w:rsid w:val="00407150"/>
    <w:rsid w:val="004103B7"/>
    <w:rsid w:val="00410845"/>
    <w:rsid w:val="00411E71"/>
    <w:rsid w:val="0041245D"/>
    <w:rsid w:val="00412DC4"/>
    <w:rsid w:val="004143A7"/>
    <w:rsid w:val="00414F51"/>
    <w:rsid w:val="0041688C"/>
    <w:rsid w:val="004177D9"/>
    <w:rsid w:val="00420CED"/>
    <w:rsid w:val="004243C3"/>
    <w:rsid w:val="004248ED"/>
    <w:rsid w:val="00424A40"/>
    <w:rsid w:val="00425645"/>
    <w:rsid w:val="00425E0E"/>
    <w:rsid w:val="0042616B"/>
    <w:rsid w:val="00426B11"/>
    <w:rsid w:val="004276FE"/>
    <w:rsid w:val="00427E01"/>
    <w:rsid w:val="00430EA0"/>
    <w:rsid w:val="00430F4D"/>
    <w:rsid w:val="004317BC"/>
    <w:rsid w:val="0043235B"/>
    <w:rsid w:val="004325CB"/>
    <w:rsid w:val="00432F25"/>
    <w:rsid w:val="00433AE8"/>
    <w:rsid w:val="004346DE"/>
    <w:rsid w:val="004352FF"/>
    <w:rsid w:val="004354D4"/>
    <w:rsid w:val="00435F14"/>
    <w:rsid w:val="00436F5A"/>
    <w:rsid w:val="00437071"/>
    <w:rsid w:val="0043790E"/>
    <w:rsid w:val="00440802"/>
    <w:rsid w:val="00440D10"/>
    <w:rsid w:val="00442C3F"/>
    <w:rsid w:val="00443B43"/>
    <w:rsid w:val="00443B75"/>
    <w:rsid w:val="00443D83"/>
    <w:rsid w:val="0044444C"/>
    <w:rsid w:val="00444D93"/>
    <w:rsid w:val="004457F9"/>
    <w:rsid w:val="00446617"/>
    <w:rsid w:val="00446DE4"/>
    <w:rsid w:val="00446E64"/>
    <w:rsid w:val="00447ACD"/>
    <w:rsid w:val="0045008F"/>
    <w:rsid w:val="004501A7"/>
    <w:rsid w:val="004506EB"/>
    <w:rsid w:val="0045083F"/>
    <w:rsid w:val="00451BCB"/>
    <w:rsid w:val="00453AB5"/>
    <w:rsid w:val="00454210"/>
    <w:rsid w:val="00455103"/>
    <w:rsid w:val="00455DC8"/>
    <w:rsid w:val="00456209"/>
    <w:rsid w:val="00456400"/>
    <w:rsid w:val="004574C2"/>
    <w:rsid w:val="004578AC"/>
    <w:rsid w:val="00457CB9"/>
    <w:rsid w:val="00457DF1"/>
    <w:rsid w:val="00460803"/>
    <w:rsid w:val="00461377"/>
    <w:rsid w:val="004616E1"/>
    <w:rsid w:val="004634D3"/>
    <w:rsid w:val="00464217"/>
    <w:rsid w:val="004651D3"/>
    <w:rsid w:val="004659D7"/>
    <w:rsid w:val="00465A58"/>
    <w:rsid w:val="00466823"/>
    <w:rsid w:val="00466E68"/>
    <w:rsid w:val="0046712A"/>
    <w:rsid w:val="004708EC"/>
    <w:rsid w:val="00471193"/>
    <w:rsid w:val="004713AF"/>
    <w:rsid w:val="00471657"/>
    <w:rsid w:val="00472793"/>
    <w:rsid w:val="00472F34"/>
    <w:rsid w:val="00473987"/>
    <w:rsid w:val="00473AAC"/>
    <w:rsid w:val="00474450"/>
    <w:rsid w:val="004756E4"/>
    <w:rsid w:val="00475B46"/>
    <w:rsid w:val="00477113"/>
    <w:rsid w:val="0047798C"/>
    <w:rsid w:val="00477A02"/>
    <w:rsid w:val="00477A04"/>
    <w:rsid w:val="0048028F"/>
    <w:rsid w:val="00480E77"/>
    <w:rsid w:val="00481232"/>
    <w:rsid w:val="0048195B"/>
    <w:rsid w:val="00482392"/>
    <w:rsid w:val="00482B84"/>
    <w:rsid w:val="00483368"/>
    <w:rsid w:val="00483744"/>
    <w:rsid w:val="00484F4E"/>
    <w:rsid w:val="0048567A"/>
    <w:rsid w:val="00485727"/>
    <w:rsid w:val="00485815"/>
    <w:rsid w:val="004858F7"/>
    <w:rsid w:val="004864BA"/>
    <w:rsid w:val="004909F0"/>
    <w:rsid w:val="00491098"/>
    <w:rsid w:val="004911C7"/>
    <w:rsid w:val="00492039"/>
    <w:rsid w:val="00492DD0"/>
    <w:rsid w:val="004936EA"/>
    <w:rsid w:val="004940A7"/>
    <w:rsid w:val="004947F3"/>
    <w:rsid w:val="004956DC"/>
    <w:rsid w:val="004964DE"/>
    <w:rsid w:val="004978F9"/>
    <w:rsid w:val="004A0F33"/>
    <w:rsid w:val="004A1C61"/>
    <w:rsid w:val="004A1CA9"/>
    <w:rsid w:val="004A1E99"/>
    <w:rsid w:val="004A1F1B"/>
    <w:rsid w:val="004A2051"/>
    <w:rsid w:val="004A27DC"/>
    <w:rsid w:val="004A40CC"/>
    <w:rsid w:val="004A41CA"/>
    <w:rsid w:val="004A550F"/>
    <w:rsid w:val="004A5F3E"/>
    <w:rsid w:val="004A6A8F"/>
    <w:rsid w:val="004A6BA0"/>
    <w:rsid w:val="004A7FFD"/>
    <w:rsid w:val="004B0A33"/>
    <w:rsid w:val="004B1385"/>
    <w:rsid w:val="004B24B2"/>
    <w:rsid w:val="004B340C"/>
    <w:rsid w:val="004B3699"/>
    <w:rsid w:val="004B3DF9"/>
    <w:rsid w:val="004B40B2"/>
    <w:rsid w:val="004B454B"/>
    <w:rsid w:val="004B5A54"/>
    <w:rsid w:val="004B6427"/>
    <w:rsid w:val="004B6C04"/>
    <w:rsid w:val="004B6D8C"/>
    <w:rsid w:val="004B752D"/>
    <w:rsid w:val="004B7BBF"/>
    <w:rsid w:val="004C09D5"/>
    <w:rsid w:val="004C0C62"/>
    <w:rsid w:val="004C0F93"/>
    <w:rsid w:val="004C11E3"/>
    <w:rsid w:val="004C2C79"/>
    <w:rsid w:val="004C3424"/>
    <w:rsid w:val="004C415D"/>
    <w:rsid w:val="004C49BC"/>
    <w:rsid w:val="004C5203"/>
    <w:rsid w:val="004C59CD"/>
    <w:rsid w:val="004C5B06"/>
    <w:rsid w:val="004C5B30"/>
    <w:rsid w:val="004C5B66"/>
    <w:rsid w:val="004C62F8"/>
    <w:rsid w:val="004C6E49"/>
    <w:rsid w:val="004C7138"/>
    <w:rsid w:val="004C7717"/>
    <w:rsid w:val="004C7EF1"/>
    <w:rsid w:val="004D0446"/>
    <w:rsid w:val="004D2AEB"/>
    <w:rsid w:val="004D2CE9"/>
    <w:rsid w:val="004D407B"/>
    <w:rsid w:val="004D49C5"/>
    <w:rsid w:val="004D4B60"/>
    <w:rsid w:val="004D5843"/>
    <w:rsid w:val="004D794B"/>
    <w:rsid w:val="004E0E90"/>
    <w:rsid w:val="004E15DB"/>
    <w:rsid w:val="004E2631"/>
    <w:rsid w:val="004E3C76"/>
    <w:rsid w:val="004E444A"/>
    <w:rsid w:val="004E4655"/>
    <w:rsid w:val="004E58EB"/>
    <w:rsid w:val="004E5951"/>
    <w:rsid w:val="004E6A74"/>
    <w:rsid w:val="004E7481"/>
    <w:rsid w:val="004E773A"/>
    <w:rsid w:val="004F0787"/>
    <w:rsid w:val="004F1453"/>
    <w:rsid w:val="004F1A52"/>
    <w:rsid w:val="004F1D03"/>
    <w:rsid w:val="004F239F"/>
    <w:rsid w:val="004F2442"/>
    <w:rsid w:val="004F3283"/>
    <w:rsid w:val="004F3B94"/>
    <w:rsid w:val="004F4545"/>
    <w:rsid w:val="004F46ED"/>
    <w:rsid w:val="004F6664"/>
    <w:rsid w:val="004F6E38"/>
    <w:rsid w:val="004F721F"/>
    <w:rsid w:val="004F7FF4"/>
    <w:rsid w:val="005004E3"/>
    <w:rsid w:val="005006DD"/>
    <w:rsid w:val="00501C4A"/>
    <w:rsid w:val="0050220D"/>
    <w:rsid w:val="0050256E"/>
    <w:rsid w:val="00503228"/>
    <w:rsid w:val="0050349D"/>
    <w:rsid w:val="00504730"/>
    <w:rsid w:val="00504925"/>
    <w:rsid w:val="00505384"/>
    <w:rsid w:val="0050568D"/>
    <w:rsid w:val="00505A1C"/>
    <w:rsid w:val="00506524"/>
    <w:rsid w:val="00507A2B"/>
    <w:rsid w:val="005107DB"/>
    <w:rsid w:val="0051084B"/>
    <w:rsid w:val="00511A6C"/>
    <w:rsid w:val="00512263"/>
    <w:rsid w:val="00512303"/>
    <w:rsid w:val="00512AD1"/>
    <w:rsid w:val="0051374C"/>
    <w:rsid w:val="00514043"/>
    <w:rsid w:val="00514D9F"/>
    <w:rsid w:val="00515E13"/>
    <w:rsid w:val="00515F6E"/>
    <w:rsid w:val="00515F74"/>
    <w:rsid w:val="00516EAC"/>
    <w:rsid w:val="00517FC8"/>
    <w:rsid w:val="005200F1"/>
    <w:rsid w:val="0052085B"/>
    <w:rsid w:val="005219A4"/>
    <w:rsid w:val="00523241"/>
    <w:rsid w:val="00523F9B"/>
    <w:rsid w:val="005244A3"/>
    <w:rsid w:val="00524C9E"/>
    <w:rsid w:val="00525E41"/>
    <w:rsid w:val="00525EC1"/>
    <w:rsid w:val="00525FDE"/>
    <w:rsid w:val="00526BDB"/>
    <w:rsid w:val="005276AF"/>
    <w:rsid w:val="00527824"/>
    <w:rsid w:val="005303FA"/>
    <w:rsid w:val="0053255D"/>
    <w:rsid w:val="0053290B"/>
    <w:rsid w:val="00535AC4"/>
    <w:rsid w:val="00536099"/>
    <w:rsid w:val="00537C14"/>
    <w:rsid w:val="00540F13"/>
    <w:rsid w:val="005420F2"/>
    <w:rsid w:val="005423B8"/>
    <w:rsid w:val="005438FB"/>
    <w:rsid w:val="00544D30"/>
    <w:rsid w:val="005451F6"/>
    <w:rsid w:val="005454DE"/>
    <w:rsid w:val="005500A8"/>
    <w:rsid w:val="00550D15"/>
    <w:rsid w:val="0055125F"/>
    <w:rsid w:val="005516E9"/>
    <w:rsid w:val="00551CF2"/>
    <w:rsid w:val="005521F9"/>
    <w:rsid w:val="005526EF"/>
    <w:rsid w:val="00552D98"/>
    <w:rsid w:val="00553057"/>
    <w:rsid w:val="00553C18"/>
    <w:rsid w:val="0055616D"/>
    <w:rsid w:val="00556ED3"/>
    <w:rsid w:val="0055703D"/>
    <w:rsid w:val="00557BBE"/>
    <w:rsid w:val="00557D2E"/>
    <w:rsid w:val="005604D9"/>
    <w:rsid w:val="00560E44"/>
    <w:rsid w:val="0056146F"/>
    <w:rsid w:val="005615CE"/>
    <w:rsid w:val="00561F2C"/>
    <w:rsid w:val="00563962"/>
    <w:rsid w:val="00564A8C"/>
    <w:rsid w:val="00564EF0"/>
    <w:rsid w:val="005666E1"/>
    <w:rsid w:val="00567492"/>
    <w:rsid w:val="00567FB2"/>
    <w:rsid w:val="00570A1E"/>
    <w:rsid w:val="00570B91"/>
    <w:rsid w:val="00571105"/>
    <w:rsid w:val="00571B2E"/>
    <w:rsid w:val="00571C58"/>
    <w:rsid w:val="00572319"/>
    <w:rsid w:val="00572E52"/>
    <w:rsid w:val="00573B20"/>
    <w:rsid w:val="00573E7F"/>
    <w:rsid w:val="00574049"/>
    <w:rsid w:val="00574503"/>
    <w:rsid w:val="00575487"/>
    <w:rsid w:val="00575F87"/>
    <w:rsid w:val="00576094"/>
    <w:rsid w:val="0057614B"/>
    <w:rsid w:val="005762CE"/>
    <w:rsid w:val="0057655D"/>
    <w:rsid w:val="005767B2"/>
    <w:rsid w:val="005778D3"/>
    <w:rsid w:val="00577C7B"/>
    <w:rsid w:val="00580705"/>
    <w:rsid w:val="00580BEA"/>
    <w:rsid w:val="00580D1A"/>
    <w:rsid w:val="00580D41"/>
    <w:rsid w:val="0058171E"/>
    <w:rsid w:val="00582493"/>
    <w:rsid w:val="00582BF3"/>
    <w:rsid w:val="00582D92"/>
    <w:rsid w:val="005837DD"/>
    <w:rsid w:val="00583DC1"/>
    <w:rsid w:val="00584A7A"/>
    <w:rsid w:val="00585094"/>
    <w:rsid w:val="005850E1"/>
    <w:rsid w:val="005857B9"/>
    <w:rsid w:val="005859C2"/>
    <w:rsid w:val="00585C8C"/>
    <w:rsid w:val="00586719"/>
    <w:rsid w:val="005868AE"/>
    <w:rsid w:val="005903E6"/>
    <w:rsid w:val="00590A62"/>
    <w:rsid w:val="00591F06"/>
    <w:rsid w:val="005928D8"/>
    <w:rsid w:val="00592B8C"/>
    <w:rsid w:val="00592E3F"/>
    <w:rsid w:val="0059319D"/>
    <w:rsid w:val="005931DD"/>
    <w:rsid w:val="005935CA"/>
    <w:rsid w:val="00593850"/>
    <w:rsid w:val="0059485B"/>
    <w:rsid w:val="00595789"/>
    <w:rsid w:val="00595A0F"/>
    <w:rsid w:val="00595C5B"/>
    <w:rsid w:val="005964D7"/>
    <w:rsid w:val="005966E1"/>
    <w:rsid w:val="00596B6E"/>
    <w:rsid w:val="00596C8D"/>
    <w:rsid w:val="005A1ED5"/>
    <w:rsid w:val="005A33F8"/>
    <w:rsid w:val="005A3513"/>
    <w:rsid w:val="005A3AC6"/>
    <w:rsid w:val="005A41D4"/>
    <w:rsid w:val="005A4ED3"/>
    <w:rsid w:val="005A4EE0"/>
    <w:rsid w:val="005A5DFC"/>
    <w:rsid w:val="005A5DFF"/>
    <w:rsid w:val="005A6006"/>
    <w:rsid w:val="005A67D8"/>
    <w:rsid w:val="005A6862"/>
    <w:rsid w:val="005A7B0A"/>
    <w:rsid w:val="005B0336"/>
    <w:rsid w:val="005B10BD"/>
    <w:rsid w:val="005B12DD"/>
    <w:rsid w:val="005B1C35"/>
    <w:rsid w:val="005B29EA"/>
    <w:rsid w:val="005B3C23"/>
    <w:rsid w:val="005B3DB3"/>
    <w:rsid w:val="005B46D0"/>
    <w:rsid w:val="005B4756"/>
    <w:rsid w:val="005B675E"/>
    <w:rsid w:val="005B6FE1"/>
    <w:rsid w:val="005B7593"/>
    <w:rsid w:val="005B7997"/>
    <w:rsid w:val="005C0498"/>
    <w:rsid w:val="005C0505"/>
    <w:rsid w:val="005C0715"/>
    <w:rsid w:val="005C09E5"/>
    <w:rsid w:val="005C2076"/>
    <w:rsid w:val="005C4347"/>
    <w:rsid w:val="005C4762"/>
    <w:rsid w:val="005C5832"/>
    <w:rsid w:val="005C5E81"/>
    <w:rsid w:val="005C601B"/>
    <w:rsid w:val="005C6DEB"/>
    <w:rsid w:val="005C7215"/>
    <w:rsid w:val="005C75E8"/>
    <w:rsid w:val="005C78E7"/>
    <w:rsid w:val="005C7C10"/>
    <w:rsid w:val="005C7DC6"/>
    <w:rsid w:val="005D01BA"/>
    <w:rsid w:val="005D02A1"/>
    <w:rsid w:val="005D0B36"/>
    <w:rsid w:val="005D0D1A"/>
    <w:rsid w:val="005D2095"/>
    <w:rsid w:val="005D2112"/>
    <w:rsid w:val="005D243B"/>
    <w:rsid w:val="005D3180"/>
    <w:rsid w:val="005D5DE3"/>
    <w:rsid w:val="005D79D1"/>
    <w:rsid w:val="005E0310"/>
    <w:rsid w:val="005E0699"/>
    <w:rsid w:val="005E0D24"/>
    <w:rsid w:val="005E20EC"/>
    <w:rsid w:val="005E2FC0"/>
    <w:rsid w:val="005E31B1"/>
    <w:rsid w:val="005E3584"/>
    <w:rsid w:val="005E4B3F"/>
    <w:rsid w:val="005E5CA9"/>
    <w:rsid w:val="005E5D82"/>
    <w:rsid w:val="005E7144"/>
    <w:rsid w:val="005E7B4B"/>
    <w:rsid w:val="005F02A0"/>
    <w:rsid w:val="005F1130"/>
    <w:rsid w:val="005F245B"/>
    <w:rsid w:val="005F3501"/>
    <w:rsid w:val="005F37BA"/>
    <w:rsid w:val="005F4509"/>
    <w:rsid w:val="005F52C5"/>
    <w:rsid w:val="005F57B5"/>
    <w:rsid w:val="005F5939"/>
    <w:rsid w:val="005F7882"/>
    <w:rsid w:val="006001FD"/>
    <w:rsid w:val="006004AF"/>
    <w:rsid w:val="006012B0"/>
    <w:rsid w:val="00601B5D"/>
    <w:rsid w:val="00603776"/>
    <w:rsid w:val="006043DD"/>
    <w:rsid w:val="006045CC"/>
    <w:rsid w:val="00604DEA"/>
    <w:rsid w:val="0060525C"/>
    <w:rsid w:val="00605FE2"/>
    <w:rsid w:val="00606802"/>
    <w:rsid w:val="00610339"/>
    <w:rsid w:val="00610971"/>
    <w:rsid w:val="00610DCD"/>
    <w:rsid w:val="00611875"/>
    <w:rsid w:val="00611FB1"/>
    <w:rsid w:val="00611FC4"/>
    <w:rsid w:val="00612AA4"/>
    <w:rsid w:val="00613135"/>
    <w:rsid w:val="006138FB"/>
    <w:rsid w:val="00614391"/>
    <w:rsid w:val="0061473F"/>
    <w:rsid w:val="00615181"/>
    <w:rsid w:val="00615884"/>
    <w:rsid w:val="00615FE1"/>
    <w:rsid w:val="00616A58"/>
    <w:rsid w:val="006176FB"/>
    <w:rsid w:val="00620417"/>
    <w:rsid w:val="00621169"/>
    <w:rsid w:val="00622F6D"/>
    <w:rsid w:val="00623686"/>
    <w:rsid w:val="00623E10"/>
    <w:rsid w:val="00623E8D"/>
    <w:rsid w:val="006247CC"/>
    <w:rsid w:val="00624A20"/>
    <w:rsid w:val="00627E4D"/>
    <w:rsid w:val="00627ED0"/>
    <w:rsid w:val="0063035F"/>
    <w:rsid w:val="00630858"/>
    <w:rsid w:val="006308F0"/>
    <w:rsid w:val="00631A12"/>
    <w:rsid w:val="00631B9F"/>
    <w:rsid w:val="00632424"/>
    <w:rsid w:val="00632601"/>
    <w:rsid w:val="0063390F"/>
    <w:rsid w:val="00633F2A"/>
    <w:rsid w:val="006343AA"/>
    <w:rsid w:val="0063496E"/>
    <w:rsid w:val="006357DB"/>
    <w:rsid w:val="00636796"/>
    <w:rsid w:val="00640B26"/>
    <w:rsid w:val="00641275"/>
    <w:rsid w:val="00641419"/>
    <w:rsid w:val="00641B53"/>
    <w:rsid w:val="00642E69"/>
    <w:rsid w:val="00643D3B"/>
    <w:rsid w:val="006445B3"/>
    <w:rsid w:val="0064551B"/>
    <w:rsid w:val="00646A69"/>
    <w:rsid w:val="006478EE"/>
    <w:rsid w:val="0064798F"/>
    <w:rsid w:val="00647AF8"/>
    <w:rsid w:val="00647B02"/>
    <w:rsid w:val="00651C2F"/>
    <w:rsid w:val="00651EB1"/>
    <w:rsid w:val="00652520"/>
    <w:rsid w:val="006528FC"/>
    <w:rsid w:val="0065309E"/>
    <w:rsid w:val="00653244"/>
    <w:rsid w:val="0065365D"/>
    <w:rsid w:val="00653986"/>
    <w:rsid w:val="00654A33"/>
    <w:rsid w:val="00654E02"/>
    <w:rsid w:val="006553C5"/>
    <w:rsid w:val="00655740"/>
    <w:rsid w:val="006563B9"/>
    <w:rsid w:val="00656547"/>
    <w:rsid w:val="00656E73"/>
    <w:rsid w:val="006570EB"/>
    <w:rsid w:val="00660586"/>
    <w:rsid w:val="00661573"/>
    <w:rsid w:val="00661718"/>
    <w:rsid w:val="006628B7"/>
    <w:rsid w:val="00662F43"/>
    <w:rsid w:val="006632E0"/>
    <w:rsid w:val="00663FC3"/>
    <w:rsid w:val="0066427F"/>
    <w:rsid w:val="00665173"/>
    <w:rsid w:val="00665595"/>
    <w:rsid w:val="0066702F"/>
    <w:rsid w:val="00667177"/>
    <w:rsid w:val="00667602"/>
    <w:rsid w:val="006703B0"/>
    <w:rsid w:val="00670C58"/>
    <w:rsid w:val="00670FF8"/>
    <w:rsid w:val="00671FA7"/>
    <w:rsid w:val="006722C5"/>
    <w:rsid w:val="00673B80"/>
    <w:rsid w:val="00676524"/>
    <w:rsid w:val="00680BD2"/>
    <w:rsid w:val="00680C7A"/>
    <w:rsid w:val="00680EFA"/>
    <w:rsid w:val="00681947"/>
    <w:rsid w:val="00681A21"/>
    <w:rsid w:val="00681A7E"/>
    <w:rsid w:val="00682898"/>
    <w:rsid w:val="00682B87"/>
    <w:rsid w:val="00682C19"/>
    <w:rsid w:val="00682F77"/>
    <w:rsid w:val="006837B9"/>
    <w:rsid w:val="006849D8"/>
    <w:rsid w:val="00685CE0"/>
    <w:rsid w:val="00686A42"/>
    <w:rsid w:val="00687ACB"/>
    <w:rsid w:val="00687EFF"/>
    <w:rsid w:val="00690061"/>
    <w:rsid w:val="0069104F"/>
    <w:rsid w:val="0069137B"/>
    <w:rsid w:val="00691984"/>
    <w:rsid w:val="00692391"/>
    <w:rsid w:val="00692C91"/>
    <w:rsid w:val="0069317A"/>
    <w:rsid w:val="0069524B"/>
    <w:rsid w:val="0069548A"/>
    <w:rsid w:val="00695A9B"/>
    <w:rsid w:val="00695B78"/>
    <w:rsid w:val="00696AF9"/>
    <w:rsid w:val="00696DF7"/>
    <w:rsid w:val="00696F16"/>
    <w:rsid w:val="006978C9"/>
    <w:rsid w:val="00697B82"/>
    <w:rsid w:val="006A3AFE"/>
    <w:rsid w:val="006A475E"/>
    <w:rsid w:val="006A4A5B"/>
    <w:rsid w:val="006A4E93"/>
    <w:rsid w:val="006A518A"/>
    <w:rsid w:val="006A5220"/>
    <w:rsid w:val="006A52CE"/>
    <w:rsid w:val="006A55CF"/>
    <w:rsid w:val="006A5690"/>
    <w:rsid w:val="006A5BF5"/>
    <w:rsid w:val="006A5DEA"/>
    <w:rsid w:val="006A6A66"/>
    <w:rsid w:val="006A7392"/>
    <w:rsid w:val="006B024C"/>
    <w:rsid w:val="006B0369"/>
    <w:rsid w:val="006B0BD7"/>
    <w:rsid w:val="006B1398"/>
    <w:rsid w:val="006B15E4"/>
    <w:rsid w:val="006B1BAB"/>
    <w:rsid w:val="006B2460"/>
    <w:rsid w:val="006B2519"/>
    <w:rsid w:val="006B2623"/>
    <w:rsid w:val="006B30D0"/>
    <w:rsid w:val="006B3254"/>
    <w:rsid w:val="006B49E9"/>
    <w:rsid w:val="006B4ADA"/>
    <w:rsid w:val="006B5FF6"/>
    <w:rsid w:val="006B668F"/>
    <w:rsid w:val="006B6785"/>
    <w:rsid w:val="006B6EBE"/>
    <w:rsid w:val="006B6EF7"/>
    <w:rsid w:val="006B7726"/>
    <w:rsid w:val="006B7A7D"/>
    <w:rsid w:val="006C089F"/>
    <w:rsid w:val="006C09E3"/>
    <w:rsid w:val="006C1D10"/>
    <w:rsid w:val="006C1DA9"/>
    <w:rsid w:val="006C2BA1"/>
    <w:rsid w:val="006C2C76"/>
    <w:rsid w:val="006C36CD"/>
    <w:rsid w:val="006C4445"/>
    <w:rsid w:val="006C487B"/>
    <w:rsid w:val="006C4909"/>
    <w:rsid w:val="006C4991"/>
    <w:rsid w:val="006C5D3C"/>
    <w:rsid w:val="006C68B4"/>
    <w:rsid w:val="006C7C6E"/>
    <w:rsid w:val="006D0A4C"/>
    <w:rsid w:val="006D17FC"/>
    <w:rsid w:val="006D1914"/>
    <w:rsid w:val="006D26C0"/>
    <w:rsid w:val="006D2C6D"/>
    <w:rsid w:val="006D2D94"/>
    <w:rsid w:val="006D3B86"/>
    <w:rsid w:val="006D5316"/>
    <w:rsid w:val="006D5374"/>
    <w:rsid w:val="006D5429"/>
    <w:rsid w:val="006D55BE"/>
    <w:rsid w:val="006D593B"/>
    <w:rsid w:val="006D5CD3"/>
    <w:rsid w:val="006D5CDB"/>
    <w:rsid w:val="006D6B90"/>
    <w:rsid w:val="006D749D"/>
    <w:rsid w:val="006D74E4"/>
    <w:rsid w:val="006D7937"/>
    <w:rsid w:val="006D7FAC"/>
    <w:rsid w:val="006E0244"/>
    <w:rsid w:val="006E0290"/>
    <w:rsid w:val="006E1575"/>
    <w:rsid w:val="006E1F70"/>
    <w:rsid w:val="006E2304"/>
    <w:rsid w:val="006E259C"/>
    <w:rsid w:val="006E27A5"/>
    <w:rsid w:val="006E29C9"/>
    <w:rsid w:val="006E3A82"/>
    <w:rsid w:val="006E3E85"/>
    <w:rsid w:val="006E425B"/>
    <w:rsid w:val="006E550F"/>
    <w:rsid w:val="006E564B"/>
    <w:rsid w:val="006E594A"/>
    <w:rsid w:val="006E5D4A"/>
    <w:rsid w:val="006E6291"/>
    <w:rsid w:val="006E6624"/>
    <w:rsid w:val="006E6FDF"/>
    <w:rsid w:val="006F0009"/>
    <w:rsid w:val="006F0949"/>
    <w:rsid w:val="006F12BE"/>
    <w:rsid w:val="006F15A6"/>
    <w:rsid w:val="006F1800"/>
    <w:rsid w:val="006F1A86"/>
    <w:rsid w:val="006F1EFF"/>
    <w:rsid w:val="006F2C5A"/>
    <w:rsid w:val="006F4AFF"/>
    <w:rsid w:val="006F55B7"/>
    <w:rsid w:val="006F5B4C"/>
    <w:rsid w:val="006F5F05"/>
    <w:rsid w:val="006F5F42"/>
    <w:rsid w:val="006F631D"/>
    <w:rsid w:val="006F75A4"/>
    <w:rsid w:val="00700B62"/>
    <w:rsid w:val="0070101E"/>
    <w:rsid w:val="0070107C"/>
    <w:rsid w:val="007011DE"/>
    <w:rsid w:val="00701402"/>
    <w:rsid w:val="00703256"/>
    <w:rsid w:val="00704592"/>
    <w:rsid w:val="00705486"/>
    <w:rsid w:val="0070557D"/>
    <w:rsid w:val="00705631"/>
    <w:rsid w:val="007068AF"/>
    <w:rsid w:val="00707378"/>
    <w:rsid w:val="00707B86"/>
    <w:rsid w:val="00707FA5"/>
    <w:rsid w:val="00710B0D"/>
    <w:rsid w:val="00711043"/>
    <w:rsid w:val="00711831"/>
    <w:rsid w:val="0071422A"/>
    <w:rsid w:val="00715679"/>
    <w:rsid w:val="00715AF9"/>
    <w:rsid w:val="00715DA2"/>
    <w:rsid w:val="00715FD7"/>
    <w:rsid w:val="007167A4"/>
    <w:rsid w:val="00716B53"/>
    <w:rsid w:val="007203A8"/>
    <w:rsid w:val="007218CD"/>
    <w:rsid w:val="00723014"/>
    <w:rsid w:val="00723729"/>
    <w:rsid w:val="0072414C"/>
    <w:rsid w:val="007241DE"/>
    <w:rsid w:val="00724462"/>
    <w:rsid w:val="00724CC1"/>
    <w:rsid w:val="007254F4"/>
    <w:rsid w:val="0072593A"/>
    <w:rsid w:val="0072594A"/>
    <w:rsid w:val="0072632A"/>
    <w:rsid w:val="00726336"/>
    <w:rsid w:val="0072652C"/>
    <w:rsid w:val="00726833"/>
    <w:rsid w:val="00727E54"/>
    <w:rsid w:val="00727F7B"/>
    <w:rsid w:val="0073078C"/>
    <w:rsid w:val="00730ACA"/>
    <w:rsid w:val="00730ED0"/>
    <w:rsid w:val="0073129A"/>
    <w:rsid w:val="00731523"/>
    <w:rsid w:val="00731642"/>
    <w:rsid w:val="0073213F"/>
    <w:rsid w:val="00732865"/>
    <w:rsid w:val="00732DC8"/>
    <w:rsid w:val="00732F77"/>
    <w:rsid w:val="00733AAE"/>
    <w:rsid w:val="00734607"/>
    <w:rsid w:val="00734999"/>
    <w:rsid w:val="007351E9"/>
    <w:rsid w:val="00735AB2"/>
    <w:rsid w:val="00736920"/>
    <w:rsid w:val="007369EE"/>
    <w:rsid w:val="00736D0E"/>
    <w:rsid w:val="0073759A"/>
    <w:rsid w:val="0074164C"/>
    <w:rsid w:val="007424B4"/>
    <w:rsid w:val="00742A11"/>
    <w:rsid w:val="00743568"/>
    <w:rsid w:val="00743CB6"/>
    <w:rsid w:val="00743EA5"/>
    <w:rsid w:val="00745ABD"/>
    <w:rsid w:val="00747431"/>
    <w:rsid w:val="00747C2B"/>
    <w:rsid w:val="00747CE3"/>
    <w:rsid w:val="0075002D"/>
    <w:rsid w:val="00750533"/>
    <w:rsid w:val="00750DFE"/>
    <w:rsid w:val="00751816"/>
    <w:rsid w:val="0075204D"/>
    <w:rsid w:val="00752324"/>
    <w:rsid w:val="00752B7A"/>
    <w:rsid w:val="00753280"/>
    <w:rsid w:val="007536AA"/>
    <w:rsid w:val="007536DC"/>
    <w:rsid w:val="00753A55"/>
    <w:rsid w:val="00754367"/>
    <w:rsid w:val="0075483C"/>
    <w:rsid w:val="00754B15"/>
    <w:rsid w:val="00755CE3"/>
    <w:rsid w:val="00756860"/>
    <w:rsid w:val="0076100F"/>
    <w:rsid w:val="007618E9"/>
    <w:rsid w:val="00763C7A"/>
    <w:rsid w:val="007640FD"/>
    <w:rsid w:val="00764416"/>
    <w:rsid w:val="00764793"/>
    <w:rsid w:val="00765411"/>
    <w:rsid w:val="0076544D"/>
    <w:rsid w:val="00765F16"/>
    <w:rsid w:val="00766E56"/>
    <w:rsid w:val="00766F6C"/>
    <w:rsid w:val="007713E6"/>
    <w:rsid w:val="00771810"/>
    <w:rsid w:val="00771D8B"/>
    <w:rsid w:val="00771E4E"/>
    <w:rsid w:val="00771FEF"/>
    <w:rsid w:val="00772712"/>
    <w:rsid w:val="0077271F"/>
    <w:rsid w:val="00772BD6"/>
    <w:rsid w:val="00773288"/>
    <w:rsid w:val="007734F1"/>
    <w:rsid w:val="007758BA"/>
    <w:rsid w:val="00776110"/>
    <w:rsid w:val="007800D0"/>
    <w:rsid w:val="00781273"/>
    <w:rsid w:val="007832D8"/>
    <w:rsid w:val="007832E5"/>
    <w:rsid w:val="00783A6B"/>
    <w:rsid w:val="00783C66"/>
    <w:rsid w:val="00784AF8"/>
    <w:rsid w:val="00784EDB"/>
    <w:rsid w:val="007863EF"/>
    <w:rsid w:val="00786E97"/>
    <w:rsid w:val="007878B1"/>
    <w:rsid w:val="00787996"/>
    <w:rsid w:val="00790CB7"/>
    <w:rsid w:val="007920B3"/>
    <w:rsid w:val="00792C85"/>
    <w:rsid w:val="00792E1C"/>
    <w:rsid w:val="00792E78"/>
    <w:rsid w:val="00794CED"/>
    <w:rsid w:val="00795E3F"/>
    <w:rsid w:val="00796631"/>
    <w:rsid w:val="00796E0D"/>
    <w:rsid w:val="00797003"/>
    <w:rsid w:val="00797039"/>
    <w:rsid w:val="0079728A"/>
    <w:rsid w:val="007A13C4"/>
    <w:rsid w:val="007A15B8"/>
    <w:rsid w:val="007A16E3"/>
    <w:rsid w:val="007A1923"/>
    <w:rsid w:val="007A238E"/>
    <w:rsid w:val="007A2A1B"/>
    <w:rsid w:val="007A2D29"/>
    <w:rsid w:val="007A2F64"/>
    <w:rsid w:val="007A33DC"/>
    <w:rsid w:val="007A33E9"/>
    <w:rsid w:val="007A41F9"/>
    <w:rsid w:val="007A4A84"/>
    <w:rsid w:val="007A58A8"/>
    <w:rsid w:val="007A67F0"/>
    <w:rsid w:val="007A694A"/>
    <w:rsid w:val="007A72CE"/>
    <w:rsid w:val="007A7480"/>
    <w:rsid w:val="007B01FE"/>
    <w:rsid w:val="007B1F70"/>
    <w:rsid w:val="007B2AA1"/>
    <w:rsid w:val="007B325C"/>
    <w:rsid w:val="007B468D"/>
    <w:rsid w:val="007B5103"/>
    <w:rsid w:val="007B5B35"/>
    <w:rsid w:val="007B634A"/>
    <w:rsid w:val="007B64E5"/>
    <w:rsid w:val="007B6BA5"/>
    <w:rsid w:val="007B6D49"/>
    <w:rsid w:val="007B6E35"/>
    <w:rsid w:val="007B7355"/>
    <w:rsid w:val="007B7728"/>
    <w:rsid w:val="007B7E53"/>
    <w:rsid w:val="007C0F0D"/>
    <w:rsid w:val="007C120F"/>
    <w:rsid w:val="007C1BDF"/>
    <w:rsid w:val="007C239A"/>
    <w:rsid w:val="007C2F6B"/>
    <w:rsid w:val="007C3384"/>
    <w:rsid w:val="007C3390"/>
    <w:rsid w:val="007C3D77"/>
    <w:rsid w:val="007C43CB"/>
    <w:rsid w:val="007C4482"/>
    <w:rsid w:val="007C494C"/>
    <w:rsid w:val="007C4F4B"/>
    <w:rsid w:val="007C587C"/>
    <w:rsid w:val="007C60D9"/>
    <w:rsid w:val="007D03EF"/>
    <w:rsid w:val="007D0466"/>
    <w:rsid w:val="007D1315"/>
    <w:rsid w:val="007D13F8"/>
    <w:rsid w:val="007D2D31"/>
    <w:rsid w:val="007D3ADF"/>
    <w:rsid w:val="007D3B95"/>
    <w:rsid w:val="007D4ADB"/>
    <w:rsid w:val="007D4D12"/>
    <w:rsid w:val="007D4DE2"/>
    <w:rsid w:val="007D5C68"/>
    <w:rsid w:val="007D66A4"/>
    <w:rsid w:val="007D6D03"/>
    <w:rsid w:val="007D712E"/>
    <w:rsid w:val="007D729D"/>
    <w:rsid w:val="007D73F1"/>
    <w:rsid w:val="007D7475"/>
    <w:rsid w:val="007D760F"/>
    <w:rsid w:val="007E0778"/>
    <w:rsid w:val="007E1D14"/>
    <w:rsid w:val="007E2133"/>
    <w:rsid w:val="007E3475"/>
    <w:rsid w:val="007E3CA3"/>
    <w:rsid w:val="007E3F61"/>
    <w:rsid w:val="007E5CD2"/>
    <w:rsid w:val="007E6069"/>
    <w:rsid w:val="007E7803"/>
    <w:rsid w:val="007F0A09"/>
    <w:rsid w:val="007F0B83"/>
    <w:rsid w:val="007F11A7"/>
    <w:rsid w:val="007F1447"/>
    <w:rsid w:val="007F272B"/>
    <w:rsid w:val="007F3B45"/>
    <w:rsid w:val="007F4693"/>
    <w:rsid w:val="007F4CBD"/>
    <w:rsid w:val="007F4FCD"/>
    <w:rsid w:val="007F509C"/>
    <w:rsid w:val="007F60C4"/>
    <w:rsid w:val="007F6611"/>
    <w:rsid w:val="007F684E"/>
    <w:rsid w:val="007F7710"/>
    <w:rsid w:val="007F7B2E"/>
    <w:rsid w:val="007F7CDB"/>
    <w:rsid w:val="008001C7"/>
    <w:rsid w:val="00800654"/>
    <w:rsid w:val="008009C6"/>
    <w:rsid w:val="00800B6D"/>
    <w:rsid w:val="008017CA"/>
    <w:rsid w:val="00802309"/>
    <w:rsid w:val="00802654"/>
    <w:rsid w:val="008038B2"/>
    <w:rsid w:val="00803D3D"/>
    <w:rsid w:val="00804D76"/>
    <w:rsid w:val="008054C1"/>
    <w:rsid w:val="00805AD1"/>
    <w:rsid w:val="00805C53"/>
    <w:rsid w:val="00806458"/>
    <w:rsid w:val="00806E2D"/>
    <w:rsid w:val="00806F4D"/>
    <w:rsid w:val="00807417"/>
    <w:rsid w:val="0080795E"/>
    <w:rsid w:val="00807F7C"/>
    <w:rsid w:val="00810C70"/>
    <w:rsid w:val="00811058"/>
    <w:rsid w:val="008110B3"/>
    <w:rsid w:val="00811326"/>
    <w:rsid w:val="00811392"/>
    <w:rsid w:val="008117A1"/>
    <w:rsid w:val="00811940"/>
    <w:rsid w:val="00811D4E"/>
    <w:rsid w:val="00812277"/>
    <w:rsid w:val="00812757"/>
    <w:rsid w:val="00812C0A"/>
    <w:rsid w:val="008132C0"/>
    <w:rsid w:val="00813639"/>
    <w:rsid w:val="0081424B"/>
    <w:rsid w:val="008152E7"/>
    <w:rsid w:val="00815906"/>
    <w:rsid w:val="008175E9"/>
    <w:rsid w:val="008202DE"/>
    <w:rsid w:val="00820C5A"/>
    <w:rsid w:val="00821639"/>
    <w:rsid w:val="0082207E"/>
    <w:rsid w:val="0082239D"/>
    <w:rsid w:val="008227D6"/>
    <w:rsid w:val="00822CB8"/>
    <w:rsid w:val="008234B4"/>
    <w:rsid w:val="00823DBE"/>
    <w:rsid w:val="0082410A"/>
    <w:rsid w:val="008242D7"/>
    <w:rsid w:val="0082628C"/>
    <w:rsid w:val="00827342"/>
    <w:rsid w:val="00827E05"/>
    <w:rsid w:val="00830A1C"/>
    <w:rsid w:val="008311A3"/>
    <w:rsid w:val="00831673"/>
    <w:rsid w:val="00831764"/>
    <w:rsid w:val="008318DB"/>
    <w:rsid w:val="00832EF2"/>
    <w:rsid w:val="0083314B"/>
    <w:rsid w:val="00833418"/>
    <w:rsid w:val="008334B6"/>
    <w:rsid w:val="0083374F"/>
    <w:rsid w:val="00833934"/>
    <w:rsid w:val="00836A49"/>
    <w:rsid w:val="00836AB0"/>
    <w:rsid w:val="00836EDC"/>
    <w:rsid w:val="00837370"/>
    <w:rsid w:val="008413B4"/>
    <w:rsid w:val="0084417C"/>
    <w:rsid w:val="00844CDD"/>
    <w:rsid w:val="0084518D"/>
    <w:rsid w:val="008458A8"/>
    <w:rsid w:val="008458C0"/>
    <w:rsid w:val="0084599B"/>
    <w:rsid w:val="00845A1E"/>
    <w:rsid w:val="00845CD7"/>
    <w:rsid w:val="0084734F"/>
    <w:rsid w:val="00847830"/>
    <w:rsid w:val="00847D06"/>
    <w:rsid w:val="008501C6"/>
    <w:rsid w:val="00850952"/>
    <w:rsid w:val="00850CE7"/>
    <w:rsid w:val="00850D77"/>
    <w:rsid w:val="008513B5"/>
    <w:rsid w:val="008517BE"/>
    <w:rsid w:val="00852524"/>
    <w:rsid w:val="00852F2F"/>
    <w:rsid w:val="00853116"/>
    <w:rsid w:val="008535A5"/>
    <w:rsid w:val="008537AA"/>
    <w:rsid w:val="00854D72"/>
    <w:rsid w:val="0085524D"/>
    <w:rsid w:val="008552BE"/>
    <w:rsid w:val="00855B49"/>
    <w:rsid w:val="008562A8"/>
    <w:rsid w:val="00856775"/>
    <w:rsid w:val="00856CFD"/>
    <w:rsid w:val="00856D75"/>
    <w:rsid w:val="00856E40"/>
    <w:rsid w:val="008577F2"/>
    <w:rsid w:val="00860739"/>
    <w:rsid w:val="008609E0"/>
    <w:rsid w:val="008629EB"/>
    <w:rsid w:val="008637F8"/>
    <w:rsid w:val="0086423F"/>
    <w:rsid w:val="008646DB"/>
    <w:rsid w:val="00864AE0"/>
    <w:rsid w:val="00866021"/>
    <w:rsid w:val="008666A3"/>
    <w:rsid w:val="00867C36"/>
    <w:rsid w:val="0087043F"/>
    <w:rsid w:val="00870845"/>
    <w:rsid w:val="00871657"/>
    <w:rsid w:val="00871C9E"/>
    <w:rsid w:val="00871F08"/>
    <w:rsid w:val="00871FD5"/>
    <w:rsid w:val="00872C11"/>
    <w:rsid w:val="00873981"/>
    <w:rsid w:val="00876554"/>
    <w:rsid w:val="00876710"/>
    <w:rsid w:val="008805A6"/>
    <w:rsid w:val="008818DF"/>
    <w:rsid w:val="00881E9C"/>
    <w:rsid w:val="008823B5"/>
    <w:rsid w:val="00882A1F"/>
    <w:rsid w:val="00884634"/>
    <w:rsid w:val="00884D20"/>
    <w:rsid w:val="0088516B"/>
    <w:rsid w:val="00885733"/>
    <w:rsid w:val="00886885"/>
    <w:rsid w:val="00891DAC"/>
    <w:rsid w:val="00891FAD"/>
    <w:rsid w:val="00892032"/>
    <w:rsid w:val="00893354"/>
    <w:rsid w:val="00893453"/>
    <w:rsid w:val="00893AFD"/>
    <w:rsid w:val="008950CF"/>
    <w:rsid w:val="00895498"/>
    <w:rsid w:val="00895592"/>
    <w:rsid w:val="00896DCB"/>
    <w:rsid w:val="00896DE7"/>
    <w:rsid w:val="008976E4"/>
    <w:rsid w:val="00897849"/>
    <w:rsid w:val="008979A0"/>
    <w:rsid w:val="008979B1"/>
    <w:rsid w:val="008A071D"/>
    <w:rsid w:val="008A0A0F"/>
    <w:rsid w:val="008A1287"/>
    <w:rsid w:val="008A3A54"/>
    <w:rsid w:val="008A49B7"/>
    <w:rsid w:val="008A49CF"/>
    <w:rsid w:val="008A55C4"/>
    <w:rsid w:val="008A5FC7"/>
    <w:rsid w:val="008A6823"/>
    <w:rsid w:val="008A6B25"/>
    <w:rsid w:val="008A6C4F"/>
    <w:rsid w:val="008B01F9"/>
    <w:rsid w:val="008B099A"/>
    <w:rsid w:val="008B0C6E"/>
    <w:rsid w:val="008B1310"/>
    <w:rsid w:val="008B1417"/>
    <w:rsid w:val="008B236B"/>
    <w:rsid w:val="008B2386"/>
    <w:rsid w:val="008B2B23"/>
    <w:rsid w:val="008B2DEB"/>
    <w:rsid w:val="008B3806"/>
    <w:rsid w:val="008B4628"/>
    <w:rsid w:val="008B46EF"/>
    <w:rsid w:val="008B4A3E"/>
    <w:rsid w:val="008B5312"/>
    <w:rsid w:val="008B56AB"/>
    <w:rsid w:val="008B5F26"/>
    <w:rsid w:val="008B6BB9"/>
    <w:rsid w:val="008B7888"/>
    <w:rsid w:val="008B7B9A"/>
    <w:rsid w:val="008C25F7"/>
    <w:rsid w:val="008C3283"/>
    <w:rsid w:val="008C346D"/>
    <w:rsid w:val="008C39E5"/>
    <w:rsid w:val="008C5304"/>
    <w:rsid w:val="008C5591"/>
    <w:rsid w:val="008C5707"/>
    <w:rsid w:val="008C580E"/>
    <w:rsid w:val="008C7438"/>
    <w:rsid w:val="008C7A72"/>
    <w:rsid w:val="008C7ABF"/>
    <w:rsid w:val="008C7B2E"/>
    <w:rsid w:val="008D05EB"/>
    <w:rsid w:val="008D0734"/>
    <w:rsid w:val="008D1641"/>
    <w:rsid w:val="008D1F1E"/>
    <w:rsid w:val="008D2F45"/>
    <w:rsid w:val="008D46E0"/>
    <w:rsid w:val="008D4A4D"/>
    <w:rsid w:val="008D54CD"/>
    <w:rsid w:val="008D5DF3"/>
    <w:rsid w:val="008D74B7"/>
    <w:rsid w:val="008E09AC"/>
    <w:rsid w:val="008E0A4F"/>
    <w:rsid w:val="008E0E46"/>
    <w:rsid w:val="008E2540"/>
    <w:rsid w:val="008E2BF7"/>
    <w:rsid w:val="008E3266"/>
    <w:rsid w:val="008E3D2D"/>
    <w:rsid w:val="008E491B"/>
    <w:rsid w:val="008E50B1"/>
    <w:rsid w:val="008E55DF"/>
    <w:rsid w:val="008E66EB"/>
    <w:rsid w:val="008E7DAB"/>
    <w:rsid w:val="008F0B73"/>
    <w:rsid w:val="008F0E8A"/>
    <w:rsid w:val="008F26FA"/>
    <w:rsid w:val="008F4AB2"/>
    <w:rsid w:val="008F4F12"/>
    <w:rsid w:val="008F52E2"/>
    <w:rsid w:val="008F5476"/>
    <w:rsid w:val="008F61D8"/>
    <w:rsid w:val="008F6303"/>
    <w:rsid w:val="008F6D90"/>
    <w:rsid w:val="008F72BF"/>
    <w:rsid w:val="008F7DD3"/>
    <w:rsid w:val="00900806"/>
    <w:rsid w:val="00900910"/>
    <w:rsid w:val="009009B9"/>
    <w:rsid w:val="00900AA2"/>
    <w:rsid w:val="0090191B"/>
    <w:rsid w:val="0090220B"/>
    <w:rsid w:val="009022D4"/>
    <w:rsid w:val="00902530"/>
    <w:rsid w:val="00903205"/>
    <w:rsid w:val="00903311"/>
    <w:rsid w:val="00903E58"/>
    <w:rsid w:val="00905333"/>
    <w:rsid w:val="009057B7"/>
    <w:rsid w:val="00905FB0"/>
    <w:rsid w:val="009063F3"/>
    <w:rsid w:val="00906E93"/>
    <w:rsid w:val="00907709"/>
    <w:rsid w:val="00907AD2"/>
    <w:rsid w:val="00910340"/>
    <w:rsid w:val="009104B2"/>
    <w:rsid w:val="009105B2"/>
    <w:rsid w:val="0091085A"/>
    <w:rsid w:val="009108DD"/>
    <w:rsid w:val="009111C7"/>
    <w:rsid w:val="009115A0"/>
    <w:rsid w:val="00913ABC"/>
    <w:rsid w:val="009148EC"/>
    <w:rsid w:val="009161E0"/>
    <w:rsid w:val="00916F35"/>
    <w:rsid w:val="0091700B"/>
    <w:rsid w:val="00917EDB"/>
    <w:rsid w:val="00920916"/>
    <w:rsid w:val="00921B66"/>
    <w:rsid w:val="00921EBD"/>
    <w:rsid w:val="00922876"/>
    <w:rsid w:val="0092321B"/>
    <w:rsid w:val="00923979"/>
    <w:rsid w:val="009248C3"/>
    <w:rsid w:val="00924F95"/>
    <w:rsid w:val="00925353"/>
    <w:rsid w:val="00926493"/>
    <w:rsid w:val="009267D0"/>
    <w:rsid w:val="009278F5"/>
    <w:rsid w:val="00931870"/>
    <w:rsid w:val="00931D20"/>
    <w:rsid w:val="00931F22"/>
    <w:rsid w:val="009321EA"/>
    <w:rsid w:val="00932509"/>
    <w:rsid w:val="009326F6"/>
    <w:rsid w:val="009333D2"/>
    <w:rsid w:val="009333F8"/>
    <w:rsid w:val="00935635"/>
    <w:rsid w:val="00935B43"/>
    <w:rsid w:val="00935D23"/>
    <w:rsid w:val="0093690F"/>
    <w:rsid w:val="009371CA"/>
    <w:rsid w:val="009400E2"/>
    <w:rsid w:val="009402C2"/>
    <w:rsid w:val="0094030F"/>
    <w:rsid w:val="009405AD"/>
    <w:rsid w:val="00940685"/>
    <w:rsid w:val="0094076B"/>
    <w:rsid w:val="0094153B"/>
    <w:rsid w:val="009415F2"/>
    <w:rsid w:val="00941B05"/>
    <w:rsid w:val="009423DA"/>
    <w:rsid w:val="0094387C"/>
    <w:rsid w:val="00944445"/>
    <w:rsid w:val="00944D5C"/>
    <w:rsid w:val="00944E91"/>
    <w:rsid w:val="00945348"/>
    <w:rsid w:val="00945763"/>
    <w:rsid w:val="00945A1C"/>
    <w:rsid w:val="00946098"/>
    <w:rsid w:val="0094623A"/>
    <w:rsid w:val="009465B7"/>
    <w:rsid w:val="009466A5"/>
    <w:rsid w:val="00946979"/>
    <w:rsid w:val="00946BC6"/>
    <w:rsid w:val="00946FED"/>
    <w:rsid w:val="0095076E"/>
    <w:rsid w:val="00950D47"/>
    <w:rsid w:val="00951741"/>
    <w:rsid w:val="00951D3D"/>
    <w:rsid w:val="00952B42"/>
    <w:rsid w:val="009536C0"/>
    <w:rsid w:val="00953776"/>
    <w:rsid w:val="0095442E"/>
    <w:rsid w:val="0095517F"/>
    <w:rsid w:val="009553DE"/>
    <w:rsid w:val="009568BC"/>
    <w:rsid w:val="00956D9E"/>
    <w:rsid w:val="00956DC4"/>
    <w:rsid w:val="00960F16"/>
    <w:rsid w:val="009619F2"/>
    <w:rsid w:val="00961D54"/>
    <w:rsid w:val="00962360"/>
    <w:rsid w:val="009625FD"/>
    <w:rsid w:val="00963CBA"/>
    <w:rsid w:val="00963F3A"/>
    <w:rsid w:val="00964768"/>
    <w:rsid w:val="009647D9"/>
    <w:rsid w:val="00965292"/>
    <w:rsid w:val="00965457"/>
    <w:rsid w:val="00965FB2"/>
    <w:rsid w:val="00966A45"/>
    <w:rsid w:val="00966A6D"/>
    <w:rsid w:val="00966C41"/>
    <w:rsid w:val="009672F9"/>
    <w:rsid w:val="0096741A"/>
    <w:rsid w:val="00967447"/>
    <w:rsid w:val="00967C51"/>
    <w:rsid w:val="009714E0"/>
    <w:rsid w:val="009715FC"/>
    <w:rsid w:val="00971C5D"/>
    <w:rsid w:val="00974A5D"/>
    <w:rsid w:val="00974A8D"/>
    <w:rsid w:val="00975111"/>
    <w:rsid w:val="0097575B"/>
    <w:rsid w:val="0097636B"/>
    <w:rsid w:val="00977178"/>
    <w:rsid w:val="009772DC"/>
    <w:rsid w:val="00977375"/>
    <w:rsid w:val="0097794A"/>
    <w:rsid w:val="00980605"/>
    <w:rsid w:val="009812FE"/>
    <w:rsid w:val="00981CD3"/>
    <w:rsid w:val="00982DE4"/>
    <w:rsid w:val="009845DD"/>
    <w:rsid w:val="00986393"/>
    <w:rsid w:val="0098658D"/>
    <w:rsid w:val="00986A1A"/>
    <w:rsid w:val="00987734"/>
    <w:rsid w:val="00987A71"/>
    <w:rsid w:val="0099001C"/>
    <w:rsid w:val="00990ACE"/>
    <w:rsid w:val="00991261"/>
    <w:rsid w:val="009925FB"/>
    <w:rsid w:val="00994A75"/>
    <w:rsid w:val="00995386"/>
    <w:rsid w:val="00996136"/>
    <w:rsid w:val="009966CB"/>
    <w:rsid w:val="00996F66"/>
    <w:rsid w:val="009A0348"/>
    <w:rsid w:val="009A0350"/>
    <w:rsid w:val="009A06C5"/>
    <w:rsid w:val="009A0DAB"/>
    <w:rsid w:val="009A1C35"/>
    <w:rsid w:val="009A20E4"/>
    <w:rsid w:val="009A2287"/>
    <w:rsid w:val="009A34AF"/>
    <w:rsid w:val="009A3BA9"/>
    <w:rsid w:val="009A41BE"/>
    <w:rsid w:val="009A57F2"/>
    <w:rsid w:val="009A600E"/>
    <w:rsid w:val="009A6041"/>
    <w:rsid w:val="009A604D"/>
    <w:rsid w:val="009A690D"/>
    <w:rsid w:val="009A69E0"/>
    <w:rsid w:val="009A7649"/>
    <w:rsid w:val="009B2010"/>
    <w:rsid w:val="009B4ACF"/>
    <w:rsid w:val="009B4AF9"/>
    <w:rsid w:val="009B5CF8"/>
    <w:rsid w:val="009C0B17"/>
    <w:rsid w:val="009C135E"/>
    <w:rsid w:val="009C13EC"/>
    <w:rsid w:val="009C1D40"/>
    <w:rsid w:val="009C2117"/>
    <w:rsid w:val="009C249A"/>
    <w:rsid w:val="009C3067"/>
    <w:rsid w:val="009C33C1"/>
    <w:rsid w:val="009C4B2E"/>
    <w:rsid w:val="009C4F40"/>
    <w:rsid w:val="009C5063"/>
    <w:rsid w:val="009C65E9"/>
    <w:rsid w:val="009C6EF8"/>
    <w:rsid w:val="009C6F26"/>
    <w:rsid w:val="009C6FFE"/>
    <w:rsid w:val="009D09AD"/>
    <w:rsid w:val="009D0F3E"/>
    <w:rsid w:val="009D15FD"/>
    <w:rsid w:val="009D1720"/>
    <w:rsid w:val="009D2525"/>
    <w:rsid w:val="009D446F"/>
    <w:rsid w:val="009D4F54"/>
    <w:rsid w:val="009D507E"/>
    <w:rsid w:val="009D5098"/>
    <w:rsid w:val="009D559D"/>
    <w:rsid w:val="009D576B"/>
    <w:rsid w:val="009D609A"/>
    <w:rsid w:val="009D79CE"/>
    <w:rsid w:val="009E26C6"/>
    <w:rsid w:val="009E328F"/>
    <w:rsid w:val="009E388C"/>
    <w:rsid w:val="009E484B"/>
    <w:rsid w:val="009E485E"/>
    <w:rsid w:val="009E4FF5"/>
    <w:rsid w:val="009E6300"/>
    <w:rsid w:val="009E7479"/>
    <w:rsid w:val="009E7D45"/>
    <w:rsid w:val="009F049D"/>
    <w:rsid w:val="009F160E"/>
    <w:rsid w:val="009F24D1"/>
    <w:rsid w:val="009F2C19"/>
    <w:rsid w:val="009F3247"/>
    <w:rsid w:val="009F3A17"/>
    <w:rsid w:val="009F5BBE"/>
    <w:rsid w:val="009F6B5F"/>
    <w:rsid w:val="009F6B60"/>
    <w:rsid w:val="009F73B2"/>
    <w:rsid w:val="00A008CE"/>
    <w:rsid w:val="00A03C9C"/>
    <w:rsid w:val="00A04358"/>
    <w:rsid w:val="00A049FF"/>
    <w:rsid w:val="00A04E7E"/>
    <w:rsid w:val="00A05B27"/>
    <w:rsid w:val="00A05F4D"/>
    <w:rsid w:val="00A05FDE"/>
    <w:rsid w:val="00A06332"/>
    <w:rsid w:val="00A11A71"/>
    <w:rsid w:val="00A11C1F"/>
    <w:rsid w:val="00A12282"/>
    <w:rsid w:val="00A12338"/>
    <w:rsid w:val="00A13323"/>
    <w:rsid w:val="00A13B84"/>
    <w:rsid w:val="00A1427D"/>
    <w:rsid w:val="00A1451D"/>
    <w:rsid w:val="00A14970"/>
    <w:rsid w:val="00A14E7D"/>
    <w:rsid w:val="00A14ED0"/>
    <w:rsid w:val="00A1540E"/>
    <w:rsid w:val="00A1616D"/>
    <w:rsid w:val="00A16B21"/>
    <w:rsid w:val="00A16C2C"/>
    <w:rsid w:val="00A16DC0"/>
    <w:rsid w:val="00A174A8"/>
    <w:rsid w:val="00A20A1A"/>
    <w:rsid w:val="00A20EF4"/>
    <w:rsid w:val="00A21A51"/>
    <w:rsid w:val="00A21D5D"/>
    <w:rsid w:val="00A22463"/>
    <w:rsid w:val="00A248AA"/>
    <w:rsid w:val="00A24952"/>
    <w:rsid w:val="00A24A2C"/>
    <w:rsid w:val="00A2533B"/>
    <w:rsid w:val="00A2579F"/>
    <w:rsid w:val="00A26482"/>
    <w:rsid w:val="00A264E1"/>
    <w:rsid w:val="00A267D7"/>
    <w:rsid w:val="00A27160"/>
    <w:rsid w:val="00A278F3"/>
    <w:rsid w:val="00A27C21"/>
    <w:rsid w:val="00A27E16"/>
    <w:rsid w:val="00A30569"/>
    <w:rsid w:val="00A30B03"/>
    <w:rsid w:val="00A30BF2"/>
    <w:rsid w:val="00A30CF0"/>
    <w:rsid w:val="00A31429"/>
    <w:rsid w:val="00A32D15"/>
    <w:rsid w:val="00A33628"/>
    <w:rsid w:val="00A35A85"/>
    <w:rsid w:val="00A37C0A"/>
    <w:rsid w:val="00A40DF5"/>
    <w:rsid w:val="00A45144"/>
    <w:rsid w:val="00A460CD"/>
    <w:rsid w:val="00A50AA8"/>
    <w:rsid w:val="00A50B4A"/>
    <w:rsid w:val="00A51BA2"/>
    <w:rsid w:val="00A51CA7"/>
    <w:rsid w:val="00A5213B"/>
    <w:rsid w:val="00A53292"/>
    <w:rsid w:val="00A53A03"/>
    <w:rsid w:val="00A5457C"/>
    <w:rsid w:val="00A55437"/>
    <w:rsid w:val="00A55441"/>
    <w:rsid w:val="00A562ED"/>
    <w:rsid w:val="00A56853"/>
    <w:rsid w:val="00A5697D"/>
    <w:rsid w:val="00A56DDF"/>
    <w:rsid w:val="00A57B5A"/>
    <w:rsid w:val="00A60009"/>
    <w:rsid w:val="00A622F3"/>
    <w:rsid w:val="00A62541"/>
    <w:rsid w:val="00A63229"/>
    <w:rsid w:val="00A63260"/>
    <w:rsid w:val="00A63991"/>
    <w:rsid w:val="00A63BC5"/>
    <w:rsid w:val="00A64C51"/>
    <w:rsid w:val="00A66D27"/>
    <w:rsid w:val="00A67845"/>
    <w:rsid w:val="00A6788E"/>
    <w:rsid w:val="00A71789"/>
    <w:rsid w:val="00A71CE2"/>
    <w:rsid w:val="00A72F22"/>
    <w:rsid w:val="00A72F4D"/>
    <w:rsid w:val="00A73927"/>
    <w:rsid w:val="00A74063"/>
    <w:rsid w:val="00A748A6"/>
    <w:rsid w:val="00A7498D"/>
    <w:rsid w:val="00A74ECA"/>
    <w:rsid w:val="00A750CC"/>
    <w:rsid w:val="00A75CF8"/>
    <w:rsid w:val="00A764C1"/>
    <w:rsid w:val="00A77A1C"/>
    <w:rsid w:val="00A805EB"/>
    <w:rsid w:val="00A82BB2"/>
    <w:rsid w:val="00A8307B"/>
    <w:rsid w:val="00A830B4"/>
    <w:rsid w:val="00A849CC"/>
    <w:rsid w:val="00A852D2"/>
    <w:rsid w:val="00A854F1"/>
    <w:rsid w:val="00A85F44"/>
    <w:rsid w:val="00A86238"/>
    <w:rsid w:val="00A86D37"/>
    <w:rsid w:val="00A878BE"/>
    <w:rsid w:val="00A879A4"/>
    <w:rsid w:val="00A87DA0"/>
    <w:rsid w:val="00A87FF5"/>
    <w:rsid w:val="00A90075"/>
    <w:rsid w:val="00A91146"/>
    <w:rsid w:val="00A939BF"/>
    <w:rsid w:val="00A93A15"/>
    <w:rsid w:val="00A949C4"/>
    <w:rsid w:val="00A94DEC"/>
    <w:rsid w:val="00A966F4"/>
    <w:rsid w:val="00A96D2F"/>
    <w:rsid w:val="00A96E00"/>
    <w:rsid w:val="00A96FB6"/>
    <w:rsid w:val="00A97A23"/>
    <w:rsid w:val="00AA05C4"/>
    <w:rsid w:val="00AA23A4"/>
    <w:rsid w:val="00AA24CC"/>
    <w:rsid w:val="00AA252F"/>
    <w:rsid w:val="00AA3C99"/>
    <w:rsid w:val="00AA5917"/>
    <w:rsid w:val="00AA5EF3"/>
    <w:rsid w:val="00AA686A"/>
    <w:rsid w:val="00AA6D8E"/>
    <w:rsid w:val="00AA7BCA"/>
    <w:rsid w:val="00AB01B7"/>
    <w:rsid w:val="00AB0D9F"/>
    <w:rsid w:val="00AB1574"/>
    <w:rsid w:val="00AB42E1"/>
    <w:rsid w:val="00AB5057"/>
    <w:rsid w:val="00AB5D6E"/>
    <w:rsid w:val="00AB5FF8"/>
    <w:rsid w:val="00AB71B5"/>
    <w:rsid w:val="00AC0759"/>
    <w:rsid w:val="00AC1C49"/>
    <w:rsid w:val="00AC1CBF"/>
    <w:rsid w:val="00AC2287"/>
    <w:rsid w:val="00AC2447"/>
    <w:rsid w:val="00AC302B"/>
    <w:rsid w:val="00AC36A7"/>
    <w:rsid w:val="00AC39F4"/>
    <w:rsid w:val="00AC3A83"/>
    <w:rsid w:val="00AC3AA1"/>
    <w:rsid w:val="00AC425F"/>
    <w:rsid w:val="00AC5359"/>
    <w:rsid w:val="00AC53C7"/>
    <w:rsid w:val="00AC5ABC"/>
    <w:rsid w:val="00AC683D"/>
    <w:rsid w:val="00AC7BA7"/>
    <w:rsid w:val="00AD0EE2"/>
    <w:rsid w:val="00AD0FC7"/>
    <w:rsid w:val="00AD201C"/>
    <w:rsid w:val="00AD23A4"/>
    <w:rsid w:val="00AD257C"/>
    <w:rsid w:val="00AD2A82"/>
    <w:rsid w:val="00AD2D71"/>
    <w:rsid w:val="00AD4805"/>
    <w:rsid w:val="00AD4D61"/>
    <w:rsid w:val="00AD5B61"/>
    <w:rsid w:val="00AD7C47"/>
    <w:rsid w:val="00AE1E2D"/>
    <w:rsid w:val="00AE1E62"/>
    <w:rsid w:val="00AE277D"/>
    <w:rsid w:val="00AE30F1"/>
    <w:rsid w:val="00AE466B"/>
    <w:rsid w:val="00AE4EDB"/>
    <w:rsid w:val="00AE52B5"/>
    <w:rsid w:val="00AE59F2"/>
    <w:rsid w:val="00AE5F27"/>
    <w:rsid w:val="00AE60C4"/>
    <w:rsid w:val="00AE6107"/>
    <w:rsid w:val="00AE6AD0"/>
    <w:rsid w:val="00AE6E6E"/>
    <w:rsid w:val="00AE728F"/>
    <w:rsid w:val="00AE752F"/>
    <w:rsid w:val="00AE7C60"/>
    <w:rsid w:val="00AF0693"/>
    <w:rsid w:val="00AF1671"/>
    <w:rsid w:val="00AF209F"/>
    <w:rsid w:val="00AF30D8"/>
    <w:rsid w:val="00AF33E9"/>
    <w:rsid w:val="00AF35B2"/>
    <w:rsid w:val="00AF38CA"/>
    <w:rsid w:val="00AF4799"/>
    <w:rsid w:val="00AF51E4"/>
    <w:rsid w:val="00AF520A"/>
    <w:rsid w:val="00AF5599"/>
    <w:rsid w:val="00AF5B84"/>
    <w:rsid w:val="00B00422"/>
    <w:rsid w:val="00B01D60"/>
    <w:rsid w:val="00B02FF7"/>
    <w:rsid w:val="00B03A91"/>
    <w:rsid w:val="00B03DA2"/>
    <w:rsid w:val="00B055A3"/>
    <w:rsid w:val="00B05B49"/>
    <w:rsid w:val="00B05B51"/>
    <w:rsid w:val="00B0606E"/>
    <w:rsid w:val="00B1088B"/>
    <w:rsid w:val="00B109BD"/>
    <w:rsid w:val="00B114B7"/>
    <w:rsid w:val="00B11AA4"/>
    <w:rsid w:val="00B11B4B"/>
    <w:rsid w:val="00B11B76"/>
    <w:rsid w:val="00B11D31"/>
    <w:rsid w:val="00B123EE"/>
    <w:rsid w:val="00B13096"/>
    <w:rsid w:val="00B13694"/>
    <w:rsid w:val="00B1474F"/>
    <w:rsid w:val="00B14904"/>
    <w:rsid w:val="00B15B2C"/>
    <w:rsid w:val="00B1630D"/>
    <w:rsid w:val="00B16AD0"/>
    <w:rsid w:val="00B17CEC"/>
    <w:rsid w:val="00B2182D"/>
    <w:rsid w:val="00B22A5E"/>
    <w:rsid w:val="00B23043"/>
    <w:rsid w:val="00B231A1"/>
    <w:rsid w:val="00B23E6D"/>
    <w:rsid w:val="00B25217"/>
    <w:rsid w:val="00B26EBE"/>
    <w:rsid w:val="00B26F71"/>
    <w:rsid w:val="00B27728"/>
    <w:rsid w:val="00B30179"/>
    <w:rsid w:val="00B31ED9"/>
    <w:rsid w:val="00B3228C"/>
    <w:rsid w:val="00B32BED"/>
    <w:rsid w:val="00B334FD"/>
    <w:rsid w:val="00B33D93"/>
    <w:rsid w:val="00B33EC0"/>
    <w:rsid w:val="00B34F84"/>
    <w:rsid w:val="00B34FB8"/>
    <w:rsid w:val="00B354CC"/>
    <w:rsid w:val="00B356B8"/>
    <w:rsid w:val="00B358FD"/>
    <w:rsid w:val="00B36282"/>
    <w:rsid w:val="00B373DB"/>
    <w:rsid w:val="00B374EF"/>
    <w:rsid w:val="00B37626"/>
    <w:rsid w:val="00B37A59"/>
    <w:rsid w:val="00B37B66"/>
    <w:rsid w:val="00B37D68"/>
    <w:rsid w:val="00B41C48"/>
    <w:rsid w:val="00B420FA"/>
    <w:rsid w:val="00B42421"/>
    <w:rsid w:val="00B42AAC"/>
    <w:rsid w:val="00B4306D"/>
    <w:rsid w:val="00B43C1D"/>
    <w:rsid w:val="00B444FB"/>
    <w:rsid w:val="00B453E3"/>
    <w:rsid w:val="00B459EB"/>
    <w:rsid w:val="00B46050"/>
    <w:rsid w:val="00B47034"/>
    <w:rsid w:val="00B47AC1"/>
    <w:rsid w:val="00B50F1A"/>
    <w:rsid w:val="00B526C0"/>
    <w:rsid w:val="00B52889"/>
    <w:rsid w:val="00B52A3E"/>
    <w:rsid w:val="00B5388E"/>
    <w:rsid w:val="00B5394A"/>
    <w:rsid w:val="00B53A16"/>
    <w:rsid w:val="00B54D7F"/>
    <w:rsid w:val="00B56644"/>
    <w:rsid w:val="00B567BF"/>
    <w:rsid w:val="00B567C0"/>
    <w:rsid w:val="00B56AF4"/>
    <w:rsid w:val="00B56BC9"/>
    <w:rsid w:val="00B57152"/>
    <w:rsid w:val="00B57536"/>
    <w:rsid w:val="00B6092F"/>
    <w:rsid w:val="00B60F55"/>
    <w:rsid w:val="00B61CC3"/>
    <w:rsid w:val="00B629A5"/>
    <w:rsid w:val="00B630AA"/>
    <w:rsid w:val="00B638A5"/>
    <w:rsid w:val="00B63B7C"/>
    <w:rsid w:val="00B63E6A"/>
    <w:rsid w:val="00B6419C"/>
    <w:rsid w:val="00B64249"/>
    <w:rsid w:val="00B6505E"/>
    <w:rsid w:val="00B655F2"/>
    <w:rsid w:val="00B6571F"/>
    <w:rsid w:val="00B65CED"/>
    <w:rsid w:val="00B66DE8"/>
    <w:rsid w:val="00B67187"/>
    <w:rsid w:val="00B67ABE"/>
    <w:rsid w:val="00B67CB3"/>
    <w:rsid w:val="00B712CD"/>
    <w:rsid w:val="00B71340"/>
    <w:rsid w:val="00B71985"/>
    <w:rsid w:val="00B72447"/>
    <w:rsid w:val="00B72E78"/>
    <w:rsid w:val="00B73367"/>
    <w:rsid w:val="00B73936"/>
    <w:rsid w:val="00B7457B"/>
    <w:rsid w:val="00B748C9"/>
    <w:rsid w:val="00B74A20"/>
    <w:rsid w:val="00B74B92"/>
    <w:rsid w:val="00B774A0"/>
    <w:rsid w:val="00B8059D"/>
    <w:rsid w:val="00B80982"/>
    <w:rsid w:val="00B80B14"/>
    <w:rsid w:val="00B81183"/>
    <w:rsid w:val="00B816A5"/>
    <w:rsid w:val="00B81E12"/>
    <w:rsid w:val="00B8252C"/>
    <w:rsid w:val="00B8300F"/>
    <w:rsid w:val="00B83EA9"/>
    <w:rsid w:val="00B8421F"/>
    <w:rsid w:val="00B845F2"/>
    <w:rsid w:val="00B84681"/>
    <w:rsid w:val="00B854D7"/>
    <w:rsid w:val="00B864C6"/>
    <w:rsid w:val="00B87EC3"/>
    <w:rsid w:val="00B90314"/>
    <w:rsid w:val="00B912F5"/>
    <w:rsid w:val="00B91C2E"/>
    <w:rsid w:val="00B91D48"/>
    <w:rsid w:val="00B95268"/>
    <w:rsid w:val="00B955CE"/>
    <w:rsid w:val="00B95B80"/>
    <w:rsid w:val="00B95E32"/>
    <w:rsid w:val="00B96082"/>
    <w:rsid w:val="00B9689A"/>
    <w:rsid w:val="00B970B8"/>
    <w:rsid w:val="00B97225"/>
    <w:rsid w:val="00BA0C15"/>
    <w:rsid w:val="00BA0EA4"/>
    <w:rsid w:val="00BA2174"/>
    <w:rsid w:val="00BA39DA"/>
    <w:rsid w:val="00BA4379"/>
    <w:rsid w:val="00BA46C3"/>
    <w:rsid w:val="00BA4736"/>
    <w:rsid w:val="00BA5660"/>
    <w:rsid w:val="00BA5D94"/>
    <w:rsid w:val="00BA6971"/>
    <w:rsid w:val="00BA6AB8"/>
    <w:rsid w:val="00BA714A"/>
    <w:rsid w:val="00BA7D5A"/>
    <w:rsid w:val="00BB119E"/>
    <w:rsid w:val="00BB11D8"/>
    <w:rsid w:val="00BB221E"/>
    <w:rsid w:val="00BB2543"/>
    <w:rsid w:val="00BB2914"/>
    <w:rsid w:val="00BB2D83"/>
    <w:rsid w:val="00BB4E92"/>
    <w:rsid w:val="00BB5656"/>
    <w:rsid w:val="00BB664D"/>
    <w:rsid w:val="00BB692B"/>
    <w:rsid w:val="00BB6E52"/>
    <w:rsid w:val="00BB6F01"/>
    <w:rsid w:val="00BB70B8"/>
    <w:rsid w:val="00BC1700"/>
    <w:rsid w:val="00BC34D6"/>
    <w:rsid w:val="00BC4349"/>
    <w:rsid w:val="00BC4D46"/>
    <w:rsid w:val="00BC4D5E"/>
    <w:rsid w:val="00BC5DEC"/>
    <w:rsid w:val="00BC60D1"/>
    <w:rsid w:val="00BC60FF"/>
    <w:rsid w:val="00BC74E9"/>
    <w:rsid w:val="00BC75C0"/>
    <w:rsid w:val="00BD0BB7"/>
    <w:rsid w:val="00BD14E2"/>
    <w:rsid w:val="00BD1515"/>
    <w:rsid w:val="00BD1ACD"/>
    <w:rsid w:val="00BD1B64"/>
    <w:rsid w:val="00BD2146"/>
    <w:rsid w:val="00BD21BF"/>
    <w:rsid w:val="00BD2748"/>
    <w:rsid w:val="00BD2D6F"/>
    <w:rsid w:val="00BD3A7D"/>
    <w:rsid w:val="00BD3B1C"/>
    <w:rsid w:val="00BD4BEA"/>
    <w:rsid w:val="00BD4EDF"/>
    <w:rsid w:val="00BD63AC"/>
    <w:rsid w:val="00BD747D"/>
    <w:rsid w:val="00BD7C7B"/>
    <w:rsid w:val="00BD7CBB"/>
    <w:rsid w:val="00BE0AE3"/>
    <w:rsid w:val="00BE0F14"/>
    <w:rsid w:val="00BE19F8"/>
    <w:rsid w:val="00BE2390"/>
    <w:rsid w:val="00BE3001"/>
    <w:rsid w:val="00BE4462"/>
    <w:rsid w:val="00BE4F74"/>
    <w:rsid w:val="00BE618E"/>
    <w:rsid w:val="00BE73ED"/>
    <w:rsid w:val="00BE7982"/>
    <w:rsid w:val="00BE7E42"/>
    <w:rsid w:val="00BF0631"/>
    <w:rsid w:val="00BF0E23"/>
    <w:rsid w:val="00BF1466"/>
    <w:rsid w:val="00BF37AA"/>
    <w:rsid w:val="00BF41DD"/>
    <w:rsid w:val="00BF49BD"/>
    <w:rsid w:val="00BF548D"/>
    <w:rsid w:val="00BF559F"/>
    <w:rsid w:val="00C01440"/>
    <w:rsid w:val="00C0185A"/>
    <w:rsid w:val="00C0199D"/>
    <w:rsid w:val="00C0225E"/>
    <w:rsid w:val="00C03542"/>
    <w:rsid w:val="00C036E0"/>
    <w:rsid w:val="00C04153"/>
    <w:rsid w:val="00C0451A"/>
    <w:rsid w:val="00C04C7D"/>
    <w:rsid w:val="00C04EFB"/>
    <w:rsid w:val="00C05999"/>
    <w:rsid w:val="00C059D6"/>
    <w:rsid w:val="00C05DD2"/>
    <w:rsid w:val="00C06628"/>
    <w:rsid w:val="00C0670C"/>
    <w:rsid w:val="00C07276"/>
    <w:rsid w:val="00C10E48"/>
    <w:rsid w:val="00C113F4"/>
    <w:rsid w:val="00C12347"/>
    <w:rsid w:val="00C129B8"/>
    <w:rsid w:val="00C12C7C"/>
    <w:rsid w:val="00C13A33"/>
    <w:rsid w:val="00C13AEF"/>
    <w:rsid w:val="00C143B4"/>
    <w:rsid w:val="00C14737"/>
    <w:rsid w:val="00C14D26"/>
    <w:rsid w:val="00C15AEC"/>
    <w:rsid w:val="00C1613C"/>
    <w:rsid w:val="00C16D56"/>
    <w:rsid w:val="00C172A8"/>
    <w:rsid w:val="00C17699"/>
    <w:rsid w:val="00C20CE6"/>
    <w:rsid w:val="00C2138C"/>
    <w:rsid w:val="00C21B08"/>
    <w:rsid w:val="00C2346D"/>
    <w:rsid w:val="00C234AF"/>
    <w:rsid w:val="00C24A7D"/>
    <w:rsid w:val="00C260FE"/>
    <w:rsid w:val="00C26146"/>
    <w:rsid w:val="00C2626D"/>
    <w:rsid w:val="00C27434"/>
    <w:rsid w:val="00C27822"/>
    <w:rsid w:val="00C27F1E"/>
    <w:rsid w:val="00C309A6"/>
    <w:rsid w:val="00C3120B"/>
    <w:rsid w:val="00C3184B"/>
    <w:rsid w:val="00C31B61"/>
    <w:rsid w:val="00C325B7"/>
    <w:rsid w:val="00C32A91"/>
    <w:rsid w:val="00C33D34"/>
    <w:rsid w:val="00C34A4C"/>
    <w:rsid w:val="00C34CA3"/>
    <w:rsid w:val="00C3691B"/>
    <w:rsid w:val="00C36CBD"/>
    <w:rsid w:val="00C37CE0"/>
    <w:rsid w:val="00C40740"/>
    <w:rsid w:val="00C407EE"/>
    <w:rsid w:val="00C40C26"/>
    <w:rsid w:val="00C41189"/>
    <w:rsid w:val="00C41327"/>
    <w:rsid w:val="00C41335"/>
    <w:rsid w:val="00C416E5"/>
    <w:rsid w:val="00C41A28"/>
    <w:rsid w:val="00C440F9"/>
    <w:rsid w:val="00C4424E"/>
    <w:rsid w:val="00C4494C"/>
    <w:rsid w:val="00C45639"/>
    <w:rsid w:val="00C463DD"/>
    <w:rsid w:val="00C46B8B"/>
    <w:rsid w:val="00C4764F"/>
    <w:rsid w:val="00C5010C"/>
    <w:rsid w:val="00C50A7B"/>
    <w:rsid w:val="00C5152D"/>
    <w:rsid w:val="00C5192B"/>
    <w:rsid w:val="00C5285E"/>
    <w:rsid w:val="00C52ECE"/>
    <w:rsid w:val="00C5334C"/>
    <w:rsid w:val="00C5378D"/>
    <w:rsid w:val="00C53F8A"/>
    <w:rsid w:val="00C56738"/>
    <w:rsid w:val="00C567A1"/>
    <w:rsid w:val="00C57704"/>
    <w:rsid w:val="00C577DE"/>
    <w:rsid w:val="00C579DC"/>
    <w:rsid w:val="00C603B9"/>
    <w:rsid w:val="00C609E3"/>
    <w:rsid w:val="00C61374"/>
    <w:rsid w:val="00C619CD"/>
    <w:rsid w:val="00C62878"/>
    <w:rsid w:val="00C63FA6"/>
    <w:rsid w:val="00C645B7"/>
    <w:rsid w:val="00C6567A"/>
    <w:rsid w:val="00C65812"/>
    <w:rsid w:val="00C660E4"/>
    <w:rsid w:val="00C67661"/>
    <w:rsid w:val="00C70B5E"/>
    <w:rsid w:val="00C70D56"/>
    <w:rsid w:val="00C710A6"/>
    <w:rsid w:val="00C717ED"/>
    <w:rsid w:val="00C71FD3"/>
    <w:rsid w:val="00C7369C"/>
    <w:rsid w:val="00C73C64"/>
    <w:rsid w:val="00C745C3"/>
    <w:rsid w:val="00C74C91"/>
    <w:rsid w:val="00C755F8"/>
    <w:rsid w:val="00C756ED"/>
    <w:rsid w:val="00C75AEC"/>
    <w:rsid w:val="00C75EBE"/>
    <w:rsid w:val="00C7644A"/>
    <w:rsid w:val="00C764FE"/>
    <w:rsid w:val="00C7752F"/>
    <w:rsid w:val="00C7757F"/>
    <w:rsid w:val="00C77C40"/>
    <w:rsid w:val="00C81A02"/>
    <w:rsid w:val="00C81CFA"/>
    <w:rsid w:val="00C825EB"/>
    <w:rsid w:val="00C826B7"/>
    <w:rsid w:val="00C83696"/>
    <w:rsid w:val="00C83E93"/>
    <w:rsid w:val="00C8436C"/>
    <w:rsid w:val="00C8515A"/>
    <w:rsid w:val="00C8585C"/>
    <w:rsid w:val="00C85AFF"/>
    <w:rsid w:val="00C90AC5"/>
    <w:rsid w:val="00C92F94"/>
    <w:rsid w:val="00C93E98"/>
    <w:rsid w:val="00C94465"/>
    <w:rsid w:val="00C9465C"/>
    <w:rsid w:val="00C949C4"/>
    <w:rsid w:val="00C94A03"/>
    <w:rsid w:val="00C95739"/>
    <w:rsid w:val="00C95A41"/>
    <w:rsid w:val="00C95C7F"/>
    <w:rsid w:val="00C9627A"/>
    <w:rsid w:val="00C9787A"/>
    <w:rsid w:val="00CA075E"/>
    <w:rsid w:val="00CA138E"/>
    <w:rsid w:val="00CA1606"/>
    <w:rsid w:val="00CA1A87"/>
    <w:rsid w:val="00CA1CB0"/>
    <w:rsid w:val="00CA25B7"/>
    <w:rsid w:val="00CA261B"/>
    <w:rsid w:val="00CA27AE"/>
    <w:rsid w:val="00CA2FD4"/>
    <w:rsid w:val="00CA38A1"/>
    <w:rsid w:val="00CA470B"/>
    <w:rsid w:val="00CA4B0E"/>
    <w:rsid w:val="00CA5B67"/>
    <w:rsid w:val="00CA5CEB"/>
    <w:rsid w:val="00CA606A"/>
    <w:rsid w:val="00CA69F2"/>
    <w:rsid w:val="00CA749B"/>
    <w:rsid w:val="00CA77B2"/>
    <w:rsid w:val="00CA7A5F"/>
    <w:rsid w:val="00CB039C"/>
    <w:rsid w:val="00CB0748"/>
    <w:rsid w:val="00CB08DB"/>
    <w:rsid w:val="00CB0A55"/>
    <w:rsid w:val="00CB1BBF"/>
    <w:rsid w:val="00CB1BDD"/>
    <w:rsid w:val="00CB1DE8"/>
    <w:rsid w:val="00CB3050"/>
    <w:rsid w:val="00CB3C2E"/>
    <w:rsid w:val="00CB3CAA"/>
    <w:rsid w:val="00CB508F"/>
    <w:rsid w:val="00CB575B"/>
    <w:rsid w:val="00CB74AC"/>
    <w:rsid w:val="00CB7A85"/>
    <w:rsid w:val="00CC010A"/>
    <w:rsid w:val="00CC0774"/>
    <w:rsid w:val="00CC15B5"/>
    <w:rsid w:val="00CC176D"/>
    <w:rsid w:val="00CC1959"/>
    <w:rsid w:val="00CC3435"/>
    <w:rsid w:val="00CC3AF8"/>
    <w:rsid w:val="00CC43E8"/>
    <w:rsid w:val="00CC43FD"/>
    <w:rsid w:val="00CC515F"/>
    <w:rsid w:val="00CC6323"/>
    <w:rsid w:val="00CC6C8A"/>
    <w:rsid w:val="00CC7C4C"/>
    <w:rsid w:val="00CD0265"/>
    <w:rsid w:val="00CD03B4"/>
    <w:rsid w:val="00CD1551"/>
    <w:rsid w:val="00CD1709"/>
    <w:rsid w:val="00CD1C1A"/>
    <w:rsid w:val="00CD25DB"/>
    <w:rsid w:val="00CD2617"/>
    <w:rsid w:val="00CD3210"/>
    <w:rsid w:val="00CD33BD"/>
    <w:rsid w:val="00CD3427"/>
    <w:rsid w:val="00CD433E"/>
    <w:rsid w:val="00CD455E"/>
    <w:rsid w:val="00CD61EB"/>
    <w:rsid w:val="00CD64C5"/>
    <w:rsid w:val="00CD68BA"/>
    <w:rsid w:val="00CE097F"/>
    <w:rsid w:val="00CE0D48"/>
    <w:rsid w:val="00CE0E00"/>
    <w:rsid w:val="00CE0F64"/>
    <w:rsid w:val="00CE0F6D"/>
    <w:rsid w:val="00CE10D9"/>
    <w:rsid w:val="00CE142D"/>
    <w:rsid w:val="00CE22EA"/>
    <w:rsid w:val="00CE2463"/>
    <w:rsid w:val="00CE2732"/>
    <w:rsid w:val="00CE2BC5"/>
    <w:rsid w:val="00CE3368"/>
    <w:rsid w:val="00CE459A"/>
    <w:rsid w:val="00CE4A8F"/>
    <w:rsid w:val="00CE5878"/>
    <w:rsid w:val="00CE6E1B"/>
    <w:rsid w:val="00CE6F70"/>
    <w:rsid w:val="00CE79F6"/>
    <w:rsid w:val="00CF06CB"/>
    <w:rsid w:val="00CF1156"/>
    <w:rsid w:val="00CF1B91"/>
    <w:rsid w:val="00CF1F73"/>
    <w:rsid w:val="00CF229E"/>
    <w:rsid w:val="00CF24ED"/>
    <w:rsid w:val="00CF30E8"/>
    <w:rsid w:val="00CF353C"/>
    <w:rsid w:val="00CF41EA"/>
    <w:rsid w:val="00CF5A3A"/>
    <w:rsid w:val="00CF5B31"/>
    <w:rsid w:val="00CF5B7A"/>
    <w:rsid w:val="00CF621D"/>
    <w:rsid w:val="00CF69C2"/>
    <w:rsid w:val="00CF6B8D"/>
    <w:rsid w:val="00CF7174"/>
    <w:rsid w:val="00CF784B"/>
    <w:rsid w:val="00CF7F48"/>
    <w:rsid w:val="00D00622"/>
    <w:rsid w:val="00D0087F"/>
    <w:rsid w:val="00D0099B"/>
    <w:rsid w:val="00D01403"/>
    <w:rsid w:val="00D01ADC"/>
    <w:rsid w:val="00D02166"/>
    <w:rsid w:val="00D02762"/>
    <w:rsid w:val="00D03CE2"/>
    <w:rsid w:val="00D04235"/>
    <w:rsid w:val="00D0729D"/>
    <w:rsid w:val="00D079E6"/>
    <w:rsid w:val="00D118F1"/>
    <w:rsid w:val="00D12966"/>
    <w:rsid w:val="00D13318"/>
    <w:rsid w:val="00D1553E"/>
    <w:rsid w:val="00D161D8"/>
    <w:rsid w:val="00D16357"/>
    <w:rsid w:val="00D17005"/>
    <w:rsid w:val="00D17803"/>
    <w:rsid w:val="00D2031B"/>
    <w:rsid w:val="00D20FEE"/>
    <w:rsid w:val="00D21DD5"/>
    <w:rsid w:val="00D222E2"/>
    <w:rsid w:val="00D22506"/>
    <w:rsid w:val="00D228C0"/>
    <w:rsid w:val="00D23B41"/>
    <w:rsid w:val="00D23D71"/>
    <w:rsid w:val="00D25139"/>
    <w:rsid w:val="00D25F0B"/>
    <w:rsid w:val="00D25FE2"/>
    <w:rsid w:val="00D26789"/>
    <w:rsid w:val="00D27527"/>
    <w:rsid w:val="00D2776F"/>
    <w:rsid w:val="00D27ED8"/>
    <w:rsid w:val="00D3070E"/>
    <w:rsid w:val="00D30C58"/>
    <w:rsid w:val="00D30CCF"/>
    <w:rsid w:val="00D3141C"/>
    <w:rsid w:val="00D317BB"/>
    <w:rsid w:val="00D3202F"/>
    <w:rsid w:val="00D32502"/>
    <w:rsid w:val="00D32B1B"/>
    <w:rsid w:val="00D33063"/>
    <w:rsid w:val="00D330B8"/>
    <w:rsid w:val="00D3317E"/>
    <w:rsid w:val="00D3319A"/>
    <w:rsid w:val="00D3344B"/>
    <w:rsid w:val="00D33B98"/>
    <w:rsid w:val="00D343D3"/>
    <w:rsid w:val="00D3468A"/>
    <w:rsid w:val="00D34728"/>
    <w:rsid w:val="00D34FBB"/>
    <w:rsid w:val="00D35071"/>
    <w:rsid w:val="00D359FA"/>
    <w:rsid w:val="00D35D6F"/>
    <w:rsid w:val="00D36665"/>
    <w:rsid w:val="00D37E26"/>
    <w:rsid w:val="00D4137D"/>
    <w:rsid w:val="00D41990"/>
    <w:rsid w:val="00D41FEB"/>
    <w:rsid w:val="00D42198"/>
    <w:rsid w:val="00D42684"/>
    <w:rsid w:val="00D43252"/>
    <w:rsid w:val="00D432F3"/>
    <w:rsid w:val="00D4351A"/>
    <w:rsid w:val="00D44D36"/>
    <w:rsid w:val="00D44EAE"/>
    <w:rsid w:val="00D4609C"/>
    <w:rsid w:val="00D462D3"/>
    <w:rsid w:val="00D46947"/>
    <w:rsid w:val="00D470C3"/>
    <w:rsid w:val="00D47B29"/>
    <w:rsid w:val="00D50371"/>
    <w:rsid w:val="00D510C8"/>
    <w:rsid w:val="00D51587"/>
    <w:rsid w:val="00D515DB"/>
    <w:rsid w:val="00D52777"/>
    <w:rsid w:val="00D53BDE"/>
    <w:rsid w:val="00D53C29"/>
    <w:rsid w:val="00D55BD6"/>
    <w:rsid w:val="00D56696"/>
    <w:rsid w:val="00D56868"/>
    <w:rsid w:val="00D56BB2"/>
    <w:rsid w:val="00D57FDE"/>
    <w:rsid w:val="00D60168"/>
    <w:rsid w:val="00D60B57"/>
    <w:rsid w:val="00D62015"/>
    <w:rsid w:val="00D6203B"/>
    <w:rsid w:val="00D63232"/>
    <w:rsid w:val="00D63430"/>
    <w:rsid w:val="00D636D2"/>
    <w:rsid w:val="00D64415"/>
    <w:rsid w:val="00D657FD"/>
    <w:rsid w:val="00D66CAB"/>
    <w:rsid w:val="00D67675"/>
    <w:rsid w:val="00D700E0"/>
    <w:rsid w:val="00D701AF"/>
    <w:rsid w:val="00D701DA"/>
    <w:rsid w:val="00D703A3"/>
    <w:rsid w:val="00D70A16"/>
    <w:rsid w:val="00D7124C"/>
    <w:rsid w:val="00D719D2"/>
    <w:rsid w:val="00D71C2B"/>
    <w:rsid w:val="00D7476B"/>
    <w:rsid w:val="00D74C0E"/>
    <w:rsid w:val="00D75864"/>
    <w:rsid w:val="00D768FB"/>
    <w:rsid w:val="00D8004E"/>
    <w:rsid w:val="00D8025B"/>
    <w:rsid w:val="00D8161F"/>
    <w:rsid w:val="00D822C3"/>
    <w:rsid w:val="00D830E3"/>
    <w:rsid w:val="00D83402"/>
    <w:rsid w:val="00D83412"/>
    <w:rsid w:val="00D8520F"/>
    <w:rsid w:val="00D85317"/>
    <w:rsid w:val="00D8668D"/>
    <w:rsid w:val="00D86D6D"/>
    <w:rsid w:val="00D8703E"/>
    <w:rsid w:val="00D87150"/>
    <w:rsid w:val="00D877F7"/>
    <w:rsid w:val="00D87AA8"/>
    <w:rsid w:val="00D87E7B"/>
    <w:rsid w:val="00D9009F"/>
    <w:rsid w:val="00D90BBE"/>
    <w:rsid w:val="00D924D8"/>
    <w:rsid w:val="00D925E5"/>
    <w:rsid w:val="00D93506"/>
    <w:rsid w:val="00D957A0"/>
    <w:rsid w:val="00D95A67"/>
    <w:rsid w:val="00D96143"/>
    <w:rsid w:val="00D969F6"/>
    <w:rsid w:val="00D9716E"/>
    <w:rsid w:val="00D9744A"/>
    <w:rsid w:val="00D978C6"/>
    <w:rsid w:val="00D978F3"/>
    <w:rsid w:val="00D97D1C"/>
    <w:rsid w:val="00DA0136"/>
    <w:rsid w:val="00DA05BA"/>
    <w:rsid w:val="00DA0AE3"/>
    <w:rsid w:val="00DA162D"/>
    <w:rsid w:val="00DA2039"/>
    <w:rsid w:val="00DA28D2"/>
    <w:rsid w:val="00DA2BC9"/>
    <w:rsid w:val="00DA2DEE"/>
    <w:rsid w:val="00DA3AEC"/>
    <w:rsid w:val="00DA460C"/>
    <w:rsid w:val="00DA62A5"/>
    <w:rsid w:val="00DA67AD"/>
    <w:rsid w:val="00DA6901"/>
    <w:rsid w:val="00DA741C"/>
    <w:rsid w:val="00DB209B"/>
    <w:rsid w:val="00DB2A09"/>
    <w:rsid w:val="00DB3038"/>
    <w:rsid w:val="00DB338F"/>
    <w:rsid w:val="00DB4928"/>
    <w:rsid w:val="00DB501B"/>
    <w:rsid w:val="00DB5D0F"/>
    <w:rsid w:val="00DB70DB"/>
    <w:rsid w:val="00DB70DF"/>
    <w:rsid w:val="00DB7925"/>
    <w:rsid w:val="00DB7963"/>
    <w:rsid w:val="00DC069C"/>
    <w:rsid w:val="00DC0946"/>
    <w:rsid w:val="00DC0AB9"/>
    <w:rsid w:val="00DC1A84"/>
    <w:rsid w:val="00DC1FA3"/>
    <w:rsid w:val="00DC27B5"/>
    <w:rsid w:val="00DC2C31"/>
    <w:rsid w:val="00DC3242"/>
    <w:rsid w:val="00DC3B59"/>
    <w:rsid w:val="00DC3BDF"/>
    <w:rsid w:val="00DC4AC2"/>
    <w:rsid w:val="00DC4B1E"/>
    <w:rsid w:val="00DC6510"/>
    <w:rsid w:val="00DC69A4"/>
    <w:rsid w:val="00DC6BEB"/>
    <w:rsid w:val="00DC6D81"/>
    <w:rsid w:val="00DC6DF1"/>
    <w:rsid w:val="00DC762A"/>
    <w:rsid w:val="00DC78E1"/>
    <w:rsid w:val="00DC7B11"/>
    <w:rsid w:val="00DD020F"/>
    <w:rsid w:val="00DD078D"/>
    <w:rsid w:val="00DD2128"/>
    <w:rsid w:val="00DD2768"/>
    <w:rsid w:val="00DD3B4A"/>
    <w:rsid w:val="00DD4269"/>
    <w:rsid w:val="00DD49A9"/>
    <w:rsid w:val="00DD49F8"/>
    <w:rsid w:val="00DD4BEF"/>
    <w:rsid w:val="00DD55EC"/>
    <w:rsid w:val="00DD5C2F"/>
    <w:rsid w:val="00DD67D8"/>
    <w:rsid w:val="00DD7517"/>
    <w:rsid w:val="00DE0100"/>
    <w:rsid w:val="00DE04CE"/>
    <w:rsid w:val="00DE05F4"/>
    <w:rsid w:val="00DE2E3F"/>
    <w:rsid w:val="00DE30B4"/>
    <w:rsid w:val="00DE33BE"/>
    <w:rsid w:val="00DE370D"/>
    <w:rsid w:val="00DE3870"/>
    <w:rsid w:val="00DE3A0C"/>
    <w:rsid w:val="00DE3B26"/>
    <w:rsid w:val="00DE415E"/>
    <w:rsid w:val="00DE42A7"/>
    <w:rsid w:val="00DE46BB"/>
    <w:rsid w:val="00DE4B7D"/>
    <w:rsid w:val="00DE5AC6"/>
    <w:rsid w:val="00DE5F68"/>
    <w:rsid w:val="00DE6322"/>
    <w:rsid w:val="00DE649A"/>
    <w:rsid w:val="00DE6DAD"/>
    <w:rsid w:val="00DE7779"/>
    <w:rsid w:val="00DE78DA"/>
    <w:rsid w:val="00DE7924"/>
    <w:rsid w:val="00DE7F82"/>
    <w:rsid w:val="00DF0EFD"/>
    <w:rsid w:val="00DF12F7"/>
    <w:rsid w:val="00DF14C3"/>
    <w:rsid w:val="00DF1EDC"/>
    <w:rsid w:val="00DF21B8"/>
    <w:rsid w:val="00DF21B9"/>
    <w:rsid w:val="00DF2955"/>
    <w:rsid w:val="00DF2B73"/>
    <w:rsid w:val="00DF420B"/>
    <w:rsid w:val="00DF540A"/>
    <w:rsid w:val="00DF7264"/>
    <w:rsid w:val="00DF7DEB"/>
    <w:rsid w:val="00E0010A"/>
    <w:rsid w:val="00E00682"/>
    <w:rsid w:val="00E01975"/>
    <w:rsid w:val="00E01E01"/>
    <w:rsid w:val="00E0285B"/>
    <w:rsid w:val="00E02A97"/>
    <w:rsid w:val="00E02C81"/>
    <w:rsid w:val="00E02E18"/>
    <w:rsid w:val="00E04484"/>
    <w:rsid w:val="00E044D8"/>
    <w:rsid w:val="00E0465A"/>
    <w:rsid w:val="00E04809"/>
    <w:rsid w:val="00E056EC"/>
    <w:rsid w:val="00E0636A"/>
    <w:rsid w:val="00E06978"/>
    <w:rsid w:val="00E06FF1"/>
    <w:rsid w:val="00E07641"/>
    <w:rsid w:val="00E11176"/>
    <w:rsid w:val="00E11A51"/>
    <w:rsid w:val="00E125B9"/>
    <w:rsid w:val="00E130AB"/>
    <w:rsid w:val="00E13738"/>
    <w:rsid w:val="00E140FE"/>
    <w:rsid w:val="00E14AC8"/>
    <w:rsid w:val="00E15C5C"/>
    <w:rsid w:val="00E16607"/>
    <w:rsid w:val="00E175E4"/>
    <w:rsid w:val="00E17C35"/>
    <w:rsid w:val="00E201CB"/>
    <w:rsid w:val="00E21BF5"/>
    <w:rsid w:val="00E22F81"/>
    <w:rsid w:val="00E23106"/>
    <w:rsid w:val="00E23862"/>
    <w:rsid w:val="00E25A11"/>
    <w:rsid w:val="00E25EE6"/>
    <w:rsid w:val="00E2667E"/>
    <w:rsid w:val="00E26A58"/>
    <w:rsid w:val="00E270F0"/>
    <w:rsid w:val="00E30980"/>
    <w:rsid w:val="00E32949"/>
    <w:rsid w:val="00E33293"/>
    <w:rsid w:val="00E339EF"/>
    <w:rsid w:val="00E33F64"/>
    <w:rsid w:val="00E34232"/>
    <w:rsid w:val="00E34BE2"/>
    <w:rsid w:val="00E356E0"/>
    <w:rsid w:val="00E357EC"/>
    <w:rsid w:val="00E360FB"/>
    <w:rsid w:val="00E36D1A"/>
    <w:rsid w:val="00E40030"/>
    <w:rsid w:val="00E40560"/>
    <w:rsid w:val="00E405AF"/>
    <w:rsid w:val="00E40862"/>
    <w:rsid w:val="00E40D63"/>
    <w:rsid w:val="00E40F44"/>
    <w:rsid w:val="00E410E2"/>
    <w:rsid w:val="00E412B1"/>
    <w:rsid w:val="00E4169B"/>
    <w:rsid w:val="00E41868"/>
    <w:rsid w:val="00E41B9F"/>
    <w:rsid w:val="00E41C37"/>
    <w:rsid w:val="00E42025"/>
    <w:rsid w:val="00E42212"/>
    <w:rsid w:val="00E42808"/>
    <w:rsid w:val="00E42C3D"/>
    <w:rsid w:val="00E434BC"/>
    <w:rsid w:val="00E45052"/>
    <w:rsid w:val="00E4658C"/>
    <w:rsid w:val="00E465CE"/>
    <w:rsid w:val="00E46C1E"/>
    <w:rsid w:val="00E46EA3"/>
    <w:rsid w:val="00E46FC7"/>
    <w:rsid w:val="00E47071"/>
    <w:rsid w:val="00E470C5"/>
    <w:rsid w:val="00E50872"/>
    <w:rsid w:val="00E50874"/>
    <w:rsid w:val="00E53D5A"/>
    <w:rsid w:val="00E548F1"/>
    <w:rsid w:val="00E54EC5"/>
    <w:rsid w:val="00E55E2B"/>
    <w:rsid w:val="00E5676A"/>
    <w:rsid w:val="00E56E85"/>
    <w:rsid w:val="00E57611"/>
    <w:rsid w:val="00E60339"/>
    <w:rsid w:val="00E6216C"/>
    <w:rsid w:val="00E64E7F"/>
    <w:rsid w:val="00E65CB4"/>
    <w:rsid w:val="00E70820"/>
    <w:rsid w:val="00E7260F"/>
    <w:rsid w:val="00E7286F"/>
    <w:rsid w:val="00E72E45"/>
    <w:rsid w:val="00E73200"/>
    <w:rsid w:val="00E735C6"/>
    <w:rsid w:val="00E74A11"/>
    <w:rsid w:val="00E75220"/>
    <w:rsid w:val="00E75E93"/>
    <w:rsid w:val="00E76D3A"/>
    <w:rsid w:val="00E770B7"/>
    <w:rsid w:val="00E7723A"/>
    <w:rsid w:val="00E7733E"/>
    <w:rsid w:val="00E77BD1"/>
    <w:rsid w:val="00E8135F"/>
    <w:rsid w:val="00E81981"/>
    <w:rsid w:val="00E829B3"/>
    <w:rsid w:val="00E82E8E"/>
    <w:rsid w:val="00E836F4"/>
    <w:rsid w:val="00E83AE9"/>
    <w:rsid w:val="00E84DA9"/>
    <w:rsid w:val="00E85888"/>
    <w:rsid w:val="00E8736B"/>
    <w:rsid w:val="00E87372"/>
    <w:rsid w:val="00E87402"/>
    <w:rsid w:val="00E87921"/>
    <w:rsid w:val="00E879C5"/>
    <w:rsid w:val="00E87AE4"/>
    <w:rsid w:val="00E87CF4"/>
    <w:rsid w:val="00E90D7B"/>
    <w:rsid w:val="00E917A6"/>
    <w:rsid w:val="00E92155"/>
    <w:rsid w:val="00E92815"/>
    <w:rsid w:val="00E92D02"/>
    <w:rsid w:val="00E92EF5"/>
    <w:rsid w:val="00E94BBE"/>
    <w:rsid w:val="00E95106"/>
    <w:rsid w:val="00E95267"/>
    <w:rsid w:val="00E95938"/>
    <w:rsid w:val="00E96630"/>
    <w:rsid w:val="00E968DC"/>
    <w:rsid w:val="00E96BC7"/>
    <w:rsid w:val="00E96FBD"/>
    <w:rsid w:val="00E971F6"/>
    <w:rsid w:val="00E9765E"/>
    <w:rsid w:val="00EA0818"/>
    <w:rsid w:val="00EA22C2"/>
    <w:rsid w:val="00EA264E"/>
    <w:rsid w:val="00EA297F"/>
    <w:rsid w:val="00EA2CE6"/>
    <w:rsid w:val="00EA33D3"/>
    <w:rsid w:val="00EA4E49"/>
    <w:rsid w:val="00EA5109"/>
    <w:rsid w:val="00EA5114"/>
    <w:rsid w:val="00EA55A6"/>
    <w:rsid w:val="00EA5669"/>
    <w:rsid w:val="00EA5690"/>
    <w:rsid w:val="00EA585B"/>
    <w:rsid w:val="00EA680A"/>
    <w:rsid w:val="00EA7995"/>
    <w:rsid w:val="00EA79EB"/>
    <w:rsid w:val="00EA7D9C"/>
    <w:rsid w:val="00EB08F5"/>
    <w:rsid w:val="00EB0D14"/>
    <w:rsid w:val="00EB1330"/>
    <w:rsid w:val="00EB31E8"/>
    <w:rsid w:val="00EB3B8B"/>
    <w:rsid w:val="00EB46DC"/>
    <w:rsid w:val="00EB4CB8"/>
    <w:rsid w:val="00EB7CBF"/>
    <w:rsid w:val="00EC0B24"/>
    <w:rsid w:val="00EC27AF"/>
    <w:rsid w:val="00EC28EE"/>
    <w:rsid w:val="00EC32E8"/>
    <w:rsid w:val="00EC3D7E"/>
    <w:rsid w:val="00EC43DD"/>
    <w:rsid w:val="00EC4720"/>
    <w:rsid w:val="00EC512C"/>
    <w:rsid w:val="00EC56E5"/>
    <w:rsid w:val="00EC5A8A"/>
    <w:rsid w:val="00EC61B3"/>
    <w:rsid w:val="00EC7524"/>
    <w:rsid w:val="00ED090C"/>
    <w:rsid w:val="00ED0BE3"/>
    <w:rsid w:val="00ED0D85"/>
    <w:rsid w:val="00ED21B3"/>
    <w:rsid w:val="00ED2660"/>
    <w:rsid w:val="00ED2755"/>
    <w:rsid w:val="00ED2817"/>
    <w:rsid w:val="00ED2C3F"/>
    <w:rsid w:val="00ED33B5"/>
    <w:rsid w:val="00ED3A94"/>
    <w:rsid w:val="00ED3C73"/>
    <w:rsid w:val="00ED3CDE"/>
    <w:rsid w:val="00ED4CB8"/>
    <w:rsid w:val="00ED5556"/>
    <w:rsid w:val="00ED5940"/>
    <w:rsid w:val="00ED63EC"/>
    <w:rsid w:val="00ED692D"/>
    <w:rsid w:val="00ED6DD8"/>
    <w:rsid w:val="00ED7A2A"/>
    <w:rsid w:val="00ED7E78"/>
    <w:rsid w:val="00EE05E1"/>
    <w:rsid w:val="00EE0764"/>
    <w:rsid w:val="00EE0856"/>
    <w:rsid w:val="00EE2307"/>
    <w:rsid w:val="00EE2BEC"/>
    <w:rsid w:val="00EE38AD"/>
    <w:rsid w:val="00EE4C7C"/>
    <w:rsid w:val="00EE4E6A"/>
    <w:rsid w:val="00EE5177"/>
    <w:rsid w:val="00EE6645"/>
    <w:rsid w:val="00EE6D04"/>
    <w:rsid w:val="00EE71E0"/>
    <w:rsid w:val="00EF11B2"/>
    <w:rsid w:val="00EF13F9"/>
    <w:rsid w:val="00EF1D7F"/>
    <w:rsid w:val="00EF1E6C"/>
    <w:rsid w:val="00EF248C"/>
    <w:rsid w:val="00EF381F"/>
    <w:rsid w:val="00EF4097"/>
    <w:rsid w:val="00EF460D"/>
    <w:rsid w:val="00EF5A75"/>
    <w:rsid w:val="00EF5F9B"/>
    <w:rsid w:val="00F0058A"/>
    <w:rsid w:val="00F005E0"/>
    <w:rsid w:val="00F01639"/>
    <w:rsid w:val="00F0444A"/>
    <w:rsid w:val="00F04D58"/>
    <w:rsid w:val="00F05945"/>
    <w:rsid w:val="00F06485"/>
    <w:rsid w:val="00F065D0"/>
    <w:rsid w:val="00F06BE8"/>
    <w:rsid w:val="00F073BE"/>
    <w:rsid w:val="00F10A3F"/>
    <w:rsid w:val="00F10CCD"/>
    <w:rsid w:val="00F10EF9"/>
    <w:rsid w:val="00F1146B"/>
    <w:rsid w:val="00F11678"/>
    <w:rsid w:val="00F11A73"/>
    <w:rsid w:val="00F12DEC"/>
    <w:rsid w:val="00F13FE3"/>
    <w:rsid w:val="00F1420D"/>
    <w:rsid w:val="00F143F9"/>
    <w:rsid w:val="00F14C89"/>
    <w:rsid w:val="00F15680"/>
    <w:rsid w:val="00F15D1C"/>
    <w:rsid w:val="00F16629"/>
    <w:rsid w:val="00F171BD"/>
    <w:rsid w:val="00F174DD"/>
    <w:rsid w:val="00F205F9"/>
    <w:rsid w:val="00F217F9"/>
    <w:rsid w:val="00F21F79"/>
    <w:rsid w:val="00F223D8"/>
    <w:rsid w:val="00F22775"/>
    <w:rsid w:val="00F23283"/>
    <w:rsid w:val="00F24CDF"/>
    <w:rsid w:val="00F252B6"/>
    <w:rsid w:val="00F258A9"/>
    <w:rsid w:val="00F27965"/>
    <w:rsid w:val="00F27B6B"/>
    <w:rsid w:val="00F30C8A"/>
    <w:rsid w:val="00F30D70"/>
    <w:rsid w:val="00F30E6B"/>
    <w:rsid w:val="00F3177A"/>
    <w:rsid w:val="00F322D1"/>
    <w:rsid w:val="00F32538"/>
    <w:rsid w:val="00F32732"/>
    <w:rsid w:val="00F33533"/>
    <w:rsid w:val="00F33C91"/>
    <w:rsid w:val="00F352C4"/>
    <w:rsid w:val="00F35321"/>
    <w:rsid w:val="00F360AE"/>
    <w:rsid w:val="00F36420"/>
    <w:rsid w:val="00F37701"/>
    <w:rsid w:val="00F377B8"/>
    <w:rsid w:val="00F37E50"/>
    <w:rsid w:val="00F37E57"/>
    <w:rsid w:val="00F40A38"/>
    <w:rsid w:val="00F40C38"/>
    <w:rsid w:val="00F429AF"/>
    <w:rsid w:val="00F43AE6"/>
    <w:rsid w:val="00F44270"/>
    <w:rsid w:val="00F44359"/>
    <w:rsid w:val="00F4484A"/>
    <w:rsid w:val="00F454E4"/>
    <w:rsid w:val="00F4559F"/>
    <w:rsid w:val="00F45F48"/>
    <w:rsid w:val="00F46A0F"/>
    <w:rsid w:val="00F50A81"/>
    <w:rsid w:val="00F50CAE"/>
    <w:rsid w:val="00F52631"/>
    <w:rsid w:val="00F52906"/>
    <w:rsid w:val="00F52CEF"/>
    <w:rsid w:val="00F53EDA"/>
    <w:rsid w:val="00F550C4"/>
    <w:rsid w:val="00F563A3"/>
    <w:rsid w:val="00F565FA"/>
    <w:rsid w:val="00F56BFE"/>
    <w:rsid w:val="00F570B4"/>
    <w:rsid w:val="00F57507"/>
    <w:rsid w:val="00F577FD"/>
    <w:rsid w:val="00F60D6B"/>
    <w:rsid w:val="00F6288F"/>
    <w:rsid w:val="00F629D4"/>
    <w:rsid w:val="00F6413C"/>
    <w:rsid w:val="00F65661"/>
    <w:rsid w:val="00F6585F"/>
    <w:rsid w:val="00F65B19"/>
    <w:rsid w:val="00F66348"/>
    <w:rsid w:val="00F66352"/>
    <w:rsid w:val="00F67585"/>
    <w:rsid w:val="00F67F55"/>
    <w:rsid w:val="00F70B99"/>
    <w:rsid w:val="00F7144A"/>
    <w:rsid w:val="00F7150A"/>
    <w:rsid w:val="00F719A2"/>
    <w:rsid w:val="00F71EC3"/>
    <w:rsid w:val="00F72947"/>
    <w:rsid w:val="00F72CBB"/>
    <w:rsid w:val="00F74096"/>
    <w:rsid w:val="00F77135"/>
    <w:rsid w:val="00F77201"/>
    <w:rsid w:val="00F7753D"/>
    <w:rsid w:val="00F77750"/>
    <w:rsid w:val="00F8076E"/>
    <w:rsid w:val="00F81214"/>
    <w:rsid w:val="00F81DC2"/>
    <w:rsid w:val="00F82149"/>
    <w:rsid w:val="00F825BD"/>
    <w:rsid w:val="00F825F4"/>
    <w:rsid w:val="00F82753"/>
    <w:rsid w:val="00F83478"/>
    <w:rsid w:val="00F85CBE"/>
    <w:rsid w:val="00F85F34"/>
    <w:rsid w:val="00F86B18"/>
    <w:rsid w:val="00F90627"/>
    <w:rsid w:val="00F91CEF"/>
    <w:rsid w:val="00F92200"/>
    <w:rsid w:val="00F92489"/>
    <w:rsid w:val="00F9292F"/>
    <w:rsid w:val="00F938DA"/>
    <w:rsid w:val="00F939B1"/>
    <w:rsid w:val="00F94B03"/>
    <w:rsid w:val="00F94F83"/>
    <w:rsid w:val="00F954E9"/>
    <w:rsid w:val="00F95732"/>
    <w:rsid w:val="00F95CC2"/>
    <w:rsid w:val="00F967C0"/>
    <w:rsid w:val="00F97063"/>
    <w:rsid w:val="00F976C6"/>
    <w:rsid w:val="00F97805"/>
    <w:rsid w:val="00F97C1C"/>
    <w:rsid w:val="00F97F7A"/>
    <w:rsid w:val="00FA06F7"/>
    <w:rsid w:val="00FA1B9E"/>
    <w:rsid w:val="00FA1FC3"/>
    <w:rsid w:val="00FA244C"/>
    <w:rsid w:val="00FA3CF2"/>
    <w:rsid w:val="00FA4204"/>
    <w:rsid w:val="00FA4CDF"/>
    <w:rsid w:val="00FA547D"/>
    <w:rsid w:val="00FA5B1C"/>
    <w:rsid w:val="00FA5CA3"/>
    <w:rsid w:val="00FA5EE1"/>
    <w:rsid w:val="00FA6F49"/>
    <w:rsid w:val="00FA6F8B"/>
    <w:rsid w:val="00FA7D07"/>
    <w:rsid w:val="00FB0A8C"/>
    <w:rsid w:val="00FB0C97"/>
    <w:rsid w:val="00FB171A"/>
    <w:rsid w:val="00FB17E3"/>
    <w:rsid w:val="00FB1817"/>
    <w:rsid w:val="00FB1D58"/>
    <w:rsid w:val="00FB22FC"/>
    <w:rsid w:val="00FB2A4E"/>
    <w:rsid w:val="00FB2EE6"/>
    <w:rsid w:val="00FB3427"/>
    <w:rsid w:val="00FB3859"/>
    <w:rsid w:val="00FB41A0"/>
    <w:rsid w:val="00FB602E"/>
    <w:rsid w:val="00FB6291"/>
    <w:rsid w:val="00FB6C2C"/>
    <w:rsid w:val="00FB7132"/>
    <w:rsid w:val="00FB73CF"/>
    <w:rsid w:val="00FB796A"/>
    <w:rsid w:val="00FC0DD1"/>
    <w:rsid w:val="00FC1813"/>
    <w:rsid w:val="00FC24D4"/>
    <w:rsid w:val="00FC3302"/>
    <w:rsid w:val="00FC37BD"/>
    <w:rsid w:val="00FC5E00"/>
    <w:rsid w:val="00FC5EE5"/>
    <w:rsid w:val="00FC62F6"/>
    <w:rsid w:val="00FC6680"/>
    <w:rsid w:val="00FC68B7"/>
    <w:rsid w:val="00FC6AC7"/>
    <w:rsid w:val="00FC6F14"/>
    <w:rsid w:val="00FC7106"/>
    <w:rsid w:val="00FD0D44"/>
    <w:rsid w:val="00FD0E1B"/>
    <w:rsid w:val="00FD13A8"/>
    <w:rsid w:val="00FD162E"/>
    <w:rsid w:val="00FD2B74"/>
    <w:rsid w:val="00FD2DAC"/>
    <w:rsid w:val="00FD3CD5"/>
    <w:rsid w:val="00FD3F13"/>
    <w:rsid w:val="00FD4B95"/>
    <w:rsid w:val="00FD4CDA"/>
    <w:rsid w:val="00FD5B61"/>
    <w:rsid w:val="00FD5D29"/>
    <w:rsid w:val="00FD6028"/>
    <w:rsid w:val="00FD6E9D"/>
    <w:rsid w:val="00FD771D"/>
    <w:rsid w:val="00FD7BF6"/>
    <w:rsid w:val="00FE13F7"/>
    <w:rsid w:val="00FE223B"/>
    <w:rsid w:val="00FE2337"/>
    <w:rsid w:val="00FE2488"/>
    <w:rsid w:val="00FE2AF2"/>
    <w:rsid w:val="00FE3156"/>
    <w:rsid w:val="00FE3370"/>
    <w:rsid w:val="00FE36EC"/>
    <w:rsid w:val="00FE4A7F"/>
    <w:rsid w:val="00FE5C3C"/>
    <w:rsid w:val="00FE6866"/>
    <w:rsid w:val="00FF0158"/>
    <w:rsid w:val="00FF0197"/>
    <w:rsid w:val="00FF0563"/>
    <w:rsid w:val="00FF104B"/>
    <w:rsid w:val="00FF1CE8"/>
    <w:rsid w:val="00FF2577"/>
    <w:rsid w:val="00FF27EF"/>
    <w:rsid w:val="00FF347E"/>
    <w:rsid w:val="00FF3AE9"/>
    <w:rsid w:val="00FF3FC6"/>
    <w:rsid w:val="00FF44DA"/>
    <w:rsid w:val="00FF4C06"/>
    <w:rsid w:val="00FF5C6D"/>
    <w:rsid w:val="00FF6403"/>
    <w:rsid w:val="00FF67EF"/>
    <w:rsid w:val="00FF7F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04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B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DF21B8"/>
    <w:rPr>
      <w:rFonts w:ascii="Times New Roman" w:hAnsi="Times New Roman"/>
      <w:b w:val="0"/>
      <w:i w:val="0"/>
      <w:color w:val="0070C0"/>
      <w:sz w:val="20"/>
      <w:u w:val="words"/>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link w:val="BodyTextChar"/>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link w:val="BodyTextIndentChar"/>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customStyle="1" w:styleId="Points">
    <w:name w:val="Points"/>
    <w:basedOn w:val="BodyText"/>
    <w:rsid w:val="00110639"/>
    <w:pPr>
      <w:numPr>
        <w:numId w:val="3"/>
      </w:numPr>
      <w:tabs>
        <w:tab w:val="clear" w:pos="570"/>
        <w:tab w:val="clear" w:pos="1418"/>
        <w:tab w:val="clear" w:pos="1985"/>
        <w:tab w:val="clear" w:pos="2552"/>
        <w:tab w:val="clear" w:pos="3119"/>
        <w:tab w:val="clear" w:pos="3686"/>
        <w:tab w:val="clear" w:pos="4253"/>
        <w:tab w:val="clear" w:pos="4820"/>
      </w:tabs>
      <w:spacing w:line="280" w:lineRule="atLeast"/>
      <w:ind w:left="0" w:firstLine="567"/>
    </w:pPr>
    <w:rPr>
      <w:rFonts w:eastAsia="Calibri"/>
      <w:sz w:val="24"/>
      <w:lang w:val="en-AU" w:eastAsia="en-AU"/>
    </w:rPr>
  </w:style>
  <w:style w:type="paragraph" w:customStyle="1" w:styleId="Dotpoints">
    <w:name w:val="Dot points"/>
    <w:basedOn w:val="Points"/>
    <w:rsid w:val="00110639"/>
    <w:pPr>
      <w:tabs>
        <w:tab w:val="num" w:pos="570"/>
      </w:tabs>
      <w:spacing w:before="60" w:after="60" w:line="280" w:lineRule="exact"/>
      <w:ind w:left="570" w:hanging="570"/>
    </w:pPr>
  </w:style>
  <w:style w:type="character" w:customStyle="1" w:styleId="FootnoteTextChar">
    <w:name w:val="Footnote Text Char"/>
    <w:aliases w:val="5_G Char"/>
    <w:link w:val="FootnoteText"/>
    <w:semiHidden/>
    <w:locked/>
    <w:rsid w:val="00110639"/>
    <w:rPr>
      <w:sz w:val="18"/>
      <w:lang w:val="en-GB" w:eastAsia="en-US" w:bidi="ar-SA"/>
    </w:rPr>
  </w:style>
  <w:style w:type="paragraph" w:customStyle="1" w:styleId="Tablecaption">
    <w:name w:val="Table caption"/>
    <w:basedOn w:val="BodyText"/>
    <w:rsid w:val="00C07276"/>
    <w:pPr>
      <w:tabs>
        <w:tab w:val="clear" w:pos="1418"/>
        <w:tab w:val="clear" w:pos="1985"/>
        <w:tab w:val="clear" w:pos="2552"/>
        <w:tab w:val="clear" w:pos="3119"/>
        <w:tab w:val="clear" w:pos="3686"/>
        <w:tab w:val="clear" w:pos="4253"/>
        <w:tab w:val="clear" w:pos="4820"/>
      </w:tabs>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6C09E3"/>
    <w:pPr>
      <w:tabs>
        <w:tab w:val="clear" w:pos="1418"/>
        <w:tab w:val="clear" w:pos="1985"/>
        <w:tab w:val="clear" w:pos="2552"/>
        <w:tab w:val="clear" w:pos="3119"/>
        <w:tab w:val="clear" w:pos="3686"/>
        <w:tab w:val="clear" w:pos="4253"/>
        <w:tab w:val="clear" w:pos="4820"/>
      </w:tabs>
      <w:spacing w:before="120" w:after="120" w:line="280" w:lineRule="atLeast"/>
      <w:ind w:left="567" w:right="522" w:firstLine="567"/>
    </w:pPr>
    <w:rPr>
      <w:rFonts w:ascii="Arial" w:eastAsia="Calibri" w:hAnsi="Arial" w:cs="Arial"/>
      <w:sz w:val="20"/>
      <w:lang w:val="en-AU" w:eastAsia="en-AU"/>
    </w:rPr>
  </w:style>
  <w:style w:type="character" w:customStyle="1" w:styleId="QuoteChar">
    <w:name w:val="Quote Char"/>
    <w:link w:val="Quote"/>
    <w:locked/>
    <w:rsid w:val="006C09E3"/>
    <w:rPr>
      <w:rFonts w:ascii="Arial" w:eastAsia="Calibri" w:hAnsi="Arial" w:cs="Arial"/>
      <w:lang w:val="en-AU" w:eastAsia="en-AU" w:bidi="ar-SA"/>
    </w:rPr>
  </w:style>
  <w:style w:type="paragraph" w:styleId="ListParagraph">
    <w:name w:val="List Paragraph"/>
    <w:basedOn w:val="Normal"/>
    <w:uiPriority w:val="34"/>
    <w:qFormat/>
    <w:rsid w:val="00950D47"/>
    <w:pPr>
      <w:suppressAutoHyphens w:val="0"/>
      <w:spacing w:after="200" w:line="276" w:lineRule="auto"/>
      <w:ind w:left="720"/>
      <w:contextualSpacing/>
    </w:pPr>
    <w:rPr>
      <w:rFonts w:ascii="Calibri" w:eastAsia="Calibri" w:hAnsi="Calibri"/>
      <w:sz w:val="22"/>
      <w:szCs w:val="22"/>
      <w:lang w:val="en-US"/>
    </w:rPr>
  </w:style>
  <w:style w:type="paragraph" w:styleId="BalloonText">
    <w:name w:val="Balloon Text"/>
    <w:basedOn w:val="Normal"/>
    <w:semiHidden/>
    <w:rsid w:val="00BE3001"/>
    <w:rPr>
      <w:rFonts w:ascii="Tahoma" w:hAnsi="Tahoma" w:cs="Tahoma"/>
      <w:sz w:val="16"/>
      <w:szCs w:val="16"/>
    </w:rPr>
  </w:style>
  <w:style w:type="character" w:styleId="CommentReference">
    <w:name w:val="annotation reference"/>
    <w:semiHidden/>
    <w:rsid w:val="00792E1C"/>
    <w:rPr>
      <w:sz w:val="16"/>
      <w:szCs w:val="16"/>
    </w:rPr>
  </w:style>
  <w:style w:type="paragraph" w:styleId="CommentText">
    <w:name w:val="annotation text"/>
    <w:basedOn w:val="Normal"/>
    <w:link w:val="CommentTextChar"/>
    <w:semiHidden/>
    <w:rsid w:val="00792E1C"/>
  </w:style>
  <w:style w:type="paragraph" w:styleId="CommentSubject">
    <w:name w:val="annotation subject"/>
    <w:basedOn w:val="CommentText"/>
    <w:next w:val="CommentText"/>
    <w:semiHidden/>
    <w:rsid w:val="00792E1C"/>
    <w:rPr>
      <w:b/>
      <w:bCs/>
    </w:rPr>
  </w:style>
  <w:style w:type="paragraph" w:customStyle="1" w:styleId="DocList">
    <w:name w:val="DocList"/>
    <w:basedOn w:val="SingleTxtG"/>
    <w:rsid w:val="00A2579F"/>
    <w:pPr>
      <w:spacing w:after="240"/>
      <w:ind w:left="3701" w:right="1138" w:hanging="2002"/>
      <w:jc w:val="left"/>
    </w:pPr>
    <w:rPr>
      <w:i/>
    </w:rPr>
  </w:style>
  <w:style w:type="character" w:customStyle="1" w:styleId="SingleTxtGZchnZchn">
    <w:name w:val="_ Single Txt_G Zchn Zchn"/>
    <w:link w:val="SingleTxtG"/>
    <w:rsid w:val="004F6664"/>
    <w:rPr>
      <w:lang w:val="en-GB" w:eastAsia="en-US" w:bidi="ar-SA"/>
    </w:rPr>
  </w:style>
  <w:style w:type="character" w:customStyle="1" w:styleId="SingleTxtGChar">
    <w:name w:val="_ Single Txt_G Char"/>
    <w:qFormat/>
    <w:locked/>
    <w:rsid w:val="00FA1FC3"/>
    <w:rPr>
      <w:lang w:val="en-GB" w:eastAsia="en-US" w:bidi="ar-SA"/>
    </w:rPr>
  </w:style>
  <w:style w:type="paragraph" w:customStyle="1" w:styleId="Body1">
    <w:name w:val="Body 1"/>
    <w:rsid w:val="0070557D"/>
    <w:pPr>
      <w:spacing w:after="200" w:line="276" w:lineRule="auto"/>
      <w:outlineLvl w:val="0"/>
    </w:pPr>
    <w:rPr>
      <w:rFonts w:ascii="Helvetica" w:eastAsia="Arial Unicode MS" w:hAnsi="Helvetica"/>
      <w:color w:val="000000"/>
      <w:sz w:val="22"/>
      <w:u w:color="000000"/>
    </w:rPr>
  </w:style>
  <w:style w:type="paragraph" w:customStyle="1" w:styleId="ManualHeading4">
    <w:name w:val="Manual Heading 4"/>
    <w:basedOn w:val="Normal"/>
    <w:next w:val="Normal"/>
    <w:rsid w:val="0034615C"/>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styleId="Revision">
    <w:name w:val="Revision"/>
    <w:hidden/>
    <w:uiPriority w:val="99"/>
    <w:semiHidden/>
    <w:rsid w:val="003C2FDD"/>
    <w:rPr>
      <w:lang w:val="en-GB"/>
    </w:rPr>
  </w:style>
  <w:style w:type="character" w:customStyle="1" w:styleId="FooterChar">
    <w:name w:val="Footer Char"/>
    <w:aliases w:val="3_G Char"/>
    <w:link w:val="Footer"/>
    <w:uiPriority w:val="99"/>
    <w:rsid w:val="00BC60D1"/>
    <w:rPr>
      <w:sz w:val="16"/>
      <w:lang w:val="en-GB"/>
    </w:rPr>
  </w:style>
  <w:style w:type="paragraph" w:customStyle="1" w:styleId="ManualHeading1">
    <w:name w:val="Manual Heading 1"/>
    <w:basedOn w:val="Normal"/>
    <w:next w:val="Normal"/>
    <w:rsid w:val="00E11A51"/>
    <w:pPr>
      <w:keepNext/>
      <w:keepLines/>
      <w:numPr>
        <w:ilvl w:val="12"/>
      </w:numPr>
      <w:suppressAutoHyphens w:val="0"/>
      <w:autoSpaceDE w:val="0"/>
      <w:autoSpaceDN w:val="0"/>
      <w:adjustRightInd w:val="0"/>
      <w:spacing w:line="240" w:lineRule="auto"/>
      <w:jc w:val="center"/>
    </w:pPr>
    <w:rPr>
      <w:b/>
      <w:sz w:val="26"/>
      <w:szCs w:val="26"/>
      <w:lang w:eastAsia="fr-FR"/>
    </w:rPr>
  </w:style>
  <w:style w:type="character" w:customStyle="1" w:styleId="H1GChar">
    <w:name w:val="_ H_1_G Char"/>
    <w:link w:val="H1G"/>
    <w:rsid w:val="007351E9"/>
    <w:rPr>
      <w:b/>
      <w:sz w:val="24"/>
      <w:lang w:val="en-GB"/>
    </w:rPr>
  </w:style>
  <w:style w:type="table" w:customStyle="1" w:styleId="TableGrid0">
    <w:name w:val="TableGrid"/>
    <w:rsid w:val="00D4268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ManualBodyText">
    <w:name w:val="Manual Body Text"/>
    <w:basedOn w:val="BodyText"/>
    <w:rsid w:val="0003053F"/>
    <w:pPr>
      <w:numPr>
        <w:ilvl w:val="12"/>
      </w:numPr>
      <w:tabs>
        <w:tab w:val="clear" w:pos="1985"/>
        <w:tab w:val="clear" w:pos="2552"/>
        <w:tab w:val="clear" w:pos="3119"/>
        <w:tab w:val="clear" w:pos="3686"/>
        <w:tab w:val="clear" w:pos="4253"/>
        <w:tab w:val="clear" w:pos="4820"/>
      </w:tabs>
      <w:autoSpaceDE w:val="0"/>
      <w:autoSpaceDN w:val="0"/>
      <w:adjustRightInd w:val="0"/>
    </w:pPr>
    <w:rPr>
      <w:szCs w:val="22"/>
      <w:lang w:eastAsia="fr-FR"/>
    </w:rPr>
  </w:style>
  <w:style w:type="character" w:customStyle="1" w:styleId="SingleTxtGCar">
    <w:name w:val="_ Single Txt_G Car"/>
    <w:locked/>
    <w:rsid w:val="00195E9D"/>
    <w:rPr>
      <w:lang w:eastAsia="en-US"/>
    </w:rPr>
  </w:style>
  <w:style w:type="character" w:customStyle="1" w:styleId="HeaderChar">
    <w:name w:val="Header Char"/>
    <w:aliases w:val="6_G Char"/>
    <w:link w:val="Header"/>
    <w:uiPriority w:val="99"/>
    <w:rsid w:val="00256328"/>
    <w:rPr>
      <w:b/>
      <w:sz w:val="18"/>
      <w:lang w:val="en-GB"/>
    </w:rPr>
  </w:style>
  <w:style w:type="character" w:customStyle="1" w:styleId="BodyTextChar">
    <w:name w:val="Body Text Char"/>
    <w:basedOn w:val="DefaultParagraphFont"/>
    <w:link w:val="BodyText"/>
    <w:rsid w:val="00DF21B8"/>
    <w:rPr>
      <w:sz w:val="22"/>
      <w:lang w:val="en-GB"/>
    </w:rPr>
  </w:style>
  <w:style w:type="character" w:customStyle="1" w:styleId="BodyTextIndentChar">
    <w:name w:val="Body Text Indent Char"/>
    <w:basedOn w:val="DefaultParagraphFont"/>
    <w:link w:val="BodyTextIndent"/>
    <w:rsid w:val="00DF21B8"/>
    <w:rPr>
      <w:sz w:val="22"/>
      <w:lang w:val="en-GB"/>
    </w:rPr>
  </w:style>
  <w:style w:type="character" w:customStyle="1" w:styleId="FootnoteTextChar1">
    <w:name w:val="Footnote Text Char1"/>
    <w:aliases w:val="5_G Char1"/>
    <w:locked/>
    <w:rsid w:val="005C6DEB"/>
    <w:rPr>
      <w:sz w:val="18"/>
      <w:lang w:val="fr-CH" w:eastAsia="en-US" w:bidi="ar-SA"/>
    </w:rPr>
  </w:style>
  <w:style w:type="character" w:customStyle="1" w:styleId="CommentTextChar">
    <w:name w:val="Comment Text Char"/>
    <w:basedOn w:val="DefaultParagraphFont"/>
    <w:link w:val="CommentText"/>
    <w:semiHidden/>
    <w:rsid w:val="00FD771D"/>
    <w:rPr>
      <w:lang w:val="en-GB"/>
    </w:rPr>
  </w:style>
  <w:style w:type="paragraph" w:customStyle="1" w:styleId="bodytext0">
    <w:name w:val="bodytext"/>
    <w:basedOn w:val="Normal"/>
    <w:rsid w:val="005966E1"/>
    <w:pPr>
      <w:suppressAutoHyphens w:val="0"/>
      <w:spacing w:before="100" w:beforeAutospacing="1" w:after="100" w:afterAutospacing="1" w:line="240" w:lineRule="auto"/>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B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DF21B8"/>
    <w:rPr>
      <w:rFonts w:ascii="Times New Roman" w:hAnsi="Times New Roman"/>
      <w:b w:val="0"/>
      <w:i w:val="0"/>
      <w:color w:val="0070C0"/>
      <w:sz w:val="20"/>
      <w:u w:val="words"/>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link w:val="BodyTextChar"/>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link w:val="BodyTextIndentChar"/>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customStyle="1" w:styleId="Points">
    <w:name w:val="Points"/>
    <w:basedOn w:val="BodyText"/>
    <w:rsid w:val="00110639"/>
    <w:pPr>
      <w:numPr>
        <w:numId w:val="3"/>
      </w:numPr>
      <w:tabs>
        <w:tab w:val="clear" w:pos="570"/>
        <w:tab w:val="clear" w:pos="1418"/>
        <w:tab w:val="clear" w:pos="1985"/>
        <w:tab w:val="clear" w:pos="2552"/>
        <w:tab w:val="clear" w:pos="3119"/>
        <w:tab w:val="clear" w:pos="3686"/>
        <w:tab w:val="clear" w:pos="4253"/>
        <w:tab w:val="clear" w:pos="4820"/>
      </w:tabs>
      <w:spacing w:line="280" w:lineRule="atLeast"/>
      <w:ind w:left="0" w:firstLine="567"/>
    </w:pPr>
    <w:rPr>
      <w:rFonts w:eastAsia="Calibri"/>
      <w:sz w:val="24"/>
      <w:lang w:val="en-AU" w:eastAsia="en-AU"/>
    </w:rPr>
  </w:style>
  <w:style w:type="paragraph" w:customStyle="1" w:styleId="Dotpoints">
    <w:name w:val="Dot points"/>
    <w:basedOn w:val="Points"/>
    <w:rsid w:val="00110639"/>
    <w:pPr>
      <w:tabs>
        <w:tab w:val="num" w:pos="570"/>
      </w:tabs>
      <w:spacing w:before="60" w:after="60" w:line="280" w:lineRule="exact"/>
      <w:ind w:left="570" w:hanging="570"/>
    </w:pPr>
  </w:style>
  <w:style w:type="character" w:customStyle="1" w:styleId="FootnoteTextChar">
    <w:name w:val="Footnote Text Char"/>
    <w:aliases w:val="5_G Char"/>
    <w:link w:val="FootnoteText"/>
    <w:semiHidden/>
    <w:locked/>
    <w:rsid w:val="00110639"/>
    <w:rPr>
      <w:sz w:val="18"/>
      <w:lang w:val="en-GB" w:eastAsia="en-US" w:bidi="ar-SA"/>
    </w:rPr>
  </w:style>
  <w:style w:type="paragraph" w:customStyle="1" w:styleId="Tablecaption">
    <w:name w:val="Table caption"/>
    <w:basedOn w:val="BodyText"/>
    <w:rsid w:val="00C07276"/>
    <w:pPr>
      <w:tabs>
        <w:tab w:val="clear" w:pos="1418"/>
        <w:tab w:val="clear" w:pos="1985"/>
        <w:tab w:val="clear" w:pos="2552"/>
        <w:tab w:val="clear" w:pos="3119"/>
        <w:tab w:val="clear" w:pos="3686"/>
        <w:tab w:val="clear" w:pos="4253"/>
        <w:tab w:val="clear" w:pos="4820"/>
      </w:tabs>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6C09E3"/>
    <w:pPr>
      <w:tabs>
        <w:tab w:val="clear" w:pos="1418"/>
        <w:tab w:val="clear" w:pos="1985"/>
        <w:tab w:val="clear" w:pos="2552"/>
        <w:tab w:val="clear" w:pos="3119"/>
        <w:tab w:val="clear" w:pos="3686"/>
        <w:tab w:val="clear" w:pos="4253"/>
        <w:tab w:val="clear" w:pos="4820"/>
      </w:tabs>
      <w:spacing w:before="120" w:after="120" w:line="280" w:lineRule="atLeast"/>
      <w:ind w:left="567" w:right="522" w:firstLine="567"/>
    </w:pPr>
    <w:rPr>
      <w:rFonts w:ascii="Arial" w:eastAsia="Calibri" w:hAnsi="Arial" w:cs="Arial"/>
      <w:sz w:val="20"/>
      <w:lang w:val="en-AU" w:eastAsia="en-AU"/>
    </w:rPr>
  </w:style>
  <w:style w:type="character" w:customStyle="1" w:styleId="QuoteChar">
    <w:name w:val="Quote Char"/>
    <w:link w:val="Quote"/>
    <w:locked/>
    <w:rsid w:val="006C09E3"/>
    <w:rPr>
      <w:rFonts w:ascii="Arial" w:eastAsia="Calibri" w:hAnsi="Arial" w:cs="Arial"/>
      <w:lang w:val="en-AU" w:eastAsia="en-AU" w:bidi="ar-SA"/>
    </w:rPr>
  </w:style>
  <w:style w:type="paragraph" w:styleId="ListParagraph">
    <w:name w:val="List Paragraph"/>
    <w:basedOn w:val="Normal"/>
    <w:uiPriority w:val="34"/>
    <w:qFormat/>
    <w:rsid w:val="00950D47"/>
    <w:pPr>
      <w:suppressAutoHyphens w:val="0"/>
      <w:spacing w:after="200" w:line="276" w:lineRule="auto"/>
      <w:ind w:left="720"/>
      <w:contextualSpacing/>
    </w:pPr>
    <w:rPr>
      <w:rFonts w:ascii="Calibri" w:eastAsia="Calibri" w:hAnsi="Calibri"/>
      <w:sz w:val="22"/>
      <w:szCs w:val="22"/>
      <w:lang w:val="en-US"/>
    </w:rPr>
  </w:style>
  <w:style w:type="paragraph" w:styleId="BalloonText">
    <w:name w:val="Balloon Text"/>
    <w:basedOn w:val="Normal"/>
    <w:semiHidden/>
    <w:rsid w:val="00BE3001"/>
    <w:rPr>
      <w:rFonts w:ascii="Tahoma" w:hAnsi="Tahoma" w:cs="Tahoma"/>
      <w:sz w:val="16"/>
      <w:szCs w:val="16"/>
    </w:rPr>
  </w:style>
  <w:style w:type="character" w:styleId="CommentReference">
    <w:name w:val="annotation reference"/>
    <w:semiHidden/>
    <w:rsid w:val="00792E1C"/>
    <w:rPr>
      <w:sz w:val="16"/>
      <w:szCs w:val="16"/>
    </w:rPr>
  </w:style>
  <w:style w:type="paragraph" w:styleId="CommentText">
    <w:name w:val="annotation text"/>
    <w:basedOn w:val="Normal"/>
    <w:link w:val="CommentTextChar"/>
    <w:semiHidden/>
    <w:rsid w:val="00792E1C"/>
  </w:style>
  <w:style w:type="paragraph" w:styleId="CommentSubject">
    <w:name w:val="annotation subject"/>
    <w:basedOn w:val="CommentText"/>
    <w:next w:val="CommentText"/>
    <w:semiHidden/>
    <w:rsid w:val="00792E1C"/>
    <w:rPr>
      <w:b/>
      <w:bCs/>
    </w:rPr>
  </w:style>
  <w:style w:type="paragraph" w:customStyle="1" w:styleId="DocList">
    <w:name w:val="DocList"/>
    <w:basedOn w:val="SingleTxtG"/>
    <w:rsid w:val="00A2579F"/>
    <w:pPr>
      <w:spacing w:after="240"/>
      <w:ind w:left="3701" w:right="1138" w:hanging="2002"/>
      <w:jc w:val="left"/>
    </w:pPr>
    <w:rPr>
      <w:i/>
    </w:rPr>
  </w:style>
  <w:style w:type="character" w:customStyle="1" w:styleId="SingleTxtGZchnZchn">
    <w:name w:val="_ Single Txt_G Zchn Zchn"/>
    <w:link w:val="SingleTxtG"/>
    <w:rsid w:val="004F6664"/>
    <w:rPr>
      <w:lang w:val="en-GB" w:eastAsia="en-US" w:bidi="ar-SA"/>
    </w:rPr>
  </w:style>
  <w:style w:type="character" w:customStyle="1" w:styleId="SingleTxtGChar">
    <w:name w:val="_ Single Txt_G Char"/>
    <w:qFormat/>
    <w:locked/>
    <w:rsid w:val="00FA1FC3"/>
    <w:rPr>
      <w:lang w:val="en-GB" w:eastAsia="en-US" w:bidi="ar-SA"/>
    </w:rPr>
  </w:style>
  <w:style w:type="paragraph" w:customStyle="1" w:styleId="Body1">
    <w:name w:val="Body 1"/>
    <w:rsid w:val="0070557D"/>
    <w:pPr>
      <w:spacing w:after="200" w:line="276" w:lineRule="auto"/>
      <w:outlineLvl w:val="0"/>
    </w:pPr>
    <w:rPr>
      <w:rFonts w:ascii="Helvetica" w:eastAsia="Arial Unicode MS" w:hAnsi="Helvetica"/>
      <w:color w:val="000000"/>
      <w:sz w:val="22"/>
      <w:u w:color="000000"/>
    </w:rPr>
  </w:style>
  <w:style w:type="paragraph" w:customStyle="1" w:styleId="ManualHeading4">
    <w:name w:val="Manual Heading 4"/>
    <w:basedOn w:val="Normal"/>
    <w:next w:val="Normal"/>
    <w:rsid w:val="0034615C"/>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styleId="Revision">
    <w:name w:val="Revision"/>
    <w:hidden/>
    <w:uiPriority w:val="99"/>
    <w:semiHidden/>
    <w:rsid w:val="003C2FDD"/>
    <w:rPr>
      <w:lang w:val="en-GB"/>
    </w:rPr>
  </w:style>
  <w:style w:type="character" w:customStyle="1" w:styleId="FooterChar">
    <w:name w:val="Footer Char"/>
    <w:aliases w:val="3_G Char"/>
    <w:link w:val="Footer"/>
    <w:uiPriority w:val="99"/>
    <w:rsid w:val="00BC60D1"/>
    <w:rPr>
      <w:sz w:val="16"/>
      <w:lang w:val="en-GB"/>
    </w:rPr>
  </w:style>
  <w:style w:type="paragraph" w:customStyle="1" w:styleId="ManualHeading1">
    <w:name w:val="Manual Heading 1"/>
    <w:basedOn w:val="Normal"/>
    <w:next w:val="Normal"/>
    <w:rsid w:val="00E11A51"/>
    <w:pPr>
      <w:keepNext/>
      <w:keepLines/>
      <w:numPr>
        <w:ilvl w:val="12"/>
      </w:numPr>
      <w:suppressAutoHyphens w:val="0"/>
      <w:autoSpaceDE w:val="0"/>
      <w:autoSpaceDN w:val="0"/>
      <w:adjustRightInd w:val="0"/>
      <w:spacing w:line="240" w:lineRule="auto"/>
      <w:jc w:val="center"/>
    </w:pPr>
    <w:rPr>
      <w:b/>
      <w:sz w:val="26"/>
      <w:szCs w:val="26"/>
      <w:lang w:eastAsia="fr-FR"/>
    </w:rPr>
  </w:style>
  <w:style w:type="character" w:customStyle="1" w:styleId="H1GChar">
    <w:name w:val="_ H_1_G Char"/>
    <w:link w:val="H1G"/>
    <w:rsid w:val="007351E9"/>
    <w:rPr>
      <w:b/>
      <w:sz w:val="24"/>
      <w:lang w:val="en-GB"/>
    </w:rPr>
  </w:style>
  <w:style w:type="table" w:customStyle="1" w:styleId="TableGrid0">
    <w:name w:val="TableGrid"/>
    <w:rsid w:val="00D4268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ManualBodyText">
    <w:name w:val="Manual Body Text"/>
    <w:basedOn w:val="BodyText"/>
    <w:rsid w:val="0003053F"/>
    <w:pPr>
      <w:numPr>
        <w:ilvl w:val="12"/>
      </w:numPr>
      <w:tabs>
        <w:tab w:val="clear" w:pos="1985"/>
        <w:tab w:val="clear" w:pos="2552"/>
        <w:tab w:val="clear" w:pos="3119"/>
        <w:tab w:val="clear" w:pos="3686"/>
        <w:tab w:val="clear" w:pos="4253"/>
        <w:tab w:val="clear" w:pos="4820"/>
      </w:tabs>
      <w:autoSpaceDE w:val="0"/>
      <w:autoSpaceDN w:val="0"/>
      <w:adjustRightInd w:val="0"/>
    </w:pPr>
    <w:rPr>
      <w:szCs w:val="22"/>
      <w:lang w:eastAsia="fr-FR"/>
    </w:rPr>
  </w:style>
  <w:style w:type="character" w:customStyle="1" w:styleId="SingleTxtGCar">
    <w:name w:val="_ Single Txt_G Car"/>
    <w:locked/>
    <w:rsid w:val="00195E9D"/>
    <w:rPr>
      <w:lang w:eastAsia="en-US"/>
    </w:rPr>
  </w:style>
  <w:style w:type="character" w:customStyle="1" w:styleId="HeaderChar">
    <w:name w:val="Header Char"/>
    <w:aliases w:val="6_G Char"/>
    <w:link w:val="Header"/>
    <w:uiPriority w:val="99"/>
    <w:rsid w:val="00256328"/>
    <w:rPr>
      <w:b/>
      <w:sz w:val="18"/>
      <w:lang w:val="en-GB"/>
    </w:rPr>
  </w:style>
  <w:style w:type="character" w:customStyle="1" w:styleId="BodyTextChar">
    <w:name w:val="Body Text Char"/>
    <w:basedOn w:val="DefaultParagraphFont"/>
    <w:link w:val="BodyText"/>
    <w:rsid w:val="00DF21B8"/>
    <w:rPr>
      <w:sz w:val="22"/>
      <w:lang w:val="en-GB"/>
    </w:rPr>
  </w:style>
  <w:style w:type="character" w:customStyle="1" w:styleId="BodyTextIndentChar">
    <w:name w:val="Body Text Indent Char"/>
    <w:basedOn w:val="DefaultParagraphFont"/>
    <w:link w:val="BodyTextIndent"/>
    <w:rsid w:val="00DF21B8"/>
    <w:rPr>
      <w:sz w:val="22"/>
      <w:lang w:val="en-GB"/>
    </w:rPr>
  </w:style>
  <w:style w:type="character" w:customStyle="1" w:styleId="FootnoteTextChar1">
    <w:name w:val="Footnote Text Char1"/>
    <w:aliases w:val="5_G Char1"/>
    <w:locked/>
    <w:rsid w:val="005C6DEB"/>
    <w:rPr>
      <w:sz w:val="18"/>
      <w:lang w:val="fr-CH" w:eastAsia="en-US" w:bidi="ar-SA"/>
    </w:rPr>
  </w:style>
  <w:style w:type="character" w:customStyle="1" w:styleId="CommentTextChar">
    <w:name w:val="Comment Text Char"/>
    <w:basedOn w:val="DefaultParagraphFont"/>
    <w:link w:val="CommentText"/>
    <w:semiHidden/>
    <w:rsid w:val="00FD771D"/>
    <w:rPr>
      <w:lang w:val="en-GB"/>
    </w:rPr>
  </w:style>
  <w:style w:type="paragraph" w:customStyle="1" w:styleId="bodytext0">
    <w:name w:val="bodytext"/>
    <w:basedOn w:val="Normal"/>
    <w:rsid w:val="005966E1"/>
    <w:pPr>
      <w:suppressAutoHyphens w:val="0"/>
      <w:spacing w:before="100" w:beforeAutospacing="1" w:after="100" w:afterAutospacing="1"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2065">
      <w:bodyDiv w:val="1"/>
      <w:marLeft w:val="0"/>
      <w:marRight w:val="0"/>
      <w:marTop w:val="0"/>
      <w:marBottom w:val="0"/>
      <w:divBdr>
        <w:top w:val="none" w:sz="0" w:space="0" w:color="auto"/>
        <w:left w:val="none" w:sz="0" w:space="0" w:color="auto"/>
        <w:bottom w:val="none" w:sz="0" w:space="0" w:color="auto"/>
        <w:right w:val="none" w:sz="0" w:space="0" w:color="auto"/>
      </w:divBdr>
    </w:div>
    <w:div w:id="85810839">
      <w:bodyDiv w:val="1"/>
      <w:marLeft w:val="0"/>
      <w:marRight w:val="0"/>
      <w:marTop w:val="0"/>
      <w:marBottom w:val="0"/>
      <w:divBdr>
        <w:top w:val="none" w:sz="0" w:space="0" w:color="auto"/>
        <w:left w:val="none" w:sz="0" w:space="0" w:color="auto"/>
        <w:bottom w:val="none" w:sz="0" w:space="0" w:color="auto"/>
        <w:right w:val="none" w:sz="0" w:space="0" w:color="auto"/>
      </w:divBdr>
    </w:div>
    <w:div w:id="225532580">
      <w:bodyDiv w:val="1"/>
      <w:marLeft w:val="0"/>
      <w:marRight w:val="0"/>
      <w:marTop w:val="0"/>
      <w:marBottom w:val="0"/>
      <w:divBdr>
        <w:top w:val="none" w:sz="0" w:space="0" w:color="auto"/>
        <w:left w:val="none" w:sz="0" w:space="0" w:color="auto"/>
        <w:bottom w:val="none" w:sz="0" w:space="0" w:color="auto"/>
        <w:right w:val="none" w:sz="0" w:space="0" w:color="auto"/>
      </w:divBdr>
    </w:div>
    <w:div w:id="279067591">
      <w:bodyDiv w:val="1"/>
      <w:marLeft w:val="0"/>
      <w:marRight w:val="0"/>
      <w:marTop w:val="0"/>
      <w:marBottom w:val="0"/>
      <w:divBdr>
        <w:top w:val="none" w:sz="0" w:space="0" w:color="auto"/>
        <w:left w:val="none" w:sz="0" w:space="0" w:color="auto"/>
        <w:bottom w:val="none" w:sz="0" w:space="0" w:color="auto"/>
        <w:right w:val="none" w:sz="0" w:space="0" w:color="auto"/>
      </w:divBdr>
    </w:div>
    <w:div w:id="287276571">
      <w:bodyDiv w:val="1"/>
      <w:marLeft w:val="0"/>
      <w:marRight w:val="0"/>
      <w:marTop w:val="0"/>
      <w:marBottom w:val="0"/>
      <w:divBdr>
        <w:top w:val="none" w:sz="0" w:space="0" w:color="auto"/>
        <w:left w:val="none" w:sz="0" w:space="0" w:color="auto"/>
        <w:bottom w:val="none" w:sz="0" w:space="0" w:color="auto"/>
        <w:right w:val="none" w:sz="0" w:space="0" w:color="auto"/>
      </w:divBdr>
    </w:div>
    <w:div w:id="308444243">
      <w:bodyDiv w:val="1"/>
      <w:marLeft w:val="0"/>
      <w:marRight w:val="0"/>
      <w:marTop w:val="0"/>
      <w:marBottom w:val="0"/>
      <w:divBdr>
        <w:top w:val="none" w:sz="0" w:space="0" w:color="auto"/>
        <w:left w:val="none" w:sz="0" w:space="0" w:color="auto"/>
        <w:bottom w:val="none" w:sz="0" w:space="0" w:color="auto"/>
        <w:right w:val="none" w:sz="0" w:space="0" w:color="auto"/>
      </w:divBdr>
    </w:div>
    <w:div w:id="606429443">
      <w:bodyDiv w:val="1"/>
      <w:marLeft w:val="0"/>
      <w:marRight w:val="0"/>
      <w:marTop w:val="0"/>
      <w:marBottom w:val="0"/>
      <w:divBdr>
        <w:top w:val="none" w:sz="0" w:space="0" w:color="auto"/>
        <w:left w:val="none" w:sz="0" w:space="0" w:color="auto"/>
        <w:bottom w:val="none" w:sz="0" w:space="0" w:color="auto"/>
        <w:right w:val="none" w:sz="0" w:space="0" w:color="auto"/>
      </w:divBdr>
    </w:div>
    <w:div w:id="638267732">
      <w:bodyDiv w:val="1"/>
      <w:marLeft w:val="0"/>
      <w:marRight w:val="0"/>
      <w:marTop w:val="0"/>
      <w:marBottom w:val="0"/>
      <w:divBdr>
        <w:top w:val="none" w:sz="0" w:space="0" w:color="auto"/>
        <w:left w:val="none" w:sz="0" w:space="0" w:color="auto"/>
        <w:bottom w:val="none" w:sz="0" w:space="0" w:color="auto"/>
        <w:right w:val="none" w:sz="0" w:space="0" w:color="auto"/>
      </w:divBdr>
    </w:div>
    <w:div w:id="664818686">
      <w:bodyDiv w:val="1"/>
      <w:marLeft w:val="0"/>
      <w:marRight w:val="0"/>
      <w:marTop w:val="0"/>
      <w:marBottom w:val="0"/>
      <w:divBdr>
        <w:top w:val="none" w:sz="0" w:space="0" w:color="auto"/>
        <w:left w:val="none" w:sz="0" w:space="0" w:color="auto"/>
        <w:bottom w:val="none" w:sz="0" w:space="0" w:color="auto"/>
        <w:right w:val="none" w:sz="0" w:space="0" w:color="auto"/>
      </w:divBdr>
    </w:div>
    <w:div w:id="827210884">
      <w:bodyDiv w:val="1"/>
      <w:marLeft w:val="0"/>
      <w:marRight w:val="0"/>
      <w:marTop w:val="0"/>
      <w:marBottom w:val="0"/>
      <w:divBdr>
        <w:top w:val="none" w:sz="0" w:space="0" w:color="auto"/>
        <w:left w:val="none" w:sz="0" w:space="0" w:color="auto"/>
        <w:bottom w:val="none" w:sz="0" w:space="0" w:color="auto"/>
        <w:right w:val="none" w:sz="0" w:space="0" w:color="auto"/>
      </w:divBdr>
    </w:div>
    <w:div w:id="864757086">
      <w:bodyDiv w:val="1"/>
      <w:marLeft w:val="0"/>
      <w:marRight w:val="0"/>
      <w:marTop w:val="0"/>
      <w:marBottom w:val="0"/>
      <w:divBdr>
        <w:top w:val="none" w:sz="0" w:space="0" w:color="auto"/>
        <w:left w:val="none" w:sz="0" w:space="0" w:color="auto"/>
        <w:bottom w:val="none" w:sz="0" w:space="0" w:color="auto"/>
        <w:right w:val="none" w:sz="0" w:space="0" w:color="auto"/>
      </w:divBdr>
    </w:div>
    <w:div w:id="885027597">
      <w:bodyDiv w:val="1"/>
      <w:marLeft w:val="0"/>
      <w:marRight w:val="0"/>
      <w:marTop w:val="0"/>
      <w:marBottom w:val="0"/>
      <w:divBdr>
        <w:top w:val="none" w:sz="0" w:space="0" w:color="auto"/>
        <w:left w:val="none" w:sz="0" w:space="0" w:color="auto"/>
        <w:bottom w:val="none" w:sz="0" w:space="0" w:color="auto"/>
        <w:right w:val="none" w:sz="0" w:space="0" w:color="auto"/>
      </w:divBdr>
    </w:div>
    <w:div w:id="1058430706">
      <w:bodyDiv w:val="1"/>
      <w:marLeft w:val="0"/>
      <w:marRight w:val="0"/>
      <w:marTop w:val="0"/>
      <w:marBottom w:val="0"/>
      <w:divBdr>
        <w:top w:val="none" w:sz="0" w:space="0" w:color="auto"/>
        <w:left w:val="none" w:sz="0" w:space="0" w:color="auto"/>
        <w:bottom w:val="none" w:sz="0" w:space="0" w:color="auto"/>
        <w:right w:val="none" w:sz="0" w:space="0" w:color="auto"/>
      </w:divBdr>
    </w:div>
    <w:div w:id="1128086440">
      <w:bodyDiv w:val="1"/>
      <w:marLeft w:val="0"/>
      <w:marRight w:val="0"/>
      <w:marTop w:val="0"/>
      <w:marBottom w:val="0"/>
      <w:divBdr>
        <w:top w:val="none" w:sz="0" w:space="0" w:color="auto"/>
        <w:left w:val="none" w:sz="0" w:space="0" w:color="auto"/>
        <w:bottom w:val="none" w:sz="0" w:space="0" w:color="auto"/>
        <w:right w:val="none" w:sz="0" w:space="0" w:color="auto"/>
      </w:divBdr>
    </w:div>
    <w:div w:id="1142773874">
      <w:bodyDiv w:val="1"/>
      <w:marLeft w:val="0"/>
      <w:marRight w:val="0"/>
      <w:marTop w:val="0"/>
      <w:marBottom w:val="0"/>
      <w:divBdr>
        <w:top w:val="none" w:sz="0" w:space="0" w:color="auto"/>
        <w:left w:val="none" w:sz="0" w:space="0" w:color="auto"/>
        <w:bottom w:val="none" w:sz="0" w:space="0" w:color="auto"/>
        <w:right w:val="none" w:sz="0" w:space="0" w:color="auto"/>
      </w:divBdr>
    </w:div>
    <w:div w:id="1179927638">
      <w:bodyDiv w:val="1"/>
      <w:marLeft w:val="0"/>
      <w:marRight w:val="0"/>
      <w:marTop w:val="0"/>
      <w:marBottom w:val="0"/>
      <w:divBdr>
        <w:top w:val="none" w:sz="0" w:space="0" w:color="auto"/>
        <w:left w:val="none" w:sz="0" w:space="0" w:color="auto"/>
        <w:bottom w:val="none" w:sz="0" w:space="0" w:color="auto"/>
        <w:right w:val="none" w:sz="0" w:space="0" w:color="auto"/>
      </w:divBdr>
    </w:div>
    <w:div w:id="1194154861">
      <w:bodyDiv w:val="1"/>
      <w:marLeft w:val="0"/>
      <w:marRight w:val="0"/>
      <w:marTop w:val="0"/>
      <w:marBottom w:val="0"/>
      <w:divBdr>
        <w:top w:val="none" w:sz="0" w:space="0" w:color="auto"/>
        <w:left w:val="none" w:sz="0" w:space="0" w:color="auto"/>
        <w:bottom w:val="none" w:sz="0" w:space="0" w:color="auto"/>
        <w:right w:val="none" w:sz="0" w:space="0" w:color="auto"/>
      </w:divBdr>
    </w:div>
    <w:div w:id="1196850300">
      <w:bodyDiv w:val="1"/>
      <w:marLeft w:val="0"/>
      <w:marRight w:val="0"/>
      <w:marTop w:val="0"/>
      <w:marBottom w:val="0"/>
      <w:divBdr>
        <w:top w:val="none" w:sz="0" w:space="0" w:color="auto"/>
        <w:left w:val="none" w:sz="0" w:space="0" w:color="auto"/>
        <w:bottom w:val="none" w:sz="0" w:space="0" w:color="auto"/>
        <w:right w:val="none" w:sz="0" w:space="0" w:color="auto"/>
      </w:divBdr>
    </w:div>
    <w:div w:id="1217737524">
      <w:bodyDiv w:val="1"/>
      <w:marLeft w:val="0"/>
      <w:marRight w:val="0"/>
      <w:marTop w:val="0"/>
      <w:marBottom w:val="0"/>
      <w:divBdr>
        <w:top w:val="none" w:sz="0" w:space="0" w:color="auto"/>
        <w:left w:val="none" w:sz="0" w:space="0" w:color="auto"/>
        <w:bottom w:val="none" w:sz="0" w:space="0" w:color="auto"/>
        <w:right w:val="none" w:sz="0" w:space="0" w:color="auto"/>
      </w:divBdr>
    </w:div>
    <w:div w:id="1233464398">
      <w:bodyDiv w:val="1"/>
      <w:marLeft w:val="0"/>
      <w:marRight w:val="0"/>
      <w:marTop w:val="0"/>
      <w:marBottom w:val="0"/>
      <w:divBdr>
        <w:top w:val="none" w:sz="0" w:space="0" w:color="auto"/>
        <w:left w:val="none" w:sz="0" w:space="0" w:color="auto"/>
        <w:bottom w:val="none" w:sz="0" w:space="0" w:color="auto"/>
        <w:right w:val="none" w:sz="0" w:space="0" w:color="auto"/>
      </w:divBdr>
    </w:div>
    <w:div w:id="1321614425">
      <w:bodyDiv w:val="1"/>
      <w:marLeft w:val="0"/>
      <w:marRight w:val="0"/>
      <w:marTop w:val="0"/>
      <w:marBottom w:val="0"/>
      <w:divBdr>
        <w:top w:val="none" w:sz="0" w:space="0" w:color="auto"/>
        <w:left w:val="none" w:sz="0" w:space="0" w:color="auto"/>
        <w:bottom w:val="none" w:sz="0" w:space="0" w:color="auto"/>
        <w:right w:val="none" w:sz="0" w:space="0" w:color="auto"/>
      </w:divBdr>
    </w:div>
    <w:div w:id="1455782932">
      <w:bodyDiv w:val="1"/>
      <w:marLeft w:val="0"/>
      <w:marRight w:val="0"/>
      <w:marTop w:val="0"/>
      <w:marBottom w:val="0"/>
      <w:divBdr>
        <w:top w:val="none" w:sz="0" w:space="0" w:color="auto"/>
        <w:left w:val="none" w:sz="0" w:space="0" w:color="auto"/>
        <w:bottom w:val="none" w:sz="0" w:space="0" w:color="auto"/>
        <w:right w:val="none" w:sz="0" w:space="0" w:color="auto"/>
      </w:divBdr>
    </w:div>
    <w:div w:id="1474440928">
      <w:bodyDiv w:val="1"/>
      <w:marLeft w:val="0"/>
      <w:marRight w:val="0"/>
      <w:marTop w:val="0"/>
      <w:marBottom w:val="0"/>
      <w:divBdr>
        <w:top w:val="none" w:sz="0" w:space="0" w:color="auto"/>
        <w:left w:val="none" w:sz="0" w:space="0" w:color="auto"/>
        <w:bottom w:val="none" w:sz="0" w:space="0" w:color="auto"/>
        <w:right w:val="none" w:sz="0" w:space="0" w:color="auto"/>
      </w:divBdr>
    </w:div>
    <w:div w:id="1539708695">
      <w:bodyDiv w:val="1"/>
      <w:marLeft w:val="0"/>
      <w:marRight w:val="0"/>
      <w:marTop w:val="0"/>
      <w:marBottom w:val="0"/>
      <w:divBdr>
        <w:top w:val="none" w:sz="0" w:space="0" w:color="auto"/>
        <w:left w:val="none" w:sz="0" w:space="0" w:color="auto"/>
        <w:bottom w:val="none" w:sz="0" w:space="0" w:color="auto"/>
        <w:right w:val="none" w:sz="0" w:space="0" w:color="auto"/>
      </w:divBdr>
    </w:div>
    <w:div w:id="1572538477">
      <w:bodyDiv w:val="1"/>
      <w:marLeft w:val="0"/>
      <w:marRight w:val="0"/>
      <w:marTop w:val="0"/>
      <w:marBottom w:val="0"/>
      <w:divBdr>
        <w:top w:val="none" w:sz="0" w:space="0" w:color="auto"/>
        <w:left w:val="none" w:sz="0" w:space="0" w:color="auto"/>
        <w:bottom w:val="none" w:sz="0" w:space="0" w:color="auto"/>
        <w:right w:val="none" w:sz="0" w:space="0" w:color="auto"/>
      </w:divBdr>
    </w:div>
    <w:div w:id="1789934716">
      <w:bodyDiv w:val="1"/>
      <w:marLeft w:val="0"/>
      <w:marRight w:val="0"/>
      <w:marTop w:val="0"/>
      <w:marBottom w:val="0"/>
      <w:divBdr>
        <w:top w:val="none" w:sz="0" w:space="0" w:color="auto"/>
        <w:left w:val="none" w:sz="0" w:space="0" w:color="auto"/>
        <w:bottom w:val="none" w:sz="0" w:space="0" w:color="auto"/>
        <w:right w:val="none" w:sz="0" w:space="0" w:color="auto"/>
      </w:divBdr>
    </w:div>
    <w:div w:id="185572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bluestarsilicones.com/EN/our_offer/Product/90000817/_/BLUESIL-FLD-47V100" TargetMode="External"/><Relationship Id="rId4" Type="http://schemas.microsoft.com/office/2007/relationships/stylesWithEffects" Target="stylesWithEffects.xml"/><Relationship Id="rId9" Type="http://schemas.openxmlformats.org/officeDocument/2006/relationships/hyperlink" Target="http://www.silitech.ch/upload/complement_info_fournisseur_d/32.pdf"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igus-expert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1395CB-8FFA-471E-BAE3-7015E56A3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18</Pages>
  <Words>6630</Words>
  <Characters>37793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UN/SCETDG/47/INF.WGR</vt:lpstr>
    </vt:vector>
  </TitlesOfParts>
  <Company>CSD</Company>
  <LinksUpToDate>false</LinksUpToDate>
  <CharactersWithSpaces>44335</CharactersWithSpaces>
  <SharedDoc>false</SharedDoc>
  <HLinks>
    <vt:vector size="198" baseType="variant">
      <vt:variant>
        <vt:i4>6357053</vt:i4>
      </vt:variant>
      <vt:variant>
        <vt:i4>96</vt:i4>
      </vt:variant>
      <vt:variant>
        <vt:i4>0</vt:i4>
      </vt:variant>
      <vt:variant>
        <vt:i4>5</vt:i4>
      </vt:variant>
      <vt:variant>
        <vt:lpwstr>../../../../../undocs/AC10/C3/2014/INF/UN-SCETDG-45-INF08a5e-UN-SCEGHS-27-INF05a5e.doc</vt:lpwstr>
      </vt:variant>
      <vt:variant>
        <vt:lpwstr/>
      </vt:variant>
      <vt:variant>
        <vt:i4>6357053</vt:i4>
      </vt:variant>
      <vt:variant>
        <vt:i4>93</vt:i4>
      </vt:variant>
      <vt:variant>
        <vt:i4>0</vt:i4>
      </vt:variant>
      <vt:variant>
        <vt:i4>5</vt:i4>
      </vt:variant>
      <vt:variant>
        <vt:lpwstr>../../../../../undocs/AC10/C3/2014/INF/UN-SCETDG-45-INF08a4e-UN-SCEGHS-27-INF05a4e.doc</vt:lpwstr>
      </vt:variant>
      <vt:variant>
        <vt:lpwstr/>
      </vt:variant>
      <vt:variant>
        <vt:i4>6357053</vt:i4>
      </vt:variant>
      <vt:variant>
        <vt:i4>90</vt:i4>
      </vt:variant>
      <vt:variant>
        <vt:i4>0</vt:i4>
      </vt:variant>
      <vt:variant>
        <vt:i4>5</vt:i4>
      </vt:variant>
      <vt:variant>
        <vt:lpwstr>../../../../../undocs/AC10/C3/2014/INF/UN-SCETDG-45-INF08a3e-UN-SCEGHS-27-INF05a3e.doc</vt:lpwstr>
      </vt:variant>
      <vt:variant>
        <vt:lpwstr/>
      </vt:variant>
      <vt:variant>
        <vt:i4>6357053</vt:i4>
      </vt:variant>
      <vt:variant>
        <vt:i4>87</vt:i4>
      </vt:variant>
      <vt:variant>
        <vt:i4>0</vt:i4>
      </vt:variant>
      <vt:variant>
        <vt:i4>5</vt:i4>
      </vt:variant>
      <vt:variant>
        <vt:lpwstr>../../../../../undocs/AC10/C3/2014/INF/UN-SCETDG-45-INF08a2e-UN-SCEGHS-27-INF05a2e.doc</vt:lpwstr>
      </vt:variant>
      <vt:variant>
        <vt:lpwstr/>
      </vt:variant>
      <vt:variant>
        <vt:i4>6357053</vt:i4>
      </vt:variant>
      <vt:variant>
        <vt:i4>84</vt:i4>
      </vt:variant>
      <vt:variant>
        <vt:i4>0</vt:i4>
      </vt:variant>
      <vt:variant>
        <vt:i4>5</vt:i4>
      </vt:variant>
      <vt:variant>
        <vt:lpwstr>../../../../../undocs/AC10/C3/2014/INF/UN-SCETDG-45-INF08a1e-UN-SCEGHS-27-INF05a1e.doc</vt:lpwstr>
      </vt:variant>
      <vt:variant>
        <vt:lpwstr/>
      </vt:variant>
      <vt:variant>
        <vt:i4>6357053</vt:i4>
      </vt:variant>
      <vt:variant>
        <vt:i4>81</vt:i4>
      </vt:variant>
      <vt:variant>
        <vt:i4>0</vt:i4>
      </vt:variant>
      <vt:variant>
        <vt:i4>5</vt:i4>
      </vt:variant>
      <vt:variant>
        <vt:lpwstr>../../../../../undocs/AC10/C3/2014/INF/UN-SCETDG-45-INF08e-UN-SCEGHS-27-INF05e.doc</vt:lpwstr>
      </vt:variant>
      <vt:variant>
        <vt:lpwstr/>
      </vt:variant>
      <vt:variant>
        <vt:i4>6553667</vt:i4>
      </vt:variant>
      <vt:variant>
        <vt:i4>78</vt:i4>
      </vt:variant>
      <vt:variant>
        <vt:i4>0</vt:i4>
      </vt:variant>
      <vt:variant>
        <vt:i4>5</vt:i4>
      </vt:variant>
      <vt:variant>
        <vt:lpwstr>../../../../../undocs/AC10/C3/2014/INF/UN-SCETDG-46-INF44e_UN-SCEGHS-28-INF19e.doc</vt:lpwstr>
      </vt:variant>
      <vt:variant>
        <vt:lpwstr/>
      </vt:variant>
      <vt:variant>
        <vt:i4>2883704</vt:i4>
      </vt:variant>
      <vt:variant>
        <vt:i4>75</vt:i4>
      </vt:variant>
      <vt:variant>
        <vt:i4>0</vt:i4>
      </vt:variant>
      <vt:variant>
        <vt:i4>5</vt:i4>
      </vt:variant>
      <vt:variant>
        <vt:lpwstr>../../../../../undocs/AC10/C3/2015/INF/UN-SCETDG-47-INF31-UN-SCEGHS-29-INF.9e.docx</vt:lpwstr>
      </vt:variant>
      <vt:variant>
        <vt:lpwstr/>
      </vt:variant>
      <vt:variant>
        <vt:i4>6422586</vt:i4>
      </vt:variant>
      <vt:variant>
        <vt:i4>72</vt:i4>
      </vt:variant>
      <vt:variant>
        <vt:i4>0</vt:i4>
      </vt:variant>
      <vt:variant>
        <vt:i4>5</vt:i4>
      </vt:variant>
      <vt:variant>
        <vt:lpwstr>../../../../../undocs/AC10/C3/2015/INF/UN-SCETDG-47-INF21e-UN-SCEGHS-29-INF07e.doc</vt:lpwstr>
      </vt:variant>
      <vt:variant>
        <vt:lpwstr/>
      </vt:variant>
      <vt:variant>
        <vt:i4>6291518</vt:i4>
      </vt:variant>
      <vt:variant>
        <vt:i4>69</vt:i4>
      </vt:variant>
      <vt:variant>
        <vt:i4>0</vt:i4>
      </vt:variant>
      <vt:variant>
        <vt:i4>5</vt:i4>
      </vt:variant>
      <vt:variant>
        <vt:lpwstr>../../../../../undocs/AC10/C3/2015/INF/UN-SCETDG-47-INF06e-UN-SCEGHS-29-INF04e.doc</vt:lpwstr>
      </vt:variant>
      <vt:variant>
        <vt:lpwstr/>
      </vt:variant>
      <vt:variant>
        <vt:i4>3932273</vt:i4>
      </vt:variant>
      <vt:variant>
        <vt:i4>66</vt:i4>
      </vt:variant>
      <vt:variant>
        <vt:i4>0</vt:i4>
      </vt:variant>
      <vt:variant>
        <vt:i4>5</vt:i4>
      </vt:variant>
      <vt:variant>
        <vt:lpwstr>../../../../../undocs/AC10/C3/2014/ST-SG-AC.10-C.3-2014-61-ST-SG-AC.10-C.4-2014-8e.doc</vt:lpwstr>
      </vt:variant>
      <vt:variant>
        <vt:lpwstr/>
      </vt:variant>
      <vt:variant>
        <vt:i4>7209002</vt:i4>
      </vt:variant>
      <vt:variant>
        <vt:i4>63</vt:i4>
      </vt:variant>
      <vt:variant>
        <vt:i4>0</vt:i4>
      </vt:variant>
      <vt:variant>
        <vt:i4>5</vt:i4>
      </vt:variant>
      <vt:variant>
        <vt:lpwstr>../../../../../undocs/AC10/C3/2015/INF/UN-SCETDG-47-INF50e.docx</vt:lpwstr>
      </vt:variant>
      <vt:variant>
        <vt:lpwstr/>
      </vt:variant>
      <vt:variant>
        <vt:i4>7274539</vt:i4>
      </vt:variant>
      <vt:variant>
        <vt:i4>60</vt:i4>
      </vt:variant>
      <vt:variant>
        <vt:i4>0</vt:i4>
      </vt:variant>
      <vt:variant>
        <vt:i4>5</vt:i4>
      </vt:variant>
      <vt:variant>
        <vt:lpwstr>../../../../../undocs/AC10/C3/2015/INF/UN-SCETDG-47-INF41e.docx</vt:lpwstr>
      </vt:variant>
      <vt:variant>
        <vt:lpwstr/>
      </vt:variant>
      <vt:variant>
        <vt:i4>6881315</vt:i4>
      </vt:variant>
      <vt:variant>
        <vt:i4>57</vt:i4>
      </vt:variant>
      <vt:variant>
        <vt:i4>0</vt:i4>
      </vt:variant>
      <vt:variant>
        <vt:i4>5</vt:i4>
      </vt:variant>
      <vt:variant>
        <vt:lpwstr>../../../../../undocs/AC10/C3/2015/INF/UN-SCETDG-47-INF29e.doc</vt:lpwstr>
      </vt:variant>
      <vt:variant>
        <vt:lpwstr/>
      </vt:variant>
      <vt:variant>
        <vt:i4>7012387</vt:i4>
      </vt:variant>
      <vt:variant>
        <vt:i4>54</vt:i4>
      </vt:variant>
      <vt:variant>
        <vt:i4>0</vt:i4>
      </vt:variant>
      <vt:variant>
        <vt:i4>5</vt:i4>
      </vt:variant>
      <vt:variant>
        <vt:lpwstr>../../../../../undocs/AC10/C3/2015/INF/UN-SCETDG-47-INF09e.doc</vt:lpwstr>
      </vt:variant>
      <vt:variant>
        <vt:lpwstr/>
      </vt:variant>
      <vt:variant>
        <vt:i4>7012386</vt:i4>
      </vt:variant>
      <vt:variant>
        <vt:i4>51</vt:i4>
      </vt:variant>
      <vt:variant>
        <vt:i4>0</vt:i4>
      </vt:variant>
      <vt:variant>
        <vt:i4>5</vt:i4>
      </vt:variant>
      <vt:variant>
        <vt:lpwstr>../../../../../undocs/AC10/C3/2015/INF/UN-SCETDG-47-INF08e.doc</vt:lpwstr>
      </vt:variant>
      <vt:variant>
        <vt:lpwstr/>
      </vt:variant>
      <vt:variant>
        <vt:i4>2293872</vt:i4>
      </vt:variant>
      <vt:variant>
        <vt:i4>48</vt:i4>
      </vt:variant>
      <vt:variant>
        <vt:i4>0</vt:i4>
      </vt:variant>
      <vt:variant>
        <vt:i4>5</vt:i4>
      </vt:variant>
      <vt:variant>
        <vt:lpwstr>../../../../../undocs/AC10/C3/2015/ST-SG-AC.10-C.3-2015-13e.doc</vt:lpwstr>
      </vt:variant>
      <vt:variant>
        <vt:lpwstr/>
      </vt:variant>
      <vt:variant>
        <vt:i4>2097264</vt:i4>
      </vt:variant>
      <vt:variant>
        <vt:i4>45</vt:i4>
      </vt:variant>
      <vt:variant>
        <vt:i4>0</vt:i4>
      </vt:variant>
      <vt:variant>
        <vt:i4>5</vt:i4>
      </vt:variant>
      <vt:variant>
        <vt:lpwstr>../../../../../undocs/AC10/C3/2015/ST-SG-AC.10-C.3-2015-10e.doc</vt:lpwstr>
      </vt:variant>
      <vt:variant>
        <vt:lpwstr/>
      </vt:variant>
      <vt:variant>
        <vt:i4>6422583</vt:i4>
      </vt:variant>
      <vt:variant>
        <vt:i4>42</vt:i4>
      </vt:variant>
      <vt:variant>
        <vt:i4>0</vt:i4>
      </vt:variant>
      <vt:variant>
        <vt:i4>5</vt:i4>
      </vt:variant>
      <vt:variant>
        <vt:lpwstr>../../../../../undocs/AC10/C3/2015/INF/UN-SCETDG-47-INF23e-UN-SCEGHS-29-INF08e.doc</vt:lpwstr>
      </vt:variant>
      <vt:variant>
        <vt:lpwstr/>
      </vt:variant>
      <vt:variant>
        <vt:i4>7274537</vt:i4>
      </vt:variant>
      <vt:variant>
        <vt:i4>39</vt:i4>
      </vt:variant>
      <vt:variant>
        <vt:i4>0</vt:i4>
      </vt:variant>
      <vt:variant>
        <vt:i4>5</vt:i4>
      </vt:variant>
      <vt:variant>
        <vt:lpwstr>../../../../../undocs/AC10/C3/2015/ST-SG-AC.10-C.3-2015-27e-ST-SG-AC.10-C.4-2015-6e.doc</vt:lpwstr>
      </vt:variant>
      <vt:variant>
        <vt:lpwstr/>
      </vt:variant>
      <vt:variant>
        <vt:i4>6815778</vt:i4>
      </vt:variant>
      <vt:variant>
        <vt:i4>36</vt:i4>
      </vt:variant>
      <vt:variant>
        <vt:i4>0</vt:i4>
      </vt:variant>
      <vt:variant>
        <vt:i4>5</vt:i4>
      </vt:variant>
      <vt:variant>
        <vt:lpwstr>../../../../../undocs/AC10/C3/2015/INF/UN-SCETDG-47-INF38e.docx</vt:lpwstr>
      </vt:variant>
      <vt:variant>
        <vt:lpwstr/>
      </vt:variant>
      <vt:variant>
        <vt:i4>7274541</vt:i4>
      </vt:variant>
      <vt:variant>
        <vt:i4>33</vt:i4>
      </vt:variant>
      <vt:variant>
        <vt:i4>0</vt:i4>
      </vt:variant>
      <vt:variant>
        <vt:i4>5</vt:i4>
      </vt:variant>
      <vt:variant>
        <vt:lpwstr>../../../../../undocs/AC10/C3/2015/INF/UN-SCETDG-47-INF47e.docx</vt:lpwstr>
      </vt:variant>
      <vt:variant>
        <vt:lpwstr/>
      </vt:variant>
      <vt:variant>
        <vt:i4>2556024</vt:i4>
      </vt:variant>
      <vt:variant>
        <vt:i4>30</vt:i4>
      </vt:variant>
      <vt:variant>
        <vt:i4>0</vt:i4>
      </vt:variant>
      <vt:variant>
        <vt:i4>5</vt:i4>
      </vt:variant>
      <vt:variant>
        <vt:lpwstr>../../../../../undocs/AC10/C3/2014/ST-SG-AC.10-C.3-2014-86e.doc</vt:lpwstr>
      </vt:variant>
      <vt:variant>
        <vt:lpwstr/>
      </vt:variant>
      <vt:variant>
        <vt:i4>6815789</vt:i4>
      </vt:variant>
      <vt:variant>
        <vt:i4>27</vt:i4>
      </vt:variant>
      <vt:variant>
        <vt:i4>0</vt:i4>
      </vt:variant>
      <vt:variant>
        <vt:i4>5</vt:i4>
      </vt:variant>
      <vt:variant>
        <vt:lpwstr>../../../../../undocs/AC10/C3/2015/INF/UN-SCETDG-47-INF37e.docx</vt:lpwstr>
      </vt:variant>
      <vt:variant>
        <vt:lpwstr/>
      </vt:variant>
      <vt:variant>
        <vt:i4>2490483</vt:i4>
      </vt:variant>
      <vt:variant>
        <vt:i4>24</vt:i4>
      </vt:variant>
      <vt:variant>
        <vt:i4>0</vt:i4>
      </vt:variant>
      <vt:variant>
        <vt:i4>5</vt:i4>
      </vt:variant>
      <vt:variant>
        <vt:lpwstr>../../../../../undocs/AC10/C3/2015/ST-SG-AC.10-C.3-2015-26e.doc</vt:lpwstr>
      </vt:variant>
      <vt:variant>
        <vt:lpwstr/>
      </vt:variant>
      <vt:variant>
        <vt:i4>7274538</vt:i4>
      </vt:variant>
      <vt:variant>
        <vt:i4>21</vt:i4>
      </vt:variant>
      <vt:variant>
        <vt:i4>0</vt:i4>
      </vt:variant>
      <vt:variant>
        <vt:i4>5</vt:i4>
      </vt:variant>
      <vt:variant>
        <vt:lpwstr>../../../../../undocs/AC10/C3/2015/INF/UN-SCETDG-47-INF40e.docx</vt:lpwstr>
      </vt:variant>
      <vt:variant>
        <vt:lpwstr/>
      </vt:variant>
      <vt:variant>
        <vt:i4>7012393</vt:i4>
      </vt:variant>
      <vt:variant>
        <vt:i4>18</vt:i4>
      </vt:variant>
      <vt:variant>
        <vt:i4>0</vt:i4>
      </vt:variant>
      <vt:variant>
        <vt:i4>5</vt:i4>
      </vt:variant>
      <vt:variant>
        <vt:lpwstr>../../../../../undocs/AC10/C3/2015/INF/UN-SCETDG-47-INF03e.doc</vt:lpwstr>
      </vt:variant>
      <vt:variant>
        <vt:lpwstr/>
      </vt:variant>
      <vt:variant>
        <vt:i4>3342389</vt:i4>
      </vt:variant>
      <vt:variant>
        <vt:i4>15</vt:i4>
      </vt:variant>
      <vt:variant>
        <vt:i4>0</vt:i4>
      </vt:variant>
      <vt:variant>
        <vt:i4>5</vt:i4>
      </vt:variant>
      <vt:variant>
        <vt:lpwstr>../../../../../undocs/AC10/C3/2015/ST-SG-AC.10-C.3-2015-4e.doc</vt:lpwstr>
      </vt:variant>
      <vt:variant>
        <vt:lpwstr/>
      </vt:variant>
      <vt:variant>
        <vt:i4>3342387</vt:i4>
      </vt:variant>
      <vt:variant>
        <vt:i4>12</vt:i4>
      </vt:variant>
      <vt:variant>
        <vt:i4>0</vt:i4>
      </vt:variant>
      <vt:variant>
        <vt:i4>5</vt:i4>
      </vt:variant>
      <vt:variant>
        <vt:lpwstr>../../../../../undocs/AC10/C3/2015/ST-SG-AC.10-C.3-2015-2e.doc</vt:lpwstr>
      </vt:variant>
      <vt:variant>
        <vt:lpwstr/>
      </vt:variant>
      <vt:variant>
        <vt:i4>6946858</vt:i4>
      </vt:variant>
      <vt:variant>
        <vt:i4>9</vt:i4>
      </vt:variant>
      <vt:variant>
        <vt:i4>0</vt:i4>
      </vt:variant>
      <vt:variant>
        <vt:i4>5</vt:i4>
      </vt:variant>
      <vt:variant>
        <vt:lpwstr>../../../../../undocs/AC10/C3/2015/INF/UN-SCETDG-47-INF10e.doc</vt:lpwstr>
      </vt:variant>
      <vt:variant>
        <vt:lpwstr/>
      </vt:variant>
      <vt:variant>
        <vt:i4>6881314</vt:i4>
      </vt:variant>
      <vt:variant>
        <vt:i4>6</vt:i4>
      </vt:variant>
      <vt:variant>
        <vt:i4>0</vt:i4>
      </vt:variant>
      <vt:variant>
        <vt:i4>5</vt:i4>
      </vt:variant>
      <vt:variant>
        <vt:lpwstr>../../../../../undocs/AC10/C3/2015/INF/UN-SCETDG-47-INF28e.doc</vt:lpwstr>
      </vt:variant>
      <vt:variant>
        <vt:lpwstr/>
      </vt:variant>
      <vt:variant>
        <vt:i4>2228336</vt:i4>
      </vt:variant>
      <vt:variant>
        <vt:i4>3</vt:i4>
      </vt:variant>
      <vt:variant>
        <vt:i4>0</vt:i4>
      </vt:variant>
      <vt:variant>
        <vt:i4>5</vt:i4>
      </vt:variant>
      <vt:variant>
        <vt:lpwstr>../../../../../undocs/AC10/C3/2015/ST-SG-AC.10-C.3-2015-12e.doc</vt:lpwstr>
      </vt:variant>
      <vt:variant>
        <vt:lpwstr/>
      </vt:variant>
      <vt:variant>
        <vt:i4>2293879</vt:i4>
      </vt:variant>
      <vt:variant>
        <vt:i4>0</vt:i4>
      </vt:variant>
      <vt:variant>
        <vt:i4>0</vt:i4>
      </vt:variant>
      <vt:variant>
        <vt:i4>5</vt:i4>
      </vt:variant>
      <vt:variant>
        <vt:lpwstr>../../../../../undocs/AC10/C3/2014/ST-SG-AC.10-C.3-2014-72e.doc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UN/SCETDG/47/INF.WGR</dc:title>
  <dc:creator>dboston@ime.org</dc:creator>
  <cp:lastModifiedBy>Laurence Berthet</cp:lastModifiedBy>
  <cp:revision>2</cp:revision>
  <cp:lastPrinted>2016-07-01T12:11:00Z</cp:lastPrinted>
  <dcterms:created xsi:type="dcterms:W3CDTF">2016-07-01T12:13:00Z</dcterms:created>
  <dcterms:modified xsi:type="dcterms:W3CDTF">2016-07-01T12:13:00Z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