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AA6DCC" w:rsidRPr="00B4269F" w:rsidTr="00A90D9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6DCC" w:rsidRPr="00B4269F" w:rsidRDefault="00AA6DCC" w:rsidP="00AA6DCC">
            <w:pPr>
              <w:suppressAutoHyphens/>
              <w:spacing w:after="8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US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6DCC" w:rsidRPr="00B4269F" w:rsidRDefault="00AA6DCC" w:rsidP="00AA6DCC">
            <w:pPr>
              <w:suppressAutoHyphens/>
              <w:spacing w:after="8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6DCC" w:rsidRPr="00B4269F" w:rsidRDefault="00AA6DCC" w:rsidP="00B4269F">
            <w:pPr>
              <w:spacing w:after="20" w:line="24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</w:pPr>
            <w:r w:rsidRPr="00B42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  <w:t>INF.</w:t>
            </w:r>
            <w:r w:rsidR="00B4269F" w:rsidRPr="00B426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  <w:t>7</w:t>
            </w:r>
          </w:p>
        </w:tc>
      </w:tr>
    </w:tbl>
    <w:p w:rsidR="00AA6DCC" w:rsidRPr="00AA6DCC" w:rsidRDefault="00AA6DCC" w:rsidP="00AA6DCC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</w:pPr>
      <w:r w:rsidRPr="00AA6DCC">
        <w:rPr>
          <w:rFonts w:ascii="Times New Roman" w:eastAsia="Times New Roman" w:hAnsi="Times New Roman" w:cs="Times New Roman"/>
          <w:b/>
          <w:sz w:val="28"/>
          <w:szCs w:val="28"/>
          <w:lang w:val="en-GB" w:eastAsia="en-US"/>
        </w:rPr>
        <w:t>Economic Commission for Europe</w:t>
      </w:r>
    </w:p>
    <w:p w:rsidR="00AA6DCC" w:rsidRPr="00AA6DCC" w:rsidRDefault="00AA6DCC" w:rsidP="00AA6DCC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</w:pPr>
      <w:r w:rsidRPr="00AA6DCC">
        <w:rPr>
          <w:rFonts w:ascii="Times New Roman" w:eastAsia="Times New Roman" w:hAnsi="Times New Roman" w:cs="Times New Roman"/>
          <w:sz w:val="28"/>
          <w:szCs w:val="28"/>
          <w:lang w:val="en-GB" w:eastAsia="en-US"/>
        </w:rPr>
        <w:t>Inland Transport Committee</w:t>
      </w:r>
    </w:p>
    <w:p w:rsidR="00AA6DCC" w:rsidRPr="00AA6DCC" w:rsidRDefault="00AA6DCC" w:rsidP="00AA6DCC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AA6DCC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Working Party on the Transport of Dangerous Goods</w:t>
      </w:r>
    </w:p>
    <w:p w:rsidR="00B4269F" w:rsidRPr="00B4269F" w:rsidRDefault="00B4269F" w:rsidP="00B4269F">
      <w:pPr>
        <w:suppressAutoHyphens/>
        <w:spacing w:before="120"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val="en-GB" w:eastAsia="en-US"/>
        </w:rPr>
      </w:pPr>
      <w:r w:rsidRPr="00B4269F">
        <w:rPr>
          <w:rFonts w:ascii="Times New Roman" w:eastAsia="Times New Roman" w:hAnsi="Times New Roman" w:cs="Times New Roman"/>
          <w:b/>
          <w:sz w:val="20"/>
          <w:szCs w:val="20"/>
          <w:lang w:val="en-GB" w:eastAsia="en-US"/>
        </w:rPr>
        <w:t xml:space="preserve">Ninety-ninth </w:t>
      </w:r>
      <w:proofErr w:type="gramStart"/>
      <w:r w:rsidRPr="00B4269F">
        <w:rPr>
          <w:rFonts w:ascii="Times New Roman" w:eastAsia="Times New Roman" w:hAnsi="Times New Roman" w:cs="Times New Roman"/>
          <w:b/>
          <w:sz w:val="20"/>
          <w:szCs w:val="20"/>
          <w:lang w:val="en-GB" w:eastAsia="en-US"/>
        </w:rPr>
        <w:t>session</w:t>
      </w:r>
      <w:proofErr w:type="gramEnd"/>
    </w:p>
    <w:p w:rsidR="00B4269F" w:rsidRPr="00B4269F" w:rsidRDefault="00B4269F" w:rsidP="00B4269F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B4269F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>Geneva, 9-13 November 2015</w:t>
      </w:r>
    </w:p>
    <w:p w:rsidR="00B4269F" w:rsidRPr="00B4269F" w:rsidRDefault="00B4269F" w:rsidP="00B4269F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</w:pPr>
      <w:r w:rsidRPr="00B4269F">
        <w:rPr>
          <w:rFonts w:ascii="Times New Roman" w:eastAsia="Times New Roman" w:hAnsi="Times New Roman" w:cs="Times New Roman"/>
          <w:sz w:val="20"/>
          <w:szCs w:val="20"/>
          <w:lang w:val="en-GB" w:eastAsia="en-US"/>
        </w:rPr>
        <w:t>Item 6 (a) of the provisional agenda</w:t>
      </w:r>
    </w:p>
    <w:p w:rsidR="00B4269F" w:rsidRPr="00B4269F" w:rsidRDefault="00B4269F" w:rsidP="00B4269F">
      <w:pPr>
        <w:keepNext/>
        <w:keepLines/>
        <w:suppressAutoHyphens/>
        <w:spacing w:after="0" w:line="240" w:lineRule="atLeast"/>
        <w:ind w:right="113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 w:eastAsia="en-US"/>
        </w:rPr>
      </w:pPr>
      <w:r w:rsidRPr="00B4269F">
        <w:rPr>
          <w:rFonts w:ascii="Times New Roman" w:eastAsia="Times New Roman" w:hAnsi="Times New Roman" w:cs="Times New Roman"/>
          <w:b/>
          <w:sz w:val="20"/>
          <w:szCs w:val="20"/>
          <w:lang w:val="en-GB" w:eastAsia="en-US"/>
        </w:rPr>
        <w:t>Proposals for amendments to Annexes A and B of ADR:</w:t>
      </w:r>
    </w:p>
    <w:p w:rsidR="00B4269F" w:rsidRPr="00B4269F" w:rsidRDefault="00B4269F" w:rsidP="00B4269F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sz w:val="20"/>
          <w:szCs w:val="20"/>
          <w:lang w:val="en-GB" w:eastAsia="en-US"/>
        </w:rPr>
      </w:pPr>
      <w:proofErr w:type="gramStart"/>
      <w:r w:rsidRPr="00B4269F">
        <w:rPr>
          <w:rFonts w:ascii="Times New Roman" w:eastAsia="Times New Roman" w:hAnsi="Times New Roman" w:cs="Times New Roman"/>
          <w:b/>
          <w:sz w:val="20"/>
          <w:szCs w:val="24"/>
          <w:lang w:val="en-GB" w:eastAsia="en-US"/>
        </w:rPr>
        <w:t>construction</w:t>
      </w:r>
      <w:proofErr w:type="gramEnd"/>
      <w:r w:rsidRPr="00B4269F">
        <w:rPr>
          <w:rFonts w:ascii="Times New Roman" w:eastAsia="Times New Roman" w:hAnsi="Times New Roman" w:cs="Times New Roman"/>
          <w:b/>
          <w:sz w:val="20"/>
          <w:szCs w:val="24"/>
          <w:lang w:val="en-GB" w:eastAsia="en-US"/>
        </w:rPr>
        <w:t xml:space="preserve"> and approval of vehicles</w:t>
      </w:r>
    </w:p>
    <w:p w:rsidR="00AA6DCC" w:rsidRPr="00D077FC" w:rsidRDefault="00AA6DCC" w:rsidP="00AA6DCC">
      <w:pPr>
        <w:keepNext/>
        <w:keepLines/>
        <w:tabs>
          <w:tab w:val="right" w:pos="851"/>
        </w:tabs>
        <w:suppressAutoHyphens/>
        <w:spacing w:before="360" w:after="240" w:line="300" w:lineRule="exact"/>
        <w:ind w:left="1134" w:right="1134" w:hanging="1134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  <w:r w:rsidRPr="00AA6DCC">
        <w:rPr>
          <w:rFonts w:ascii="Times New Roman" w:eastAsia="Times New Roman" w:hAnsi="Times New Roman" w:cs="Times New Roman"/>
          <w:b/>
          <w:sz w:val="28"/>
          <w:szCs w:val="20"/>
          <w:lang w:val="en-GB" w:eastAsia="en-US"/>
        </w:rPr>
        <w:tab/>
      </w:r>
      <w:r w:rsidRPr="00AA6DCC">
        <w:rPr>
          <w:rFonts w:ascii="Times New Roman" w:eastAsia="Times New Roman" w:hAnsi="Times New Roman" w:cs="Times New Roman"/>
          <w:b/>
          <w:sz w:val="28"/>
          <w:szCs w:val="20"/>
          <w:lang w:val="en-GB" w:eastAsia="en-US"/>
        </w:rPr>
        <w:tab/>
      </w:r>
      <w:r w:rsidRPr="00AA6DCC">
        <w:rPr>
          <w:rFonts w:ascii="Times New Roman" w:eastAsia="Times New Roman" w:hAnsi="Times New Roman" w:cs="Times New Roman"/>
          <w:b/>
          <w:sz w:val="28"/>
          <w:szCs w:val="20"/>
          <w:lang w:val="en-US" w:eastAsia="en-US"/>
        </w:rPr>
        <w:t xml:space="preserve">Report of the informal working group on </w:t>
      </w:r>
      <w:r w:rsidR="00EC6AFB">
        <w:rPr>
          <w:rFonts w:ascii="Times New Roman" w:eastAsia="Times New Roman" w:hAnsi="Times New Roman" w:cs="Times New Roman"/>
          <w:b/>
          <w:sz w:val="28"/>
          <w:szCs w:val="20"/>
          <w:lang w:val="en-US" w:eastAsia="en-US"/>
        </w:rPr>
        <w:t xml:space="preserve">the </w:t>
      </w:r>
      <w:proofErr w:type="gramStart"/>
      <w:r w:rsidRPr="00AA6DCC">
        <w:rPr>
          <w:rFonts w:ascii="Times New Roman" w:eastAsia="Times New Roman" w:hAnsi="Times New Roman" w:cs="Times New Roman"/>
          <w:b/>
          <w:sz w:val="28"/>
          <w:szCs w:val="20"/>
          <w:lang w:val="en-US" w:eastAsia="en-US"/>
        </w:rPr>
        <w:t>electrical  system</w:t>
      </w:r>
      <w:proofErr w:type="gramEnd"/>
      <w:r w:rsidRPr="00AA6DCC">
        <w:rPr>
          <w:rFonts w:ascii="Times New Roman" w:eastAsia="Times New Roman" w:hAnsi="Times New Roman" w:cs="Times New Roman"/>
          <w:b/>
          <w:sz w:val="28"/>
          <w:szCs w:val="20"/>
          <w:lang w:val="x-none"/>
        </w:rPr>
        <w:t xml:space="preserve"> </w:t>
      </w:r>
      <w:r w:rsidR="00EC6AFB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of vehicles carrying dangerous goods</w:t>
      </w:r>
    </w:p>
    <w:p w:rsidR="00AA6DCC" w:rsidRPr="00AA6DCC" w:rsidRDefault="00AA6DCC" w:rsidP="00AA6DCC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</w:pPr>
      <w:r w:rsidRPr="00AA6DCC"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ab/>
      </w:r>
      <w:r w:rsidRPr="00AA6DCC">
        <w:rPr>
          <w:rFonts w:ascii="Times New Roman" w:eastAsia="Times New Roman" w:hAnsi="Times New Roman" w:cs="Times New Roman"/>
          <w:b/>
          <w:sz w:val="24"/>
          <w:szCs w:val="20"/>
          <w:lang w:val="en-US" w:eastAsia="en-US"/>
        </w:rPr>
        <w:tab/>
        <w:t>Transmitted by the Government of the Netherlands</w:t>
      </w:r>
    </w:p>
    <w:p w:rsidR="00A81AC5" w:rsidRPr="002F5FF2" w:rsidRDefault="001541F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FF2">
        <w:rPr>
          <w:rFonts w:ascii="Times New Roman" w:hAnsi="Times New Roman" w:cs="Times New Roman"/>
          <w:b/>
          <w:sz w:val="20"/>
          <w:szCs w:val="20"/>
          <w:lang w:val="en-US"/>
        </w:rPr>
        <w:t>Introduction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br/>
      </w:r>
      <w:r w:rsidR="00771522" w:rsidRPr="002F5FF2">
        <w:rPr>
          <w:rFonts w:ascii="Times New Roman" w:hAnsi="Times New Roman" w:cs="Times New Roman"/>
          <w:sz w:val="20"/>
          <w:szCs w:val="20"/>
          <w:lang w:val="en-US"/>
        </w:rPr>
        <w:t>The informal working group met for</w:t>
      </w:r>
      <w:r w:rsidR="00B75AB1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71522" w:rsidRPr="002F5FF2">
        <w:rPr>
          <w:rFonts w:ascii="Times New Roman" w:hAnsi="Times New Roman" w:cs="Times New Roman"/>
          <w:sz w:val="20"/>
          <w:szCs w:val="20"/>
          <w:lang w:val="en-US"/>
        </w:rPr>
        <w:t>the third session on 2 and 3 June in Utrecht</w:t>
      </w:r>
      <w:r w:rsidR="00B75AB1" w:rsidRPr="002F5FF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7152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the Netherlands under</w:t>
      </w:r>
      <w:r w:rsidR="00926F2D">
        <w:rPr>
          <w:rFonts w:ascii="Times New Roman" w:hAnsi="Times New Roman" w:cs="Times New Roman"/>
          <w:sz w:val="20"/>
          <w:szCs w:val="20"/>
          <w:lang w:val="en-US"/>
        </w:rPr>
        <w:t xml:space="preserve"> a</w:t>
      </w:r>
      <w:r w:rsidR="0077152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mandate of the WP.15. Thirteen experts attended the working group representing France, Germany, Norway, Sweden, the Netherlands</w:t>
      </w:r>
      <w:proofErr w:type="gramStart"/>
      <w:r w:rsidR="00EC6AFB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77152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 OICA</w:t>
      </w:r>
      <w:proofErr w:type="gramEnd"/>
      <w:r w:rsidR="0077152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and CLEPA.</w:t>
      </w:r>
    </w:p>
    <w:p w:rsidR="00BE26E8" w:rsidRPr="002F5FF2" w:rsidRDefault="001541F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FF2">
        <w:rPr>
          <w:rFonts w:ascii="Times New Roman" w:hAnsi="Times New Roman" w:cs="Times New Roman"/>
          <w:b/>
          <w:sz w:val="20"/>
          <w:szCs w:val="20"/>
          <w:lang w:val="en-US"/>
        </w:rPr>
        <w:t>Summary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br/>
      </w:r>
      <w:r w:rsidR="00771522" w:rsidRPr="002F5FF2">
        <w:rPr>
          <w:rFonts w:ascii="Times New Roman" w:hAnsi="Times New Roman" w:cs="Times New Roman"/>
          <w:sz w:val="20"/>
          <w:szCs w:val="20"/>
          <w:lang w:val="en-US"/>
        </w:rPr>
        <w:t>The working group took note of the comme</w:t>
      </w:r>
      <w:r w:rsidR="003A5124" w:rsidRPr="002F5FF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771522" w:rsidRPr="002F5FF2">
        <w:rPr>
          <w:rFonts w:ascii="Times New Roman" w:hAnsi="Times New Roman" w:cs="Times New Roman"/>
          <w:sz w:val="20"/>
          <w:szCs w:val="20"/>
          <w:lang w:val="en-US"/>
        </w:rPr>
        <w:t>ts rec</w:t>
      </w:r>
      <w:r w:rsidR="003A5124" w:rsidRPr="002F5FF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771522" w:rsidRPr="002F5FF2">
        <w:rPr>
          <w:rFonts w:ascii="Times New Roman" w:hAnsi="Times New Roman" w:cs="Times New Roman"/>
          <w:sz w:val="20"/>
          <w:szCs w:val="20"/>
          <w:lang w:val="en-US"/>
        </w:rPr>
        <w:t>ive</w:t>
      </w:r>
      <w:r w:rsidR="003A5124" w:rsidRPr="002F5FF2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77152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87C5F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by WP.15 </w:t>
      </w:r>
      <w:r w:rsidR="00EC6AFB">
        <w:rPr>
          <w:rFonts w:ascii="Times New Roman" w:hAnsi="Times New Roman" w:cs="Times New Roman"/>
          <w:sz w:val="20"/>
          <w:szCs w:val="20"/>
          <w:lang w:val="en-US"/>
        </w:rPr>
        <w:t xml:space="preserve">during the May 2015 session </w:t>
      </w:r>
      <w:r w:rsidR="00771522" w:rsidRPr="002F5FF2">
        <w:rPr>
          <w:rFonts w:ascii="Times New Roman" w:hAnsi="Times New Roman" w:cs="Times New Roman"/>
          <w:sz w:val="20"/>
          <w:szCs w:val="20"/>
          <w:lang w:val="en-US"/>
        </w:rPr>
        <w:t>and the new information that had become available since the second session.</w:t>
      </w:r>
      <w:r w:rsidR="003A5124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It was agreed not to discuss hybrid</w:t>
      </w:r>
      <w:r w:rsidR="006156C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A5124" w:rsidRPr="002F5FF2">
        <w:rPr>
          <w:rFonts w:ascii="Times New Roman" w:hAnsi="Times New Roman" w:cs="Times New Roman"/>
          <w:sz w:val="20"/>
          <w:szCs w:val="20"/>
          <w:lang w:val="en-US"/>
        </w:rPr>
        <w:t>electric vehicles and the construction of EX/III bodies as this required specialized input</w:t>
      </w:r>
      <w:r w:rsidR="00B75AB1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C6AFB">
        <w:rPr>
          <w:rFonts w:ascii="Times New Roman" w:hAnsi="Times New Roman" w:cs="Times New Roman"/>
          <w:sz w:val="20"/>
          <w:szCs w:val="20"/>
          <w:lang w:val="en-US"/>
        </w:rPr>
        <w:t xml:space="preserve">that </w:t>
      </w:r>
      <w:r w:rsidR="00387C5F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currently </w:t>
      </w:r>
      <w:r w:rsidR="00EC6AFB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="00B75AB1" w:rsidRPr="002F5FF2">
        <w:rPr>
          <w:rFonts w:ascii="Times New Roman" w:hAnsi="Times New Roman" w:cs="Times New Roman"/>
          <w:sz w:val="20"/>
          <w:szCs w:val="20"/>
          <w:lang w:val="en-US"/>
        </w:rPr>
        <w:t>not available</w:t>
      </w:r>
      <w:r w:rsidR="003A5124" w:rsidRPr="002F5FF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3A5124" w:rsidRPr="002F5FF2">
        <w:rPr>
          <w:rFonts w:ascii="Times New Roman" w:hAnsi="Times New Roman" w:cs="Times New Roman"/>
          <w:sz w:val="20"/>
          <w:szCs w:val="20"/>
          <w:lang w:val="en-US"/>
        </w:rPr>
        <w:br/>
      </w:r>
      <w:r w:rsidR="00BE26E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Only one of the five additional issues that were raised during the first session could be concluded. Another was discussed </w:t>
      </w:r>
      <w:r w:rsidR="001C73F0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BE26E8" w:rsidRPr="002F5FF2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1C73F0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n interpretation by WP.15 is </w:t>
      </w:r>
      <w:r w:rsidR="007C0802">
        <w:rPr>
          <w:rFonts w:ascii="Times New Roman" w:hAnsi="Times New Roman" w:cs="Times New Roman"/>
          <w:sz w:val="20"/>
          <w:szCs w:val="20"/>
          <w:lang w:val="en-US"/>
        </w:rPr>
        <w:t>required</w:t>
      </w:r>
      <w:r w:rsidR="00B46312" w:rsidRPr="002F5FF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BE26E8" w:rsidRPr="002F5FF2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A number of particular </w:t>
      </w:r>
      <w:r w:rsidR="00B4631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issues 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were discussed which are </w:t>
      </w:r>
      <w:r w:rsidR="007C0802">
        <w:rPr>
          <w:rFonts w:ascii="Times New Roman" w:hAnsi="Times New Roman" w:cs="Times New Roman"/>
          <w:sz w:val="20"/>
          <w:szCs w:val="20"/>
          <w:lang w:val="en-US"/>
        </w:rPr>
        <w:t xml:space="preserve">reflected 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>in the report.</w:t>
      </w:r>
      <w:r w:rsidR="00B46312" w:rsidRPr="002F5FF2">
        <w:rPr>
          <w:rFonts w:ascii="Times New Roman" w:hAnsi="Times New Roman" w:cs="Times New Roman"/>
          <w:sz w:val="20"/>
          <w:szCs w:val="20"/>
          <w:lang w:val="en-US"/>
        </w:rPr>
        <w:br/>
        <w:t xml:space="preserve">After the publication of document </w:t>
      </w:r>
      <w:r w:rsidR="00926F2D">
        <w:rPr>
          <w:rFonts w:ascii="Times New Roman" w:hAnsi="Times New Roman" w:cs="Times New Roman"/>
          <w:sz w:val="20"/>
          <w:szCs w:val="20"/>
          <w:lang w:val="en-US"/>
        </w:rPr>
        <w:t xml:space="preserve">ECE/Trans/WP.15/2015/15 </w:t>
      </w:r>
      <w:r w:rsidR="003F554C">
        <w:rPr>
          <w:rFonts w:ascii="Times New Roman" w:hAnsi="Times New Roman" w:cs="Times New Roman"/>
          <w:sz w:val="20"/>
          <w:szCs w:val="20"/>
          <w:lang w:val="en-US"/>
        </w:rPr>
        <w:t xml:space="preserve">remarks </w:t>
      </w:r>
      <w:r w:rsidR="00B46312" w:rsidRPr="002F5FF2">
        <w:rPr>
          <w:rFonts w:ascii="Times New Roman" w:hAnsi="Times New Roman" w:cs="Times New Roman"/>
          <w:sz w:val="20"/>
          <w:szCs w:val="20"/>
          <w:lang w:val="en-US"/>
        </w:rPr>
        <w:t>have been received</w:t>
      </w:r>
      <w:r w:rsidR="007C0802">
        <w:rPr>
          <w:rFonts w:ascii="Times New Roman" w:hAnsi="Times New Roman" w:cs="Times New Roman"/>
          <w:sz w:val="20"/>
          <w:szCs w:val="20"/>
          <w:lang w:val="en-US"/>
        </w:rPr>
        <w:t>. T</w:t>
      </w:r>
      <w:r w:rsidR="00B4631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hese and the </w:t>
      </w:r>
      <w:r w:rsidR="007C0802">
        <w:rPr>
          <w:rFonts w:ascii="Times New Roman" w:hAnsi="Times New Roman" w:cs="Times New Roman"/>
          <w:sz w:val="20"/>
          <w:szCs w:val="20"/>
          <w:lang w:val="en-US"/>
        </w:rPr>
        <w:t>consequential</w:t>
      </w:r>
      <w:r w:rsidR="00B4631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corrections on the pro</w:t>
      </w:r>
      <w:r w:rsidR="00DE1E9B">
        <w:rPr>
          <w:rFonts w:ascii="Times New Roman" w:hAnsi="Times New Roman" w:cs="Times New Roman"/>
          <w:sz w:val="20"/>
          <w:szCs w:val="20"/>
          <w:lang w:val="en-US"/>
        </w:rPr>
        <w:t>po</w:t>
      </w:r>
      <w:r w:rsidR="00B46312" w:rsidRPr="002F5FF2">
        <w:rPr>
          <w:rFonts w:ascii="Times New Roman" w:hAnsi="Times New Roman" w:cs="Times New Roman"/>
          <w:sz w:val="20"/>
          <w:szCs w:val="20"/>
          <w:lang w:val="en-US"/>
        </w:rPr>
        <w:t>sed text</w:t>
      </w:r>
      <w:r w:rsidR="007C0802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4631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C0802">
        <w:rPr>
          <w:rFonts w:ascii="Times New Roman" w:hAnsi="Times New Roman" w:cs="Times New Roman"/>
          <w:sz w:val="20"/>
          <w:szCs w:val="20"/>
          <w:lang w:val="en-US"/>
        </w:rPr>
        <w:t xml:space="preserve">can be found </w:t>
      </w:r>
      <w:r w:rsidR="00B46312" w:rsidRPr="002F5FF2">
        <w:rPr>
          <w:rFonts w:ascii="Times New Roman" w:hAnsi="Times New Roman" w:cs="Times New Roman"/>
          <w:sz w:val="20"/>
          <w:szCs w:val="20"/>
          <w:lang w:val="en-US"/>
        </w:rPr>
        <w:t>in Annex 1 to this report.</w:t>
      </w:r>
    </w:p>
    <w:p w:rsidR="00285D81" w:rsidRPr="002F5FF2" w:rsidRDefault="007A22ED" w:rsidP="00247F2A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E1E9B">
        <w:rPr>
          <w:rFonts w:ascii="Times New Roman" w:hAnsi="Times New Roman" w:cs="Times New Roman"/>
          <w:b/>
          <w:sz w:val="20"/>
          <w:szCs w:val="20"/>
          <w:lang w:val="en-GB"/>
        </w:rPr>
        <w:t xml:space="preserve">Feedback by the </w:t>
      </w:r>
      <w:r w:rsidRPr="00DE1E9B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I</w:t>
      </w:r>
      <w:r w:rsidRPr="00DE1E9B">
        <w:rPr>
          <w:rFonts w:ascii="Times New Roman" w:hAnsi="Times New Roman" w:cs="Times New Roman"/>
          <w:b/>
          <w:sz w:val="20"/>
          <w:szCs w:val="20"/>
          <w:lang w:val="en-GB"/>
        </w:rPr>
        <w:t xml:space="preserve">nternational </w:t>
      </w:r>
      <w:r w:rsidRPr="00DE1E9B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G</w:t>
      </w:r>
      <w:r w:rsidRPr="00DE1E9B">
        <w:rPr>
          <w:rFonts w:ascii="Times New Roman" w:hAnsi="Times New Roman" w:cs="Times New Roman"/>
          <w:b/>
          <w:sz w:val="20"/>
          <w:szCs w:val="20"/>
          <w:lang w:val="en-GB"/>
        </w:rPr>
        <w:t xml:space="preserve">roup of experts on explosive risks of </w:t>
      </w:r>
      <w:r w:rsidR="00285D81" w:rsidRPr="00DE1E9B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U</w:t>
      </w:r>
      <w:r w:rsidRPr="00DE1E9B">
        <w:rPr>
          <w:rFonts w:ascii="Times New Roman" w:hAnsi="Times New Roman" w:cs="Times New Roman"/>
          <w:b/>
          <w:sz w:val="20"/>
          <w:szCs w:val="20"/>
          <w:lang w:val="en-GB"/>
        </w:rPr>
        <w:t xml:space="preserve">nstable </w:t>
      </w:r>
      <w:r w:rsidR="00285D81" w:rsidRPr="00DE1E9B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S</w:t>
      </w:r>
      <w:r w:rsidRPr="00DE1E9B">
        <w:rPr>
          <w:rFonts w:ascii="Times New Roman" w:hAnsi="Times New Roman" w:cs="Times New Roman"/>
          <w:b/>
          <w:sz w:val="20"/>
          <w:szCs w:val="20"/>
          <w:lang w:val="en-GB"/>
        </w:rPr>
        <w:t>ubstances</w:t>
      </w:r>
      <w:r w:rsidR="00285D81" w:rsidRPr="00DE1E9B">
        <w:rPr>
          <w:rFonts w:ascii="Times New Roman" w:hAnsi="Times New Roman" w:cs="Times New Roman"/>
          <w:b/>
          <w:sz w:val="20"/>
          <w:szCs w:val="20"/>
          <w:lang w:val="en-GB"/>
        </w:rPr>
        <w:t xml:space="preserve">–the </w:t>
      </w:r>
      <w:r w:rsidR="00285D81" w:rsidRPr="00DE1E9B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E</w:t>
      </w:r>
      <w:r w:rsidR="00285D81" w:rsidRPr="00DE1E9B">
        <w:rPr>
          <w:rFonts w:ascii="Times New Roman" w:hAnsi="Times New Roman" w:cs="Times New Roman"/>
          <w:b/>
          <w:sz w:val="20"/>
          <w:szCs w:val="20"/>
          <w:lang w:val="en-GB"/>
        </w:rPr>
        <w:t xml:space="preserve">xplosives, </w:t>
      </w:r>
      <w:r w:rsidR="00285D81" w:rsidRPr="00DE1E9B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P</w:t>
      </w:r>
      <w:r w:rsidR="00285D81" w:rsidRPr="00DE1E9B">
        <w:rPr>
          <w:rFonts w:ascii="Times New Roman" w:hAnsi="Times New Roman" w:cs="Times New Roman"/>
          <w:b/>
          <w:sz w:val="20"/>
          <w:szCs w:val="20"/>
          <w:lang w:val="en-GB"/>
        </w:rPr>
        <w:t xml:space="preserve">ropellants and </w:t>
      </w:r>
      <w:r w:rsidR="00285D81" w:rsidRPr="00DE1E9B"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  <w:t>P</w:t>
      </w:r>
      <w:r w:rsidR="00285D81" w:rsidRPr="00DE1E9B">
        <w:rPr>
          <w:rFonts w:ascii="Times New Roman" w:hAnsi="Times New Roman" w:cs="Times New Roman"/>
          <w:b/>
          <w:sz w:val="20"/>
          <w:szCs w:val="20"/>
          <w:lang w:val="en-GB"/>
        </w:rPr>
        <w:t>yrotechnics working group.</w:t>
      </w:r>
      <w:proofErr w:type="gramEnd"/>
      <w:r w:rsidR="00285D81" w:rsidRPr="00DE1E9B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gramStart"/>
      <w:r w:rsidR="00285D81" w:rsidRPr="002F5FF2">
        <w:rPr>
          <w:rFonts w:ascii="Times New Roman" w:hAnsi="Times New Roman" w:cs="Times New Roman"/>
          <w:b/>
          <w:sz w:val="20"/>
          <w:szCs w:val="20"/>
          <w:lang w:val="en-US"/>
        </w:rPr>
        <w:t>(IGUS-EPP).</w:t>
      </w:r>
      <w:proofErr w:type="gramEnd"/>
      <w:r w:rsidR="00285D81" w:rsidRPr="002F5FF2">
        <w:rPr>
          <w:rFonts w:ascii="Times New Roman" w:hAnsi="Times New Roman" w:cs="Times New Roman"/>
          <w:b/>
          <w:sz w:val="20"/>
          <w:szCs w:val="20"/>
          <w:lang w:val="en-US"/>
        </w:rPr>
        <w:br/>
      </w:r>
      <w:r w:rsidR="00285D81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The outcome of the second session </w:t>
      </w:r>
      <w:r w:rsidR="00926F2D">
        <w:rPr>
          <w:rFonts w:ascii="Times New Roman" w:hAnsi="Times New Roman" w:cs="Times New Roman"/>
          <w:sz w:val="20"/>
          <w:szCs w:val="20"/>
          <w:lang w:val="en-US"/>
        </w:rPr>
        <w:t>concerning EX-</w:t>
      </w:r>
      <w:r w:rsidR="003F554C">
        <w:rPr>
          <w:rFonts w:ascii="Times New Roman" w:hAnsi="Times New Roman" w:cs="Times New Roman"/>
          <w:sz w:val="20"/>
          <w:szCs w:val="20"/>
          <w:lang w:val="en-US"/>
        </w:rPr>
        <w:t xml:space="preserve">vehicles </w:t>
      </w:r>
      <w:r w:rsidR="00285D81" w:rsidRPr="002F5FF2">
        <w:rPr>
          <w:rFonts w:ascii="Times New Roman" w:hAnsi="Times New Roman" w:cs="Times New Roman"/>
          <w:sz w:val="20"/>
          <w:szCs w:val="20"/>
          <w:lang w:val="en-US"/>
        </w:rPr>
        <w:t>was forwarded and discussed by the IGUS-EPP</w:t>
      </w:r>
      <w:r w:rsidR="001C73F0" w:rsidRPr="002F5FF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85D81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They reported back as follows:</w:t>
      </w:r>
      <w:r w:rsidR="00285D81" w:rsidRPr="002F5FF2">
        <w:rPr>
          <w:rFonts w:ascii="Times New Roman" w:hAnsi="Times New Roman" w:cs="Times New Roman"/>
          <w:sz w:val="20"/>
          <w:szCs w:val="20"/>
          <w:lang w:val="en-US"/>
        </w:rPr>
        <w:br/>
        <w:t>-</w:t>
      </w:r>
      <w:r w:rsidR="00247F2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303D8" w:rsidRPr="002F5FF2">
        <w:rPr>
          <w:rFonts w:ascii="Times New Roman" w:hAnsi="Times New Roman" w:cs="Times New Roman"/>
          <w:sz w:val="20"/>
          <w:szCs w:val="20"/>
          <w:lang w:val="en-US"/>
        </w:rPr>
        <w:t>the development of fire from an electrical failure is a concern</w:t>
      </w:r>
      <w:r w:rsidR="00247F2A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E303D8" w:rsidRPr="002F5FF2">
        <w:rPr>
          <w:rFonts w:ascii="Times New Roman" w:hAnsi="Times New Roman" w:cs="Times New Roman"/>
          <w:sz w:val="20"/>
          <w:szCs w:val="20"/>
          <w:lang w:val="en-US"/>
        </w:rPr>
        <w:br/>
        <w:t>-</w:t>
      </w:r>
      <w:r w:rsidR="00247F2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303D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the upper threshold of 1000 A.C./1500 D.C. volt was supported with higher voltages possible if </w:t>
      </w:r>
      <w:r w:rsidR="00247F2A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247F2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303D8" w:rsidRPr="002F5FF2">
        <w:rPr>
          <w:rFonts w:ascii="Times New Roman" w:hAnsi="Times New Roman" w:cs="Times New Roman"/>
          <w:sz w:val="20"/>
          <w:szCs w:val="20"/>
          <w:lang w:val="en-US"/>
        </w:rPr>
        <w:t>sufficient distance is kept to the load area</w:t>
      </w:r>
      <w:r w:rsidR="00247F2A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E303D8" w:rsidRPr="002F5FF2">
        <w:rPr>
          <w:rFonts w:ascii="Times New Roman" w:hAnsi="Times New Roman" w:cs="Times New Roman"/>
          <w:sz w:val="20"/>
          <w:szCs w:val="20"/>
          <w:lang w:val="en-US"/>
        </w:rPr>
        <w:br/>
        <w:t>-</w:t>
      </w:r>
      <w:r w:rsidR="00247F2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303D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the additional value of a battery master switch </w:t>
      </w:r>
      <w:r w:rsidR="00824EA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(further BMS) </w:t>
      </w:r>
      <w:r w:rsidR="00E303D8" w:rsidRPr="002F5FF2">
        <w:rPr>
          <w:rFonts w:ascii="Times New Roman" w:hAnsi="Times New Roman" w:cs="Times New Roman"/>
          <w:sz w:val="20"/>
          <w:szCs w:val="20"/>
          <w:lang w:val="en-US"/>
        </w:rPr>
        <w:t>was argued</w:t>
      </w:r>
      <w:r w:rsidR="00247F2A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E303D8" w:rsidRPr="002F5FF2">
        <w:rPr>
          <w:rFonts w:ascii="Times New Roman" w:hAnsi="Times New Roman" w:cs="Times New Roman"/>
          <w:sz w:val="20"/>
          <w:szCs w:val="20"/>
          <w:lang w:val="en-US"/>
        </w:rPr>
        <w:br/>
        <w:t>-</w:t>
      </w:r>
      <w:r w:rsidR="00247F2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303D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the construction requirements for EX/III bodies </w:t>
      </w:r>
      <w:r w:rsidR="00EA36F5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currently </w:t>
      </w:r>
      <w:r w:rsidR="00513F79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in ADR </w:t>
      </w:r>
      <w:r w:rsidR="00DC7F65">
        <w:rPr>
          <w:rFonts w:ascii="Times New Roman" w:hAnsi="Times New Roman" w:cs="Times New Roman"/>
          <w:sz w:val="20"/>
          <w:szCs w:val="20"/>
          <w:lang w:val="en-US"/>
        </w:rPr>
        <w:t>are</w:t>
      </w:r>
      <w:r w:rsidR="00513F79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A36F5" w:rsidRPr="002F5FF2">
        <w:rPr>
          <w:rFonts w:ascii="Times New Roman" w:hAnsi="Times New Roman" w:cs="Times New Roman"/>
          <w:sz w:val="20"/>
          <w:szCs w:val="20"/>
          <w:lang w:val="en-US"/>
        </w:rPr>
        <w:t>insufficient</w:t>
      </w:r>
      <w:r w:rsidR="00247F2A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EA36F5" w:rsidRPr="002F5FF2">
        <w:rPr>
          <w:rFonts w:ascii="Times New Roman" w:hAnsi="Times New Roman" w:cs="Times New Roman"/>
          <w:sz w:val="20"/>
          <w:szCs w:val="20"/>
          <w:lang w:val="en-US"/>
        </w:rPr>
        <w:br/>
        <w:t xml:space="preserve">- </w:t>
      </w:r>
      <w:r w:rsidR="00247F2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EA36F5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the prohibition of engines with positive ignition </w:t>
      </w:r>
      <w:r w:rsidR="00DC7F65">
        <w:rPr>
          <w:rFonts w:ascii="Times New Roman" w:hAnsi="Times New Roman" w:cs="Times New Roman"/>
          <w:sz w:val="20"/>
          <w:szCs w:val="20"/>
          <w:lang w:val="en-US"/>
        </w:rPr>
        <w:t xml:space="preserve">for EX-vehicles </w:t>
      </w:r>
      <w:r w:rsidR="00EA36F5" w:rsidRPr="002F5FF2">
        <w:rPr>
          <w:rFonts w:ascii="Times New Roman" w:hAnsi="Times New Roman" w:cs="Times New Roman"/>
          <w:sz w:val="20"/>
          <w:szCs w:val="20"/>
          <w:lang w:val="en-US"/>
        </w:rPr>
        <w:t>should be re-evaluate</w:t>
      </w:r>
      <w:r w:rsidR="00DC7F65">
        <w:rPr>
          <w:rFonts w:ascii="Times New Roman" w:hAnsi="Times New Roman" w:cs="Times New Roman"/>
          <w:sz w:val="20"/>
          <w:szCs w:val="20"/>
          <w:lang w:val="en-US"/>
        </w:rPr>
        <w:t xml:space="preserve">d by a structured </w:t>
      </w:r>
      <w:r w:rsidR="00247F2A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r w:rsidR="00DC7F65">
        <w:rPr>
          <w:rFonts w:ascii="Times New Roman" w:hAnsi="Times New Roman" w:cs="Times New Roman"/>
          <w:sz w:val="20"/>
          <w:szCs w:val="20"/>
          <w:lang w:val="en-US"/>
        </w:rPr>
        <w:t xml:space="preserve">risk analysis </w:t>
      </w:r>
      <w:r w:rsidR="00DC7F65" w:rsidRPr="002F5FF2">
        <w:rPr>
          <w:rFonts w:ascii="Times New Roman" w:hAnsi="Times New Roman" w:cs="Times New Roman"/>
          <w:sz w:val="20"/>
          <w:szCs w:val="20"/>
          <w:lang w:val="en-US"/>
        </w:rPr>
        <w:t>due to technical progress</w:t>
      </w:r>
      <w:r w:rsidR="00DC7F65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26B24" w:rsidRDefault="001C2CD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FF2">
        <w:rPr>
          <w:rFonts w:ascii="Times New Roman" w:hAnsi="Times New Roman" w:cs="Times New Roman"/>
          <w:b/>
          <w:sz w:val="20"/>
          <w:szCs w:val="20"/>
          <w:lang w:val="en-US"/>
        </w:rPr>
        <w:t>The e</w:t>
      </w:r>
      <w:r w:rsidR="00BE26E8" w:rsidRPr="002F5FF2">
        <w:rPr>
          <w:rFonts w:ascii="Times New Roman" w:hAnsi="Times New Roman" w:cs="Times New Roman"/>
          <w:b/>
          <w:sz w:val="20"/>
          <w:szCs w:val="20"/>
          <w:lang w:val="en-US"/>
        </w:rPr>
        <w:t>lectrical requirements</w:t>
      </w:r>
      <w:r w:rsidRPr="002F5FF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of chapter 9.2</w:t>
      </w:r>
      <w:r w:rsidR="00BE26E8" w:rsidRPr="002F5FF2">
        <w:rPr>
          <w:rFonts w:ascii="Times New Roman" w:hAnsi="Times New Roman" w:cs="Times New Roman"/>
          <w:sz w:val="20"/>
          <w:szCs w:val="20"/>
          <w:lang w:val="en-US"/>
        </w:rPr>
        <w:br/>
      </w:r>
    </w:p>
    <w:p w:rsidR="00515B36" w:rsidRDefault="00EA36F5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FF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893AAA" w:rsidRPr="002F5FF2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simplify discussion and approval it was decided to </w:t>
      </w:r>
      <w:r w:rsidR="00464B4F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split the </w:t>
      </w:r>
      <w:r w:rsidR="00DC7F65">
        <w:rPr>
          <w:rFonts w:ascii="Times New Roman" w:hAnsi="Times New Roman" w:cs="Times New Roman"/>
          <w:sz w:val="20"/>
          <w:szCs w:val="20"/>
          <w:lang w:val="en-US"/>
        </w:rPr>
        <w:t xml:space="preserve">proposals for the </w:t>
      </w:r>
      <w:r w:rsidR="00464B4F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electrical requirements into 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three </w:t>
      </w:r>
      <w:r w:rsidR="00387C5F" w:rsidRPr="002F5FF2">
        <w:rPr>
          <w:rFonts w:ascii="Times New Roman" w:hAnsi="Times New Roman" w:cs="Times New Roman"/>
          <w:sz w:val="20"/>
          <w:szCs w:val="20"/>
          <w:lang w:val="en-US"/>
        </w:rPr>
        <w:t>parts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: a) the </w:t>
      </w:r>
      <w:r w:rsidR="00916F21" w:rsidRPr="002F5FF2">
        <w:rPr>
          <w:rFonts w:ascii="Times New Roman" w:hAnsi="Times New Roman" w:cs="Times New Roman"/>
          <w:sz w:val="20"/>
          <w:szCs w:val="20"/>
          <w:lang w:val="en-US"/>
        </w:rPr>
        <w:t>newly proposed sequence of provisions</w:t>
      </w:r>
      <w:r w:rsidR="003F554C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916F21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b) the 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>technical contents</w:t>
      </w:r>
      <w:r w:rsidR="00916F21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and c)</w:t>
      </w:r>
      <w:r w:rsidR="003F554C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916F21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the application of the requirements to the </w:t>
      </w:r>
      <w:r w:rsidR="00DC7F65">
        <w:rPr>
          <w:rFonts w:ascii="Times New Roman" w:hAnsi="Times New Roman" w:cs="Times New Roman"/>
          <w:sz w:val="20"/>
          <w:szCs w:val="20"/>
          <w:lang w:val="en-US"/>
        </w:rPr>
        <w:t>various</w:t>
      </w:r>
      <w:r w:rsidR="00916F21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vehicle types (EX/II, EX/III, FL, OX and AT).</w:t>
      </w:r>
      <w:r w:rsidR="00916F21" w:rsidRPr="002F5FF2">
        <w:rPr>
          <w:rFonts w:ascii="Times New Roman" w:hAnsi="Times New Roman" w:cs="Times New Roman"/>
          <w:sz w:val="20"/>
          <w:szCs w:val="20"/>
          <w:lang w:val="en-US"/>
        </w:rPr>
        <w:br/>
        <w:t>The new sequence of provisions was accepted without reservations.</w:t>
      </w:r>
      <w:r w:rsidR="00D62FB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The technical requirements were modified</w:t>
      </w:r>
      <w:r w:rsidR="00464B4F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in a number of cases, in particular those of the electrical connections and the voltage.</w:t>
      </w:r>
      <w:r w:rsidR="00464B4F" w:rsidRPr="002F5FF2">
        <w:rPr>
          <w:rFonts w:ascii="Times New Roman" w:hAnsi="Times New Roman" w:cs="Times New Roman"/>
          <w:sz w:val="20"/>
          <w:szCs w:val="20"/>
          <w:lang w:val="en-US"/>
        </w:rPr>
        <w:br/>
      </w:r>
      <w:r w:rsidR="00513F79" w:rsidRPr="002F5FF2">
        <w:rPr>
          <w:rFonts w:ascii="Times New Roman" w:hAnsi="Times New Roman" w:cs="Times New Roman"/>
          <w:sz w:val="20"/>
          <w:szCs w:val="20"/>
          <w:lang w:val="en-US"/>
        </w:rPr>
        <w:t>In discussion on the harmonization</w:t>
      </w:r>
      <w:r w:rsidR="00893AAA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="00513F79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464B4F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application of the requirements to the </w:t>
      </w:r>
      <w:r w:rsidR="00513F79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various types </w:t>
      </w:r>
      <w:r w:rsidR="00893AAA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of vehicles </w:t>
      </w:r>
      <w:r w:rsidR="00513F79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some experts expressed that </w:t>
      </w:r>
      <w:r w:rsidR="00F43A14" w:rsidRPr="002F5FF2">
        <w:rPr>
          <w:rFonts w:ascii="Times New Roman" w:hAnsi="Times New Roman" w:cs="Times New Roman"/>
          <w:sz w:val="20"/>
          <w:szCs w:val="20"/>
          <w:lang w:val="en-US"/>
        </w:rPr>
        <w:t>extend</w:t>
      </w:r>
      <w:r w:rsidR="00893AAA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ing application </w:t>
      </w:r>
      <w:r w:rsidR="00513F79" w:rsidRPr="002F5FF2">
        <w:rPr>
          <w:rFonts w:ascii="Times New Roman" w:hAnsi="Times New Roman" w:cs="Times New Roman"/>
          <w:sz w:val="20"/>
          <w:szCs w:val="20"/>
          <w:lang w:val="en-US"/>
        </w:rPr>
        <w:t>may only be allowed when there is a safety benefit relat</w:t>
      </w:r>
      <w:r w:rsidR="00824EA8" w:rsidRPr="002F5FF2">
        <w:rPr>
          <w:rFonts w:ascii="Times New Roman" w:hAnsi="Times New Roman" w:cs="Times New Roman"/>
          <w:sz w:val="20"/>
          <w:szCs w:val="20"/>
          <w:lang w:val="en-US"/>
        </w:rPr>
        <w:t>ed</w:t>
      </w:r>
      <w:r w:rsidR="00513F79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to the add</w:t>
      </w:r>
      <w:r w:rsidR="00893AAA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itional costs, while others were of the opinion that costs would be limited and that harmonization would </w:t>
      </w:r>
      <w:r w:rsidR="00893AAA" w:rsidRPr="002F5FF2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reduce </w:t>
      </w:r>
      <w:r w:rsidR="00824EA8" w:rsidRPr="002F5FF2">
        <w:rPr>
          <w:rFonts w:ascii="Times New Roman" w:hAnsi="Times New Roman" w:cs="Times New Roman"/>
          <w:sz w:val="20"/>
          <w:szCs w:val="20"/>
          <w:lang w:val="en-US"/>
        </w:rPr>
        <w:t>approval costs and prevent confusion.</w:t>
      </w:r>
      <w:r w:rsidR="003F554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93AAA" w:rsidRPr="00733368">
        <w:rPr>
          <w:rFonts w:ascii="Times New Roman" w:hAnsi="Times New Roman" w:cs="Times New Roman"/>
          <w:sz w:val="20"/>
          <w:szCs w:val="20"/>
          <w:lang w:val="en-US"/>
        </w:rPr>
        <w:t xml:space="preserve">In this regard it was </w:t>
      </w:r>
      <w:r w:rsidR="00824EA8" w:rsidRPr="00733368">
        <w:rPr>
          <w:rFonts w:ascii="Times New Roman" w:hAnsi="Times New Roman" w:cs="Times New Roman"/>
          <w:sz w:val="20"/>
          <w:szCs w:val="20"/>
          <w:lang w:val="en-US"/>
        </w:rPr>
        <w:t>recalled that many heavy goods vehicle</w:t>
      </w:r>
      <w:r w:rsidR="00733368" w:rsidRPr="00733368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733368">
        <w:rPr>
          <w:rFonts w:ascii="Times New Roman" w:hAnsi="Times New Roman" w:cs="Times New Roman"/>
          <w:sz w:val="20"/>
          <w:szCs w:val="20"/>
          <w:lang w:val="en-US"/>
        </w:rPr>
        <w:t xml:space="preserve"> (further HGV) </w:t>
      </w:r>
      <w:r w:rsidR="00824EA8" w:rsidRPr="00733368">
        <w:rPr>
          <w:rFonts w:ascii="Times New Roman" w:hAnsi="Times New Roman" w:cs="Times New Roman"/>
          <w:sz w:val="20"/>
          <w:szCs w:val="20"/>
          <w:lang w:val="en-US"/>
        </w:rPr>
        <w:t>manufacturers</w:t>
      </w:r>
      <w:r w:rsidR="00824EA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C0802">
        <w:rPr>
          <w:rFonts w:ascii="Times New Roman" w:hAnsi="Times New Roman" w:cs="Times New Roman"/>
          <w:sz w:val="20"/>
          <w:szCs w:val="20"/>
          <w:lang w:val="en-US"/>
        </w:rPr>
        <w:t xml:space="preserve">produced only </w:t>
      </w:r>
      <w:r w:rsidR="00824EA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two </w:t>
      </w:r>
      <w:r w:rsidR="00B87583" w:rsidRPr="002F5FF2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824EA8" w:rsidRPr="002F5FF2">
        <w:rPr>
          <w:rFonts w:ascii="Times New Roman" w:hAnsi="Times New Roman" w:cs="Times New Roman"/>
          <w:sz w:val="20"/>
          <w:szCs w:val="20"/>
          <w:lang w:val="en-US"/>
        </w:rPr>
        <w:t>ersions (with or without BMS) to cover the five types of vehicles.</w:t>
      </w:r>
      <w:r w:rsidR="00F43A14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5F92" w:rsidRPr="002F5FF2">
        <w:rPr>
          <w:rFonts w:ascii="Times New Roman" w:hAnsi="Times New Roman" w:cs="Times New Roman"/>
          <w:sz w:val="20"/>
          <w:szCs w:val="20"/>
          <w:lang w:val="en-US"/>
        </w:rPr>
        <w:br/>
      </w:r>
      <w:proofErr w:type="gramStart"/>
      <w:r w:rsidR="007C0802" w:rsidRPr="002F5FF2">
        <w:rPr>
          <w:rFonts w:ascii="Times New Roman" w:hAnsi="Times New Roman" w:cs="Times New Roman"/>
          <w:sz w:val="20"/>
          <w:szCs w:val="20"/>
          <w:lang w:val="en-US"/>
        </w:rPr>
        <w:t>The background of the BMS being different for EX/III and FL applications</w:t>
      </w:r>
      <w:r w:rsidR="009E360C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="007C080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E360C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7C080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or EX vehicles the reduction of the risk of the vehicle </w:t>
      </w:r>
      <w:r w:rsidR="009E360C">
        <w:rPr>
          <w:rFonts w:ascii="Times New Roman" w:hAnsi="Times New Roman" w:cs="Times New Roman"/>
          <w:sz w:val="20"/>
          <w:szCs w:val="20"/>
          <w:lang w:val="en-US"/>
        </w:rPr>
        <w:t xml:space="preserve">for </w:t>
      </w:r>
      <w:r w:rsidR="007C0802" w:rsidRPr="002F5FF2">
        <w:rPr>
          <w:rFonts w:ascii="Times New Roman" w:hAnsi="Times New Roman" w:cs="Times New Roman"/>
          <w:sz w:val="20"/>
          <w:szCs w:val="20"/>
          <w:lang w:val="en-US"/>
        </w:rPr>
        <w:t>catching fire rather than the risk for igniting of a</w:t>
      </w:r>
      <w:r w:rsidR="0078082C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7C080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explosive atmosphere for FL veh</w:t>
      </w:r>
      <w:r w:rsidR="00515B36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7C080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cles, did not justify to unify </w:t>
      </w:r>
      <w:r w:rsidR="00515B36">
        <w:rPr>
          <w:rFonts w:ascii="Times New Roman" w:hAnsi="Times New Roman" w:cs="Times New Roman"/>
          <w:sz w:val="20"/>
          <w:szCs w:val="20"/>
          <w:lang w:val="en-US"/>
        </w:rPr>
        <w:t xml:space="preserve">the types </w:t>
      </w:r>
      <w:r w:rsidR="007C0802" w:rsidRPr="002F5FF2">
        <w:rPr>
          <w:rFonts w:ascii="Times New Roman" w:hAnsi="Times New Roman" w:cs="Times New Roman"/>
          <w:sz w:val="20"/>
          <w:szCs w:val="20"/>
          <w:lang w:val="en-US"/>
        </w:rPr>
        <w:t>FL and EX/III.</w:t>
      </w:r>
      <w:r w:rsidR="00515B36">
        <w:rPr>
          <w:rFonts w:ascii="Times New Roman" w:hAnsi="Times New Roman" w:cs="Times New Roman"/>
          <w:sz w:val="20"/>
          <w:szCs w:val="20"/>
          <w:lang w:val="en-US"/>
        </w:rPr>
        <w:br/>
      </w:r>
      <w:r w:rsidR="00353997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515B36">
        <w:rPr>
          <w:rFonts w:ascii="Times New Roman" w:hAnsi="Times New Roman" w:cs="Times New Roman"/>
          <w:sz w:val="20"/>
          <w:szCs w:val="20"/>
          <w:lang w:val="en-US"/>
        </w:rPr>
        <w:t>n the light of the report of IGUS-EPP it was decided not to extend the requirement for the BMS to EX/II vehicl</w:t>
      </w:r>
      <w:r w:rsidR="00973C4A">
        <w:rPr>
          <w:rFonts w:ascii="Times New Roman" w:hAnsi="Times New Roman" w:cs="Times New Roman"/>
          <w:sz w:val="20"/>
          <w:szCs w:val="20"/>
          <w:lang w:val="en-US"/>
        </w:rPr>
        <w:t xml:space="preserve">es for the time being. </w:t>
      </w:r>
      <w:r w:rsidR="00353997">
        <w:rPr>
          <w:rFonts w:ascii="Times New Roman" w:hAnsi="Times New Roman" w:cs="Times New Roman"/>
          <w:sz w:val="20"/>
          <w:szCs w:val="20"/>
          <w:lang w:val="en-US"/>
        </w:rPr>
        <w:t>For EX/II i</w:t>
      </w:r>
      <w:r w:rsidR="00973C4A">
        <w:rPr>
          <w:rFonts w:ascii="Times New Roman" w:hAnsi="Times New Roman" w:cs="Times New Roman"/>
          <w:sz w:val="20"/>
          <w:szCs w:val="20"/>
          <w:lang w:val="en-US"/>
        </w:rPr>
        <w:t>t was decided to extend the additional protection of cables behind the drivers cab to EX/II vehicles for HGV and trailers</w:t>
      </w:r>
      <w:r w:rsidR="0078082C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973C4A">
        <w:rPr>
          <w:rFonts w:ascii="Times New Roman" w:hAnsi="Times New Roman" w:cs="Times New Roman"/>
          <w:sz w:val="20"/>
          <w:szCs w:val="20"/>
          <w:lang w:val="en-US"/>
        </w:rPr>
        <w:t xml:space="preserve"> but </w:t>
      </w:r>
      <w:r w:rsidR="0078082C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="00973C4A">
        <w:rPr>
          <w:rFonts w:ascii="Times New Roman" w:hAnsi="Times New Roman" w:cs="Times New Roman"/>
          <w:sz w:val="20"/>
          <w:szCs w:val="20"/>
          <w:lang w:val="en-US"/>
        </w:rPr>
        <w:t xml:space="preserve">exempt panel vans where protection is provided by the bodywork. </w:t>
      </w:r>
      <w:r w:rsidR="003F6F81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973C4A">
        <w:rPr>
          <w:rFonts w:ascii="Times New Roman" w:hAnsi="Times New Roman" w:cs="Times New Roman"/>
          <w:sz w:val="20"/>
          <w:szCs w:val="20"/>
          <w:lang w:val="en-US"/>
        </w:rPr>
        <w:t>he requirement for fuses was extended to EX/II vehic</w:t>
      </w:r>
      <w:r w:rsidR="00353997">
        <w:rPr>
          <w:rFonts w:ascii="Times New Roman" w:hAnsi="Times New Roman" w:cs="Times New Roman"/>
          <w:sz w:val="20"/>
          <w:szCs w:val="20"/>
          <w:lang w:val="en-US"/>
        </w:rPr>
        <w:t xml:space="preserve">les. </w:t>
      </w:r>
      <w:proofErr w:type="gramStart"/>
      <w:r w:rsidR="00353997">
        <w:rPr>
          <w:rFonts w:ascii="Times New Roman" w:hAnsi="Times New Roman" w:cs="Times New Roman"/>
          <w:sz w:val="20"/>
          <w:szCs w:val="20"/>
          <w:lang w:val="en-US"/>
        </w:rPr>
        <w:t xml:space="preserve">Although technical problems are not </w:t>
      </w:r>
      <w:r w:rsidR="00E071A3">
        <w:rPr>
          <w:rFonts w:ascii="Times New Roman" w:hAnsi="Times New Roman" w:cs="Times New Roman"/>
          <w:sz w:val="20"/>
          <w:szCs w:val="20"/>
          <w:lang w:val="en-US"/>
        </w:rPr>
        <w:t xml:space="preserve">to be </w:t>
      </w:r>
      <w:r w:rsidR="00353997">
        <w:rPr>
          <w:rFonts w:ascii="Times New Roman" w:hAnsi="Times New Roman" w:cs="Times New Roman"/>
          <w:sz w:val="20"/>
          <w:szCs w:val="20"/>
          <w:lang w:val="en-US"/>
        </w:rPr>
        <w:t>expected</w:t>
      </w:r>
      <w:r w:rsidR="009E360C">
        <w:rPr>
          <w:rFonts w:ascii="Times New Roman" w:hAnsi="Times New Roman" w:cs="Times New Roman"/>
          <w:sz w:val="20"/>
          <w:szCs w:val="20"/>
          <w:lang w:val="en-US"/>
        </w:rPr>
        <w:t>, but</w:t>
      </w:r>
      <w:r w:rsidR="00353997">
        <w:rPr>
          <w:rFonts w:ascii="Times New Roman" w:hAnsi="Times New Roman" w:cs="Times New Roman"/>
          <w:sz w:val="20"/>
          <w:szCs w:val="20"/>
          <w:lang w:val="en-US"/>
        </w:rPr>
        <w:t xml:space="preserve"> this was placed in square brackets for decision by WP.15 </w:t>
      </w:r>
      <w:r w:rsidR="009E360C">
        <w:rPr>
          <w:rFonts w:ascii="Times New Roman" w:hAnsi="Times New Roman" w:cs="Times New Roman"/>
          <w:sz w:val="20"/>
          <w:szCs w:val="20"/>
          <w:lang w:val="en-US"/>
        </w:rPr>
        <w:t>because</w:t>
      </w:r>
      <w:r w:rsidR="00353997">
        <w:rPr>
          <w:rFonts w:ascii="Times New Roman" w:hAnsi="Times New Roman" w:cs="Times New Roman"/>
          <w:sz w:val="20"/>
          <w:szCs w:val="20"/>
          <w:lang w:val="en-US"/>
        </w:rPr>
        <w:t xml:space="preserve"> no consensus could be reached.</w:t>
      </w:r>
      <w:proofErr w:type="gramEnd"/>
      <w:r w:rsidR="00973C4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92697">
        <w:rPr>
          <w:rFonts w:ascii="Times New Roman" w:hAnsi="Times New Roman" w:cs="Times New Roman"/>
          <w:sz w:val="20"/>
          <w:szCs w:val="20"/>
          <w:lang w:val="en-US"/>
        </w:rPr>
        <w:t xml:space="preserve">The outcome of this work is represented in </w:t>
      </w:r>
      <w:proofErr w:type="gramStart"/>
      <w:r w:rsidR="00E071A3">
        <w:rPr>
          <w:rFonts w:ascii="Times New Roman" w:hAnsi="Times New Roman" w:cs="Times New Roman"/>
          <w:sz w:val="20"/>
          <w:szCs w:val="20"/>
          <w:lang w:val="en-US"/>
        </w:rPr>
        <w:t>document  ECE</w:t>
      </w:r>
      <w:proofErr w:type="gramEnd"/>
      <w:r w:rsidR="00E071A3">
        <w:rPr>
          <w:rFonts w:ascii="Times New Roman" w:hAnsi="Times New Roman" w:cs="Times New Roman"/>
          <w:sz w:val="20"/>
          <w:szCs w:val="20"/>
          <w:lang w:val="en-US"/>
        </w:rPr>
        <w:t>/T</w:t>
      </w:r>
      <w:r w:rsidR="00192794">
        <w:rPr>
          <w:rFonts w:ascii="Times New Roman" w:hAnsi="Times New Roman" w:cs="Times New Roman"/>
          <w:sz w:val="20"/>
          <w:szCs w:val="20"/>
          <w:lang w:val="en-US"/>
        </w:rPr>
        <w:t>RANS</w:t>
      </w:r>
      <w:r w:rsidR="00E071A3">
        <w:rPr>
          <w:rFonts w:ascii="Times New Roman" w:hAnsi="Times New Roman" w:cs="Times New Roman"/>
          <w:sz w:val="20"/>
          <w:szCs w:val="20"/>
          <w:lang w:val="en-US"/>
        </w:rPr>
        <w:t>/WP.15/2015/15.</w:t>
      </w:r>
    </w:p>
    <w:p w:rsidR="00EA36F5" w:rsidRPr="002F5FF2" w:rsidRDefault="003D7703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5FF2">
        <w:rPr>
          <w:rFonts w:ascii="Times New Roman" w:hAnsi="Times New Roman" w:cs="Times New Roman"/>
          <w:b/>
          <w:sz w:val="20"/>
          <w:szCs w:val="20"/>
          <w:lang w:val="en-US"/>
        </w:rPr>
        <w:t>Limiting the vehicle types and h</w:t>
      </w:r>
      <w:r w:rsidR="008D4CCC" w:rsidRPr="002F5FF2">
        <w:rPr>
          <w:rFonts w:ascii="Times New Roman" w:hAnsi="Times New Roman" w:cs="Times New Roman"/>
          <w:b/>
          <w:sz w:val="20"/>
          <w:szCs w:val="20"/>
          <w:lang w:val="en-US"/>
        </w:rPr>
        <w:t>armoni</w:t>
      </w:r>
      <w:r w:rsidRPr="002F5FF2">
        <w:rPr>
          <w:rFonts w:ascii="Times New Roman" w:hAnsi="Times New Roman" w:cs="Times New Roman"/>
          <w:b/>
          <w:sz w:val="20"/>
          <w:szCs w:val="20"/>
          <w:lang w:val="en-US"/>
        </w:rPr>
        <w:t>z</w:t>
      </w:r>
      <w:r w:rsidR="008D4CCC" w:rsidRPr="002F5FF2">
        <w:rPr>
          <w:rFonts w:ascii="Times New Roman" w:hAnsi="Times New Roman" w:cs="Times New Roman"/>
          <w:b/>
          <w:sz w:val="20"/>
          <w:szCs w:val="20"/>
          <w:lang w:val="en-US"/>
        </w:rPr>
        <w:t xml:space="preserve">ation of requirements </w:t>
      </w:r>
      <w:r w:rsidR="008970AD" w:rsidRPr="002F5FF2">
        <w:rPr>
          <w:rFonts w:ascii="Times New Roman" w:hAnsi="Times New Roman" w:cs="Times New Roman"/>
          <w:b/>
          <w:sz w:val="20"/>
          <w:szCs w:val="20"/>
          <w:lang w:val="en-US"/>
        </w:rPr>
        <w:t xml:space="preserve">other than electrical </w:t>
      </w:r>
      <w:r w:rsidR="00B87583" w:rsidRPr="002F5FF2">
        <w:rPr>
          <w:rFonts w:ascii="Times New Roman" w:hAnsi="Times New Roman" w:cs="Times New Roman"/>
          <w:b/>
          <w:sz w:val="20"/>
          <w:szCs w:val="20"/>
          <w:lang w:val="en-US"/>
        </w:rPr>
        <w:t>ones</w:t>
      </w:r>
      <w:r w:rsidRPr="002F5FF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342153" w:rsidRPr="002F5FF2" w:rsidRDefault="0053160B" w:rsidP="001541F2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One of the </w:t>
      </w:r>
      <w:r w:rsidR="003D7703" w:rsidRPr="002F5FF2">
        <w:rPr>
          <w:rFonts w:ascii="Times New Roman" w:hAnsi="Times New Roman" w:cs="Times New Roman"/>
          <w:sz w:val="20"/>
          <w:szCs w:val="20"/>
          <w:lang w:val="en-US"/>
        </w:rPr>
        <w:t>additional topics raised during the first session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dealt with </w:t>
      </w:r>
      <w:r w:rsidR="003D6332">
        <w:rPr>
          <w:rFonts w:ascii="Times New Roman" w:hAnsi="Times New Roman" w:cs="Times New Roman"/>
          <w:sz w:val="20"/>
          <w:szCs w:val="20"/>
          <w:lang w:val="en-US"/>
        </w:rPr>
        <w:t xml:space="preserve">the harmonization of the requirements for vehicles in chapter 9.2 other than the electrical ones. The various requirements were discussed and the table amended </w:t>
      </w:r>
      <w:r w:rsidR="00026B24">
        <w:rPr>
          <w:rFonts w:ascii="Times New Roman" w:hAnsi="Times New Roman" w:cs="Times New Roman"/>
          <w:sz w:val="20"/>
          <w:szCs w:val="20"/>
          <w:lang w:val="en-US"/>
        </w:rPr>
        <w:t xml:space="preserve">it </w:t>
      </w:r>
      <w:r w:rsidR="003D6332">
        <w:rPr>
          <w:rFonts w:ascii="Times New Roman" w:hAnsi="Times New Roman" w:cs="Times New Roman"/>
          <w:sz w:val="20"/>
          <w:szCs w:val="20"/>
          <w:lang w:val="en-US"/>
        </w:rPr>
        <w:t>ac</w:t>
      </w:r>
      <w:r w:rsidR="00793B22">
        <w:rPr>
          <w:rFonts w:ascii="Times New Roman" w:hAnsi="Times New Roman" w:cs="Times New Roman"/>
          <w:sz w:val="20"/>
          <w:szCs w:val="20"/>
          <w:lang w:val="en-US"/>
        </w:rPr>
        <w:t>cordingly.</w:t>
      </w:r>
      <w:r w:rsidR="00A92697">
        <w:rPr>
          <w:rFonts w:ascii="Times New Roman" w:hAnsi="Times New Roman" w:cs="Times New Roman"/>
          <w:sz w:val="20"/>
          <w:szCs w:val="20"/>
          <w:lang w:val="en-US"/>
        </w:rPr>
        <w:br/>
      </w:r>
      <w:r w:rsidR="00793B22">
        <w:rPr>
          <w:rFonts w:ascii="Times New Roman" w:hAnsi="Times New Roman" w:cs="Times New Roman"/>
          <w:sz w:val="20"/>
          <w:szCs w:val="20"/>
          <w:lang w:val="en-US"/>
        </w:rPr>
        <w:t xml:space="preserve">Concerning limiting the vehicle types it was </w:t>
      </w:r>
      <w:r w:rsidR="00B518F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suggested </w:t>
      </w:r>
      <w:r w:rsidR="009F6A5B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that vehicle type OX could be </w:t>
      </w:r>
      <w:r w:rsidR="00AE79B0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harmonized with </w:t>
      </w:r>
      <w:r w:rsidR="00F65AF6" w:rsidRPr="002F5FF2">
        <w:rPr>
          <w:rFonts w:ascii="Times New Roman" w:hAnsi="Times New Roman" w:cs="Times New Roman"/>
          <w:sz w:val="20"/>
          <w:szCs w:val="20"/>
          <w:lang w:val="en-US"/>
        </w:rPr>
        <w:t>FL</w:t>
      </w:r>
      <w:r w:rsidR="00793B2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E79B0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  <w:r w:rsidR="00793B22">
        <w:rPr>
          <w:rFonts w:ascii="Times New Roman" w:hAnsi="Times New Roman" w:cs="Times New Roman"/>
          <w:sz w:val="20"/>
          <w:szCs w:val="20"/>
          <w:lang w:val="en-US"/>
        </w:rPr>
        <w:t xml:space="preserve"> OX </w:t>
      </w:r>
      <w:r w:rsidR="00026B24">
        <w:rPr>
          <w:rFonts w:ascii="Times New Roman" w:hAnsi="Times New Roman" w:cs="Times New Roman"/>
          <w:sz w:val="20"/>
          <w:szCs w:val="20"/>
          <w:lang w:val="en-US"/>
        </w:rPr>
        <w:t xml:space="preserve">could be </w:t>
      </w:r>
      <w:r w:rsidR="009F6A5B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deleted. </w:t>
      </w:r>
      <w:r w:rsidR="00793B22">
        <w:rPr>
          <w:rFonts w:ascii="Times New Roman" w:hAnsi="Times New Roman" w:cs="Times New Roman"/>
          <w:sz w:val="20"/>
          <w:szCs w:val="20"/>
          <w:lang w:val="en-US"/>
        </w:rPr>
        <w:t xml:space="preserve">Type </w:t>
      </w:r>
      <w:proofErr w:type="gramStart"/>
      <w:r w:rsidR="003862A3" w:rsidRPr="002F5FF2">
        <w:rPr>
          <w:rFonts w:ascii="Times New Roman" w:hAnsi="Times New Roman" w:cs="Times New Roman"/>
          <w:sz w:val="20"/>
          <w:szCs w:val="20"/>
          <w:lang w:val="en-US"/>
        </w:rPr>
        <w:t>OX</w:t>
      </w:r>
      <w:r w:rsidR="00793B2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3862A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is</w:t>
      </w:r>
      <w:proofErr w:type="gramEnd"/>
      <w:r w:rsidR="003862A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only required for the carriage of UN 2015; hydrogen peroxide </w:t>
      </w:r>
      <w:r w:rsidR="005C4F99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aqueous solution </w:t>
      </w:r>
      <w:r w:rsidR="003862A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with </w:t>
      </w:r>
      <w:r w:rsidR="005C4F99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more than </w:t>
      </w:r>
      <w:r w:rsidR="003862A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60% </w:t>
      </w:r>
      <w:r w:rsidR="005C4F99" w:rsidRPr="002F5FF2">
        <w:rPr>
          <w:rFonts w:ascii="Times New Roman" w:hAnsi="Times New Roman" w:cs="Times New Roman"/>
          <w:sz w:val="20"/>
          <w:szCs w:val="20"/>
          <w:lang w:val="en-US"/>
        </w:rPr>
        <w:t>hydrogen peroxide content</w:t>
      </w:r>
      <w:r w:rsidR="003862A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5C4F99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518F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The only specific </w:t>
      </w:r>
      <w:r w:rsidR="005222FE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OX </w:t>
      </w:r>
      <w:r w:rsidR="00D2033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requirement </w:t>
      </w:r>
      <w:r w:rsidR="005222FE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concerns </w:t>
      </w:r>
      <w:r w:rsidR="00D20333" w:rsidRPr="002F5FF2">
        <w:rPr>
          <w:rFonts w:ascii="Times New Roman" w:hAnsi="Times New Roman" w:cs="Times New Roman"/>
          <w:sz w:val="20"/>
          <w:szCs w:val="20"/>
          <w:lang w:val="en-US"/>
        </w:rPr>
        <w:t>the burning behavior of the drivers cab or alternative measures such as a heat shield</w:t>
      </w:r>
      <w:r w:rsidR="00B518F6" w:rsidRPr="002F5FF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AE79B0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518F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It was </w:t>
      </w:r>
      <w:r w:rsidR="00AE79B0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indicated </w:t>
      </w:r>
      <w:r w:rsidR="005222FE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by manufactures </w:t>
      </w:r>
      <w:r w:rsidR="00E071A3">
        <w:rPr>
          <w:rFonts w:ascii="Times New Roman" w:hAnsi="Times New Roman" w:cs="Times New Roman"/>
          <w:sz w:val="20"/>
          <w:szCs w:val="20"/>
          <w:lang w:val="en-US"/>
        </w:rPr>
        <w:t>or their representatives</w:t>
      </w:r>
      <w:r w:rsidR="005222FE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of HGV </w:t>
      </w:r>
      <w:r w:rsidR="00DE1E9B" w:rsidRPr="002F5FF2">
        <w:rPr>
          <w:rFonts w:ascii="Times New Roman" w:hAnsi="Times New Roman" w:cs="Times New Roman"/>
          <w:sz w:val="20"/>
          <w:szCs w:val="20"/>
          <w:lang w:val="en-US"/>
        </w:rPr>
        <w:t>that all</w:t>
      </w:r>
      <w:r w:rsidR="00AE79B0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518F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materials used in the </w:t>
      </w:r>
      <w:r w:rsidR="005222FE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drivers </w:t>
      </w:r>
      <w:r w:rsidR="00B518F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cab are </w:t>
      </w:r>
      <w:r w:rsidR="005222FE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nowadays </w:t>
      </w:r>
      <w:r w:rsidR="00B518F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fire </w:t>
      </w:r>
      <w:r w:rsidR="00AE79B0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retardant </w:t>
      </w:r>
      <w:r w:rsidR="0071371A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and in line with the requirement. </w:t>
      </w:r>
      <w:r w:rsidR="0071371A" w:rsidRPr="002F5FF2">
        <w:rPr>
          <w:rFonts w:ascii="Times New Roman" w:hAnsi="Times New Roman" w:cs="Times New Roman"/>
          <w:sz w:val="20"/>
          <w:szCs w:val="20"/>
          <w:lang w:val="en-US"/>
        </w:rPr>
        <w:br/>
      </w:r>
      <w:r w:rsidR="003862A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While </w:t>
      </w:r>
      <w:r w:rsidR="001420E9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793B22">
        <w:rPr>
          <w:rFonts w:ascii="Times New Roman" w:hAnsi="Times New Roman" w:cs="Times New Roman"/>
          <w:sz w:val="20"/>
          <w:szCs w:val="20"/>
          <w:lang w:val="en-US"/>
        </w:rPr>
        <w:t xml:space="preserve">other </w:t>
      </w:r>
      <w:r w:rsidR="003862A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requirements for the prevention of fire risks </w:t>
      </w:r>
      <w:r w:rsidR="00DE1E9B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="003862A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shared b</w:t>
      </w:r>
      <w:r w:rsidR="008405B6">
        <w:rPr>
          <w:rFonts w:ascii="Times New Roman" w:hAnsi="Times New Roman" w:cs="Times New Roman"/>
          <w:sz w:val="20"/>
          <w:szCs w:val="20"/>
          <w:lang w:val="en-US"/>
        </w:rPr>
        <w:t>etween</w:t>
      </w:r>
      <w:r w:rsidR="003862A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420E9" w:rsidRPr="002F5FF2">
        <w:rPr>
          <w:rFonts w:ascii="Times New Roman" w:hAnsi="Times New Roman" w:cs="Times New Roman"/>
          <w:sz w:val="20"/>
          <w:szCs w:val="20"/>
          <w:lang w:val="en-US"/>
        </w:rPr>
        <w:t>OX and FL</w:t>
      </w:r>
      <w:r w:rsidR="00DE1E9B" w:rsidRPr="002F5FF2">
        <w:rPr>
          <w:rFonts w:ascii="Times New Roman" w:hAnsi="Times New Roman" w:cs="Times New Roman"/>
          <w:sz w:val="20"/>
          <w:szCs w:val="20"/>
          <w:lang w:val="en-US"/>
        </w:rPr>
        <w:t>, but</w:t>
      </w:r>
      <w:r w:rsidR="003862A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not with AT</w:t>
      </w:r>
      <w:r w:rsidR="001420E9" w:rsidRPr="002F5FF2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3862A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it </w:t>
      </w:r>
      <w:r w:rsidR="0071371A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was decided that the most appropriate type </w:t>
      </w:r>
      <w:r w:rsidR="00026B24">
        <w:rPr>
          <w:rFonts w:ascii="Times New Roman" w:hAnsi="Times New Roman" w:cs="Times New Roman"/>
          <w:sz w:val="20"/>
          <w:szCs w:val="20"/>
          <w:lang w:val="en-US"/>
        </w:rPr>
        <w:t xml:space="preserve">vehicle </w:t>
      </w:r>
      <w:r w:rsidR="0071371A" w:rsidRPr="002F5FF2">
        <w:rPr>
          <w:rFonts w:ascii="Times New Roman" w:hAnsi="Times New Roman" w:cs="Times New Roman"/>
          <w:sz w:val="20"/>
          <w:szCs w:val="20"/>
          <w:lang w:val="en-US"/>
        </w:rPr>
        <w:t>for UN 2015 was FL.</w:t>
      </w:r>
      <w:r w:rsidR="00A92697" w:rsidRPr="00A9269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C433F">
        <w:rPr>
          <w:rFonts w:ascii="Times New Roman" w:hAnsi="Times New Roman" w:cs="Times New Roman"/>
          <w:sz w:val="20"/>
          <w:szCs w:val="20"/>
          <w:lang w:val="en-US"/>
        </w:rPr>
        <w:br/>
      </w:r>
      <w:r w:rsidR="00A92697">
        <w:rPr>
          <w:rFonts w:ascii="Times New Roman" w:hAnsi="Times New Roman" w:cs="Times New Roman"/>
          <w:sz w:val="20"/>
          <w:szCs w:val="20"/>
          <w:lang w:val="en-US"/>
        </w:rPr>
        <w:t xml:space="preserve">The outcome of this work is represented </w:t>
      </w:r>
      <w:r w:rsidR="00DE1E9B">
        <w:rPr>
          <w:rFonts w:ascii="Times New Roman" w:hAnsi="Times New Roman" w:cs="Times New Roman"/>
          <w:sz w:val="20"/>
          <w:szCs w:val="20"/>
          <w:lang w:val="en-US"/>
        </w:rPr>
        <w:t>in document ECE</w:t>
      </w:r>
      <w:r w:rsidR="00A92697">
        <w:rPr>
          <w:rFonts w:ascii="Times New Roman" w:hAnsi="Times New Roman" w:cs="Times New Roman"/>
          <w:sz w:val="20"/>
          <w:szCs w:val="20"/>
          <w:lang w:val="en-US"/>
        </w:rPr>
        <w:t>/T</w:t>
      </w:r>
      <w:r w:rsidR="00026B24">
        <w:rPr>
          <w:rFonts w:ascii="Times New Roman" w:hAnsi="Times New Roman" w:cs="Times New Roman"/>
          <w:sz w:val="20"/>
          <w:szCs w:val="20"/>
          <w:lang w:val="en-US"/>
        </w:rPr>
        <w:t>RANS</w:t>
      </w:r>
      <w:r w:rsidR="00A92697">
        <w:rPr>
          <w:rFonts w:ascii="Times New Roman" w:hAnsi="Times New Roman" w:cs="Times New Roman"/>
          <w:sz w:val="20"/>
          <w:szCs w:val="20"/>
          <w:lang w:val="en-US"/>
        </w:rPr>
        <w:t>/WP.15/2015/15.</w:t>
      </w:r>
    </w:p>
    <w:p w:rsidR="006670CF" w:rsidRPr="002F5FF2" w:rsidRDefault="00F90A4D" w:rsidP="001541F2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F5FF2">
        <w:rPr>
          <w:rFonts w:ascii="Times New Roman" w:hAnsi="Times New Roman" w:cs="Times New Roman"/>
          <w:b/>
          <w:sz w:val="20"/>
          <w:szCs w:val="20"/>
          <w:lang w:val="en-US"/>
        </w:rPr>
        <w:t>Other issues</w:t>
      </w:r>
    </w:p>
    <w:p w:rsidR="001C2CDE" w:rsidRPr="002F5FF2" w:rsidRDefault="00A55DDC" w:rsidP="001541F2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F5FF2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Application of chapter 9 to vehicles carrying dangerous goods other than EX/II, EX/III</w:t>
      </w:r>
      <w:r w:rsidR="00DE1E9B" w:rsidRPr="002F5FF2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, AT</w:t>
      </w:r>
      <w:r w:rsidRPr="002F5FF2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, FL and OX.</w:t>
      </w:r>
      <w:proofErr w:type="gramEnd"/>
      <w:r w:rsidRPr="002F5FF2">
        <w:rPr>
          <w:rFonts w:ascii="Times New Roman" w:hAnsi="Times New Roman" w:cs="Times New Roman"/>
          <w:b/>
          <w:i/>
          <w:sz w:val="20"/>
          <w:szCs w:val="20"/>
          <w:lang w:val="en-US"/>
        </w:rPr>
        <w:br/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Being one of the additional issues </w:t>
      </w:r>
      <w:r w:rsidR="00DE1E9B">
        <w:rPr>
          <w:rFonts w:ascii="Times New Roman" w:hAnsi="Times New Roman" w:cs="Times New Roman"/>
          <w:sz w:val="20"/>
          <w:szCs w:val="20"/>
          <w:lang w:val="en-US"/>
        </w:rPr>
        <w:t xml:space="preserve">that were 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raised during the first session </w:t>
      </w:r>
      <w:r w:rsidR="004474BE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it was stated that it </w:t>
      </w:r>
      <w:r w:rsidR="001A640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may </w:t>
      </w:r>
      <w:r w:rsidR="004474BE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not </w:t>
      </w:r>
      <w:r w:rsidR="001A640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be </w:t>
      </w:r>
      <w:r w:rsidR="00DE1E9B" w:rsidRPr="002F5FF2">
        <w:rPr>
          <w:rFonts w:ascii="Times New Roman" w:hAnsi="Times New Roman" w:cs="Times New Roman"/>
          <w:sz w:val="20"/>
          <w:szCs w:val="20"/>
          <w:lang w:val="en-US"/>
        </w:rPr>
        <w:t>clear whether</w:t>
      </w:r>
      <w:r w:rsidR="004474BE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Chapter 9.1 applied to all vehicles carrying dangerous goods</w:t>
      </w:r>
      <w:r w:rsidR="00C665FC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or not</w:t>
      </w:r>
      <w:r w:rsidR="004474BE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1A6402" w:rsidRPr="002F5FF2">
        <w:rPr>
          <w:rFonts w:ascii="Times New Roman" w:hAnsi="Times New Roman" w:cs="Times New Roman"/>
          <w:sz w:val="20"/>
          <w:szCs w:val="20"/>
          <w:lang w:val="en-US"/>
        </w:rPr>
        <w:br/>
        <w:t xml:space="preserve">It was </w:t>
      </w:r>
      <w:r w:rsidR="000276D9" w:rsidRPr="002F5FF2">
        <w:rPr>
          <w:rFonts w:ascii="Times New Roman" w:hAnsi="Times New Roman" w:cs="Times New Roman"/>
          <w:sz w:val="20"/>
          <w:szCs w:val="20"/>
          <w:lang w:val="en-US"/>
        </w:rPr>
        <w:t>felt t</w:t>
      </w:r>
      <w:r w:rsidR="001A640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hat parts of </w:t>
      </w:r>
      <w:r w:rsidR="008405B6">
        <w:rPr>
          <w:rFonts w:ascii="Times New Roman" w:hAnsi="Times New Roman" w:cs="Times New Roman"/>
          <w:sz w:val="20"/>
          <w:szCs w:val="20"/>
          <w:lang w:val="en-US"/>
        </w:rPr>
        <w:t xml:space="preserve">chapter </w:t>
      </w:r>
      <w:r w:rsidR="001A6402" w:rsidRPr="002F5FF2">
        <w:rPr>
          <w:rFonts w:ascii="Times New Roman" w:hAnsi="Times New Roman" w:cs="Times New Roman"/>
          <w:sz w:val="20"/>
          <w:szCs w:val="20"/>
          <w:lang w:val="en-US"/>
        </w:rPr>
        <w:t>9.1 were applicable to all vehicles carrying dangerous goods</w:t>
      </w:r>
      <w:r w:rsidR="001420E9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but </w:t>
      </w:r>
      <w:r w:rsidR="00DE1E9B" w:rsidRPr="002F5FF2">
        <w:rPr>
          <w:rFonts w:ascii="Times New Roman" w:hAnsi="Times New Roman" w:cs="Times New Roman"/>
          <w:sz w:val="20"/>
          <w:szCs w:val="20"/>
          <w:lang w:val="en-US"/>
        </w:rPr>
        <w:t>that 9.1.1.1</w:t>
      </w:r>
      <w:r w:rsidR="001A640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c</w:t>
      </w:r>
      <w:r w:rsidR="000276D9" w:rsidRPr="002F5FF2">
        <w:rPr>
          <w:rFonts w:ascii="Times New Roman" w:hAnsi="Times New Roman" w:cs="Times New Roman"/>
          <w:sz w:val="20"/>
          <w:szCs w:val="20"/>
          <w:lang w:val="en-US"/>
        </w:rPr>
        <w:t>an be read in two ways</w:t>
      </w:r>
      <w:r w:rsidR="00DE1E9B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0276D9" w:rsidRPr="002F5FF2">
        <w:rPr>
          <w:rFonts w:ascii="Times New Roman" w:hAnsi="Times New Roman" w:cs="Times New Roman"/>
          <w:sz w:val="20"/>
          <w:szCs w:val="20"/>
          <w:lang w:val="en-US"/>
        </w:rPr>
        <w:br/>
        <w:t xml:space="preserve">a) it applies only </w:t>
      </w:r>
      <w:r w:rsidR="008405B6">
        <w:rPr>
          <w:rFonts w:ascii="Times New Roman" w:hAnsi="Times New Roman" w:cs="Times New Roman"/>
          <w:sz w:val="20"/>
          <w:szCs w:val="20"/>
          <w:lang w:val="en-US"/>
        </w:rPr>
        <w:t xml:space="preserve">to vehicles </w:t>
      </w:r>
      <w:r w:rsidR="000276D9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of the category N and O, vehicles of </w:t>
      </w:r>
      <w:r w:rsidR="008405B6">
        <w:rPr>
          <w:rFonts w:ascii="Times New Roman" w:hAnsi="Times New Roman" w:cs="Times New Roman"/>
          <w:sz w:val="20"/>
          <w:szCs w:val="20"/>
          <w:lang w:val="en-US"/>
        </w:rPr>
        <w:t xml:space="preserve">other </w:t>
      </w:r>
      <w:r w:rsidR="000276D9" w:rsidRPr="002F5FF2">
        <w:rPr>
          <w:rFonts w:ascii="Times New Roman" w:hAnsi="Times New Roman" w:cs="Times New Roman"/>
          <w:sz w:val="20"/>
          <w:szCs w:val="20"/>
          <w:lang w:val="en-US"/>
        </w:rPr>
        <w:t>categor</w:t>
      </w:r>
      <w:r w:rsidR="008405B6">
        <w:rPr>
          <w:rFonts w:ascii="Times New Roman" w:hAnsi="Times New Roman" w:cs="Times New Roman"/>
          <w:sz w:val="20"/>
          <w:szCs w:val="20"/>
          <w:lang w:val="en-US"/>
        </w:rPr>
        <w:t xml:space="preserve">ies such as </w:t>
      </w:r>
      <w:r w:rsidR="000276D9" w:rsidRPr="002F5FF2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856010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(passenger cars)</w:t>
      </w:r>
      <w:r w:rsidR="000276D9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, T </w:t>
      </w:r>
      <w:r w:rsidR="00856010" w:rsidRPr="002F5FF2">
        <w:rPr>
          <w:rFonts w:ascii="Times New Roman" w:hAnsi="Times New Roman" w:cs="Times New Roman"/>
          <w:sz w:val="20"/>
          <w:szCs w:val="20"/>
          <w:lang w:val="en-US"/>
        </w:rPr>
        <w:t>(agricultural tractors)</w:t>
      </w:r>
      <w:r w:rsidR="000276D9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or L</w:t>
      </w:r>
      <w:r w:rsidR="00856010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(2 or 3 wheeled vehicles)</w:t>
      </w:r>
      <w:r w:rsidR="000276D9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420E9" w:rsidRPr="002F5FF2">
        <w:rPr>
          <w:rFonts w:ascii="Times New Roman" w:hAnsi="Times New Roman" w:cs="Times New Roman"/>
          <w:sz w:val="20"/>
          <w:szCs w:val="20"/>
          <w:lang w:val="en-US"/>
        </w:rPr>
        <w:t>may be used</w:t>
      </w:r>
      <w:r w:rsidR="00DE1E9B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0276D9" w:rsidRPr="002F5FF2">
        <w:rPr>
          <w:rFonts w:ascii="Times New Roman" w:hAnsi="Times New Roman" w:cs="Times New Roman"/>
          <w:sz w:val="20"/>
          <w:szCs w:val="20"/>
          <w:lang w:val="en-US"/>
        </w:rPr>
        <w:br/>
        <w:t xml:space="preserve">b) </w:t>
      </w:r>
      <w:r w:rsidR="00DE1E9B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DE1E9B" w:rsidRPr="002F5FF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856010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applies to all vehicles carrying dangerous goods but only vehic</w:t>
      </w:r>
      <w:r w:rsidR="002F2693" w:rsidRPr="002F5FF2">
        <w:rPr>
          <w:rFonts w:ascii="Times New Roman" w:hAnsi="Times New Roman" w:cs="Times New Roman"/>
          <w:sz w:val="20"/>
          <w:szCs w:val="20"/>
          <w:lang w:val="en-US"/>
        </w:rPr>
        <w:t>les</w:t>
      </w:r>
      <w:r w:rsidR="00856010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of the category N and O may be used. </w:t>
      </w:r>
      <w:r w:rsidR="001A6402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56010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It is not allowed to use vehicles of categories M, T or L. </w:t>
      </w:r>
      <w:r w:rsidR="002F2693" w:rsidRPr="002F5FF2">
        <w:rPr>
          <w:rFonts w:ascii="Times New Roman" w:hAnsi="Times New Roman" w:cs="Times New Roman"/>
          <w:sz w:val="20"/>
          <w:szCs w:val="20"/>
          <w:lang w:val="en-US"/>
        </w:rPr>
        <w:br/>
      </w:r>
      <w:proofErr w:type="gramStart"/>
      <w:r w:rsidR="002F2693" w:rsidRPr="002F5FF2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="002F269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WP.15 is asked for the</w:t>
      </w:r>
      <w:r w:rsidR="001420E9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correct</w:t>
      </w:r>
      <w:r w:rsidR="002F269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interpretation to allow for future work on chapter 9.1.</w:t>
      </w:r>
    </w:p>
    <w:p w:rsidR="00E54C7F" w:rsidRPr="002F5FF2" w:rsidRDefault="00F90A4D" w:rsidP="001541F2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F5FF2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Placing of batteries and battery master switch</w:t>
      </w:r>
      <w:r w:rsidR="007C4858" w:rsidRPr="002F5FF2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 (BMS)</w:t>
      </w:r>
      <w:r w:rsidRPr="002F5FF2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 on tractors for semi-trailer</w:t>
      </w:r>
      <w:r w:rsidR="009C433F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 </w:t>
      </w:r>
      <w:r w:rsidRPr="002F5FF2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and the length of cable unprotected by a fuse.</w:t>
      </w:r>
      <w:proofErr w:type="gramEnd"/>
      <w:r w:rsidRPr="002F5FF2">
        <w:rPr>
          <w:rFonts w:ascii="Times New Roman" w:hAnsi="Times New Roman" w:cs="Times New Roman"/>
          <w:b/>
          <w:i/>
          <w:sz w:val="20"/>
          <w:szCs w:val="20"/>
          <w:lang w:val="en-US"/>
        </w:rPr>
        <w:br/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Several tractor manufacturers have decided to place the batteries behind the fifth wheel. </w:t>
      </w:r>
      <w:r w:rsidR="00C326B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Besides </w:t>
      </w:r>
      <w:r w:rsidR="00EE0EDD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a possible </w:t>
      </w:r>
      <w:r w:rsidR="007C485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risks </w:t>
      </w:r>
      <w:r w:rsidR="00BF521A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for the battery </w:t>
      </w:r>
      <w:r w:rsidR="007C4858" w:rsidRPr="002F5FF2">
        <w:rPr>
          <w:rFonts w:ascii="Times New Roman" w:hAnsi="Times New Roman" w:cs="Times New Roman"/>
          <w:sz w:val="20"/>
          <w:szCs w:val="20"/>
          <w:lang w:val="en-US"/>
        </w:rPr>
        <w:t>due to</w:t>
      </w:r>
      <w:r w:rsidR="00C326B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leakage of the load tank</w:t>
      </w:r>
      <w:r w:rsidR="00BF521A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this </w:t>
      </w:r>
      <w:r w:rsidR="00E35DB5">
        <w:rPr>
          <w:rFonts w:ascii="Times New Roman" w:hAnsi="Times New Roman" w:cs="Times New Roman"/>
          <w:sz w:val="20"/>
          <w:szCs w:val="20"/>
          <w:lang w:val="en-US"/>
        </w:rPr>
        <w:t xml:space="preserve">also </w:t>
      </w:r>
      <w:r w:rsidR="00BF521A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results in a longer than normal cable </w:t>
      </w:r>
      <w:r w:rsidR="00356F21">
        <w:rPr>
          <w:rFonts w:ascii="Times New Roman" w:hAnsi="Times New Roman" w:cs="Times New Roman"/>
          <w:sz w:val="20"/>
          <w:szCs w:val="20"/>
          <w:lang w:val="en-US"/>
        </w:rPr>
        <w:t xml:space="preserve">that is </w:t>
      </w:r>
      <w:r w:rsidR="00BF521A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not protected by a fuse. The wording used </w:t>
      </w:r>
      <w:r w:rsidR="00C326B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for </w:t>
      </w:r>
      <w:r w:rsidR="00264BE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the relative position of the </w:t>
      </w:r>
      <w:r w:rsidR="00E35DB5">
        <w:rPr>
          <w:rFonts w:ascii="Times New Roman" w:hAnsi="Times New Roman" w:cs="Times New Roman"/>
          <w:sz w:val="20"/>
          <w:szCs w:val="20"/>
          <w:lang w:val="en-US"/>
        </w:rPr>
        <w:t>BMS</w:t>
      </w:r>
      <w:r w:rsidR="00264BE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C326B3" w:rsidRPr="002F5FF2">
        <w:rPr>
          <w:rFonts w:ascii="Times New Roman" w:hAnsi="Times New Roman" w:cs="Times New Roman"/>
          <w:sz w:val="20"/>
          <w:szCs w:val="20"/>
          <w:lang w:val="en-US"/>
        </w:rPr>
        <w:t>to the batteries (</w:t>
      </w:r>
      <w:r w:rsidR="00264BE6" w:rsidRPr="002F5FF2">
        <w:rPr>
          <w:rFonts w:ascii="Times New Roman" w:hAnsi="Times New Roman" w:cs="Times New Roman"/>
          <w:sz w:val="20"/>
          <w:szCs w:val="20"/>
          <w:lang w:val="en-US"/>
        </w:rPr>
        <w:t>“as close to the battery as practicable”</w:t>
      </w:r>
      <w:r w:rsidR="00DE1E9B" w:rsidRPr="002F5FF2">
        <w:rPr>
          <w:rFonts w:ascii="Times New Roman" w:hAnsi="Times New Roman" w:cs="Times New Roman"/>
          <w:sz w:val="20"/>
          <w:szCs w:val="20"/>
          <w:lang w:val="en-US"/>
        </w:rPr>
        <w:t>) and</w:t>
      </w:r>
      <w:r w:rsidR="00264BE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the leng</w:t>
      </w:r>
      <w:r w:rsidR="00C326B3" w:rsidRPr="002F5FF2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264BE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h of the cable unprotected by a fuse </w:t>
      </w:r>
      <w:r w:rsidR="00C326B3" w:rsidRPr="002F5FF2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264BE6" w:rsidRPr="002F5FF2">
        <w:rPr>
          <w:rFonts w:ascii="Times New Roman" w:hAnsi="Times New Roman" w:cs="Times New Roman"/>
          <w:sz w:val="20"/>
          <w:szCs w:val="20"/>
          <w:lang w:val="en-US"/>
        </w:rPr>
        <w:t>“as short as possible”</w:t>
      </w:r>
      <w:r w:rsidR="00C326B3" w:rsidRPr="002F5FF2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BF521A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may also lead to discussion and </w:t>
      </w:r>
      <w:r w:rsidR="00356F21">
        <w:rPr>
          <w:rFonts w:ascii="Times New Roman" w:hAnsi="Times New Roman" w:cs="Times New Roman"/>
          <w:sz w:val="20"/>
          <w:szCs w:val="20"/>
          <w:lang w:val="en-US"/>
        </w:rPr>
        <w:t xml:space="preserve">different </w:t>
      </w:r>
      <w:r w:rsidR="00BF521A" w:rsidRPr="002F5FF2">
        <w:rPr>
          <w:rFonts w:ascii="Times New Roman" w:hAnsi="Times New Roman" w:cs="Times New Roman"/>
          <w:sz w:val="20"/>
          <w:szCs w:val="20"/>
          <w:lang w:val="en-US"/>
        </w:rPr>
        <w:t>interpretation.</w:t>
      </w:r>
      <w:r w:rsidR="007C4858" w:rsidRPr="002F5FF2">
        <w:rPr>
          <w:rFonts w:ascii="Times New Roman" w:hAnsi="Times New Roman" w:cs="Times New Roman"/>
          <w:sz w:val="20"/>
          <w:szCs w:val="20"/>
          <w:lang w:val="en-US"/>
        </w:rPr>
        <w:br/>
        <w:t xml:space="preserve">It was concluded that the BMS should </w:t>
      </w:r>
      <w:r w:rsidR="000801B4">
        <w:rPr>
          <w:rFonts w:ascii="Times New Roman" w:hAnsi="Times New Roman" w:cs="Times New Roman"/>
          <w:sz w:val="20"/>
          <w:szCs w:val="20"/>
          <w:lang w:val="en-US"/>
        </w:rPr>
        <w:t xml:space="preserve">be </w:t>
      </w:r>
      <w:r w:rsidR="007C4858" w:rsidRPr="002F5FF2">
        <w:rPr>
          <w:rFonts w:ascii="Times New Roman" w:hAnsi="Times New Roman" w:cs="Times New Roman"/>
          <w:sz w:val="20"/>
          <w:szCs w:val="20"/>
          <w:lang w:val="en-US"/>
        </w:rPr>
        <w:t>as close a</w:t>
      </w:r>
      <w:r w:rsidR="00E35DB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7C485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possible to the battery </w:t>
      </w:r>
      <w:r w:rsidR="00EE0EDD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and </w:t>
      </w:r>
      <w:r w:rsidR="007C4858" w:rsidRPr="002F5FF2">
        <w:rPr>
          <w:rFonts w:ascii="Times New Roman" w:hAnsi="Times New Roman" w:cs="Times New Roman"/>
          <w:sz w:val="20"/>
          <w:szCs w:val="20"/>
          <w:lang w:val="en-US"/>
        </w:rPr>
        <w:t>that the length of the cable not protected by a fuse</w:t>
      </w:r>
      <w:r w:rsidR="00EE0EDD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54C7F" w:rsidRPr="002F5FF2">
        <w:rPr>
          <w:rFonts w:ascii="Times New Roman" w:hAnsi="Times New Roman" w:cs="Times New Roman"/>
          <w:sz w:val="20"/>
          <w:szCs w:val="20"/>
          <w:lang w:val="en-US"/>
        </w:rPr>
        <w:t>may not always be the shortest because of the relative position of the various components that need unprotected cable</w:t>
      </w:r>
      <w:r w:rsidR="00BF521A" w:rsidRPr="002F5FF2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E54C7F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0801B4">
        <w:rPr>
          <w:rFonts w:ascii="Times New Roman" w:hAnsi="Times New Roman" w:cs="Times New Roman"/>
          <w:sz w:val="20"/>
          <w:szCs w:val="20"/>
          <w:lang w:val="en-US"/>
        </w:rPr>
        <w:t xml:space="preserve">Discussion on </w:t>
      </w:r>
      <w:r w:rsidR="00E54C7F" w:rsidRPr="002F5FF2">
        <w:rPr>
          <w:rFonts w:ascii="Times New Roman" w:hAnsi="Times New Roman" w:cs="Times New Roman"/>
          <w:sz w:val="20"/>
          <w:szCs w:val="20"/>
          <w:lang w:val="en-US"/>
        </w:rPr>
        <w:t>the risk for the battery</w:t>
      </w:r>
      <w:r w:rsidR="000801B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E54C7F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F521A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when </w:t>
      </w:r>
      <w:r w:rsidR="009C433F">
        <w:rPr>
          <w:rFonts w:ascii="Times New Roman" w:hAnsi="Times New Roman" w:cs="Times New Roman"/>
          <w:sz w:val="20"/>
          <w:szCs w:val="20"/>
          <w:lang w:val="en-US"/>
        </w:rPr>
        <w:t xml:space="preserve">there is </w:t>
      </w:r>
      <w:r w:rsidR="00E54C7F" w:rsidRPr="002F5FF2">
        <w:rPr>
          <w:rFonts w:ascii="Times New Roman" w:hAnsi="Times New Roman" w:cs="Times New Roman"/>
          <w:sz w:val="20"/>
          <w:szCs w:val="20"/>
          <w:lang w:val="en-US"/>
        </w:rPr>
        <w:t>leakage of the load tank</w:t>
      </w:r>
      <w:r w:rsidR="000801B4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E54C7F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E1E9B">
        <w:rPr>
          <w:rFonts w:ascii="Times New Roman" w:hAnsi="Times New Roman" w:cs="Times New Roman"/>
          <w:sz w:val="20"/>
          <w:szCs w:val="20"/>
          <w:lang w:val="en-US"/>
        </w:rPr>
        <w:t xml:space="preserve">would </w:t>
      </w:r>
      <w:r w:rsidR="00DE1E9B" w:rsidRPr="002F5FF2">
        <w:rPr>
          <w:rFonts w:ascii="Times New Roman" w:hAnsi="Times New Roman" w:cs="Times New Roman"/>
          <w:sz w:val="20"/>
          <w:szCs w:val="20"/>
          <w:lang w:val="en-US"/>
        </w:rPr>
        <w:t>be</w:t>
      </w:r>
      <w:r w:rsidR="00E54C7F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C433F">
        <w:rPr>
          <w:rFonts w:ascii="Times New Roman" w:hAnsi="Times New Roman" w:cs="Times New Roman"/>
          <w:sz w:val="20"/>
          <w:szCs w:val="20"/>
          <w:lang w:val="en-US"/>
        </w:rPr>
        <w:t xml:space="preserve">discussed in relation to </w:t>
      </w:r>
      <w:r w:rsidR="00BF521A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batteries of </w:t>
      </w:r>
      <w:r w:rsidR="00E54C7F" w:rsidRPr="002F5FF2">
        <w:rPr>
          <w:rFonts w:ascii="Times New Roman" w:hAnsi="Times New Roman" w:cs="Times New Roman"/>
          <w:sz w:val="20"/>
          <w:szCs w:val="20"/>
          <w:lang w:val="en-US"/>
        </w:rPr>
        <w:t>hybrid-electric vehicles</w:t>
      </w:r>
      <w:r w:rsidR="00BD38BC">
        <w:rPr>
          <w:rFonts w:ascii="Times New Roman" w:hAnsi="Times New Roman" w:cs="Times New Roman"/>
          <w:sz w:val="20"/>
          <w:szCs w:val="20"/>
          <w:lang w:val="en-US"/>
        </w:rPr>
        <w:t xml:space="preserve"> for which placing may also not be conventional</w:t>
      </w:r>
      <w:r w:rsidR="00E54C7F" w:rsidRPr="002F5FF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95B60" w:rsidRPr="002F5FF2" w:rsidRDefault="000D67EB" w:rsidP="001541F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FF2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lastRenderedPageBreak/>
        <w:t>Electrical energy storage devices in the drivers cab</w:t>
      </w:r>
      <w:r w:rsidRPr="002F5FF2">
        <w:rPr>
          <w:rFonts w:ascii="Times New Roman" w:hAnsi="Times New Roman" w:cs="Times New Roman"/>
          <w:b/>
          <w:i/>
          <w:sz w:val="20"/>
          <w:szCs w:val="20"/>
          <w:lang w:val="en-US"/>
        </w:rPr>
        <w:br/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Additional electrical storage devices </w:t>
      </w:r>
      <w:r w:rsidR="002B2CD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may be expected 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>in the vehicles equipment</w:t>
      </w:r>
      <w:r w:rsidR="00264BE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>and consumer electronics</w:t>
      </w:r>
      <w:r w:rsidR="00BD38BC">
        <w:rPr>
          <w:rFonts w:ascii="Times New Roman" w:hAnsi="Times New Roman" w:cs="Times New Roman"/>
          <w:sz w:val="20"/>
          <w:szCs w:val="20"/>
          <w:lang w:val="en-US"/>
        </w:rPr>
        <w:t xml:space="preserve"> in the drivers cab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2B2CD8" w:rsidRPr="002F5FF2">
        <w:rPr>
          <w:rFonts w:ascii="Times New Roman" w:hAnsi="Times New Roman" w:cs="Times New Roman"/>
          <w:sz w:val="20"/>
          <w:szCs w:val="20"/>
          <w:lang w:val="en-US"/>
        </w:rPr>
        <w:t>An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example was given for a road-toll box containing Lithium Ion cells of considerable capacity that was expected to present a risk</w:t>
      </w:r>
      <w:r w:rsidR="002B2CD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1C49F9">
        <w:rPr>
          <w:rFonts w:ascii="Times New Roman" w:hAnsi="Times New Roman" w:cs="Times New Roman"/>
          <w:sz w:val="20"/>
          <w:szCs w:val="20"/>
          <w:lang w:val="en-US"/>
        </w:rPr>
        <w:t xml:space="preserve">were </w:t>
      </w:r>
      <w:r w:rsidR="002B2CD8" w:rsidRPr="002F5FF2">
        <w:rPr>
          <w:rFonts w:ascii="Times New Roman" w:hAnsi="Times New Roman" w:cs="Times New Roman"/>
          <w:sz w:val="20"/>
          <w:szCs w:val="20"/>
          <w:lang w:val="en-US"/>
        </w:rPr>
        <w:t>required to be removed for FL vehicles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>. On the other hand it was questioned if there are significant energy source in the veh</w:t>
      </w:r>
      <w:r w:rsidR="00595B60" w:rsidRPr="002F5FF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>cles electrical system</w:t>
      </w:r>
      <w:r w:rsidR="002B2CD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itself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, it was recalled that when the (starter) battery </w:t>
      </w:r>
      <w:r w:rsidR="00E35DB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>s disconnected memor</w:t>
      </w:r>
      <w:r w:rsidR="002B2CD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ies for motor management and drivers comfort systems are </w:t>
      </w:r>
      <w:r w:rsidR="00595B60" w:rsidRPr="002F5FF2">
        <w:rPr>
          <w:rFonts w:ascii="Times New Roman" w:hAnsi="Times New Roman" w:cs="Times New Roman"/>
          <w:sz w:val="20"/>
          <w:szCs w:val="20"/>
          <w:lang w:val="en-US"/>
        </w:rPr>
        <w:t>erased. It was felt that more information was needed on this subject.</w:t>
      </w:r>
    </w:p>
    <w:p w:rsidR="00342153" w:rsidRPr="002F5FF2" w:rsidRDefault="00595B60" w:rsidP="001541F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FF2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Energizing automatic fire extinguishers on EX/III tank-vehicles</w:t>
      </w:r>
      <w:r w:rsidR="001C49F9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 </w:t>
      </w:r>
      <w:r w:rsidRPr="002F5FF2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and M</w:t>
      </w:r>
      <w:r w:rsidR="00E33921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EMUs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br/>
      </w:r>
      <w:proofErr w:type="gramStart"/>
      <w:r w:rsidRPr="002F5FF2"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representative of Sweden </w:t>
      </w:r>
      <w:r w:rsidR="002B2CD8" w:rsidRPr="002F5FF2">
        <w:rPr>
          <w:rFonts w:ascii="Times New Roman" w:hAnsi="Times New Roman" w:cs="Times New Roman"/>
          <w:sz w:val="20"/>
          <w:szCs w:val="20"/>
          <w:lang w:val="en-US"/>
        </w:rPr>
        <w:t>said that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even during parking</w:t>
      </w:r>
      <w:r w:rsidR="00E35DB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B2CD8" w:rsidRPr="002F5FF2">
        <w:rPr>
          <w:rFonts w:ascii="Times New Roman" w:hAnsi="Times New Roman" w:cs="Times New Roman"/>
          <w:sz w:val="20"/>
          <w:szCs w:val="20"/>
          <w:lang w:val="en-US"/>
        </w:rPr>
        <w:t>when the BMS had broken the circuits</w:t>
      </w:r>
      <w:r w:rsidR="00E35DB5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2B2CD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2B2CD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automatic 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>extinguisher system needed</w:t>
      </w:r>
      <w:r w:rsidR="007B762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to be energized. In the schematic presentation of the system many components </w:t>
      </w:r>
      <w:r w:rsidR="007C719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were included </w:t>
      </w:r>
      <w:r w:rsidR="007B762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that may require a significant amount of energy. However </w:t>
      </w:r>
      <w:r w:rsidR="00DE1E9B" w:rsidRPr="002F5FF2">
        <w:rPr>
          <w:rFonts w:ascii="Times New Roman" w:hAnsi="Times New Roman" w:cs="Times New Roman"/>
          <w:sz w:val="20"/>
          <w:szCs w:val="20"/>
          <w:lang w:val="en-US"/>
        </w:rPr>
        <w:t>9.2.</w:t>
      </w:r>
      <w:r w:rsidR="00DE1E9B">
        <w:rPr>
          <w:rFonts w:ascii="Times New Roman" w:hAnsi="Times New Roman" w:cs="Times New Roman"/>
          <w:sz w:val="20"/>
          <w:szCs w:val="20"/>
          <w:lang w:val="en-US"/>
        </w:rPr>
        <w:t>2.9.2</w:t>
      </w:r>
      <w:r w:rsidR="00DE1E9B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7B7626" w:rsidRPr="002F5FF2">
        <w:rPr>
          <w:rFonts w:ascii="Times New Roman" w:hAnsi="Times New Roman" w:cs="Times New Roman"/>
          <w:sz w:val="20"/>
          <w:szCs w:val="20"/>
          <w:lang w:val="en-US"/>
        </w:rPr>
        <w:t>9.2.2.5.2 in ADR 2015) only requires a protection of the circuit by a suitable means such as a fuse or circuit breaker without limitation to the current</w:t>
      </w:r>
      <w:r w:rsidR="00E35DB5">
        <w:rPr>
          <w:rFonts w:ascii="Times New Roman" w:hAnsi="Times New Roman" w:cs="Times New Roman"/>
          <w:sz w:val="20"/>
          <w:szCs w:val="20"/>
          <w:lang w:val="en-US"/>
        </w:rPr>
        <w:t>, unlike the requirements for FL veh</w:t>
      </w:r>
      <w:r w:rsidR="00884452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E35DB5">
        <w:rPr>
          <w:rFonts w:ascii="Times New Roman" w:hAnsi="Times New Roman" w:cs="Times New Roman"/>
          <w:sz w:val="20"/>
          <w:szCs w:val="20"/>
          <w:lang w:val="en-US"/>
        </w:rPr>
        <w:t>cles</w:t>
      </w:r>
      <w:r w:rsidR="007C719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7B762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This </w:t>
      </w:r>
      <w:r w:rsidR="007C719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makes it possible </w:t>
      </w:r>
      <w:r w:rsidR="007B762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="00DE1E9B" w:rsidRPr="002F5FF2">
        <w:rPr>
          <w:rFonts w:ascii="Times New Roman" w:hAnsi="Times New Roman" w:cs="Times New Roman"/>
          <w:sz w:val="20"/>
          <w:szCs w:val="20"/>
          <w:lang w:val="en-US"/>
        </w:rPr>
        <w:t>energize</w:t>
      </w:r>
      <w:r w:rsidR="007B762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="007C7198" w:rsidRPr="002F5FF2">
        <w:rPr>
          <w:rFonts w:ascii="Times New Roman" w:hAnsi="Times New Roman" w:cs="Times New Roman"/>
          <w:sz w:val="20"/>
          <w:szCs w:val="20"/>
          <w:lang w:val="en-US"/>
        </w:rPr>
        <w:t>se</w:t>
      </w:r>
      <w:r w:rsidR="007B762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components but may hinder the </w:t>
      </w:r>
      <w:r w:rsidR="00E35DB5">
        <w:rPr>
          <w:rFonts w:ascii="Times New Roman" w:hAnsi="Times New Roman" w:cs="Times New Roman"/>
          <w:sz w:val="20"/>
          <w:szCs w:val="20"/>
          <w:lang w:val="en-US"/>
        </w:rPr>
        <w:t xml:space="preserve">simultaneous </w:t>
      </w:r>
      <w:r w:rsidR="007B7626" w:rsidRPr="002F5FF2">
        <w:rPr>
          <w:rFonts w:ascii="Times New Roman" w:hAnsi="Times New Roman" w:cs="Times New Roman"/>
          <w:sz w:val="20"/>
          <w:szCs w:val="20"/>
          <w:lang w:val="en-US"/>
        </w:rPr>
        <w:t>approval of the</w:t>
      </w:r>
      <w:r w:rsidR="008B5CB9" w:rsidRPr="002F5FF2">
        <w:rPr>
          <w:rFonts w:ascii="Times New Roman" w:hAnsi="Times New Roman" w:cs="Times New Roman"/>
          <w:sz w:val="20"/>
          <w:szCs w:val="20"/>
          <w:lang w:val="en-US"/>
        </w:rPr>
        <w:t>se</w:t>
      </w:r>
      <w:r w:rsidR="007B762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B5CB9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particular </w:t>
      </w:r>
      <w:r w:rsidR="007B7626" w:rsidRPr="002F5FF2">
        <w:rPr>
          <w:rFonts w:ascii="Times New Roman" w:hAnsi="Times New Roman" w:cs="Times New Roman"/>
          <w:sz w:val="20"/>
          <w:szCs w:val="20"/>
          <w:lang w:val="en-US"/>
        </w:rPr>
        <w:t>vehicle</w:t>
      </w:r>
      <w:r w:rsidR="008B5CB9" w:rsidRPr="002F5FF2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7B762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B5CB9" w:rsidRPr="002F5FF2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="007B762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35DB5">
        <w:rPr>
          <w:rFonts w:ascii="Times New Roman" w:hAnsi="Times New Roman" w:cs="Times New Roman"/>
          <w:sz w:val="20"/>
          <w:szCs w:val="20"/>
          <w:lang w:val="en-US"/>
        </w:rPr>
        <w:t xml:space="preserve">type </w:t>
      </w:r>
      <w:r w:rsidR="007B7626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FL. </w:t>
      </w:r>
    </w:p>
    <w:p w:rsidR="00595B60" w:rsidRPr="002F5FF2" w:rsidRDefault="0039702B" w:rsidP="001541F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FF2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 xml:space="preserve">Outflow of hot gases during (automatic) regeneration of catalytic converters (soot filters) </w:t>
      </w:r>
      <w:r w:rsidRPr="002F5FF2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br/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Euro 6 requires </w:t>
      </w:r>
      <w:r w:rsidR="00AA0448" w:rsidRPr="002F5FF2">
        <w:rPr>
          <w:rFonts w:ascii="Times New Roman" w:hAnsi="Times New Roman" w:cs="Times New Roman"/>
          <w:sz w:val="20"/>
          <w:szCs w:val="20"/>
          <w:lang w:val="en-US"/>
        </w:rPr>
        <w:t>“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>closed</w:t>
      </w:r>
      <w:r w:rsidR="00AA0448" w:rsidRPr="002F5FF2">
        <w:rPr>
          <w:rFonts w:ascii="Times New Roman" w:hAnsi="Times New Roman" w:cs="Times New Roman"/>
          <w:sz w:val="20"/>
          <w:szCs w:val="20"/>
          <w:lang w:val="en-US"/>
        </w:rPr>
        <w:t>”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converters that </w:t>
      </w:r>
      <w:r w:rsidR="00AA044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need 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>active regeneration</w:t>
      </w:r>
      <w:r w:rsidR="00AA044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to prevent blockage </w:t>
      </w:r>
      <w:r w:rsidR="009B68ED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of the exhaust system. </w:t>
      </w:r>
      <w:r w:rsidR="00AA044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The regeneration process can lead to a</w:t>
      </w:r>
      <w:r w:rsidR="009B68ED" w:rsidRPr="002F5FF2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AA044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outflow of </w:t>
      </w:r>
      <w:r w:rsidR="009B68ED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very </w:t>
      </w:r>
      <w:r w:rsidR="00AA0448" w:rsidRPr="002F5FF2">
        <w:rPr>
          <w:rFonts w:ascii="Times New Roman" w:hAnsi="Times New Roman" w:cs="Times New Roman"/>
          <w:sz w:val="20"/>
          <w:szCs w:val="20"/>
          <w:lang w:val="en-US"/>
        </w:rPr>
        <w:t>hot exhaust gases for several minutes. The outflow is such that this may harm other road users</w:t>
      </w:r>
      <w:r w:rsidR="009B68ED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, such as pedestrians and </w:t>
      </w:r>
      <w:r w:rsidR="00DE1E9B" w:rsidRPr="002F5FF2">
        <w:rPr>
          <w:rFonts w:ascii="Times New Roman" w:hAnsi="Times New Roman" w:cs="Times New Roman"/>
          <w:sz w:val="20"/>
          <w:szCs w:val="20"/>
          <w:lang w:val="en-US"/>
        </w:rPr>
        <w:t>cyclists in</w:t>
      </w:r>
      <w:r w:rsidR="00AA044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urban traffic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A0448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situations. Unintended regeneration may also create problems at depots where explosives atmospheres occur.  </w:t>
      </w:r>
      <w:r w:rsidR="009B68ED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Environmental regulations prescribe countermeasures </w:t>
      </w:r>
      <w:r w:rsidR="00884452">
        <w:rPr>
          <w:rFonts w:ascii="Times New Roman" w:hAnsi="Times New Roman" w:cs="Times New Roman"/>
          <w:sz w:val="20"/>
          <w:szCs w:val="20"/>
          <w:lang w:val="en-US"/>
        </w:rPr>
        <w:t xml:space="preserve">such as preventing regeneration below a certain speed, </w:t>
      </w:r>
      <w:r w:rsidR="009B68ED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but the </w:t>
      </w:r>
      <w:r w:rsidR="00884452">
        <w:rPr>
          <w:rFonts w:ascii="Times New Roman" w:hAnsi="Times New Roman" w:cs="Times New Roman"/>
          <w:sz w:val="20"/>
          <w:szCs w:val="20"/>
          <w:lang w:val="en-US"/>
        </w:rPr>
        <w:t xml:space="preserve">actual method </w:t>
      </w:r>
      <w:r w:rsidR="009B68ED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="00002745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left to the vehicle manufacturer. To take this risk in account it was felt this was to be considered for </w:t>
      </w:r>
      <w:r w:rsidR="00884452">
        <w:rPr>
          <w:rFonts w:ascii="Times New Roman" w:hAnsi="Times New Roman" w:cs="Times New Roman"/>
          <w:sz w:val="20"/>
          <w:szCs w:val="20"/>
          <w:lang w:val="en-US"/>
        </w:rPr>
        <w:t xml:space="preserve">awareness during </w:t>
      </w:r>
      <w:r w:rsidR="00002745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driver training rather than </w:t>
      </w:r>
      <w:r w:rsidR="00884452">
        <w:rPr>
          <w:rFonts w:ascii="Times New Roman" w:hAnsi="Times New Roman" w:cs="Times New Roman"/>
          <w:sz w:val="20"/>
          <w:szCs w:val="20"/>
          <w:lang w:val="en-US"/>
        </w:rPr>
        <w:t xml:space="preserve">for </w:t>
      </w:r>
      <w:r w:rsidR="00002745" w:rsidRPr="002F5FF2">
        <w:rPr>
          <w:rFonts w:ascii="Times New Roman" w:hAnsi="Times New Roman" w:cs="Times New Roman"/>
          <w:sz w:val="20"/>
          <w:szCs w:val="20"/>
          <w:lang w:val="en-US"/>
        </w:rPr>
        <w:t>technical measures in ADR.</w:t>
      </w:r>
    </w:p>
    <w:p w:rsidR="007C7198" w:rsidRPr="002F5FF2" w:rsidRDefault="005C0C7B" w:rsidP="001541F2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FF2">
        <w:rPr>
          <w:rFonts w:ascii="Times New Roman" w:hAnsi="Times New Roman" w:cs="Times New Roman"/>
          <w:b/>
          <w:sz w:val="20"/>
          <w:szCs w:val="20"/>
          <w:lang w:val="en-US"/>
        </w:rPr>
        <w:t>Future meetings of the working group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br/>
      </w:r>
      <w:r w:rsidR="002F2693" w:rsidRPr="002F5FF2">
        <w:rPr>
          <w:rFonts w:ascii="Times New Roman" w:hAnsi="Times New Roman" w:cs="Times New Roman"/>
          <w:sz w:val="20"/>
          <w:szCs w:val="20"/>
          <w:lang w:val="en-US"/>
        </w:rPr>
        <w:t>Awaiting the a</w:t>
      </w:r>
      <w:r w:rsidR="001C49F9">
        <w:rPr>
          <w:rFonts w:ascii="Times New Roman" w:hAnsi="Times New Roman" w:cs="Times New Roman"/>
          <w:sz w:val="20"/>
          <w:szCs w:val="20"/>
          <w:lang w:val="en-US"/>
        </w:rPr>
        <w:t>pproval</w:t>
      </w:r>
      <w:r w:rsidR="002F269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of the proposed changes </w:t>
      </w:r>
      <w:r w:rsidR="006670CF" w:rsidRPr="002F5FF2">
        <w:rPr>
          <w:rFonts w:ascii="Times New Roman" w:hAnsi="Times New Roman" w:cs="Times New Roman"/>
          <w:sz w:val="20"/>
          <w:szCs w:val="20"/>
          <w:lang w:val="en-US"/>
        </w:rPr>
        <w:t>and approval of WP.15 to continue the work</w:t>
      </w:r>
      <w:r w:rsidR="001C49F9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6670CF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F269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no </w:t>
      </w:r>
      <w:r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future </w:t>
      </w:r>
      <w:r w:rsidR="002F2693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meetings have been planned. </w:t>
      </w:r>
      <w:r w:rsidR="006670CF" w:rsidRPr="002F5FF2">
        <w:rPr>
          <w:rFonts w:ascii="Times New Roman" w:hAnsi="Times New Roman" w:cs="Times New Roman"/>
          <w:sz w:val="20"/>
          <w:szCs w:val="20"/>
          <w:lang w:val="en-US"/>
        </w:rPr>
        <w:br/>
      </w:r>
      <w:r w:rsidR="007C7198" w:rsidRPr="002F5FF2">
        <w:rPr>
          <w:rFonts w:ascii="Times New Roman" w:hAnsi="Times New Roman" w:cs="Times New Roman"/>
          <w:sz w:val="20"/>
          <w:szCs w:val="20"/>
          <w:lang w:val="en-US"/>
        </w:rPr>
        <w:br/>
      </w:r>
    </w:p>
    <w:p w:rsidR="007C7198" w:rsidRPr="002F5FF2" w:rsidRDefault="007C7198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F5FF2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D077FC" w:rsidRPr="004E3253" w:rsidRDefault="00D077FC" w:rsidP="00D077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253">
        <w:rPr>
          <w:rFonts w:ascii="Times New Roman" w:hAnsi="Times New Roman" w:cs="Times New Roman"/>
          <w:b/>
          <w:sz w:val="24"/>
          <w:szCs w:val="24"/>
          <w:lang w:val="en-US"/>
        </w:rPr>
        <w:t>Annex 1</w:t>
      </w:r>
    </w:p>
    <w:p w:rsidR="00D077FC" w:rsidRPr="007A664D" w:rsidRDefault="00D077FC" w:rsidP="00D077FC">
      <w:pPr>
        <w:rPr>
          <w:rFonts w:ascii="Times New Roman" w:hAnsi="Times New Roman" w:cs="Times New Roman"/>
          <w:lang w:val="en-US"/>
        </w:rPr>
      </w:pPr>
      <w:r w:rsidRPr="007A664D">
        <w:rPr>
          <w:rFonts w:ascii="Times New Roman" w:hAnsi="Times New Roman" w:cs="Times New Roman"/>
          <w:lang w:val="en-US"/>
        </w:rPr>
        <w:t xml:space="preserve">For this annex </w:t>
      </w:r>
      <w:proofErr w:type="gramStart"/>
      <w:r w:rsidRPr="007A664D">
        <w:rPr>
          <w:rFonts w:ascii="Times New Roman" w:hAnsi="Times New Roman" w:cs="Times New Roman"/>
          <w:lang w:val="en-US" w:eastAsia="en-US"/>
        </w:rPr>
        <w:t>existing</w:t>
      </w:r>
      <w:proofErr w:type="gramEnd"/>
      <w:r w:rsidRPr="007A664D">
        <w:rPr>
          <w:rFonts w:ascii="Times New Roman" w:hAnsi="Times New Roman" w:cs="Times New Roman"/>
          <w:lang w:val="en-US" w:eastAsia="en-US"/>
        </w:rPr>
        <w:t xml:space="preserve"> wording in </w:t>
      </w:r>
      <w:r w:rsidRPr="007A664D">
        <w:rPr>
          <w:rFonts w:ascii="Times New Roman" w:hAnsi="Times New Roman" w:cs="Times New Roman"/>
          <w:i/>
          <w:lang w:val="en-US" w:eastAsia="en-US"/>
        </w:rPr>
        <w:t>italic</w:t>
      </w:r>
      <w:r w:rsidRPr="007A664D">
        <w:rPr>
          <w:rFonts w:ascii="Times New Roman" w:hAnsi="Times New Roman" w:cs="Times New Roman"/>
          <w:lang w:val="en-US" w:eastAsia="en-US"/>
        </w:rPr>
        <w:t xml:space="preserve"> script, deleted wording </w:t>
      </w:r>
      <w:r w:rsidRPr="007A664D">
        <w:rPr>
          <w:rFonts w:ascii="Times New Roman" w:hAnsi="Times New Roman" w:cs="Times New Roman"/>
          <w:strike/>
          <w:lang w:val="en-US" w:eastAsia="en-US"/>
        </w:rPr>
        <w:t xml:space="preserve">stricken </w:t>
      </w:r>
      <w:r w:rsidRPr="007A664D">
        <w:rPr>
          <w:rFonts w:ascii="Times New Roman" w:hAnsi="Times New Roman" w:cs="Times New Roman"/>
          <w:lang w:val="en-US" w:eastAsia="en-US"/>
        </w:rPr>
        <w:t xml:space="preserve">through and new wording in </w:t>
      </w:r>
      <w:r w:rsidRPr="007A664D">
        <w:rPr>
          <w:rFonts w:ascii="Times New Roman" w:hAnsi="Times New Roman" w:cs="Times New Roman"/>
          <w:b/>
          <w:i/>
          <w:lang w:val="en-US" w:eastAsia="en-US"/>
        </w:rPr>
        <w:t>bold italic</w:t>
      </w:r>
      <w:r>
        <w:rPr>
          <w:rFonts w:ascii="Times New Roman" w:hAnsi="Times New Roman" w:cs="Times New Roman"/>
          <w:lang w:val="en-US" w:eastAsia="en-US"/>
        </w:rPr>
        <w:t xml:space="preserve"> script.</w:t>
      </w:r>
    </w:p>
    <w:p w:rsidR="00D077FC" w:rsidRPr="004E3253" w:rsidRDefault="00D077FC" w:rsidP="00D077FC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4E3253">
        <w:rPr>
          <w:rFonts w:ascii="Times New Roman" w:hAnsi="Times New Roman" w:cs="Times New Roman"/>
          <w:i/>
          <w:sz w:val="20"/>
          <w:szCs w:val="20"/>
          <w:lang w:val="en-US"/>
        </w:rPr>
        <w:t>Remark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4E3253">
        <w:rPr>
          <w:rFonts w:ascii="Times New Roman" w:hAnsi="Times New Roman" w:cs="Times New Roman"/>
          <w:i/>
          <w:sz w:val="20"/>
          <w:szCs w:val="20"/>
          <w:lang w:val="en-US"/>
        </w:rPr>
        <w:t>1:</w:t>
      </w:r>
    </w:p>
    <w:p w:rsidR="00D077FC" w:rsidRDefault="00D077FC" w:rsidP="00D077FC">
      <w:pPr>
        <w:rPr>
          <w:rFonts w:ascii="Times New Roman" w:hAnsi="Times New Roman" w:cs="Times New Roman"/>
          <w:lang w:val="en-US" w:eastAsia="en-US"/>
        </w:rPr>
      </w:pPr>
      <w:r w:rsidRPr="00FC0115">
        <w:rPr>
          <w:rFonts w:ascii="Times New Roman" w:hAnsi="Times New Roman" w:cs="Times New Roman"/>
          <w:lang w:val="en-US" w:eastAsia="en-US"/>
        </w:rPr>
        <w:t xml:space="preserve">Subsection 8.3.8 should be consequentially be amended to read: </w:t>
      </w:r>
    </w:p>
    <w:p w:rsidR="00D077FC" w:rsidRPr="00FC0115" w:rsidRDefault="00D077FC" w:rsidP="00D077FC">
      <w:pPr>
        <w:rPr>
          <w:rFonts w:ascii="Times New Roman" w:hAnsi="Times New Roman" w:cs="Times New Roman"/>
          <w:i/>
          <w:lang w:val="en-US" w:eastAsia="en-US"/>
        </w:rPr>
      </w:pPr>
      <w:r w:rsidRPr="00FC0115">
        <w:rPr>
          <w:rFonts w:ascii="Times New Roman" w:hAnsi="Times New Roman" w:cs="Times New Roman"/>
          <w:i/>
          <w:lang w:val="en-US" w:eastAsia="en-US"/>
        </w:rPr>
        <w:t xml:space="preserve">In the case of a transport unit equipped with an anti-lock braking system, consisting of a motor vehicle a trailer with a maximum mass exceeding 3.5 </w:t>
      </w:r>
      <w:proofErr w:type="spellStart"/>
      <w:r w:rsidRPr="00FC0115">
        <w:rPr>
          <w:rFonts w:ascii="Times New Roman" w:hAnsi="Times New Roman" w:cs="Times New Roman"/>
          <w:i/>
          <w:lang w:val="en-US" w:eastAsia="en-US"/>
        </w:rPr>
        <w:t>tonnes</w:t>
      </w:r>
      <w:proofErr w:type="spellEnd"/>
      <w:r w:rsidRPr="00FC0115">
        <w:rPr>
          <w:rFonts w:ascii="Times New Roman" w:hAnsi="Times New Roman" w:cs="Times New Roman"/>
          <w:i/>
          <w:lang w:val="en-US" w:eastAsia="en-US"/>
        </w:rPr>
        <w:t xml:space="preserve">, the connections referred to in  </w:t>
      </w:r>
      <w:r w:rsidRPr="00FC0115">
        <w:rPr>
          <w:rFonts w:ascii="Times New Roman" w:hAnsi="Times New Roman" w:cs="Times New Roman"/>
          <w:i/>
          <w:strike/>
          <w:lang w:val="en-US" w:eastAsia="en-US"/>
        </w:rPr>
        <w:t>paragraph</w:t>
      </w:r>
      <w:r w:rsidRPr="00FC0115">
        <w:rPr>
          <w:rFonts w:ascii="Times New Roman" w:hAnsi="Times New Roman" w:cs="Times New Roman"/>
          <w:i/>
          <w:lang w:val="en-US" w:eastAsia="en-US"/>
        </w:rPr>
        <w:t xml:space="preserve"> </w:t>
      </w:r>
      <w:r w:rsidRPr="00FC0115">
        <w:rPr>
          <w:rFonts w:ascii="Times New Roman" w:hAnsi="Times New Roman" w:cs="Times New Roman"/>
          <w:b/>
          <w:i/>
          <w:lang w:val="en-US" w:eastAsia="en-US"/>
        </w:rPr>
        <w:t>subsection</w:t>
      </w:r>
      <w:r w:rsidRPr="00FC0115">
        <w:rPr>
          <w:rFonts w:ascii="Times New Roman" w:hAnsi="Times New Roman" w:cs="Times New Roman"/>
          <w:i/>
          <w:lang w:val="en-US" w:eastAsia="en-US"/>
        </w:rPr>
        <w:t xml:space="preserve"> </w:t>
      </w:r>
      <w:r w:rsidRPr="00FC0115">
        <w:rPr>
          <w:rFonts w:ascii="Times New Roman" w:hAnsi="Times New Roman" w:cs="Times New Roman"/>
          <w:i/>
          <w:strike/>
          <w:lang w:val="en-US" w:eastAsia="en-US"/>
        </w:rPr>
        <w:t>9.2.2.6.3</w:t>
      </w:r>
      <w:r w:rsidRPr="00FC0115">
        <w:rPr>
          <w:rFonts w:ascii="Times New Roman" w:hAnsi="Times New Roman" w:cs="Times New Roman"/>
          <w:i/>
          <w:lang w:val="en-US" w:eastAsia="en-US"/>
        </w:rPr>
        <w:t xml:space="preserve"> </w:t>
      </w:r>
      <w:r w:rsidRPr="00FC0115">
        <w:rPr>
          <w:rFonts w:ascii="Times New Roman" w:hAnsi="Times New Roman" w:cs="Times New Roman"/>
          <w:b/>
          <w:i/>
          <w:lang w:val="en-US" w:eastAsia="en-US"/>
        </w:rPr>
        <w:t>9.2.2.6</w:t>
      </w:r>
      <w:r w:rsidRPr="00FC0115">
        <w:rPr>
          <w:rFonts w:ascii="Times New Roman" w:hAnsi="Times New Roman" w:cs="Times New Roman"/>
          <w:i/>
          <w:lang w:val="en-US" w:eastAsia="en-US"/>
        </w:rPr>
        <w:t xml:space="preserve"> shall be connecting the towing vehicle and the trailer at all times during carriage.</w:t>
      </w:r>
    </w:p>
    <w:p w:rsidR="00D077FC" w:rsidRDefault="00D077FC" w:rsidP="00D077FC">
      <w:pPr>
        <w:rPr>
          <w:rFonts w:ascii="Times New Roman" w:hAnsi="Times New Roman" w:cs="Times New Roman"/>
          <w:i/>
          <w:lang w:val="en-US" w:eastAsia="en-US"/>
        </w:rPr>
      </w:pPr>
    </w:p>
    <w:p w:rsidR="00D077FC" w:rsidRPr="00317A54" w:rsidRDefault="00D077FC" w:rsidP="00D077FC">
      <w:pPr>
        <w:rPr>
          <w:rFonts w:ascii="Times New Roman" w:hAnsi="Times New Roman" w:cs="Times New Roman"/>
          <w:i/>
          <w:lang w:val="en-US" w:eastAsia="en-US"/>
        </w:rPr>
      </w:pPr>
      <w:r w:rsidRPr="00317A54">
        <w:rPr>
          <w:rFonts w:ascii="Times New Roman" w:hAnsi="Times New Roman" w:cs="Times New Roman"/>
          <w:i/>
          <w:lang w:val="en-US" w:eastAsia="en-US"/>
        </w:rPr>
        <w:t>Remark 2:</w:t>
      </w:r>
    </w:p>
    <w:p w:rsidR="00D077FC" w:rsidRPr="00317A54" w:rsidRDefault="00D077FC" w:rsidP="00D077FC">
      <w:pPr>
        <w:rPr>
          <w:rFonts w:ascii="Times New Roman" w:hAnsi="Times New Roman" w:cs="Times New Roman"/>
          <w:i/>
          <w:lang w:val="en-US" w:eastAsia="en-US"/>
        </w:rPr>
      </w:pPr>
      <w:proofErr w:type="gramStart"/>
      <w:r w:rsidRPr="00317A54">
        <w:rPr>
          <w:rFonts w:ascii="Times New Roman" w:hAnsi="Times New Roman" w:cs="Times New Roman"/>
          <w:i/>
          <w:lang w:val="en-US" w:eastAsia="en-US"/>
        </w:rPr>
        <w:t>The subject of subsection 9.2.2.6.</w:t>
      </w:r>
      <w:proofErr w:type="gramEnd"/>
      <w:r w:rsidRPr="00317A54">
        <w:rPr>
          <w:rFonts w:ascii="Times New Roman" w:hAnsi="Times New Roman" w:cs="Times New Roman"/>
          <w:i/>
          <w:lang w:val="en-US" w:eastAsia="en-US"/>
        </w:rPr>
        <w:t xml:space="preserve"> </w:t>
      </w:r>
      <w:proofErr w:type="gramStart"/>
      <w:r w:rsidRPr="00317A54">
        <w:rPr>
          <w:rFonts w:ascii="Times New Roman" w:hAnsi="Times New Roman" w:cs="Times New Roman"/>
          <w:i/>
          <w:lang w:val="en-US" w:eastAsia="en-US"/>
        </w:rPr>
        <w:t>is</w:t>
      </w:r>
      <w:proofErr w:type="gramEnd"/>
      <w:r w:rsidRPr="00317A54">
        <w:rPr>
          <w:rFonts w:ascii="Times New Roman" w:hAnsi="Times New Roman" w:cs="Times New Roman"/>
          <w:i/>
          <w:lang w:val="en-US" w:eastAsia="en-US"/>
        </w:rPr>
        <w:t xml:space="preserve"> connections between motor vehicles and trailers. </w:t>
      </w:r>
      <w:proofErr w:type="gramStart"/>
      <w:r w:rsidRPr="00317A54">
        <w:rPr>
          <w:rFonts w:ascii="Times New Roman" w:hAnsi="Times New Roman" w:cs="Times New Roman"/>
          <w:i/>
          <w:lang w:val="en-US" w:eastAsia="en-US"/>
        </w:rPr>
        <w:t>Other  connections</w:t>
      </w:r>
      <w:proofErr w:type="gramEnd"/>
      <w:r w:rsidRPr="00317A54">
        <w:rPr>
          <w:rFonts w:ascii="Times New Roman" w:hAnsi="Times New Roman" w:cs="Times New Roman"/>
          <w:i/>
          <w:lang w:val="en-US" w:eastAsia="en-US"/>
        </w:rPr>
        <w:t xml:space="preserve"> in the wiring system of (motor) vehicles are not included. This is indicated in the first sentence of subsection 9.2.2.6.1.  However subsection 9.2.2.6.3 may be interpreted to apply also </w:t>
      </w:r>
      <w:proofErr w:type="gramStart"/>
      <w:r w:rsidRPr="00317A54">
        <w:rPr>
          <w:rFonts w:ascii="Times New Roman" w:hAnsi="Times New Roman" w:cs="Times New Roman"/>
          <w:i/>
          <w:lang w:val="en-US" w:eastAsia="en-US"/>
        </w:rPr>
        <w:t>to  other</w:t>
      </w:r>
      <w:proofErr w:type="gramEnd"/>
      <w:r w:rsidRPr="00317A54">
        <w:rPr>
          <w:rFonts w:ascii="Times New Roman" w:hAnsi="Times New Roman" w:cs="Times New Roman"/>
          <w:i/>
          <w:lang w:val="en-US" w:eastAsia="en-US"/>
        </w:rPr>
        <w:t xml:space="preserve"> connections in the wiring system. For this reason it is proposed to move the wording “between motor vehicle and trailers” from 9.2.2.6.1 to the heading of 9.2.2.6.  </w:t>
      </w:r>
    </w:p>
    <w:p w:rsidR="00D077FC" w:rsidRPr="00317A54" w:rsidRDefault="00D077FC" w:rsidP="00D077FC">
      <w:pPr>
        <w:rPr>
          <w:rFonts w:ascii="Times New Roman" w:hAnsi="Times New Roman" w:cs="Times New Roman"/>
          <w:i/>
          <w:lang w:val="en-US" w:eastAsia="en-US"/>
        </w:rPr>
      </w:pPr>
      <w:r w:rsidRPr="00317A54">
        <w:rPr>
          <w:rFonts w:ascii="Times New Roman" w:hAnsi="Times New Roman" w:cs="Times New Roman"/>
          <w:i/>
          <w:lang w:val="en-US" w:eastAsia="en-US"/>
        </w:rPr>
        <w:t>“9.2.2.6</w:t>
      </w:r>
      <w:r w:rsidRPr="00317A54">
        <w:rPr>
          <w:rFonts w:ascii="Times New Roman" w:hAnsi="Times New Roman" w:cs="Times New Roman"/>
          <w:i/>
          <w:lang w:val="en-US" w:eastAsia="en-US"/>
        </w:rPr>
        <w:tab/>
        <w:t xml:space="preserve"> </w:t>
      </w:r>
      <w:r w:rsidRPr="00317A54">
        <w:rPr>
          <w:rFonts w:ascii="Times New Roman" w:hAnsi="Times New Roman" w:cs="Times New Roman"/>
          <w:i/>
          <w:lang w:val="en-US" w:eastAsia="en-US"/>
        </w:rPr>
        <w:tab/>
        <w:t xml:space="preserve">Electrical connections </w:t>
      </w:r>
      <w:r w:rsidRPr="00317A54">
        <w:rPr>
          <w:rFonts w:ascii="Times New Roman" w:hAnsi="Times New Roman" w:cs="Times New Roman"/>
          <w:b/>
          <w:i/>
          <w:lang w:val="en-US" w:eastAsia="en-US"/>
        </w:rPr>
        <w:t>between motor vehicles and trailers</w:t>
      </w:r>
    </w:p>
    <w:p w:rsidR="00D077FC" w:rsidRPr="00317A54" w:rsidRDefault="00D077FC" w:rsidP="00D077FC">
      <w:pPr>
        <w:rPr>
          <w:rFonts w:ascii="Times New Roman" w:hAnsi="Times New Roman" w:cs="Times New Roman"/>
          <w:i/>
          <w:lang w:val="en-US" w:eastAsia="en-US"/>
        </w:rPr>
      </w:pPr>
      <w:r w:rsidRPr="00317A54">
        <w:rPr>
          <w:rFonts w:ascii="Times New Roman" w:hAnsi="Times New Roman" w:cs="Times New Roman"/>
          <w:i/>
          <w:lang w:val="en-US" w:eastAsia="en-US"/>
        </w:rPr>
        <w:t>9.2.2.6.1</w:t>
      </w:r>
    </w:p>
    <w:p w:rsidR="00D077FC" w:rsidRPr="00317A54" w:rsidRDefault="00D077FC" w:rsidP="00D077FC">
      <w:pPr>
        <w:rPr>
          <w:rFonts w:ascii="Times New Roman" w:hAnsi="Times New Roman" w:cs="Times New Roman"/>
          <w:i/>
          <w:lang w:val="en-US" w:eastAsia="en-US"/>
        </w:rPr>
      </w:pPr>
      <w:r w:rsidRPr="00317A54">
        <w:rPr>
          <w:rFonts w:ascii="Times New Roman" w:hAnsi="Times New Roman" w:cs="Times New Roman"/>
          <w:i/>
          <w:lang w:val="en-US" w:eastAsia="en-US"/>
        </w:rPr>
        <w:t xml:space="preserve">Electrical connections </w:t>
      </w:r>
      <w:r w:rsidRPr="00317A54">
        <w:rPr>
          <w:rFonts w:ascii="Times New Roman" w:hAnsi="Times New Roman" w:cs="Times New Roman"/>
          <w:i/>
          <w:strike/>
          <w:lang w:val="en-US" w:eastAsia="en-US"/>
        </w:rPr>
        <w:t>between motor vehicles and the trailers</w:t>
      </w:r>
      <w:r w:rsidRPr="00317A54">
        <w:rPr>
          <w:rFonts w:ascii="Times New Roman" w:hAnsi="Times New Roman" w:cs="Times New Roman"/>
          <w:i/>
          <w:lang w:val="en-US" w:eastAsia="en-US"/>
        </w:rPr>
        <w:t xml:space="preserve"> shall be designed to prevent</w:t>
      </w:r>
      <w:proofErr w:type="gramStart"/>
      <w:r w:rsidRPr="00317A54">
        <w:rPr>
          <w:rFonts w:ascii="Times New Roman" w:hAnsi="Times New Roman" w:cs="Times New Roman"/>
          <w:i/>
          <w:lang w:val="en-US" w:eastAsia="en-US"/>
        </w:rPr>
        <w:t>: ”</w:t>
      </w:r>
      <w:proofErr w:type="gramEnd"/>
    </w:p>
    <w:p w:rsidR="00D077FC" w:rsidRDefault="00D077FC" w:rsidP="00D077FC">
      <w:pPr>
        <w:rPr>
          <w:rFonts w:ascii="Times New Roman" w:hAnsi="Times New Roman" w:cs="Times New Roman"/>
          <w:i/>
          <w:lang w:val="en-US"/>
        </w:rPr>
      </w:pPr>
    </w:p>
    <w:p w:rsidR="00D077FC" w:rsidRPr="00002EB5" w:rsidRDefault="00D077FC" w:rsidP="00D077FC">
      <w:pPr>
        <w:rPr>
          <w:rFonts w:ascii="Times New Roman" w:hAnsi="Times New Roman" w:cs="Times New Roman"/>
          <w:i/>
          <w:lang w:val="en-US"/>
        </w:rPr>
      </w:pPr>
      <w:r w:rsidRPr="00002EB5">
        <w:rPr>
          <w:rFonts w:ascii="Times New Roman" w:hAnsi="Times New Roman" w:cs="Times New Roman"/>
          <w:i/>
          <w:lang w:val="en-US"/>
        </w:rPr>
        <w:t>Remark 3:</w:t>
      </w:r>
    </w:p>
    <w:p w:rsidR="00D077FC" w:rsidRPr="00002EB5" w:rsidRDefault="00D077FC" w:rsidP="00D077FC">
      <w:pPr>
        <w:rPr>
          <w:rFonts w:ascii="Times New Roman" w:hAnsi="Times New Roman" w:cs="Times New Roman"/>
          <w:lang w:val="en-US"/>
        </w:rPr>
      </w:pPr>
      <w:r w:rsidRPr="00002EB5">
        <w:rPr>
          <w:rFonts w:ascii="Times New Roman" w:hAnsi="Times New Roman" w:cs="Times New Roman"/>
          <w:lang w:val="en-US"/>
        </w:rPr>
        <w:t xml:space="preserve">It was brought to the attention that tank of tank vehicles may have electrical heating directly on the </w:t>
      </w:r>
      <w:r>
        <w:rPr>
          <w:rFonts w:ascii="Times New Roman" w:hAnsi="Times New Roman" w:cs="Times New Roman"/>
          <w:lang w:val="en-US"/>
        </w:rPr>
        <w:t xml:space="preserve">outside of the </w:t>
      </w:r>
      <w:r w:rsidRPr="00002EB5">
        <w:rPr>
          <w:rFonts w:ascii="Times New Roman" w:hAnsi="Times New Roman" w:cs="Times New Roman"/>
          <w:lang w:val="en-US"/>
        </w:rPr>
        <w:t xml:space="preserve">tank shell. The heating systems operate mainly on 230 Volts. The new proposed 9.2.2.7 requires a distance from the load area of 0.5 meters for systems working on a voltage higher than 25 V A.C. of 60 V D.C. which </w:t>
      </w:r>
      <w:r>
        <w:rPr>
          <w:rFonts w:ascii="Times New Roman" w:hAnsi="Times New Roman" w:cs="Times New Roman"/>
          <w:lang w:val="en-US"/>
        </w:rPr>
        <w:t>i</w:t>
      </w:r>
      <w:r w:rsidRPr="00002EB5">
        <w:rPr>
          <w:rFonts w:ascii="Times New Roman" w:hAnsi="Times New Roman" w:cs="Times New Roman"/>
          <w:lang w:val="en-US"/>
        </w:rPr>
        <w:t xml:space="preserve">s based on the </w:t>
      </w:r>
      <w:r>
        <w:rPr>
          <w:rFonts w:ascii="Times New Roman" w:hAnsi="Times New Roman" w:cs="Times New Roman"/>
          <w:lang w:val="en-US"/>
        </w:rPr>
        <w:t xml:space="preserve">particular risks of higher voltages on explosive substances and articles in </w:t>
      </w:r>
      <w:r w:rsidRPr="00002EB5">
        <w:rPr>
          <w:rFonts w:ascii="Times New Roman" w:hAnsi="Times New Roman" w:cs="Times New Roman"/>
          <w:lang w:val="en-US"/>
        </w:rPr>
        <w:t xml:space="preserve">load </w:t>
      </w:r>
      <w:r>
        <w:rPr>
          <w:rFonts w:ascii="Times New Roman" w:hAnsi="Times New Roman" w:cs="Times New Roman"/>
          <w:lang w:val="en-US"/>
        </w:rPr>
        <w:t xml:space="preserve">compartments </w:t>
      </w:r>
      <w:r w:rsidRPr="00002EB5">
        <w:rPr>
          <w:rFonts w:ascii="Times New Roman" w:hAnsi="Times New Roman" w:cs="Times New Roman"/>
          <w:lang w:val="en-US"/>
        </w:rPr>
        <w:t>of EX vehicles.</w:t>
      </w:r>
    </w:p>
    <w:p w:rsidR="00D077FC" w:rsidRPr="007A664D" w:rsidRDefault="00D077FC" w:rsidP="00D077FC">
      <w:pPr>
        <w:rPr>
          <w:rFonts w:ascii="Times New Roman" w:hAnsi="Times New Roman" w:cs="Times New Roman"/>
          <w:lang w:val="en-US"/>
        </w:rPr>
      </w:pPr>
      <w:r w:rsidRPr="007A664D">
        <w:rPr>
          <w:rFonts w:ascii="Times New Roman" w:hAnsi="Times New Roman" w:cs="Times New Roman"/>
          <w:lang w:val="en-US"/>
        </w:rPr>
        <w:t xml:space="preserve">It is proposed to </w:t>
      </w:r>
      <w:r>
        <w:rPr>
          <w:rFonts w:ascii="Times New Roman" w:hAnsi="Times New Roman" w:cs="Times New Roman"/>
          <w:lang w:val="en-US"/>
        </w:rPr>
        <w:t xml:space="preserve">amend </w:t>
      </w:r>
      <w:r w:rsidRPr="007A664D">
        <w:rPr>
          <w:rFonts w:ascii="Times New Roman" w:hAnsi="Times New Roman" w:cs="Times New Roman"/>
          <w:lang w:val="en-US"/>
        </w:rPr>
        <w:t xml:space="preserve">the table in chapter 9.2 </w:t>
      </w:r>
      <w:proofErr w:type="gramStart"/>
      <w:r>
        <w:rPr>
          <w:rFonts w:ascii="Times New Roman" w:hAnsi="Times New Roman" w:cs="Times New Roman"/>
          <w:lang w:val="en-US"/>
        </w:rPr>
        <w:t xml:space="preserve">of </w:t>
      </w:r>
      <w:r w:rsidRPr="007A664D">
        <w:rPr>
          <w:rFonts w:ascii="Times New Roman" w:hAnsi="Times New Roman" w:cs="Times New Roman"/>
          <w:lang w:val="en-US"/>
        </w:rPr>
        <w:t xml:space="preserve"> document</w:t>
      </w:r>
      <w:proofErr w:type="gramEnd"/>
      <w:r w:rsidRPr="007A664D">
        <w:rPr>
          <w:rFonts w:ascii="Times New Roman" w:hAnsi="Times New Roman" w:cs="Times New Roman"/>
          <w:lang w:val="en-US"/>
        </w:rPr>
        <w:t xml:space="preserve"> ECE/T</w:t>
      </w:r>
      <w:r>
        <w:rPr>
          <w:rFonts w:ascii="Times New Roman" w:hAnsi="Times New Roman" w:cs="Times New Roman"/>
          <w:lang w:val="en-US"/>
        </w:rPr>
        <w:t>RANS</w:t>
      </w:r>
      <w:r w:rsidRPr="007A664D">
        <w:rPr>
          <w:rFonts w:ascii="Times New Roman" w:hAnsi="Times New Roman" w:cs="Times New Roman"/>
          <w:lang w:val="en-US"/>
        </w:rPr>
        <w:t>/WP.15/2015/15</w:t>
      </w:r>
      <w:r>
        <w:rPr>
          <w:rFonts w:ascii="Times New Roman" w:hAnsi="Times New Roman" w:cs="Times New Roman"/>
          <w:lang w:val="en-US"/>
        </w:rPr>
        <w:t xml:space="preserve"> as follows: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911"/>
        <w:gridCol w:w="1134"/>
        <w:gridCol w:w="903"/>
        <w:gridCol w:w="940"/>
        <w:gridCol w:w="850"/>
        <w:gridCol w:w="2158"/>
      </w:tblGrid>
      <w:tr w:rsidR="00D077FC" w:rsidTr="00E0701C">
        <w:tc>
          <w:tcPr>
            <w:tcW w:w="3227" w:type="dxa"/>
            <w:gridSpan w:val="2"/>
          </w:tcPr>
          <w:p w:rsidR="00D077FC" w:rsidRDefault="00D077FC" w:rsidP="00E0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TECHNICAL SPECIFICATION</w:t>
            </w:r>
          </w:p>
        </w:tc>
        <w:tc>
          <w:tcPr>
            <w:tcW w:w="1134" w:type="dxa"/>
          </w:tcPr>
          <w:p w:rsidR="00D077FC" w:rsidRDefault="00D077FC" w:rsidP="00E0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EX/II</w:t>
            </w:r>
          </w:p>
        </w:tc>
        <w:tc>
          <w:tcPr>
            <w:tcW w:w="903" w:type="dxa"/>
          </w:tcPr>
          <w:p w:rsidR="00D077FC" w:rsidRDefault="00D077FC" w:rsidP="00E0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EX/III</w:t>
            </w:r>
          </w:p>
        </w:tc>
        <w:tc>
          <w:tcPr>
            <w:tcW w:w="940" w:type="dxa"/>
          </w:tcPr>
          <w:p w:rsidR="00D077FC" w:rsidRDefault="00D077FC" w:rsidP="00E0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</w:p>
        </w:tc>
        <w:tc>
          <w:tcPr>
            <w:tcW w:w="850" w:type="dxa"/>
          </w:tcPr>
          <w:p w:rsidR="00D077FC" w:rsidRDefault="00D077FC" w:rsidP="00E0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</w:t>
            </w:r>
          </w:p>
        </w:tc>
        <w:tc>
          <w:tcPr>
            <w:tcW w:w="2158" w:type="dxa"/>
          </w:tcPr>
          <w:p w:rsidR="00D077FC" w:rsidRDefault="00D077FC" w:rsidP="00E0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Comments</w:t>
            </w:r>
          </w:p>
        </w:tc>
      </w:tr>
      <w:tr w:rsidR="00D077FC" w:rsidTr="00E0701C">
        <w:tc>
          <w:tcPr>
            <w:tcW w:w="9212" w:type="dxa"/>
            <w:gridSpan w:val="7"/>
          </w:tcPr>
          <w:p w:rsidR="00D077FC" w:rsidRDefault="00D077FC" w:rsidP="00E070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77FC" w:rsidRPr="009621EA" w:rsidTr="00E0701C">
        <w:tc>
          <w:tcPr>
            <w:tcW w:w="1316" w:type="dxa"/>
          </w:tcPr>
          <w:p w:rsidR="00D077FC" w:rsidRPr="009621EA" w:rsidRDefault="00D077FC" w:rsidP="00E0701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621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9.2.2.7</w:t>
            </w:r>
          </w:p>
        </w:tc>
        <w:tc>
          <w:tcPr>
            <w:tcW w:w="1911" w:type="dxa"/>
          </w:tcPr>
          <w:p w:rsidR="00D077FC" w:rsidRPr="009621EA" w:rsidRDefault="00D077FC" w:rsidP="00E0701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621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Voltage</w:t>
            </w:r>
          </w:p>
        </w:tc>
        <w:tc>
          <w:tcPr>
            <w:tcW w:w="1134" w:type="dxa"/>
          </w:tcPr>
          <w:p w:rsidR="00D077FC" w:rsidRPr="009621EA" w:rsidRDefault="00D077FC" w:rsidP="00E070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621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903" w:type="dxa"/>
          </w:tcPr>
          <w:p w:rsidR="00D077FC" w:rsidRPr="009621EA" w:rsidRDefault="00D077FC" w:rsidP="00E0701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621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940" w:type="dxa"/>
          </w:tcPr>
          <w:p w:rsidR="00D077FC" w:rsidRPr="009621EA" w:rsidRDefault="00D077FC" w:rsidP="00E0701C">
            <w:pPr>
              <w:jc w:val="center"/>
              <w:rPr>
                <w:rFonts w:ascii="Times New Roman" w:hAnsi="Times New Roman" w:cs="Times New Roman"/>
                <w:i/>
                <w:strike/>
                <w:sz w:val="20"/>
                <w:szCs w:val="20"/>
                <w:lang w:val="en-US"/>
              </w:rPr>
            </w:pPr>
            <w:r w:rsidRPr="009621EA">
              <w:rPr>
                <w:rFonts w:ascii="Times New Roman" w:hAnsi="Times New Roman" w:cs="Times New Roman"/>
                <w:i/>
                <w:strike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077FC" w:rsidRPr="009621EA" w:rsidRDefault="00D077FC" w:rsidP="00E0701C">
            <w:pPr>
              <w:jc w:val="center"/>
              <w:rPr>
                <w:rFonts w:ascii="Times New Roman" w:hAnsi="Times New Roman" w:cs="Times New Roman"/>
                <w:i/>
                <w:strike/>
                <w:sz w:val="20"/>
                <w:szCs w:val="20"/>
                <w:lang w:val="en-US"/>
              </w:rPr>
            </w:pPr>
            <w:r w:rsidRPr="009621EA">
              <w:rPr>
                <w:rFonts w:ascii="Times New Roman" w:hAnsi="Times New Roman" w:cs="Times New Roman"/>
                <w:i/>
                <w:strike/>
                <w:sz w:val="20"/>
                <w:szCs w:val="20"/>
                <w:lang w:val="en-US"/>
              </w:rPr>
              <w:t>X</w:t>
            </w:r>
          </w:p>
        </w:tc>
        <w:tc>
          <w:tcPr>
            <w:tcW w:w="2158" w:type="dxa"/>
          </w:tcPr>
          <w:p w:rsidR="00D077FC" w:rsidRPr="009621EA" w:rsidRDefault="00D077FC" w:rsidP="00E0701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B4269F" w:rsidRDefault="00B4269F" w:rsidP="001541F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518F6" w:rsidRPr="002F5FF2" w:rsidRDefault="00B4269F" w:rsidP="00B4269F">
      <w:pPr>
        <w:suppressAutoHyphens/>
        <w:spacing w:before="240" w:after="0" w:line="240" w:lineRule="atLeast"/>
        <w:ind w:left="1134" w:right="1134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71371A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E79B0" w:rsidRPr="002F5FF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303D8" w:rsidRPr="002F5FF2" w:rsidRDefault="00E303D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285D81" w:rsidRPr="002F5FF2" w:rsidRDefault="00285D81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75AB1" w:rsidRPr="002F5FF2" w:rsidRDefault="00B75AB1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B75AB1" w:rsidRPr="002F5FF2" w:rsidSect="00D02297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9F" w:rsidRDefault="00B4269F" w:rsidP="00B4269F">
      <w:pPr>
        <w:spacing w:after="0" w:line="240" w:lineRule="auto"/>
      </w:pPr>
      <w:r>
        <w:separator/>
      </w:r>
    </w:p>
  </w:endnote>
  <w:endnote w:type="continuationSeparator" w:id="0">
    <w:p w:rsidR="00B4269F" w:rsidRDefault="00B4269F" w:rsidP="00B4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9F" w:rsidRDefault="00B4269F" w:rsidP="00B4269F">
      <w:pPr>
        <w:spacing w:after="0" w:line="240" w:lineRule="auto"/>
      </w:pPr>
      <w:r>
        <w:separator/>
      </w:r>
    </w:p>
  </w:footnote>
  <w:footnote w:type="continuationSeparator" w:id="0">
    <w:p w:rsidR="00B4269F" w:rsidRDefault="00B4269F" w:rsidP="00B4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297" w:rsidRPr="00D02297" w:rsidRDefault="00D02297">
    <w:pPr>
      <w:pStyle w:val="En-tte"/>
      <w:rPr>
        <w:lang w:val="fr-CH"/>
      </w:rPr>
    </w:pPr>
    <w:r>
      <w:rPr>
        <w:lang w:val="fr-CH"/>
      </w:rPr>
      <w:t>INF.7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9F" w:rsidRPr="00B4269F" w:rsidRDefault="00D02297">
    <w:pPr>
      <w:pStyle w:val="En-tte"/>
      <w:rPr>
        <w:lang w:val="fr-CH"/>
      </w:rPr>
    </w:pPr>
    <w:r>
      <w:rPr>
        <w:lang w:val="fr-CH"/>
      </w:rPr>
      <w:tab/>
    </w:r>
    <w:r>
      <w:rPr>
        <w:lang w:val="fr-CH"/>
      </w:rPr>
      <w:tab/>
    </w:r>
    <w:r w:rsidR="00B4269F">
      <w:rPr>
        <w:lang w:val="fr-CH"/>
      </w:rPr>
      <w:t>INF.7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22"/>
    <w:rsid w:val="00002745"/>
    <w:rsid w:val="00026B24"/>
    <w:rsid w:val="000276D9"/>
    <w:rsid w:val="000801B4"/>
    <w:rsid w:val="000D67EB"/>
    <w:rsid w:val="001420E9"/>
    <w:rsid w:val="001541F2"/>
    <w:rsid w:val="001762A1"/>
    <w:rsid w:val="00192794"/>
    <w:rsid w:val="001A4F8F"/>
    <w:rsid w:val="001A6402"/>
    <w:rsid w:val="001C2CDE"/>
    <w:rsid w:val="001C49F9"/>
    <w:rsid w:val="001C73F0"/>
    <w:rsid w:val="00247F2A"/>
    <w:rsid w:val="00264BE6"/>
    <w:rsid w:val="00285D81"/>
    <w:rsid w:val="002B2CD8"/>
    <w:rsid w:val="002F2693"/>
    <w:rsid w:val="002F5FF2"/>
    <w:rsid w:val="00342153"/>
    <w:rsid w:val="00353997"/>
    <w:rsid w:val="00356F21"/>
    <w:rsid w:val="003862A3"/>
    <w:rsid w:val="00387C5F"/>
    <w:rsid w:val="0039702B"/>
    <w:rsid w:val="003A5124"/>
    <w:rsid w:val="003D6332"/>
    <w:rsid w:val="003D7703"/>
    <w:rsid w:val="003F554C"/>
    <w:rsid w:val="003F6F81"/>
    <w:rsid w:val="004474BE"/>
    <w:rsid w:val="00464B4F"/>
    <w:rsid w:val="00513F79"/>
    <w:rsid w:val="00515B36"/>
    <w:rsid w:val="005222FE"/>
    <w:rsid w:val="0053160B"/>
    <w:rsid w:val="005612A8"/>
    <w:rsid w:val="00595B60"/>
    <w:rsid w:val="005C0C7B"/>
    <w:rsid w:val="005C4F99"/>
    <w:rsid w:val="006156C7"/>
    <w:rsid w:val="006670CF"/>
    <w:rsid w:val="0071371A"/>
    <w:rsid w:val="00733368"/>
    <w:rsid w:val="00771522"/>
    <w:rsid w:val="0078082C"/>
    <w:rsid w:val="00782CDA"/>
    <w:rsid w:val="00793B22"/>
    <w:rsid w:val="007A22ED"/>
    <w:rsid w:val="007B7626"/>
    <w:rsid w:val="007C0802"/>
    <w:rsid w:val="007C4858"/>
    <w:rsid w:val="007C7198"/>
    <w:rsid w:val="00824EA8"/>
    <w:rsid w:val="008405B6"/>
    <w:rsid w:val="00852019"/>
    <w:rsid w:val="00856010"/>
    <w:rsid w:val="00884452"/>
    <w:rsid w:val="00893AAA"/>
    <w:rsid w:val="008970AD"/>
    <w:rsid w:val="008B5CB9"/>
    <w:rsid w:val="008D4CCC"/>
    <w:rsid w:val="00916F21"/>
    <w:rsid w:val="00926F2D"/>
    <w:rsid w:val="009274D5"/>
    <w:rsid w:val="00942375"/>
    <w:rsid w:val="00973C4A"/>
    <w:rsid w:val="009B68ED"/>
    <w:rsid w:val="009C433F"/>
    <w:rsid w:val="009E360C"/>
    <w:rsid w:val="009F6A5B"/>
    <w:rsid w:val="00A55DDC"/>
    <w:rsid w:val="00A81AC5"/>
    <w:rsid w:val="00A92697"/>
    <w:rsid w:val="00AA0448"/>
    <w:rsid w:val="00AA6DCC"/>
    <w:rsid w:val="00AE79B0"/>
    <w:rsid w:val="00B4269F"/>
    <w:rsid w:val="00B46312"/>
    <w:rsid w:val="00B518F6"/>
    <w:rsid w:val="00B75AB1"/>
    <w:rsid w:val="00B87583"/>
    <w:rsid w:val="00BD38BC"/>
    <w:rsid w:val="00BE26E8"/>
    <w:rsid w:val="00BF521A"/>
    <w:rsid w:val="00C326B3"/>
    <w:rsid w:val="00C665FC"/>
    <w:rsid w:val="00D02297"/>
    <w:rsid w:val="00D077FC"/>
    <w:rsid w:val="00D20333"/>
    <w:rsid w:val="00D62FB2"/>
    <w:rsid w:val="00DC7F65"/>
    <w:rsid w:val="00DE1E9B"/>
    <w:rsid w:val="00DE428D"/>
    <w:rsid w:val="00E071A3"/>
    <w:rsid w:val="00E303D8"/>
    <w:rsid w:val="00E33921"/>
    <w:rsid w:val="00E35DB5"/>
    <w:rsid w:val="00E54C7F"/>
    <w:rsid w:val="00EA36F5"/>
    <w:rsid w:val="00EC6AFB"/>
    <w:rsid w:val="00EE0EDD"/>
    <w:rsid w:val="00EE2E74"/>
    <w:rsid w:val="00F15F92"/>
    <w:rsid w:val="00F43A14"/>
    <w:rsid w:val="00F65AF6"/>
    <w:rsid w:val="00F72B82"/>
    <w:rsid w:val="00F90A4D"/>
    <w:rsid w:val="00F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9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7F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69F"/>
  </w:style>
  <w:style w:type="paragraph" w:styleId="Pieddepage">
    <w:name w:val="footer"/>
    <w:basedOn w:val="Normal"/>
    <w:link w:val="PieddepageCar"/>
    <w:uiPriority w:val="99"/>
    <w:unhideWhenUsed/>
    <w:rsid w:val="00B4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9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47F2A"/>
    <w:pPr>
      <w:ind w:left="720"/>
      <w:contextualSpacing/>
    </w:pPr>
  </w:style>
  <w:style w:type="table" w:styleId="Grilledutableau">
    <w:name w:val="Table Grid"/>
    <w:basedOn w:val="TableauNormal"/>
    <w:uiPriority w:val="59"/>
    <w:rsid w:val="00D0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269F"/>
  </w:style>
  <w:style w:type="paragraph" w:styleId="Pieddepage">
    <w:name w:val="footer"/>
    <w:basedOn w:val="Normal"/>
    <w:link w:val="PieddepageCar"/>
    <w:uiPriority w:val="99"/>
    <w:unhideWhenUsed/>
    <w:rsid w:val="00B4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1788</Words>
  <Characters>9839</Characters>
  <Application>Microsoft Office Word</Application>
  <DocSecurity>0</DocSecurity>
  <Lines>81</Lines>
  <Paragraphs>23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RDW Voertuiginformatie en -toelating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Putter, Kees de</dc:creator>
  <cp:lastModifiedBy>UNECE</cp:lastModifiedBy>
  <cp:revision>4</cp:revision>
  <cp:lastPrinted>2015-10-13T16:45:00Z</cp:lastPrinted>
  <dcterms:created xsi:type="dcterms:W3CDTF">2015-10-28T09:50:00Z</dcterms:created>
  <dcterms:modified xsi:type="dcterms:W3CDTF">2015-10-28T09:52:00Z</dcterms:modified>
</cp:coreProperties>
</file>